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16B5" w14:textId="31FBF57E" w:rsidR="00851673" w:rsidRPr="00826530" w:rsidRDefault="002707FE" w:rsidP="00F22BCF">
      <w:pPr>
        <w:spacing w:line="480" w:lineRule="auto"/>
        <w:jc w:val="center"/>
        <w:rPr>
          <w:rFonts w:ascii="Arial" w:hAnsi="Arial" w:cs="Arial"/>
          <w:b/>
          <w:bCs/>
        </w:rPr>
      </w:pPr>
      <w:bookmarkStart w:id="0" w:name="OLE_LINK1"/>
      <w:bookmarkStart w:id="1" w:name="OLE_LINK2"/>
      <w:r w:rsidRPr="00826530">
        <w:rPr>
          <w:rFonts w:ascii="Arial" w:hAnsi="Arial" w:cs="Arial"/>
          <w:b/>
          <w:bCs/>
        </w:rPr>
        <w:t>Factors Associated with</w:t>
      </w:r>
      <w:r w:rsidR="006B0DFF" w:rsidRPr="00826530">
        <w:rPr>
          <w:rFonts w:ascii="Arial" w:hAnsi="Arial" w:cs="Arial"/>
          <w:b/>
          <w:bCs/>
        </w:rPr>
        <w:t xml:space="preserve"> </w:t>
      </w:r>
      <w:r w:rsidR="00984466" w:rsidRPr="00826530">
        <w:rPr>
          <w:rFonts w:ascii="Arial" w:hAnsi="Arial" w:cs="Arial"/>
          <w:b/>
          <w:bCs/>
        </w:rPr>
        <w:t xml:space="preserve">Transactional Sex among </w:t>
      </w:r>
      <w:r w:rsidR="00F46B01" w:rsidRPr="00826530">
        <w:rPr>
          <w:rFonts w:ascii="Arial" w:hAnsi="Arial" w:cs="Arial"/>
          <w:b/>
          <w:bCs/>
        </w:rPr>
        <w:t xml:space="preserve">a Cohort of </w:t>
      </w:r>
      <w:r w:rsidR="00851673" w:rsidRPr="00826530">
        <w:rPr>
          <w:rFonts w:ascii="Arial" w:hAnsi="Arial" w:cs="Arial"/>
          <w:b/>
          <w:bCs/>
        </w:rPr>
        <w:t>Gay</w:t>
      </w:r>
      <w:r w:rsidR="006B0DFF" w:rsidRPr="00826530">
        <w:rPr>
          <w:rFonts w:ascii="Arial" w:hAnsi="Arial" w:cs="Arial"/>
          <w:b/>
          <w:bCs/>
        </w:rPr>
        <w:t>,</w:t>
      </w:r>
      <w:r w:rsidR="00851673" w:rsidRPr="00826530">
        <w:rPr>
          <w:rFonts w:ascii="Arial" w:hAnsi="Arial" w:cs="Arial"/>
          <w:b/>
          <w:bCs/>
        </w:rPr>
        <w:t xml:space="preserve"> Bisexual</w:t>
      </w:r>
      <w:r w:rsidR="006B0DFF" w:rsidRPr="00826530">
        <w:rPr>
          <w:rFonts w:ascii="Arial" w:hAnsi="Arial" w:cs="Arial"/>
          <w:b/>
          <w:bCs/>
        </w:rPr>
        <w:t>, and Other Men who have Sex with</w:t>
      </w:r>
      <w:r w:rsidR="00851673" w:rsidRPr="00826530">
        <w:rPr>
          <w:rFonts w:ascii="Arial" w:hAnsi="Arial" w:cs="Arial"/>
          <w:b/>
          <w:bCs/>
        </w:rPr>
        <w:t xml:space="preserve"> Men in Vancouver, Canada</w:t>
      </w:r>
    </w:p>
    <w:p w14:paraId="4A6006CE" w14:textId="77777777" w:rsidR="00851673" w:rsidRPr="00826530" w:rsidRDefault="00851673" w:rsidP="00F22BCF">
      <w:pPr>
        <w:spacing w:line="480" w:lineRule="auto"/>
        <w:rPr>
          <w:rFonts w:ascii="Arial" w:hAnsi="Arial" w:cs="Arial"/>
        </w:rPr>
      </w:pPr>
    </w:p>
    <w:p w14:paraId="60F1D9A3" w14:textId="7C141453" w:rsidR="00851673" w:rsidRPr="00826530" w:rsidRDefault="00851673" w:rsidP="00F22BCF">
      <w:pPr>
        <w:spacing w:line="480" w:lineRule="auto"/>
        <w:jc w:val="center"/>
        <w:rPr>
          <w:rFonts w:ascii="Arial" w:hAnsi="Arial" w:cs="Arial"/>
        </w:rPr>
      </w:pPr>
      <w:r w:rsidRPr="00826530">
        <w:rPr>
          <w:rFonts w:ascii="Arial" w:hAnsi="Arial" w:cs="Arial"/>
        </w:rPr>
        <w:t>Heathe</w:t>
      </w:r>
      <w:r w:rsidR="00101BD3" w:rsidRPr="00826530">
        <w:rPr>
          <w:rFonts w:ascii="Arial" w:hAnsi="Arial" w:cs="Arial"/>
        </w:rPr>
        <w:t>r L. Armstrong,</w:t>
      </w:r>
      <w:r w:rsidR="007A3EFF" w:rsidRPr="00826530">
        <w:rPr>
          <w:rFonts w:ascii="Arial" w:hAnsi="Arial" w:cs="Arial"/>
          <w:vertAlign w:val="superscript"/>
        </w:rPr>
        <w:t>1</w:t>
      </w:r>
      <w:r w:rsidR="00E22A52" w:rsidRPr="00826530">
        <w:rPr>
          <w:rFonts w:ascii="Arial" w:hAnsi="Arial" w:cs="Arial"/>
          <w:vertAlign w:val="superscript"/>
        </w:rPr>
        <w:t xml:space="preserve"> </w:t>
      </w:r>
      <w:r w:rsidR="00E22A52" w:rsidRPr="00826530">
        <w:rPr>
          <w:rFonts w:ascii="Arial" w:hAnsi="Arial" w:cs="Arial"/>
        </w:rPr>
        <w:t>Jordan</w:t>
      </w:r>
      <w:r w:rsidR="00440259" w:rsidRPr="00826530">
        <w:rPr>
          <w:rFonts w:ascii="Arial" w:hAnsi="Arial" w:cs="Arial"/>
        </w:rPr>
        <w:t xml:space="preserve"> M.</w:t>
      </w:r>
      <w:r w:rsidR="00E22A52" w:rsidRPr="00826530">
        <w:rPr>
          <w:rFonts w:ascii="Arial" w:hAnsi="Arial" w:cs="Arial"/>
        </w:rPr>
        <w:t xml:space="preserve"> Sang</w:t>
      </w:r>
      <w:r w:rsidR="00E22A52" w:rsidRPr="00826530">
        <w:rPr>
          <w:rFonts w:ascii="Arial" w:hAnsi="Arial" w:cs="Arial"/>
          <w:vertAlign w:val="superscript"/>
        </w:rPr>
        <w:t>2</w:t>
      </w:r>
      <w:r w:rsidR="00E22A52" w:rsidRPr="00826530">
        <w:rPr>
          <w:rFonts w:ascii="Arial" w:hAnsi="Arial" w:cs="Arial"/>
        </w:rPr>
        <w:t>, Ales Skala,</w:t>
      </w:r>
      <w:r w:rsidR="00E22A52" w:rsidRPr="00826530">
        <w:rPr>
          <w:rFonts w:ascii="Arial" w:hAnsi="Arial" w:cs="Arial"/>
          <w:vertAlign w:val="superscript"/>
        </w:rPr>
        <w:t>3</w:t>
      </w:r>
      <w:r w:rsidR="00E22A52" w:rsidRPr="00826530">
        <w:rPr>
          <w:rFonts w:ascii="Arial" w:hAnsi="Arial" w:cs="Arial"/>
        </w:rPr>
        <w:t xml:space="preserve"> </w:t>
      </w:r>
      <w:r w:rsidR="00101BD3" w:rsidRPr="00826530">
        <w:rPr>
          <w:rFonts w:ascii="Arial" w:hAnsi="Arial" w:cs="Arial"/>
        </w:rPr>
        <w:t>Lu Wang,</w:t>
      </w:r>
      <w:r w:rsidR="007A3EFF" w:rsidRPr="00826530">
        <w:rPr>
          <w:rFonts w:ascii="Arial" w:hAnsi="Arial" w:cs="Arial"/>
          <w:vertAlign w:val="superscript"/>
        </w:rPr>
        <w:t>2</w:t>
      </w:r>
      <w:r w:rsidR="00101BD3" w:rsidRPr="00826530">
        <w:rPr>
          <w:rFonts w:ascii="Arial" w:hAnsi="Arial" w:cs="Arial"/>
        </w:rPr>
        <w:t xml:space="preserve"> Julia Z</w:t>
      </w:r>
      <w:r w:rsidRPr="00826530">
        <w:rPr>
          <w:rFonts w:ascii="Arial" w:hAnsi="Arial" w:cs="Arial"/>
        </w:rPr>
        <w:t>hu,</w:t>
      </w:r>
      <w:r w:rsidR="007A3EFF" w:rsidRPr="00826530">
        <w:rPr>
          <w:rFonts w:ascii="Arial" w:hAnsi="Arial" w:cs="Arial"/>
          <w:vertAlign w:val="superscript"/>
        </w:rPr>
        <w:t>2</w:t>
      </w:r>
      <w:r w:rsidRPr="00826530">
        <w:rPr>
          <w:rFonts w:ascii="Arial" w:hAnsi="Arial" w:cs="Arial"/>
        </w:rPr>
        <w:t xml:space="preserve"> Nathan J. Lachowsky,</w:t>
      </w:r>
      <w:r w:rsidR="007A3EFF" w:rsidRPr="00826530">
        <w:rPr>
          <w:rFonts w:ascii="Arial" w:hAnsi="Arial" w:cs="Arial"/>
          <w:vertAlign w:val="superscript"/>
        </w:rPr>
        <w:t>2,</w:t>
      </w:r>
      <w:r w:rsidR="00E22A52" w:rsidRPr="00826530">
        <w:rPr>
          <w:rFonts w:ascii="Arial" w:hAnsi="Arial" w:cs="Arial"/>
          <w:vertAlign w:val="superscript"/>
        </w:rPr>
        <w:t>4</w:t>
      </w:r>
      <w:r w:rsidRPr="00826530">
        <w:rPr>
          <w:rFonts w:ascii="Arial" w:hAnsi="Arial" w:cs="Arial"/>
        </w:rPr>
        <w:t xml:space="preserve"> </w:t>
      </w:r>
      <w:proofErr w:type="spellStart"/>
      <w:r w:rsidRPr="00826530">
        <w:rPr>
          <w:rFonts w:ascii="Arial" w:hAnsi="Arial" w:cs="Arial"/>
        </w:rPr>
        <w:t>Kiffer</w:t>
      </w:r>
      <w:proofErr w:type="spellEnd"/>
      <w:r w:rsidRPr="00826530">
        <w:rPr>
          <w:rFonts w:ascii="Arial" w:hAnsi="Arial" w:cs="Arial"/>
        </w:rPr>
        <w:t xml:space="preserve"> G. Card,</w:t>
      </w:r>
      <w:r w:rsidR="00E22A52" w:rsidRPr="00826530">
        <w:rPr>
          <w:rFonts w:ascii="Arial" w:hAnsi="Arial" w:cs="Arial"/>
          <w:vertAlign w:val="superscript"/>
        </w:rPr>
        <w:t>4</w:t>
      </w:r>
      <w:r w:rsidR="003057A9" w:rsidRPr="00826530">
        <w:rPr>
          <w:rFonts w:ascii="Arial" w:hAnsi="Arial" w:cs="Arial"/>
          <w:vertAlign w:val="superscript"/>
        </w:rPr>
        <w:t xml:space="preserve"> </w:t>
      </w:r>
      <w:r w:rsidR="003057A9" w:rsidRPr="00826530">
        <w:rPr>
          <w:rFonts w:ascii="Arial" w:hAnsi="Arial" w:cs="Arial"/>
        </w:rPr>
        <w:t xml:space="preserve">Cecilia Benoit </w:t>
      </w:r>
      <w:r w:rsidR="003057A9" w:rsidRPr="00826530">
        <w:rPr>
          <w:rFonts w:ascii="Arial" w:hAnsi="Arial" w:cs="Arial"/>
          <w:vertAlign w:val="superscript"/>
        </w:rPr>
        <w:t>4</w:t>
      </w:r>
      <w:r w:rsidR="003057A9" w:rsidRPr="00826530">
        <w:rPr>
          <w:rFonts w:ascii="Arial" w:hAnsi="Arial" w:cs="Arial"/>
        </w:rPr>
        <w:t>,</w:t>
      </w:r>
      <w:r w:rsidRPr="00826530">
        <w:rPr>
          <w:rFonts w:ascii="Arial" w:hAnsi="Arial" w:cs="Arial"/>
        </w:rPr>
        <w:t xml:space="preserve"> </w:t>
      </w:r>
      <w:proofErr w:type="spellStart"/>
      <w:r w:rsidRPr="00826530">
        <w:rPr>
          <w:rFonts w:ascii="Arial" w:hAnsi="Arial" w:cs="Arial"/>
        </w:rPr>
        <w:t>Gbolahan</w:t>
      </w:r>
      <w:proofErr w:type="spellEnd"/>
      <w:r w:rsidRPr="00826530">
        <w:rPr>
          <w:rFonts w:ascii="Arial" w:hAnsi="Arial" w:cs="Arial"/>
        </w:rPr>
        <w:t xml:space="preserve"> Olarewaju,</w:t>
      </w:r>
      <w:r w:rsidR="003000F5" w:rsidRPr="00826530">
        <w:rPr>
          <w:rFonts w:ascii="Arial" w:hAnsi="Arial" w:cs="Arial"/>
          <w:vertAlign w:val="superscript"/>
        </w:rPr>
        <w:t>2</w:t>
      </w:r>
      <w:r w:rsidR="00E22A52" w:rsidRPr="00826530">
        <w:rPr>
          <w:rFonts w:ascii="Arial" w:hAnsi="Arial" w:cs="Arial"/>
          <w:vertAlign w:val="superscript"/>
        </w:rPr>
        <w:t>,3</w:t>
      </w:r>
      <w:r w:rsidRPr="00826530">
        <w:rPr>
          <w:rFonts w:ascii="Arial" w:hAnsi="Arial" w:cs="Arial"/>
        </w:rPr>
        <w:t xml:space="preserve"> Robert S. Hogg,</w:t>
      </w:r>
      <w:r w:rsidR="003000F5" w:rsidRPr="00826530">
        <w:rPr>
          <w:rFonts w:ascii="Arial" w:hAnsi="Arial" w:cs="Arial"/>
          <w:vertAlign w:val="superscript"/>
        </w:rPr>
        <w:t>2,</w:t>
      </w:r>
      <w:r w:rsidR="00E22A52" w:rsidRPr="00826530">
        <w:rPr>
          <w:rFonts w:ascii="Arial" w:hAnsi="Arial" w:cs="Arial"/>
          <w:vertAlign w:val="superscript"/>
        </w:rPr>
        <w:t>5</w:t>
      </w:r>
      <w:r w:rsidRPr="00826530">
        <w:rPr>
          <w:rFonts w:ascii="Arial" w:hAnsi="Arial" w:cs="Arial"/>
        </w:rPr>
        <w:t xml:space="preserve"> David M. Moore,</w:t>
      </w:r>
      <w:r w:rsidR="003000F5" w:rsidRPr="00826530">
        <w:rPr>
          <w:rFonts w:ascii="Arial" w:hAnsi="Arial" w:cs="Arial"/>
          <w:vertAlign w:val="superscript"/>
        </w:rPr>
        <w:t xml:space="preserve"> 2</w:t>
      </w:r>
      <w:r w:rsidR="00E22A52" w:rsidRPr="00826530">
        <w:rPr>
          <w:rFonts w:ascii="Arial" w:hAnsi="Arial" w:cs="Arial"/>
          <w:vertAlign w:val="superscript"/>
        </w:rPr>
        <w:t>,3</w:t>
      </w:r>
      <w:r w:rsidR="003000F5" w:rsidRPr="00826530">
        <w:rPr>
          <w:rFonts w:ascii="Arial" w:hAnsi="Arial" w:cs="Arial"/>
        </w:rPr>
        <w:t xml:space="preserve"> </w:t>
      </w:r>
      <w:r w:rsidRPr="00826530">
        <w:rPr>
          <w:rFonts w:ascii="Arial" w:hAnsi="Arial" w:cs="Arial"/>
        </w:rPr>
        <w:t>&amp; Eric A. Roth</w:t>
      </w:r>
      <w:r w:rsidR="00E22A52" w:rsidRPr="00826530">
        <w:rPr>
          <w:rFonts w:ascii="Arial" w:hAnsi="Arial" w:cs="Arial"/>
          <w:vertAlign w:val="superscript"/>
        </w:rPr>
        <w:t>4</w:t>
      </w:r>
    </w:p>
    <w:p w14:paraId="39372306" w14:textId="77777777" w:rsidR="00851673" w:rsidRPr="00826530" w:rsidRDefault="00851673" w:rsidP="00F22BCF">
      <w:pPr>
        <w:spacing w:line="480" w:lineRule="auto"/>
        <w:jc w:val="center"/>
        <w:rPr>
          <w:rFonts w:ascii="Arial" w:hAnsi="Arial" w:cs="Arial"/>
        </w:rPr>
      </w:pPr>
    </w:p>
    <w:p w14:paraId="10F0BDF5" w14:textId="7F725A31" w:rsidR="007A3EFF" w:rsidRPr="00826530" w:rsidRDefault="007A3EFF" w:rsidP="00F22BCF">
      <w:pPr>
        <w:spacing w:line="480" w:lineRule="auto"/>
        <w:rPr>
          <w:rFonts w:ascii="Arial" w:hAnsi="Arial" w:cs="Arial"/>
        </w:rPr>
      </w:pPr>
      <w:r w:rsidRPr="00826530">
        <w:rPr>
          <w:rFonts w:ascii="Arial" w:hAnsi="Arial" w:cs="Arial"/>
        </w:rPr>
        <w:t xml:space="preserve">1. </w:t>
      </w:r>
      <w:r w:rsidR="00E22A52" w:rsidRPr="00826530">
        <w:rPr>
          <w:rFonts w:ascii="Arial" w:hAnsi="Arial" w:cs="Arial"/>
        </w:rPr>
        <w:t xml:space="preserve">University of Southampton, Southampton, United Kingdom  </w:t>
      </w:r>
    </w:p>
    <w:p w14:paraId="251F3945" w14:textId="3E2AA147" w:rsidR="007A3EFF" w:rsidRPr="00826530" w:rsidRDefault="007A3EFF" w:rsidP="00F22BCF">
      <w:pPr>
        <w:spacing w:line="480" w:lineRule="auto"/>
        <w:rPr>
          <w:rFonts w:ascii="Arial" w:hAnsi="Arial" w:cs="Arial"/>
        </w:rPr>
      </w:pPr>
      <w:r w:rsidRPr="00826530">
        <w:rPr>
          <w:rFonts w:ascii="Arial" w:hAnsi="Arial" w:cs="Arial"/>
        </w:rPr>
        <w:t>2. British Columbia Centre for Excellence in HIV/AIDS, Vancouver, British Columbia, Canada</w:t>
      </w:r>
    </w:p>
    <w:p w14:paraId="0479F132" w14:textId="6DD71A76" w:rsidR="00E22A52" w:rsidRPr="00826530" w:rsidRDefault="00E22A52" w:rsidP="00F22BCF">
      <w:pPr>
        <w:spacing w:line="480" w:lineRule="auto"/>
        <w:rPr>
          <w:rFonts w:ascii="Arial" w:hAnsi="Arial" w:cs="Arial"/>
        </w:rPr>
      </w:pPr>
      <w:r w:rsidRPr="00826530">
        <w:rPr>
          <w:rFonts w:ascii="Arial" w:hAnsi="Arial" w:cs="Arial"/>
        </w:rPr>
        <w:t>3. University of British Columbia, Vancouver, British Columbia, Canada</w:t>
      </w:r>
    </w:p>
    <w:p w14:paraId="7238E2CD" w14:textId="389C6D9D" w:rsidR="003000F5" w:rsidRPr="00826530" w:rsidRDefault="00E22A52" w:rsidP="00F22BCF">
      <w:pPr>
        <w:spacing w:line="480" w:lineRule="auto"/>
        <w:rPr>
          <w:rFonts w:ascii="Arial" w:hAnsi="Arial" w:cs="Arial"/>
        </w:rPr>
      </w:pPr>
      <w:r w:rsidRPr="00826530">
        <w:rPr>
          <w:rFonts w:ascii="Arial" w:hAnsi="Arial" w:cs="Arial"/>
        </w:rPr>
        <w:t>4</w:t>
      </w:r>
      <w:r w:rsidR="007A3EFF" w:rsidRPr="00826530">
        <w:rPr>
          <w:rFonts w:ascii="Arial" w:hAnsi="Arial" w:cs="Arial"/>
        </w:rPr>
        <w:t>. University of Victoria, Victoria, British Columbia, Canada</w:t>
      </w:r>
    </w:p>
    <w:p w14:paraId="773758BE" w14:textId="6425F1C8" w:rsidR="003000F5" w:rsidRPr="00826530" w:rsidRDefault="00E22A52" w:rsidP="00F22BCF">
      <w:pPr>
        <w:spacing w:line="480" w:lineRule="auto"/>
        <w:rPr>
          <w:rFonts w:ascii="Arial" w:hAnsi="Arial" w:cs="Arial"/>
        </w:rPr>
      </w:pPr>
      <w:r w:rsidRPr="00826530">
        <w:rPr>
          <w:rFonts w:ascii="Arial" w:hAnsi="Arial" w:cs="Arial"/>
        </w:rPr>
        <w:t>5</w:t>
      </w:r>
      <w:r w:rsidR="003000F5" w:rsidRPr="00826530">
        <w:rPr>
          <w:rFonts w:ascii="Arial" w:hAnsi="Arial" w:cs="Arial"/>
        </w:rPr>
        <w:t>. Simon Fraser University, Burnaby, British Columbia, Canada</w:t>
      </w:r>
    </w:p>
    <w:p w14:paraId="3CFF29DA" w14:textId="77777777" w:rsidR="006D6823" w:rsidRDefault="006D6823" w:rsidP="00F22BCF">
      <w:pPr>
        <w:spacing w:line="480" w:lineRule="auto"/>
        <w:rPr>
          <w:rFonts w:ascii="Arial" w:hAnsi="Arial" w:cs="Arial"/>
        </w:rPr>
      </w:pPr>
    </w:p>
    <w:p w14:paraId="15B01273" w14:textId="77777777" w:rsidR="006D6823" w:rsidRDefault="006D6823" w:rsidP="00F22BCF">
      <w:pPr>
        <w:spacing w:line="480" w:lineRule="auto"/>
        <w:rPr>
          <w:rFonts w:ascii="Arial" w:hAnsi="Arial" w:cs="Arial"/>
        </w:rPr>
      </w:pPr>
    </w:p>
    <w:p w14:paraId="1A137E2D" w14:textId="23F5544F" w:rsidR="003000F5" w:rsidRPr="00826530" w:rsidRDefault="003000F5" w:rsidP="00F22BCF">
      <w:pPr>
        <w:spacing w:line="480" w:lineRule="auto"/>
        <w:rPr>
          <w:rFonts w:ascii="Arial" w:hAnsi="Arial" w:cs="Arial"/>
        </w:rPr>
      </w:pPr>
      <w:r w:rsidRPr="00826530">
        <w:rPr>
          <w:rFonts w:ascii="Arial" w:hAnsi="Arial" w:cs="Arial"/>
        </w:rPr>
        <w:t>Corresponding Author:</w:t>
      </w:r>
    </w:p>
    <w:p w14:paraId="59B900F1" w14:textId="0CE2C7A1" w:rsidR="00440259" w:rsidRPr="00826530" w:rsidRDefault="003000F5" w:rsidP="00F22BCF">
      <w:pPr>
        <w:rPr>
          <w:rFonts w:ascii="Arial" w:hAnsi="Arial" w:cs="Arial"/>
        </w:rPr>
      </w:pPr>
      <w:r w:rsidRPr="00826530">
        <w:rPr>
          <w:rFonts w:ascii="Arial" w:hAnsi="Arial" w:cs="Arial"/>
        </w:rPr>
        <w:t>Heather L. Armstrong, PhD</w:t>
      </w:r>
    </w:p>
    <w:p w14:paraId="35C90F22" w14:textId="6ADE128E" w:rsidR="003000F5" w:rsidRPr="00826530" w:rsidRDefault="003000F5" w:rsidP="00F22BCF">
      <w:pPr>
        <w:rPr>
          <w:rFonts w:ascii="Arial" w:hAnsi="Arial" w:cs="Arial"/>
        </w:rPr>
      </w:pPr>
      <w:r w:rsidRPr="00826530">
        <w:rPr>
          <w:rFonts w:ascii="Arial" w:hAnsi="Arial" w:cs="Arial"/>
        </w:rPr>
        <w:t xml:space="preserve">University of </w:t>
      </w:r>
      <w:r w:rsidR="00CA14B3" w:rsidRPr="00826530">
        <w:rPr>
          <w:rFonts w:ascii="Arial" w:hAnsi="Arial" w:cs="Arial"/>
        </w:rPr>
        <w:t>Southampton</w:t>
      </w:r>
    </w:p>
    <w:p w14:paraId="6317A6BF" w14:textId="77777777" w:rsidR="00CA14B3" w:rsidRPr="00826530" w:rsidRDefault="00CA14B3" w:rsidP="00F22BCF">
      <w:pPr>
        <w:rPr>
          <w:rFonts w:ascii="Arial" w:hAnsi="Arial" w:cs="Arial"/>
        </w:rPr>
      </w:pPr>
      <w:r w:rsidRPr="00826530">
        <w:rPr>
          <w:rFonts w:ascii="Arial" w:hAnsi="Arial" w:cs="Arial"/>
        </w:rPr>
        <w:t>University Road</w:t>
      </w:r>
    </w:p>
    <w:p w14:paraId="1D64DBD5" w14:textId="77777777" w:rsidR="00CA14B3" w:rsidRPr="00826530" w:rsidRDefault="00CA14B3" w:rsidP="00F22BCF">
      <w:pPr>
        <w:rPr>
          <w:rFonts w:ascii="Arial" w:hAnsi="Arial" w:cs="Arial"/>
        </w:rPr>
      </w:pPr>
      <w:r w:rsidRPr="00826530">
        <w:rPr>
          <w:rFonts w:ascii="Arial" w:hAnsi="Arial" w:cs="Arial"/>
        </w:rPr>
        <w:t>Southampton</w:t>
      </w:r>
    </w:p>
    <w:p w14:paraId="41524A2E" w14:textId="77777777" w:rsidR="00CA14B3" w:rsidRPr="00826530" w:rsidRDefault="00CA14B3" w:rsidP="00F22BCF">
      <w:pPr>
        <w:rPr>
          <w:rFonts w:ascii="Arial" w:hAnsi="Arial" w:cs="Arial"/>
        </w:rPr>
      </w:pPr>
      <w:r w:rsidRPr="00826530">
        <w:rPr>
          <w:rFonts w:ascii="Arial" w:hAnsi="Arial" w:cs="Arial"/>
        </w:rPr>
        <w:t>SO17 1BJ</w:t>
      </w:r>
    </w:p>
    <w:p w14:paraId="7F3CDCF8" w14:textId="77777777" w:rsidR="00CA14B3" w:rsidRPr="00826530" w:rsidRDefault="00CA14B3" w:rsidP="00F22BCF">
      <w:pPr>
        <w:rPr>
          <w:rFonts w:ascii="Arial" w:hAnsi="Arial" w:cs="Arial"/>
        </w:rPr>
      </w:pPr>
      <w:r w:rsidRPr="00826530">
        <w:rPr>
          <w:rFonts w:ascii="Arial" w:hAnsi="Arial" w:cs="Arial"/>
        </w:rPr>
        <w:t xml:space="preserve">United Kingdom </w:t>
      </w:r>
    </w:p>
    <w:p w14:paraId="128507F0" w14:textId="53671224" w:rsidR="003000F5" w:rsidRPr="00826530" w:rsidRDefault="003000F5" w:rsidP="00F22BCF">
      <w:pPr>
        <w:rPr>
          <w:rFonts w:ascii="Arial" w:hAnsi="Arial" w:cs="Arial"/>
        </w:rPr>
      </w:pPr>
      <w:r w:rsidRPr="00826530">
        <w:rPr>
          <w:rFonts w:ascii="Arial" w:hAnsi="Arial" w:cs="Arial"/>
        </w:rPr>
        <w:t>Email: h</w:t>
      </w:r>
      <w:r w:rsidR="00CA14B3" w:rsidRPr="00826530">
        <w:rPr>
          <w:rFonts w:ascii="Arial" w:hAnsi="Arial" w:cs="Arial"/>
        </w:rPr>
        <w:t>.</w:t>
      </w:r>
      <w:r w:rsidRPr="00826530">
        <w:rPr>
          <w:rFonts w:ascii="Arial" w:hAnsi="Arial" w:cs="Arial"/>
        </w:rPr>
        <w:t>armstrong@</w:t>
      </w:r>
      <w:r w:rsidR="00CA14B3" w:rsidRPr="00826530">
        <w:rPr>
          <w:rFonts w:ascii="Arial" w:hAnsi="Arial" w:cs="Arial"/>
        </w:rPr>
        <w:t>soton.ac.uk</w:t>
      </w:r>
    </w:p>
    <w:p w14:paraId="13476ABC" w14:textId="287456DD" w:rsidR="00851673" w:rsidRPr="00826530" w:rsidRDefault="007A3EFF" w:rsidP="00F22BCF">
      <w:pPr>
        <w:spacing w:line="480" w:lineRule="auto"/>
        <w:jc w:val="center"/>
        <w:rPr>
          <w:rFonts w:ascii="Arial" w:hAnsi="Arial" w:cs="Arial"/>
          <w:b/>
        </w:rPr>
      </w:pPr>
      <w:r w:rsidRPr="00826530">
        <w:rPr>
          <w:rFonts w:ascii="Arial" w:hAnsi="Arial" w:cs="Arial"/>
          <w:b/>
        </w:rPr>
        <w:br w:type="page"/>
      </w:r>
      <w:r w:rsidR="003000F5" w:rsidRPr="00826530">
        <w:rPr>
          <w:rFonts w:ascii="Arial" w:hAnsi="Arial" w:cs="Arial"/>
          <w:b/>
          <w:color w:val="000000" w:themeColor="text1"/>
        </w:rPr>
        <w:lastRenderedPageBreak/>
        <w:t xml:space="preserve">Abstract </w:t>
      </w:r>
    </w:p>
    <w:p w14:paraId="4574F9BD" w14:textId="3F99F966" w:rsidR="006B0DFF" w:rsidRPr="00826530" w:rsidRDefault="006B0DFF" w:rsidP="00F22BCF">
      <w:pPr>
        <w:spacing w:line="480" w:lineRule="auto"/>
        <w:rPr>
          <w:rFonts w:ascii="Arial" w:hAnsi="Arial" w:cs="Arial"/>
          <w:lang w:val="en-CA"/>
        </w:rPr>
      </w:pPr>
      <w:r w:rsidRPr="00826530">
        <w:rPr>
          <w:rFonts w:ascii="Arial" w:hAnsi="Arial" w:cs="Arial"/>
          <w:b/>
          <w:lang w:val="en-CA"/>
        </w:rPr>
        <w:t xml:space="preserve">Background: </w:t>
      </w:r>
      <w:r w:rsidR="00851673" w:rsidRPr="00826530">
        <w:rPr>
          <w:rFonts w:ascii="Arial" w:hAnsi="Arial" w:cs="Arial"/>
          <w:lang w:val="en-CA"/>
        </w:rPr>
        <w:t>Gay</w:t>
      </w:r>
      <w:r w:rsidRPr="00826530">
        <w:rPr>
          <w:rFonts w:ascii="Arial" w:hAnsi="Arial" w:cs="Arial"/>
          <w:lang w:val="en-CA"/>
        </w:rPr>
        <w:t xml:space="preserve">, </w:t>
      </w:r>
      <w:r w:rsidR="00851673" w:rsidRPr="00826530">
        <w:rPr>
          <w:rFonts w:ascii="Arial" w:hAnsi="Arial" w:cs="Arial"/>
          <w:lang w:val="en-CA"/>
        </w:rPr>
        <w:t>bisexual</w:t>
      </w:r>
      <w:r w:rsidRPr="00826530">
        <w:rPr>
          <w:rFonts w:ascii="Arial" w:hAnsi="Arial" w:cs="Arial"/>
          <w:lang w:val="en-CA"/>
        </w:rPr>
        <w:t>, and other men who have sex with</w:t>
      </w:r>
      <w:r w:rsidR="00851673" w:rsidRPr="00826530">
        <w:rPr>
          <w:rFonts w:ascii="Arial" w:hAnsi="Arial" w:cs="Arial"/>
          <w:lang w:val="en-CA"/>
        </w:rPr>
        <w:t xml:space="preserve"> men (GBM) who </w:t>
      </w:r>
      <w:r w:rsidR="004E4A55" w:rsidRPr="00826530">
        <w:rPr>
          <w:rFonts w:ascii="Arial" w:hAnsi="Arial" w:cs="Arial"/>
          <w:lang w:val="en-CA"/>
        </w:rPr>
        <w:t>engage in transactional sex (sex in exchange for drugs, money,</w:t>
      </w:r>
      <w:r w:rsidR="00984466" w:rsidRPr="00826530">
        <w:rPr>
          <w:rFonts w:ascii="Arial" w:hAnsi="Arial" w:cs="Arial"/>
          <w:lang w:val="en-CA"/>
        </w:rPr>
        <w:t xml:space="preserve"> or</w:t>
      </w:r>
      <w:r w:rsidR="004E4A55" w:rsidRPr="00826530">
        <w:rPr>
          <w:rFonts w:ascii="Arial" w:hAnsi="Arial" w:cs="Arial"/>
          <w:lang w:val="en-CA"/>
        </w:rPr>
        <w:t xml:space="preserve"> goods)</w:t>
      </w:r>
      <w:r w:rsidR="00851673" w:rsidRPr="00826530">
        <w:rPr>
          <w:rFonts w:ascii="Arial" w:hAnsi="Arial" w:cs="Arial"/>
          <w:lang w:val="en-CA"/>
        </w:rPr>
        <w:t xml:space="preserve"> </w:t>
      </w:r>
      <w:r w:rsidR="00984466" w:rsidRPr="00826530">
        <w:rPr>
          <w:rFonts w:ascii="Arial" w:hAnsi="Arial" w:cs="Arial"/>
          <w:lang w:val="en-CA"/>
        </w:rPr>
        <w:t>experience</w:t>
      </w:r>
      <w:r w:rsidR="004E4A55" w:rsidRPr="00826530">
        <w:rPr>
          <w:rFonts w:ascii="Arial" w:hAnsi="Arial" w:cs="Arial"/>
          <w:lang w:val="en-CA"/>
        </w:rPr>
        <w:t xml:space="preserve"> increased risk of</w:t>
      </w:r>
      <w:r w:rsidR="00F47044" w:rsidRPr="00826530">
        <w:rPr>
          <w:rFonts w:ascii="Arial" w:hAnsi="Arial" w:cs="Arial"/>
          <w:lang w:val="en-CA"/>
        </w:rPr>
        <w:t xml:space="preserve"> sexually transmitted infections</w:t>
      </w:r>
      <w:r w:rsidR="009D6836">
        <w:rPr>
          <w:rFonts w:ascii="Arial" w:hAnsi="Arial" w:cs="Arial"/>
          <w:lang w:val="en-CA"/>
        </w:rPr>
        <w:t xml:space="preserve"> (STI)</w:t>
      </w:r>
      <w:r w:rsidR="00F47044" w:rsidRPr="00826530">
        <w:rPr>
          <w:rFonts w:ascii="Arial" w:hAnsi="Arial" w:cs="Arial"/>
          <w:lang w:val="en-CA"/>
        </w:rPr>
        <w:t>, including</w:t>
      </w:r>
      <w:r w:rsidR="004E4A55" w:rsidRPr="00826530">
        <w:rPr>
          <w:rFonts w:ascii="Arial" w:hAnsi="Arial" w:cs="Arial"/>
          <w:lang w:val="en-CA"/>
        </w:rPr>
        <w:t xml:space="preserve"> </w:t>
      </w:r>
      <w:r w:rsidR="00851673" w:rsidRPr="00826530">
        <w:rPr>
          <w:rFonts w:ascii="Arial" w:hAnsi="Arial" w:cs="Arial"/>
          <w:lang w:val="en-CA"/>
        </w:rPr>
        <w:t>HIV.</w:t>
      </w:r>
      <w:r w:rsidRPr="00826530">
        <w:rPr>
          <w:rFonts w:ascii="Arial" w:hAnsi="Arial" w:cs="Arial"/>
          <w:lang w:val="en-CA"/>
        </w:rPr>
        <w:t xml:space="preserve"> This study explore</w:t>
      </w:r>
      <w:r w:rsidR="00F47044" w:rsidRPr="00826530">
        <w:rPr>
          <w:rFonts w:ascii="Arial" w:hAnsi="Arial" w:cs="Arial"/>
          <w:lang w:val="en-CA"/>
        </w:rPr>
        <w:t>d</w:t>
      </w:r>
      <w:r w:rsidRPr="00826530">
        <w:rPr>
          <w:rFonts w:ascii="Arial" w:hAnsi="Arial" w:cs="Arial"/>
          <w:lang w:val="en-CA"/>
        </w:rPr>
        <w:t xml:space="preserve"> additional </w:t>
      </w:r>
      <w:r w:rsidR="00573383" w:rsidRPr="00826530">
        <w:rPr>
          <w:rFonts w:ascii="Arial" w:hAnsi="Arial" w:cs="Arial"/>
          <w:lang w:val="en-CA"/>
        </w:rPr>
        <w:t xml:space="preserve">psychosocial and </w:t>
      </w:r>
      <w:r w:rsidRPr="00826530">
        <w:rPr>
          <w:rFonts w:ascii="Arial" w:hAnsi="Arial" w:cs="Arial"/>
          <w:lang w:val="en-CA"/>
        </w:rPr>
        <w:t>health</w:t>
      </w:r>
      <w:r w:rsidR="001850C4" w:rsidRPr="00826530">
        <w:rPr>
          <w:rFonts w:ascii="Arial" w:hAnsi="Arial" w:cs="Arial"/>
          <w:lang w:val="en-CA"/>
        </w:rPr>
        <w:t>-related</w:t>
      </w:r>
      <w:r w:rsidRPr="00826530">
        <w:rPr>
          <w:rFonts w:ascii="Arial" w:hAnsi="Arial" w:cs="Arial"/>
          <w:lang w:val="en-CA"/>
        </w:rPr>
        <w:t xml:space="preserve"> factors associated with </w:t>
      </w:r>
      <w:r w:rsidR="004E4A55" w:rsidRPr="00826530">
        <w:rPr>
          <w:rFonts w:ascii="Arial" w:hAnsi="Arial" w:cs="Arial"/>
          <w:lang w:val="en-CA"/>
        </w:rPr>
        <w:t>transactional sex</w:t>
      </w:r>
      <w:r w:rsidR="006B187F" w:rsidRPr="00826530">
        <w:rPr>
          <w:rFonts w:ascii="Arial" w:hAnsi="Arial" w:cs="Arial"/>
          <w:lang w:val="en-CA"/>
        </w:rPr>
        <w:t xml:space="preserve"> among GBM</w:t>
      </w:r>
      <w:r w:rsidR="004E4A55" w:rsidRPr="00826530">
        <w:rPr>
          <w:rFonts w:ascii="Arial" w:hAnsi="Arial" w:cs="Arial"/>
          <w:lang w:val="en-CA"/>
        </w:rPr>
        <w:t xml:space="preserve">. </w:t>
      </w:r>
    </w:p>
    <w:p w14:paraId="16A0B2DD" w14:textId="34AA8C92" w:rsidR="006B0DFF" w:rsidRPr="00826530" w:rsidRDefault="006B0DFF" w:rsidP="00F22BCF">
      <w:pPr>
        <w:spacing w:line="480" w:lineRule="auto"/>
        <w:rPr>
          <w:rFonts w:ascii="Arial" w:hAnsi="Arial" w:cs="Arial"/>
        </w:rPr>
      </w:pPr>
      <w:r w:rsidRPr="00826530">
        <w:rPr>
          <w:rFonts w:ascii="Arial" w:hAnsi="Arial" w:cs="Arial"/>
          <w:b/>
          <w:lang w:val="en-CA"/>
        </w:rPr>
        <w:t xml:space="preserve">Methods: </w:t>
      </w:r>
      <w:r w:rsidR="0078264D" w:rsidRPr="00826530">
        <w:rPr>
          <w:rFonts w:ascii="Arial" w:hAnsi="Arial" w:cs="Arial"/>
          <w:lang w:val="en-CA"/>
        </w:rPr>
        <w:t>Respondent-driven sampling was used to recruit GBM in Vancouver, Canada from 2012-2015</w:t>
      </w:r>
      <w:r w:rsidR="00D65E20" w:rsidRPr="00826530">
        <w:rPr>
          <w:rFonts w:ascii="Arial" w:hAnsi="Arial" w:cs="Arial"/>
          <w:lang w:val="en-CA"/>
        </w:rPr>
        <w:t>,</w:t>
      </w:r>
      <w:r w:rsidR="0078264D" w:rsidRPr="00826530">
        <w:rPr>
          <w:rFonts w:ascii="Arial" w:hAnsi="Arial" w:cs="Arial"/>
          <w:lang w:val="en-CA"/>
        </w:rPr>
        <w:t xml:space="preserve"> with follow-up every </w:t>
      </w:r>
      <w:r w:rsidR="004B25D9" w:rsidRPr="00826530">
        <w:rPr>
          <w:rFonts w:ascii="Arial" w:hAnsi="Arial" w:cs="Arial"/>
          <w:lang w:val="en-CA"/>
        </w:rPr>
        <w:t>six</w:t>
      </w:r>
      <w:r w:rsidR="0078264D" w:rsidRPr="00826530">
        <w:rPr>
          <w:rFonts w:ascii="Arial" w:hAnsi="Arial" w:cs="Arial"/>
          <w:lang w:val="en-CA"/>
        </w:rPr>
        <w:t xml:space="preserve"> months </w:t>
      </w:r>
      <w:r w:rsidR="00F9504B" w:rsidRPr="00826530">
        <w:rPr>
          <w:rFonts w:ascii="Arial" w:hAnsi="Arial" w:cs="Arial"/>
          <w:lang w:val="en-CA"/>
        </w:rPr>
        <w:t>until</w:t>
      </w:r>
      <w:r w:rsidR="0078264D" w:rsidRPr="00826530">
        <w:rPr>
          <w:rFonts w:ascii="Arial" w:hAnsi="Arial" w:cs="Arial"/>
          <w:lang w:val="en-CA"/>
        </w:rPr>
        <w:t xml:space="preserve"> </w:t>
      </w:r>
      <w:r w:rsidR="00F22BCF" w:rsidRPr="00826530">
        <w:rPr>
          <w:rFonts w:ascii="Arial" w:hAnsi="Arial" w:cs="Arial"/>
          <w:lang w:val="en-CA"/>
        </w:rPr>
        <w:t>July 2019</w:t>
      </w:r>
      <w:r w:rsidR="0078264D" w:rsidRPr="00826530">
        <w:rPr>
          <w:rFonts w:ascii="Arial" w:hAnsi="Arial" w:cs="Arial"/>
          <w:lang w:val="en-CA"/>
        </w:rPr>
        <w:t xml:space="preserve">. </w:t>
      </w:r>
      <w:r w:rsidR="00A5539E" w:rsidRPr="00826530">
        <w:rPr>
          <w:rFonts w:ascii="Arial" w:hAnsi="Arial" w:cs="Arial"/>
          <w:lang w:val="en-CA"/>
        </w:rPr>
        <w:t>We</w:t>
      </w:r>
      <w:r w:rsidR="0078264D" w:rsidRPr="00826530">
        <w:rPr>
          <w:rFonts w:ascii="Arial" w:hAnsi="Arial" w:cs="Arial"/>
          <w:lang w:val="en-CA"/>
        </w:rPr>
        <w:t xml:space="preserve"> </w:t>
      </w:r>
      <w:r w:rsidR="00643800" w:rsidRPr="00826530">
        <w:rPr>
          <w:rFonts w:ascii="Arial" w:hAnsi="Arial" w:cs="Arial"/>
          <w:lang w:val="en-CA"/>
        </w:rPr>
        <w:t xml:space="preserve">examined </w:t>
      </w:r>
      <w:r w:rsidR="00A5539E" w:rsidRPr="00826530">
        <w:rPr>
          <w:rFonts w:ascii="Arial" w:hAnsi="Arial" w:cs="Arial"/>
          <w:lang w:val="en-CA"/>
        </w:rPr>
        <w:t xml:space="preserve">factors associated with transactional sex using </w:t>
      </w:r>
      <w:r w:rsidR="00A5539E" w:rsidRPr="00826530">
        <w:rPr>
          <w:rFonts w:ascii="Arial" w:hAnsi="Arial" w:cs="Arial"/>
        </w:rPr>
        <w:t xml:space="preserve">multivariable </w:t>
      </w:r>
      <w:r w:rsidR="00F46B01" w:rsidRPr="00826530">
        <w:rPr>
          <w:rFonts w:ascii="Arial" w:hAnsi="Arial" w:cs="Arial"/>
        </w:rPr>
        <w:t>three</w:t>
      </w:r>
      <w:r w:rsidR="00A5539E" w:rsidRPr="00826530">
        <w:rPr>
          <w:rFonts w:ascii="Arial" w:hAnsi="Arial" w:cs="Arial"/>
        </w:rPr>
        <w:t>-level mixed-effects modelling.</w:t>
      </w:r>
    </w:p>
    <w:p w14:paraId="69C1245B" w14:textId="5ED7DE1A" w:rsidR="0078264D" w:rsidRPr="00826530" w:rsidRDefault="006B0DFF" w:rsidP="00F22BCF">
      <w:pPr>
        <w:spacing w:line="480" w:lineRule="auto"/>
        <w:rPr>
          <w:rFonts w:ascii="Arial" w:hAnsi="Arial" w:cs="Arial"/>
        </w:rPr>
      </w:pPr>
      <w:r w:rsidRPr="00826530">
        <w:rPr>
          <w:rFonts w:ascii="Arial" w:hAnsi="Arial" w:cs="Arial"/>
          <w:b/>
        </w:rPr>
        <w:t xml:space="preserve">Results: </w:t>
      </w:r>
      <w:r w:rsidR="00A5539E" w:rsidRPr="00826530">
        <w:rPr>
          <w:rFonts w:ascii="Arial" w:hAnsi="Arial" w:cs="Arial"/>
        </w:rPr>
        <w:t>Among 6</w:t>
      </w:r>
      <w:r w:rsidR="00F22BCF" w:rsidRPr="00826530">
        <w:rPr>
          <w:rFonts w:ascii="Arial" w:hAnsi="Arial" w:cs="Arial"/>
        </w:rPr>
        <w:t>98</w:t>
      </w:r>
      <w:r w:rsidR="00A5539E" w:rsidRPr="00826530">
        <w:rPr>
          <w:rFonts w:ascii="Arial" w:hAnsi="Arial" w:cs="Arial"/>
        </w:rPr>
        <w:t xml:space="preserve"> GBM, </w:t>
      </w:r>
      <w:r w:rsidRPr="00826530">
        <w:rPr>
          <w:rFonts w:ascii="Arial" w:hAnsi="Arial" w:cs="Arial"/>
          <w:lang w:val="en-CA"/>
        </w:rPr>
        <w:t>2</w:t>
      </w:r>
      <w:r w:rsidR="00660294" w:rsidRPr="00826530">
        <w:rPr>
          <w:rFonts w:ascii="Arial" w:hAnsi="Arial" w:cs="Arial"/>
          <w:lang w:val="en-CA"/>
        </w:rPr>
        <w:t>2.1</w:t>
      </w:r>
      <w:r w:rsidRPr="00826530">
        <w:rPr>
          <w:rFonts w:ascii="Arial" w:hAnsi="Arial" w:cs="Arial"/>
          <w:lang w:val="en-CA"/>
        </w:rPr>
        <w:t xml:space="preserve">% reported </w:t>
      </w:r>
      <w:r w:rsidR="009D6392" w:rsidRPr="00826530">
        <w:rPr>
          <w:rFonts w:ascii="Arial" w:hAnsi="Arial" w:cs="Arial"/>
          <w:lang w:val="en-CA"/>
        </w:rPr>
        <w:t xml:space="preserve">ever </w:t>
      </w:r>
      <w:r w:rsidRPr="00826530">
        <w:rPr>
          <w:rFonts w:ascii="Arial" w:hAnsi="Arial" w:cs="Arial"/>
          <w:lang w:val="en-CA"/>
        </w:rPr>
        <w:t xml:space="preserve">receiving drugs, money, or goods for sex. </w:t>
      </w:r>
      <w:r w:rsidR="00A5539E" w:rsidRPr="00826530">
        <w:rPr>
          <w:rFonts w:ascii="Arial" w:hAnsi="Arial" w:cs="Arial"/>
          <w:lang w:val="en-CA"/>
        </w:rPr>
        <w:t xml:space="preserve">Transactional sex was more likely to be reported by GBM who were younger </w:t>
      </w:r>
      <w:r w:rsidR="00A5539E" w:rsidRPr="00826530">
        <w:rPr>
          <w:rFonts w:ascii="Arial" w:hAnsi="Arial" w:cs="Arial"/>
          <w:color w:val="000000" w:themeColor="text1"/>
        </w:rPr>
        <w:t>(</w:t>
      </w:r>
      <w:r w:rsidR="00A5539E" w:rsidRPr="00826530">
        <w:rPr>
          <w:rFonts w:ascii="Arial" w:hAnsi="Arial" w:cs="Arial"/>
        </w:rPr>
        <w:t>&lt;30</w:t>
      </w:r>
      <w:r w:rsidR="00F47044" w:rsidRPr="00826530">
        <w:rPr>
          <w:rFonts w:ascii="Arial" w:hAnsi="Arial" w:cs="Arial"/>
        </w:rPr>
        <w:t xml:space="preserve"> years</w:t>
      </w:r>
      <w:r w:rsidR="00A5539E" w:rsidRPr="00826530">
        <w:rPr>
          <w:rFonts w:ascii="Arial" w:hAnsi="Arial" w:cs="Arial"/>
        </w:rPr>
        <w:t>)</w:t>
      </w:r>
      <w:r w:rsidR="001850C4" w:rsidRPr="00826530">
        <w:rPr>
          <w:rFonts w:ascii="Arial" w:hAnsi="Arial" w:cs="Arial"/>
        </w:rPr>
        <w:t xml:space="preserve"> and who had lower incomes, less education, and insecure housing. GBM reporting transactional sex were more likely to report </w:t>
      </w:r>
      <w:r w:rsidR="00F47044" w:rsidRPr="00826530">
        <w:rPr>
          <w:rFonts w:ascii="Arial" w:hAnsi="Arial" w:cs="Arial"/>
        </w:rPr>
        <w:t>substance</w:t>
      </w:r>
      <w:r w:rsidR="001850C4" w:rsidRPr="00826530">
        <w:rPr>
          <w:rFonts w:ascii="Arial" w:hAnsi="Arial" w:cs="Arial"/>
        </w:rPr>
        <w:t xml:space="preserve"> use</w:t>
      </w:r>
      <w:r w:rsidR="00F47044" w:rsidRPr="00826530">
        <w:rPr>
          <w:rFonts w:ascii="Arial" w:hAnsi="Arial" w:cs="Arial"/>
        </w:rPr>
        <w:t xml:space="preserve"> (</w:t>
      </w:r>
      <w:r w:rsidR="001850C4" w:rsidRPr="00826530">
        <w:rPr>
          <w:rFonts w:ascii="Arial" w:hAnsi="Arial" w:cs="Arial"/>
        </w:rPr>
        <w:t xml:space="preserve">i.e., </w:t>
      </w:r>
      <w:r w:rsidR="00F47044" w:rsidRPr="00826530">
        <w:rPr>
          <w:rFonts w:ascii="Arial" w:hAnsi="Arial" w:cs="Arial"/>
        </w:rPr>
        <w:t>crystal methamphetamine, poppers, GHB, and non-steroid injection drugs)</w:t>
      </w:r>
      <w:r w:rsidR="001850C4" w:rsidRPr="00826530">
        <w:rPr>
          <w:rFonts w:ascii="Arial" w:hAnsi="Arial" w:cs="Arial"/>
        </w:rPr>
        <w:t xml:space="preserve"> and higher risk sexual behaviours (i.e., </w:t>
      </w:r>
      <w:r w:rsidR="00A5539E" w:rsidRPr="00826530">
        <w:rPr>
          <w:rFonts w:ascii="Arial" w:hAnsi="Arial" w:cs="Arial"/>
        </w:rPr>
        <w:t>more sex partners</w:t>
      </w:r>
      <w:r w:rsidR="00F47044" w:rsidRPr="00826530">
        <w:rPr>
          <w:rFonts w:ascii="Arial" w:hAnsi="Arial" w:cs="Arial"/>
        </w:rPr>
        <w:t>,</w:t>
      </w:r>
      <w:r w:rsidR="001850C4" w:rsidRPr="00826530">
        <w:rPr>
          <w:rFonts w:ascii="Arial" w:hAnsi="Arial" w:cs="Arial"/>
        </w:rPr>
        <w:t xml:space="preserve"> </w:t>
      </w:r>
      <w:r w:rsidR="00F47044" w:rsidRPr="00826530">
        <w:rPr>
          <w:rFonts w:ascii="Arial" w:hAnsi="Arial" w:cs="Arial"/>
        </w:rPr>
        <w:t>sex part</w:t>
      </w:r>
      <w:r w:rsidR="001850C4" w:rsidRPr="00826530">
        <w:rPr>
          <w:rFonts w:ascii="Arial" w:hAnsi="Arial" w:cs="Arial"/>
        </w:rPr>
        <w:t>y attendance</w:t>
      </w:r>
      <w:r w:rsidR="00EA08DB" w:rsidRPr="00826530">
        <w:rPr>
          <w:rFonts w:ascii="Arial" w:hAnsi="Arial" w:cs="Arial"/>
        </w:rPr>
        <w:t>, and</w:t>
      </w:r>
      <w:r w:rsidR="004E4A55" w:rsidRPr="00826530">
        <w:rPr>
          <w:rFonts w:ascii="Arial" w:hAnsi="Arial" w:cs="Arial"/>
        </w:rPr>
        <w:t xml:space="preserve"> </w:t>
      </w:r>
      <w:r w:rsidR="001850C4" w:rsidRPr="00826530">
        <w:rPr>
          <w:rFonts w:ascii="Arial" w:hAnsi="Arial" w:cs="Arial"/>
        </w:rPr>
        <w:t>condomless anal sex with serodifferent or unknown HIV status partners)</w:t>
      </w:r>
      <w:r w:rsidR="009D6836">
        <w:rPr>
          <w:rFonts w:ascii="Arial" w:hAnsi="Arial" w:cs="Arial"/>
        </w:rPr>
        <w:t>; however, they were no more likely to be living with HIV or to report a recent bacterial STI diagnosis.</w:t>
      </w:r>
      <w:r w:rsidR="004E4A55" w:rsidRPr="00826530">
        <w:rPr>
          <w:rFonts w:ascii="Arial" w:hAnsi="Arial" w:cs="Arial"/>
        </w:rPr>
        <w:t xml:space="preserve"> </w:t>
      </w:r>
      <w:r w:rsidR="00F47044" w:rsidRPr="00826530">
        <w:rPr>
          <w:rFonts w:ascii="Arial" w:hAnsi="Arial" w:cs="Arial"/>
        </w:rPr>
        <w:t xml:space="preserve">GBM who </w:t>
      </w:r>
      <w:r w:rsidR="00E1192E" w:rsidRPr="00826530">
        <w:rPr>
          <w:rFonts w:ascii="Arial" w:hAnsi="Arial" w:cs="Arial"/>
        </w:rPr>
        <w:t>report</w:t>
      </w:r>
      <w:r w:rsidR="00F47044" w:rsidRPr="00826530">
        <w:rPr>
          <w:rFonts w:ascii="Arial" w:hAnsi="Arial" w:cs="Arial"/>
        </w:rPr>
        <w:t>ed</w:t>
      </w:r>
      <w:r w:rsidR="00E1192E" w:rsidRPr="00826530">
        <w:rPr>
          <w:rFonts w:ascii="Arial" w:hAnsi="Arial" w:cs="Arial"/>
        </w:rPr>
        <w:t xml:space="preserve"> h</w:t>
      </w:r>
      <w:r w:rsidR="004E4A55" w:rsidRPr="00826530">
        <w:rPr>
          <w:rFonts w:ascii="Arial" w:hAnsi="Arial" w:cs="Arial"/>
        </w:rPr>
        <w:t>igher loneliness</w:t>
      </w:r>
      <w:r w:rsidR="00745AD6" w:rsidRPr="00826530">
        <w:rPr>
          <w:rFonts w:ascii="Arial" w:hAnsi="Arial" w:cs="Arial"/>
        </w:rPr>
        <w:t>, anxiety,</w:t>
      </w:r>
      <w:r w:rsidR="004E4A55" w:rsidRPr="00826530">
        <w:rPr>
          <w:rFonts w:ascii="Arial" w:hAnsi="Arial" w:cs="Arial"/>
        </w:rPr>
        <w:t xml:space="preserve"> and cognitive escape </w:t>
      </w:r>
      <w:r w:rsidR="00E1192E" w:rsidRPr="00826530">
        <w:rPr>
          <w:rFonts w:ascii="Arial" w:hAnsi="Arial" w:cs="Arial"/>
        </w:rPr>
        <w:t>w</w:t>
      </w:r>
      <w:r w:rsidR="00984466" w:rsidRPr="00826530">
        <w:rPr>
          <w:rFonts w:ascii="Arial" w:hAnsi="Arial" w:cs="Arial"/>
        </w:rPr>
        <w:t>ere</w:t>
      </w:r>
      <w:r w:rsidR="00F47044" w:rsidRPr="00826530">
        <w:rPr>
          <w:rFonts w:ascii="Arial" w:hAnsi="Arial" w:cs="Arial"/>
        </w:rPr>
        <w:t xml:space="preserve"> also more likely to report </w:t>
      </w:r>
      <w:r w:rsidR="00E1192E" w:rsidRPr="00826530">
        <w:rPr>
          <w:rFonts w:ascii="Arial" w:hAnsi="Arial" w:cs="Arial"/>
        </w:rPr>
        <w:t>transactional sex</w:t>
      </w:r>
      <w:r w:rsidR="004E4A55" w:rsidRPr="00826530">
        <w:rPr>
          <w:rFonts w:ascii="Arial" w:hAnsi="Arial" w:cs="Arial"/>
        </w:rPr>
        <w:t>.</w:t>
      </w:r>
    </w:p>
    <w:p w14:paraId="0E89C4C3" w14:textId="26DCA11E" w:rsidR="00A24968" w:rsidRPr="00826530" w:rsidRDefault="0078264D" w:rsidP="00F22BCF">
      <w:pPr>
        <w:spacing w:line="480" w:lineRule="auto"/>
        <w:rPr>
          <w:rFonts w:ascii="Arial" w:hAnsi="Arial" w:cs="Arial"/>
          <w:lang w:val="en-CA"/>
        </w:rPr>
      </w:pPr>
      <w:r w:rsidRPr="00826530">
        <w:rPr>
          <w:rFonts w:ascii="Arial" w:hAnsi="Arial" w:cs="Arial"/>
          <w:b/>
        </w:rPr>
        <w:t xml:space="preserve">Conclusions: </w:t>
      </w:r>
      <w:r w:rsidR="00F9504B" w:rsidRPr="00826530">
        <w:rPr>
          <w:rFonts w:ascii="Arial" w:hAnsi="Arial" w:cs="Arial"/>
          <w:bCs/>
        </w:rPr>
        <w:t>More than one-fifth of GBM in Vancouver reported transactional sex</w:t>
      </w:r>
      <w:r w:rsidR="00760CE3" w:rsidRPr="00826530">
        <w:rPr>
          <w:rFonts w:ascii="Arial" w:hAnsi="Arial" w:cs="Arial"/>
          <w:bCs/>
        </w:rPr>
        <w:t xml:space="preserve"> and those who did were more likely to also experience psychosocial stressors, increased substance use, and higher risk sexual behaviours. Programs which consider the </w:t>
      </w:r>
      <w:r w:rsidR="00760CE3" w:rsidRPr="00826530">
        <w:rPr>
          <w:rFonts w:ascii="Arial" w:hAnsi="Arial" w:cs="Arial"/>
          <w:bCs/>
        </w:rPr>
        <w:lastRenderedPageBreak/>
        <w:t>interconnections of personal, social, and structural challenges faced by GBM engaging in transactional sex are necessary to support improved mental, physical, and sexual health for these men.</w:t>
      </w:r>
    </w:p>
    <w:p w14:paraId="52DE12C6" w14:textId="360331BD" w:rsidR="00A24968" w:rsidRPr="00826530" w:rsidRDefault="00A24968" w:rsidP="00F22BCF">
      <w:pPr>
        <w:spacing w:line="480" w:lineRule="auto"/>
        <w:rPr>
          <w:rFonts w:ascii="Arial" w:hAnsi="Arial" w:cs="Arial"/>
        </w:rPr>
      </w:pPr>
      <w:r w:rsidRPr="00826530">
        <w:rPr>
          <w:rFonts w:ascii="Arial" w:hAnsi="Arial" w:cs="Arial"/>
          <w:b/>
          <w:iCs/>
        </w:rPr>
        <w:t>Key</w:t>
      </w:r>
      <w:r w:rsidR="00A1437F" w:rsidRPr="00826530">
        <w:rPr>
          <w:rFonts w:ascii="Arial" w:hAnsi="Arial" w:cs="Arial"/>
          <w:b/>
          <w:iCs/>
        </w:rPr>
        <w:t>w</w:t>
      </w:r>
      <w:r w:rsidRPr="00826530">
        <w:rPr>
          <w:rFonts w:ascii="Arial" w:hAnsi="Arial" w:cs="Arial"/>
          <w:b/>
          <w:iCs/>
        </w:rPr>
        <w:t>ords:</w:t>
      </w:r>
      <w:r w:rsidRPr="00826530">
        <w:rPr>
          <w:rFonts w:ascii="Arial" w:hAnsi="Arial" w:cs="Arial"/>
        </w:rPr>
        <w:t xml:space="preserve"> Transactional sex; Sex work; </w:t>
      </w:r>
      <w:r w:rsidR="000303C4" w:rsidRPr="00826530">
        <w:rPr>
          <w:rFonts w:ascii="Arial" w:hAnsi="Arial" w:cs="Arial"/>
        </w:rPr>
        <w:t>MSM;</w:t>
      </w:r>
      <w:r w:rsidRPr="00826530">
        <w:rPr>
          <w:rFonts w:ascii="Arial" w:hAnsi="Arial" w:cs="Arial"/>
        </w:rPr>
        <w:t xml:space="preserve"> </w:t>
      </w:r>
      <w:r w:rsidR="00E1192E" w:rsidRPr="00826530">
        <w:rPr>
          <w:rFonts w:ascii="Arial" w:hAnsi="Arial" w:cs="Arial"/>
        </w:rPr>
        <w:t>HIV</w:t>
      </w:r>
      <w:r w:rsidR="0078264D" w:rsidRPr="00826530">
        <w:rPr>
          <w:rFonts w:ascii="Arial" w:hAnsi="Arial" w:cs="Arial"/>
        </w:rPr>
        <w:t>;</w:t>
      </w:r>
      <w:r w:rsidR="00E1192E" w:rsidRPr="00826530">
        <w:rPr>
          <w:rFonts w:ascii="Arial" w:hAnsi="Arial" w:cs="Arial"/>
        </w:rPr>
        <w:t xml:space="preserve"> STI</w:t>
      </w:r>
    </w:p>
    <w:p w14:paraId="634C38CB" w14:textId="7E43E628" w:rsidR="006B0DFF" w:rsidRPr="00826530" w:rsidRDefault="006B0DFF" w:rsidP="00F22BCF">
      <w:pPr>
        <w:spacing w:line="480" w:lineRule="auto"/>
        <w:rPr>
          <w:rFonts w:ascii="Arial" w:hAnsi="Arial" w:cs="Arial"/>
        </w:rPr>
      </w:pPr>
    </w:p>
    <w:p w14:paraId="23271EE1" w14:textId="17A3A855" w:rsidR="00D40731" w:rsidRPr="00AB1ADA" w:rsidRDefault="00A6252F" w:rsidP="00F22BCF">
      <w:pPr>
        <w:spacing w:line="480" w:lineRule="auto"/>
        <w:rPr>
          <w:rFonts w:ascii="Arial" w:hAnsi="Arial" w:cs="Arial"/>
          <w:lang w:val="en-CA"/>
        </w:rPr>
      </w:pPr>
      <w:r w:rsidRPr="00826530">
        <w:rPr>
          <w:rFonts w:ascii="Arial" w:hAnsi="Arial" w:cs="Arial"/>
          <w:b/>
        </w:rPr>
        <w:t xml:space="preserve">Summary text for the Table of Contents: </w:t>
      </w:r>
      <w:r w:rsidR="00F46B01" w:rsidRPr="00826530">
        <w:rPr>
          <w:rFonts w:ascii="Arial" w:hAnsi="Arial" w:cs="Arial"/>
          <w:bCs/>
        </w:rPr>
        <w:t xml:space="preserve">More than </w:t>
      </w:r>
      <w:r w:rsidR="00F46B01" w:rsidRPr="00826530">
        <w:rPr>
          <w:rFonts w:ascii="Arial" w:hAnsi="Arial" w:cs="Arial"/>
        </w:rPr>
        <w:t>o</w:t>
      </w:r>
      <w:r w:rsidRPr="00826530">
        <w:rPr>
          <w:rFonts w:ascii="Arial" w:hAnsi="Arial" w:cs="Arial"/>
        </w:rPr>
        <w:t>ne-fifth of gay and bisexual men in this community-based sample</w:t>
      </w:r>
      <w:r w:rsidR="001A30CA" w:rsidRPr="00826530">
        <w:rPr>
          <w:rFonts w:ascii="Arial" w:hAnsi="Arial" w:cs="Arial"/>
        </w:rPr>
        <w:t xml:space="preserve"> in Vancouver, Canada</w:t>
      </w:r>
      <w:r w:rsidRPr="00826530">
        <w:rPr>
          <w:rFonts w:ascii="Arial" w:hAnsi="Arial" w:cs="Arial"/>
        </w:rPr>
        <w:t xml:space="preserve"> reported engaging in transactional sex </w:t>
      </w:r>
      <w:r w:rsidRPr="00826530">
        <w:rPr>
          <w:rFonts w:ascii="Arial" w:hAnsi="Arial" w:cs="Arial"/>
          <w:lang w:val="en-CA"/>
        </w:rPr>
        <w:t>(sex in exchange for drugs, money, or goods)</w:t>
      </w:r>
      <w:r w:rsidRPr="00826530">
        <w:rPr>
          <w:rFonts w:ascii="Arial" w:hAnsi="Arial" w:cs="Arial"/>
        </w:rPr>
        <w:t xml:space="preserve"> over </w:t>
      </w:r>
      <w:r w:rsidR="001850C4" w:rsidRPr="00826530">
        <w:rPr>
          <w:rFonts w:ascii="Arial" w:hAnsi="Arial" w:cs="Arial"/>
        </w:rPr>
        <w:t>the study period (2012-2019)</w:t>
      </w:r>
      <w:r w:rsidRPr="00826530">
        <w:rPr>
          <w:rFonts w:ascii="Arial" w:hAnsi="Arial" w:cs="Arial"/>
        </w:rPr>
        <w:t>. A variety of factors</w:t>
      </w:r>
      <w:r w:rsidR="00D65E20" w:rsidRPr="00826530">
        <w:rPr>
          <w:rFonts w:ascii="Arial" w:hAnsi="Arial" w:cs="Arial"/>
        </w:rPr>
        <w:t>,</w:t>
      </w:r>
      <w:r w:rsidRPr="00826530">
        <w:rPr>
          <w:rFonts w:ascii="Arial" w:hAnsi="Arial" w:cs="Arial"/>
        </w:rPr>
        <w:t xml:space="preserve"> including sexual behaviour, mental health, and substance use</w:t>
      </w:r>
      <w:r w:rsidR="00D65E20" w:rsidRPr="00826530">
        <w:rPr>
          <w:rFonts w:ascii="Arial" w:hAnsi="Arial" w:cs="Arial"/>
        </w:rPr>
        <w:t>,</w:t>
      </w:r>
      <w:r w:rsidRPr="00826530">
        <w:rPr>
          <w:rFonts w:ascii="Arial" w:hAnsi="Arial" w:cs="Arial"/>
        </w:rPr>
        <w:t xml:space="preserve"> were associated with transactional sex and, when considered together, likely contribute to increased HIV and STI risk. More holistic approaches are needed to support improved health and well-being for these men.</w:t>
      </w:r>
      <w:r w:rsidR="00D40731" w:rsidRPr="00826530">
        <w:rPr>
          <w:rFonts w:ascii="Arial" w:hAnsi="Arial" w:cs="Arial"/>
        </w:rPr>
        <w:br w:type="page"/>
      </w:r>
    </w:p>
    <w:p w14:paraId="00DDB43A" w14:textId="72E82CE1" w:rsidR="00DB768E" w:rsidRPr="00826530" w:rsidRDefault="00DB768E" w:rsidP="00DE7B59">
      <w:pPr>
        <w:spacing w:line="480" w:lineRule="auto"/>
        <w:jc w:val="center"/>
        <w:rPr>
          <w:rFonts w:ascii="Arial" w:hAnsi="Arial" w:cs="Arial"/>
          <w:b/>
          <w:bCs/>
          <w:color w:val="000000" w:themeColor="text1"/>
        </w:rPr>
      </w:pPr>
      <w:r w:rsidRPr="00826530">
        <w:rPr>
          <w:rFonts w:ascii="Arial" w:hAnsi="Arial" w:cs="Arial"/>
          <w:b/>
          <w:bCs/>
          <w:color w:val="000000" w:themeColor="text1"/>
        </w:rPr>
        <w:lastRenderedPageBreak/>
        <w:t>Introduction</w:t>
      </w:r>
    </w:p>
    <w:p w14:paraId="0E62D1F5" w14:textId="25CF11C1" w:rsidR="00841093" w:rsidRPr="00826530" w:rsidRDefault="00851673" w:rsidP="00841093">
      <w:pPr>
        <w:spacing w:line="480" w:lineRule="auto"/>
        <w:ind w:firstLine="720"/>
        <w:rPr>
          <w:rFonts w:ascii="Arial" w:hAnsi="Arial" w:cs="Arial"/>
        </w:rPr>
      </w:pPr>
      <w:r w:rsidRPr="00826530">
        <w:rPr>
          <w:rFonts w:ascii="Arial" w:hAnsi="Arial" w:cs="Arial"/>
        </w:rPr>
        <w:t>Gay</w:t>
      </w:r>
      <w:r w:rsidR="0078264D" w:rsidRPr="00826530">
        <w:rPr>
          <w:rFonts w:ascii="Arial" w:hAnsi="Arial" w:cs="Arial"/>
        </w:rPr>
        <w:t>,</w:t>
      </w:r>
      <w:r w:rsidRPr="00826530">
        <w:rPr>
          <w:rFonts w:ascii="Arial" w:hAnsi="Arial" w:cs="Arial"/>
        </w:rPr>
        <w:t xml:space="preserve"> bisexual</w:t>
      </w:r>
      <w:r w:rsidR="0078264D" w:rsidRPr="00826530">
        <w:rPr>
          <w:rFonts w:ascii="Arial" w:hAnsi="Arial" w:cs="Arial"/>
        </w:rPr>
        <w:t>, and other men who have sex with</w:t>
      </w:r>
      <w:r w:rsidRPr="00826530">
        <w:rPr>
          <w:rFonts w:ascii="Arial" w:hAnsi="Arial" w:cs="Arial"/>
        </w:rPr>
        <w:t xml:space="preserve"> men (GBM) are disproportionally affected by </w:t>
      </w:r>
      <w:r w:rsidR="009743CE" w:rsidRPr="00826530">
        <w:rPr>
          <w:rFonts w:ascii="Arial" w:hAnsi="Arial" w:cs="Arial"/>
        </w:rPr>
        <w:t>human immunodeficiency virus (</w:t>
      </w:r>
      <w:r w:rsidRPr="00826530">
        <w:rPr>
          <w:rFonts w:ascii="Arial" w:hAnsi="Arial" w:cs="Arial"/>
        </w:rPr>
        <w:t>HIV</w:t>
      </w:r>
      <w:r w:rsidR="009743CE" w:rsidRPr="00826530">
        <w:rPr>
          <w:rFonts w:ascii="Arial" w:hAnsi="Arial" w:cs="Arial"/>
        </w:rPr>
        <w:t>)</w:t>
      </w:r>
      <w:r w:rsidRPr="00826530">
        <w:rPr>
          <w:rFonts w:ascii="Arial" w:hAnsi="Arial" w:cs="Arial"/>
        </w:rPr>
        <w:t xml:space="preserve"> and other sexually transmitted infections</w:t>
      </w:r>
      <w:r w:rsidR="00470FEB" w:rsidRPr="00826530">
        <w:rPr>
          <w:rFonts w:ascii="Arial" w:hAnsi="Arial" w:cs="Arial"/>
        </w:rPr>
        <w:t xml:space="preserve"> (STI)</w:t>
      </w:r>
      <w:r w:rsidR="00472D8B" w:rsidRPr="00826530">
        <w:rPr>
          <w:rFonts w:ascii="Arial" w:hAnsi="Arial" w:cs="Arial"/>
          <w:color w:val="000000" w:themeColor="text1"/>
        </w:rPr>
        <w:t>.</w:t>
      </w:r>
      <w:r w:rsidR="001A30CA" w:rsidRPr="00826530">
        <w:rPr>
          <w:rFonts w:ascii="Arial" w:hAnsi="Arial" w:cs="Arial"/>
          <w:color w:val="000000" w:themeColor="text1"/>
          <w:vertAlign w:val="superscript"/>
        </w:rPr>
        <w:t>1,2</w:t>
      </w:r>
      <w:r w:rsidR="00472D8B" w:rsidRPr="00826530">
        <w:rPr>
          <w:rFonts w:ascii="Arial" w:hAnsi="Arial" w:cs="Arial"/>
          <w:color w:val="000000" w:themeColor="text1"/>
        </w:rPr>
        <w:t xml:space="preserve"> </w:t>
      </w:r>
      <w:r w:rsidRPr="00826530">
        <w:rPr>
          <w:rFonts w:ascii="Arial" w:hAnsi="Arial" w:cs="Arial"/>
        </w:rPr>
        <w:t>In 201</w:t>
      </w:r>
      <w:r w:rsidR="00472D8B" w:rsidRPr="00826530">
        <w:rPr>
          <w:rFonts w:ascii="Arial" w:hAnsi="Arial" w:cs="Arial"/>
        </w:rPr>
        <w:t>9</w:t>
      </w:r>
      <w:r w:rsidRPr="00826530">
        <w:rPr>
          <w:rFonts w:ascii="Arial" w:hAnsi="Arial" w:cs="Arial"/>
        </w:rPr>
        <w:t xml:space="preserve">, </w:t>
      </w:r>
      <w:r w:rsidR="00CA14B3" w:rsidRPr="00826530">
        <w:rPr>
          <w:rFonts w:ascii="Arial" w:hAnsi="Arial" w:cs="Arial"/>
        </w:rPr>
        <w:t>GBM in Canada</w:t>
      </w:r>
      <w:r w:rsidRPr="00826530">
        <w:rPr>
          <w:rFonts w:ascii="Arial" w:hAnsi="Arial" w:cs="Arial"/>
        </w:rPr>
        <w:t xml:space="preserve"> represent</w:t>
      </w:r>
      <w:r w:rsidR="00CA14B3" w:rsidRPr="00826530">
        <w:rPr>
          <w:rFonts w:ascii="Arial" w:hAnsi="Arial" w:cs="Arial"/>
        </w:rPr>
        <w:t>ed</w:t>
      </w:r>
      <w:r w:rsidRPr="00826530">
        <w:rPr>
          <w:rFonts w:ascii="Arial" w:hAnsi="Arial" w:cs="Arial"/>
        </w:rPr>
        <w:t xml:space="preserve"> </w:t>
      </w:r>
      <w:r w:rsidR="004C6CB7" w:rsidRPr="00826530">
        <w:rPr>
          <w:rFonts w:ascii="Arial" w:hAnsi="Arial" w:cs="Arial"/>
        </w:rPr>
        <w:t>43</w:t>
      </w:r>
      <w:r w:rsidR="00DE7B59" w:rsidRPr="00826530">
        <w:rPr>
          <w:rFonts w:ascii="Arial" w:hAnsi="Arial" w:cs="Arial"/>
        </w:rPr>
        <w:t>.</w:t>
      </w:r>
      <w:r w:rsidR="004C6CB7" w:rsidRPr="00826530">
        <w:rPr>
          <w:rFonts w:ascii="Arial" w:hAnsi="Arial" w:cs="Arial"/>
        </w:rPr>
        <w:t>1</w:t>
      </w:r>
      <w:r w:rsidRPr="00826530">
        <w:rPr>
          <w:rFonts w:ascii="Arial" w:hAnsi="Arial" w:cs="Arial"/>
        </w:rPr>
        <w:t>% of</w:t>
      </w:r>
      <w:r w:rsidR="00984466" w:rsidRPr="00826530">
        <w:rPr>
          <w:rFonts w:ascii="Arial" w:hAnsi="Arial" w:cs="Arial"/>
        </w:rPr>
        <w:t xml:space="preserve"> new</w:t>
      </w:r>
      <w:r w:rsidR="00DE7B59" w:rsidRPr="00826530">
        <w:rPr>
          <w:rFonts w:ascii="Arial" w:hAnsi="Arial" w:cs="Arial"/>
        </w:rPr>
        <w:t>ly diagnosed</w:t>
      </w:r>
      <w:r w:rsidR="00984466" w:rsidRPr="00826530">
        <w:rPr>
          <w:rFonts w:ascii="Arial" w:hAnsi="Arial" w:cs="Arial"/>
        </w:rPr>
        <w:t xml:space="preserve"> HIV</w:t>
      </w:r>
      <w:r w:rsidRPr="00826530">
        <w:rPr>
          <w:rFonts w:ascii="Arial" w:hAnsi="Arial" w:cs="Arial"/>
        </w:rPr>
        <w:t xml:space="preserve"> cases</w:t>
      </w:r>
      <w:r w:rsidR="00CA14B3" w:rsidRPr="00826530">
        <w:rPr>
          <w:rFonts w:ascii="Arial" w:hAnsi="Arial" w:cs="Arial"/>
        </w:rPr>
        <w:t>, the largest of any exposure group</w:t>
      </w:r>
      <w:r w:rsidR="00E401E4" w:rsidRPr="00826530">
        <w:rPr>
          <w:rFonts w:ascii="Arial" w:hAnsi="Arial" w:cs="Arial"/>
        </w:rPr>
        <w:t>,</w:t>
      </w:r>
      <w:r w:rsidR="001A30CA" w:rsidRPr="00826530">
        <w:rPr>
          <w:rFonts w:ascii="Arial" w:hAnsi="Arial" w:cs="Arial"/>
          <w:color w:val="000000" w:themeColor="text1"/>
          <w:vertAlign w:val="superscript"/>
        </w:rPr>
        <w:t xml:space="preserve"> 2</w:t>
      </w:r>
      <w:r w:rsidR="00984466" w:rsidRPr="00826530">
        <w:rPr>
          <w:rFonts w:ascii="Arial" w:hAnsi="Arial" w:cs="Arial"/>
        </w:rPr>
        <w:t xml:space="preserve"> </w:t>
      </w:r>
      <w:r w:rsidR="00E401E4" w:rsidRPr="00826530">
        <w:rPr>
          <w:rFonts w:ascii="Arial" w:hAnsi="Arial" w:cs="Arial"/>
        </w:rPr>
        <w:t>and w</w:t>
      </w:r>
      <w:r w:rsidRPr="00826530">
        <w:rPr>
          <w:rFonts w:ascii="Arial" w:hAnsi="Arial" w:cs="Arial"/>
        </w:rPr>
        <w:t>ithin the GBM community of Vancouver, Canada, the estimated prevalence of HIV is 23.4%.</w:t>
      </w:r>
      <w:r w:rsidR="001A30CA" w:rsidRPr="00826530">
        <w:rPr>
          <w:rFonts w:ascii="Arial" w:hAnsi="Arial" w:cs="Arial"/>
          <w:vertAlign w:val="superscript"/>
        </w:rPr>
        <w:t>3</w:t>
      </w:r>
      <w:r w:rsidRPr="00826530">
        <w:rPr>
          <w:rFonts w:ascii="Arial" w:hAnsi="Arial" w:cs="Arial"/>
        </w:rPr>
        <w:t xml:space="preserve"> </w:t>
      </w:r>
      <w:r w:rsidR="00DE7B59" w:rsidRPr="00826530">
        <w:rPr>
          <w:rFonts w:ascii="Arial" w:hAnsi="Arial" w:cs="Arial"/>
        </w:rPr>
        <w:t>Individuals who</w:t>
      </w:r>
      <w:r w:rsidRPr="00826530">
        <w:rPr>
          <w:rFonts w:ascii="Arial" w:hAnsi="Arial" w:cs="Arial"/>
        </w:rPr>
        <w:t xml:space="preserve"> engage in transactional sex</w:t>
      </w:r>
      <w:r w:rsidR="004C6CB7" w:rsidRPr="00826530">
        <w:rPr>
          <w:rFonts w:ascii="Arial" w:hAnsi="Arial" w:cs="Arial"/>
        </w:rPr>
        <w:t>,</w:t>
      </w:r>
      <w:r w:rsidR="005E1495" w:rsidRPr="00826530">
        <w:rPr>
          <w:rFonts w:ascii="Arial" w:hAnsi="Arial" w:cs="Arial"/>
        </w:rPr>
        <w:t xml:space="preserve"> commonly defined as the trading of money, goods, or drugs for sexual services</w:t>
      </w:r>
      <w:r w:rsidR="004C6CB7" w:rsidRPr="00826530">
        <w:rPr>
          <w:rFonts w:ascii="Arial" w:hAnsi="Arial" w:cs="Arial"/>
        </w:rPr>
        <w:t>,</w:t>
      </w:r>
      <w:r w:rsidR="00841093" w:rsidRPr="00826530">
        <w:rPr>
          <w:rFonts w:ascii="Arial" w:hAnsi="Arial" w:cs="Arial"/>
          <w:vertAlign w:val="superscript"/>
        </w:rPr>
        <w:t>4</w:t>
      </w:r>
      <w:r w:rsidR="004C6CB7" w:rsidRPr="00826530">
        <w:rPr>
          <w:rFonts w:ascii="Arial" w:hAnsi="Arial" w:cs="Arial"/>
        </w:rPr>
        <w:t xml:space="preserve"> </w:t>
      </w:r>
      <w:r w:rsidR="00CA14B3" w:rsidRPr="00826530">
        <w:rPr>
          <w:rFonts w:ascii="Arial" w:hAnsi="Arial" w:cs="Arial"/>
        </w:rPr>
        <w:t xml:space="preserve">are </w:t>
      </w:r>
      <w:r w:rsidR="00DE7B59" w:rsidRPr="00826530">
        <w:rPr>
          <w:rFonts w:ascii="Arial" w:hAnsi="Arial" w:cs="Arial"/>
        </w:rPr>
        <w:t xml:space="preserve">also </w:t>
      </w:r>
      <w:r w:rsidR="00CA14B3" w:rsidRPr="00826530">
        <w:rPr>
          <w:rFonts w:ascii="Arial" w:hAnsi="Arial" w:cs="Arial"/>
        </w:rPr>
        <w:t xml:space="preserve">at </w:t>
      </w:r>
      <w:r w:rsidR="00DE7B59" w:rsidRPr="00826530">
        <w:rPr>
          <w:rFonts w:ascii="Arial" w:hAnsi="Arial" w:cs="Arial"/>
        </w:rPr>
        <w:t>increased risk of</w:t>
      </w:r>
      <w:r w:rsidR="00CA14B3" w:rsidRPr="00826530">
        <w:rPr>
          <w:rFonts w:ascii="Arial" w:hAnsi="Arial" w:cs="Arial"/>
        </w:rPr>
        <w:t xml:space="preserve"> HIV</w:t>
      </w:r>
      <w:r w:rsidR="00DE7B59" w:rsidRPr="00826530">
        <w:rPr>
          <w:rFonts w:ascii="Arial" w:hAnsi="Arial" w:cs="Arial"/>
        </w:rPr>
        <w:t xml:space="preserve"> and STI transmission</w:t>
      </w:r>
      <w:r w:rsidRPr="00826530">
        <w:rPr>
          <w:rFonts w:ascii="Arial" w:hAnsi="Arial" w:cs="Arial"/>
        </w:rPr>
        <w:t>.</w:t>
      </w:r>
      <w:r w:rsidR="00841093" w:rsidRPr="00826530">
        <w:rPr>
          <w:rFonts w:ascii="Arial" w:hAnsi="Arial" w:cs="Arial"/>
          <w:vertAlign w:val="superscript"/>
        </w:rPr>
        <w:t>5</w:t>
      </w:r>
      <w:r w:rsidR="00CA14B3" w:rsidRPr="00826530">
        <w:rPr>
          <w:rFonts w:ascii="Arial" w:hAnsi="Arial" w:cs="Arial"/>
        </w:rPr>
        <w:t xml:space="preserve"> </w:t>
      </w:r>
      <w:r w:rsidR="00841093" w:rsidRPr="00826530">
        <w:rPr>
          <w:rFonts w:ascii="Arial" w:hAnsi="Arial" w:cs="Arial"/>
        </w:rPr>
        <w:t>Many factors</w:t>
      </w:r>
      <w:r w:rsidR="009054CE">
        <w:rPr>
          <w:rFonts w:ascii="Arial" w:hAnsi="Arial" w:cs="Arial"/>
        </w:rPr>
        <w:t>, including sexual behaviour and substance use, as well as psychosocial social factors such as loneliness, community connectedness, sensation seeking, cognitive escape, and symptoms of anxiety and depression,</w:t>
      </w:r>
      <w:r w:rsidR="00841093" w:rsidRPr="00826530">
        <w:rPr>
          <w:rFonts w:ascii="Arial" w:hAnsi="Arial" w:cs="Arial"/>
        </w:rPr>
        <w:t xml:space="preserve"> </w:t>
      </w:r>
      <w:r w:rsidR="009054CE">
        <w:rPr>
          <w:rFonts w:ascii="Arial" w:hAnsi="Arial" w:cs="Arial"/>
        </w:rPr>
        <w:t xml:space="preserve">that </w:t>
      </w:r>
      <w:r w:rsidR="00841093" w:rsidRPr="00826530">
        <w:rPr>
          <w:rFonts w:ascii="Arial" w:hAnsi="Arial" w:cs="Arial"/>
        </w:rPr>
        <w:t xml:space="preserve">may contribute to increased risk of HIV and other STIs among GBM may also be associated </w:t>
      </w:r>
      <w:r w:rsidR="00DD5346">
        <w:rPr>
          <w:rFonts w:ascii="Arial" w:hAnsi="Arial" w:cs="Arial"/>
        </w:rPr>
        <w:t xml:space="preserve">syndemically </w:t>
      </w:r>
      <w:r w:rsidR="00841093" w:rsidRPr="00826530">
        <w:rPr>
          <w:rFonts w:ascii="Arial" w:hAnsi="Arial" w:cs="Arial"/>
        </w:rPr>
        <w:t>with participating in transactional sex</w:t>
      </w:r>
      <w:r w:rsidR="00BF35A2" w:rsidRPr="00826530">
        <w:rPr>
          <w:rFonts w:ascii="Arial" w:hAnsi="Arial" w:cs="Arial"/>
        </w:rPr>
        <w:t xml:space="preserve">. </w:t>
      </w:r>
      <w:r w:rsidR="00841093" w:rsidRPr="00826530">
        <w:rPr>
          <w:rFonts w:ascii="Arial" w:hAnsi="Arial" w:cs="Arial"/>
        </w:rPr>
        <w:t xml:space="preserve"> </w:t>
      </w:r>
    </w:p>
    <w:p w14:paraId="11F324D5" w14:textId="5CE3ADA8" w:rsidR="0047086E" w:rsidRPr="00826530" w:rsidRDefault="00851673" w:rsidP="0047086E">
      <w:pPr>
        <w:spacing w:line="480" w:lineRule="auto"/>
        <w:ind w:firstLine="720"/>
        <w:rPr>
          <w:rFonts w:ascii="Arial" w:hAnsi="Arial" w:cs="Arial"/>
          <w:color w:val="000000" w:themeColor="text1"/>
        </w:rPr>
      </w:pPr>
      <w:r w:rsidRPr="00826530">
        <w:rPr>
          <w:rFonts w:ascii="Arial" w:hAnsi="Arial" w:cs="Arial"/>
          <w:color w:val="000000" w:themeColor="text1"/>
        </w:rPr>
        <w:t>While transactional sex is often thought of as escort work or prostitution, other exchange relationships also exist (e.g., sugar daddies/babies) and these can be casual or ongoing.</w:t>
      </w:r>
      <w:r w:rsidR="00C3297B" w:rsidRPr="00826530">
        <w:rPr>
          <w:rFonts w:ascii="Arial" w:hAnsi="Arial" w:cs="Arial"/>
          <w:color w:val="000000" w:themeColor="text1"/>
          <w:vertAlign w:val="superscript"/>
        </w:rPr>
        <w:t>6</w:t>
      </w:r>
      <w:r w:rsidR="00DB768E" w:rsidRPr="00826530">
        <w:rPr>
          <w:rFonts w:ascii="Arial" w:hAnsi="Arial" w:cs="Arial"/>
          <w:color w:val="000000" w:themeColor="text1"/>
        </w:rPr>
        <w:t xml:space="preserve"> </w:t>
      </w:r>
      <w:r w:rsidR="00F31142" w:rsidRPr="00826530">
        <w:rPr>
          <w:rFonts w:ascii="Arial" w:hAnsi="Arial" w:cs="Arial"/>
          <w:color w:val="000000" w:themeColor="text1"/>
        </w:rPr>
        <w:t>It is estimated that about 20-25% of adults engaged in sex work are men</w:t>
      </w:r>
      <w:r w:rsidR="00C3297B" w:rsidRPr="00826530">
        <w:rPr>
          <w:rFonts w:ascii="Arial" w:hAnsi="Arial" w:cs="Arial"/>
          <w:color w:val="000000" w:themeColor="text1"/>
          <w:vertAlign w:val="superscript"/>
        </w:rPr>
        <w:t>7</w:t>
      </w:r>
      <w:r w:rsidR="00F31142" w:rsidRPr="00826530">
        <w:rPr>
          <w:rFonts w:ascii="Arial" w:hAnsi="Arial" w:cs="Arial"/>
          <w:color w:val="000000" w:themeColor="text1"/>
        </w:rPr>
        <w:t xml:space="preserve"> and, </w:t>
      </w:r>
      <w:r w:rsidR="00105225" w:rsidRPr="00826530">
        <w:rPr>
          <w:rFonts w:ascii="Arial" w:hAnsi="Arial" w:cs="Arial"/>
          <w:color w:val="000000" w:themeColor="text1"/>
        </w:rPr>
        <w:t xml:space="preserve">while the majority </w:t>
      </w:r>
      <w:r w:rsidR="00984466" w:rsidRPr="00826530">
        <w:rPr>
          <w:rFonts w:ascii="Arial" w:hAnsi="Arial" w:cs="Arial"/>
          <w:color w:val="000000" w:themeColor="text1"/>
        </w:rPr>
        <w:t xml:space="preserve">of </w:t>
      </w:r>
      <w:r w:rsidR="005E1495" w:rsidRPr="00826530">
        <w:rPr>
          <w:rFonts w:ascii="Arial" w:hAnsi="Arial" w:cs="Arial"/>
          <w:color w:val="000000" w:themeColor="text1"/>
        </w:rPr>
        <w:t>their</w:t>
      </w:r>
      <w:r w:rsidR="00DB768E" w:rsidRPr="00826530">
        <w:rPr>
          <w:rFonts w:ascii="Arial" w:hAnsi="Arial" w:cs="Arial"/>
          <w:color w:val="000000" w:themeColor="text1"/>
        </w:rPr>
        <w:t xml:space="preserve"> clients </w:t>
      </w:r>
      <w:r w:rsidR="00C13294" w:rsidRPr="00826530">
        <w:rPr>
          <w:rFonts w:ascii="Arial" w:hAnsi="Arial" w:cs="Arial"/>
          <w:color w:val="000000" w:themeColor="text1"/>
        </w:rPr>
        <w:t xml:space="preserve">also </w:t>
      </w:r>
      <w:r w:rsidR="005E1495" w:rsidRPr="00826530">
        <w:rPr>
          <w:rFonts w:ascii="Arial" w:hAnsi="Arial" w:cs="Arial"/>
          <w:color w:val="000000" w:themeColor="text1"/>
        </w:rPr>
        <w:t>identify as</w:t>
      </w:r>
      <w:r w:rsidR="00DB768E" w:rsidRPr="00826530">
        <w:rPr>
          <w:rFonts w:ascii="Arial" w:hAnsi="Arial" w:cs="Arial"/>
          <w:color w:val="000000" w:themeColor="text1"/>
        </w:rPr>
        <w:t xml:space="preserve"> men, </w:t>
      </w:r>
      <w:r w:rsidR="005E1495" w:rsidRPr="00826530">
        <w:rPr>
          <w:rFonts w:ascii="Arial" w:hAnsi="Arial" w:cs="Arial"/>
          <w:color w:val="000000" w:themeColor="text1"/>
        </w:rPr>
        <w:t>research shows</w:t>
      </w:r>
      <w:r w:rsidR="00DB768E" w:rsidRPr="00826530">
        <w:rPr>
          <w:rFonts w:ascii="Arial" w:hAnsi="Arial" w:cs="Arial"/>
          <w:color w:val="000000" w:themeColor="text1"/>
        </w:rPr>
        <w:t xml:space="preserve"> most of these </w:t>
      </w:r>
      <w:r w:rsidR="00105225" w:rsidRPr="00826530">
        <w:rPr>
          <w:rFonts w:ascii="Arial" w:hAnsi="Arial" w:cs="Arial"/>
          <w:color w:val="000000" w:themeColor="text1"/>
        </w:rPr>
        <w:t>clients do not identify as gay or bisexual and ma</w:t>
      </w:r>
      <w:r w:rsidR="005E1495" w:rsidRPr="00826530">
        <w:rPr>
          <w:rFonts w:ascii="Arial" w:hAnsi="Arial" w:cs="Arial"/>
          <w:color w:val="000000" w:themeColor="text1"/>
        </w:rPr>
        <w:t>n</w:t>
      </w:r>
      <w:r w:rsidR="00105225" w:rsidRPr="00826530">
        <w:rPr>
          <w:rFonts w:ascii="Arial" w:hAnsi="Arial" w:cs="Arial"/>
          <w:color w:val="000000" w:themeColor="text1"/>
        </w:rPr>
        <w:t xml:space="preserve">y have </w:t>
      </w:r>
      <w:r w:rsidR="005E1495" w:rsidRPr="00826530">
        <w:rPr>
          <w:rFonts w:ascii="Arial" w:hAnsi="Arial" w:cs="Arial"/>
          <w:color w:val="000000" w:themeColor="text1"/>
        </w:rPr>
        <w:t>cis</w:t>
      </w:r>
      <w:r w:rsidR="004C6CB7" w:rsidRPr="00826530">
        <w:rPr>
          <w:rFonts w:ascii="Arial" w:hAnsi="Arial" w:cs="Arial"/>
          <w:color w:val="000000" w:themeColor="text1"/>
        </w:rPr>
        <w:t>gender</w:t>
      </w:r>
      <w:r w:rsidR="005E1495" w:rsidRPr="00826530">
        <w:rPr>
          <w:rFonts w:ascii="Arial" w:hAnsi="Arial" w:cs="Arial"/>
          <w:color w:val="000000" w:themeColor="text1"/>
        </w:rPr>
        <w:t xml:space="preserve"> women</w:t>
      </w:r>
      <w:r w:rsidR="00105225" w:rsidRPr="00826530">
        <w:rPr>
          <w:rFonts w:ascii="Arial" w:hAnsi="Arial" w:cs="Arial"/>
          <w:color w:val="000000" w:themeColor="text1"/>
        </w:rPr>
        <w:t xml:space="preserve"> </w:t>
      </w:r>
      <w:r w:rsidR="004C6CB7" w:rsidRPr="00826530">
        <w:rPr>
          <w:rFonts w:ascii="Arial" w:hAnsi="Arial" w:cs="Arial"/>
          <w:color w:val="000000" w:themeColor="text1"/>
        </w:rPr>
        <w:t xml:space="preserve">as their regular </w:t>
      </w:r>
      <w:r w:rsidR="00105225" w:rsidRPr="00826530">
        <w:rPr>
          <w:rFonts w:ascii="Arial" w:hAnsi="Arial" w:cs="Arial"/>
          <w:color w:val="000000" w:themeColor="text1"/>
        </w:rPr>
        <w:t>sex partners.</w:t>
      </w:r>
      <w:r w:rsidR="00C3297B" w:rsidRPr="00826530">
        <w:rPr>
          <w:rFonts w:ascii="Arial" w:hAnsi="Arial" w:cs="Arial"/>
          <w:color w:val="000000" w:themeColor="text1"/>
          <w:vertAlign w:val="superscript"/>
        </w:rPr>
        <w:t>8</w:t>
      </w:r>
      <w:r w:rsidR="00105225" w:rsidRPr="00826530">
        <w:rPr>
          <w:rFonts w:ascii="Arial" w:hAnsi="Arial" w:cs="Arial"/>
          <w:color w:val="000000" w:themeColor="text1"/>
        </w:rPr>
        <w:t xml:space="preserve"> </w:t>
      </w:r>
      <w:r w:rsidR="0047086E" w:rsidRPr="00826530">
        <w:rPr>
          <w:rFonts w:ascii="Arial" w:hAnsi="Arial" w:cs="Arial"/>
          <w:color w:val="000000" w:themeColor="text1"/>
        </w:rPr>
        <w:t>Further contributing to the challeng</w:t>
      </w:r>
      <w:r w:rsidR="00401C8C" w:rsidRPr="00826530">
        <w:rPr>
          <w:rFonts w:ascii="Arial" w:hAnsi="Arial" w:cs="Arial"/>
          <w:color w:val="000000" w:themeColor="text1"/>
        </w:rPr>
        <w:t>es</w:t>
      </w:r>
      <w:r w:rsidR="0047086E" w:rsidRPr="00826530">
        <w:rPr>
          <w:rFonts w:ascii="Arial" w:hAnsi="Arial" w:cs="Arial"/>
          <w:color w:val="000000" w:themeColor="text1"/>
        </w:rPr>
        <w:t xml:space="preserve"> of stud</w:t>
      </w:r>
      <w:r w:rsidR="00F65202" w:rsidRPr="00826530">
        <w:rPr>
          <w:rFonts w:ascii="Arial" w:hAnsi="Arial" w:cs="Arial"/>
          <w:color w:val="000000" w:themeColor="text1"/>
        </w:rPr>
        <w:t>y</w:t>
      </w:r>
      <w:r w:rsidR="0047086E" w:rsidRPr="00826530">
        <w:rPr>
          <w:rFonts w:ascii="Arial" w:hAnsi="Arial" w:cs="Arial"/>
          <w:color w:val="000000" w:themeColor="text1"/>
        </w:rPr>
        <w:t>ing and understanding transactional sex</w:t>
      </w:r>
      <w:r w:rsidR="00F65202" w:rsidRPr="00826530">
        <w:rPr>
          <w:rFonts w:ascii="Arial" w:hAnsi="Arial" w:cs="Arial"/>
          <w:color w:val="000000" w:themeColor="text1"/>
        </w:rPr>
        <w:t xml:space="preserve"> among GBM</w:t>
      </w:r>
      <w:r w:rsidR="0047086E" w:rsidRPr="00826530">
        <w:rPr>
          <w:rFonts w:ascii="Arial" w:hAnsi="Arial" w:cs="Arial"/>
          <w:color w:val="000000" w:themeColor="text1"/>
        </w:rPr>
        <w:t xml:space="preserve"> are high levels of stigma</w:t>
      </w:r>
      <w:r w:rsidR="00C3297B" w:rsidRPr="00826530">
        <w:rPr>
          <w:rFonts w:ascii="Arial" w:hAnsi="Arial" w:cs="Arial"/>
          <w:color w:val="000000" w:themeColor="text1"/>
          <w:vertAlign w:val="superscript"/>
        </w:rPr>
        <w:t>9</w:t>
      </w:r>
      <w:r w:rsidR="00F65202" w:rsidRPr="00826530">
        <w:rPr>
          <w:rFonts w:ascii="Arial" w:hAnsi="Arial" w:cs="Arial"/>
          <w:color w:val="000000" w:themeColor="text1"/>
        </w:rPr>
        <w:t xml:space="preserve"> which consequently mean that </w:t>
      </w:r>
      <w:r w:rsidR="0047086E" w:rsidRPr="00826530">
        <w:rPr>
          <w:rFonts w:ascii="Arial" w:hAnsi="Arial" w:cs="Arial"/>
          <w:color w:val="000000" w:themeColor="text1"/>
        </w:rPr>
        <w:t>GBM who engage in transactional sex rarely identify as sex workers.</w:t>
      </w:r>
      <w:r w:rsidR="00C3297B" w:rsidRPr="00826530">
        <w:rPr>
          <w:rFonts w:ascii="Arial" w:hAnsi="Arial" w:cs="Arial"/>
          <w:color w:val="000000" w:themeColor="text1"/>
          <w:vertAlign w:val="superscript"/>
        </w:rPr>
        <w:t>8</w:t>
      </w:r>
      <w:r w:rsidR="00F65202" w:rsidRPr="00826530">
        <w:rPr>
          <w:rFonts w:ascii="Arial" w:hAnsi="Arial" w:cs="Arial"/>
          <w:color w:val="000000" w:themeColor="text1"/>
        </w:rPr>
        <w:t xml:space="preserve"> Given these challenges, for the present study, we consider transactional sex as an umbrella term which includes all manner of formal and informal arrangements and </w:t>
      </w:r>
      <w:r w:rsidR="00F65202" w:rsidRPr="00826530">
        <w:rPr>
          <w:rFonts w:ascii="Arial" w:hAnsi="Arial" w:cs="Arial"/>
          <w:color w:val="000000" w:themeColor="text1"/>
        </w:rPr>
        <w:lastRenderedPageBreak/>
        <w:t>we employ a behavioural definition of having received</w:t>
      </w:r>
      <w:r w:rsidR="00406A00" w:rsidRPr="00826530">
        <w:rPr>
          <w:rFonts w:ascii="Arial" w:hAnsi="Arial" w:cs="Arial"/>
          <w:color w:val="000000" w:themeColor="text1"/>
        </w:rPr>
        <w:t>,</w:t>
      </w:r>
      <w:r w:rsidR="00F65202" w:rsidRPr="00826530">
        <w:rPr>
          <w:rFonts w:ascii="Arial" w:hAnsi="Arial" w:cs="Arial"/>
          <w:color w:val="000000" w:themeColor="text1"/>
        </w:rPr>
        <w:t xml:space="preserve"> or having received and given</w:t>
      </w:r>
      <w:r w:rsidR="00406A00" w:rsidRPr="00826530">
        <w:rPr>
          <w:rFonts w:ascii="Arial" w:hAnsi="Arial" w:cs="Arial"/>
          <w:color w:val="000000" w:themeColor="text1"/>
        </w:rPr>
        <w:t>,</w:t>
      </w:r>
      <w:r w:rsidR="00F65202" w:rsidRPr="00826530">
        <w:rPr>
          <w:rFonts w:ascii="Arial" w:hAnsi="Arial" w:cs="Arial"/>
          <w:color w:val="000000" w:themeColor="text1"/>
        </w:rPr>
        <w:t xml:space="preserve"> any type of goods, drugs, or money in exchange for sex. </w:t>
      </w:r>
    </w:p>
    <w:p w14:paraId="65356F12" w14:textId="296A1DB9" w:rsidR="00C62EE6" w:rsidRPr="00826530" w:rsidRDefault="00C2145C" w:rsidP="008A4227">
      <w:pPr>
        <w:spacing w:line="480" w:lineRule="auto"/>
        <w:ind w:firstLine="720"/>
        <w:rPr>
          <w:rFonts w:ascii="Arial" w:hAnsi="Arial" w:cs="Arial"/>
          <w:color w:val="ED7D31" w:themeColor="accent2"/>
        </w:rPr>
      </w:pPr>
      <w:r w:rsidRPr="00826530">
        <w:rPr>
          <w:rFonts w:ascii="Arial" w:hAnsi="Arial" w:cs="Arial"/>
          <w:color w:val="000000" w:themeColor="text1"/>
        </w:rPr>
        <w:t>Among GBM, s</w:t>
      </w:r>
      <w:r w:rsidR="005573E7" w:rsidRPr="00826530">
        <w:rPr>
          <w:rFonts w:ascii="Arial" w:hAnsi="Arial" w:cs="Arial"/>
          <w:color w:val="000000" w:themeColor="text1"/>
        </w:rPr>
        <w:t xml:space="preserve">everal studies have shown that there are multiple interrelated factors, such as </w:t>
      </w:r>
      <w:r w:rsidR="006B63E6" w:rsidRPr="00826530">
        <w:rPr>
          <w:rFonts w:ascii="Arial" w:hAnsi="Arial" w:cs="Arial"/>
          <w:color w:val="000000" w:themeColor="text1"/>
        </w:rPr>
        <w:t xml:space="preserve">social inequities, </w:t>
      </w:r>
      <w:r w:rsidR="005573E7" w:rsidRPr="00826530">
        <w:rPr>
          <w:rFonts w:ascii="Arial" w:hAnsi="Arial" w:cs="Arial"/>
          <w:color w:val="000000" w:themeColor="text1"/>
        </w:rPr>
        <w:t>substance use, mental health</w:t>
      </w:r>
      <w:r w:rsidR="00DD5484">
        <w:rPr>
          <w:rFonts w:ascii="Arial" w:hAnsi="Arial" w:cs="Arial"/>
          <w:color w:val="000000" w:themeColor="text1"/>
        </w:rPr>
        <w:t xml:space="preserve"> (e.g., anxiety and depression)</w:t>
      </w:r>
      <w:r w:rsidR="005573E7" w:rsidRPr="00826530">
        <w:rPr>
          <w:rFonts w:ascii="Arial" w:hAnsi="Arial" w:cs="Arial"/>
          <w:color w:val="000000" w:themeColor="text1"/>
        </w:rPr>
        <w:t>,</w:t>
      </w:r>
      <w:r w:rsidR="00DD5484">
        <w:rPr>
          <w:rFonts w:ascii="Arial" w:hAnsi="Arial" w:cs="Arial"/>
          <w:color w:val="000000" w:themeColor="text1"/>
        </w:rPr>
        <w:t xml:space="preserve"> psychosocial factors (e.g., loneliness, cognitive escape, sensation seeking),</w:t>
      </w:r>
      <w:r w:rsidR="005573E7" w:rsidRPr="00826530">
        <w:rPr>
          <w:rFonts w:ascii="Arial" w:hAnsi="Arial" w:cs="Arial"/>
          <w:color w:val="000000" w:themeColor="text1"/>
        </w:rPr>
        <w:t xml:space="preserve"> and behavioural </w:t>
      </w:r>
      <w:r w:rsidR="006B63E6" w:rsidRPr="00826530">
        <w:rPr>
          <w:rFonts w:ascii="Arial" w:hAnsi="Arial" w:cs="Arial"/>
          <w:color w:val="000000" w:themeColor="text1"/>
        </w:rPr>
        <w:t xml:space="preserve">HIV and STI </w:t>
      </w:r>
      <w:r w:rsidR="005573E7" w:rsidRPr="00826530">
        <w:rPr>
          <w:rFonts w:ascii="Arial" w:hAnsi="Arial" w:cs="Arial"/>
          <w:color w:val="000000" w:themeColor="text1"/>
        </w:rPr>
        <w:t xml:space="preserve">risk, </w:t>
      </w:r>
      <w:r w:rsidRPr="00826530">
        <w:rPr>
          <w:rFonts w:ascii="Arial" w:hAnsi="Arial" w:cs="Arial"/>
          <w:color w:val="000000" w:themeColor="text1"/>
        </w:rPr>
        <w:t>that</w:t>
      </w:r>
      <w:r w:rsidR="005573E7" w:rsidRPr="00826530">
        <w:rPr>
          <w:rFonts w:ascii="Arial" w:hAnsi="Arial" w:cs="Arial"/>
          <w:color w:val="000000" w:themeColor="text1"/>
        </w:rPr>
        <w:t xml:space="preserve"> are associated with transactional sex.</w:t>
      </w:r>
      <w:r w:rsidR="00F2590B"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0</w:t>
      </w:r>
      <w:r w:rsidR="00F2590B"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5</w:t>
      </w:r>
      <w:r w:rsidR="005573E7" w:rsidRPr="00826530">
        <w:rPr>
          <w:rFonts w:ascii="Arial" w:hAnsi="Arial" w:cs="Arial"/>
          <w:color w:val="000000" w:themeColor="text1"/>
        </w:rPr>
        <w:t xml:space="preserve"> In a large</w:t>
      </w:r>
      <w:r w:rsidR="006B63E6" w:rsidRPr="00826530">
        <w:rPr>
          <w:rFonts w:ascii="Arial" w:hAnsi="Arial" w:cs="Arial"/>
          <w:color w:val="000000" w:themeColor="text1"/>
        </w:rPr>
        <w:t>,</w:t>
      </w:r>
      <w:r w:rsidR="005573E7" w:rsidRPr="00826530">
        <w:rPr>
          <w:rFonts w:ascii="Arial" w:hAnsi="Arial" w:cs="Arial"/>
          <w:color w:val="000000" w:themeColor="text1"/>
        </w:rPr>
        <w:t xml:space="preserve"> multi-site U.S. study of 8411 GBM, 7% reported transactional sex and those who </w:t>
      </w:r>
      <w:r w:rsidR="00131DE3" w:rsidRPr="00826530">
        <w:rPr>
          <w:rFonts w:ascii="Arial" w:hAnsi="Arial" w:cs="Arial"/>
          <w:color w:val="000000" w:themeColor="text1"/>
        </w:rPr>
        <w:t>did so</w:t>
      </w:r>
      <w:r w:rsidR="005573E7" w:rsidRPr="00826530">
        <w:rPr>
          <w:rFonts w:ascii="Arial" w:hAnsi="Arial" w:cs="Arial"/>
          <w:color w:val="000000" w:themeColor="text1"/>
        </w:rPr>
        <w:t xml:space="preserve"> were more likely to </w:t>
      </w:r>
      <w:r w:rsidR="00131DE3" w:rsidRPr="00826530">
        <w:rPr>
          <w:rFonts w:ascii="Arial" w:hAnsi="Arial" w:cs="Arial"/>
          <w:color w:val="000000" w:themeColor="text1"/>
        </w:rPr>
        <w:t>identify as</w:t>
      </w:r>
      <w:r w:rsidR="005573E7" w:rsidRPr="00826530">
        <w:rPr>
          <w:rFonts w:ascii="Arial" w:hAnsi="Arial" w:cs="Arial"/>
          <w:color w:val="000000" w:themeColor="text1"/>
        </w:rPr>
        <w:t xml:space="preserve"> Black, </w:t>
      </w:r>
      <w:r w:rsidR="00677E12" w:rsidRPr="00826530">
        <w:rPr>
          <w:rFonts w:ascii="Arial" w:hAnsi="Arial" w:cs="Arial"/>
          <w:color w:val="000000" w:themeColor="text1"/>
        </w:rPr>
        <w:t xml:space="preserve">be living </w:t>
      </w:r>
      <w:r w:rsidR="00BF35A2" w:rsidRPr="00826530">
        <w:rPr>
          <w:rFonts w:ascii="Arial" w:hAnsi="Arial" w:cs="Arial"/>
          <w:color w:val="000000" w:themeColor="text1"/>
        </w:rPr>
        <w:t xml:space="preserve">in </w:t>
      </w:r>
      <w:r w:rsidR="005573E7" w:rsidRPr="00826530">
        <w:rPr>
          <w:rFonts w:ascii="Arial" w:hAnsi="Arial" w:cs="Arial"/>
          <w:color w:val="000000" w:themeColor="text1"/>
        </w:rPr>
        <w:t>poverty, use</w:t>
      </w:r>
      <w:r w:rsidR="00677E12" w:rsidRPr="00826530">
        <w:rPr>
          <w:rFonts w:ascii="Arial" w:hAnsi="Arial" w:cs="Arial"/>
          <w:color w:val="000000" w:themeColor="text1"/>
        </w:rPr>
        <w:t xml:space="preserve"> substances</w:t>
      </w:r>
      <w:r w:rsidR="005573E7" w:rsidRPr="00826530">
        <w:rPr>
          <w:rFonts w:ascii="Arial" w:hAnsi="Arial" w:cs="Arial"/>
          <w:color w:val="000000" w:themeColor="text1"/>
        </w:rPr>
        <w:t>,</w:t>
      </w:r>
      <w:r w:rsidR="00677E12" w:rsidRPr="00826530">
        <w:rPr>
          <w:rFonts w:ascii="Arial" w:hAnsi="Arial" w:cs="Arial"/>
          <w:color w:val="000000" w:themeColor="text1"/>
        </w:rPr>
        <w:t xml:space="preserve"> report </w:t>
      </w:r>
      <w:r w:rsidR="009743CE" w:rsidRPr="00826530">
        <w:rPr>
          <w:rFonts w:ascii="Arial" w:hAnsi="Arial" w:cs="Arial"/>
          <w:color w:val="000000" w:themeColor="text1"/>
        </w:rPr>
        <w:t>condomless anal sex (</w:t>
      </w:r>
      <w:r w:rsidR="00677E12" w:rsidRPr="00826530">
        <w:rPr>
          <w:rFonts w:ascii="Arial" w:hAnsi="Arial" w:cs="Arial"/>
          <w:color w:val="000000" w:themeColor="text1"/>
        </w:rPr>
        <w:t>CAS</w:t>
      </w:r>
      <w:r w:rsidR="009743CE" w:rsidRPr="00826530">
        <w:rPr>
          <w:rFonts w:ascii="Arial" w:hAnsi="Arial" w:cs="Arial"/>
          <w:color w:val="000000" w:themeColor="text1"/>
        </w:rPr>
        <w:t>)</w:t>
      </w:r>
      <w:r w:rsidR="00677E12" w:rsidRPr="00826530">
        <w:rPr>
          <w:rFonts w:ascii="Arial" w:hAnsi="Arial" w:cs="Arial"/>
          <w:color w:val="000000" w:themeColor="text1"/>
        </w:rPr>
        <w:t xml:space="preserve"> with multiple partners, be living with HIV</w:t>
      </w:r>
      <w:r w:rsidR="009743CE" w:rsidRPr="00826530">
        <w:rPr>
          <w:rFonts w:ascii="Arial" w:hAnsi="Arial" w:cs="Arial"/>
          <w:color w:val="000000" w:themeColor="text1"/>
        </w:rPr>
        <w:t xml:space="preserve"> (both aware and unaware of their status)</w:t>
      </w:r>
      <w:r w:rsidR="00677E12" w:rsidRPr="00826530">
        <w:rPr>
          <w:rFonts w:ascii="Arial" w:hAnsi="Arial" w:cs="Arial"/>
          <w:color w:val="000000" w:themeColor="text1"/>
        </w:rPr>
        <w:t>, and be</w:t>
      </w:r>
      <w:r w:rsidR="005573E7" w:rsidRPr="00826530">
        <w:rPr>
          <w:rFonts w:ascii="Arial" w:hAnsi="Arial" w:cs="Arial"/>
          <w:color w:val="000000" w:themeColor="text1"/>
        </w:rPr>
        <w:t xml:space="preserve"> </w:t>
      </w:r>
      <w:r w:rsidR="00677E12" w:rsidRPr="00826530">
        <w:rPr>
          <w:rFonts w:ascii="Arial" w:hAnsi="Arial" w:cs="Arial"/>
          <w:color w:val="000000" w:themeColor="text1"/>
        </w:rPr>
        <w:t>living with HIV but unaware of their status</w:t>
      </w:r>
      <w:r w:rsidR="005573E7" w:rsidRPr="00826530">
        <w:rPr>
          <w:rFonts w:ascii="Arial" w:hAnsi="Arial" w:cs="Arial"/>
          <w:color w:val="000000" w:themeColor="text1"/>
        </w:rPr>
        <w:t>.</w:t>
      </w:r>
      <w:r w:rsidR="00F2590B"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4</w:t>
      </w:r>
      <w:r w:rsidR="00677E12" w:rsidRPr="00826530">
        <w:rPr>
          <w:rFonts w:ascii="Arial" w:hAnsi="Arial" w:cs="Arial"/>
          <w:color w:val="ED7D31" w:themeColor="accent2"/>
        </w:rPr>
        <w:t xml:space="preserve"> </w:t>
      </w:r>
      <w:r w:rsidR="00677E12" w:rsidRPr="00826530">
        <w:rPr>
          <w:rFonts w:ascii="Arial" w:hAnsi="Arial" w:cs="Arial"/>
          <w:color w:val="000000" w:themeColor="text1"/>
        </w:rPr>
        <w:t>Likewise, i</w:t>
      </w:r>
      <w:r w:rsidR="0034467F" w:rsidRPr="00826530">
        <w:rPr>
          <w:rFonts w:ascii="Arial" w:hAnsi="Arial" w:cs="Arial"/>
          <w:color w:val="000000" w:themeColor="text1"/>
        </w:rPr>
        <w:t>n a longitudinal study of 722 U.S. GBM living with HIV, 8% reported recent transactional sex</w:t>
      </w:r>
      <w:r w:rsidR="003255B2" w:rsidRPr="00826530">
        <w:rPr>
          <w:rFonts w:ascii="Arial" w:hAnsi="Arial" w:cs="Arial"/>
          <w:color w:val="000000" w:themeColor="text1"/>
        </w:rPr>
        <w:t xml:space="preserve"> and</w:t>
      </w:r>
      <w:r w:rsidR="0034467F" w:rsidRPr="00826530">
        <w:rPr>
          <w:rFonts w:ascii="Arial" w:hAnsi="Arial" w:cs="Arial"/>
          <w:color w:val="000000" w:themeColor="text1"/>
        </w:rPr>
        <w:t xml:space="preserve"> </w:t>
      </w:r>
      <w:r w:rsidR="003255B2" w:rsidRPr="00826530">
        <w:rPr>
          <w:rFonts w:ascii="Arial" w:hAnsi="Arial" w:cs="Arial"/>
          <w:color w:val="000000" w:themeColor="text1"/>
        </w:rPr>
        <w:t>r</w:t>
      </w:r>
      <w:r w:rsidR="0034467F" w:rsidRPr="00826530">
        <w:rPr>
          <w:rFonts w:ascii="Arial" w:hAnsi="Arial" w:cs="Arial"/>
          <w:color w:val="000000" w:themeColor="text1"/>
        </w:rPr>
        <w:t>esults from this study indicated that transactional sex was associated with Black (vs. White) race, young</w:t>
      </w:r>
      <w:r w:rsidR="00677E12" w:rsidRPr="00826530">
        <w:rPr>
          <w:rFonts w:ascii="Arial" w:hAnsi="Arial" w:cs="Arial"/>
          <w:color w:val="000000" w:themeColor="text1"/>
        </w:rPr>
        <w:t>er</w:t>
      </w:r>
      <w:r w:rsidR="0034467F" w:rsidRPr="00826530">
        <w:rPr>
          <w:rFonts w:ascii="Arial" w:hAnsi="Arial" w:cs="Arial"/>
          <w:color w:val="000000" w:themeColor="text1"/>
        </w:rPr>
        <w:t xml:space="preserve"> age, lower income, and increased levels of intimate partner violence, substance use, and depression.</w:t>
      </w:r>
      <w:r w:rsidR="003255B2" w:rsidRPr="00826530">
        <w:rPr>
          <w:rFonts w:ascii="Arial" w:hAnsi="Arial" w:cs="Arial"/>
          <w:color w:val="000000" w:themeColor="text1"/>
          <w:vertAlign w:val="superscript"/>
        </w:rPr>
        <w:t>15</w:t>
      </w:r>
      <w:r w:rsidR="0034467F" w:rsidRPr="00826530">
        <w:rPr>
          <w:rFonts w:ascii="Arial" w:hAnsi="Arial" w:cs="Arial"/>
          <w:color w:val="000000" w:themeColor="text1"/>
        </w:rPr>
        <w:t xml:space="preserve"> </w:t>
      </w:r>
      <w:r w:rsidR="00677E12" w:rsidRPr="00826530">
        <w:rPr>
          <w:rFonts w:ascii="Arial" w:hAnsi="Arial" w:cs="Arial"/>
          <w:color w:val="000000" w:themeColor="text1"/>
        </w:rPr>
        <w:t xml:space="preserve">Taken together, results from these studies show that there are multiple, overlapping epidemics </w:t>
      </w:r>
      <w:r w:rsidR="007D2AF7" w:rsidRPr="00826530">
        <w:rPr>
          <w:rFonts w:ascii="Arial" w:hAnsi="Arial" w:cs="Arial"/>
          <w:color w:val="000000" w:themeColor="text1"/>
        </w:rPr>
        <w:t xml:space="preserve">which work together syndemically to </w:t>
      </w:r>
      <w:r w:rsidR="00677E12" w:rsidRPr="00826530">
        <w:rPr>
          <w:rFonts w:ascii="Arial" w:hAnsi="Arial" w:cs="Arial"/>
          <w:color w:val="000000" w:themeColor="text1"/>
        </w:rPr>
        <w:t xml:space="preserve">increase vulnerability to each concurrent negative health outcome </w:t>
      </w:r>
      <w:r w:rsidR="00BF35A2" w:rsidRPr="00826530">
        <w:rPr>
          <w:rFonts w:ascii="Arial" w:hAnsi="Arial" w:cs="Arial"/>
          <w:color w:val="000000" w:themeColor="text1"/>
        </w:rPr>
        <w:t xml:space="preserve">for GBM </w:t>
      </w:r>
      <w:r w:rsidR="00677E12" w:rsidRPr="00826530">
        <w:rPr>
          <w:rFonts w:ascii="Arial" w:hAnsi="Arial" w:cs="Arial"/>
          <w:color w:val="000000" w:themeColor="text1"/>
        </w:rPr>
        <w:t xml:space="preserve">and as such, are best considered within a syndemic framework. Further, it has been shown that </w:t>
      </w:r>
      <w:r w:rsidR="0034467F" w:rsidRPr="00826530">
        <w:rPr>
          <w:rFonts w:ascii="Arial" w:hAnsi="Arial" w:cs="Arial"/>
          <w:color w:val="000000" w:themeColor="text1"/>
        </w:rPr>
        <w:t xml:space="preserve">the more syndemic factors </w:t>
      </w:r>
      <w:r w:rsidR="00BF35A2" w:rsidRPr="00826530">
        <w:rPr>
          <w:rFonts w:ascii="Arial" w:hAnsi="Arial" w:cs="Arial"/>
          <w:color w:val="000000" w:themeColor="text1"/>
        </w:rPr>
        <w:t>GBM</w:t>
      </w:r>
      <w:r w:rsidRPr="00826530">
        <w:rPr>
          <w:rFonts w:ascii="Arial" w:hAnsi="Arial" w:cs="Arial"/>
          <w:color w:val="000000" w:themeColor="text1"/>
        </w:rPr>
        <w:t xml:space="preserve"> </w:t>
      </w:r>
      <w:r w:rsidR="0034467F" w:rsidRPr="00826530">
        <w:rPr>
          <w:rFonts w:ascii="Arial" w:hAnsi="Arial" w:cs="Arial"/>
          <w:color w:val="000000" w:themeColor="text1"/>
        </w:rPr>
        <w:t>ha</w:t>
      </w:r>
      <w:r w:rsidR="00677E12" w:rsidRPr="00826530">
        <w:rPr>
          <w:rFonts w:ascii="Arial" w:hAnsi="Arial" w:cs="Arial"/>
          <w:color w:val="000000" w:themeColor="text1"/>
        </w:rPr>
        <w:t>d</w:t>
      </w:r>
      <w:r w:rsidR="0034467F" w:rsidRPr="00826530">
        <w:rPr>
          <w:rFonts w:ascii="Arial" w:hAnsi="Arial" w:cs="Arial"/>
          <w:color w:val="000000" w:themeColor="text1"/>
        </w:rPr>
        <w:t>, the more likely they were to also report recent transactional sex.</w:t>
      </w:r>
      <w:r w:rsidR="00F2590B"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0</w:t>
      </w:r>
      <w:r w:rsidR="00F2590B"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5</w:t>
      </w:r>
      <w:r w:rsidR="0034467F" w:rsidRPr="00826530">
        <w:rPr>
          <w:rFonts w:ascii="Arial" w:hAnsi="Arial" w:cs="Arial"/>
          <w:color w:val="000000" w:themeColor="text1"/>
        </w:rPr>
        <w:t xml:space="preserve"> As such, </w:t>
      </w:r>
      <w:r w:rsidR="00677E12" w:rsidRPr="00826530">
        <w:rPr>
          <w:rFonts w:ascii="Arial" w:hAnsi="Arial" w:cs="Arial"/>
          <w:color w:val="000000" w:themeColor="text1"/>
        </w:rPr>
        <w:t xml:space="preserve">research among GBM needs to consider a variety of psychosocial, behavioural, and physical and mental health factors </w:t>
      </w:r>
      <w:r w:rsidR="00A74894" w:rsidRPr="00826530">
        <w:rPr>
          <w:rFonts w:ascii="Arial" w:hAnsi="Arial" w:cs="Arial"/>
          <w:color w:val="000000" w:themeColor="text1"/>
        </w:rPr>
        <w:t>to</w:t>
      </w:r>
      <w:r w:rsidR="00677E12" w:rsidRPr="00826530">
        <w:rPr>
          <w:rFonts w:ascii="Arial" w:hAnsi="Arial" w:cs="Arial"/>
          <w:color w:val="000000" w:themeColor="text1"/>
        </w:rPr>
        <w:t xml:space="preserve"> develop a better understanding of the true scope </w:t>
      </w:r>
      <w:r w:rsidR="008A4227" w:rsidRPr="00826530">
        <w:rPr>
          <w:rFonts w:ascii="Arial" w:hAnsi="Arial" w:cs="Arial"/>
          <w:color w:val="000000" w:themeColor="text1"/>
        </w:rPr>
        <w:t>of transactional sex.</w:t>
      </w:r>
      <w:r w:rsidR="00C62EE6" w:rsidRPr="00826530">
        <w:rPr>
          <w:rFonts w:ascii="Arial" w:hAnsi="Arial" w:cs="Arial"/>
          <w:color w:val="ED7D31" w:themeColor="accent2"/>
        </w:rPr>
        <w:t xml:space="preserve"> </w:t>
      </w:r>
    </w:p>
    <w:p w14:paraId="58390204" w14:textId="16A17EAC" w:rsidR="00573383" w:rsidRPr="00826530" w:rsidRDefault="003255B2" w:rsidP="00AB1ADA">
      <w:pPr>
        <w:spacing w:line="480" w:lineRule="auto"/>
        <w:ind w:firstLine="720"/>
        <w:rPr>
          <w:rFonts w:ascii="Arial" w:hAnsi="Arial" w:cs="Arial"/>
          <w:color w:val="000000" w:themeColor="text1"/>
        </w:rPr>
      </w:pPr>
      <w:r w:rsidRPr="00826530">
        <w:rPr>
          <w:rFonts w:ascii="Arial" w:hAnsi="Arial" w:cs="Arial"/>
          <w:color w:val="000000" w:themeColor="text1"/>
        </w:rPr>
        <w:t xml:space="preserve">When considering transactional sex among GBM, most research has looked at associations to HIV risk. In a scoping literature review of HIV and cisgender men who </w:t>
      </w:r>
      <w:r w:rsidRPr="00826530">
        <w:rPr>
          <w:rFonts w:ascii="Arial" w:hAnsi="Arial" w:cs="Arial"/>
          <w:color w:val="000000" w:themeColor="text1"/>
        </w:rPr>
        <w:lastRenderedPageBreak/>
        <w:t xml:space="preserve">engage in sex work including studies from countries around the world, </w:t>
      </w:r>
      <w:proofErr w:type="spellStart"/>
      <w:r w:rsidRPr="00826530">
        <w:rPr>
          <w:rFonts w:ascii="Arial" w:hAnsi="Arial" w:cs="Arial"/>
          <w:color w:val="000000" w:themeColor="text1"/>
        </w:rPr>
        <w:t>Baral</w:t>
      </w:r>
      <w:proofErr w:type="spellEnd"/>
      <w:r w:rsidRPr="00826530">
        <w:rPr>
          <w:rFonts w:ascii="Arial" w:hAnsi="Arial" w:cs="Arial"/>
          <w:color w:val="000000" w:themeColor="text1"/>
        </w:rPr>
        <w:t xml:space="preserve"> et al. identified multiple risk factors and barriers that may increase HIV risk including stigma, criminalization of sex work, reporting older partners, sex in combination with substance use, and less access to preventative and care services compared to GBM who do not engage in sex work.</w:t>
      </w:r>
      <w:r w:rsidRPr="00826530">
        <w:rPr>
          <w:rFonts w:ascii="Arial" w:hAnsi="Arial" w:cs="Arial"/>
          <w:color w:val="000000" w:themeColor="text1"/>
          <w:vertAlign w:val="superscript"/>
        </w:rPr>
        <w:t>8</w:t>
      </w:r>
      <w:r w:rsidRPr="00826530">
        <w:rPr>
          <w:rFonts w:ascii="Arial" w:hAnsi="Arial" w:cs="Arial"/>
          <w:color w:val="000000" w:themeColor="text1"/>
        </w:rPr>
        <w:t xml:space="preserve"> However, generalizability of previous studies is limited due to geographic variability of HIV prevalence among GBM in general, and among GBM who engage in transactional sex in particular.</w:t>
      </w:r>
      <w:r w:rsidRPr="00826530">
        <w:rPr>
          <w:rFonts w:ascii="Arial" w:hAnsi="Arial" w:cs="Arial"/>
          <w:color w:val="000000" w:themeColor="text1"/>
          <w:vertAlign w:val="superscript"/>
        </w:rPr>
        <w:t>5</w:t>
      </w:r>
      <w:r w:rsidRPr="00826530">
        <w:rPr>
          <w:rFonts w:ascii="Arial" w:hAnsi="Arial" w:cs="Arial"/>
          <w:color w:val="000000" w:themeColor="text1"/>
        </w:rPr>
        <w:t xml:space="preserve"> </w:t>
      </w:r>
    </w:p>
    <w:p w14:paraId="7432B43A" w14:textId="6B435EAE" w:rsidR="00573383" w:rsidRPr="00826530" w:rsidRDefault="00573383" w:rsidP="00A72456">
      <w:pPr>
        <w:spacing w:line="480" w:lineRule="auto"/>
        <w:ind w:firstLine="720"/>
        <w:rPr>
          <w:rFonts w:ascii="Arial" w:hAnsi="Arial" w:cs="Arial"/>
          <w:color w:val="000000" w:themeColor="text1"/>
        </w:rPr>
      </w:pPr>
      <w:r w:rsidRPr="00826530">
        <w:rPr>
          <w:rFonts w:ascii="Arial" w:hAnsi="Arial" w:cs="Arial"/>
          <w:color w:val="000000" w:themeColor="text1"/>
        </w:rPr>
        <w:t xml:space="preserve">Within the Canadian context, </w:t>
      </w:r>
      <w:proofErr w:type="gramStart"/>
      <w:r w:rsidRPr="00826530">
        <w:rPr>
          <w:rFonts w:ascii="Arial" w:hAnsi="Arial" w:cs="Arial"/>
          <w:color w:val="000000" w:themeColor="text1"/>
        </w:rPr>
        <w:t>the majority of</w:t>
      </w:r>
      <w:proofErr w:type="gramEnd"/>
      <w:r w:rsidRPr="00826530">
        <w:rPr>
          <w:rFonts w:ascii="Arial" w:hAnsi="Arial" w:cs="Arial"/>
          <w:color w:val="000000" w:themeColor="text1"/>
        </w:rPr>
        <w:t xml:space="preserve"> research on GBM sex work has also focused on HIV risk</w:t>
      </w:r>
      <w:r w:rsidR="00DD5484">
        <w:rPr>
          <w:rFonts w:ascii="Arial" w:hAnsi="Arial" w:cs="Arial"/>
          <w:color w:val="000000" w:themeColor="text1"/>
        </w:rPr>
        <w:t xml:space="preserve">. </w:t>
      </w:r>
      <w:r w:rsidR="00DF4331">
        <w:rPr>
          <w:rFonts w:ascii="Arial" w:hAnsi="Arial" w:cs="Arial"/>
          <w:color w:val="000000" w:themeColor="text1"/>
        </w:rPr>
        <w:t>For example, in a previous study of GBM aged 18-30, living in Vancouver between 1995-1999, 16% (126/761) reported engaging in sex work in the previous year</w:t>
      </w:r>
      <w:r w:rsidR="003255B2" w:rsidRPr="00826530">
        <w:rPr>
          <w:rFonts w:ascii="Arial" w:hAnsi="Arial" w:cs="Arial"/>
          <w:color w:val="000000" w:themeColor="text1"/>
        </w:rPr>
        <w:t xml:space="preserve"> and </w:t>
      </w:r>
      <w:r w:rsidR="00DF4331">
        <w:rPr>
          <w:rFonts w:ascii="Arial" w:hAnsi="Arial" w:cs="Arial"/>
          <w:color w:val="000000" w:themeColor="text1"/>
        </w:rPr>
        <w:t xml:space="preserve">among these, </w:t>
      </w:r>
      <w:r w:rsidR="003255B2" w:rsidRPr="00826530">
        <w:rPr>
          <w:rFonts w:ascii="Arial" w:hAnsi="Arial" w:cs="Arial"/>
          <w:color w:val="000000" w:themeColor="text1"/>
        </w:rPr>
        <w:t xml:space="preserve">the prevalence of HIV </w:t>
      </w:r>
      <w:r w:rsidR="00DF4331">
        <w:rPr>
          <w:rFonts w:ascii="Arial" w:hAnsi="Arial" w:cs="Arial"/>
          <w:color w:val="000000" w:themeColor="text1"/>
        </w:rPr>
        <w:t>w</w:t>
      </w:r>
      <w:r w:rsidR="003255B2" w:rsidRPr="00826530">
        <w:rPr>
          <w:rFonts w:ascii="Arial" w:hAnsi="Arial" w:cs="Arial"/>
          <w:color w:val="000000" w:themeColor="text1"/>
        </w:rPr>
        <w:t>as previously 7.3%.</w:t>
      </w:r>
      <w:r w:rsidR="003255B2" w:rsidRPr="00826530">
        <w:rPr>
          <w:rFonts w:ascii="Arial" w:hAnsi="Arial" w:cs="Arial"/>
          <w:color w:val="000000" w:themeColor="text1"/>
          <w:vertAlign w:val="superscript"/>
        </w:rPr>
        <w:t>16</w:t>
      </w:r>
      <w:r w:rsidR="003255B2" w:rsidRPr="00826530">
        <w:rPr>
          <w:rFonts w:ascii="Arial" w:hAnsi="Arial" w:cs="Arial"/>
          <w:color w:val="000000" w:themeColor="text1"/>
        </w:rPr>
        <w:t xml:space="preserve"> However, </w:t>
      </w:r>
      <w:r w:rsidRPr="00826530">
        <w:rPr>
          <w:rFonts w:ascii="Arial" w:hAnsi="Arial" w:cs="Arial"/>
          <w:color w:val="000000" w:themeColor="text1"/>
        </w:rPr>
        <w:t>most of this work is dated and more current studies are needed.</w:t>
      </w:r>
      <w:r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6</w:t>
      </w:r>
      <w:r w:rsidRPr="00826530">
        <w:rPr>
          <w:rFonts w:ascii="Arial" w:hAnsi="Arial" w:cs="Arial"/>
          <w:color w:val="000000" w:themeColor="text1"/>
          <w:vertAlign w:val="superscript"/>
        </w:rPr>
        <w:t>,1</w:t>
      </w:r>
      <w:r w:rsidR="003255B2" w:rsidRPr="00826530">
        <w:rPr>
          <w:rFonts w:ascii="Arial" w:hAnsi="Arial" w:cs="Arial"/>
          <w:color w:val="000000" w:themeColor="text1"/>
          <w:vertAlign w:val="superscript"/>
        </w:rPr>
        <w:t>7</w:t>
      </w:r>
      <w:r w:rsidRPr="00826530">
        <w:rPr>
          <w:rFonts w:ascii="Arial" w:hAnsi="Arial" w:cs="Arial"/>
          <w:color w:val="000000" w:themeColor="text1"/>
        </w:rPr>
        <w:t xml:space="preserve"> </w:t>
      </w:r>
      <w:r w:rsidR="00A72456" w:rsidRPr="00826530">
        <w:rPr>
          <w:rFonts w:ascii="Arial" w:hAnsi="Arial" w:cs="Arial"/>
          <w:color w:val="000000" w:themeColor="text1"/>
        </w:rPr>
        <w:t xml:space="preserve">One exception is </w:t>
      </w:r>
      <w:r w:rsidRPr="00826530">
        <w:rPr>
          <w:rFonts w:ascii="Arial" w:hAnsi="Arial" w:cs="Arial"/>
          <w:color w:val="000000" w:themeColor="text1"/>
        </w:rPr>
        <w:t>a 2018 study from Vancouver</w:t>
      </w:r>
      <w:r w:rsidR="00A72456" w:rsidRPr="00826530">
        <w:rPr>
          <w:rFonts w:ascii="Arial" w:hAnsi="Arial" w:cs="Arial"/>
          <w:color w:val="000000" w:themeColor="text1"/>
        </w:rPr>
        <w:t xml:space="preserve"> in which</w:t>
      </w:r>
      <w:r w:rsidRPr="00826530">
        <w:rPr>
          <w:rFonts w:ascii="Arial" w:hAnsi="Arial" w:cs="Arial"/>
          <w:color w:val="000000" w:themeColor="text1"/>
        </w:rPr>
        <w:t xml:space="preserve"> </w:t>
      </w:r>
      <w:proofErr w:type="spellStart"/>
      <w:r w:rsidRPr="00826530">
        <w:rPr>
          <w:rFonts w:ascii="Arial" w:hAnsi="Arial" w:cs="Arial"/>
          <w:color w:val="000000" w:themeColor="text1"/>
        </w:rPr>
        <w:t>Argento</w:t>
      </w:r>
      <w:proofErr w:type="spellEnd"/>
      <w:r w:rsidRPr="00826530">
        <w:rPr>
          <w:rFonts w:ascii="Arial" w:hAnsi="Arial" w:cs="Arial"/>
          <w:color w:val="000000" w:themeColor="text1"/>
        </w:rPr>
        <w:t xml:space="preserve"> and colleagues used qualitative interviews with GBM and transgender women who buy or sell sex to examine the role of the online environment in relation to transactional sex.</w:t>
      </w:r>
      <w:r w:rsidRPr="00826530">
        <w:rPr>
          <w:rFonts w:ascii="Arial" w:hAnsi="Arial" w:cs="Arial"/>
          <w:color w:val="000000" w:themeColor="text1"/>
          <w:vertAlign w:val="superscript"/>
        </w:rPr>
        <w:t>1</w:t>
      </w:r>
      <w:r w:rsidR="00A72456" w:rsidRPr="00826530">
        <w:rPr>
          <w:rFonts w:ascii="Arial" w:hAnsi="Arial" w:cs="Arial"/>
          <w:color w:val="000000" w:themeColor="text1"/>
          <w:vertAlign w:val="superscript"/>
        </w:rPr>
        <w:t>8</w:t>
      </w:r>
      <w:r w:rsidRPr="00826530">
        <w:rPr>
          <w:rFonts w:ascii="Arial" w:hAnsi="Arial" w:cs="Arial"/>
          <w:color w:val="000000" w:themeColor="text1"/>
        </w:rPr>
        <w:t xml:space="preserve"> The authors found that although the loss of physical environments for sex work led to social isolation and loss of social supports, the online environment for transactional sex provided greater control, negotiation capacity, and increased security.</w:t>
      </w:r>
      <w:r w:rsidRPr="00826530">
        <w:rPr>
          <w:rFonts w:ascii="Arial" w:hAnsi="Arial" w:cs="Arial"/>
          <w:color w:val="000000" w:themeColor="text1"/>
          <w:vertAlign w:val="superscript"/>
        </w:rPr>
        <w:t>1</w:t>
      </w:r>
      <w:r w:rsidR="00A72456" w:rsidRPr="00826530">
        <w:rPr>
          <w:rFonts w:ascii="Arial" w:hAnsi="Arial" w:cs="Arial"/>
          <w:color w:val="000000" w:themeColor="text1"/>
          <w:vertAlign w:val="superscript"/>
        </w:rPr>
        <w:t>8</w:t>
      </w:r>
      <w:r w:rsidR="009743CE" w:rsidRPr="00826530">
        <w:rPr>
          <w:rFonts w:ascii="Arial" w:hAnsi="Arial" w:cs="Arial"/>
          <w:color w:val="000000" w:themeColor="text1"/>
        </w:rPr>
        <w:t xml:space="preserve"> </w:t>
      </w:r>
    </w:p>
    <w:p w14:paraId="518EC6AA" w14:textId="248EA23F" w:rsidR="00D34E12" w:rsidRPr="00826530" w:rsidRDefault="00E401E4" w:rsidP="00D34E12">
      <w:pPr>
        <w:spacing w:line="480" w:lineRule="auto"/>
        <w:ind w:firstLine="720"/>
        <w:rPr>
          <w:rFonts w:ascii="Arial" w:hAnsi="Arial" w:cs="Arial"/>
          <w:color w:val="000000" w:themeColor="text1"/>
        </w:rPr>
      </w:pPr>
      <w:r w:rsidRPr="00826530">
        <w:rPr>
          <w:rFonts w:ascii="Arial" w:hAnsi="Arial" w:cs="Arial"/>
          <w:color w:val="000000" w:themeColor="text1"/>
        </w:rPr>
        <w:t xml:space="preserve">Given the need </w:t>
      </w:r>
      <w:r w:rsidR="009743CE" w:rsidRPr="00826530">
        <w:rPr>
          <w:rFonts w:ascii="Arial" w:hAnsi="Arial" w:cs="Arial"/>
          <w:color w:val="000000" w:themeColor="text1"/>
        </w:rPr>
        <w:t xml:space="preserve">for more recent research to </w:t>
      </w:r>
      <w:r w:rsidRPr="00826530">
        <w:rPr>
          <w:rFonts w:ascii="Arial" w:hAnsi="Arial" w:cs="Arial"/>
          <w:color w:val="000000" w:themeColor="text1"/>
        </w:rPr>
        <w:t>better understand transactional sex work among GBM within Canada, t</w:t>
      </w:r>
      <w:r w:rsidR="00851673" w:rsidRPr="00826530">
        <w:rPr>
          <w:rFonts w:ascii="Arial" w:hAnsi="Arial" w:cs="Arial"/>
          <w:color w:val="000000" w:themeColor="text1"/>
        </w:rPr>
        <w:t>he current study aim</w:t>
      </w:r>
      <w:r w:rsidRPr="00826530">
        <w:rPr>
          <w:rFonts w:ascii="Arial" w:hAnsi="Arial" w:cs="Arial"/>
          <w:color w:val="000000" w:themeColor="text1"/>
        </w:rPr>
        <w:t>ed to describe characteristics of GBM who engage in transactional sex</w:t>
      </w:r>
      <w:r w:rsidR="00D34E12" w:rsidRPr="00826530">
        <w:rPr>
          <w:rFonts w:ascii="Arial" w:hAnsi="Arial" w:cs="Arial"/>
          <w:color w:val="000000" w:themeColor="text1"/>
        </w:rPr>
        <w:t xml:space="preserve"> in Vancouver, from 2012-2019. We also sought to explore how sexual behaviours, substance use,</w:t>
      </w:r>
      <w:r w:rsidR="00DF4331">
        <w:rPr>
          <w:rFonts w:ascii="Arial" w:hAnsi="Arial" w:cs="Arial"/>
          <w:color w:val="000000" w:themeColor="text1"/>
        </w:rPr>
        <w:t xml:space="preserve"> psychosocial factions, </w:t>
      </w:r>
      <w:r w:rsidR="00D34E12" w:rsidRPr="00826530">
        <w:rPr>
          <w:rFonts w:ascii="Arial" w:hAnsi="Arial" w:cs="Arial"/>
          <w:color w:val="000000" w:themeColor="text1"/>
        </w:rPr>
        <w:t xml:space="preserve">and specific HIV prevention strategies were associated with engagement in transactional sex. </w:t>
      </w:r>
      <w:r w:rsidR="00851673" w:rsidRPr="00826530">
        <w:rPr>
          <w:rFonts w:ascii="Arial" w:hAnsi="Arial" w:cs="Arial"/>
          <w:color w:val="000000" w:themeColor="text1"/>
        </w:rPr>
        <w:lastRenderedPageBreak/>
        <w:t xml:space="preserve">Understanding </w:t>
      </w:r>
      <w:r w:rsidR="008A4227" w:rsidRPr="00826530">
        <w:rPr>
          <w:rFonts w:ascii="Arial" w:hAnsi="Arial" w:cs="Arial"/>
          <w:color w:val="000000" w:themeColor="text1"/>
        </w:rPr>
        <w:t xml:space="preserve">which </w:t>
      </w:r>
      <w:r w:rsidR="00851673" w:rsidRPr="00826530">
        <w:rPr>
          <w:rFonts w:ascii="Arial" w:hAnsi="Arial" w:cs="Arial"/>
          <w:color w:val="000000" w:themeColor="text1"/>
        </w:rPr>
        <w:t xml:space="preserve">factors </w:t>
      </w:r>
      <w:r w:rsidR="00D34E12" w:rsidRPr="00826530">
        <w:rPr>
          <w:rFonts w:ascii="Arial" w:hAnsi="Arial" w:cs="Arial"/>
          <w:color w:val="000000" w:themeColor="text1"/>
        </w:rPr>
        <w:t>as associated with</w:t>
      </w:r>
      <w:r w:rsidR="00851673" w:rsidRPr="00826530">
        <w:rPr>
          <w:rFonts w:ascii="Arial" w:hAnsi="Arial" w:cs="Arial"/>
          <w:color w:val="000000" w:themeColor="text1"/>
        </w:rPr>
        <w:t xml:space="preserve"> transactional sex may help target HIV</w:t>
      </w:r>
      <w:r w:rsidR="00573F46" w:rsidRPr="00826530">
        <w:rPr>
          <w:rFonts w:ascii="Arial" w:hAnsi="Arial" w:cs="Arial"/>
          <w:color w:val="000000" w:themeColor="text1"/>
        </w:rPr>
        <w:t xml:space="preserve"> and STI</w:t>
      </w:r>
      <w:r w:rsidR="00851673" w:rsidRPr="00826530">
        <w:rPr>
          <w:rFonts w:ascii="Arial" w:hAnsi="Arial" w:cs="Arial"/>
          <w:color w:val="000000" w:themeColor="text1"/>
        </w:rPr>
        <w:t xml:space="preserve"> prevention and treatment programs </w:t>
      </w:r>
      <w:r w:rsidR="009D38C3" w:rsidRPr="00826530">
        <w:rPr>
          <w:rFonts w:ascii="Arial" w:hAnsi="Arial" w:cs="Arial"/>
          <w:color w:val="000000" w:themeColor="text1"/>
        </w:rPr>
        <w:t>for</w:t>
      </w:r>
      <w:r w:rsidR="00851673" w:rsidRPr="00826530">
        <w:rPr>
          <w:rFonts w:ascii="Arial" w:hAnsi="Arial" w:cs="Arial"/>
          <w:color w:val="000000" w:themeColor="text1"/>
        </w:rPr>
        <w:t xml:space="preserve"> this </w:t>
      </w:r>
      <w:r w:rsidR="00131DE3" w:rsidRPr="00826530">
        <w:rPr>
          <w:rFonts w:ascii="Arial" w:hAnsi="Arial" w:cs="Arial"/>
          <w:color w:val="000000" w:themeColor="text1"/>
        </w:rPr>
        <w:t xml:space="preserve">marginalized </w:t>
      </w:r>
      <w:r w:rsidR="00851673" w:rsidRPr="00826530">
        <w:rPr>
          <w:rFonts w:ascii="Arial" w:hAnsi="Arial" w:cs="Arial"/>
          <w:color w:val="000000" w:themeColor="text1"/>
        </w:rPr>
        <w:t xml:space="preserve">population and improve </w:t>
      </w:r>
      <w:r w:rsidR="00131DE3" w:rsidRPr="00826530">
        <w:rPr>
          <w:rFonts w:ascii="Arial" w:hAnsi="Arial" w:cs="Arial"/>
          <w:color w:val="000000" w:themeColor="text1"/>
        </w:rPr>
        <w:t xml:space="preserve">their </w:t>
      </w:r>
      <w:r w:rsidR="00851673" w:rsidRPr="00826530">
        <w:rPr>
          <w:rFonts w:ascii="Arial" w:hAnsi="Arial" w:cs="Arial"/>
          <w:color w:val="000000" w:themeColor="text1"/>
        </w:rPr>
        <w:t>overall health and well-being</w:t>
      </w:r>
      <w:r w:rsidR="00A1437F" w:rsidRPr="00826530">
        <w:rPr>
          <w:rFonts w:ascii="Arial" w:hAnsi="Arial" w:cs="Arial"/>
          <w:color w:val="000000" w:themeColor="text1"/>
        </w:rPr>
        <w:t xml:space="preserve">. </w:t>
      </w:r>
      <w:r w:rsidR="00EF5FDB" w:rsidRPr="00826530">
        <w:rPr>
          <w:rFonts w:ascii="Arial" w:hAnsi="Arial" w:cs="Arial"/>
          <w:color w:val="000000" w:themeColor="text1"/>
        </w:rPr>
        <w:t xml:space="preserve">We hypothesize that </w:t>
      </w:r>
      <w:r w:rsidR="00D34E12" w:rsidRPr="00826530">
        <w:rPr>
          <w:rFonts w:ascii="Arial" w:hAnsi="Arial" w:cs="Arial"/>
          <w:color w:val="000000" w:themeColor="text1"/>
        </w:rPr>
        <w:t xml:space="preserve">GBM who report transactional sex will experience greater psychosocial stressors, increased substance use, and higher risk sexual behaviour than GBM who do not; however, we </w:t>
      </w:r>
      <w:r w:rsidR="00E8626A" w:rsidRPr="00826530">
        <w:rPr>
          <w:rFonts w:ascii="Arial" w:hAnsi="Arial" w:cs="Arial"/>
          <w:color w:val="000000" w:themeColor="text1"/>
        </w:rPr>
        <w:t xml:space="preserve">also </w:t>
      </w:r>
      <w:r w:rsidR="00D34E12" w:rsidRPr="00826530">
        <w:rPr>
          <w:rFonts w:ascii="Arial" w:hAnsi="Arial" w:cs="Arial"/>
          <w:color w:val="000000" w:themeColor="text1"/>
        </w:rPr>
        <w:t xml:space="preserve">hypothesize they will also be less likely to report use of HIV prevention strategies.  </w:t>
      </w:r>
    </w:p>
    <w:p w14:paraId="7A1CD60A" w14:textId="77777777" w:rsidR="00851673" w:rsidRPr="00826530" w:rsidRDefault="00851673" w:rsidP="00236A83">
      <w:pPr>
        <w:spacing w:line="480" w:lineRule="auto"/>
        <w:jc w:val="center"/>
        <w:rPr>
          <w:rFonts w:ascii="Arial" w:hAnsi="Arial" w:cs="Arial"/>
          <w:color w:val="000000" w:themeColor="text1"/>
        </w:rPr>
      </w:pPr>
      <w:r w:rsidRPr="00826530">
        <w:rPr>
          <w:rFonts w:ascii="Arial" w:hAnsi="Arial" w:cs="Arial"/>
          <w:b/>
          <w:color w:val="000000" w:themeColor="text1"/>
        </w:rPr>
        <w:t>Methods</w:t>
      </w:r>
    </w:p>
    <w:p w14:paraId="3F4C2615" w14:textId="44B8BC19" w:rsidR="00851673" w:rsidRPr="00826530" w:rsidRDefault="00851673" w:rsidP="00F22BCF">
      <w:pPr>
        <w:spacing w:line="480" w:lineRule="auto"/>
        <w:ind w:firstLine="720"/>
        <w:rPr>
          <w:rFonts w:ascii="Arial" w:hAnsi="Arial" w:cs="Arial"/>
        </w:rPr>
      </w:pPr>
      <w:r w:rsidRPr="00826530">
        <w:rPr>
          <w:rFonts w:ascii="Arial" w:hAnsi="Arial" w:cs="Arial"/>
        </w:rPr>
        <w:t xml:space="preserve">Participants were part of the Momentum Health Study, a longitudinal cohort study of GBM in Vancouver, Canada. Recruitment used respondent-driven sampling (RDS), a sampling method used to reach </w:t>
      </w:r>
      <w:r w:rsidR="00B72E0A" w:rsidRPr="00826530">
        <w:rPr>
          <w:rFonts w:ascii="Arial" w:hAnsi="Arial" w:cs="Arial"/>
        </w:rPr>
        <w:t>harder</w:t>
      </w:r>
      <w:r w:rsidR="00E07822" w:rsidRPr="00826530">
        <w:rPr>
          <w:rFonts w:ascii="Arial" w:hAnsi="Arial" w:cs="Arial"/>
        </w:rPr>
        <w:t>-</w:t>
      </w:r>
      <w:r w:rsidR="00B72E0A" w:rsidRPr="00826530">
        <w:rPr>
          <w:rFonts w:ascii="Arial" w:hAnsi="Arial" w:cs="Arial"/>
        </w:rPr>
        <w:t>to</w:t>
      </w:r>
      <w:r w:rsidR="00E07822" w:rsidRPr="00826530">
        <w:rPr>
          <w:rFonts w:ascii="Arial" w:hAnsi="Arial" w:cs="Arial"/>
        </w:rPr>
        <w:t>-</w:t>
      </w:r>
      <w:r w:rsidR="00B72E0A" w:rsidRPr="00826530">
        <w:rPr>
          <w:rFonts w:ascii="Arial" w:hAnsi="Arial" w:cs="Arial"/>
        </w:rPr>
        <w:t>reach</w:t>
      </w:r>
      <w:r w:rsidRPr="00826530">
        <w:rPr>
          <w:rFonts w:ascii="Arial" w:hAnsi="Arial" w:cs="Arial"/>
        </w:rPr>
        <w:t xml:space="preserve"> populations based off chain-referral sampling.</w:t>
      </w:r>
      <w:r w:rsidR="00F2590B" w:rsidRPr="00826530">
        <w:rPr>
          <w:rFonts w:ascii="Arial" w:hAnsi="Arial" w:cs="Arial"/>
          <w:vertAlign w:val="superscript"/>
        </w:rPr>
        <w:t>19</w:t>
      </w:r>
      <w:r w:rsidRPr="00826530">
        <w:rPr>
          <w:rFonts w:ascii="Arial" w:hAnsi="Arial" w:cs="Arial"/>
        </w:rPr>
        <w:t xml:space="preserve"> Sampling is started by selecting “seeds” who meet eligibility criteria from the target population through community groups or through digital social-sexual networking services. Study participants were trained in peer-recruitment by study staff and given </w:t>
      </w:r>
      <w:r w:rsidR="007B519E" w:rsidRPr="00826530">
        <w:rPr>
          <w:rFonts w:ascii="Arial" w:hAnsi="Arial" w:cs="Arial"/>
        </w:rPr>
        <w:t>six</w:t>
      </w:r>
      <w:r w:rsidRPr="00826530">
        <w:rPr>
          <w:rFonts w:ascii="Arial" w:hAnsi="Arial" w:cs="Arial"/>
        </w:rPr>
        <w:t xml:space="preserve"> vouchers to recruit participants in their networks. </w:t>
      </w:r>
      <w:r w:rsidR="00EF5FDB" w:rsidRPr="00826530">
        <w:rPr>
          <w:rFonts w:ascii="Arial" w:hAnsi="Arial" w:cs="Arial"/>
        </w:rPr>
        <w:t xml:space="preserve">Eligibility criteria </w:t>
      </w:r>
      <w:r w:rsidR="008D2105" w:rsidRPr="00826530">
        <w:rPr>
          <w:rFonts w:ascii="Arial" w:hAnsi="Arial" w:cs="Arial"/>
        </w:rPr>
        <w:t>w</w:t>
      </w:r>
      <w:r w:rsidR="008264A2" w:rsidRPr="00826530">
        <w:rPr>
          <w:rFonts w:ascii="Arial" w:hAnsi="Arial" w:cs="Arial"/>
        </w:rPr>
        <w:t>ere</w:t>
      </w:r>
      <w:r w:rsidR="008D2105" w:rsidRPr="00826530">
        <w:rPr>
          <w:rFonts w:ascii="Arial" w:hAnsi="Arial" w:cs="Arial"/>
        </w:rPr>
        <w:t xml:space="preserve"> that</w:t>
      </w:r>
      <w:r w:rsidR="00EF5FDB" w:rsidRPr="00826530">
        <w:rPr>
          <w:rFonts w:ascii="Arial" w:hAnsi="Arial" w:cs="Arial"/>
        </w:rPr>
        <w:t xml:space="preserve"> participants had to identify as men (including trans</w:t>
      </w:r>
      <w:r w:rsidR="008264A2" w:rsidRPr="00826530">
        <w:rPr>
          <w:rFonts w:ascii="Arial" w:hAnsi="Arial" w:cs="Arial"/>
        </w:rPr>
        <w:t xml:space="preserve"> </w:t>
      </w:r>
      <w:r w:rsidR="00EF5FDB" w:rsidRPr="00826530">
        <w:rPr>
          <w:rFonts w:ascii="Arial" w:hAnsi="Arial" w:cs="Arial"/>
        </w:rPr>
        <w:t>men)</w:t>
      </w:r>
      <w:r w:rsidR="00BA4425" w:rsidRPr="00826530">
        <w:rPr>
          <w:rFonts w:ascii="Arial" w:hAnsi="Arial" w:cs="Arial"/>
        </w:rPr>
        <w:t>, be at least 16 years old, reside in Metro Vancouver, report having sex with another man in the past six months</w:t>
      </w:r>
      <w:r w:rsidR="008264A2" w:rsidRPr="00826530">
        <w:rPr>
          <w:rFonts w:ascii="Arial" w:hAnsi="Arial" w:cs="Arial"/>
        </w:rPr>
        <w:t>,</w:t>
      </w:r>
      <w:r w:rsidR="00BA4425" w:rsidRPr="00826530">
        <w:rPr>
          <w:rFonts w:ascii="Arial" w:hAnsi="Arial" w:cs="Arial"/>
        </w:rPr>
        <w:t xml:space="preserve"> and be able to complete the questionnaire in English.</w:t>
      </w:r>
      <w:r w:rsidR="00EF5FDB" w:rsidRPr="00826530">
        <w:rPr>
          <w:rFonts w:ascii="Arial" w:hAnsi="Arial" w:cs="Arial"/>
        </w:rPr>
        <w:t xml:space="preserve"> </w:t>
      </w:r>
      <w:r w:rsidRPr="00826530">
        <w:rPr>
          <w:rFonts w:ascii="Arial" w:hAnsi="Arial" w:cs="Arial"/>
        </w:rPr>
        <w:t>Additionally, participants must have either been selected as seeds or have received a valid study voucher from another participant. Participants received a $50 CAD honorarium for participating</w:t>
      </w:r>
      <w:r w:rsidR="00F12E51" w:rsidRPr="00826530">
        <w:rPr>
          <w:rFonts w:ascii="Arial" w:hAnsi="Arial" w:cs="Arial"/>
        </w:rPr>
        <w:t xml:space="preserve"> at each study visit</w:t>
      </w:r>
      <w:r w:rsidRPr="00826530">
        <w:rPr>
          <w:rFonts w:ascii="Arial" w:hAnsi="Arial" w:cs="Arial"/>
        </w:rPr>
        <w:t xml:space="preserve"> and an additional $10 CAD for each enrolling participant they recruited using their study vouchers. Payment could be taken in cash or </w:t>
      </w:r>
      <w:r w:rsidR="00F12E51" w:rsidRPr="00826530">
        <w:rPr>
          <w:rFonts w:ascii="Arial" w:hAnsi="Arial" w:cs="Arial"/>
        </w:rPr>
        <w:t xml:space="preserve">equivalent prize draw tickets. </w:t>
      </w:r>
      <w:r w:rsidR="005F31F9" w:rsidRPr="00826530">
        <w:rPr>
          <w:rFonts w:ascii="Arial" w:hAnsi="Arial" w:cs="Arial"/>
        </w:rPr>
        <w:t>Recruitment occurred between February 2012 and February 2015 and follow-up visits occurred every 6 months</w:t>
      </w:r>
      <w:r w:rsidR="009A67AC" w:rsidRPr="00826530">
        <w:rPr>
          <w:rFonts w:ascii="Arial" w:hAnsi="Arial" w:cs="Arial"/>
        </w:rPr>
        <w:t xml:space="preserve"> until July 2019</w:t>
      </w:r>
      <w:r w:rsidR="005F31F9" w:rsidRPr="00826530">
        <w:rPr>
          <w:rFonts w:ascii="Arial" w:hAnsi="Arial" w:cs="Arial"/>
        </w:rPr>
        <w:t xml:space="preserve">. HIV-negative participants completed a maximum of 8 </w:t>
      </w:r>
      <w:r w:rsidR="005F31F9" w:rsidRPr="00826530">
        <w:rPr>
          <w:rFonts w:ascii="Arial" w:hAnsi="Arial" w:cs="Arial"/>
        </w:rPr>
        <w:lastRenderedPageBreak/>
        <w:t>study visits</w:t>
      </w:r>
      <w:r w:rsidR="00FD70EF" w:rsidRPr="00826530">
        <w:rPr>
          <w:rFonts w:ascii="Arial" w:hAnsi="Arial" w:cs="Arial"/>
        </w:rPr>
        <w:t>,</w:t>
      </w:r>
      <w:r w:rsidR="005F31F9" w:rsidRPr="00826530">
        <w:rPr>
          <w:rFonts w:ascii="Arial" w:hAnsi="Arial" w:cs="Arial"/>
        </w:rPr>
        <w:t xml:space="preserve"> while participants living with HIV did not have an upper limit</w:t>
      </w:r>
      <w:r w:rsidR="00184FE7" w:rsidRPr="00826530">
        <w:rPr>
          <w:rFonts w:ascii="Arial" w:hAnsi="Arial" w:cs="Arial"/>
        </w:rPr>
        <w:t xml:space="preserve"> for number of visits</w:t>
      </w:r>
      <w:r w:rsidR="005F31F9" w:rsidRPr="00826530">
        <w:rPr>
          <w:rFonts w:ascii="Arial" w:hAnsi="Arial" w:cs="Arial"/>
        </w:rPr>
        <w:t xml:space="preserve">. </w:t>
      </w:r>
      <w:r w:rsidR="008D2105" w:rsidRPr="00826530">
        <w:rPr>
          <w:rFonts w:ascii="Arial" w:hAnsi="Arial" w:cs="Arial"/>
        </w:rPr>
        <w:t xml:space="preserve">At </w:t>
      </w:r>
      <w:r w:rsidR="005F31F9" w:rsidRPr="00826530">
        <w:rPr>
          <w:rFonts w:ascii="Arial" w:hAnsi="Arial" w:cs="Arial"/>
        </w:rPr>
        <w:t>every s</w:t>
      </w:r>
      <w:r w:rsidR="008D2105" w:rsidRPr="00826530">
        <w:rPr>
          <w:rFonts w:ascii="Arial" w:hAnsi="Arial" w:cs="Arial"/>
        </w:rPr>
        <w:t>tudy visit, participants completed a computer-assisted self-interview (CASI) which included a variety of psychosocial, behavioural, and health related measures</w:t>
      </w:r>
      <w:r w:rsidR="008264A2" w:rsidRPr="00826530">
        <w:rPr>
          <w:rFonts w:ascii="Arial" w:hAnsi="Arial" w:cs="Arial"/>
        </w:rPr>
        <w:t>,</w:t>
      </w:r>
      <w:r w:rsidR="008D2105" w:rsidRPr="00826530">
        <w:rPr>
          <w:rFonts w:ascii="Arial" w:hAnsi="Arial" w:cs="Arial"/>
        </w:rPr>
        <w:t xml:space="preserve"> and a </w:t>
      </w:r>
      <w:r w:rsidR="00ED360E" w:rsidRPr="00826530">
        <w:rPr>
          <w:rFonts w:ascii="Arial" w:hAnsi="Arial" w:cs="Arial"/>
        </w:rPr>
        <w:t>nurse’s</w:t>
      </w:r>
      <w:r w:rsidR="008D2105" w:rsidRPr="00826530">
        <w:rPr>
          <w:rFonts w:ascii="Arial" w:hAnsi="Arial" w:cs="Arial"/>
        </w:rPr>
        <w:t xml:space="preserve"> study visit, which included HIV and STI testing. </w:t>
      </w:r>
      <w:r w:rsidRPr="00826530">
        <w:rPr>
          <w:rFonts w:ascii="Arial" w:hAnsi="Arial" w:cs="Arial"/>
        </w:rPr>
        <w:t>Full methodology has been published elsewhere.</w:t>
      </w:r>
      <w:r w:rsidR="00F2590B" w:rsidRPr="00826530">
        <w:rPr>
          <w:rFonts w:ascii="Arial" w:hAnsi="Arial" w:cs="Arial"/>
          <w:vertAlign w:val="superscript"/>
        </w:rPr>
        <w:t>3</w:t>
      </w:r>
      <w:r w:rsidRPr="00826530">
        <w:rPr>
          <w:rFonts w:ascii="Arial" w:hAnsi="Arial" w:cs="Arial"/>
        </w:rPr>
        <w:t xml:space="preserve"> Ethics approval was received from the research ethics boards of the University of British Columbia, Simon Fraser University</w:t>
      </w:r>
      <w:r w:rsidR="00F12E51" w:rsidRPr="00826530">
        <w:rPr>
          <w:rFonts w:ascii="Arial" w:hAnsi="Arial" w:cs="Arial"/>
        </w:rPr>
        <w:t>,</w:t>
      </w:r>
      <w:r w:rsidRPr="00826530">
        <w:rPr>
          <w:rFonts w:ascii="Arial" w:hAnsi="Arial" w:cs="Arial"/>
        </w:rPr>
        <w:t xml:space="preserve"> and the University of Victoria, and all participants provided informed consent.</w:t>
      </w:r>
      <w:r w:rsidR="005F31F9" w:rsidRPr="00826530">
        <w:rPr>
          <w:rFonts w:ascii="Arial" w:hAnsi="Arial" w:cs="Arial"/>
        </w:rPr>
        <w:t xml:space="preserve"> </w:t>
      </w:r>
    </w:p>
    <w:p w14:paraId="5E712616" w14:textId="183CB1F6" w:rsidR="00B72E0A" w:rsidRPr="00826530" w:rsidRDefault="00B72E0A" w:rsidP="00F22BCF">
      <w:pPr>
        <w:spacing w:line="480" w:lineRule="auto"/>
        <w:rPr>
          <w:rFonts w:ascii="Arial" w:hAnsi="Arial" w:cs="Arial"/>
          <w:i/>
          <w:iCs/>
        </w:rPr>
      </w:pPr>
      <w:r w:rsidRPr="00826530">
        <w:rPr>
          <w:rFonts w:ascii="Arial" w:hAnsi="Arial" w:cs="Arial"/>
          <w:i/>
          <w:iCs/>
        </w:rPr>
        <w:t xml:space="preserve">Measures </w:t>
      </w:r>
    </w:p>
    <w:p w14:paraId="6B83D73F" w14:textId="3E275748" w:rsidR="008D2105" w:rsidRPr="00826530" w:rsidRDefault="008D2105" w:rsidP="00F22BCF">
      <w:pPr>
        <w:spacing w:line="480" w:lineRule="auto"/>
        <w:rPr>
          <w:rFonts w:ascii="Arial" w:hAnsi="Arial" w:cs="Arial"/>
          <w:i/>
          <w:iCs/>
        </w:rPr>
      </w:pPr>
      <w:r w:rsidRPr="00826530">
        <w:rPr>
          <w:rFonts w:ascii="Arial" w:hAnsi="Arial" w:cs="Arial"/>
          <w:i/>
          <w:iCs/>
        </w:rPr>
        <w:t>Outcome Measure</w:t>
      </w:r>
    </w:p>
    <w:p w14:paraId="15EBB6E8" w14:textId="1F60DDC1" w:rsidR="008D2105" w:rsidRPr="00826530" w:rsidRDefault="008D2105" w:rsidP="00F22BCF">
      <w:pPr>
        <w:spacing w:line="480" w:lineRule="auto"/>
        <w:ind w:firstLine="720"/>
        <w:rPr>
          <w:rFonts w:ascii="Arial" w:hAnsi="Arial" w:cs="Arial"/>
        </w:rPr>
      </w:pPr>
      <w:r w:rsidRPr="00826530">
        <w:rPr>
          <w:rFonts w:ascii="Arial" w:hAnsi="Arial" w:cs="Arial"/>
        </w:rPr>
        <w:t xml:space="preserve">Transactional sex was identified through a series of questions which asked about recent </w:t>
      </w:r>
      <w:r w:rsidR="008264A2" w:rsidRPr="00826530">
        <w:rPr>
          <w:rFonts w:ascii="Arial" w:hAnsi="Arial" w:cs="Arial"/>
        </w:rPr>
        <w:t>(</w:t>
      </w:r>
      <w:r w:rsidRPr="00826530">
        <w:rPr>
          <w:rFonts w:ascii="Arial" w:hAnsi="Arial" w:cs="Arial"/>
        </w:rPr>
        <w:t xml:space="preserve">past </w:t>
      </w:r>
      <w:r w:rsidR="009D6836">
        <w:rPr>
          <w:rFonts w:ascii="Arial" w:hAnsi="Arial" w:cs="Arial"/>
        </w:rPr>
        <w:t>6</w:t>
      </w:r>
      <w:r w:rsidRPr="00826530">
        <w:rPr>
          <w:rFonts w:ascii="Arial" w:hAnsi="Arial" w:cs="Arial"/>
        </w:rPr>
        <w:t xml:space="preserve"> months) transactional sex through receiving and giving drugs, money</w:t>
      </w:r>
      <w:r w:rsidR="008264A2" w:rsidRPr="00826530">
        <w:rPr>
          <w:rFonts w:ascii="Arial" w:hAnsi="Arial" w:cs="Arial"/>
        </w:rPr>
        <w:t>,</w:t>
      </w:r>
      <w:r w:rsidRPr="00826530">
        <w:rPr>
          <w:rFonts w:ascii="Arial" w:hAnsi="Arial" w:cs="Arial"/>
        </w:rPr>
        <w:t xml:space="preserve"> or goods for sex (e.g., “Have you received money in exchange for sex?”; “Have you </w:t>
      </w:r>
      <w:r w:rsidR="00226457" w:rsidRPr="00826530">
        <w:rPr>
          <w:rFonts w:ascii="Arial" w:hAnsi="Arial" w:cs="Arial"/>
        </w:rPr>
        <w:t>given</w:t>
      </w:r>
      <w:r w:rsidRPr="00826530">
        <w:rPr>
          <w:rFonts w:ascii="Arial" w:hAnsi="Arial" w:cs="Arial"/>
        </w:rPr>
        <w:t xml:space="preserve"> drugs in exchange for sex?”) with response options: no; yes, in the past 6 months; and yes, but not in the past 6 months. </w:t>
      </w:r>
      <w:r w:rsidR="00D326B6" w:rsidRPr="00826530">
        <w:rPr>
          <w:rFonts w:ascii="Arial" w:hAnsi="Arial" w:cs="Arial"/>
        </w:rPr>
        <w:t xml:space="preserve">Participants were also asked to indicate if they had received money from “escort work or sex work” in the past six months. </w:t>
      </w:r>
      <w:r w:rsidR="005F31F9" w:rsidRPr="00826530">
        <w:rPr>
          <w:rFonts w:ascii="Arial" w:hAnsi="Arial" w:cs="Arial"/>
        </w:rPr>
        <w:t>As only 5 participants reported only giving drugs, money, or good</w:t>
      </w:r>
      <w:r w:rsidR="00D326B6" w:rsidRPr="00826530">
        <w:rPr>
          <w:rFonts w:ascii="Arial" w:hAnsi="Arial" w:cs="Arial"/>
        </w:rPr>
        <w:t>s</w:t>
      </w:r>
      <w:r w:rsidR="005F31F9" w:rsidRPr="00826530">
        <w:rPr>
          <w:rFonts w:ascii="Arial" w:hAnsi="Arial" w:cs="Arial"/>
        </w:rPr>
        <w:t xml:space="preserve"> for sex, these were removed from the analysis. Remaining r</w:t>
      </w:r>
      <w:r w:rsidRPr="00826530">
        <w:rPr>
          <w:rFonts w:ascii="Arial" w:hAnsi="Arial" w:cs="Arial"/>
        </w:rPr>
        <w:t xml:space="preserve">esponses were dichotomized into </w:t>
      </w:r>
      <w:r w:rsidR="005F31F9" w:rsidRPr="00826530">
        <w:rPr>
          <w:rFonts w:ascii="Arial" w:hAnsi="Arial" w:cs="Arial"/>
        </w:rPr>
        <w:t>“</w:t>
      </w:r>
      <w:r w:rsidRPr="00826530">
        <w:rPr>
          <w:rFonts w:ascii="Arial" w:hAnsi="Arial" w:cs="Arial"/>
        </w:rPr>
        <w:t>Yes</w:t>
      </w:r>
      <w:r w:rsidR="005F31F9" w:rsidRPr="00826530">
        <w:rPr>
          <w:rFonts w:ascii="Arial" w:hAnsi="Arial" w:cs="Arial"/>
        </w:rPr>
        <w:t>”</w:t>
      </w:r>
      <w:r w:rsidRPr="00826530">
        <w:rPr>
          <w:rFonts w:ascii="Arial" w:hAnsi="Arial" w:cs="Arial"/>
        </w:rPr>
        <w:t xml:space="preserve">, if participants indicated </w:t>
      </w:r>
      <w:r w:rsidR="005F31F9" w:rsidRPr="00826530">
        <w:rPr>
          <w:rFonts w:ascii="Arial" w:hAnsi="Arial" w:cs="Arial"/>
        </w:rPr>
        <w:t xml:space="preserve">having “received” or “received and given” something for sex in the past </w:t>
      </w:r>
      <w:r w:rsidR="002A4429">
        <w:rPr>
          <w:rFonts w:ascii="Arial" w:hAnsi="Arial" w:cs="Arial"/>
        </w:rPr>
        <w:t>6 months</w:t>
      </w:r>
      <w:r w:rsidR="00D326B6" w:rsidRPr="00826530">
        <w:rPr>
          <w:rFonts w:ascii="Arial" w:hAnsi="Arial" w:cs="Arial"/>
        </w:rPr>
        <w:t xml:space="preserve">, or if they indicated escort or sex work in the </w:t>
      </w:r>
      <w:r w:rsidR="002A4429">
        <w:rPr>
          <w:rFonts w:ascii="Arial" w:hAnsi="Arial" w:cs="Arial"/>
        </w:rPr>
        <w:t>past 6 months</w:t>
      </w:r>
      <w:r w:rsidR="00D326B6" w:rsidRPr="00826530">
        <w:rPr>
          <w:rFonts w:ascii="Arial" w:hAnsi="Arial" w:cs="Arial"/>
        </w:rPr>
        <w:t>,</w:t>
      </w:r>
      <w:r w:rsidRPr="00826530">
        <w:rPr>
          <w:rFonts w:ascii="Arial" w:hAnsi="Arial" w:cs="Arial"/>
        </w:rPr>
        <w:t xml:space="preserve"> and </w:t>
      </w:r>
      <w:r w:rsidR="005F31F9" w:rsidRPr="00826530">
        <w:rPr>
          <w:rFonts w:ascii="Arial" w:hAnsi="Arial" w:cs="Arial"/>
        </w:rPr>
        <w:t>“</w:t>
      </w:r>
      <w:r w:rsidRPr="00826530">
        <w:rPr>
          <w:rFonts w:ascii="Arial" w:hAnsi="Arial" w:cs="Arial"/>
        </w:rPr>
        <w:t>No</w:t>
      </w:r>
      <w:r w:rsidR="005F31F9" w:rsidRPr="00826530">
        <w:rPr>
          <w:rFonts w:ascii="Arial" w:hAnsi="Arial" w:cs="Arial"/>
        </w:rPr>
        <w:t>”</w:t>
      </w:r>
      <w:r w:rsidRPr="00826530">
        <w:rPr>
          <w:rFonts w:ascii="Arial" w:hAnsi="Arial" w:cs="Arial"/>
        </w:rPr>
        <w:t xml:space="preserve">, if participants indicated </w:t>
      </w:r>
      <w:r w:rsidR="005F31F9" w:rsidRPr="00826530">
        <w:rPr>
          <w:rFonts w:ascii="Arial" w:hAnsi="Arial" w:cs="Arial"/>
        </w:rPr>
        <w:t>“</w:t>
      </w:r>
      <w:r w:rsidRPr="00826530">
        <w:rPr>
          <w:rFonts w:ascii="Arial" w:hAnsi="Arial" w:cs="Arial"/>
        </w:rPr>
        <w:t>no</w:t>
      </w:r>
      <w:r w:rsidR="005F31F9" w:rsidRPr="00826530">
        <w:rPr>
          <w:rFonts w:ascii="Arial" w:hAnsi="Arial" w:cs="Arial"/>
        </w:rPr>
        <w:t>”</w:t>
      </w:r>
      <w:r w:rsidRPr="00826530">
        <w:rPr>
          <w:rFonts w:ascii="Arial" w:hAnsi="Arial" w:cs="Arial"/>
        </w:rPr>
        <w:t xml:space="preserve"> or </w:t>
      </w:r>
      <w:r w:rsidR="005F31F9" w:rsidRPr="00826530">
        <w:rPr>
          <w:rFonts w:ascii="Arial" w:hAnsi="Arial" w:cs="Arial"/>
        </w:rPr>
        <w:t>“</w:t>
      </w:r>
      <w:r w:rsidRPr="00826530">
        <w:rPr>
          <w:rFonts w:ascii="Arial" w:hAnsi="Arial" w:cs="Arial"/>
        </w:rPr>
        <w:t>yes</w:t>
      </w:r>
      <w:r w:rsidR="00226457" w:rsidRPr="00826530">
        <w:rPr>
          <w:rFonts w:ascii="Arial" w:hAnsi="Arial" w:cs="Arial"/>
        </w:rPr>
        <w:t xml:space="preserve">, but not in </w:t>
      </w:r>
      <w:r w:rsidR="005F31F9" w:rsidRPr="00826530">
        <w:rPr>
          <w:rFonts w:ascii="Arial" w:hAnsi="Arial" w:cs="Arial"/>
        </w:rPr>
        <w:t xml:space="preserve">the </w:t>
      </w:r>
      <w:r w:rsidR="002A4429">
        <w:rPr>
          <w:rFonts w:ascii="Arial" w:hAnsi="Arial" w:cs="Arial"/>
        </w:rPr>
        <w:t>past 6 months</w:t>
      </w:r>
      <w:r w:rsidR="005F31F9" w:rsidRPr="00826530">
        <w:rPr>
          <w:rFonts w:ascii="Arial" w:hAnsi="Arial" w:cs="Arial"/>
        </w:rPr>
        <w:t>”</w:t>
      </w:r>
      <w:r w:rsidRPr="00826530">
        <w:rPr>
          <w:rFonts w:ascii="Arial" w:hAnsi="Arial" w:cs="Arial"/>
        </w:rPr>
        <w:t xml:space="preserve">. </w:t>
      </w:r>
    </w:p>
    <w:p w14:paraId="076D37FE" w14:textId="68121981" w:rsidR="00226457" w:rsidRPr="00826530" w:rsidRDefault="00226457" w:rsidP="00F22BCF">
      <w:pPr>
        <w:spacing w:line="480" w:lineRule="auto"/>
        <w:rPr>
          <w:rFonts w:ascii="Arial" w:hAnsi="Arial" w:cs="Arial"/>
          <w:i/>
          <w:iCs/>
        </w:rPr>
      </w:pPr>
      <w:r w:rsidRPr="00826530">
        <w:rPr>
          <w:rFonts w:ascii="Arial" w:hAnsi="Arial" w:cs="Arial"/>
          <w:i/>
          <w:iCs/>
        </w:rPr>
        <w:t>Sexual Behavio</w:t>
      </w:r>
      <w:r w:rsidR="00047C0D" w:rsidRPr="00826530">
        <w:rPr>
          <w:rFonts w:ascii="Arial" w:hAnsi="Arial" w:cs="Arial"/>
          <w:i/>
          <w:iCs/>
        </w:rPr>
        <w:t>u</w:t>
      </w:r>
      <w:r w:rsidRPr="00826530">
        <w:rPr>
          <w:rFonts w:ascii="Arial" w:hAnsi="Arial" w:cs="Arial"/>
          <w:i/>
          <w:iCs/>
        </w:rPr>
        <w:t>rs</w:t>
      </w:r>
    </w:p>
    <w:p w14:paraId="203936AE" w14:textId="3067FADA" w:rsidR="00226457" w:rsidRPr="00826530" w:rsidRDefault="00961C0D" w:rsidP="00F22BCF">
      <w:pPr>
        <w:spacing w:line="480" w:lineRule="auto"/>
        <w:rPr>
          <w:rFonts w:ascii="Arial" w:hAnsi="Arial" w:cs="Arial"/>
        </w:rPr>
      </w:pPr>
      <w:r w:rsidRPr="00826530">
        <w:rPr>
          <w:rFonts w:ascii="Arial" w:hAnsi="Arial" w:cs="Arial"/>
          <w:i/>
          <w:iCs/>
        </w:rPr>
        <w:tab/>
      </w:r>
      <w:r w:rsidRPr="00826530">
        <w:rPr>
          <w:rFonts w:ascii="Arial" w:hAnsi="Arial" w:cs="Arial"/>
        </w:rPr>
        <w:t>We</w:t>
      </w:r>
      <w:r w:rsidR="008C4C81" w:rsidRPr="00826530">
        <w:rPr>
          <w:rFonts w:ascii="Arial" w:hAnsi="Arial" w:cs="Arial"/>
        </w:rPr>
        <w:t xml:space="preserve"> asked participants to report the number of male and female sex partners they had had in the past 6 months and their preferred anal sex position (top, bottom, </w:t>
      </w:r>
      <w:r w:rsidR="008C4C81" w:rsidRPr="00826530">
        <w:rPr>
          <w:rFonts w:ascii="Arial" w:hAnsi="Arial" w:cs="Arial"/>
        </w:rPr>
        <w:lastRenderedPageBreak/>
        <w:t xml:space="preserve">versatile, prefer no anal sex). We </w:t>
      </w:r>
      <w:r w:rsidRPr="00826530">
        <w:rPr>
          <w:rFonts w:ascii="Arial" w:hAnsi="Arial" w:cs="Arial"/>
        </w:rPr>
        <w:t>assessed online sexual behavio</w:t>
      </w:r>
      <w:r w:rsidR="00047C0D" w:rsidRPr="00826530">
        <w:rPr>
          <w:rFonts w:ascii="Arial" w:hAnsi="Arial" w:cs="Arial"/>
        </w:rPr>
        <w:t>u</w:t>
      </w:r>
      <w:r w:rsidRPr="00826530">
        <w:rPr>
          <w:rFonts w:ascii="Arial" w:hAnsi="Arial" w:cs="Arial"/>
        </w:rPr>
        <w:t xml:space="preserve">rs such as </w:t>
      </w:r>
      <w:r w:rsidR="008C4C81" w:rsidRPr="00826530">
        <w:rPr>
          <w:rFonts w:ascii="Arial" w:hAnsi="Arial" w:cs="Arial"/>
        </w:rPr>
        <w:t>recent (</w:t>
      </w:r>
      <w:r w:rsidR="002707FE" w:rsidRPr="00826530">
        <w:rPr>
          <w:rFonts w:ascii="Arial" w:hAnsi="Arial" w:cs="Arial"/>
        </w:rPr>
        <w:t>past 6 month</w:t>
      </w:r>
      <w:r w:rsidR="00CE3062">
        <w:rPr>
          <w:rFonts w:ascii="Arial" w:hAnsi="Arial" w:cs="Arial"/>
        </w:rPr>
        <w:t>s</w:t>
      </w:r>
      <w:r w:rsidR="008C4C81" w:rsidRPr="00826530">
        <w:rPr>
          <w:rFonts w:ascii="Arial" w:hAnsi="Arial" w:cs="Arial"/>
        </w:rPr>
        <w:t>) use of</w:t>
      </w:r>
      <w:r w:rsidRPr="00826530">
        <w:rPr>
          <w:rFonts w:ascii="Arial" w:hAnsi="Arial" w:cs="Arial"/>
        </w:rPr>
        <w:t xml:space="preserve"> chat lines, phone-based apps</w:t>
      </w:r>
      <w:r w:rsidR="008264A2" w:rsidRPr="00826530">
        <w:rPr>
          <w:rFonts w:ascii="Arial" w:hAnsi="Arial" w:cs="Arial"/>
        </w:rPr>
        <w:t>,</w:t>
      </w:r>
      <w:r w:rsidRPr="00826530">
        <w:rPr>
          <w:rFonts w:ascii="Arial" w:hAnsi="Arial" w:cs="Arial"/>
        </w:rPr>
        <w:t xml:space="preserve"> and websites to seek sex</w:t>
      </w:r>
      <w:r w:rsidR="00A83368" w:rsidRPr="00826530">
        <w:rPr>
          <w:rFonts w:ascii="Arial" w:hAnsi="Arial" w:cs="Arial"/>
        </w:rPr>
        <w:t xml:space="preserve">. We also assessed </w:t>
      </w:r>
      <w:r w:rsidR="008C4C81" w:rsidRPr="00826530">
        <w:rPr>
          <w:rFonts w:ascii="Arial" w:hAnsi="Arial" w:cs="Arial"/>
        </w:rPr>
        <w:t>additional recent (p</w:t>
      </w:r>
      <w:r w:rsidR="00CE3062">
        <w:rPr>
          <w:rFonts w:ascii="Arial" w:hAnsi="Arial" w:cs="Arial"/>
        </w:rPr>
        <w:t xml:space="preserve">ast </w:t>
      </w:r>
      <w:r w:rsidR="008C4C81" w:rsidRPr="00826530">
        <w:rPr>
          <w:rFonts w:ascii="Arial" w:hAnsi="Arial" w:cs="Arial"/>
        </w:rPr>
        <w:t>6</w:t>
      </w:r>
      <w:r w:rsidR="00CE3062">
        <w:rPr>
          <w:rFonts w:ascii="Arial" w:hAnsi="Arial" w:cs="Arial"/>
        </w:rPr>
        <w:t xml:space="preserve"> </w:t>
      </w:r>
      <w:r w:rsidR="008C4C81" w:rsidRPr="00826530">
        <w:rPr>
          <w:rFonts w:ascii="Arial" w:hAnsi="Arial" w:cs="Arial"/>
        </w:rPr>
        <w:t>m</w:t>
      </w:r>
      <w:r w:rsidR="00CE3062">
        <w:rPr>
          <w:rFonts w:ascii="Arial" w:hAnsi="Arial" w:cs="Arial"/>
        </w:rPr>
        <w:t>onths</w:t>
      </w:r>
      <w:r w:rsidR="008C4C81" w:rsidRPr="00826530">
        <w:rPr>
          <w:rFonts w:ascii="Arial" w:hAnsi="Arial" w:cs="Arial"/>
        </w:rPr>
        <w:t xml:space="preserve">) sexual behaviours including sex party attendance (defined as an event where 4 or more people get together for sex, including darkroom and blackout events), </w:t>
      </w:r>
      <w:r w:rsidR="00A83368" w:rsidRPr="00826530">
        <w:rPr>
          <w:rFonts w:ascii="Arial" w:hAnsi="Arial" w:cs="Arial"/>
        </w:rPr>
        <w:t xml:space="preserve">fisting, using sex toys with partners, engaging in </w:t>
      </w:r>
      <w:proofErr w:type="spellStart"/>
      <w:r w:rsidR="00A83368" w:rsidRPr="00826530">
        <w:rPr>
          <w:rFonts w:ascii="Arial" w:hAnsi="Arial" w:cs="Arial"/>
        </w:rPr>
        <w:t>watersports</w:t>
      </w:r>
      <w:proofErr w:type="spellEnd"/>
      <w:r w:rsidR="00A83368" w:rsidRPr="00826530">
        <w:rPr>
          <w:rFonts w:ascii="Arial" w:hAnsi="Arial" w:cs="Arial"/>
        </w:rPr>
        <w:t>, and condomless anal sex with a ser</w:t>
      </w:r>
      <w:r w:rsidR="008264A2" w:rsidRPr="00826530">
        <w:rPr>
          <w:rFonts w:ascii="Arial" w:hAnsi="Arial" w:cs="Arial"/>
        </w:rPr>
        <w:t>o</w:t>
      </w:r>
      <w:r w:rsidR="008C4C81" w:rsidRPr="00826530">
        <w:rPr>
          <w:rFonts w:ascii="Arial" w:hAnsi="Arial" w:cs="Arial"/>
        </w:rPr>
        <w:t>different</w:t>
      </w:r>
      <w:r w:rsidR="00A83368" w:rsidRPr="00826530">
        <w:rPr>
          <w:rFonts w:ascii="Arial" w:hAnsi="Arial" w:cs="Arial"/>
        </w:rPr>
        <w:t xml:space="preserve"> or unknown </w:t>
      </w:r>
      <w:r w:rsidR="008C4C81" w:rsidRPr="00826530">
        <w:rPr>
          <w:rFonts w:ascii="Arial" w:hAnsi="Arial" w:cs="Arial"/>
        </w:rPr>
        <w:t>HIV-</w:t>
      </w:r>
      <w:r w:rsidR="00A83368" w:rsidRPr="00826530">
        <w:rPr>
          <w:rFonts w:ascii="Arial" w:hAnsi="Arial" w:cs="Arial"/>
        </w:rPr>
        <w:t>status partner</w:t>
      </w:r>
      <w:r w:rsidR="008C4C81" w:rsidRPr="00826530">
        <w:rPr>
          <w:rFonts w:ascii="Arial" w:hAnsi="Arial" w:cs="Arial"/>
        </w:rPr>
        <w:t>.</w:t>
      </w:r>
      <w:r w:rsidR="00A83368" w:rsidRPr="00826530">
        <w:rPr>
          <w:rFonts w:ascii="Arial" w:hAnsi="Arial" w:cs="Arial"/>
        </w:rPr>
        <w:t xml:space="preserve"> </w:t>
      </w:r>
      <w:r w:rsidR="00135C2B" w:rsidRPr="00826530">
        <w:rPr>
          <w:rFonts w:ascii="Arial" w:hAnsi="Arial" w:cs="Arial"/>
        </w:rPr>
        <w:t xml:space="preserve">We </w:t>
      </w:r>
      <w:r w:rsidR="00FE2276" w:rsidRPr="00826530">
        <w:rPr>
          <w:rFonts w:ascii="Arial" w:hAnsi="Arial" w:cs="Arial"/>
        </w:rPr>
        <w:t xml:space="preserve">also </w:t>
      </w:r>
      <w:r w:rsidR="00F17C40">
        <w:rPr>
          <w:rFonts w:ascii="Arial" w:hAnsi="Arial" w:cs="Arial"/>
        </w:rPr>
        <w:t xml:space="preserve">asked </w:t>
      </w:r>
      <w:r w:rsidR="00135C2B" w:rsidRPr="00826530">
        <w:rPr>
          <w:rFonts w:ascii="Arial" w:hAnsi="Arial" w:cs="Arial"/>
        </w:rPr>
        <w:t xml:space="preserve">participants </w:t>
      </w:r>
      <w:r w:rsidR="00081B65">
        <w:rPr>
          <w:rFonts w:ascii="Arial" w:hAnsi="Arial" w:cs="Arial"/>
        </w:rPr>
        <w:t xml:space="preserve">to indicate which of the following strategies they use to prevent themselves or their partners from getting HIV (participants could indicate more than one response): </w:t>
      </w:r>
      <w:r w:rsidR="00135C2B" w:rsidRPr="00826530">
        <w:rPr>
          <w:rFonts w:ascii="Arial" w:hAnsi="Arial" w:cs="Arial"/>
        </w:rPr>
        <w:t>always</w:t>
      </w:r>
      <w:r w:rsidR="00081B65">
        <w:rPr>
          <w:rFonts w:ascii="Arial" w:hAnsi="Arial" w:cs="Arial"/>
        </w:rPr>
        <w:t xml:space="preserve"> using</w:t>
      </w:r>
      <w:r w:rsidR="00135C2B" w:rsidRPr="00826530">
        <w:rPr>
          <w:rFonts w:ascii="Arial" w:hAnsi="Arial" w:cs="Arial"/>
        </w:rPr>
        <w:t xml:space="preserve"> condoms</w:t>
      </w:r>
      <w:r w:rsidR="00081B65">
        <w:rPr>
          <w:rFonts w:ascii="Arial" w:hAnsi="Arial" w:cs="Arial"/>
        </w:rPr>
        <w:t xml:space="preserve"> for anal sex</w:t>
      </w:r>
      <w:r w:rsidR="00135C2B" w:rsidRPr="00826530">
        <w:rPr>
          <w:rFonts w:ascii="Arial" w:hAnsi="Arial" w:cs="Arial"/>
        </w:rPr>
        <w:t xml:space="preserve">, </w:t>
      </w:r>
      <w:r w:rsidR="00081B65">
        <w:rPr>
          <w:rFonts w:ascii="Arial" w:hAnsi="Arial" w:cs="Arial"/>
        </w:rPr>
        <w:t xml:space="preserve">being the top (for HIV-negative participants) or bottom (for participants living with HIV) for anal sex (referred to as </w:t>
      </w:r>
      <w:proofErr w:type="spellStart"/>
      <w:r w:rsidR="00081B65">
        <w:rPr>
          <w:rFonts w:ascii="Arial" w:hAnsi="Arial" w:cs="Arial"/>
        </w:rPr>
        <w:t>sero</w:t>
      </w:r>
      <w:proofErr w:type="spellEnd"/>
      <w:r w:rsidR="00081B65">
        <w:rPr>
          <w:rFonts w:ascii="Arial" w:hAnsi="Arial" w:cs="Arial"/>
        </w:rPr>
        <w:t>-positioning)</w:t>
      </w:r>
      <w:r w:rsidR="00135C2B" w:rsidRPr="00826530">
        <w:rPr>
          <w:rFonts w:ascii="Arial" w:hAnsi="Arial" w:cs="Arial"/>
        </w:rPr>
        <w:t xml:space="preserve">, </w:t>
      </w:r>
      <w:r w:rsidR="00081B65">
        <w:rPr>
          <w:rFonts w:ascii="Arial" w:hAnsi="Arial" w:cs="Arial"/>
        </w:rPr>
        <w:t>having sex which doesn’t include</w:t>
      </w:r>
      <w:r w:rsidR="00135C2B" w:rsidRPr="00826530">
        <w:rPr>
          <w:rFonts w:ascii="Arial" w:hAnsi="Arial" w:cs="Arial"/>
        </w:rPr>
        <w:t xml:space="preserve"> anal sex,</w:t>
      </w:r>
      <w:r w:rsidR="00081B65">
        <w:rPr>
          <w:rFonts w:ascii="Arial" w:hAnsi="Arial" w:cs="Arial"/>
        </w:rPr>
        <w:t xml:space="preserve"> having sex without condoms only with guys I know are HIV-negative (for HIV-negative participants) or HIV-positive (for participants living with HIV) (referred to as </w:t>
      </w:r>
      <w:proofErr w:type="spellStart"/>
      <w:r w:rsidR="00135C2B" w:rsidRPr="00826530">
        <w:rPr>
          <w:rFonts w:ascii="Arial" w:hAnsi="Arial" w:cs="Arial"/>
        </w:rPr>
        <w:t>sero</w:t>
      </w:r>
      <w:proofErr w:type="spellEnd"/>
      <w:r w:rsidR="00135C2B" w:rsidRPr="00826530">
        <w:rPr>
          <w:rFonts w:ascii="Arial" w:hAnsi="Arial" w:cs="Arial"/>
        </w:rPr>
        <w:t>-sorting</w:t>
      </w:r>
      <w:r w:rsidR="00081B65">
        <w:rPr>
          <w:rFonts w:ascii="Arial" w:hAnsi="Arial" w:cs="Arial"/>
        </w:rPr>
        <w:t>)</w:t>
      </w:r>
      <w:r w:rsidR="00135C2B" w:rsidRPr="00826530">
        <w:rPr>
          <w:rFonts w:ascii="Arial" w:hAnsi="Arial" w:cs="Arial"/>
        </w:rPr>
        <w:t xml:space="preserve">, </w:t>
      </w:r>
      <w:r w:rsidR="00081B65">
        <w:rPr>
          <w:rFonts w:ascii="Arial" w:hAnsi="Arial" w:cs="Arial"/>
        </w:rPr>
        <w:t xml:space="preserve">having sex without condoms with HIV-positive guys who have low viral loads or on HIV treatment (for HIV-negative participants) OR having sex without condoms if my viral load is low or I’m on HIV treatment (for participants living with HIV) (referred to as </w:t>
      </w:r>
      <w:r w:rsidR="00135C2B" w:rsidRPr="00826530">
        <w:rPr>
          <w:rFonts w:ascii="Arial" w:hAnsi="Arial" w:cs="Arial"/>
        </w:rPr>
        <w:t xml:space="preserve">viral load sorting, </w:t>
      </w:r>
      <w:r w:rsidR="00081B65">
        <w:rPr>
          <w:rFonts w:ascii="Arial" w:hAnsi="Arial" w:cs="Arial"/>
        </w:rPr>
        <w:t xml:space="preserve">not letting my partners cum inside me (for HIV-negative participants) OR not </w:t>
      </w:r>
      <w:proofErr w:type="spellStart"/>
      <w:r w:rsidR="00081B65">
        <w:rPr>
          <w:rFonts w:ascii="Arial" w:hAnsi="Arial" w:cs="Arial"/>
        </w:rPr>
        <w:t>cumming</w:t>
      </w:r>
      <w:proofErr w:type="spellEnd"/>
      <w:r w:rsidR="00081B65">
        <w:rPr>
          <w:rFonts w:ascii="Arial" w:hAnsi="Arial" w:cs="Arial"/>
        </w:rPr>
        <w:t xml:space="preserve"> inside my sex partners (referred to as </w:t>
      </w:r>
      <w:r w:rsidR="00135C2B" w:rsidRPr="00826530">
        <w:rPr>
          <w:rFonts w:ascii="Arial" w:hAnsi="Arial" w:cs="Arial"/>
        </w:rPr>
        <w:t>withdrawal</w:t>
      </w:r>
      <w:r w:rsidR="00081B65">
        <w:rPr>
          <w:rFonts w:ascii="Arial" w:hAnsi="Arial" w:cs="Arial"/>
        </w:rPr>
        <w:t>)</w:t>
      </w:r>
      <w:r w:rsidR="00135C2B" w:rsidRPr="00826530">
        <w:rPr>
          <w:rFonts w:ascii="Arial" w:hAnsi="Arial" w:cs="Arial"/>
        </w:rPr>
        <w:t>,</w:t>
      </w:r>
      <w:r w:rsidR="00081B65">
        <w:rPr>
          <w:rFonts w:ascii="Arial" w:hAnsi="Arial" w:cs="Arial"/>
        </w:rPr>
        <w:t xml:space="preserve"> and</w:t>
      </w:r>
      <w:r w:rsidR="00135C2B" w:rsidRPr="00826530">
        <w:rPr>
          <w:rFonts w:ascii="Arial" w:hAnsi="Arial" w:cs="Arial"/>
        </w:rPr>
        <w:t xml:space="preserve"> asking</w:t>
      </w:r>
      <w:r w:rsidR="008C4C81" w:rsidRPr="00826530">
        <w:rPr>
          <w:rFonts w:ascii="Arial" w:hAnsi="Arial" w:cs="Arial"/>
        </w:rPr>
        <w:t xml:space="preserve"> </w:t>
      </w:r>
      <w:r w:rsidR="00081B65">
        <w:rPr>
          <w:rFonts w:ascii="Arial" w:hAnsi="Arial" w:cs="Arial"/>
        </w:rPr>
        <w:t xml:space="preserve">sex </w:t>
      </w:r>
      <w:r w:rsidR="008C4C81" w:rsidRPr="00826530">
        <w:rPr>
          <w:rFonts w:ascii="Arial" w:hAnsi="Arial" w:cs="Arial"/>
        </w:rPr>
        <w:t>partners</w:t>
      </w:r>
      <w:r w:rsidR="00081B65">
        <w:rPr>
          <w:rFonts w:ascii="Arial" w:hAnsi="Arial" w:cs="Arial"/>
        </w:rPr>
        <w:t xml:space="preserve"> about their</w:t>
      </w:r>
      <w:r w:rsidR="008C4C81" w:rsidRPr="00826530">
        <w:rPr>
          <w:rFonts w:ascii="Arial" w:hAnsi="Arial" w:cs="Arial"/>
        </w:rPr>
        <w:t xml:space="preserve"> </w:t>
      </w:r>
      <w:r w:rsidR="00135C2B" w:rsidRPr="00826530">
        <w:rPr>
          <w:rFonts w:ascii="Arial" w:hAnsi="Arial" w:cs="Arial"/>
        </w:rPr>
        <w:t>HIV status</w:t>
      </w:r>
      <w:r w:rsidR="00081B65">
        <w:rPr>
          <w:rFonts w:ascii="Arial" w:hAnsi="Arial" w:cs="Arial"/>
        </w:rPr>
        <w:t xml:space="preserve"> before sex. We also asked participants how often they </w:t>
      </w:r>
      <w:r w:rsidR="00135C2B" w:rsidRPr="00826530">
        <w:rPr>
          <w:rFonts w:ascii="Arial" w:hAnsi="Arial" w:cs="Arial"/>
        </w:rPr>
        <w:t>disclos</w:t>
      </w:r>
      <w:r w:rsidR="00081B65">
        <w:rPr>
          <w:rFonts w:ascii="Arial" w:hAnsi="Arial" w:cs="Arial"/>
        </w:rPr>
        <w:t>e</w:t>
      </w:r>
      <w:r w:rsidR="00135C2B" w:rsidRPr="00826530">
        <w:rPr>
          <w:rFonts w:ascii="Arial" w:hAnsi="Arial" w:cs="Arial"/>
        </w:rPr>
        <w:t xml:space="preserve"> </w:t>
      </w:r>
      <w:r w:rsidR="00081B65">
        <w:rPr>
          <w:rFonts w:ascii="Arial" w:hAnsi="Arial" w:cs="Arial"/>
        </w:rPr>
        <w:t>their</w:t>
      </w:r>
      <w:r w:rsidR="008C4C81" w:rsidRPr="00826530">
        <w:rPr>
          <w:rFonts w:ascii="Arial" w:hAnsi="Arial" w:cs="Arial"/>
        </w:rPr>
        <w:t xml:space="preserve"> own </w:t>
      </w:r>
      <w:r w:rsidR="00135C2B" w:rsidRPr="00826530">
        <w:rPr>
          <w:rFonts w:ascii="Arial" w:hAnsi="Arial" w:cs="Arial"/>
        </w:rPr>
        <w:t>HIV status</w:t>
      </w:r>
      <w:r w:rsidR="00081B65">
        <w:rPr>
          <w:rFonts w:ascii="Arial" w:hAnsi="Arial" w:cs="Arial"/>
        </w:rPr>
        <w:t xml:space="preserve"> prior to sex</w:t>
      </w:r>
      <w:r w:rsidR="00135C2B" w:rsidRPr="00826530">
        <w:rPr>
          <w:rFonts w:ascii="Arial" w:hAnsi="Arial" w:cs="Arial"/>
        </w:rPr>
        <w:t xml:space="preserve">. </w:t>
      </w:r>
      <w:r w:rsidRPr="00826530">
        <w:rPr>
          <w:rFonts w:ascii="Arial" w:hAnsi="Arial" w:cs="Arial"/>
        </w:rPr>
        <w:tab/>
      </w:r>
    </w:p>
    <w:p w14:paraId="6A22BBAC" w14:textId="3C5B60B1" w:rsidR="00226457" w:rsidRPr="00826530" w:rsidRDefault="00226457" w:rsidP="00F22BCF">
      <w:pPr>
        <w:spacing w:line="480" w:lineRule="auto"/>
        <w:rPr>
          <w:rFonts w:ascii="Arial" w:hAnsi="Arial" w:cs="Arial"/>
          <w:i/>
          <w:iCs/>
        </w:rPr>
      </w:pPr>
      <w:r w:rsidRPr="00826530">
        <w:rPr>
          <w:rFonts w:ascii="Arial" w:hAnsi="Arial" w:cs="Arial"/>
          <w:i/>
          <w:iCs/>
        </w:rPr>
        <w:t>Community Connectedness</w:t>
      </w:r>
    </w:p>
    <w:p w14:paraId="5D4B625F" w14:textId="18EF0AC0" w:rsidR="00226457" w:rsidRPr="00826530" w:rsidRDefault="00135C2B" w:rsidP="00F22BCF">
      <w:pPr>
        <w:spacing w:line="480" w:lineRule="auto"/>
        <w:rPr>
          <w:rFonts w:ascii="Arial" w:hAnsi="Arial" w:cs="Arial"/>
        </w:rPr>
      </w:pPr>
      <w:r w:rsidRPr="00826530">
        <w:rPr>
          <w:rFonts w:ascii="Arial" w:hAnsi="Arial" w:cs="Arial"/>
          <w:i/>
          <w:iCs/>
        </w:rPr>
        <w:tab/>
      </w:r>
      <w:r w:rsidRPr="00826530">
        <w:rPr>
          <w:rFonts w:ascii="Arial" w:hAnsi="Arial" w:cs="Arial"/>
        </w:rPr>
        <w:t>Community connectedness measured attendance of pride parades in the past year,</w:t>
      </w:r>
      <w:r w:rsidR="005C1D35" w:rsidRPr="00826530">
        <w:rPr>
          <w:rFonts w:ascii="Arial" w:hAnsi="Arial" w:cs="Arial"/>
        </w:rPr>
        <w:t xml:space="preserve"> and</w:t>
      </w:r>
      <w:r w:rsidRPr="00826530">
        <w:rPr>
          <w:rFonts w:ascii="Arial" w:hAnsi="Arial" w:cs="Arial"/>
        </w:rPr>
        <w:t xml:space="preserve"> attend</w:t>
      </w:r>
      <w:r w:rsidR="005C1D35" w:rsidRPr="00826530">
        <w:rPr>
          <w:rFonts w:ascii="Arial" w:hAnsi="Arial" w:cs="Arial"/>
        </w:rPr>
        <w:t>ance at</w:t>
      </w:r>
      <w:r w:rsidRPr="00826530">
        <w:rPr>
          <w:rFonts w:ascii="Arial" w:hAnsi="Arial" w:cs="Arial"/>
        </w:rPr>
        <w:t xml:space="preserve"> gay bars and gay specific groups </w:t>
      </w:r>
      <w:r w:rsidR="005C1D35" w:rsidRPr="00826530">
        <w:rPr>
          <w:rFonts w:ascii="Arial" w:hAnsi="Arial" w:cs="Arial"/>
        </w:rPr>
        <w:t xml:space="preserve">in the </w:t>
      </w:r>
      <w:r w:rsidRPr="00826530">
        <w:rPr>
          <w:rFonts w:ascii="Arial" w:hAnsi="Arial" w:cs="Arial"/>
        </w:rPr>
        <w:t>p</w:t>
      </w:r>
      <w:r w:rsidR="005C1D35" w:rsidRPr="00826530">
        <w:rPr>
          <w:rFonts w:ascii="Arial" w:hAnsi="Arial" w:cs="Arial"/>
        </w:rPr>
        <w:t xml:space="preserve">ast six </w:t>
      </w:r>
      <w:r w:rsidRPr="00826530">
        <w:rPr>
          <w:rFonts w:ascii="Arial" w:hAnsi="Arial" w:cs="Arial"/>
        </w:rPr>
        <w:t>m</w:t>
      </w:r>
      <w:r w:rsidR="005C1D35" w:rsidRPr="00826530">
        <w:rPr>
          <w:rFonts w:ascii="Arial" w:hAnsi="Arial" w:cs="Arial"/>
        </w:rPr>
        <w:t>onths</w:t>
      </w:r>
      <w:r w:rsidRPr="00826530">
        <w:rPr>
          <w:rFonts w:ascii="Arial" w:hAnsi="Arial" w:cs="Arial"/>
        </w:rPr>
        <w:t xml:space="preserve">. </w:t>
      </w:r>
      <w:r w:rsidRPr="00826530">
        <w:rPr>
          <w:rFonts w:ascii="Arial" w:hAnsi="Arial" w:cs="Arial"/>
        </w:rPr>
        <w:lastRenderedPageBreak/>
        <w:t xml:space="preserve">Responses </w:t>
      </w:r>
      <w:r w:rsidR="00896FE4" w:rsidRPr="00826530">
        <w:rPr>
          <w:rFonts w:ascii="Arial" w:hAnsi="Arial" w:cs="Arial"/>
        </w:rPr>
        <w:t xml:space="preserve">for each question </w:t>
      </w:r>
      <w:r w:rsidRPr="00826530">
        <w:rPr>
          <w:rFonts w:ascii="Arial" w:hAnsi="Arial" w:cs="Arial"/>
        </w:rPr>
        <w:t>were dichotomized</w:t>
      </w:r>
      <w:r w:rsidR="005C1D35" w:rsidRPr="00826530">
        <w:rPr>
          <w:rFonts w:ascii="Arial" w:hAnsi="Arial" w:cs="Arial"/>
        </w:rPr>
        <w:t>:</w:t>
      </w:r>
      <w:r w:rsidRPr="00826530">
        <w:rPr>
          <w:rFonts w:ascii="Arial" w:hAnsi="Arial" w:cs="Arial"/>
        </w:rPr>
        <w:t xml:space="preserve"> Yes and No</w:t>
      </w:r>
      <w:r w:rsidR="00896FE4" w:rsidRPr="00826530">
        <w:rPr>
          <w:rFonts w:ascii="Arial" w:hAnsi="Arial" w:cs="Arial"/>
        </w:rPr>
        <w:t xml:space="preserve">, based on participant self-report. </w:t>
      </w:r>
    </w:p>
    <w:p w14:paraId="620148A7" w14:textId="219870CF" w:rsidR="00226457" w:rsidRPr="00826530" w:rsidRDefault="00226457" w:rsidP="00F22BCF">
      <w:pPr>
        <w:spacing w:line="480" w:lineRule="auto"/>
        <w:rPr>
          <w:rFonts w:ascii="Arial" w:hAnsi="Arial" w:cs="Arial"/>
          <w:i/>
          <w:iCs/>
        </w:rPr>
      </w:pPr>
      <w:r w:rsidRPr="00826530">
        <w:rPr>
          <w:rFonts w:ascii="Arial" w:hAnsi="Arial" w:cs="Arial"/>
          <w:i/>
          <w:iCs/>
        </w:rPr>
        <w:t>Substance Use</w:t>
      </w:r>
    </w:p>
    <w:p w14:paraId="547A33D3" w14:textId="2116FF58" w:rsidR="00ED360E" w:rsidRPr="00826530" w:rsidRDefault="00ED360E" w:rsidP="00F22BCF">
      <w:pPr>
        <w:spacing w:line="480" w:lineRule="auto"/>
        <w:rPr>
          <w:rFonts w:ascii="Arial" w:hAnsi="Arial" w:cs="Arial"/>
        </w:rPr>
      </w:pPr>
      <w:r w:rsidRPr="00826530">
        <w:rPr>
          <w:rFonts w:ascii="Arial" w:hAnsi="Arial" w:cs="Arial"/>
        </w:rPr>
        <w:tab/>
        <w:t xml:space="preserve">We assessed a variety of substances used </w:t>
      </w:r>
      <w:r w:rsidR="008C4C81" w:rsidRPr="00826530">
        <w:rPr>
          <w:rFonts w:ascii="Arial" w:hAnsi="Arial" w:cs="Arial"/>
        </w:rPr>
        <w:t>in the</w:t>
      </w:r>
      <w:r w:rsidR="00CE3062">
        <w:rPr>
          <w:rFonts w:ascii="Arial" w:hAnsi="Arial" w:cs="Arial"/>
        </w:rPr>
        <w:t xml:space="preserve"> past 6 months</w:t>
      </w:r>
      <w:r w:rsidRPr="00826530">
        <w:rPr>
          <w:rFonts w:ascii="Arial" w:hAnsi="Arial" w:cs="Arial"/>
        </w:rPr>
        <w:t xml:space="preserve"> including erectile dysfunction drugs </w:t>
      </w:r>
      <w:r w:rsidR="002E17DA" w:rsidRPr="00826530">
        <w:rPr>
          <w:rFonts w:ascii="Arial" w:hAnsi="Arial" w:cs="Arial"/>
        </w:rPr>
        <w:t xml:space="preserve">(EDD) </w:t>
      </w:r>
      <w:r w:rsidRPr="00826530">
        <w:rPr>
          <w:rFonts w:ascii="Arial" w:hAnsi="Arial" w:cs="Arial"/>
        </w:rPr>
        <w:t xml:space="preserve">(with prescription and </w:t>
      </w:r>
      <w:r w:rsidR="008C4C81" w:rsidRPr="00826530">
        <w:rPr>
          <w:rFonts w:ascii="Arial" w:hAnsi="Arial" w:cs="Arial"/>
        </w:rPr>
        <w:t>without</w:t>
      </w:r>
      <w:r w:rsidRPr="00826530">
        <w:rPr>
          <w:rFonts w:ascii="Arial" w:hAnsi="Arial" w:cs="Arial"/>
        </w:rPr>
        <w:t xml:space="preserve"> prescription), crystal methamphetamine, poppers, ecstasy, </w:t>
      </w:r>
      <w:r w:rsidR="008C4C81" w:rsidRPr="00826530">
        <w:rPr>
          <w:rFonts w:ascii="Arial" w:hAnsi="Arial" w:cs="Arial"/>
        </w:rPr>
        <w:t>g</w:t>
      </w:r>
      <w:r w:rsidRPr="00826530">
        <w:rPr>
          <w:rFonts w:ascii="Arial" w:hAnsi="Arial" w:cs="Arial"/>
        </w:rPr>
        <w:t>amma-hydroxybutyric acid (GHB), ketamine, cocaine, heroin</w:t>
      </w:r>
      <w:r w:rsidR="009656A2" w:rsidRPr="00826530">
        <w:rPr>
          <w:rFonts w:ascii="Arial" w:hAnsi="Arial" w:cs="Arial"/>
        </w:rPr>
        <w:t>,</w:t>
      </w:r>
      <w:r w:rsidR="008C4C81" w:rsidRPr="00826530">
        <w:rPr>
          <w:rFonts w:ascii="Arial" w:hAnsi="Arial" w:cs="Arial"/>
        </w:rPr>
        <w:t xml:space="preserve"> morphine (without prescription),</w:t>
      </w:r>
      <w:r w:rsidRPr="00826530">
        <w:rPr>
          <w:rFonts w:ascii="Arial" w:hAnsi="Arial" w:cs="Arial"/>
        </w:rPr>
        <w:t xml:space="preserve"> and non-steroid injection drugs. We</w:t>
      </w:r>
      <w:r w:rsidR="008C4C81" w:rsidRPr="00826530">
        <w:rPr>
          <w:rFonts w:ascii="Arial" w:hAnsi="Arial" w:cs="Arial"/>
        </w:rPr>
        <w:t xml:space="preserve"> also</w:t>
      </w:r>
      <w:r w:rsidRPr="00826530">
        <w:rPr>
          <w:rFonts w:ascii="Arial" w:hAnsi="Arial" w:cs="Arial"/>
        </w:rPr>
        <w:t xml:space="preserve"> included the Alcohol Use Disorder Test (AUDIT) which measures problematic alcohol use</w:t>
      </w:r>
      <w:r w:rsidR="002E17DA" w:rsidRPr="00826530">
        <w:rPr>
          <w:rFonts w:ascii="Arial" w:hAnsi="Arial" w:cs="Arial"/>
        </w:rPr>
        <w:t xml:space="preserve"> in the past 12 months</w:t>
      </w:r>
      <w:r w:rsidR="00C14EAA" w:rsidRPr="00826530">
        <w:rPr>
          <w:rFonts w:ascii="Arial" w:hAnsi="Arial" w:cs="Arial"/>
        </w:rPr>
        <w:t>. W</w:t>
      </w:r>
      <w:r w:rsidRPr="00826530">
        <w:rPr>
          <w:rFonts w:ascii="Arial" w:hAnsi="Arial" w:cs="Arial"/>
        </w:rPr>
        <w:t xml:space="preserve">e dichotomized scores by </w:t>
      </w:r>
      <w:r w:rsidR="008C4C81" w:rsidRPr="00826530">
        <w:rPr>
          <w:rFonts w:ascii="Arial" w:hAnsi="Arial" w:cs="Arial"/>
        </w:rPr>
        <w:t xml:space="preserve">low to medium risk (scores </w:t>
      </w:r>
      <w:r w:rsidRPr="00826530">
        <w:rPr>
          <w:rFonts w:ascii="Arial" w:hAnsi="Arial" w:cs="Arial"/>
        </w:rPr>
        <w:t>&lt;</w:t>
      </w:r>
      <w:r w:rsidR="00E71EBC" w:rsidRPr="00826530">
        <w:rPr>
          <w:rFonts w:ascii="Arial" w:hAnsi="Arial" w:cs="Arial"/>
        </w:rPr>
        <w:t>16</w:t>
      </w:r>
      <w:r w:rsidR="008C4C81" w:rsidRPr="00826530">
        <w:rPr>
          <w:rFonts w:ascii="Arial" w:hAnsi="Arial" w:cs="Arial"/>
        </w:rPr>
        <w:t xml:space="preserve">) </w:t>
      </w:r>
      <w:r w:rsidRPr="00826530">
        <w:rPr>
          <w:rFonts w:ascii="Arial" w:hAnsi="Arial" w:cs="Arial"/>
        </w:rPr>
        <w:t>and</w:t>
      </w:r>
      <w:r w:rsidR="008C4C81" w:rsidRPr="00826530">
        <w:rPr>
          <w:rFonts w:ascii="Arial" w:hAnsi="Arial" w:cs="Arial"/>
        </w:rPr>
        <w:t xml:space="preserve"> harmful to possible dependence risk (scores</w:t>
      </w:r>
      <w:r w:rsidRPr="00826530">
        <w:rPr>
          <w:rFonts w:ascii="Arial" w:hAnsi="Arial" w:cs="Arial"/>
        </w:rPr>
        <w:t xml:space="preserve"> </w:t>
      </w:r>
      <w:r w:rsidRPr="00826530">
        <w:rPr>
          <w:rFonts w:ascii="Arial" w:hAnsi="Arial" w:cs="Arial"/>
          <w:bCs/>
        </w:rPr>
        <w:t>≥</w:t>
      </w:r>
      <w:r w:rsidR="008C4C81" w:rsidRPr="00826530">
        <w:rPr>
          <w:rFonts w:ascii="Arial" w:hAnsi="Arial" w:cs="Arial"/>
          <w:bCs/>
        </w:rPr>
        <w:t>16</w:t>
      </w:r>
      <w:r w:rsidR="008C4C81" w:rsidRPr="00826530">
        <w:rPr>
          <w:rFonts w:ascii="Arial" w:hAnsi="Arial" w:cs="Arial"/>
        </w:rPr>
        <w:t>)</w:t>
      </w:r>
      <w:r w:rsidRPr="00826530">
        <w:rPr>
          <w:rFonts w:ascii="Arial" w:hAnsi="Arial" w:cs="Arial"/>
        </w:rPr>
        <w:t>.</w:t>
      </w:r>
      <w:r w:rsidR="00F2590B" w:rsidRPr="00826530">
        <w:rPr>
          <w:rFonts w:ascii="Arial" w:hAnsi="Arial" w:cs="Arial"/>
          <w:vertAlign w:val="superscript"/>
        </w:rPr>
        <w:t>20</w:t>
      </w:r>
      <w:r w:rsidRPr="00826530">
        <w:rPr>
          <w:rFonts w:ascii="Arial" w:hAnsi="Arial" w:cs="Arial"/>
        </w:rPr>
        <w:t xml:space="preserve"> </w:t>
      </w:r>
    </w:p>
    <w:p w14:paraId="1E31DB2C" w14:textId="403177B3" w:rsidR="00226457" w:rsidRPr="00826530" w:rsidRDefault="00226457" w:rsidP="00F22BCF">
      <w:pPr>
        <w:spacing w:line="480" w:lineRule="auto"/>
        <w:rPr>
          <w:rFonts w:ascii="Arial" w:hAnsi="Arial" w:cs="Arial"/>
          <w:i/>
          <w:iCs/>
        </w:rPr>
      </w:pPr>
      <w:r w:rsidRPr="00826530">
        <w:rPr>
          <w:rFonts w:ascii="Arial" w:hAnsi="Arial" w:cs="Arial"/>
          <w:i/>
          <w:iCs/>
        </w:rPr>
        <w:t xml:space="preserve">Psychosocial </w:t>
      </w:r>
      <w:r w:rsidR="00ED360E" w:rsidRPr="00826530">
        <w:rPr>
          <w:rFonts w:ascii="Arial" w:hAnsi="Arial" w:cs="Arial"/>
          <w:i/>
          <w:iCs/>
        </w:rPr>
        <w:t>Measures</w:t>
      </w:r>
    </w:p>
    <w:p w14:paraId="11526925" w14:textId="7CD14103" w:rsidR="00ED360E" w:rsidRPr="00826530" w:rsidRDefault="00ED360E" w:rsidP="00F22BCF">
      <w:pPr>
        <w:spacing w:line="480" w:lineRule="auto"/>
        <w:rPr>
          <w:rFonts w:ascii="Arial" w:hAnsi="Arial" w:cs="Arial"/>
        </w:rPr>
      </w:pPr>
      <w:r w:rsidRPr="00826530">
        <w:rPr>
          <w:rFonts w:ascii="Arial" w:hAnsi="Arial" w:cs="Arial"/>
          <w:i/>
          <w:iCs/>
        </w:rPr>
        <w:tab/>
      </w:r>
      <w:r w:rsidRPr="00826530">
        <w:rPr>
          <w:rFonts w:ascii="Arial" w:hAnsi="Arial" w:cs="Arial"/>
        </w:rPr>
        <w:t xml:space="preserve">Our psychosocial measures include the </w:t>
      </w:r>
      <w:r w:rsidR="00022376" w:rsidRPr="00826530">
        <w:rPr>
          <w:rFonts w:ascii="Arial" w:hAnsi="Arial" w:cs="Arial"/>
        </w:rPr>
        <w:t>S</w:t>
      </w:r>
      <w:r w:rsidRPr="00826530">
        <w:rPr>
          <w:rFonts w:ascii="Arial" w:hAnsi="Arial" w:cs="Arial"/>
        </w:rPr>
        <w:t xml:space="preserve">exual </w:t>
      </w:r>
      <w:r w:rsidR="00022376" w:rsidRPr="00826530">
        <w:rPr>
          <w:rFonts w:ascii="Arial" w:hAnsi="Arial" w:cs="Arial"/>
        </w:rPr>
        <w:t>S</w:t>
      </w:r>
      <w:r w:rsidRPr="00826530">
        <w:rPr>
          <w:rFonts w:ascii="Arial" w:hAnsi="Arial" w:cs="Arial"/>
        </w:rPr>
        <w:t xml:space="preserve">ensation </w:t>
      </w:r>
      <w:r w:rsidR="00022376" w:rsidRPr="00826530">
        <w:rPr>
          <w:rFonts w:ascii="Arial" w:hAnsi="Arial" w:cs="Arial"/>
        </w:rPr>
        <w:t>S</w:t>
      </w:r>
      <w:r w:rsidRPr="00826530">
        <w:rPr>
          <w:rFonts w:ascii="Arial" w:hAnsi="Arial" w:cs="Arial"/>
        </w:rPr>
        <w:t xml:space="preserve">eeking </w:t>
      </w:r>
      <w:r w:rsidR="00022376" w:rsidRPr="00826530">
        <w:rPr>
          <w:rFonts w:ascii="Arial" w:hAnsi="Arial" w:cs="Arial"/>
        </w:rPr>
        <w:t>S</w:t>
      </w:r>
      <w:r w:rsidRPr="00826530">
        <w:rPr>
          <w:rFonts w:ascii="Arial" w:hAnsi="Arial" w:cs="Arial"/>
        </w:rPr>
        <w:t>cale (</w:t>
      </w:r>
      <w:r w:rsidR="00D06B6F" w:rsidRPr="00826530">
        <w:rPr>
          <w:rFonts w:ascii="Arial" w:hAnsi="Arial" w:cs="Arial"/>
        </w:rPr>
        <w:t xml:space="preserve">11 items, four-point </w:t>
      </w:r>
      <w:r w:rsidR="009656A2" w:rsidRPr="00826530">
        <w:rPr>
          <w:rFonts w:ascii="Arial" w:hAnsi="Arial" w:cs="Arial"/>
        </w:rPr>
        <w:t>L</w:t>
      </w:r>
      <w:r w:rsidR="00D06B6F" w:rsidRPr="00826530">
        <w:rPr>
          <w:rFonts w:ascii="Arial" w:hAnsi="Arial" w:cs="Arial"/>
        </w:rPr>
        <w:t xml:space="preserve">ikert scale response, </w:t>
      </w:r>
      <w:r w:rsidRPr="00826530">
        <w:rPr>
          <w:rFonts w:ascii="Arial" w:hAnsi="Arial" w:cs="Arial"/>
        </w:rPr>
        <w:sym w:font="Symbol" w:char="F061"/>
      </w:r>
      <w:r w:rsidRPr="00826530">
        <w:rPr>
          <w:rFonts w:ascii="Arial" w:hAnsi="Arial" w:cs="Arial"/>
        </w:rPr>
        <w:t>=0.73),</w:t>
      </w:r>
      <w:r w:rsidR="00F2590B" w:rsidRPr="00826530">
        <w:rPr>
          <w:rFonts w:ascii="Arial" w:hAnsi="Arial" w:cs="Arial"/>
          <w:vertAlign w:val="superscript"/>
        </w:rPr>
        <w:t>21</w:t>
      </w:r>
      <w:r w:rsidRPr="00826530">
        <w:rPr>
          <w:rFonts w:ascii="Arial" w:hAnsi="Arial" w:cs="Arial"/>
        </w:rPr>
        <w:t xml:space="preserve"> </w:t>
      </w:r>
      <w:r w:rsidR="008C4C81" w:rsidRPr="00826530">
        <w:rPr>
          <w:rFonts w:ascii="Arial" w:hAnsi="Arial" w:cs="Arial"/>
        </w:rPr>
        <w:t xml:space="preserve">the </w:t>
      </w:r>
      <w:r w:rsidR="00022376" w:rsidRPr="00826530">
        <w:rPr>
          <w:rFonts w:ascii="Arial" w:hAnsi="Arial" w:cs="Arial"/>
        </w:rPr>
        <w:t>C</w:t>
      </w:r>
      <w:r w:rsidRPr="00826530">
        <w:rPr>
          <w:rFonts w:ascii="Arial" w:hAnsi="Arial" w:cs="Arial"/>
        </w:rPr>
        <w:t xml:space="preserve">ognitive </w:t>
      </w:r>
      <w:r w:rsidR="00022376" w:rsidRPr="00826530">
        <w:rPr>
          <w:rFonts w:ascii="Arial" w:hAnsi="Arial" w:cs="Arial"/>
        </w:rPr>
        <w:t>E</w:t>
      </w:r>
      <w:r w:rsidRPr="00826530">
        <w:rPr>
          <w:rFonts w:ascii="Arial" w:hAnsi="Arial" w:cs="Arial"/>
        </w:rPr>
        <w:t xml:space="preserve">scape </w:t>
      </w:r>
      <w:r w:rsidR="00022376" w:rsidRPr="00826530">
        <w:rPr>
          <w:rFonts w:ascii="Arial" w:hAnsi="Arial" w:cs="Arial"/>
        </w:rPr>
        <w:t>S</w:t>
      </w:r>
      <w:r w:rsidRPr="00826530">
        <w:rPr>
          <w:rFonts w:ascii="Arial" w:hAnsi="Arial" w:cs="Arial"/>
        </w:rPr>
        <w:t>cale (</w:t>
      </w:r>
      <w:r w:rsidR="00D06B6F" w:rsidRPr="00826530">
        <w:rPr>
          <w:rFonts w:ascii="Arial" w:hAnsi="Arial" w:cs="Arial"/>
        </w:rPr>
        <w:t xml:space="preserve">12 items, four-point </w:t>
      </w:r>
      <w:r w:rsidR="009656A2" w:rsidRPr="00826530">
        <w:rPr>
          <w:rFonts w:ascii="Arial" w:hAnsi="Arial" w:cs="Arial"/>
        </w:rPr>
        <w:t>L</w:t>
      </w:r>
      <w:r w:rsidR="00D06B6F" w:rsidRPr="00826530">
        <w:rPr>
          <w:rFonts w:ascii="Arial" w:hAnsi="Arial" w:cs="Arial"/>
        </w:rPr>
        <w:t xml:space="preserve">ikert scale response, </w:t>
      </w:r>
      <w:r w:rsidRPr="00826530">
        <w:rPr>
          <w:rFonts w:ascii="Arial" w:hAnsi="Arial" w:cs="Arial"/>
        </w:rPr>
        <w:sym w:font="Symbol" w:char="F061"/>
      </w:r>
      <w:r w:rsidRPr="00826530">
        <w:rPr>
          <w:rFonts w:ascii="Arial" w:hAnsi="Arial" w:cs="Arial"/>
        </w:rPr>
        <w:t>=0.90)</w:t>
      </w:r>
      <w:r w:rsidR="00F2590B" w:rsidRPr="00826530">
        <w:rPr>
          <w:rFonts w:ascii="Arial" w:hAnsi="Arial" w:cs="Arial"/>
          <w:vertAlign w:val="superscript"/>
        </w:rPr>
        <w:t>22</w:t>
      </w:r>
      <w:r w:rsidRPr="00826530">
        <w:rPr>
          <w:rFonts w:ascii="Arial" w:hAnsi="Arial" w:cs="Arial"/>
        </w:rPr>
        <w:t xml:space="preserve"> and </w:t>
      </w:r>
      <w:r w:rsidR="008C4C81" w:rsidRPr="00826530">
        <w:rPr>
          <w:rFonts w:ascii="Arial" w:hAnsi="Arial" w:cs="Arial"/>
        </w:rPr>
        <w:t xml:space="preserve">the </w:t>
      </w:r>
      <w:r w:rsidR="00022376" w:rsidRPr="00826530">
        <w:rPr>
          <w:rFonts w:ascii="Arial" w:hAnsi="Arial" w:cs="Arial"/>
        </w:rPr>
        <w:t>L</w:t>
      </w:r>
      <w:r w:rsidRPr="00826530">
        <w:rPr>
          <w:rFonts w:ascii="Arial" w:hAnsi="Arial" w:cs="Arial"/>
        </w:rPr>
        <w:t xml:space="preserve">oneliness </w:t>
      </w:r>
      <w:r w:rsidR="00022376" w:rsidRPr="00826530">
        <w:rPr>
          <w:rFonts w:ascii="Arial" w:hAnsi="Arial" w:cs="Arial"/>
        </w:rPr>
        <w:t>S</w:t>
      </w:r>
      <w:r w:rsidRPr="00826530">
        <w:rPr>
          <w:rFonts w:ascii="Arial" w:hAnsi="Arial" w:cs="Arial"/>
        </w:rPr>
        <w:t>cale (</w:t>
      </w:r>
      <w:r w:rsidR="00D06B6F" w:rsidRPr="00826530">
        <w:rPr>
          <w:rFonts w:ascii="Arial" w:hAnsi="Arial" w:cs="Arial"/>
        </w:rPr>
        <w:t xml:space="preserve">6 items, five-point </w:t>
      </w:r>
      <w:r w:rsidR="009656A2" w:rsidRPr="00826530">
        <w:rPr>
          <w:rFonts w:ascii="Arial" w:hAnsi="Arial" w:cs="Arial"/>
        </w:rPr>
        <w:t>L</w:t>
      </w:r>
      <w:r w:rsidR="00D06B6F" w:rsidRPr="00826530">
        <w:rPr>
          <w:rFonts w:ascii="Arial" w:hAnsi="Arial" w:cs="Arial"/>
        </w:rPr>
        <w:t xml:space="preserve">ikert scale response, </w:t>
      </w:r>
      <w:r w:rsidRPr="00826530">
        <w:rPr>
          <w:rFonts w:ascii="Arial" w:hAnsi="Arial" w:cs="Arial"/>
        </w:rPr>
        <w:sym w:font="Symbol" w:char="F061"/>
      </w:r>
      <w:r w:rsidRPr="00826530">
        <w:rPr>
          <w:rFonts w:ascii="Arial" w:hAnsi="Arial" w:cs="Arial"/>
        </w:rPr>
        <w:t>=0.</w:t>
      </w:r>
      <w:r w:rsidR="00007903" w:rsidRPr="00826530">
        <w:rPr>
          <w:rFonts w:ascii="Arial" w:hAnsi="Arial" w:cs="Arial"/>
        </w:rPr>
        <w:t>77</w:t>
      </w:r>
      <w:r w:rsidRPr="00826530">
        <w:rPr>
          <w:rFonts w:ascii="Arial" w:hAnsi="Arial" w:cs="Arial"/>
        </w:rPr>
        <w:t>).</w:t>
      </w:r>
      <w:r w:rsidR="00F2590B" w:rsidRPr="00826530">
        <w:rPr>
          <w:rFonts w:ascii="Arial" w:hAnsi="Arial" w:cs="Arial"/>
          <w:vertAlign w:val="superscript"/>
        </w:rPr>
        <w:t>23</w:t>
      </w:r>
      <w:r w:rsidRPr="00826530">
        <w:rPr>
          <w:rFonts w:ascii="Arial" w:hAnsi="Arial" w:cs="Arial"/>
        </w:rPr>
        <w:t xml:space="preserve"> We also included the Hospital Anxiety and Depression Scale (HADS) (</w:t>
      </w:r>
      <w:r w:rsidR="00D06B6F" w:rsidRPr="00826530">
        <w:rPr>
          <w:rFonts w:ascii="Arial" w:hAnsi="Arial" w:cs="Arial"/>
        </w:rPr>
        <w:t xml:space="preserve">14 items, 4-point </w:t>
      </w:r>
      <w:r w:rsidR="009656A2" w:rsidRPr="00826530">
        <w:rPr>
          <w:rFonts w:ascii="Arial" w:hAnsi="Arial" w:cs="Arial"/>
        </w:rPr>
        <w:t>L</w:t>
      </w:r>
      <w:r w:rsidR="00D06B6F" w:rsidRPr="00826530">
        <w:rPr>
          <w:rFonts w:ascii="Arial" w:hAnsi="Arial" w:cs="Arial"/>
        </w:rPr>
        <w:t xml:space="preserve">ikert scale response, </w:t>
      </w:r>
      <w:r w:rsidRPr="00826530">
        <w:rPr>
          <w:rFonts w:ascii="Arial" w:hAnsi="Arial" w:cs="Arial"/>
        </w:rPr>
        <w:sym w:font="Symbol" w:char="F061"/>
      </w:r>
      <w:r w:rsidRPr="00826530">
        <w:rPr>
          <w:rFonts w:ascii="Arial" w:hAnsi="Arial" w:cs="Arial"/>
        </w:rPr>
        <w:t>=0.</w:t>
      </w:r>
      <w:r w:rsidR="005668E2" w:rsidRPr="00826530">
        <w:rPr>
          <w:rFonts w:ascii="Arial" w:hAnsi="Arial" w:cs="Arial"/>
        </w:rPr>
        <w:t xml:space="preserve">84 </w:t>
      </w:r>
      <w:r w:rsidRPr="00826530">
        <w:rPr>
          <w:rFonts w:ascii="Arial" w:hAnsi="Arial" w:cs="Arial"/>
        </w:rPr>
        <w:t xml:space="preserve">for anxiety, and </w:t>
      </w:r>
      <w:r w:rsidRPr="00826530">
        <w:rPr>
          <w:rFonts w:ascii="Arial" w:hAnsi="Arial" w:cs="Arial"/>
        </w:rPr>
        <w:sym w:font="Symbol" w:char="F061"/>
      </w:r>
      <w:r w:rsidRPr="00826530">
        <w:rPr>
          <w:rFonts w:ascii="Arial" w:hAnsi="Arial" w:cs="Arial"/>
        </w:rPr>
        <w:t>=0.</w:t>
      </w:r>
      <w:r w:rsidR="005668E2" w:rsidRPr="00826530">
        <w:rPr>
          <w:rFonts w:ascii="Arial" w:hAnsi="Arial" w:cs="Arial"/>
        </w:rPr>
        <w:t xml:space="preserve">78 </w:t>
      </w:r>
      <w:r w:rsidRPr="00826530">
        <w:rPr>
          <w:rFonts w:ascii="Arial" w:hAnsi="Arial" w:cs="Arial"/>
        </w:rPr>
        <w:t>for depression, respectively)</w:t>
      </w:r>
      <w:r w:rsidR="008173FC" w:rsidRPr="00826530">
        <w:rPr>
          <w:rFonts w:ascii="Arial" w:hAnsi="Arial" w:cs="Arial"/>
        </w:rPr>
        <w:t xml:space="preserve"> </w:t>
      </w:r>
      <w:r w:rsidR="00022376" w:rsidRPr="00826530">
        <w:rPr>
          <w:rFonts w:ascii="Arial" w:hAnsi="Arial" w:cs="Arial"/>
        </w:rPr>
        <w:t>to measure anxious and depressive symptomology</w:t>
      </w:r>
      <w:r w:rsidRPr="00826530">
        <w:rPr>
          <w:rFonts w:ascii="Arial" w:hAnsi="Arial" w:cs="Arial"/>
        </w:rPr>
        <w:t>.</w:t>
      </w:r>
      <w:r w:rsidR="00F2590B" w:rsidRPr="00826530">
        <w:rPr>
          <w:rFonts w:ascii="Arial" w:hAnsi="Arial" w:cs="Arial"/>
          <w:vertAlign w:val="superscript"/>
        </w:rPr>
        <w:t>24</w:t>
      </w:r>
      <w:r w:rsidRPr="00826530">
        <w:rPr>
          <w:rFonts w:ascii="Arial" w:hAnsi="Arial" w:cs="Arial"/>
        </w:rPr>
        <w:t xml:space="preserve"> </w:t>
      </w:r>
    </w:p>
    <w:p w14:paraId="340A3A7C" w14:textId="4959A4BE" w:rsidR="00226457" w:rsidRPr="00826530" w:rsidRDefault="00226457" w:rsidP="00F22BCF">
      <w:pPr>
        <w:spacing w:line="480" w:lineRule="auto"/>
        <w:rPr>
          <w:rFonts w:ascii="Arial" w:hAnsi="Arial" w:cs="Arial"/>
          <w:i/>
          <w:iCs/>
        </w:rPr>
      </w:pPr>
      <w:r w:rsidRPr="00826530">
        <w:rPr>
          <w:rFonts w:ascii="Arial" w:hAnsi="Arial" w:cs="Arial"/>
          <w:i/>
          <w:iCs/>
        </w:rPr>
        <w:t>Sociodemographic Measures</w:t>
      </w:r>
    </w:p>
    <w:p w14:paraId="70852D2D" w14:textId="039014BE" w:rsidR="005C1D35" w:rsidRPr="00826530" w:rsidRDefault="00C43EED" w:rsidP="00F22BCF">
      <w:pPr>
        <w:spacing w:line="480" w:lineRule="auto"/>
        <w:ind w:firstLine="720"/>
        <w:rPr>
          <w:rFonts w:ascii="Arial" w:hAnsi="Arial" w:cs="Arial"/>
        </w:rPr>
      </w:pPr>
      <w:r w:rsidRPr="00826530">
        <w:rPr>
          <w:rFonts w:ascii="Arial" w:hAnsi="Arial" w:cs="Arial"/>
        </w:rPr>
        <w:t>Our sociodemographic measures included age, income, ethnicity, education, sexual identity, relationship status, housing arrangement</w:t>
      </w:r>
      <w:r w:rsidR="009656A2" w:rsidRPr="00826530">
        <w:rPr>
          <w:rFonts w:ascii="Arial" w:hAnsi="Arial" w:cs="Arial"/>
        </w:rPr>
        <w:t>,</w:t>
      </w:r>
      <w:r w:rsidRPr="00826530">
        <w:rPr>
          <w:rFonts w:ascii="Arial" w:hAnsi="Arial" w:cs="Arial"/>
        </w:rPr>
        <w:t xml:space="preserve"> </w:t>
      </w:r>
      <w:r w:rsidR="005C1D35" w:rsidRPr="00826530">
        <w:rPr>
          <w:rFonts w:ascii="Arial" w:hAnsi="Arial" w:cs="Arial"/>
        </w:rPr>
        <w:t xml:space="preserve">student status, HIV serostatus, and </w:t>
      </w:r>
      <w:proofErr w:type="gramStart"/>
      <w:r w:rsidR="005C1D35" w:rsidRPr="00826530">
        <w:rPr>
          <w:rFonts w:ascii="Arial" w:hAnsi="Arial" w:cs="Arial"/>
        </w:rPr>
        <w:t>whether or not</w:t>
      </w:r>
      <w:proofErr w:type="gramEnd"/>
      <w:r w:rsidR="005C1D35" w:rsidRPr="00826530">
        <w:rPr>
          <w:rFonts w:ascii="Arial" w:hAnsi="Arial" w:cs="Arial"/>
        </w:rPr>
        <w:t xml:space="preserve"> the participant had any STI diagnoses in the p</w:t>
      </w:r>
      <w:r w:rsidR="00CE3062">
        <w:rPr>
          <w:rFonts w:ascii="Arial" w:hAnsi="Arial" w:cs="Arial"/>
        </w:rPr>
        <w:t>ast 6 months</w:t>
      </w:r>
      <w:r w:rsidR="005C1D35" w:rsidRPr="00826530">
        <w:rPr>
          <w:rFonts w:ascii="Arial" w:hAnsi="Arial" w:cs="Arial"/>
        </w:rPr>
        <w:t xml:space="preserve">. </w:t>
      </w:r>
    </w:p>
    <w:p w14:paraId="0ADCF934" w14:textId="1E0B6875" w:rsidR="005C1D35" w:rsidRPr="00826530" w:rsidRDefault="00B72E0A" w:rsidP="00F22BCF">
      <w:pPr>
        <w:spacing w:line="480" w:lineRule="auto"/>
        <w:rPr>
          <w:rFonts w:ascii="Arial" w:hAnsi="Arial" w:cs="Arial"/>
          <w:color w:val="000000" w:themeColor="text1"/>
        </w:rPr>
      </w:pPr>
      <w:r w:rsidRPr="00826530">
        <w:rPr>
          <w:rFonts w:ascii="Arial" w:hAnsi="Arial" w:cs="Arial"/>
          <w:i/>
          <w:iCs/>
        </w:rPr>
        <w:lastRenderedPageBreak/>
        <w:t>Analysis</w:t>
      </w:r>
    </w:p>
    <w:p w14:paraId="675DD58F" w14:textId="0A04AA78" w:rsidR="00851673" w:rsidRPr="00826530" w:rsidRDefault="0098210D" w:rsidP="00F22BCF">
      <w:pPr>
        <w:spacing w:line="480" w:lineRule="auto"/>
        <w:ind w:firstLine="720"/>
        <w:rPr>
          <w:rFonts w:ascii="Arial" w:hAnsi="Arial" w:cs="Arial"/>
          <w:color w:val="000000" w:themeColor="text1"/>
        </w:rPr>
      </w:pPr>
      <w:r w:rsidRPr="00826530">
        <w:rPr>
          <w:rFonts w:ascii="Arial" w:hAnsi="Arial" w:cs="Arial"/>
          <w:color w:val="000000" w:themeColor="text1"/>
        </w:rPr>
        <w:t xml:space="preserve">We used the overall transactional sex variable as the outcome variable in univariable and multivariable models to examine factors associated with reporting </w:t>
      </w:r>
      <w:r w:rsidR="00611BA2" w:rsidRPr="00826530">
        <w:rPr>
          <w:rFonts w:ascii="Arial" w:hAnsi="Arial" w:cs="Arial"/>
          <w:color w:val="000000" w:themeColor="text1"/>
        </w:rPr>
        <w:t xml:space="preserve">transactional sex </w:t>
      </w:r>
      <w:r w:rsidRPr="00826530">
        <w:rPr>
          <w:rFonts w:ascii="Arial" w:hAnsi="Arial" w:cs="Arial"/>
          <w:color w:val="000000" w:themeColor="text1"/>
        </w:rPr>
        <w:t xml:space="preserve">over the study period. </w:t>
      </w:r>
      <w:r w:rsidR="00594C22" w:rsidRPr="00826530">
        <w:rPr>
          <w:rFonts w:ascii="Arial" w:hAnsi="Arial" w:cs="Arial"/>
          <w:color w:val="000000" w:themeColor="text1"/>
        </w:rPr>
        <w:t xml:space="preserve">We first </w:t>
      </w:r>
      <w:r w:rsidR="00A04283" w:rsidRPr="00826530">
        <w:rPr>
          <w:rFonts w:ascii="Arial" w:hAnsi="Arial" w:cs="Arial"/>
          <w:color w:val="000000" w:themeColor="text1"/>
        </w:rPr>
        <w:t xml:space="preserve">conducted </w:t>
      </w:r>
      <w:r w:rsidR="00851673" w:rsidRPr="00826530">
        <w:rPr>
          <w:rFonts w:ascii="Arial" w:hAnsi="Arial" w:cs="Arial"/>
          <w:color w:val="000000" w:themeColor="text1"/>
        </w:rPr>
        <w:t xml:space="preserve">univariable </w:t>
      </w:r>
      <w:r w:rsidR="00456594" w:rsidRPr="00826530">
        <w:rPr>
          <w:rFonts w:ascii="Arial" w:hAnsi="Arial" w:cs="Arial"/>
          <w:color w:val="000000" w:themeColor="text1"/>
        </w:rPr>
        <w:t>generalized linear mixed models</w:t>
      </w:r>
      <w:r w:rsidR="00A04283" w:rsidRPr="00826530">
        <w:rPr>
          <w:rFonts w:ascii="Arial" w:hAnsi="Arial" w:cs="Arial"/>
          <w:color w:val="000000" w:themeColor="text1"/>
        </w:rPr>
        <w:t xml:space="preserve"> </w:t>
      </w:r>
      <w:r w:rsidR="00E8626A" w:rsidRPr="00826530">
        <w:rPr>
          <w:rFonts w:ascii="Arial" w:hAnsi="Arial" w:cs="Arial"/>
          <w:color w:val="000000" w:themeColor="text1"/>
        </w:rPr>
        <w:t>to assess the probability of reporting transactional sex. V</w:t>
      </w:r>
      <w:r w:rsidR="00A04283" w:rsidRPr="00826530">
        <w:rPr>
          <w:rFonts w:ascii="Arial" w:hAnsi="Arial" w:cs="Arial"/>
          <w:color w:val="000000" w:themeColor="text1"/>
        </w:rPr>
        <w:t>ariables with p&lt;0.20 at the univariable level were</w:t>
      </w:r>
      <w:r w:rsidR="00E8626A" w:rsidRPr="00826530">
        <w:rPr>
          <w:rFonts w:ascii="Arial" w:hAnsi="Arial" w:cs="Arial"/>
          <w:color w:val="000000" w:themeColor="text1"/>
        </w:rPr>
        <w:t xml:space="preserve"> then</w:t>
      </w:r>
      <w:r w:rsidR="00A04283" w:rsidRPr="00826530">
        <w:rPr>
          <w:rFonts w:ascii="Arial" w:hAnsi="Arial" w:cs="Arial"/>
          <w:color w:val="000000" w:themeColor="text1"/>
        </w:rPr>
        <w:t xml:space="preserve"> tested in </w:t>
      </w:r>
      <w:r w:rsidR="00851673" w:rsidRPr="00826530">
        <w:rPr>
          <w:rFonts w:ascii="Arial" w:hAnsi="Arial" w:cs="Arial"/>
          <w:color w:val="000000" w:themeColor="text1"/>
        </w:rPr>
        <w:t xml:space="preserve">multivariable </w:t>
      </w:r>
      <w:r w:rsidR="00456594" w:rsidRPr="00826530">
        <w:rPr>
          <w:rFonts w:ascii="Arial" w:hAnsi="Arial" w:cs="Arial"/>
          <w:color w:val="000000" w:themeColor="text1"/>
        </w:rPr>
        <w:t xml:space="preserve">3-level </w:t>
      </w:r>
      <w:r w:rsidR="009656A2" w:rsidRPr="00826530">
        <w:rPr>
          <w:rFonts w:ascii="Arial" w:hAnsi="Arial" w:cs="Arial"/>
          <w:color w:val="000000" w:themeColor="text1"/>
        </w:rPr>
        <w:t xml:space="preserve">(RDS chain: participant: visit) </w:t>
      </w:r>
      <w:r w:rsidR="00851673" w:rsidRPr="00826530">
        <w:rPr>
          <w:rFonts w:ascii="Arial" w:hAnsi="Arial" w:cs="Arial"/>
          <w:color w:val="000000" w:themeColor="text1"/>
        </w:rPr>
        <w:t xml:space="preserve">mixed-effects </w:t>
      </w:r>
      <w:r w:rsidRPr="00826530">
        <w:rPr>
          <w:rFonts w:ascii="Arial" w:hAnsi="Arial" w:cs="Arial"/>
          <w:color w:val="000000" w:themeColor="text1"/>
        </w:rPr>
        <w:t xml:space="preserve">logistic regression </w:t>
      </w:r>
      <w:r w:rsidR="00851673" w:rsidRPr="00826530">
        <w:rPr>
          <w:rFonts w:ascii="Arial" w:hAnsi="Arial" w:cs="Arial"/>
          <w:color w:val="000000" w:themeColor="text1"/>
        </w:rPr>
        <w:t>modelling</w:t>
      </w:r>
      <w:r w:rsidR="006B7D4B" w:rsidRPr="00826530">
        <w:rPr>
          <w:rFonts w:ascii="Arial" w:hAnsi="Arial" w:cs="Arial"/>
          <w:color w:val="000000" w:themeColor="text1"/>
        </w:rPr>
        <w:t xml:space="preserve">. Level-1 </w:t>
      </w:r>
      <w:r w:rsidR="00BA2208" w:rsidRPr="00826530">
        <w:rPr>
          <w:rFonts w:ascii="Arial" w:hAnsi="Arial" w:cs="Arial"/>
          <w:color w:val="000000" w:themeColor="text1"/>
        </w:rPr>
        <w:t xml:space="preserve">units </w:t>
      </w:r>
      <w:r w:rsidR="006B7D4B" w:rsidRPr="00826530">
        <w:rPr>
          <w:rFonts w:ascii="Arial" w:hAnsi="Arial" w:cs="Arial"/>
          <w:color w:val="000000" w:themeColor="text1"/>
        </w:rPr>
        <w:t>were visit-level observations, level-2 clusters were at the participant-level</w:t>
      </w:r>
      <w:r w:rsidRPr="00826530">
        <w:rPr>
          <w:rFonts w:ascii="Arial" w:hAnsi="Arial" w:cs="Arial"/>
          <w:color w:val="000000" w:themeColor="text1"/>
        </w:rPr>
        <w:t>,</w:t>
      </w:r>
      <w:r w:rsidR="006B7D4B" w:rsidRPr="00826530">
        <w:rPr>
          <w:rFonts w:ascii="Arial" w:hAnsi="Arial" w:cs="Arial"/>
          <w:color w:val="000000" w:themeColor="text1"/>
        </w:rPr>
        <w:t xml:space="preserve"> and level-3 clusters were at RDS chains. </w:t>
      </w:r>
      <w:r w:rsidR="00A04283" w:rsidRPr="00826530">
        <w:rPr>
          <w:rFonts w:ascii="Arial" w:hAnsi="Arial" w:cs="Arial"/>
          <w:color w:val="000000" w:themeColor="text1"/>
        </w:rPr>
        <w:t>A</w:t>
      </w:r>
      <w:r w:rsidR="00851673" w:rsidRPr="00826530">
        <w:rPr>
          <w:rFonts w:ascii="Arial" w:hAnsi="Arial" w:cs="Arial"/>
          <w:color w:val="000000" w:themeColor="text1"/>
        </w:rPr>
        <w:t xml:space="preserve"> backward selection procedure based on the Akaike Information Criterion (AIC) and minimization of Type-III p-values</w:t>
      </w:r>
      <w:r w:rsidR="00F2590B" w:rsidRPr="00826530">
        <w:rPr>
          <w:rFonts w:ascii="Arial" w:hAnsi="Arial" w:cs="Arial"/>
          <w:color w:val="000000" w:themeColor="text1"/>
          <w:vertAlign w:val="superscript"/>
        </w:rPr>
        <w:t>25</w:t>
      </w:r>
      <w:r w:rsidR="00851673" w:rsidRPr="00826530">
        <w:rPr>
          <w:rFonts w:ascii="Arial" w:hAnsi="Arial" w:cs="Arial"/>
          <w:color w:val="000000" w:themeColor="text1"/>
        </w:rPr>
        <w:t xml:space="preserve"> was used to determine the final model.</w:t>
      </w:r>
      <w:r w:rsidR="00456594" w:rsidRPr="00826530">
        <w:rPr>
          <w:rFonts w:ascii="Arial" w:hAnsi="Arial" w:cs="Arial"/>
          <w:color w:val="000000" w:themeColor="text1"/>
        </w:rPr>
        <w:t xml:space="preserve"> </w:t>
      </w:r>
      <w:r w:rsidR="00C43EED" w:rsidRPr="00826530">
        <w:rPr>
          <w:rFonts w:ascii="Arial" w:hAnsi="Arial" w:cs="Arial"/>
          <w:color w:val="000000" w:themeColor="text1"/>
        </w:rPr>
        <w:t>All analyses were conducted using SAS v9.4</w:t>
      </w:r>
      <w:r w:rsidR="008173FC" w:rsidRPr="00826530">
        <w:rPr>
          <w:rFonts w:ascii="Arial" w:hAnsi="Arial" w:cs="Arial"/>
          <w:color w:val="000000" w:themeColor="text1"/>
        </w:rPr>
        <w:t xml:space="preserve"> (SAS, Cary, NC).</w:t>
      </w:r>
    </w:p>
    <w:p w14:paraId="15B2DE21" w14:textId="30600ED1" w:rsidR="00456594" w:rsidRPr="00826530" w:rsidRDefault="00851673" w:rsidP="00F22BCF">
      <w:pPr>
        <w:spacing w:line="480" w:lineRule="auto"/>
        <w:jc w:val="center"/>
        <w:rPr>
          <w:rFonts w:ascii="Arial" w:hAnsi="Arial" w:cs="Arial"/>
          <w:b/>
        </w:rPr>
      </w:pPr>
      <w:r w:rsidRPr="00826530">
        <w:rPr>
          <w:rFonts w:ascii="Arial" w:hAnsi="Arial" w:cs="Arial"/>
          <w:b/>
        </w:rPr>
        <w:t>Results</w:t>
      </w:r>
    </w:p>
    <w:p w14:paraId="44F971AF" w14:textId="1BFCE93F" w:rsidR="002356D8" w:rsidRPr="00826530" w:rsidRDefault="00AC15E1" w:rsidP="005C6947">
      <w:pPr>
        <w:spacing w:line="480" w:lineRule="auto"/>
        <w:ind w:firstLine="720"/>
        <w:rPr>
          <w:rFonts w:ascii="Arial" w:hAnsi="Arial" w:cs="Arial"/>
        </w:rPr>
      </w:pPr>
      <w:r w:rsidRPr="00826530">
        <w:rPr>
          <w:rFonts w:ascii="Arial" w:hAnsi="Arial" w:cs="Arial"/>
        </w:rPr>
        <w:t xml:space="preserve">Overall, </w:t>
      </w:r>
      <w:r w:rsidR="00EB0A53" w:rsidRPr="00826530">
        <w:rPr>
          <w:rFonts w:ascii="Arial" w:hAnsi="Arial" w:cs="Arial"/>
        </w:rPr>
        <w:t xml:space="preserve">698 </w:t>
      </w:r>
      <w:r w:rsidR="00851673" w:rsidRPr="00826530">
        <w:rPr>
          <w:rFonts w:ascii="Arial" w:hAnsi="Arial" w:cs="Arial"/>
        </w:rPr>
        <w:t xml:space="preserve">GBM consented to the longitudinal cohort study </w:t>
      </w:r>
      <w:r w:rsidR="00925641" w:rsidRPr="00826530">
        <w:rPr>
          <w:rFonts w:ascii="Arial" w:hAnsi="Arial" w:cs="Arial"/>
        </w:rPr>
        <w:t xml:space="preserve">and responded to questions on transactional sex. </w:t>
      </w:r>
      <w:r w:rsidR="007732C4" w:rsidRPr="00826530">
        <w:rPr>
          <w:rFonts w:ascii="Arial" w:hAnsi="Arial" w:cs="Arial"/>
        </w:rPr>
        <w:t xml:space="preserve">Of these, </w:t>
      </w:r>
      <w:r w:rsidR="00BD2C42" w:rsidRPr="00826530">
        <w:rPr>
          <w:rFonts w:ascii="Arial" w:hAnsi="Arial" w:cs="Arial"/>
        </w:rPr>
        <w:t xml:space="preserve">154 </w:t>
      </w:r>
      <w:r w:rsidR="007732C4" w:rsidRPr="00826530">
        <w:rPr>
          <w:rFonts w:ascii="Arial" w:hAnsi="Arial" w:cs="Arial"/>
        </w:rPr>
        <w:t>(</w:t>
      </w:r>
      <w:r w:rsidR="00BD2C42" w:rsidRPr="00826530">
        <w:rPr>
          <w:rFonts w:ascii="Arial" w:hAnsi="Arial" w:cs="Arial"/>
        </w:rPr>
        <w:t>22.1</w:t>
      </w:r>
      <w:r w:rsidR="007732C4" w:rsidRPr="00826530">
        <w:rPr>
          <w:rFonts w:ascii="Arial" w:hAnsi="Arial" w:cs="Arial"/>
        </w:rPr>
        <w:t>%) reported receiving or both receiving and giving money, drugs, or other goods for sex (p</w:t>
      </w:r>
      <w:r w:rsidR="00CE3062">
        <w:rPr>
          <w:rFonts w:ascii="Arial" w:hAnsi="Arial" w:cs="Arial"/>
        </w:rPr>
        <w:t xml:space="preserve">ast 6 </w:t>
      </w:r>
      <w:r w:rsidR="00F22FCC" w:rsidRPr="00826530">
        <w:rPr>
          <w:rFonts w:ascii="Arial" w:hAnsi="Arial" w:cs="Arial"/>
        </w:rPr>
        <w:t>m</w:t>
      </w:r>
      <w:r w:rsidR="00CE3062">
        <w:rPr>
          <w:rFonts w:ascii="Arial" w:hAnsi="Arial" w:cs="Arial"/>
        </w:rPr>
        <w:t>onths</w:t>
      </w:r>
      <w:proofErr w:type="gramStart"/>
      <w:r w:rsidR="007732C4" w:rsidRPr="00826530">
        <w:rPr>
          <w:rFonts w:ascii="Arial" w:hAnsi="Arial" w:cs="Arial"/>
        </w:rPr>
        <w:t>)</w:t>
      </w:r>
      <w:r w:rsidR="00E8626A" w:rsidRPr="00826530">
        <w:rPr>
          <w:rFonts w:ascii="Arial" w:hAnsi="Arial" w:cs="Arial"/>
        </w:rPr>
        <w:t>,</w:t>
      </w:r>
      <w:r w:rsidR="007732C4" w:rsidRPr="00826530">
        <w:rPr>
          <w:rFonts w:ascii="Arial" w:hAnsi="Arial" w:cs="Arial"/>
        </w:rPr>
        <w:t xml:space="preserve"> </w:t>
      </w:r>
      <w:r w:rsidR="00F22FCC" w:rsidRPr="00826530">
        <w:rPr>
          <w:rFonts w:ascii="Arial" w:hAnsi="Arial" w:cs="Arial"/>
        </w:rPr>
        <w:t>or</w:t>
      </w:r>
      <w:proofErr w:type="gramEnd"/>
      <w:r w:rsidR="00F22FCC" w:rsidRPr="00826530">
        <w:rPr>
          <w:rFonts w:ascii="Arial" w:hAnsi="Arial" w:cs="Arial"/>
        </w:rPr>
        <w:t xml:space="preserve"> having received money for escort or sex work in the p</w:t>
      </w:r>
      <w:r w:rsidR="00CE3062">
        <w:rPr>
          <w:rFonts w:ascii="Arial" w:hAnsi="Arial" w:cs="Arial"/>
        </w:rPr>
        <w:t>ast 6 months</w:t>
      </w:r>
      <w:r w:rsidR="00E8626A" w:rsidRPr="00826530">
        <w:rPr>
          <w:rFonts w:ascii="Arial" w:hAnsi="Arial" w:cs="Arial"/>
        </w:rPr>
        <w:t>,</w:t>
      </w:r>
      <w:r w:rsidR="00F22FCC" w:rsidRPr="00826530">
        <w:rPr>
          <w:rFonts w:ascii="Arial" w:hAnsi="Arial" w:cs="Arial"/>
        </w:rPr>
        <w:t xml:space="preserve"> </w:t>
      </w:r>
      <w:r w:rsidR="009A67AC" w:rsidRPr="00826530">
        <w:rPr>
          <w:rFonts w:ascii="Arial" w:hAnsi="Arial" w:cs="Arial"/>
        </w:rPr>
        <w:t xml:space="preserve">at any visit </w:t>
      </w:r>
      <w:r w:rsidR="007732C4" w:rsidRPr="00826530">
        <w:rPr>
          <w:rFonts w:ascii="Arial" w:hAnsi="Arial" w:cs="Arial"/>
        </w:rPr>
        <w:t xml:space="preserve">over the study period. </w:t>
      </w:r>
      <w:r w:rsidR="00857F65" w:rsidRPr="00826530">
        <w:rPr>
          <w:rFonts w:ascii="Arial" w:hAnsi="Arial" w:cs="Arial"/>
        </w:rPr>
        <w:t>Five</w:t>
      </w:r>
      <w:r w:rsidR="005337F2" w:rsidRPr="00826530">
        <w:rPr>
          <w:rFonts w:ascii="Arial" w:hAnsi="Arial" w:cs="Arial"/>
        </w:rPr>
        <w:t xml:space="preserve"> participants </w:t>
      </w:r>
      <w:r w:rsidR="00E8626A" w:rsidRPr="00826530">
        <w:rPr>
          <w:rFonts w:ascii="Arial" w:hAnsi="Arial" w:cs="Arial"/>
        </w:rPr>
        <w:t xml:space="preserve">who </w:t>
      </w:r>
      <w:r w:rsidR="005337F2" w:rsidRPr="00826530">
        <w:rPr>
          <w:rFonts w:ascii="Arial" w:hAnsi="Arial" w:cs="Arial"/>
        </w:rPr>
        <w:t>reported only</w:t>
      </w:r>
      <w:r w:rsidR="006B187F" w:rsidRPr="00826530">
        <w:rPr>
          <w:rFonts w:ascii="Arial" w:hAnsi="Arial" w:cs="Arial"/>
        </w:rPr>
        <w:t xml:space="preserve"> giving money, goods, or drugs in exchange for</w:t>
      </w:r>
      <w:r w:rsidR="005337F2" w:rsidRPr="00826530">
        <w:rPr>
          <w:rFonts w:ascii="Arial" w:hAnsi="Arial" w:cs="Arial"/>
        </w:rPr>
        <w:t xml:space="preserve"> sex (p</w:t>
      </w:r>
      <w:r w:rsidR="00CE3062">
        <w:rPr>
          <w:rFonts w:ascii="Arial" w:hAnsi="Arial" w:cs="Arial"/>
        </w:rPr>
        <w:t>ast 6 months</w:t>
      </w:r>
      <w:r w:rsidR="005337F2" w:rsidRPr="00826530">
        <w:rPr>
          <w:rFonts w:ascii="Arial" w:hAnsi="Arial" w:cs="Arial"/>
        </w:rPr>
        <w:t>) we</w:t>
      </w:r>
      <w:r w:rsidR="006B187F" w:rsidRPr="00826530">
        <w:rPr>
          <w:rFonts w:ascii="Arial" w:hAnsi="Arial" w:cs="Arial"/>
        </w:rPr>
        <w:t>re</w:t>
      </w:r>
      <w:r w:rsidR="005337F2" w:rsidRPr="00826530">
        <w:rPr>
          <w:rFonts w:ascii="Arial" w:hAnsi="Arial" w:cs="Arial"/>
        </w:rPr>
        <w:t xml:space="preserve"> removed from </w:t>
      </w:r>
      <w:r w:rsidR="007732C4" w:rsidRPr="00826530">
        <w:rPr>
          <w:rFonts w:ascii="Arial" w:hAnsi="Arial" w:cs="Arial"/>
        </w:rPr>
        <w:t xml:space="preserve">subsequent </w:t>
      </w:r>
      <w:r w:rsidR="005337F2" w:rsidRPr="00826530">
        <w:rPr>
          <w:rFonts w:ascii="Arial" w:hAnsi="Arial" w:cs="Arial"/>
        </w:rPr>
        <w:t xml:space="preserve">analyses. </w:t>
      </w:r>
      <w:r w:rsidR="00566DF8" w:rsidRPr="00826530">
        <w:rPr>
          <w:rFonts w:ascii="Arial" w:hAnsi="Arial" w:cs="Arial"/>
        </w:rPr>
        <w:t xml:space="preserve">Thus, </w:t>
      </w:r>
      <w:r w:rsidR="005337F2" w:rsidRPr="00826530">
        <w:rPr>
          <w:rFonts w:ascii="Arial" w:hAnsi="Arial" w:cs="Arial"/>
        </w:rPr>
        <w:t>693 participants</w:t>
      </w:r>
      <w:r w:rsidR="00566DF8" w:rsidRPr="00826530">
        <w:rPr>
          <w:rFonts w:ascii="Arial" w:hAnsi="Arial" w:cs="Arial"/>
        </w:rPr>
        <w:t xml:space="preserve"> </w:t>
      </w:r>
      <w:r w:rsidR="005337F2" w:rsidRPr="00826530">
        <w:rPr>
          <w:rFonts w:ascii="Arial" w:hAnsi="Arial" w:cs="Arial"/>
        </w:rPr>
        <w:t xml:space="preserve">completed </w:t>
      </w:r>
      <w:r w:rsidR="007732C4" w:rsidRPr="00826530">
        <w:rPr>
          <w:rFonts w:ascii="Arial" w:hAnsi="Arial" w:cs="Arial"/>
        </w:rPr>
        <w:t>4200</w:t>
      </w:r>
      <w:r w:rsidR="005337F2" w:rsidRPr="00826530">
        <w:rPr>
          <w:rFonts w:ascii="Arial" w:hAnsi="Arial" w:cs="Arial"/>
        </w:rPr>
        <w:t xml:space="preserve"> visits</w:t>
      </w:r>
      <w:r w:rsidR="00E8626A" w:rsidRPr="00826530">
        <w:rPr>
          <w:rFonts w:ascii="Arial" w:hAnsi="Arial" w:cs="Arial"/>
        </w:rPr>
        <w:t xml:space="preserve"> and</w:t>
      </w:r>
      <w:r w:rsidR="00F22FCC" w:rsidRPr="00826530">
        <w:rPr>
          <w:rFonts w:ascii="Arial" w:hAnsi="Arial" w:cs="Arial"/>
        </w:rPr>
        <w:t xml:space="preserve"> </w:t>
      </w:r>
      <w:r w:rsidR="00E8626A" w:rsidRPr="00826530">
        <w:rPr>
          <w:rFonts w:ascii="Arial" w:hAnsi="Arial" w:cs="Arial"/>
        </w:rPr>
        <w:t>a</w:t>
      </w:r>
      <w:r w:rsidR="00F22FCC" w:rsidRPr="00826530">
        <w:rPr>
          <w:rFonts w:ascii="Arial" w:hAnsi="Arial" w:cs="Arial"/>
        </w:rPr>
        <w:t>mong those with 2 or more study visits (n=581/693), the</w:t>
      </w:r>
      <w:r w:rsidR="005337F2" w:rsidRPr="00826530">
        <w:rPr>
          <w:rFonts w:ascii="Arial" w:hAnsi="Arial" w:cs="Arial"/>
        </w:rPr>
        <w:t xml:space="preserve"> median follow-up time </w:t>
      </w:r>
      <w:r w:rsidR="00F22FCC" w:rsidRPr="00826530">
        <w:rPr>
          <w:rFonts w:ascii="Arial" w:hAnsi="Arial" w:cs="Arial"/>
        </w:rPr>
        <w:t>was</w:t>
      </w:r>
      <w:r w:rsidR="005337F2" w:rsidRPr="00826530">
        <w:rPr>
          <w:rFonts w:ascii="Arial" w:hAnsi="Arial" w:cs="Arial"/>
        </w:rPr>
        <w:t xml:space="preserve"> </w:t>
      </w:r>
      <w:r w:rsidR="007732C4" w:rsidRPr="00826530">
        <w:rPr>
          <w:rFonts w:ascii="Arial" w:hAnsi="Arial" w:cs="Arial"/>
        </w:rPr>
        <w:t>3</w:t>
      </w:r>
      <w:r w:rsidR="005337F2" w:rsidRPr="00826530">
        <w:rPr>
          <w:rFonts w:ascii="Arial" w:hAnsi="Arial" w:cs="Arial"/>
        </w:rPr>
        <w:t>.</w:t>
      </w:r>
      <w:r w:rsidR="007732C4" w:rsidRPr="00826530">
        <w:rPr>
          <w:rFonts w:ascii="Arial" w:hAnsi="Arial" w:cs="Arial"/>
        </w:rPr>
        <w:t>5</w:t>
      </w:r>
      <w:r w:rsidR="005337F2" w:rsidRPr="00826530">
        <w:rPr>
          <w:rFonts w:ascii="Arial" w:hAnsi="Arial" w:cs="Arial"/>
        </w:rPr>
        <w:t xml:space="preserve"> years (Q1, Q3 = </w:t>
      </w:r>
      <w:r w:rsidR="007732C4" w:rsidRPr="00826530">
        <w:rPr>
          <w:rFonts w:ascii="Arial" w:hAnsi="Arial" w:cs="Arial"/>
        </w:rPr>
        <w:t>3</w:t>
      </w:r>
      <w:r w:rsidR="005337F2" w:rsidRPr="00826530">
        <w:rPr>
          <w:rFonts w:ascii="Arial" w:hAnsi="Arial" w:cs="Arial"/>
        </w:rPr>
        <w:t>.</w:t>
      </w:r>
      <w:r w:rsidR="007732C4" w:rsidRPr="00826530">
        <w:rPr>
          <w:rFonts w:ascii="Arial" w:hAnsi="Arial" w:cs="Arial"/>
        </w:rPr>
        <w:t>1</w:t>
      </w:r>
      <w:r w:rsidR="005337F2" w:rsidRPr="00826530">
        <w:rPr>
          <w:rFonts w:ascii="Arial" w:hAnsi="Arial" w:cs="Arial"/>
        </w:rPr>
        <w:t>,</w:t>
      </w:r>
      <w:r w:rsidR="007732C4" w:rsidRPr="00826530">
        <w:rPr>
          <w:rFonts w:ascii="Arial" w:hAnsi="Arial" w:cs="Arial"/>
        </w:rPr>
        <w:t xml:space="preserve"> 3</w:t>
      </w:r>
      <w:r w:rsidR="005337F2" w:rsidRPr="00826530">
        <w:rPr>
          <w:rFonts w:ascii="Arial" w:hAnsi="Arial" w:cs="Arial"/>
        </w:rPr>
        <w:t>.</w:t>
      </w:r>
      <w:r w:rsidR="007732C4" w:rsidRPr="00826530">
        <w:rPr>
          <w:rFonts w:ascii="Arial" w:hAnsi="Arial" w:cs="Arial"/>
        </w:rPr>
        <w:t>8</w:t>
      </w:r>
      <w:r w:rsidR="005337F2" w:rsidRPr="00826530">
        <w:rPr>
          <w:rFonts w:ascii="Arial" w:hAnsi="Arial" w:cs="Arial"/>
        </w:rPr>
        <w:t>).</w:t>
      </w:r>
      <w:r w:rsidR="00566DF8" w:rsidRPr="00826530">
        <w:rPr>
          <w:rFonts w:ascii="Arial" w:hAnsi="Arial" w:cs="Arial"/>
        </w:rPr>
        <w:t xml:space="preserve"> </w:t>
      </w:r>
    </w:p>
    <w:p w14:paraId="714F917C" w14:textId="0E25A493" w:rsidR="00DF7874" w:rsidRPr="00826530" w:rsidRDefault="002356D8" w:rsidP="00DF7874">
      <w:pPr>
        <w:spacing w:line="480" w:lineRule="auto"/>
        <w:ind w:firstLine="720"/>
        <w:rPr>
          <w:rFonts w:ascii="Arial" w:hAnsi="Arial" w:cs="Arial"/>
        </w:rPr>
      </w:pPr>
      <w:r w:rsidRPr="00826530">
        <w:rPr>
          <w:rFonts w:ascii="Arial" w:hAnsi="Arial" w:cs="Arial"/>
        </w:rPr>
        <w:t>Among our sample, the</w:t>
      </w:r>
      <w:r w:rsidR="00851673" w:rsidRPr="00826530">
        <w:rPr>
          <w:rFonts w:ascii="Arial" w:hAnsi="Arial" w:cs="Arial"/>
        </w:rPr>
        <w:t xml:space="preserve"> </w:t>
      </w:r>
      <w:r w:rsidRPr="00826530">
        <w:rPr>
          <w:rFonts w:ascii="Arial" w:hAnsi="Arial" w:cs="Arial"/>
        </w:rPr>
        <w:t>m</w:t>
      </w:r>
      <w:r w:rsidR="00851673" w:rsidRPr="00826530">
        <w:rPr>
          <w:rFonts w:ascii="Arial" w:hAnsi="Arial" w:cs="Arial"/>
        </w:rPr>
        <w:t>edian age at baseline was 33 years (Q1,</w:t>
      </w:r>
      <w:r w:rsidR="00E74853" w:rsidRPr="00826530">
        <w:rPr>
          <w:rFonts w:ascii="Arial" w:hAnsi="Arial" w:cs="Arial"/>
        </w:rPr>
        <w:t xml:space="preserve"> </w:t>
      </w:r>
      <w:r w:rsidR="00851673" w:rsidRPr="00826530">
        <w:rPr>
          <w:rFonts w:ascii="Arial" w:hAnsi="Arial" w:cs="Arial"/>
        </w:rPr>
        <w:t>Q3 = 26,</w:t>
      </w:r>
      <w:r w:rsidR="007732C4" w:rsidRPr="00826530">
        <w:rPr>
          <w:rFonts w:ascii="Arial" w:hAnsi="Arial" w:cs="Arial"/>
        </w:rPr>
        <w:t xml:space="preserve"> </w:t>
      </w:r>
      <w:r w:rsidR="00851673" w:rsidRPr="00826530">
        <w:rPr>
          <w:rFonts w:ascii="Arial" w:hAnsi="Arial" w:cs="Arial"/>
        </w:rPr>
        <w:t xml:space="preserve">47); </w:t>
      </w:r>
      <w:r w:rsidR="00F22FCC" w:rsidRPr="00826530">
        <w:rPr>
          <w:rFonts w:ascii="Arial" w:hAnsi="Arial" w:cs="Arial"/>
        </w:rPr>
        <w:t xml:space="preserve">the </w:t>
      </w:r>
      <w:r w:rsidR="00236A83" w:rsidRPr="00826530">
        <w:rPr>
          <w:rFonts w:ascii="Arial" w:hAnsi="Arial" w:cs="Arial"/>
        </w:rPr>
        <w:t>most reported</w:t>
      </w:r>
      <w:r w:rsidR="00F22FCC" w:rsidRPr="00826530">
        <w:rPr>
          <w:rFonts w:ascii="Arial" w:hAnsi="Arial" w:cs="Arial"/>
        </w:rPr>
        <w:t xml:space="preserve"> sexual identity was gay (</w:t>
      </w:r>
      <w:r w:rsidR="00851673" w:rsidRPr="00826530">
        <w:rPr>
          <w:rFonts w:ascii="Arial" w:hAnsi="Arial" w:cs="Arial"/>
        </w:rPr>
        <w:t>86.3</w:t>
      </w:r>
      <w:r w:rsidR="00526C30" w:rsidRPr="00826530">
        <w:rPr>
          <w:rFonts w:ascii="Arial" w:hAnsi="Arial" w:cs="Arial"/>
        </w:rPr>
        <w:t>%</w:t>
      </w:r>
      <w:proofErr w:type="gramStart"/>
      <w:r w:rsidR="00F22FCC" w:rsidRPr="00826530">
        <w:rPr>
          <w:rFonts w:ascii="Arial" w:hAnsi="Arial" w:cs="Arial"/>
        </w:rPr>
        <w:t>)</w:t>
      </w:r>
      <w:proofErr w:type="gramEnd"/>
      <w:r w:rsidR="00F22FCC" w:rsidRPr="00826530">
        <w:rPr>
          <w:rFonts w:ascii="Arial" w:hAnsi="Arial" w:cs="Arial"/>
        </w:rPr>
        <w:t xml:space="preserve"> and the most reported race/ethnicity was white (</w:t>
      </w:r>
      <w:r w:rsidR="00851673" w:rsidRPr="00826530">
        <w:rPr>
          <w:rFonts w:ascii="Arial" w:hAnsi="Arial" w:cs="Arial"/>
        </w:rPr>
        <w:t>75.4%</w:t>
      </w:r>
      <w:r w:rsidR="00F22FCC" w:rsidRPr="00826530">
        <w:rPr>
          <w:rFonts w:ascii="Arial" w:hAnsi="Arial" w:cs="Arial"/>
        </w:rPr>
        <w:t>)</w:t>
      </w:r>
      <w:r w:rsidR="00851673" w:rsidRPr="00826530">
        <w:rPr>
          <w:rFonts w:ascii="Arial" w:hAnsi="Arial" w:cs="Arial"/>
        </w:rPr>
        <w:t xml:space="preserve">. </w:t>
      </w:r>
      <w:r w:rsidR="0022007F" w:rsidRPr="00826530">
        <w:rPr>
          <w:rFonts w:ascii="Arial" w:hAnsi="Arial" w:cs="Arial"/>
        </w:rPr>
        <w:t xml:space="preserve">Twenty-eight percent of participants </w:t>
      </w:r>
      <w:r w:rsidR="00851673" w:rsidRPr="00826530">
        <w:rPr>
          <w:rFonts w:ascii="Arial" w:hAnsi="Arial" w:cs="Arial"/>
        </w:rPr>
        <w:t xml:space="preserve">were </w:t>
      </w:r>
      <w:r w:rsidR="00F35E4C" w:rsidRPr="00826530">
        <w:rPr>
          <w:rFonts w:ascii="Arial" w:hAnsi="Arial" w:cs="Arial"/>
        </w:rPr>
        <w:t xml:space="preserve">living with </w:t>
      </w:r>
      <w:r w:rsidR="00851673" w:rsidRPr="00826530">
        <w:rPr>
          <w:rFonts w:ascii="Arial" w:hAnsi="Arial" w:cs="Arial"/>
        </w:rPr>
        <w:t>HIV</w:t>
      </w:r>
      <w:r w:rsidR="007F1146" w:rsidRPr="00826530">
        <w:rPr>
          <w:rFonts w:ascii="Arial" w:hAnsi="Arial" w:cs="Arial"/>
        </w:rPr>
        <w:t>,</w:t>
      </w:r>
      <w:r w:rsidR="00851673" w:rsidRPr="00826530">
        <w:rPr>
          <w:rFonts w:ascii="Arial" w:hAnsi="Arial" w:cs="Arial"/>
        </w:rPr>
        <w:t xml:space="preserve"> and the </w:t>
      </w:r>
      <w:r w:rsidR="00851673" w:rsidRPr="00826530">
        <w:rPr>
          <w:rFonts w:ascii="Arial" w:hAnsi="Arial" w:cs="Arial"/>
        </w:rPr>
        <w:lastRenderedPageBreak/>
        <w:t>median number of male sex partners reported (p</w:t>
      </w:r>
      <w:r w:rsidR="00CE3062">
        <w:rPr>
          <w:rFonts w:ascii="Arial" w:hAnsi="Arial" w:cs="Arial"/>
        </w:rPr>
        <w:t>ast 6 months</w:t>
      </w:r>
      <w:r w:rsidR="00851673" w:rsidRPr="00826530">
        <w:rPr>
          <w:rFonts w:ascii="Arial" w:hAnsi="Arial" w:cs="Arial"/>
        </w:rPr>
        <w:t>) was 5 (Q1,</w:t>
      </w:r>
      <w:r w:rsidR="00E74853" w:rsidRPr="00826530">
        <w:rPr>
          <w:rFonts w:ascii="Arial" w:hAnsi="Arial" w:cs="Arial"/>
        </w:rPr>
        <w:t xml:space="preserve"> </w:t>
      </w:r>
      <w:r w:rsidR="00851673" w:rsidRPr="00826530">
        <w:rPr>
          <w:rFonts w:ascii="Arial" w:hAnsi="Arial" w:cs="Arial"/>
        </w:rPr>
        <w:t>Q3 = 3,</w:t>
      </w:r>
      <w:r w:rsidR="007732C4" w:rsidRPr="00826530">
        <w:rPr>
          <w:rFonts w:ascii="Arial" w:hAnsi="Arial" w:cs="Arial"/>
        </w:rPr>
        <w:t xml:space="preserve"> </w:t>
      </w:r>
      <w:r w:rsidR="00851673" w:rsidRPr="00826530">
        <w:rPr>
          <w:rFonts w:ascii="Arial" w:hAnsi="Arial" w:cs="Arial"/>
        </w:rPr>
        <w:t xml:space="preserve">15). 39.4% of participants reported engaging in condomless anal sex </w:t>
      </w:r>
      <w:r w:rsidR="006259BC" w:rsidRPr="00826530">
        <w:rPr>
          <w:rFonts w:ascii="Arial" w:hAnsi="Arial" w:cs="Arial"/>
        </w:rPr>
        <w:t xml:space="preserve">(CAS) </w:t>
      </w:r>
      <w:r w:rsidR="00851673" w:rsidRPr="00826530">
        <w:rPr>
          <w:rFonts w:ascii="Arial" w:hAnsi="Arial" w:cs="Arial"/>
        </w:rPr>
        <w:t>with a HIV serodi</w:t>
      </w:r>
      <w:r w:rsidR="007732C4" w:rsidRPr="00826530">
        <w:rPr>
          <w:rFonts w:ascii="Arial" w:hAnsi="Arial" w:cs="Arial"/>
        </w:rPr>
        <w:t>fferent</w:t>
      </w:r>
      <w:r w:rsidR="00851673" w:rsidRPr="00826530">
        <w:rPr>
          <w:rFonts w:ascii="Arial" w:hAnsi="Arial" w:cs="Arial"/>
        </w:rPr>
        <w:t xml:space="preserve"> or unknown HIV status partner (p</w:t>
      </w:r>
      <w:r w:rsidR="00CE3062">
        <w:rPr>
          <w:rFonts w:ascii="Arial" w:hAnsi="Arial" w:cs="Arial"/>
        </w:rPr>
        <w:t>ast 6 months</w:t>
      </w:r>
      <w:r w:rsidR="00851673" w:rsidRPr="00826530">
        <w:rPr>
          <w:rFonts w:ascii="Arial" w:hAnsi="Arial" w:cs="Arial"/>
        </w:rPr>
        <w:t xml:space="preserve">). </w:t>
      </w:r>
      <w:r w:rsidR="00DF7874" w:rsidRPr="00826530">
        <w:rPr>
          <w:rFonts w:ascii="Arial" w:hAnsi="Arial" w:cs="Arial"/>
        </w:rPr>
        <w:t>Full baseline demographics and univariable results are presented in Table 1.</w:t>
      </w:r>
    </w:p>
    <w:p w14:paraId="19760134" w14:textId="390AE31D" w:rsidR="00E8626A" w:rsidRPr="00826530" w:rsidRDefault="00E8626A" w:rsidP="00DF7874">
      <w:pPr>
        <w:spacing w:line="480" w:lineRule="auto"/>
        <w:ind w:firstLine="720"/>
        <w:rPr>
          <w:rFonts w:ascii="Arial" w:hAnsi="Arial" w:cs="Arial"/>
        </w:rPr>
      </w:pPr>
      <w:r w:rsidRPr="00826530">
        <w:rPr>
          <w:rFonts w:ascii="Arial" w:hAnsi="Arial" w:cs="Arial"/>
        </w:rPr>
        <w:t xml:space="preserve">In univariable analyses, </w:t>
      </w:r>
      <w:r w:rsidR="00706AAD" w:rsidRPr="00826530">
        <w:rPr>
          <w:rFonts w:ascii="Arial" w:hAnsi="Arial" w:cs="Arial"/>
        </w:rPr>
        <w:t>GBM living with HIV were more likely to report transactional sex than HIV-negative GBM (OR=2.44, 95%CI:1.17, 5.08)</w:t>
      </w:r>
      <w:r w:rsidR="00657520" w:rsidRPr="00826530">
        <w:rPr>
          <w:rFonts w:ascii="Arial" w:hAnsi="Arial" w:cs="Arial"/>
        </w:rPr>
        <w:t>,</w:t>
      </w:r>
      <w:r w:rsidR="00DF7874" w:rsidRPr="00826530">
        <w:rPr>
          <w:rFonts w:ascii="Arial" w:hAnsi="Arial" w:cs="Arial"/>
        </w:rPr>
        <w:t xml:space="preserve"> as were GBM who scored in the harmful or possible dependence range on the AUDIT scale (OR=1.85, 95%CI:1.07, 3.19), and those who reported recent (p</w:t>
      </w:r>
      <w:r w:rsidR="00CE3062">
        <w:rPr>
          <w:rFonts w:ascii="Arial" w:hAnsi="Arial" w:cs="Arial"/>
        </w:rPr>
        <w:t>ast 6 month</w:t>
      </w:r>
      <w:r w:rsidR="00DF7874" w:rsidRPr="00826530">
        <w:rPr>
          <w:rFonts w:ascii="Arial" w:hAnsi="Arial" w:cs="Arial"/>
        </w:rPr>
        <w:t>) diagnosis of gonorrhoea, chlamydia, or syphilis (OR=2.90, 95%CI:1.57, 5.37). H</w:t>
      </w:r>
      <w:r w:rsidR="00706AAD" w:rsidRPr="00826530">
        <w:rPr>
          <w:rFonts w:ascii="Arial" w:hAnsi="Arial" w:cs="Arial"/>
        </w:rPr>
        <w:t>owever, after consideration of additional factors in multivariable models</w:t>
      </w:r>
      <w:r w:rsidR="00DF7874" w:rsidRPr="00826530">
        <w:rPr>
          <w:rFonts w:ascii="Arial" w:hAnsi="Arial" w:cs="Arial"/>
        </w:rPr>
        <w:t>, these associations were no longer significant</w:t>
      </w:r>
      <w:r w:rsidR="00706AAD" w:rsidRPr="00826530">
        <w:rPr>
          <w:rFonts w:ascii="Arial" w:hAnsi="Arial" w:cs="Arial"/>
        </w:rPr>
        <w:t xml:space="preserve"> (described below). </w:t>
      </w:r>
      <w:r w:rsidR="00DF7874" w:rsidRPr="00826530">
        <w:rPr>
          <w:rFonts w:ascii="Arial" w:hAnsi="Arial" w:cs="Arial"/>
        </w:rPr>
        <w:t xml:space="preserve">Further, with respect to HIV prevention strategies, in univariable analysis, </w:t>
      </w:r>
      <w:r w:rsidR="00236A83" w:rsidRPr="00826530">
        <w:rPr>
          <w:rFonts w:ascii="Arial" w:hAnsi="Arial" w:cs="Arial"/>
        </w:rPr>
        <w:t>there was</w:t>
      </w:r>
      <w:r w:rsidR="00DF7874" w:rsidRPr="00826530">
        <w:rPr>
          <w:rFonts w:ascii="Arial" w:hAnsi="Arial" w:cs="Arial"/>
        </w:rPr>
        <w:t xml:space="preserve"> no difference in likelihood to report always using condoms, anal sex avoidance, asking the HIV status of sex partners, or serosorting between GBM who reported transactional sex and those who did not. In </w:t>
      </w:r>
      <w:r w:rsidR="00657520" w:rsidRPr="00826530">
        <w:rPr>
          <w:rFonts w:ascii="Arial" w:hAnsi="Arial" w:cs="Arial"/>
        </w:rPr>
        <w:t>univariable</w:t>
      </w:r>
      <w:r w:rsidR="00DF7874" w:rsidRPr="00826530">
        <w:rPr>
          <w:rFonts w:ascii="Arial" w:hAnsi="Arial" w:cs="Arial"/>
        </w:rPr>
        <w:t xml:space="preserve"> analysis, transactional sex was associated with </w:t>
      </w:r>
      <w:proofErr w:type="spellStart"/>
      <w:r w:rsidR="00DF7874" w:rsidRPr="00826530">
        <w:rPr>
          <w:rFonts w:ascii="Arial" w:hAnsi="Arial" w:cs="Arial"/>
        </w:rPr>
        <w:t>sero</w:t>
      </w:r>
      <w:proofErr w:type="spellEnd"/>
      <w:r w:rsidR="00DF7874" w:rsidRPr="00826530">
        <w:rPr>
          <w:rFonts w:ascii="Arial" w:hAnsi="Arial" w:cs="Arial"/>
        </w:rPr>
        <w:t>-positioning (OR=1.62, 95%CI:1.06, 2.48), viral load sorting (OR=</w:t>
      </w:r>
      <w:r w:rsidR="00657520" w:rsidRPr="00826530">
        <w:rPr>
          <w:rFonts w:ascii="Arial" w:hAnsi="Arial" w:cs="Arial"/>
        </w:rPr>
        <w:t>2</w:t>
      </w:r>
      <w:r w:rsidR="00DF7874" w:rsidRPr="00826530">
        <w:rPr>
          <w:rFonts w:ascii="Arial" w:hAnsi="Arial" w:cs="Arial"/>
        </w:rPr>
        <w:t>.</w:t>
      </w:r>
      <w:r w:rsidR="00657520" w:rsidRPr="00826530">
        <w:rPr>
          <w:rFonts w:ascii="Arial" w:hAnsi="Arial" w:cs="Arial"/>
        </w:rPr>
        <w:t>13</w:t>
      </w:r>
      <w:r w:rsidR="00DF7874" w:rsidRPr="00826530">
        <w:rPr>
          <w:rFonts w:ascii="Arial" w:hAnsi="Arial" w:cs="Arial"/>
        </w:rPr>
        <w:t>, 95%CI:1.</w:t>
      </w:r>
      <w:r w:rsidR="00657520" w:rsidRPr="00826530">
        <w:rPr>
          <w:rFonts w:ascii="Arial" w:hAnsi="Arial" w:cs="Arial"/>
        </w:rPr>
        <w:t>39</w:t>
      </w:r>
      <w:r w:rsidR="00DF7874" w:rsidRPr="00826530">
        <w:rPr>
          <w:rFonts w:ascii="Arial" w:hAnsi="Arial" w:cs="Arial"/>
        </w:rPr>
        <w:t xml:space="preserve">, </w:t>
      </w:r>
      <w:r w:rsidR="00657520" w:rsidRPr="00826530">
        <w:rPr>
          <w:rFonts w:ascii="Arial" w:hAnsi="Arial" w:cs="Arial"/>
        </w:rPr>
        <w:t>3</w:t>
      </w:r>
      <w:r w:rsidR="00DF7874" w:rsidRPr="00826530">
        <w:rPr>
          <w:rFonts w:ascii="Arial" w:hAnsi="Arial" w:cs="Arial"/>
        </w:rPr>
        <w:t>.</w:t>
      </w:r>
      <w:r w:rsidR="00657520" w:rsidRPr="00826530">
        <w:rPr>
          <w:rFonts w:ascii="Arial" w:hAnsi="Arial" w:cs="Arial"/>
        </w:rPr>
        <w:t>26</w:t>
      </w:r>
      <w:r w:rsidR="00DF7874" w:rsidRPr="00826530">
        <w:rPr>
          <w:rFonts w:ascii="Arial" w:hAnsi="Arial" w:cs="Arial"/>
        </w:rPr>
        <w:t>), and withdrawal prior to ejaculation</w:t>
      </w:r>
      <w:r w:rsidR="00657520" w:rsidRPr="00826530">
        <w:rPr>
          <w:rFonts w:ascii="Arial" w:hAnsi="Arial" w:cs="Arial"/>
        </w:rPr>
        <w:t xml:space="preserve"> (OR=2.41, 95%CI:1.55, 3.76)</w:t>
      </w:r>
      <w:r w:rsidR="00DF7874" w:rsidRPr="00826530">
        <w:rPr>
          <w:rFonts w:ascii="Arial" w:hAnsi="Arial" w:cs="Arial"/>
        </w:rPr>
        <w:t xml:space="preserve">, but only </w:t>
      </w:r>
      <w:r w:rsidR="00657520" w:rsidRPr="00826530">
        <w:rPr>
          <w:rFonts w:ascii="Arial" w:hAnsi="Arial" w:cs="Arial"/>
        </w:rPr>
        <w:t>withdrawal remained significantly associated with transactional sex in the final multivariable model (see below).</w:t>
      </w:r>
    </w:p>
    <w:p w14:paraId="01A1D4D9" w14:textId="16B0B062" w:rsidR="00851673" w:rsidRPr="00826530" w:rsidRDefault="00851673" w:rsidP="00F22BCF">
      <w:pPr>
        <w:spacing w:line="480" w:lineRule="auto"/>
        <w:ind w:firstLine="720"/>
        <w:rPr>
          <w:rFonts w:ascii="Arial" w:hAnsi="Arial" w:cs="Arial"/>
          <w:color w:val="000000" w:themeColor="text1"/>
        </w:rPr>
      </w:pPr>
      <w:r w:rsidRPr="00826530">
        <w:rPr>
          <w:rFonts w:ascii="Arial" w:hAnsi="Arial" w:cs="Arial"/>
          <w:color w:val="000000" w:themeColor="text1"/>
        </w:rPr>
        <w:t xml:space="preserve">Multivariable analysis </w:t>
      </w:r>
      <w:r w:rsidR="002356D8" w:rsidRPr="00826530">
        <w:rPr>
          <w:rFonts w:ascii="Arial" w:hAnsi="Arial" w:cs="Arial"/>
          <w:color w:val="000000" w:themeColor="text1"/>
        </w:rPr>
        <w:t>found</w:t>
      </w:r>
      <w:r w:rsidRPr="00826530">
        <w:rPr>
          <w:rFonts w:ascii="Arial" w:hAnsi="Arial" w:cs="Arial"/>
          <w:color w:val="000000" w:themeColor="text1"/>
        </w:rPr>
        <w:t xml:space="preserve"> increased odds of </w:t>
      </w:r>
      <w:r w:rsidR="00D326B6" w:rsidRPr="00826530">
        <w:rPr>
          <w:rFonts w:ascii="Arial" w:hAnsi="Arial" w:cs="Arial"/>
          <w:color w:val="000000" w:themeColor="text1"/>
        </w:rPr>
        <w:t xml:space="preserve">transactional sex </w:t>
      </w:r>
      <w:r w:rsidRPr="00826530">
        <w:rPr>
          <w:rFonts w:ascii="Arial" w:hAnsi="Arial" w:cs="Arial"/>
          <w:color w:val="000000" w:themeColor="text1"/>
        </w:rPr>
        <w:t xml:space="preserve">were associated with </w:t>
      </w:r>
      <w:r w:rsidR="00A829F6" w:rsidRPr="00826530">
        <w:rPr>
          <w:rFonts w:ascii="Arial" w:hAnsi="Arial" w:cs="Arial"/>
          <w:color w:val="000000" w:themeColor="text1"/>
        </w:rPr>
        <w:t xml:space="preserve">identifying as bisexual or “other” (vs. gay; </w:t>
      </w:r>
      <w:proofErr w:type="spellStart"/>
      <w:r w:rsidR="00A829F6" w:rsidRPr="00826530">
        <w:rPr>
          <w:rFonts w:ascii="Arial" w:hAnsi="Arial" w:cs="Arial"/>
          <w:color w:val="000000" w:themeColor="text1"/>
        </w:rPr>
        <w:t>aOR</w:t>
      </w:r>
      <w:proofErr w:type="spellEnd"/>
      <w:r w:rsidR="00A829F6" w:rsidRPr="00826530">
        <w:rPr>
          <w:rFonts w:ascii="Arial" w:hAnsi="Arial" w:cs="Arial"/>
          <w:color w:val="000000" w:themeColor="text1"/>
        </w:rPr>
        <w:t>=2.</w:t>
      </w:r>
      <w:r w:rsidR="00F22FCC" w:rsidRPr="00826530">
        <w:rPr>
          <w:rFonts w:ascii="Arial" w:hAnsi="Arial" w:cs="Arial"/>
          <w:color w:val="000000" w:themeColor="text1"/>
        </w:rPr>
        <w:t>38</w:t>
      </w:r>
      <w:r w:rsidR="00A829F6" w:rsidRPr="00826530">
        <w:rPr>
          <w:rFonts w:ascii="Arial" w:hAnsi="Arial" w:cs="Arial"/>
          <w:color w:val="000000" w:themeColor="text1"/>
        </w:rPr>
        <w:t>, 95%CI:1.</w:t>
      </w:r>
      <w:r w:rsidR="00F22FCC" w:rsidRPr="00826530">
        <w:rPr>
          <w:rFonts w:ascii="Arial" w:hAnsi="Arial" w:cs="Arial"/>
          <w:color w:val="000000" w:themeColor="text1"/>
        </w:rPr>
        <w:t>21</w:t>
      </w:r>
      <w:r w:rsidR="00A829F6" w:rsidRPr="00826530">
        <w:rPr>
          <w:rFonts w:ascii="Arial" w:hAnsi="Arial" w:cs="Arial"/>
          <w:color w:val="000000" w:themeColor="text1"/>
        </w:rPr>
        <w:t>-</w:t>
      </w:r>
      <w:r w:rsidR="00F22FCC" w:rsidRPr="00826530">
        <w:rPr>
          <w:rFonts w:ascii="Arial" w:hAnsi="Arial" w:cs="Arial"/>
          <w:color w:val="000000" w:themeColor="text1"/>
        </w:rPr>
        <w:t>4</w:t>
      </w:r>
      <w:r w:rsidR="00A829F6" w:rsidRPr="00826530">
        <w:rPr>
          <w:rFonts w:ascii="Arial" w:hAnsi="Arial" w:cs="Arial"/>
          <w:color w:val="000000" w:themeColor="text1"/>
        </w:rPr>
        <w:t>.6</w:t>
      </w:r>
      <w:r w:rsidR="00F22FCC" w:rsidRPr="00826530">
        <w:rPr>
          <w:rFonts w:ascii="Arial" w:hAnsi="Arial" w:cs="Arial"/>
          <w:color w:val="000000" w:themeColor="text1"/>
        </w:rPr>
        <w:t>9</w:t>
      </w:r>
      <w:r w:rsidR="00A829F6" w:rsidRPr="00826530">
        <w:rPr>
          <w:rFonts w:ascii="Arial" w:hAnsi="Arial" w:cs="Arial"/>
          <w:color w:val="000000" w:themeColor="text1"/>
        </w:rPr>
        <w:t xml:space="preserve">), </w:t>
      </w:r>
      <w:r w:rsidR="00745AD6" w:rsidRPr="00826530">
        <w:rPr>
          <w:rFonts w:ascii="Arial" w:hAnsi="Arial" w:cs="Arial"/>
          <w:color w:val="000000" w:themeColor="text1"/>
        </w:rPr>
        <w:t xml:space="preserve">Indigenous ethnicity (vs. white; </w:t>
      </w:r>
      <w:proofErr w:type="spellStart"/>
      <w:r w:rsidR="00745AD6" w:rsidRPr="00826530">
        <w:rPr>
          <w:rFonts w:ascii="Arial" w:hAnsi="Arial" w:cs="Arial"/>
          <w:color w:val="000000" w:themeColor="text1"/>
        </w:rPr>
        <w:t>aOR</w:t>
      </w:r>
      <w:proofErr w:type="spellEnd"/>
      <w:r w:rsidR="00745AD6" w:rsidRPr="00826530">
        <w:rPr>
          <w:rFonts w:ascii="Arial" w:hAnsi="Arial" w:cs="Arial"/>
          <w:color w:val="000000" w:themeColor="text1"/>
        </w:rPr>
        <w:t xml:space="preserve">=5.27, 95%CI:1.34-20.80), </w:t>
      </w:r>
      <w:r w:rsidRPr="00826530">
        <w:rPr>
          <w:rFonts w:ascii="Arial" w:hAnsi="Arial" w:cs="Arial"/>
          <w:color w:val="000000" w:themeColor="text1"/>
        </w:rPr>
        <w:t>having more recent (p</w:t>
      </w:r>
      <w:r w:rsidR="00CE3062">
        <w:rPr>
          <w:rFonts w:ascii="Arial" w:hAnsi="Arial" w:cs="Arial"/>
          <w:color w:val="000000" w:themeColor="text1"/>
        </w:rPr>
        <w:t xml:space="preserve">ast </w:t>
      </w:r>
      <w:r w:rsidRPr="00826530">
        <w:rPr>
          <w:rFonts w:ascii="Arial" w:hAnsi="Arial" w:cs="Arial"/>
          <w:color w:val="000000" w:themeColor="text1"/>
        </w:rPr>
        <w:t>6</w:t>
      </w:r>
      <w:r w:rsidR="00CE3062">
        <w:rPr>
          <w:rFonts w:ascii="Arial" w:hAnsi="Arial" w:cs="Arial"/>
          <w:color w:val="000000" w:themeColor="text1"/>
        </w:rPr>
        <w:t xml:space="preserve"> </w:t>
      </w:r>
      <w:r w:rsidRPr="00826530">
        <w:rPr>
          <w:rFonts w:ascii="Arial" w:hAnsi="Arial" w:cs="Arial"/>
          <w:color w:val="000000" w:themeColor="text1"/>
        </w:rPr>
        <w:t>m</w:t>
      </w:r>
      <w:r w:rsidR="00CE3062">
        <w:rPr>
          <w:rFonts w:ascii="Arial" w:hAnsi="Arial" w:cs="Arial"/>
          <w:color w:val="000000" w:themeColor="text1"/>
        </w:rPr>
        <w:t>onths</w:t>
      </w:r>
      <w:r w:rsidRPr="00826530">
        <w:rPr>
          <w:rFonts w:ascii="Arial" w:hAnsi="Arial" w:cs="Arial"/>
          <w:color w:val="000000" w:themeColor="text1"/>
        </w:rPr>
        <w:t>) male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=1.0</w:t>
      </w:r>
      <w:r w:rsidR="00503CE1" w:rsidRPr="00826530">
        <w:rPr>
          <w:rFonts w:ascii="Arial" w:hAnsi="Arial" w:cs="Arial"/>
          <w:color w:val="000000" w:themeColor="text1"/>
        </w:rPr>
        <w:t>1</w:t>
      </w:r>
      <w:r w:rsidRPr="00826530">
        <w:rPr>
          <w:rFonts w:ascii="Arial" w:hAnsi="Arial" w:cs="Arial"/>
          <w:color w:val="000000" w:themeColor="text1"/>
        </w:rPr>
        <w:t>, 95%CI:1.0</w:t>
      </w:r>
      <w:r w:rsidR="00503CE1" w:rsidRPr="00826530">
        <w:rPr>
          <w:rFonts w:ascii="Arial" w:hAnsi="Arial" w:cs="Arial"/>
          <w:color w:val="000000" w:themeColor="text1"/>
        </w:rPr>
        <w:t>0</w:t>
      </w:r>
      <w:r w:rsidR="00F22FCC" w:rsidRPr="00826530">
        <w:rPr>
          <w:rFonts w:ascii="Arial" w:hAnsi="Arial" w:cs="Arial"/>
          <w:color w:val="000000" w:themeColor="text1"/>
        </w:rPr>
        <w:t>5</w:t>
      </w:r>
      <w:r w:rsidRPr="00826530">
        <w:rPr>
          <w:rFonts w:ascii="Arial" w:hAnsi="Arial" w:cs="Arial"/>
          <w:color w:val="000000" w:themeColor="text1"/>
        </w:rPr>
        <w:t>-1.0</w:t>
      </w:r>
      <w:r w:rsidR="00F22FCC" w:rsidRPr="00826530">
        <w:rPr>
          <w:rFonts w:ascii="Arial" w:hAnsi="Arial" w:cs="Arial"/>
          <w:color w:val="000000" w:themeColor="text1"/>
        </w:rPr>
        <w:t>2</w:t>
      </w:r>
      <w:r w:rsidRPr="00826530">
        <w:rPr>
          <w:rFonts w:ascii="Arial" w:hAnsi="Arial" w:cs="Arial"/>
          <w:color w:val="000000" w:themeColor="text1"/>
        </w:rPr>
        <w:t>)</w:t>
      </w:r>
      <w:r w:rsidR="00503CE1" w:rsidRPr="00826530">
        <w:rPr>
          <w:rFonts w:ascii="Arial" w:hAnsi="Arial" w:cs="Arial"/>
          <w:color w:val="000000" w:themeColor="text1"/>
        </w:rPr>
        <w:t xml:space="preserve"> or female sex partners (</w:t>
      </w:r>
      <w:proofErr w:type="spellStart"/>
      <w:r w:rsidR="00503CE1" w:rsidRPr="00826530">
        <w:rPr>
          <w:rFonts w:ascii="Arial" w:hAnsi="Arial" w:cs="Arial"/>
          <w:color w:val="000000" w:themeColor="text1"/>
        </w:rPr>
        <w:t>aOR</w:t>
      </w:r>
      <w:proofErr w:type="spellEnd"/>
      <w:r w:rsidR="00503CE1" w:rsidRPr="00826530">
        <w:rPr>
          <w:rFonts w:ascii="Arial" w:hAnsi="Arial" w:cs="Arial"/>
          <w:color w:val="000000" w:themeColor="text1"/>
        </w:rPr>
        <w:t>=</w:t>
      </w:r>
      <w:r w:rsidR="00F22FCC" w:rsidRPr="00826530">
        <w:rPr>
          <w:rFonts w:ascii="Arial" w:hAnsi="Arial" w:cs="Arial"/>
          <w:color w:val="000000" w:themeColor="text1"/>
        </w:rPr>
        <w:t>1.95</w:t>
      </w:r>
      <w:r w:rsidR="00503CE1" w:rsidRPr="00826530">
        <w:rPr>
          <w:rFonts w:ascii="Arial" w:hAnsi="Arial" w:cs="Arial"/>
          <w:color w:val="000000" w:themeColor="text1"/>
        </w:rPr>
        <w:t>, 95%CI:1.3</w:t>
      </w:r>
      <w:r w:rsidR="00F22FCC" w:rsidRPr="00826530">
        <w:rPr>
          <w:rFonts w:ascii="Arial" w:hAnsi="Arial" w:cs="Arial"/>
          <w:color w:val="000000" w:themeColor="text1"/>
        </w:rPr>
        <w:t>5</w:t>
      </w:r>
      <w:r w:rsidR="00503CE1" w:rsidRPr="00826530">
        <w:rPr>
          <w:rFonts w:ascii="Arial" w:hAnsi="Arial" w:cs="Arial"/>
          <w:color w:val="000000" w:themeColor="text1"/>
        </w:rPr>
        <w:t>-2.</w:t>
      </w:r>
      <w:r w:rsidR="00F22FCC" w:rsidRPr="00826530">
        <w:rPr>
          <w:rFonts w:ascii="Arial" w:hAnsi="Arial" w:cs="Arial"/>
          <w:color w:val="000000" w:themeColor="text1"/>
        </w:rPr>
        <w:t>81</w:t>
      </w:r>
      <w:r w:rsidR="00503CE1" w:rsidRPr="00826530">
        <w:rPr>
          <w:rFonts w:ascii="Arial" w:hAnsi="Arial" w:cs="Arial"/>
          <w:color w:val="000000" w:themeColor="text1"/>
        </w:rPr>
        <w:t>)</w:t>
      </w:r>
      <w:r w:rsidRPr="00826530">
        <w:rPr>
          <w:rFonts w:ascii="Arial" w:hAnsi="Arial" w:cs="Arial"/>
          <w:color w:val="000000" w:themeColor="text1"/>
        </w:rPr>
        <w:t>, using internet sites to find sex partners (p</w:t>
      </w:r>
      <w:r w:rsidR="00CE3062">
        <w:rPr>
          <w:rFonts w:ascii="Arial" w:hAnsi="Arial" w:cs="Arial"/>
          <w:color w:val="000000" w:themeColor="text1"/>
        </w:rPr>
        <w:t>ast 6 months</w:t>
      </w:r>
      <w:r w:rsidR="00503CE1" w:rsidRPr="00826530">
        <w:rPr>
          <w:rFonts w:ascii="Arial" w:hAnsi="Arial" w:cs="Arial"/>
          <w:color w:val="000000" w:themeColor="text1"/>
        </w:rPr>
        <w:t xml:space="preserve">; </w:t>
      </w:r>
      <w:proofErr w:type="spellStart"/>
      <w:r w:rsidR="00503CE1" w:rsidRPr="00826530">
        <w:rPr>
          <w:rFonts w:ascii="Arial" w:hAnsi="Arial" w:cs="Arial"/>
          <w:color w:val="000000" w:themeColor="text1"/>
        </w:rPr>
        <w:t>aOR</w:t>
      </w:r>
      <w:proofErr w:type="spellEnd"/>
      <w:r w:rsidR="00503CE1" w:rsidRPr="00826530">
        <w:rPr>
          <w:rFonts w:ascii="Arial" w:hAnsi="Arial" w:cs="Arial"/>
          <w:color w:val="000000" w:themeColor="text1"/>
        </w:rPr>
        <w:t>=3.2</w:t>
      </w:r>
      <w:r w:rsidR="00745AD6" w:rsidRPr="00826530">
        <w:rPr>
          <w:rFonts w:ascii="Arial" w:hAnsi="Arial" w:cs="Arial"/>
          <w:color w:val="000000" w:themeColor="text1"/>
        </w:rPr>
        <w:t>6</w:t>
      </w:r>
      <w:r w:rsidR="00503CE1" w:rsidRPr="00826530">
        <w:rPr>
          <w:rFonts w:ascii="Arial" w:hAnsi="Arial" w:cs="Arial"/>
          <w:color w:val="000000" w:themeColor="text1"/>
        </w:rPr>
        <w:t>, 95%CI:1.77-</w:t>
      </w:r>
      <w:r w:rsidR="00503CE1" w:rsidRPr="00826530">
        <w:rPr>
          <w:rFonts w:ascii="Arial" w:hAnsi="Arial" w:cs="Arial"/>
          <w:color w:val="000000" w:themeColor="text1"/>
        </w:rPr>
        <w:lastRenderedPageBreak/>
        <w:t>6.</w:t>
      </w:r>
      <w:r w:rsidR="00745AD6" w:rsidRPr="00826530">
        <w:rPr>
          <w:rFonts w:ascii="Arial" w:hAnsi="Arial" w:cs="Arial"/>
          <w:color w:val="000000" w:themeColor="text1"/>
        </w:rPr>
        <w:t>00</w:t>
      </w:r>
      <w:r w:rsidRPr="00826530">
        <w:rPr>
          <w:rFonts w:ascii="Arial" w:hAnsi="Arial" w:cs="Arial"/>
          <w:color w:val="000000" w:themeColor="text1"/>
        </w:rPr>
        <w:t xml:space="preserve">), </w:t>
      </w:r>
      <w:r w:rsidR="00503CE1" w:rsidRPr="00826530">
        <w:rPr>
          <w:rFonts w:ascii="Arial" w:hAnsi="Arial" w:cs="Arial"/>
          <w:color w:val="000000" w:themeColor="text1"/>
        </w:rPr>
        <w:t xml:space="preserve">and sex party </w:t>
      </w:r>
      <w:r w:rsidRPr="00826530">
        <w:rPr>
          <w:rFonts w:ascii="Arial" w:hAnsi="Arial" w:cs="Arial"/>
          <w:color w:val="000000" w:themeColor="text1"/>
        </w:rPr>
        <w:t>attend</w:t>
      </w:r>
      <w:r w:rsidR="00503CE1" w:rsidRPr="00826530">
        <w:rPr>
          <w:rFonts w:ascii="Arial" w:hAnsi="Arial" w:cs="Arial"/>
          <w:color w:val="000000" w:themeColor="text1"/>
        </w:rPr>
        <w:t xml:space="preserve">ance in the past 6 month </w:t>
      </w:r>
      <w:r w:rsidRPr="00826530">
        <w:rPr>
          <w:rFonts w:ascii="Arial" w:hAnsi="Arial" w:cs="Arial"/>
          <w:color w:val="000000" w:themeColor="text1"/>
        </w:rPr>
        <w:t>(</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w:t>
      </w:r>
      <w:r w:rsidR="00503CE1" w:rsidRPr="00826530">
        <w:rPr>
          <w:rFonts w:ascii="Arial" w:hAnsi="Arial" w:cs="Arial"/>
          <w:color w:val="000000" w:themeColor="text1"/>
        </w:rPr>
        <w:t>3</w:t>
      </w:r>
      <w:r w:rsidRPr="00826530">
        <w:rPr>
          <w:rFonts w:ascii="Arial" w:hAnsi="Arial" w:cs="Arial"/>
          <w:color w:val="000000" w:themeColor="text1"/>
        </w:rPr>
        <w:t>.</w:t>
      </w:r>
      <w:r w:rsidR="00745AD6" w:rsidRPr="00826530">
        <w:rPr>
          <w:rFonts w:ascii="Arial" w:hAnsi="Arial" w:cs="Arial"/>
          <w:color w:val="000000" w:themeColor="text1"/>
        </w:rPr>
        <w:t>65</w:t>
      </w:r>
      <w:r w:rsidRPr="00826530">
        <w:rPr>
          <w:rFonts w:ascii="Arial" w:hAnsi="Arial" w:cs="Arial"/>
          <w:color w:val="000000" w:themeColor="text1"/>
        </w:rPr>
        <w:t>, 95%CI:</w:t>
      </w:r>
      <w:r w:rsidR="00745AD6" w:rsidRPr="00826530">
        <w:rPr>
          <w:rFonts w:ascii="Arial" w:hAnsi="Arial" w:cs="Arial"/>
          <w:color w:val="000000" w:themeColor="text1"/>
        </w:rPr>
        <w:t>2</w:t>
      </w:r>
      <w:r w:rsidRPr="00826530">
        <w:rPr>
          <w:rFonts w:ascii="Arial" w:hAnsi="Arial" w:cs="Arial"/>
          <w:color w:val="000000" w:themeColor="text1"/>
        </w:rPr>
        <w:t>.</w:t>
      </w:r>
      <w:r w:rsidR="00745AD6" w:rsidRPr="00826530">
        <w:rPr>
          <w:rFonts w:ascii="Arial" w:hAnsi="Arial" w:cs="Arial"/>
          <w:color w:val="000000" w:themeColor="text1"/>
        </w:rPr>
        <w:t>14</w:t>
      </w:r>
      <w:r w:rsidRPr="00826530">
        <w:rPr>
          <w:rFonts w:ascii="Arial" w:hAnsi="Arial" w:cs="Arial"/>
          <w:color w:val="000000" w:themeColor="text1"/>
        </w:rPr>
        <w:t>-</w:t>
      </w:r>
      <w:r w:rsidR="00745AD6" w:rsidRPr="00826530">
        <w:rPr>
          <w:rFonts w:ascii="Arial" w:hAnsi="Arial" w:cs="Arial"/>
          <w:color w:val="000000" w:themeColor="text1"/>
        </w:rPr>
        <w:t>6</w:t>
      </w:r>
      <w:r w:rsidRPr="00826530">
        <w:rPr>
          <w:rFonts w:ascii="Arial" w:hAnsi="Arial" w:cs="Arial"/>
          <w:color w:val="000000" w:themeColor="text1"/>
        </w:rPr>
        <w:t>.</w:t>
      </w:r>
      <w:r w:rsidR="00745AD6" w:rsidRPr="00826530">
        <w:rPr>
          <w:rFonts w:ascii="Arial" w:hAnsi="Arial" w:cs="Arial"/>
          <w:color w:val="000000" w:themeColor="text1"/>
        </w:rPr>
        <w:t>22</w:t>
      </w:r>
      <w:r w:rsidRPr="00826530">
        <w:rPr>
          <w:rFonts w:ascii="Arial" w:hAnsi="Arial" w:cs="Arial"/>
          <w:color w:val="000000" w:themeColor="text1"/>
        </w:rPr>
        <w:t>).</w:t>
      </w:r>
      <w:r w:rsidR="00503CE1" w:rsidRPr="00826530">
        <w:rPr>
          <w:rFonts w:ascii="Arial" w:hAnsi="Arial" w:cs="Arial"/>
          <w:color w:val="000000" w:themeColor="text1"/>
        </w:rPr>
        <w:t xml:space="preserve"> Men who reported more CAS with serodifferent or unknown HIV status partners were also more likely to report transactional sex (</w:t>
      </w:r>
      <w:proofErr w:type="spellStart"/>
      <w:r w:rsidR="00503CE1" w:rsidRPr="00826530">
        <w:rPr>
          <w:rFonts w:ascii="Arial" w:hAnsi="Arial" w:cs="Arial"/>
          <w:color w:val="000000" w:themeColor="text1"/>
        </w:rPr>
        <w:t>aOR</w:t>
      </w:r>
      <w:proofErr w:type="spellEnd"/>
      <w:r w:rsidR="00503CE1" w:rsidRPr="00826530">
        <w:rPr>
          <w:rFonts w:ascii="Arial" w:hAnsi="Arial" w:cs="Arial"/>
          <w:color w:val="000000" w:themeColor="text1"/>
        </w:rPr>
        <w:t>=</w:t>
      </w:r>
      <w:r w:rsidR="00745AD6" w:rsidRPr="00826530">
        <w:rPr>
          <w:rFonts w:ascii="Arial" w:hAnsi="Arial" w:cs="Arial"/>
          <w:color w:val="000000" w:themeColor="text1"/>
        </w:rPr>
        <w:t>1</w:t>
      </w:r>
      <w:r w:rsidR="00503CE1" w:rsidRPr="00826530">
        <w:rPr>
          <w:rFonts w:ascii="Arial" w:hAnsi="Arial" w:cs="Arial"/>
          <w:color w:val="000000" w:themeColor="text1"/>
        </w:rPr>
        <w:t>.</w:t>
      </w:r>
      <w:r w:rsidR="00745AD6" w:rsidRPr="00826530">
        <w:rPr>
          <w:rFonts w:ascii="Arial" w:hAnsi="Arial" w:cs="Arial"/>
          <w:color w:val="000000" w:themeColor="text1"/>
        </w:rPr>
        <w:t>83</w:t>
      </w:r>
      <w:r w:rsidR="00503CE1" w:rsidRPr="00826530">
        <w:rPr>
          <w:rFonts w:ascii="Arial" w:hAnsi="Arial" w:cs="Arial"/>
          <w:color w:val="000000" w:themeColor="text1"/>
        </w:rPr>
        <w:t>, 95%CI:1.</w:t>
      </w:r>
      <w:r w:rsidR="00745AD6" w:rsidRPr="00826530">
        <w:rPr>
          <w:rFonts w:ascii="Arial" w:hAnsi="Arial" w:cs="Arial"/>
          <w:color w:val="000000" w:themeColor="text1"/>
        </w:rPr>
        <w:t>03</w:t>
      </w:r>
      <w:r w:rsidR="00503CE1" w:rsidRPr="00826530">
        <w:rPr>
          <w:rFonts w:ascii="Arial" w:hAnsi="Arial" w:cs="Arial"/>
          <w:color w:val="000000" w:themeColor="text1"/>
        </w:rPr>
        <w:t>-</w:t>
      </w:r>
      <w:r w:rsidR="00745AD6" w:rsidRPr="00826530">
        <w:rPr>
          <w:rFonts w:ascii="Arial" w:hAnsi="Arial" w:cs="Arial"/>
          <w:color w:val="000000" w:themeColor="text1"/>
        </w:rPr>
        <w:t>3</w:t>
      </w:r>
      <w:r w:rsidR="00503CE1" w:rsidRPr="00826530">
        <w:rPr>
          <w:rFonts w:ascii="Arial" w:hAnsi="Arial" w:cs="Arial"/>
          <w:color w:val="000000" w:themeColor="text1"/>
        </w:rPr>
        <w:t>.</w:t>
      </w:r>
      <w:r w:rsidR="00745AD6" w:rsidRPr="00826530">
        <w:rPr>
          <w:rFonts w:ascii="Arial" w:hAnsi="Arial" w:cs="Arial"/>
          <w:color w:val="000000" w:themeColor="text1"/>
        </w:rPr>
        <w:t>26</w:t>
      </w:r>
      <w:r w:rsidR="00503CE1" w:rsidRPr="00826530">
        <w:rPr>
          <w:rFonts w:ascii="Arial" w:hAnsi="Arial" w:cs="Arial"/>
          <w:color w:val="000000" w:themeColor="text1"/>
        </w:rPr>
        <w:t>) as were those who reported using withdrawal as an HIV prevention strategy (</w:t>
      </w:r>
      <w:proofErr w:type="spellStart"/>
      <w:r w:rsidR="00503CE1" w:rsidRPr="00826530">
        <w:rPr>
          <w:rFonts w:ascii="Arial" w:hAnsi="Arial" w:cs="Arial"/>
          <w:color w:val="000000" w:themeColor="text1"/>
        </w:rPr>
        <w:t>aOR</w:t>
      </w:r>
      <w:proofErr w:type="spellEnd"/>
      <w:r w:rsidR="00503CE1" w:rsidRPr="00826530">
        <w:rPr>
          <w:rFonts w:ascii="Arial" w:hAnsi="Arial" w:cs="Arial"/>
          <w:color w:val="000000" w:themeColor="text1"/>
        </w:rPr>
        <w:t>=1.</w:t>
      </w:r>
      <w:r w:rsidR="00745AD6" w:rsidRPr="00826530">
        <w:rPr>
          <w:rFonts w:ascii="Arial" w:hAnsi="Arial" w:cs="Arial"/>
          <w:color w:val="000000" w:themeColor="text1"/>
        </w:rPr>
        <w:t>7</w:t>
      </w:r>
      <w:r w:rsidR="00BD2C42" w:rsidRPr="00826530">
        <w:rPr>
          <w:rFonts w:ascii="Arial" w:hAnsi="Arial" w:cs="Arial"/>
          <w:color w:val="000000" w:themeColor="text1"/>
        </w:rPr>
        <w:t>9</w:t>
      </w:r>
      <w:r w:rsidR="00503CE1" w:rsidRPr="00826530">
        <w:rPr>
          <w:rFonts w:ascii="Arial" w:hAnsi="Arial" w:cs="Arial"/>
          <w:color w:val="000000" w:themeColor="text1"/>
        </w:rPr>
        <w:t>, 95%CI:1.0</w:t>
      </w:r>
      <w:r w:rsidR="00745AD6" w:rsidRPr="00826530">
        <w:rPr>
          <w:rFonts w:ascii="Arial" w:hAnsi="Arial" w:cs="Arial"/>
          <w:color w:val="000000" w:themeColor="text1"/>
        </w:rPr>
        <w:t>03</w:t>
      </w:r>
      <w:r w:rsidR="00503CE1" w:rsidRPr="00826530">
        <w:rPr>
          <w:rFonts w:ascii="Arial" w:hAnsi="Arial" w:cs="Arial"/>
          <w:color w:val="000000" w:themeColor="text1"/>
        </w:rPr>
        <w:t>-3.</w:t>
      </w:r>
      <w:r w:rsidR="00745AD6" w:rsidRPr="00826530">
        <w:rPr>
          <w:rFonts w:ascii="Arial" w:hAnsi="Arial" w:cs="Arial"/>
          <w:color w:val="000000" w:themeColor="text1"/>
        </w:rPr>
        <w:t>20</w:t>
      </w:r>
      <w:r w:rsidR="00503CE1" w:rsidRPr="00826530">
        <w:rPr>
          <w:rFonts w:ascii="Arial" w:hAnsi="Arial" w:cs="Arial"/>
          <w:color w:val="000000" w:themeColor="text1"/>
        </w:rPr>
        <w:t xml:space="preserve">). </w:t>
      </w:r>
      <w:r w:rsidRPr="00826530">
        <w:rPr>
          <w:rFonts w:ascii="Arial" w:hAnsi="Arial" w:cs="Arial"/>
          <w:color w:val="000000" w:themeColor="text1"/>
        </w:rPr>
        <w:t>Substance use (p</w:t>
      </w:r>
      <w:r w:rsidR="00CE3062">
        <w:rPr>
          <w:rFonts w:ascii="Arial" w:hAnsi="Arial" w:cs="Arial"/>
          <w:color w:val="000000" w:themeColor="text1"/>
        </w:rPr>
        <w:t xml:space="preserve">ast 6 </w:t>
      </w:r>
      <w:r w:rsidRPr="00826530">
        <w:rPr>
          <w:rFonts w:ascii="Arial" w:hAnsi="Arial" w:cs="Arial"/>
          <w:color w:val="000000" w:themeColor="text1"/>
        </w:rPr>
        <w:t>m</w:t>
      </w:r>
      <w:r w:rsidR="00CE3062">
        <w:rPr>
          <w:rFonts w:ascii="Arial" w:hAnsi="Arial" w:cs="Arial"/>
          <w:color w:val="000000" w:themeColor="text1"/>
        </w:rPr>
        <w:t>onths</w:t>
      </w:r>
      <w:r w:rsidRPr="00826530">
        <w:rPr>
          <w:rFonts w:ascii="Arial" w:hAnsi="Arial" w:cs="Arial"/>
          <w:color w:val="000000" w:themeColor="text1"/>
        </w:rPr>
        <w:t xml:space="preserve">) was also associated with increased odds of </w:t>
      </w:r>
      <w:r w:rsidR="00F22FCC" w:rsidRPr="00826530">
        <w:rPr>
          <w:rFonts w:ascii="Arial" w:hAnsi="Arial" w:cs="Arial"/>
          <w:color w:val="000000" w:themeColor="text1"/>
        </w:rPr>
        <w:t>transactional</w:t>
      </w:r>
      <w:r w:rsidRPr="00826530">
        <w:rPr>
          <w:rFonts w:ascii="Arial" w:hAnsi="Arial" w:cs="Arial"/>
          <w:color w:val="000000" w:themeColor="text1"/>
        </w:rPr>
        <w:t xml:space="preserve"> sex, specifically crystal methamphetamine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w:t>
      </w:r>
      <w:r w:rsidR="00503CE1" w:rsidRPr="00826530">
        <w:rPr>
          <w:rFonts w:ascii="Arial" w:hAnsi="Arial" w:cs="Arial"/>
          <w:color w:val="000000" w:themeColor="text1"/>
        </w:rPr>
        <w:t>4</w:t>
      </w:r>
      <w:r w:rsidRPr="00826530">
        <w:rPr>
          <w:rFonts w:ascii="Arial" w:hAnsi="Arial" w:cs="Arial"/>
          <w:color w:val="000000" w:themeColor="text1"/>
        </w:rPr>
        <w:t>.</w:t>
      </w:r>
      <w:r w:rsidR="00745AD6" w:rsidRPr="00826530">
        <w:rPr>
          <w:rFonts w:ascii="Arial" w:hAnsi="Arial" w:cs="Arial"/>
          <w:color w:val="000000" w:themeColor="text1"/>
        </w:rPr>
        <w:t>57</w:t>
      </w:r>
      <w:r w:rsidRPr="00826530">
        <w:rPr>
          <w:rFonts w:ascii="Arial" w:hAnsi="Arial" w:cs="Arial"/>
          <w:color w:val="000000" w:themeColor="text1"/>
        </w:rPr>
        <w:t>, 95%CI:2</w:t>
      </w:r>
      <w:r w:rsidR="00745AD6" w:rsidRPr="00826530">
        <w:rPr>
          <w:rFonts w:ascii="Arial" w:hAnsi="Arial" w:cs="Arial"/>
          <w:color w:val="000000" w:themeColor="text1"/>
        </w:rPr>
        <w:t>23</w:t>
      </w:r>
      <w:r w:rsidRPr="00826530">
        <w:rPr>
          <w:rFonts w:ascii="Arial" w:hAnsi="Arial" w:cs="Arial"/>
          <w:color w:val="000000" w:themeColor="text1"/>
        </w:rPr>
        <w:t>-</w:t>
      </w:r>
      <w:r w:rsidR="00745AD6" w:rsidRPr="00826530">
        <w:rPr>
          <w:rFonts w:ascii="Arial" w:hAnsi="Arial" w:cs="Arial"/>
          <w:color w:val="000000" w:themeColor="text1"/>
        </w:rPr>
        <w:t>9</w:t>
      </w:r>
      <w:r w:rsidRPr="00826530">
        <w:rPr>
          <w:rFonts w:ascii="Arial" w:hAnsi="Arial" w:cs="Arial"/>
          <w:color w:val="000000" w:themeColor="text1"/>
        </w:rPr>
        <w:t>.</w:t>
      </w:r>
      <w:r w:rsidR="00745AD6" w:rsidRPr="00826530">
        <w:rPr>
          <w:rFonts w:ascii="Arial" w:hAnsi="Arial" w:cs="Arial"/>
          <w:color w:val="000000" w:themeColor="text1"/>
        </w:rPr>
        <w:t>39</w:t>
      </w:r>
      <w:r w:rsidRPr="00826530">
        <w:rPr>
          <w:rFonts w:ascii="Arial" w:hAnsi="Arial" w:cs="Arial"/>
          <w:color w:val="000000" w:themeColor="text1"/>
        </w:rPr>
        <w:t>), poppers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w:t>
      </w:r>
      <w:r w:rsidR="00503CE1" w:rsidRPr="00826530">
        <w:rPr>
          <w:rFonts w:ascii="Arial" w:hAnsi="Arial" w:cs="Arial"/>
          <w:color w:val="000000" w:themeColor="text1"/>
        </w:rPr>
        <w:t>2</w:t>
      </w:r>
      <w:r w:rsidRPr="00826530">
        <w:rPr>
          <w:rFonts w:ascii="Arial" w:hAnsi="Arial" w:cs="Arial"/>
          <w:color w:val="000000" w:themeColor="text1"/>
        </w:rPr>
        <w:t>.</w:t>
      </w:r>
      <w:r w:rsidR="00745AD6" w:rsidRPr="00826530">
        <w:rPr>
          <w:rFonts w:ascii="Arial" w:hAnsi="Arial" w:cs="Arial"/>
          <w:color w:val="000000" w:themeColor="text1"/>
        </w:rPr>
        <w:t>53</w:t>
      </w:r>
      <w:r w:rsidRPr="00826530">
        <w:rPr>
          <w:rFonts w:ascii="Arial" w:hAnsi="Arial" w:cs="Arial"/>
          <w:color w:val="000000" w:themeColor="text1"/>
        </w:rPr>
        <w:t>, 95%CI:1.</w:t>
      </w:r>
      <w:r w:rsidR="00503CE1" w:rsidRPr="00826530">
        <w:rPr>
          <w:rFonts w:ascii="Arial" w:hAnsi="Arial" w:cs="Arial"/>
          <w:color w:val="000000" w:themeColor="text1"/>
        </w:rPr>
        <w:t>39</w:t>
      </w:r>
      <w:r w:rsidRPr="00826530">
        <w:rPr>
          <w:rFonts w:ascii="Arial" w:hAnsi="Arial" w:cs="Arial"/>
          <w:color w:val="000000" w:themeColor="text1"/>
        </w:rPr>
        <w:t>-</w:t>
      </w:r>
      <w:r w:rsidR="00503CE1" w:rsidRPr="00826530">
        <w:rPr>
          <w:rFonts w:ascii="Arial" w:hAnsi="Arial" w:cs="Arial"/>
          <w:color w:val="000000" w:themeColor="text1"/>
        </w:rPr>
        <w:t>4</w:t>
      </w:r>
      <w:r w:rsidRPr="00826530">
        <w:rPr>
          <w:rFonts w:ascii="Arial" w:hAnsi="Arial" w:cs="Arial"/>
          <w:color w:val="000000" w:themeColor="text1"/>
        </w:rPr>
        <w:t>.</w:t>
      </w:r>
      <w:r w:rsidR="00745AD6" w:rsidRPr="00826530">
        <w:rPr>
          <w:rFonts w:ascii="Arial" w:hAnsi="Arial" w:cs="Arial"/>
          <w:color w:val="000000" w:themeColor="text1"/>
        </w:rPr>
        <w:t>60</w:t>
      </w:r>
      <w:r w:rsidRPr="00826530">
        <w:rPr>
          <w:rFonts w:ascii="Arial" w:hAnsi="Arial" w:cs="Arial"/>
          <w:color w:val="000000" w:themeColor="text1"/>
        </w:rPr>
        <w:t>), gamma-hydroxybutyric acid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=2.</w:t>
      </w:r>
      <w:r w:rsidR="00745AD6" w:rsidRPr="00826530">
        <w:rPr>
          <w:rFonts w:ascii="Arial" w:hAnsi="Arial" w:cs="Arial"/>
          <w:color w:val="000000" w:themeColor="text1"/>
        </w:rPr>
        <w:t>14</w:t>
      </w:r>
      <w:r w:rsidRPr="00826530">
        <w:rPr>
          <w:rFonts w:ascii="Arial" w:hAnsi="Arial" w:cs="Arial"/>
          <w:color w:val="000000" w:themeColor="text1"/>
        </w:rPr>
        <w:t>, 95%CI:1.</w:t>
      </w:r>
      <w:r w:rsidR="00745AD6" w:rsidRPr="00826530">
        <w:rPr>
          <w:rFonts w:ascii="Arial" w:hAnsi="Arial" w:cs="Arial"/>
          <w:color w:val="000000" w:themeColor="text1"/>
        </w:rPr>
        <w:t>15</w:t>
      </w:r>
      <w:r w:rsidRPr="00826530">
        <w:rPr>
          <w:rFonts w:ascii="Arial" w:hAnsi="Arial" w:cs="Arial"/>
          <w:color w:val="000000" w:themeColor="text1"/>
        </w:rPr>
        <w:t>-</w:t>
      </w:r>
      <w:r w:rsidR="00503CE1" w:rsidRPr="00826530">
        <w:rPr>
          <w:rFonts w:ascii="Arial" w:hAnsi="Arial" w:cs="Arial"/>
          <w:color w:val="000000" w:themeColor="text1"/>
        </w:rPr>
        <w:t>4</w:t>
      </w:r>
      <w:r w:rsidRPr="00826530">
        <w:rPr>
          <w:rFonts w:ascii="Arial" w:hAnsi="Arial" w:cs="Arial"/>
          <w:color w:val="000000" w:themeColor="text1"/>
        </w:rPr>
        <w:t>.</w:t>
      </w:r>
      <w:r w:rsidR="00745AD6" w:rsidRPr="00826530">
        <w:rPr>
          <w:rFonts w:ascii="Arial" w:hAnsi="Arial" w:cs="Arial"/>
          <w:color w:val="000000" w:themeColor="text1"/>
        </w:rPr>
        <w:t>00</w:t>
      </w:r>
      <w:r w:rsidRPr="00826530">
        <w:rPr>
          <w:rFonts w:ascii="Arial" w:hAnsi="Arial" w:cs="Arial"/>
          <w:color w:val="000000" w:themeColor="text1"/>
        </w:rPr>
        <w:t>), and non-steroid injection drug use (aOR:</w:t>
      </w:r>
      <w:r w:rsidR="00503CE1" w:rsidRPr="00826530">
        <w:rPr>
          <w:rFonts w:ascii="Arial" w:hAnsi="Arial" w:cs="Arial"/>
          <w:color w:val="000000" w:themeColor="text1"/>
        </w:rPr>
        <w:t>3</w:t>
      </w:r>
      <w:r w:rsidRPr="00826530">
        <w:rPr>
          <w:rFonts w:ascii="Arial" w:hAnsi="Arial" w:cs="Arial"/>
          <w:color w:val="000000" w:themeColor="text1"/>
        </w:rPr>
        <w:t>.</w:t>
      </w:r>
      <w:r w:rsidR="00745AD6" w:rsidRPr="00826530">
        <w:rPr>
          <w:rFonts w:ascii="Arial" w:hAnsi="Arial" w:cs="Arial"/>
          <w:color w:val="000000" w:themeColor="text1"/>
        </w:rPr>
        <w:t>26</w:t>
      </w:r>
      <w:r w:rsidRPr="00826530">
        <w:rPr>
          <w:rFonts w:ascii="Arial" w:hAnsi="Arial" w:cs="Arial"/>
          <w:color w:val="000000" w:themeColor="text1"/>
        </w:rPr>
        <w:t>, 95%CI:1.1</w:t>
      </w:r>
      <w:r w:rsidR="00745AD6" w:rsidRPr="00826530">
        <w:rPr>
          <w:rFonts w:ascii="Arial" w:hAnsi="Arial" w:cs="Arial"/>
          <w:color w:val="000000" w:themeColor="text1"/>
        </w:rPr>
        <w:t>5</w:t>
      </w:r>
      <w:r w:rsidRPr="00826530">
        <w:rPr>
          <w:rFonts w:ascii="Arial" w:hAnsi="Arial" w:cs="Arial"/>
          <w:color w:val="000000" w:themeColor="text1"/>
        </w:rPr>
        <w:t>-</w:t>
      </w:r>
      <w:r w:rsidR="00745AD6" w:rsidRPr="00826530">
        <w:rPr>
          <w:rFonts w:ascii="Arial" w:hAnsi="Arial" w:cs="Arial"/>
          <w:color w:val="000000" w:themeColor="text1"/>
        </w:rPr>
        <w:t>9</w:t>
      </w:r>
      <w:r w:rsidRPr="00826530">
        <w:rPr>
          <w:rFonts w:ascii="Arial" w:hAnsi="Arial" w:cs="Arial"/>
          <w:color w:val="000000" w:themeColor="text1"/>
        </w:rPr>
        <w:t>.</w:t>
      </w:r>
      <w:r w:rsidR="00503CE1" w:rsidRPr="00826530">
        <w:rPr>
          <w:rFonts w:ascii="Arial" w:hAnsi="Arial" w:cs="Arial"/>
          <w:color w:val="000000" w:themeColor="text1"/>
        </w:rPr>
        <w:t>2</w:t>
      </w:r>
      <w:r w:rsidR="00745AD6" w:rsidRPr="00826530">
        <w:rPr>
          <w:rFonts w:ascii="Arial" w:hAnsi="Arial" w:cs="Arial"/>
          <w:color w:val="000000" w:themeColor="text1"/>
        </w:rPr>
        <w:t>9</w:t>
      </w:r>
      <w:r w:rsidRPr="00826530">
        <w:rPr>
          <w:rFonts w:ascii="Arial" w:hAnsi="Arial" w:cs="Arial"/>
          <w:color w:val="000000" w:themeColor="text1"/>
        </w:rPr>
        <w:t xml:space="preserve">). </w:t>
      </w:r>
      <w:r w:rsidR="00F22FCC" w:rsidRPr="00826530">
        <w:rPr>
          <w:rFonts w:ascii="Arial" w:hAnsi="Arial" w:cs="Arial"/>
          <w:color w:val="000000" w:themeColor="text1"/>
        </w:rPr>
        <w:t xml:space="preserve">Transactional </w:t>
      </w:r>
      <w:r w:rsidRPr="00826530">
        <w:rPr>
          <w:rFonts w:ascii="Arial" w:hAnsi="Arial" w:cs="Arial"/>
          <w:color w:val="000000" w:themeColor="text1"/>
        </w:rPr>
        <w:t>sex was also more likely among those with higher sexual escape motivation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=1.0</w:t>
      </w:r>
      <w:r w:rsidR="00F22FCC" w:rsidRPr="00826530">
        <w:rPr>
          <w:rFonts w:ascii="Arial" w:hAnsi="Arial" w:cs="Arial"/>
          <w:color w:val="000000" w:themeColor="text1"/>
        </w:rPr>
        <w:t>6</w:t>
      </w:r>
      <w:r w:rsidRPr="00826530">
        <w:rPr>
          <w:rFonts w:ascii="Arial" w:hAnsi="Arial" w:cs="Arial"/>
          <w:color w:val="000000" w:themeColor="text1"/>
        </w:rPr>
        <w:t>, 95%CI:1.0</w:t>
      </w:r>
      <w:r w:rsidR="00503CE1" w:rsidRPr="00826530">
        <w:rPr>
          <w:rFonts w:ascii="Arial" w:hAnsi="Arial" w:cs="Arial"/>
          <w:color w:val="000000" w:themeColor="text1"/>
        </w:rPr>
        <w:t>1</w:t>
      </w:r>
      <w:r w:rsidRPr="00826530">
        <w:rPr>
          <w:rFonts w:ascii="Arial" w:hAnsi="Arial" w:cs="Arial"/>
          <w:color w:val="000000" w:themeColor="text1"/>
        </w:rPr>
        <w:t>-1.1</w:t>
      </w:r>
      <w:r w:rsidR="00503CE1" w:rsidRPr="00826530">
        <w:rPr>
          <w:rFonts w:ascii="Arial" w:hAnsi="Arial" w:cs="Arial"/>
          <w:color w:val="000000" w:themeColor="text1"/>
        </w:rPr>
        <w:t>0</w:t>
      </w:r>
      <w:r w:rsidRPr="00826530">
        <w:rPr>
          <w:rFonts w:ascii="Arial" w:hAnsi="Arial" w:cs="Arial"/>
          <w:color w:val="000000" w:themeColor="text1"/>
        </w:rPr>
        <w:t>)</w:t>
      </w:r>
      <w:r w:rsidR="00F22FCC" w:rsidRPr="00826530">
        <w:rPr>
          <w:rFonts w:ascii="Arial" w:hAnsi="Arial" w:cs="Arial"/>
          <w:color w:val="000000" w:themeColor="text1"/>
        </w:rPr>
        <w:t>,</w:t>
      </w:r>
      <w:r w:rsidRPr="00826530">
        <w:rPr>
          <w:rFonts w:ascii="Arial" w:hAnsi="Arial" w:cs="Arial"/>
          <w:color w:val="000000" w:themeColor="text1"/>
        </w:rPr>
        <w:t xml:space="preserve"> higher loneliness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=1.</w:t>
      </w:r>
      <w:r w:rsidR="00503CE1" w:rsidRPr="00826530">
        <w:rPr>
          <w:rFonts w:ascii="Arial" w:hAnsi="Arial" w:cs="Arial"/>
          <w:color w:val="000000" w:themeColor="text1"/>
        </w:rPr>
        <w:t>1</w:t>
      </w:r>
      <w:r w:rsidR="00F22FCC" w:rsidRPr="00826530">
        <w:rPr>
          <w:rFonts w:ascii="Arial" w:hAnsi="Arial" w:cs="Arial"/>
          <w:color w:val="000000" w:themeColor="text1"/>
        </w:rPr>
        <w:t>9</w:t>
      </w:r>
      <w:r w:rsidRPr="00826530">
        <w:rPr>
          <w:rFonts w:ascii="Arial" w:hAnsi="Arial" w:cs="Arial"/>
          <w:color w:val="000000" w:themeColor="text1"/>
        </w:rPr>
        <w:t>, 95%CI:1.0</w:t>
      </w:r>
      <w:r w:rsidR="00F22FCC" w:rsidRPr="00826530">
        <w:rPr>
          <w:rFonts w:ascii="Arial" w:hAnsi="Arial" w:cs="Arial"/>
          <w:color w:val="000000" w:themeColor="text1"/>
        </w:rPr>
        <w:t>2</w:t>
      </w:r>
      <w:r w:rsidRPr="00826530">
        <w:rPr>
          <w:rFonts w:ascii="Arial" w:hAnsi="Arial" w:cs="Arial"/>
          <w:color w:val="000000" w:themeColor="text1"/>
        </w:rPr>
        <w:t>-1.</w:t>
      </w:r>
      <w:r w:rsidR="00503CE1" w:rsidRPr="00826530">
        <w:rPr>
          <w:rFonts w:ascii="Arial" w:hAnsi="Arial" w:cs="Arial"/>
          <w:color w:val="000000" w:themeColor="text1"/>
        </w:rPr>
        <w:t>39</w:t>
      </w:r>
      <w:r w:rsidRPr="00826530">
        <w:rPr>
          <w:rFonts w:ascii="Arial" w:hAnsi="Arial" w:cs="Arial"/>
          <w:color w:val="000000" w:themeColor="text1"/>
        </w:rPr>
        <w:t>)</w:t>
      </w:r>
      <w:r w:rsidR="00F22FCC" w:rsidRPr="00826530">
        <w:rPr>
          <w:rFonts w:ascii="Arial" w:hAnsi="Arial" w:cs="Arial"/>
          <w:color w:val="000000" w:themeColor="text1"/>
        </w:rPr>
        <w:t>, and higher current symptoms of anxiety (</w:t>
      </w:r>
      <w:proofErr w:type="spellStart"/>
      <w:r w:rsidR="00F22FCC" w:rsidRPr="00826530">
        <w:rPr>
          <w:rFonts w:ascii="Arial" w:hAnsi="Arial" w:cs="Arial"/>
          <w:color w:val="000000" w:themeColor="text1"/>
        </w:rPr>
        <w:t>aOR</w:t>
      </w:r>
      <w:proofErr w:type="spellEnd"/>
      <w:r w:rsidR="00F22FCC" w:rsidRPr="00826530">
        <w:rPr>
          <w:rFonts w:ascii="Arial" w:hAnsi="Arial" w:cs="Arial"/>
          <w:color w:val="000000" w:themeColor="text1"/>
        </w:rPr>
        <w:t>=1.08, 95%CI:1.001</w:t>
      </w:r>
      <w:r w:rsidR="00745AD6" w:rsidRPr="00826530">
        <w:rPr>
          <w:rFonts w:ascii="Arial" w:hAnsi="Arial" w:cs="Arial"/>
          <w:color w:val="000000" w:themeColor="text1"/>
        </w:rPr>
        <w:t>-1.17)</w:t>
      </w:r>
      <w:r w:rsidRPr="00826530">
        <w:rPr>
          <w:rFonts w:ascii="Arial" w:hAnsi="Arial" w:cs="Arial"/>
          <w:color w:val="000000" w:themeColor="text1"/>
        </w:rPr>
        <w:t>.</w:t>
      </w:r>
    </w:p>
    <w:p w14:paraId="386F3185" w14:textId="0CEBAEC1" w:rsidR="00851673" w:rsidRPr="00826530" w:rsidRDefault="00851673" w:rsidP="00F22BCF">
      <w:pPr>
        <w:spacing w:line="480" w:lineRule="auto"/>
        <w:ind w:firstLine="720"/>
        <w:rPr>
          <w:rFonts w:ascii="Arial" w:hAnsi="Arial" w:cs="Arial"/>
          <w:color w:val="4472C4" w:themeColor="accent1"/>
        </w:rPr>
      </w:pPr>
      <w:r w:rsidRPr="00826530">
        <w:rPr>
          <w:rFonts w:ascii="Arial" w:hAnsi="Arial" w:cs="Arial"/>
          <w:color w:val="000000" w:themeColor="text1"/>
        </w:rPr>
        <w:t xml:space="preserve">Decreased odds of </w:t>
      </w:r>
      <w:r w:rsidR="00D326B6" w:rsidRPr="00826530">
        <w:rPr>
          <w:rFonts w:ascii="Arial" w:hAnsi="Arial" w:cs="Arial"/>
          <w:color w:val="000000" w:themeColor="text1"/>
        </w:rPr>
        <w:t>transactional</w:t>
      </w:r>
      <w:r w:rsidRPr="00826530">
        <w:rPr>
          <w:rFonts w:ascii="Arial" w:hAnsi="Arial" w:cs="Arial"/>
          <w:color w:val="000000" w:themeColor="text1"/>
        </w:rPr>
        <w:t xml:space="preserve"> sex were associated with older age (</w:t>
      </w:r>
      <w:r w:rsidR="00F208E1" w:rsidRPr="00826530">
        <w:rPr>
          <w:rFonts w:ascii="Arial" w:hAnsi="Arial" w:cs="Arial"/>
          <w:color w:val="000000" w:themeColor="text1"/>
        </w:rPr>
        <w:t xml:space="preserve">30-44 </w:t>
      </w:r>
      <w:r w:rsidR="00A829F6" w:rsidRPr="00826530">
        <w:rPr>
          <w:rFonts w:ascii="Arial" w:hAnsi="Arial" w:cs="Arial"/>
          <w:color w:val="000000" w:themeColor="text1"/>
        </w:rPr>
        <w:t>vs.</w:t>
      </w:r>
      <w:r w:rsidR="00F208E1" w:rsidRPr="00826530">
        <w:rPr>
          <w:rFonts w:ascii="Arial" w:hAnsi="Arial" w:cs="Arial"/>
          <w:color w:val="000000" w:themeColor="text1"/>
        </w:rPr>
        <w:t xml:space="preserve"> &lt;30</w:t>
      </w:r>
      <w:r w:rsidR="00A829F6" w:rsidRPr="00826530">
        <w:rPr>
          <w:rFonts w:ascii="Arial" w:hAnsi="Arial" w:cs="Arial"/>
          <w:color w:val="000000" w:themeColor="text1"/>
        </w:rPr>
        <w:t xml:space="preserve">: </w:t>
      </w:r>
      <w:proofErr w:type="spellStart"/>
      <w:r w:rsidR="00A829F6" w:rsidRPr="00826530">
        <w:rPr>
          <w:rFonts w:ascii="Arial" w:hAnsi="Arial" w:cs="Arial"/>
          <w:color w:val="000000" w:themeColor="text1"/>
        </w:rPr>
        <w:t>aOR</w:t>
      </w:r>
      <w:proofErr w:type="spellEnd"/>
      <w:r w:rsidR="00A829F6" w:rsidRPr="00826530">
        <w:rPr>
          <w:rFonts w:ascii="Arial" w:hAnsi="Arial" w:cs="Arial"/>
          <w:color w:val="000000" w:themeColor="text1"/>
        </w:rPr>
        <w:t>=0.</w:t>
      </w:r>
      <w:r w:rsidR="00745AD6" w:rsidRPr="00826530">
        <w:rPr>
          <w:rFonts w:ascii="Arial" w:hAnsi="Arial" w:cs="Arial"/>
          <w:color w:val="000000" w:themeColor="text1"/>
        </w:rPr>
        <w:t>27</w:t>
      </w:r>
      <w:r w:rsidR="00A829F6" w:rsidRPr="00826530">
        <w:rPr>
          <w:rFonts w:ascii="Arial" w:hAnsi="Arial" w:cs="Arial"/>
          <w:color w:val="000000" w:themeColor="text1"/>
        </w:rPr>
        <w:t>, 95%CI:0.1</w:t>
      </w:r>
      <w:r w:rsidR="00745AD6" w:rsidRPr="00826530">
        <w:rPr>
          <w:rFonts w:ascii="Arial" w:hAnsi="Arial" w:cs="Arial"/>
          <w:color w:val="000000" w:themeColor="text1"/>
        </w:rPr>
        <w:t>3</w:t>
      </w:r>
      <w:r w:rsidR="00A829F6" w:rsidRPr="00826530">
        <w:rPr>
          <w:rFonts w:ascii="Arial" w:hAnsi="Arial" w:cs="Arial"/>
          <w:color w:val="000000" w:themeColor="text1"/>
        </w:rPr>
        <w:t>-0.</w:t>
      </w:r>
      <w:r w:rsidR="00745AD6" w:rsidRPr="00826530">
        <w:rPr>
          <w:rFonts w:ascii="Arial" w:hAnsi="Arial" w:cs="Arial"/>
          <w:color w:val="000000" w:themeColor="text1"/>
        </w:rPr>
        <w:t>54</w:t>
      </w:r>
      <w:r w:rsidR="00A829F6" w:rsidRPr="00826530">
        <w:rPr>
          <w:rFonts w:ascii="Arial" w:hAnsi="Arial" w:cs="Arial"/>
          <w:color w:val="000000" w:themeColor="text1"/>
        </w:rPr>
        <w:t xml:space="preserve">; </w:t>
      </w:r>
      <w:r w:rsidRPr="00826530">
        <w:rPr>
          <w:rFonts w:ascii="Arial" w:hAnsi="Arial" w:cs="Arial"/>
          <w:color w:val="000000" w:themeColor="text1"/>
        </w:rPr>
        <w:t>≥45</w:t>
      </w:r>
      <w:r w:rsidR="00F208E1" w:rsidRPr="00826530">
        <w:rPr>
          <w:rFonts w:ascii="Arial" w:hAnsi="Arial" w:cs="Arial"/>
          <w:color w:val="000000" w:themeColor="text1"/>
        </w:rPr>
        <w:t xml:space="preserve"> vs. &lt;30</w:t>
      </w:r>
      <w:r w:rsidR="00A829F6" w:rsidRPr="00826530">
        <w:rPr>
          <w:rFonts w:ascii="Arial" w:hAnsi="Arial" w:cs="Arial"/>
          <w:color w:val="000000" w:themeColor="text1"/>
        </w:rPr>
        <w:t>:</w:t>
      </w:r>
      <w:r w:rsidRPr="00826530">
        <w:rPr>
          <w:rFonts w:ascii="Arial" w:hAnsi="Arial" w:cs="Arial"/>
          <w:color w:val="000000" w:themeColor="text1"/>
        </w:rPr>
        <w:t xml:space="preserve">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=0.</w:t>
      </w:r>
      <w:r w:rsidR="00745AD6" w:rsidRPr="00826530">
        <w:rPr>
          <w:rFonts w:ascii="Arial" w:hAnsi="Arial" w:cs="Arial"/>
          <w:color w:val="000000" w:themeColor="text1"/>
        </w:rPr>
        <w:t>09</w:t>
      </w:r>
      <w:r w:rsidRPr="00826530">
        <w:rPr>
          <w:rFonts w:ascii="Arial" w:hAnsi="Arial" w:cs="Arial"/>
          <w:color w:val="000000" w:themeColor="text1"/>
        </w:rPr>
        <w:t>, 95%CI:0.0</w:t>
      </w:r>
      <w:r w:rsidR="00745AD6" w:rsidRPr="00826530">
        <w:rPr>
          <w:rFonts w:ascii="Arial" w:hAnsi="Arial" w:cs="Arial"/>
          <w:color w:val="000000" w:themeColor="text1"/>
        </w:rPr>
        <w:t>3</w:t>
      </w:r>
      <w:r w:rsidRPr="00826530">
        <w:rPr>
          <w:rFonts w:ascii="Arial" w:hAnsi="Arial" w:cs="Arial"/>
          <w:color w:val="000000" w:themeColor="text1"/>
        </w:rPr>
        <w:t>-0.</w:t>
      </w:r>
      <w:r w:rsidR="00A829F6" w:rsidRPr="00826530">
        <w:rPr>
          <w:rFonts w:ascii="Arial" w:hAnsi="Arial" w:cs="Arial"/>
          <w:color w:val="000000" w:themeColor="text1"/>
        </w:rPr>
        <w:t>2</w:t>
      </w:r>
      <w:r w:rsidR="00745AD6" w:rsidRPr="00826530">
        <w:rPr>
          <w:rFonts w:ascii="Arial" w:hAnsi="Arial" w:cs="Arial"/>
          <w:color w:val="000000" w:themeColor="text1"/>
        </w:rPr>
        <w:t>2</w:t>
      </w:r>
      <w:r w:rsidRPr="00826530">
        <w:rPr>
          <w:rFonts w:ascii="Arial" w:hAnsi="Arial" w:cs="Arial"/>
          <w:color w:val="000000" w:themeColor="text1"/>
        </w:rPr>
        <w:t xml:space="preserve">), </w:t>
      </w:r>
      <w:r w:rsidR="00A829F6" w:rsidRPr="00826530">
        <w:rPr>
          <w:rFonts w:ascii="Arial" w:hAnsi="Arial" w:cs="Arial"/>
          <w:color w:val="000000" w:themeColor="text1"/>
        </w:rPr>
        <w:t>annual income &gt;$30,000 CAD (</w:t>
      </w:r>
      <w:proofErr w:type="spellStart"/>
      <w:r w:rsidR="00A829F6" w:rsidRPr="00826530">
        <w:rPr>
          <w:rFonts w:ascii="Arial" w:hAnsi="Arial" w:cs="Arial"/>
          <w:color w:val="000000" w:themeColor="text1"/>
        </w:rPr>
        <w:t>aOR</w:t>
      </w:r>
      <w:proofErr w:type="spellEnd"/>
      <w:r w:rsidR="00A829F6" w:rsidRPr="00826530">
        <w:rPr>
          <w:rFonts w:ascii="Arial" w:hAnsi="Arial" w:cs="Arial"/>
          <w:color w:val="000000" w:themeColor="text1"/>
        </w:rPr>
        <w:t>=0.</w:t>
      </w:r>
      <w:r w:rsidR="00745AD6" w:rsidRPr="00826530">
        <w:rPr>
          <w:rFonts w:ascii="Arial" w:hAnsi="Arial" w:cs="Arial"/>
          <w:color w:val="000000" w:themeColor="text1"/>
        </w:rPr>
        <w:t>5</w:t>
      </w:r>
      <w:r w:rsidR="00A829F6" w:rsidRPr="00826530">
        <w:rPr>
          <w:rFonts w:ascii="Arial" w:hAnsi="Arial" w:cs="Arial"/>
          <w:color w:val="000000" w:themeColor="text1"/>
        </w:rPr>
        <w:t>6, 95%CI:0.</w:t>
      </w:r>
      <w:r w:rsidR="00745AD6" w:rsidRPr="00826530">
        <w:rPr>
          <w:rFonts w:ascii="Arial" w:hAnsi="Arial" w:cs="Arial"/>
          <w:color w:val="000000" w:themeColor="text1"/>
        </w:rPr>
        <w:t>32</w:t>
      </w:r>
      <w:r w:rsidR="00A829F6" w:rsidRPr="00826530">
        <w:rPr>
          <w:rFonts w:ascii="Arial" w:hAnsi="Arial" w:cs="Arial"/>
          <w:color w:val="000000" w:themeColor="text1"/>
        </w:rPr>
        <w:t>-0.</w:t>
      </w:r>
      <w:r w:rsidR="00745AD6" w:rsidRPr="00826530">
        <w:rPr>
          <w:rFonts w:ascii="Arial" w:hAnsi="Arial" w:cs="Arial"/>
          <w:color w:val="000000" w:themeColor="text1"/>
        </w:rPr>
        <w:t>99</w:t>
      </w:r>
      <w:r w:rsidR="00A829F6" w:rsidRPr="00826530">
        <w:rPr>
          <w:rFonts w:ascii="Arial" w:hAnsi="Arial" w:cs="Arial"/>
          <w:color w:val="000000" w:themeColor="text1"/>
        </w:rPr>
        <w:t>)</w:t>
      </w:r>
      <w:r w:rsidR="00745AD6" w:rsidRPr="00826530">
        <w:rPr>
          <w:rFonts w:ascii="Arial" w:hAnsi="Arial" w:cs="Arial"/>
          <w:color w:val="000000" w:themeColor="text1"/>
        </w:rPr>
        <w:t>,</w:t>
      </w:r>
      <w:r w:rsidR="00A829F6" w:rsidRPr="00826530">
        <w:rPr>
          <w:rFonts w:ascii="Arial" w:hAnsi="Arial" w:cs="Arial"/>
          <w:color w:val="000000" w:themeColor="text1"/>
        </w:rPr>
        <w:t xml:space="preserve"> </w:t>
      </w:r>
      <w:r w:rsidRPr="00826530">
        <w:rPr>
          <w:rFonts w:ascii="Arial" w:hAnsi="Arial" w:cs="Arial"/>
          <w:color w:val="000000" w:themeColor="text1"/>
        </w:rPr>
        <w:t>having post-secondary education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=0.</w:t>
      </w:r>
      <w:r w:rsidR="00745AD6" w:rsidRPr="00826530">
        <w:rPr>
          <w:rFonts w:ascii="Arial" w:hAnsi="Arial" w:cs="Arial"/>
          <w:color w:val="000000" w:themeColor="text1"/>
        </w:rPr>
        <w:t>30</w:t>
      </w:r>
      <w:r w:rsidRPr="00826530">
        <w:rPr>
          <w:rFonts w:ascii="Arial" w:hAnsi="Arial" w:cs="Arial"/>
          <w:color w:val="000000" w:themeColor="text1"/>
        </w:rPr>
        <w:t>, 95%CI:0.</w:t>
      </w:r>
      <w:r w:rsidR="00A829F6" w:rsidRPr="00826530">
        <w:rPr>
          <w:rFonts w:ascii="Arial" w:hAnsi="Arial" w:cs="Arial"/>
          <w:color w:val="000000" w:themeColor="text1"/>
        </w:rPr>
        <w:t>1</w:t>
      </w:r>
      <w:r w:rsidR="00745AD6" w:rsidRPr="00826530">
        <w:rPr>
          <w:rFonts w:ascii="Arial" w:hAnsi="Arial" w:cs="Arial"/>
          <w:color w:val="000000" w:themeColor="text1"/>
        </w:rPr>
        <w:t>3</w:t>
      </w:r>
      <w:r w:rsidRPr="00826530">
        <w:rPr>
          <w:rFonts w:ascii="Arial" w:hAnsi="Arial" w:cs="Arial"/>
          <w:color w:val="000000" w:themeColor="text1"/>
        </w:rPr>
        <w:t>-0.</w:t>
      </w:r>
      <w:r w:rsidR="00A829F6" w:rsidRPr="00826530">
        <w:rPr>
          <w:rFonts w:ascii="Arial" w:hAnsi="Arial" w:cs="Arial"/>
          <w:color w:val="000000" w:themeColor="text1"/>
        </w:rPr>
        <w:t>7</w:t>
      </w:r>
      <w:r w:rsidR="00745AD6" w:rsidRPr="00826530">
        <w:rPr>
          <w:rFonts w:ascii="Arial" w:hAnsi="Arial" w:cs="Arial"/>
          <w:color w:val="000000" w:themeColor="text1"/>
        </w:rPr>
        <w:t>0</w:t>
      </w:r>
      <w:r w:rsidRPr="00826530">
        <w:rPr>
          <w:rFonts w:ascii="Arial" w:hAnsi="Arial" w:cs="Arial"/>
          <w:color w:val="000000" w:themeColor="text1"/>
        </w:rPr>
        <w:t xml:space="preserve">), </w:t>
      </w:r>
      <w:r w:rsidR="00745AD6" w:rsidRPr="00826530">
        <w:rPr>
          <w:rFonts w:ascii="Arial" w:hAnsi="Arial" w:cs="Arial"/>
          <w:color w:val="000000" w:themeColor="text1"/>
        </w:rPr>
        <w:t xml:space="preserve">and </w:t>
      </w:r>
      <w:r w:rsidRPr="00826530">
        <w:rPr>
          <w:rFonts w:ascii="Arial" w:hAnsi="Arial" w:cs="Arial"/>
          <w:color w:val="000000" w:themeColor="text1"/>
        </w:rPr>
        <w:t>having stable housing (</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=0.</w:t>
      </w:r>
      <w:r w:rsidR="00A829F6" w:rsidRPr="00826530">
        <w:rPr>
          <w:rFonts w:ascii="Arial" w:hAnsi="Arial" w:cs="Arial"/>
          <w:color w:val="000000" w:themeColor="text1"/>
        </w:rPr>
        <w:t>3</w:t>
      </w:r>
      <w:r w:rsidR="00745AD6" w:rsidRPr="00826530">
        <w:rPr>
          <w:rFonts w:ascii="Arial" w:hAnsi="Arial" w:cs="Arial"/>
          <w:color w:val="000000" w:themeColor="text1"/>
        </w:rPr>
        <w:t>9</w:t>
      </w:r>
      <w:r w:rsidRPr="00826530">
        <w:rPr>
          <w:rFonts w:ascii="Arial" w:hAnsi="Arial" w:cs="Arial"/>
          <w:color w:val="000000" w:themeColor="text1"/>
        </w:rPr>
        <w:t>, 95%CI:0.</w:t>
      </w:r>
      <w:r w:rsidR="00A829F6" w:rsidRPr="00826530">
        <w:rPr>
          <w:rFonts w:ascii="Arial" w:hAnsi="Arial" w:cs="Arial"/>
          <w:color w:val="000000" w:themeColor="text1"/>
        </w:rPr>
        <w:t>1</w:t>
      </w:r>
      <w:r w:rsidR="00745AD6" w:rsidRPr="00826530">
        <w:rPr>
          <w:rFonts w:ascii="Arial" w:hAnsi="Arial" w:cs="Arial"/>
          <w:color w:val="000000" w:themeColor="text1"/>
        </w:rPr>
        <w:t>9</w:t>
      </w:r>
      <w:r w:rsidRPr="00826530">
        <w:rPr>
          <w:rFonts w:ascii="Arial" w:hAnsi="Arial" w:cs="Arial"/>
          <w:color w:val="000000" w:themeColor="text1"/>
        </w:rPr>
        <w:t>-0.</w:t>
      </w:r>
      <w:r w:rsidR="00745AD6" w:rsidRPr="00826530">
        <w:rPr>
          <w:rFonts w:ascii="Arial" w:hAnsi="Arial" w:cs="Arial"/>
          <w:color w:val="000000" w:themeColor="text1"/>
        </w:rPr>
        <w:t>82</w:t>
      </w:r>
      <w:r w:rsidRPr="00826530">
        <w:rPr>
          <w:rFonts w:ascii="Arial" w:hAnsi="Arial" w:cs="Arial"/>
          <w:color w:val="000000" w:themeColor="text1"/>
        </w:rPr>
        <w:t>).</w:t>
      </w:r>
      <w:r w:rsidR="00A829F6" w:rsidRPr="00826530">
        <w:rPr>
          <w:rFonts w:ascii="Arial" w:hAnsi="Arial" w:cs="Arial"/>
          <w:color w:val="000000" w:themeColor="text1"/>
        </w:rPr>
        <w:t xml:space="preserve"> GBM who reported greater </w:t>
      </w:r>
      <w:r w:rsidRPr="00826530">
        <w:rPr>
          <w:rFonts w:ascii="Arial" w:hAnsi="Arial" w:cs="Arial"/>
          <w:color w:val="000000" w:themeColor="text1"/>
        </w:rPr>
        <w:t xml:space="preserve">depressive symptomology </w:t>
      </w:r>
      <w:r w:rsidR="00745AD6" w:rsidRPr="00826530">
        <w:rPr>
          <w:rFonts w:ascii="Arial" w:hAnsi="Arial" w:cs="Arial"/>
          <w:color w:val="000000" w:themeColor="text1"/>
        </w:rPr>
        <w:t xml:space="preserve">were also less likely to report transactional sex </w:t>
      </w:r>
      <w:r w:rsidRPr="00826530">
        <w:rPr>
          <w:rFonts w:ascii="Arial" w:hAnsi="Arial" w:cs="Arial"/>
          <w:color w:val="000000" w:themeColor="text1"/>
        </w:rPr>
        <w:t>(</w:t>
      </w:r>
      <w:proofErr w:type="spellStart"/>
      <w:r w:rsidRPr="00826530">
        <w:rPr>
          <w:rFonts w:ascii="Arial" w:hAnsi="Arial" w:cs="Arial"/>
          <w:color w:val="000000" w:themeColor="text1"/>
        </w:rPr>
        <w:t>aOR</w:t>
      </w:r>
      <w:proofErr w:type="spellEnd"/>
      <w:r w:rsidRPr="00826530">
        <w:rPr>
          <w:rFonts w:ascii="Arial" w:hAnsi="Arial" w:cs="Arial"/>
          <w:color w:val="000000" w:themeColor="text1"/>
        </w:rPr>
        <w:t>=0.8</w:t>
      </w:r>
      <w:r w:rsidR="00A829F6" w:rsidRPr="00826530">
        <w:rPr>
          <w:rFonts w:ascii="Arial" w:hAnsi="Arial" w:cs="Arial"/>
          <w:color w:val="000000" w:themeColor="text1"/>
        </w:rPr>
        <w:t>9</w:t>
      </w:r>
      <w:r w:rsidRPr="00826530">
        <w:rPr>
          <w:rFonts w:ascii="Arial" w:hAnsi="Arial" w:cs="Arial"/>
          <w:color w:val="000000" w:themeColor="text1"/>
        </w:rPr>
        <w:t>, 95%CI:0.</w:t>
      </w:r>
      <w:r w:rsidR="00A829F6" w:rsidRPr="00826530">
        <w:rPr>
          <w:rFonts w:ascii="Arial" w:hAnsi="Arial" w:cs="Arial"/>
          <w:color w:val="000000" w:themeColor="text1"/>
        </w:rPr>
        <w:t>81</w:t>
      </w:r>
      <w:r w:rsidRPr="00826530">
        <w:rPr>
          <w:rFonts w:ascii="Arial" w:hAnsi="Arial" w:cs="Arial"/>
          <w:color w:val="000000" w:themeColor="text1"/>
        </w:rPr>
        <w:t>-0.9</w:t>
      </w:r>
      <w:r w:rsidR="00A829F6" w:rsidRPr="00826530">
        <w:rPr>
          <w:rFonts w:ascii="Arial" w:hAnsi="Arial" w:cs="Arial"/>
          <w:color w:val="000000" w:themeColor="text1"/>
        </w:rPr>
        <w:t>7</w:t>
      </w:r>
      <w:r w:rsidRPr="00826530">
        <w:rPr>
          <w:rFonts w:ascii="Arial" w:hAnsi="Arial" w:cs="Arial"/>
          <w:color w:val="000000" w:themeColor="text1"/>
        </w:rPr>
        <w:t xml:space="preserve">). </w:t>
      </w:r>
      <w:r w:rsidR="002356D8" w:rsidRPr="00826530">
        <w:rPr>
          <w:rFonts w:ascii="Arial" w:hAnsi="Arial" w:cs="Arial"/>
          <w:color w:val="000000" w:themeColor="text1"/>
        </w:rPr>
        <w:t xml:space="preserve">Full results can be found in Table </w:t>
      </w:r>
      <w:r w:rsidR="007F7686" w:rsidRPr="00826530">
        <w:rPr>
          <w:rFonts w:ascii="Arial" w:hAnsi="Arial" w:cs="Arial"/>
          <w:color w:val="000000" w:themeColor="text1"/>
        </w:rPr>
        <w:t>2</w:t>
      </w:r>
      <w:r w:rsidR="002356D8" w:rsidRPr="00826530">
        <w:rPr>
          <w:rFonts w:ascii="Arial" w:hAnsi="Arial" w:cs="Arial"/>
          <w:color w:val="000000" w:themeColor="text1"/>
        </w:rPr>
        <w:t>.</w:t>
      </w:r>
    </w:p>
    <w:p w14:paraId="1CCB86FF" w14:textId="7028C033" w:rsidR="00851673" w:rsidRPr="00826530" w:rsidRDefault="00851673" w:rsidP="00F22BCF">
      <w:pPr>
        <w:spacing w:line="480" w:lineRule="auto"/>
        <w:jc w:val="center"/>
        <w:rPr>
          <w:rFonts w:ascii="Arial" w:hAnsi="Arial" w:cs="Arial"/>
          <w:color w:val="000000" w:themeColor="text1"/>
        </w:rPr>
      </w:pPr>
      <w:r w:rsidRPr="00826530">
        <w:rPr>
          <w:rFonts w:ascii="Arial" w:hAnsi="Arial" w:cs="Arial"/>
          <w:b/>
          <w:color w:val="000000" w:themeColor="text1"/>
        </w:rPr>
        <w:t>Discussion</w:t>
      </w:r>
    </w:p>
    <w:p w14:paraId="4E69D482" w14:textId="31A36962" w:rsidR="000B2312" w:rsidRPr="00826530" w:rsidRDefault="002C25CD" w:rsidP="00F22BCF">
      <w:pPr>
        <w:spacing w:line="480" w:lineRule="auto"/>
        <w:ind w:firstLine="720"/>
        <w:rPr>
          <w:rFonts w:ascii="Arial" w:hAnsi="Arial" w:cs="Arial"/>
          <w:color w:val="000000" w:themeColor="text1"/>
        </w:rPr>
      </w:pPr>
      <w:r w:rsidRPr="00826530">
        <w:rPr>
          <w:rFonts w:ascii="Arial" w:hAnsi="Arial" w:cs="Arial"/>
        </w:rPr>
        <w:t xml:space="preserve">Among a community-based sample </w:t>
      </w:r>
      <w:r w:rsidR="00153221" w:rsidRPr="00826530">
        <w:rPr>
          <w:rFonts w:ascii="Arial" w:hAnsi="Arial" w:cs="Arial"/>
        </w:rPr>
        <w:t>of GBM in</w:t>
      </w:r>
      <w:r w:rsidR="00851673" w:rsidRPr="00826530">
        <w:rPr>
          <w:rFonts w:ascii="Arial" w:hAnsi="Arial" w:cs="Arial"/>
        </w:rPr>
        <w:t xml:space="preserve"> Vancouver</w:t>
      </w:r>
      <w:r w:rsidRPr="00826530">
        <w:rPr>
          <w:rFonts w:ascii="Arial" w:hAnsi="Arial" w:cs="Arial"/>
        </w:rPr>
        <w:t xml:space="preserve">, </w:t>
      </w:r>
      <w:r w:rsidR="00F208E1" w:rsidRPr="00826530">
        <w:rPr>
          <w:rFonts w:ascii="Arial" w:hAnsi="Arial" w:cs="Arial"/>
        </w:rPr>
        <w:t>22.1</w:t>
      </w:r>
      <w:r w:rsidRPr="00826530">
        <w:rPr>
          <w:rFonts w:ascii="Arial" w:hAnsi="Arial" w:cs="Arial"/>
        </w:rPr>
        <w:t xml:space="preserve">% </w:t>
      </w:r>
      <w:r w:rsidR="00B742DC" w:rsidRPr="00826530">
        <w:rPr>
          <w:rFonts w:ascii="Arial" w:hAnsi="Arial" w:cs="Arial"/>
        </w:rPr>
        <w:t xml:space="preserve">reported </w:t>
      </w:r>
      <w:r w:rsidR="00657520" w:rsidRPr="00826530">
        <w:rPr>
          <w:rFonts w:ascii="Arial" w:hAnsi="Arial" w:cs="Arial"/>
        </w:rPr>
        <w:t>recent (p</w:t>
      </w:r>
      <w:r w:rsidR="00CE3062">
        <w:rPr>
          <w:rFonts w:ascii="Arial" w:hAnsi="Arial" w:cs="Arial"/>
        </w:rPr>
        <w:t xml:space="preserve">ast </w:t>
      </w:r>
      <w:r w:rsidR="00657520" w:rsidRPr="00826530">
        <w:rPr>
          <w:rFonts w:ascii="Arial" w:hAnsi="Arial" w:cs="Arial"/>
        </w:rPr>
        <w:t>6</w:t>
      </w:r>
      <w:r w:rsidR="00CE3062">
        <w:rPr>
          <w:rFonts w:ascii="Arial" w:hAnsi="Arial" w:cs="Arial"/>
        </w:rPr>
        <w:t xml:space="preserve"> </w:t>
      </w:r>
      <w:r w:rsidR="00657520" w:rsidRPr="00826530">
        <w:rPr>
          <w:rFonts w:ascii="Arial" w:hAnsi="Arial" w:cs="Arial"/>
        </w:rPr>
        <w:t>m</w:t>
      </w:r>
      <w:r w:rsidR="00CE3062">
        <w:rPr>
          <w:rFonts w:ascii="Arial" w:hAnsi="Arial" w:cs="Arial"/>
        </w:rPr>
        <w:t>onths</w:t>
      </w:r>
      <w:r w:rsidR="00657520" w:rsidRPr="00826530">
        <w:rPr>
          <w:rFonts w:ascii="Arial" w:hAnsi="Arial" w:cs="Arial"/>
        </w:rPr>
        <w:t xml:space="preserve">) transactional sex </w:t>
      </w:r>
      <w:r w:rsidRPr="00826530">
        <w:rPr>
          <w:rFonts w:ascii="Arial" w:hAnsi="Arial" w:cs="Arial"/>
        </w:rPr>
        <w:t xml:space="preserve">over </w:t>
      </w:r>
      <w:r w:rsidR="00184FE7" w:rsidRPr="00826530">
        <w:rPr>
          <w:rFonts w:ascii="Arial" w:hAnsi="Arial" w:cs="Arial"/>
        </w:rPr>
        <w:t>the study</w:t>
      </w:r>
      <w:r w:rsidRPr="00826530">
        <w:rPr>
          <w:rFonts w:ascii="Arial" w:hAnsi="Arial" w:cs="Arial"/>
        </w:rPr>
        <w:t xml:space="preserve"> period</w:t>
      </w:r>
      <w:r w:rsidR="00A822E9" w:rsidRPr="00826530">
        <w:rPr>
          <w:rFonts w:ascii="Arial" w:hAnsi="Arial" w:cs="Arial"/>
        </w:rPr>
        <w:t xml:space="preserve"> from 2012 to 2019. </w:t>
      </w:r>
      <w:r w:rsidR="00851673" w:rsidRPr="00826530">
        <w:rPr>
          <w:rFonts w:ascii="Arial" w:hAnsi="Arial" w:cs="Arial"/>
        </w:rPr>
        <w:t xml:space="preserve"> </w:t>
      </w:r>
      <w:r w:rsidR="00153221" w:rsidRPr="00826530">
        <w:rPr>
          <w:rFonts w:ascii="Arial" w:hAnsi="Arial" w:cs="Arial"/>
          <w:color w:val="000000" w:themeColor="text1"/>
        </w:rPr>
        <w:t>We found that t</w:t>
      </w:r>
      <w:r w:rsidR="00851673" w:rsidRPr="00826530">
        <w:rPr>
          <w:rFonts w:ascii="Arial" w:hAnsi="Arial" w:cs="Arial"/>
          <w:color w:val="000000" w:themeColor="text1"/>
        </w:rPr>
        <w:t xml:space="preserve">hose who engaged in transactional sex </w:t>
      </w:r>
      <w:r w:rsidR="00E84CBC">
        <w:rPr>
          <w:rFonts w:ascii="Arial" w:hAnsi="Arial" w:cs="Arial"/>
          <w:color w:val="000000" w:themeColor="text1"/>
        </w:rPr>
        <w:t xml:space="preserve">(i.e., those who </w:t>
      </w:r>
      <w:r w:rsidR="00E84CBC" w:rsidRPr="00826530">
        <w:rPr>
          <w:rFonts w:ascii="Arial" w:hAnsi="Arial" w:cs="Arial"/>
        </w:rPr>
        <w:t xml:space="preserve">reported receiving or both receiving and giving money, drugs, or other goods for sex, or having received money for </w:t>
      </w:r>
      <w:r w:rsidR="00E84CBC" w:rsidRPr="00826530">
        <w:rPr>
          <w:rFonts w:ascii="Arial" w:hAnsi="Arial" w:cs="Arial"/>
        </w:rPr>
        <w:lastRenderedPageBreak/>
        <w:t>escort or sex work</w:t>
      </w:r>
      <w:r w:rsidR="00E84CBC">
        <w:rPr>
          <w:rFonts w:ascii="Arial" w:hAnsi="Arial" w:cs="Arial"/>
        </w:rPr>
        <w:t>)</w:t>
      </w:r>
      <w:r w:rsidR="00E84CBC" w:rsidRPr="00826530">
        <w:rPr>
          <w:rFonts w:ascii="Arial" w:hAnsi="Arial" w:cs="Arial"/>
          <w:color w:val="000000" w:themeColor="text1"/>
        </w:rPr>
        <w:t xml:space="preserve"> </w:t>
      </w:r>
      <w:r w:rsidR="00851673" w:rsidRPr="00826530">
        <w:rPr>
          <w:rFonts w:ascii="Arial" w:hAnsi="Arial" w:cs="Arial"/>
          <w:color w:val="000000" w:themeColor="text1"/>
        </w:rPr>
        <w:t>were more likel</w:t>
      </w:r>
      <w:r w:rsidR="00EA02A2" w:rsidRPr="00826530">
        <w:rPr>
          <w:rFonts w:ascii="Arial" w:hAnsi="Arial" w:cs="Arial"/>
          <w:color w:val="000000" w:themeColor="text1"/>
        </w:rPr>
        <w:t xml:space="preserve">y to </w:t>
      </w:r>
      <w:r w:rsidR="00236A83" w:rsidRPr="00826530">
        <w:rPr>
          <w:rFonts w:ascii="Arial" w:hAnsi="Arial" w:cs="Arial"/>
          <w:color w:val="000000" w:themeColor="text1"/>
        </w:rPr>
        <w:t>report psychosocial stressors</w:t>
      </w:r>
      <w:r w:rsidR="00C14EAA" w:rsidRPr="00826530">
        <w:rPr>
          <w:rFonts w:ascii="Arial" w:hAnsi="Arial" w:cs="Arial"/>
          <w:color w:val="000000" w:themeColor="text1"/>
        </w:rPr>
        <w:t>,</w:t>
      </w:r>
      <w:r w:rsidR="00236A83" w:rsidRPr="00826530">
        <w:rPr>
          <w:rFonts w:ascii="Arial" w:hAnsi="Arial" w:cs="Arial"/>
          <w:color w:val="000000" w:themeColor="text1"/>
        </w:rPr>
        <w:t xml:space="preserve"> including</w:t>
      </w:r>
      <w:r w:rsidR="00EA02A2" w:rsidRPr="00826530">
        <w:rPr>
          <w:rFonts w:ascii="Arial" w:hAnsi="Arial" w:cs="Arial"/>
          <w:color w:val="000000" w:themeColor="text1"/>
        </w:rPr>
        <w:t xml:space="preserve"> younger</w:t>
      </w:r>
      <w:r w:rsidR="00236A83" w:rsidRPr="00826530">
        <w:rPr>
          <w:rFonts w:ascii="Arial" w:hAnsi="Arial" w:cs="Arial"/>
          <w:color w:val="000000" w:themeColor="text1"/>
        </w:rPr>
        <w:t xml:space="preserve"> age</w:t>
      </w:r>
      <w:r w:rsidR="00EA02A2" w:rsidRPr="00826530">
        <w:rPr>
          <w:rFonts w:ascii="Arial" w:hAnsi="Arial" w:cs="Arial"/>
          <w:color w:val="000000" w:themeColor="text1"/>
        </w:rPr>
        <w:t>,</w:t>
      </w:r>
      <w:r w:rsidR="00296810" w:rsidRPr="00826530">
        <w:rPr>
          <w:rFonts w:ascii="Arial" w:hAnsi="Arial" w:cs="Arial"/>
          <w:color w:val="000000" w:themeColor="text1"/>
        </w:rPr>
        <w:t xml:space="preserve"> bisexual or “other” </w:t>
      </w:r>
      <w:r w:rsidR="00236A83" w:rsidRPr="00826530">
        <w:rPr>
          <w:rFonts w:ascii="Arial" w:hAnsi="Arial" w:cs="Arial"/>
          <w:color w:val="000000" w:themeColor="text1"/>
        </w:rPr>
        <w:t xml:space="preserve">self-identity, </w:t>
      </w:r>
      <w:r w:rsidR="00A822E9" w:rsidRPr="00826530">
        <w:rPr>
          <w:rFonts w:ascii="Arial" w:hAnsi="Arial" w:cs="Arial"/>
          <w:color w:val="000000" w:themeColor="text1"/>
        </w:rPr>
        <w:t>annual income less than $30,000 CAD</w:t>
      </w:r>
      <w:r w:rsidR="00236A83" w:rsidRPr="00826530">
        <w:rPr>
          <w:rFonts w:ascii="Arial" w:hAnsi="Arial" w:cs="Arial"/>
          <w:color w:val="000000" w:themeColor="text1"/>
        </w:rPr>
        <w:t xml:space="preserve"> (</w:t>
      </w:r>
      <w:r w:rsidR="000B2312" w:rsidRPr="00826530">
        <w:rPr>
          <w:rFonts w:ascii="Arial" w:hAnsi="Arial" w:cs="Arial"/>
          <w:color w:val="000000" w:themeColor="text1"/>
        </w:rPr>
        <w:t>the mean Canadian income in 2018 was $44,700</w:t>
      </w:r>
      <w:r w:rsidR="000B2312" w:rsidRPr="00826530">
        <w:rPr>
          <w:rFonts w:ascii="Arial" w:hAnsi="Arial" w:cs="Arial"/>
          <w:color w:val="000000" w:themeColor="text1"/>
          <w:vertAlign w:val="superscript"/>
        </w:rPr>
        <w:t>26</w:t>
      </w:r>
      <w:r w:rsidR="000B2312" w:rsidRPr="00826530">
        <w:rPr>
          <w:rFonts w:ascii="Arial" w:hAnsi="Arial" w:cs="Arial"/>
          <w:color w:val="000000" w:themeColor="text1"/>
        </w:rPr>
        <w:t>)</w:t>
      </w:r>
      <w:r w:rsidR="00A822E9" w:rsidRPr="00826530">
        <w:rPr>
          <w:rFonts w:ascii="Arial" w:hAnsi="Arial" w:cs="Arial"/>
          <w:color w:val="000000" w:themeColor="text1"/>
        </w:rPr>
        <w:t>,</w:t>
      </w:r>
      <w:r w:rsidR="00296810" w:rsidRPr="00826530">
        <w:rPr>
          <w:rFonts w:ascii="Arial" w:hAnsi="Arial" w:cs="Arial"/>
          <w:color w:val="000000" w:themeColor="text1"/>
        </w:rPr>
        <w:t xml:space="preserve"> and</w:t>
      </w:r>
      <w:r w:rsidR="00A822E9" w:rsidRPr="00826530">
        <w:rPr>
          <w:rFonts w:ascii="Arial" w:hAnsi="Arial" w:cs="Arial"/>
          <w:color w:val="000000" w:themeColor="text1"/>
        </w:rPr>
        <w:t xml:space="preserve"> </w:t>
      </w:r>
      <w:r w:rsidR="00296810" w:rsidRPr="00826530">
        <w:rPr>
          <w:rFonts w:ascii="Arial" w:hAnsi="Arial" w:cs="Arial"/>
          <w:color w:val="000000" w:themeColor="text1"/>
        </w:rPr>
        <w:t>to be unstably housed</w:t>
      </w:r>
      <w:r w:rsidR="00A822E9" w:rsidRPr="00826530">
        <w:rPr>
          <w:rFonts w:ascii="Arial" w:hAnsi="Arial" w:cs="Arial"/>
          <w:color w:val="000000" w:themeColor="text1"/>
        </w:rPr>
        <w:t xml:space="preserve">. </w:t>
      </w:r>
      <w:r w:rsidR="00236A83" w:rsidRPr="00826530">
        <w:rPr>
          <w:rFonts w:ascii="Arial" w:hAnsi="Arial" w:cs="Arial"/>
          <w:color w:val="000000" w:themeColor="text1"/>
        </w:rPr>
        <w:t xml:space="preserve">They were also more likely to report greater sexual escape motivation, loneliness, and anxious symptoms, but less likely to report depressive symptoms. </w:t>
      </w:r>
      <w:r w:rsidR="000B2312" w:rsidRPr="00826530">
        <w:rPr>
          <w:rFonts w:ascii="Arial" w:hAnsi="Arial" w:cs="Arial"/>
          <w:color w:val="000000" w:themeColor="text1"/>
        </w:rPr>
        <w:t>GBM who reported transactional sex</w:t>
      </w:r>
      <w:r w:rsidR="00A822E9" w:rsidRPr="00826530">
        <w:rPr>
          <w:rFonts w:ascii="Arial" w:hAnsi="Arial" w:cs="Arial"/>
          <w:color w:val="000000" w:themeColor="text1"/>
        </w:rPr>
        <w:t xml:space="preserve"> were more likely to </w:t>
      </w:r>
      <w:r w:rsidR="00EA02A2" w:rsidRPr="00826530">
        <w:rPr>
          <w:rFonts w:ascii="Arial" w:hAnsi="Arial" w:cs="Arial"/>
          <w:color w:val="000000" w:themeColor="text1"/>
        </w:rPr>
        <w:t xml:space="preserve">use </w:t>
      </w:r>
      <w:r w:rsidR="000B2312" w:rsidRPr="00826530">
        <w:rPr>
          <w:rFonts w:ascii="Arial" w:hAnsi="Arial" w:cs="Arial"/>
          <w:color w:val="000000" w:themeColor="text1"/>
        </w:rPr>
        <w:t xml:space="preserve">some </w:t>
      </w:r>
      <w:r w:rsidR="00EA02A2" w:rsidRPr="00826530">
        <w:rPr>
          <w:rFonts w:ascii="Arial" w:hAnsi="Arial" w:cs="Arial"/>
          <w:color w:val="000000" w:themeColor="text1"/>
        </w:rPr>
        <w:t>substances</w:t>
      </w:r>
      <w:r w:rsidR="00236A83" w:rsidRPr="00826530">
        <w:rPr>
          <w:rFonts w:ascii="Arial" w:hAnsi="Arial" w:cs="Arial"/>
          <w:color w:val="000000" w:themeColor="text1"/>
        </w:rPr>
        <w:t>,</w:t>
      </w:r>
      <w:r w:rsidR="00851673" w:rsidRPr="00826530">
        <w:rPr>
          <w:rFonts w:ascii="Arial" w:hAnsi="Arial" w:cs="Arial"/>
          <w:color w:val="000000" w:themeColor="text1"/>
        </w:rPr>
        <w:t xml:space="preserve"> specifically </w:t>
      </w:r>
      <w:r w:rsidR="00236A83" w:rsidRPr="00826530">
        <w:rPr>
          <w:rFonts w:ascii="Arial" w:hAnsi="Arial" w:cs="Arial"/>
          <w:color w:val="000000" w:themeColor="text1"/>
        </w:rPr>
        <w:t>those which are typically used in sexualised situations (</w:t>
      </w:r>
      <w:r w:rsidR="00851673" w:rsidRPr="00826530">
        <w:rPr>
          <w:rFonts w:ascii="Arial" w:hAnsi="Arial" w:cs="Arial"/>
          <w:color w:val="000000" w:themeColor="text1"/>
        </w:rPr>
        <w:t xml:space="preserve">i.e., crystal methamphetamine, poppers, </w:t>
      </w:r>
      <w:r w:rsidR="002B3B91" w:rsidRPr="00826530">
        <w:rPr>
          <w:rFonts w:ascii="Arial" w:hAnsi="Arial" w:cs="Arial"/>
          <w:color w:val="000000" w:themeColor="text1"/>
        </w:rPr>
        <w:t>GHB</w:t>
      </w:r>
      <w:r w:rsidR="00851673" w:rsidRPr="00826530">
        <w:rPr>
          <w:rFonts w:ascii="Arial" w:hAnsi="Arial" w:cs="Arial"/>
          <w:color w:val="000000" w:themeColor="text1"/>
        </w:rPr>
        <w:t>, and non-steroid injection drug use)</w:t>
      </w:r>
      <w:r w:rsidR="00236A83" w:rsidRPr="00826530">
        <w:rPr>
          <w:rFonts w:ascii="Arial" w:hAnsi="Arial" w:cs="Arial"/>
          <w:color w:val="000000" w:themeColor="text1"/>
        </w:rPr>
        <w:t>,</w:t>
      </w:r>
      <w:r w:rsidR="00A822E9" w:rsidRPr="00826530">
        <w:rPr>
          <w:rFonts w:ascii="Arial" w:hAnsi="Arial" w:cs="Arial"/>
          <w:color w:val="000000" w:themeColor="text1"/>
        </w:rPr>
        <w:t xml:space="preserve"> and to engage in behaviours associated with higher risk of HIV and STI transmission (i.e., having more sexual partners, attending sex parties, and </w:t>
      </w:r>
      <w:r w:rsidR="00296810" w:rsidRPr="00826530">
        <w:rPr>
          <w:rFonts w:ascii="Arial" w:hAnsi="Arial" w:cs="Arial"/>
          <w:color w:val="000000" w:themeColor="text1"/>
        </w:rPr>
        <w:t xml:space="preserve">having CAS with serodifferent or unknown HIV status partners). </w:t>
      </w:r>
      <w:r w:rsidR="000B2312" w:rsidRPr="00826530">
        <w:rPr>
          <w:rFonts w:ascii="Arial" w:hAnsi="Arial" w:cs="Arial"/>
          <w:color w:val="000000" w:themeColor="text1"/>
        </w:rPr>
        <w:t xml:space="preserve">However, despite increased sexual risk behaviour, we found that those who engaged in transactional sex were no more likely </w:t>
      </w:r>
      <w:r w:rsidR="00BC73DD" w:rsidRPr="00826530">
        <w:rPr>
          <w:rFonts w:ascii="Arial" w:hAnsi="Arial" w:cs="Arial"/>
          <w:color w:val="000000" w:themeColor="text1"/>
        </w:rPr>
        <w:t>to be living with HIV, to report a recent gonorrhoea, chlamydia, or syphilis diagnoses, or to use a variety of HIV prevention strategies including condoms, asking about a partner’s HIV status,</w:t>
      </w:r>
      <w:r w:rsidR="000B2312" w:rsidRPr="00826530">
        <w:rPr>
          <w:rFonts w:ascii="Arial" w:hAnsi="Arial" w:cs="Arial"/>
          <w:color w:val="000000" w:themeColor="text1"/>
        </w:rPr>
        <w:t xml:space="preserve"> </w:t>
      </w:r>
      <w:proofErr w:type="spellStart"/>
      <w:r w:rsidR="000B2312" w:rsidRPr="00826530">
        <w:rPr>
          <w:rFonts w:ascii="Arial" w:hAnsi="Arial" w:cs="Arial"/>
          <w:color w:val="000000" w:themeColor="text1"/>
        </w:rPr>
        <w:t>sero</w:t>
      </w:r>
      <w:proofErr w:type="spellEnd"/>
      <w:r w:rsidR="000B2312" w:rsidRPr="00826530">
        <w:rPr>
          <w:rFonts w:ascii="Arial" w:hAnsi="Arial" w:cs="Arial"/>
          <w:color w:val="000000" w:themeColor="text1"/>
        </w:rPr>
        <w:t>-position</w:t>
      </w:r>
      <w:r w:rsidR="00BC73DD" w:rsidRPr="00826530">
        <w:rPr>
          <w:rFonts w:ascii="Arial" w:hAnsi="Arial" w:cs="Arial"/>
          <w:color w:val="000000" w:themeColor="text1"/>
        </w:rPr>
        <w:t>ing</w:t>
      </w:r>
      <w:r w:rsidR="000B2312" w:rsidRPr="00826530">
        <w:rPr>
          <w:rFonts w:ascii="Arial" w:hAnsi="Arial" w:cs="Arial"/>
          <w:color w:val="000000" w:themeColor="text1"/>
        </w:rPr>
        <w:t xml:space="preserve">, </w:t>
      </w:r>
      <w:proofErr w:type="spellStart"/>
      <w:r w:rsidR="000B2312" w:rsidRPr="00826530">
        <w:rPr>
          <w:rFonts w:ascii="Arial" w:hAnsi="Arial" w:cs="Arial"/>
          <w:color w:val="000000" w:themeColor="text1"/>
        </w:rPr>
        <w:t>sero</w:t>
      </w:r>
      <w:proofErr w:type="spellEnd"/>
      <w:r w:rsidR="000B2312" w:rsidRPr="00826530">
        <w:rPr>
          <w:rFonts w:ascii="Arial" w:hAnsi="Arial" w:cs="Arial"/>
          <w:color w:val="000000" w:themeColor="text1"/>
        </w:rPr>
        <w:t>-sort</w:t>
      </w:r>
      <w:r w:rsidR="00BC73DD" w:rsidRPr="00826530">
        <w:rPr>
          <w:rFonts w:ascii="Arial" w:hAnsi="Arial" w:cs="Arial"/>
          <w:color w:val="000000" w:themeColor="text1"/>
        </w:rPr>
        <w:t>ing</w:t>
      </w:r>
      <w:r w:rsidR="000B2312" w:rsidRPr="00826530">
        <w:rPr>
          <w:rFonts w:ascii="Arial" w:hAnsi="Arial" w:cs="Arial"/>
          <w:color w:val="000000" w:themeColor="text1"/>
        </w:rPr>
        <w:t>, or viral</w:t>
      </w:r>
      <w:r w:rsidR="00BC73DD" w:rsidRPr="00826530">
        <w:rPr>
          <w:rFonts w:ascii="Arial" w:hAnsi="Arial" w:cs="Arial"/>
          <w:color w:val="000000" w:themeColor="text1"/>
        </w:rPr>
        <w:t xml:space="preserve">-load sorting. GBM who reported transactional sex were, however, more likely to report using withdrawal as an HIV prevention strategy. </w:t>
      </w:r>
      <w:r w:rsidR="000B2312" w:rsidRPr="00826530">
        <w:rPr>
          <w:rFonts w:ascii="Arial" w:hAnsi="Arial" w:cs="Arial"/>
          <w:color w:val="000000" w:themeColor="text1"/>
        </w:rPr>
        <w:t xml:space="preserve">  </w:t>
      </w:r>
    </w:p>
    <w:p w14:paraId="7965DECD" w14:textId="64806170" w:rsidR="0015210C" w:rsidRPr="00826530" w:rsidRDefault="00BC73DD" w:rsidP="00F22BCF">
      <w:pPr>
        <w:spacing w:line="480" w:lineRule="auto"/>
        <w:ind w:firstLine="720"/>
        <w:rPr>
          <w:rFonts w:ascii="Arial" w:hAnsi="Arial" w:cs="Arial"/>
          <w:color w:val="000000" w:themeColor="text1"/>
        </w:rPr>
      </w:pPr>
      <w:r w:rsidRPr="00826530">
        <w:rPr>
          <w:rFonts w:ascii="Arial" w:hAnsi="Arial" w:cs="Arial"/>
          <w:color w:val="000000" w:themeColor="text1"/>
        </w:rPr>
        <w:t>Consistent with the findings of the current analysis, c</w:t>
      </w:r>
      <w:r w:rsidR="00857F65" w:rsidRPr="00826530">
        <w:rPr>
          <w:rFonts w:ascii="Arial" w:hAnsi="Arial" w:cs="Arial"/>
          <w:color w:val="000000" w:themeColor="text1"/>
        </w:rPr>
        <w:t xml:space="preserve">ompared to GBM in general, </w:t>
      </w:r>
      <w:r w:rsidR="00296810" w:rsidRPr="00826530">
        <w:rPr>
          <w:rFonts w:ascii="Arial" w:hAnsi="Arial" w:cs="Arial"/>
          <w:color w:val="000000" w:themeColor="text1"/>
        </w:rPr>
        <w:t xml:space="preserve">those who engage in transactional sex have been shown to also report </w:t>
      </w:r>
      <w:r w:rsidR="002B3B91" w:rsidRPr="00826530">
        <w:rPr>
          <w:rFonts w:ascii="Arial" w:hAnsi="Arial" w:cs="Arial"/>
          <w:color w:val="000000" w:themeColor="text1"/>
        </w:rPr>
        <w:t>higher rates of lifetime and recent drug use</w:t>
      </w:r>
      <w:r w:rsidR="00C14EAA" w:rsidRPr="00826530">
        <w:rPr>
          <w:rFonts w:ascii="Arial" w:hAnsi="Arial" w:cs="Arial"/>
          <w:color w:val="000000" w:themeColor="text1"/>
        </w:rPr>
        <w:t>,</w:t>
      </w:r>
      <w:r w:rsidR="002B3B91" w:rsidRPr="00826530">
        <w:rPr>
          <w:rFonts w:ascii="Arial" w:hAnsi="Arial" w:cs="Arial"/>
          <w:color w:val="000000" w:themeColor="text1"/>
        </w:rPr>
        <w:t xml:space="preserve"> including crystal methamphetamine, poppers, and </w:t>
      </w:r>
      <w:r w:rsidR="002C25CD" w:rsidRPr="00826530">
        <w:rPr>
          <w:rFonts w:ascii="Arial" w:hAnsi="Arial" w:cs="Arial"/>
          <w:color w:val="000000" w:themeColor="text1"/>
        </w:rPr>
        <w:t>GHB</w:t>
      </w:r>
      <w:r w:rsidRPr="00826530">
        <w:rPr>
          <w:rFonts w:ascii="Arial" w:hAnsi="Arial" w:cs="Arial"/>
          <w:color w:val="000000" w:themeColor="text1"/>
        </w:rPr>
        <w:t>.</w:t>
      </w:r>
      <w:r w:rsidR="009071CA"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7</w:t>
      </w:r>
      <w:r w:rsidR="009071CA"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8</w:t>
      </w:r>
      <w:r w:rsidR="002B3B91" w:rsidRPr="00826530">
        <w:rPr>
          <w:rFonts w:ascii="Arial" w:hAnsi="Arial" w:cs="Arial"/>
          <w:color w:val="000000" w:themeColor="text1"/>
        </w:rPr>
        <w:t xml:space="preserve"> </w:t>
      </w:r>
      <w:r w:rsidR="00B00875" w:rsidRPr="00826530">
        <w:rPr>
          <w:rFonts w:ascii="Arial" w:hAnsi="Arial" w:cs="Arial"/>
          <w:color w:val="000000" w:themeColor="text1"/>
        </w:rPr>
        <w:t xml:space="preserve">Among GBM in Vancouver, previous research </w:t>
      </w:r>
      <w:r w:rsidR="00447CF3" w:rsidRPr="00826530">
        <w:rPr>
          <w:rFonts w:ascii="Arial" w:hAnsi="Arial" w:cs="Arial"/>
          <w:color w:val="000000" w:themeColor="text1"/>
        </w:rPr>
        <w:t xml:space="preserve">found associations between </w:t>
      </w:r>
      <w:r w:rsidR="00B00875" w:rsidRPr="00826530">
        <w:rPr>
          <w:rFonts w:ascii="Arial" w:hAnsi="Arial" w:cs="Arial"/>
          <w:color w:val="000000" w:themeColor="text1"/>
        </w:rPr>
        <w:t xml:space="preserve">sex </w:t>
      </w:r>
      <w:r w:rsidR="00904F59" w:rsidRPr="00826530">
        <w:rPr>
          <w:rFonts w:ascii="Arial" w:hAnsi="Arial" w:cs="Arial"/>
          <w:color w:val="000000" w:themeColor="text1"/>
        </w:rPr>
        <w:t>work</w:t>
      </w:r>
      <w:r w:rsidR="00B00875" w:rsidRPr="00826530">
        <w:rPr>
          <w:rFonts w:ascii="Arial" w:hAnsi="Arial" w:cs="Arial"/>
          <w:color w:val="000000" w:themeColor="text1"/>
        </w:rPr>
        <w:t xml:space="preserve"> </w:t>
      </w:r>
      <w:r w:rsidR="00447CF3" w:rsidRPr="00826530">
        <w:rPr>
          <w:rFonts w:ascii="Arial" w:hAnsi="Arial" w:cs="Arial"/>
          <w:color w:val="000000" w:themeColor="text1"/>
        </w:rPr>
        <w:t>and substance use</w:t>
      </w:r>
      <w:r w:rsidR="00C14EAA" w:rsidRPr="00826530">
        <w:rPr>
          <w:rFonts w:ascii="Arial" w:hAnsi="Arial" w:cs="Arial"/>
          <w:color w:val="000000" w:themeColor="text1"/>
        </w:rPr>
        <w:t>,</w:t>
      </w:r>
      <w:r w:rsidR="00447CF3" w:rsidRPr="00826530">
        <w:rPr>
          <w:rFonts w:ascii="Arial" w:hAnsi="Arial" w:cs="Arial"/>
          <w:color w:val="000000" w:themeColor="text1"/>
        </w:rPr>
        <w:t xml:space="preserve"> </w:t>
      </w:r>
      <w:r w:rsidR="00C14EAA" w:rsidRPr="00826530">
        <w:rPr>
          <w:rFonts w:ascii="Arial" w:hAnsi="Arial" w:cs="Arial"/>
          <w:color w:val="000000" w:themeColor="text1"/>
        </w:rPr>
        <w:t>such as</w:t>
      </w:r>
      <w:r w:rsidR="00447CF3" w:rsidRPr="00826530">
        <w:rPr>
          <w:rFonts w:ascii="Arial" w:hAnsi="Arial" w:cs="Arial"/>
          <w:color w:val="000000" w:themeColor="text1"/>
        </w:rPr>
        <w:t xml:space="preserve"> </w:t>
      </w:r>
      <w:r w:rsidR="00B00875" w:rsidRPr="00826530">
        <w:rPr>
          <w:rFonts w:ascii="Arial" w:hAnsi="Arial" w:cs="Arial"/>
          <w:color w:val="000000" w:themeColor="text1"/>
        </w:rPr>
        <w:t>poppers, injection drug</w:t>
      </w:r>
      <w:r w:rsidR="00447CF3" w:rsidRPr="00826530">
        <w:rPr>
          <w:rFonts w:ascii="Arial" w:hAnsi="Arial" w:cs="Arial"/>
          <w:color w:val="000000" w:themeColor="text1"/>
        </w:rPr>
        <w:t>s</w:t>
      </w:r>
      <w:r w:rsidR="00B00875" w:rsidRPr="00826530">
        <w:rPr>
          <w:rFonts w:ascii="Arial" w:hAnsi="Arial" w:cs="Arial"/>
          <w:color w:val="000000" w:themeColor="text1"/>
        </w:rPr>
        <w:t>, cocaine</w:t>
      </w:r>
      <w:r w:rsidR="002C25CD" w:rsidRPr="00826530">
        <w:rPr>
          <w:rFonts w:ascii="Arial" w:hAnsi="Arial" w:cs="Arial"/>
          <w:color w:val="000000" w:themeColor="text1"/>
        </w:rPr>
        <w:t>,</w:t>
      </w:r>
      <w:r w:rsidR="00B00875" w:rsidRPr="00826530">
        <w:rPr>
          <w:rFonts w:ascii="Arial" w:hAnsi="Arial" w:cs="Arial"/>
          <w:color w:val="000000" w:themeColor="text1"/>
        </w:rPr>
        <w:t xml:space="preserve"> and heroin.</w:t>
      </w:r>
      <w:r w:rsidR="009071CA"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6</w:t>
      </w:r>
      <w:r w:rsidR="00B62545" w:rsidRPr="00826530">
        <w:rPr>
          <w:rFonts w:ascii="Arial" w:hAnsi="Arial" w:cs="Arial"/>
          <w:color w:val="000000" w:themeColor="text1"/>
        </w:rPr>
        <w:t xml:space="preserve"> </w:t>
      </w:r>
      <w:r w:rsidR="00447CF3" w:rsidRPr="00826530">
        <w:rPr>
          <w:rFonts w:ascii="Arial" w:hAnsi="Arial" w:cs="Arial"/>
          <w:color w:val="000000" w:themeColor="text1"/>
        </w:rPr>
        <w:t>F</w:t>
      </w:r>
      <w:r w:rsidR="002B3B91" w:rsidRPr="00826530">
        <w:rPr>
          <w:rFonts w:ascii="Arial" w:hAnsi="Arial" w:cs="Arial"/>
          <w:color w:val="000000" w:themeColor="text1"/>
        </w:rPr>
        <w:t xml:space="preserve">indings on specific drug use </w:t>
      </w:r>
      <w:r w:rsidR="00B62545" w:rsidRPr="00826530">
        <w:rPr>
          <w:rFonts w:ascii="Arial" w:hAnsi="Arial" w:cs="Arial"/>
          <w:color w:val="000000" w:themeColor="text1"/>
        </w:rPr>
        <w:t xml:space="preserve">and transactional sex </w:t>
      </w:r>
      <w:r w:rsidR="002B3B91" w:rsidRPr="00826530">
        <w:rPr>
          <w:rFonts w:ascii="Arial" w:hAnsi="Arial" w:cs="Arial"/>
          <w:color w:val="000000" w:themeColor="text1"/>
        </w:rPr>
        <w:t xml:space="preserve">have been mixed, with </w:t>
      </w:r>
      <w:r w:rsidR="00B62545" w:rsidRPr="00826530">
        <w:rPr>
          <w:rFonts w:ascii="Arial" w:hAnsi="Arial" w:cs="Arial"/>
          <w:color w:val="000000" w:themeColor="text1"/>
        </w:rPr>
        <w:t>some</w:t>
      </w:r>
      <w:r w:rsidR="002B3B91" w:rsidRPr="00826530">
        <w:rPr>
          <w:rFonts w:ascii="Arial" w:hAnsi="Arial" w:cs="Arial"/>
          <w:color w:val="000000" w:themeColor="text1"/>
        </w:rPr>
        <w:t xml:space="preserve"> studies showing transactional sex to be associated with injection drug use as well as </w:t>
      </w:r>
      <w:r w:rsidR="002B3B91" w:rsidRPr="00826530">
        <w:rPr>
          <w:rFonts w:ascii="Arial" w:hAnsi="Arial" w:cs="Arial"/>
          <w:color w:val="000000" w:themeColor="text1"/>
        </w:rPr>
        <w:lastRenderedPageBreak/>
        <w:t>cocaine and/or crack cocaine use, but not methamphetamine.</w:t>
      </w:r>
      <w:r w:rsidR="009071CA"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9</w:t>
      </w:r>
      <w:r w:rsidR="009071CA" w:rsidRPr="00826530">
        <w:rPr>
          <w:rFonts w:ascii="Arial" w:hAnsi="Arial" w:cs="Arial"/>
          <w:color w:val="000000" w:themeColor="text1"/>
          <w:vertAlign w:val="superscript"/>
        </w:rPr>
        <w:t>,</w:t>
      </w:r>
      <w:r w:rsidR="000B2312" w:rsidRPr="00826530">
        <w:rPr>
          <w:rFonts w:ascii="Arial" w:hAnsi="Arial" w:cs="Arial"/>
          <w:color w:val="000000" w:themeColor="text1"/>
          <w:vertAlign w:val="superscript"/>
        </w:rPr>
        <w:t>30</w:t>
      </w:r>
      <w:r w:rsidR="00B00875" w:rsidRPr="00826530">
        <w:rPr>
          <w:rFonts w:ascii="Arial" w:hAnsi="Arial" w:cs="Arial"/>
          <w:color w:val="000000" w:themeColor="text1"/>
        </w:rPr>
        <w:t xml:space="preserve"> </w:t>
      </w:r>
      <w:r w:rsidR="00447CF3" w:rsidRPr="00826530">
        <w:rPr>
          <w:rFonts w:ascii="Arial" w:hAnsi="Arial" w:cs="Arial"/>
          <w:color w:val="000000" w:themeColor="text1"/>
        </w:rPr>
        <w:t>The use of substances among GBM who engage in transactional sex is likely to have complex</w:t>
      </w:r>
      <w:r w:rsidR="00F1687F" w:rsidRPr="00826530">
        <w:rPr>
          <w:rFonts w:ascii="Arial" w:hAnsi="Arial" w:cs="Arial"/>
          <w:color w:val="000000" w:themeColor="text1"/>
        </w:rPr>
        <w:t xml:space="preserve"> and interrelated</w:t>
      </w:r>
      <w:r w:rsidR="00447CF3" w:rsidRPr="00826530">
        <w:rPr>
          <w:rFonts w:ascii="Arial" w:hAnsi="Arial" w:cs="Arial"/>
          <w:color w:val="000000" w:themeColor="text1"/>
        </w:rPr>
        <w:t xml:space="preserve"> motivations and consequences. Substances may be used as a coping mechanism to manage ongoing stressors such as marginalization due to multiple and intersecting stigmatized identities and behaviours, including transactional</w:t>
      </w:r>
      <w:r w:rsidR="0015210C" w:rsidRPr="00826530">
        <w:rPr>
          <w:rFonts w:ascii="Arial" w:hAnsi="Arial" w:cs="Arial"/>
          <w:color w:val="000000" w:themeColor="text1"/>
        </w:rPr>
        <w:t xml:space="preserve"> sex</w:t>
      </w:r>
      <w:r w:rsidR="00632C36" w:rsidRPr="00826530">
        <w:rPr>
          <w:rFonts w:ascii="Arial" w:hAnsi="Arial" w:cs="Arial"/>
          <w:color w:val="000000" w:themeColor="text1"/>
        </w:rPr>
        <w:t xml:space="preserve"> itself</w:t>
      </w:r>
      <w:r w:rsidR="00447CF3" w:rsidRPr="00826530">
        <w:rPr>
          <w:rFonts w:ascii="Arial" w:hAnsi="Arial" w:cs="Arial"/>
          <w:color w:val="000000" w:themeColor="text1"/>
        </w:rPr>
        <w:t xml:space="preserve">. Substances may also facilitate engaging in transactional sex as suggested by the finding in this study that those engaging in transactional </w:t>
      </w:r>
      <w:r w:rsidR="005D1EEE" w:rsidRPr="00826530">
        <w:rPr>
          <w:rFonts w:ascii="Arial" w:hAnsi="Arial" w:cs="Arial"/>
          <w:color w:val="000000" w:themeColor="text1"/>
        </w:rPr>
        <w:t xml:space="preserve">sex </w:t>
      </w:r>
      <w:r w:rsidR="00447CF3" w:rsidRPr="00826530">
        <w:rPr>
          <w:rFonts w:ascii="Arial" w:hAnsi="Arial" w:cs="Arial"/>
          <w:color w:val="000000" w:themeColor="text1"/>
        </w:rPr>
        <w:t>also reported greater escape motivation. However, the use of substances may lead to decreased inhibitions and participation in sexual behaviours which are associated with higher levels of STI and HIV transmission.</w:t>
      </w:r>
      <w:r w:rsidRPr="00826530">
        <w:rPr>
          <w:rFonts w:ascii="Arial" w:hAnsi="Arial" w:cs="Arial"/>
          <w:color w:val="000000" w:themeColor="text1"/>
          <w:vertAlign w:val="superscript"/>
        </w:rPr>
        <w:t>31</w:t>
      </w:r>
      <w:r w:rsidR="00447CF3" w:rsidRPr="00826530">
        <w:rPr>
          <w:rFonts w:ascii="Arial" w:hAnsi="Arial" w:cs="Arial"/>
          <w:color w:val="000000" w:themeColor="text1"/>
        </w:rPr>
        <w:t xml:space="preserve"> </w:t>
      </w:r>
      <w:r w:rsidR="0015210C" w:rsidRPr="00826530">
        <w:rPr>
          <w:rFonts w:ascii="Arial" w:hAnsi="Arial" w:cs="Arial"/>
          <w:color w:val="000000" w:themeColor="text1"/>
        </w:rPr>
        <w:t>As such, a syndemic approach</w:t>
      </w:r>
      <w:r w:rsidR="00602C4C" w:rsidRPr="00826530">
        <w:rPr>
          <w:rFonts w:ascii="Arial" w:hAnsi="Arial" w:cs="Arial"/>
          <w:color w:val="000000" w:themeColor="text1"/>
          <w:vertAlign w:val="superscript"/>
        </w:rPr>
        <w:t>10,15</w:t>
      </w:r>
      <w:r w:rsidR="0015210C" w:rsidRPr="00826530">
        <w:rPr>
          <w:rFonts w:ascii="Arial" w:hAnsi="Arial" w:cs="Arial"/>
          <w:color w:val="000000" w:themeColor="text1"/>
        </w:rPr>
        <w:t xml:space="preserve"> is needed </w:t>
      </w:r>
      <w:proofErr w:type="gramStart"/>
      <w:r w:rsidR="0015210C" w:rsidRPr="00826530">
        <w:rPr>
          <w:rFonts w:ascii="Arial" w:hAnsi="Arial" w:cs="Arial"/>
          <w:color w:val="000000" w:themeColor="text1"/>
        </w:rPr>
        <w:t>in order to</w:t>
      </w:r>
      <w:proofErr w:type="gramEnd"/>
      <w:r w:rsidR="0015210C" w:rsidRPr="00826530">
        <w:rPr>
          <w:rFonts w:ascii="Arial" w:hAnsi="Arial" w:cs="Arial"/>
          <w:color w:val="000000" w:themeColor="text1"/>
        </w:rPr>
        <w:t xml:space="preserve"> better understand and support the needs of those who report polysubstance use </w:t>
      </w:r>
      <w:r w:rsidR="00632C36" w:rsidRPr="00826530">
        <w:rPr>
          <w:rFonts w:ascii="Arial" w:hAnsi="Arial" w:cs="Arial"/>
          <w:color w:val="000000" w:themeColor="text1"/>
        </w:rPr>
        <w:t xml:space="preserve">and/or </w:t>
      </w:r>
      <w:proofErr w:type="spellStart"/>
      <w:r w:rsidR="0015210C" w:rsidRPr="00826530">
        <w:rPr>
          <w:rFonts w:ascii="Arial" w:hAnsi="Arial" w:cs="Arial"/>
          <w:color w:val="000000" w:themeColor="text1"/>
        </w:rPr>
        <w:t>chemsex</w:t>
      </w:r>
      <w:proofErr w:type="spellEnd"/>
      <w:r w:rsidR="0015210C" w:rsidRPr="00826530">
        <w:rPr>
          <w:rFonts w:ascii="Arial" w:hAnsi="Arial" w:cs="Arial"/>
          <w:color w:val="000000" w:themeColor="text1"/>
        </w:rPr>
        <w:t xml:space="preserve"> and also engage in transactional sex.</w:t>
      </w:r>
    </w:p>
    <w:p w14:paraId="2F100183" w14:textId="77777777" w:rsidR="005D1EEE" w:rsidRPr="00826530" w:rsidRDefault="00F1687F" w:rsidP="00F22BCF">
      <w:pPr>
        <w:spacing w:line="480" w:lineRule="auto"/>
        <w:ind w:firstLine="720"/>
        <w:rPr>
          <w:rFonts w:ascii="Arial" w:hAnsi="Arial" w:cs="Arial"/>
          <w:color w:val="000000" w:themeColor="text1"/>
        </w:rPr>
      </w:pPr>
      <w:r w:rsidRPr="00826530">
        <w:rPr>
          <w:rFonts w:ascii="Arial" w:hAnsi="Arial" w:cs="Arial"/>
          <w:color w:val="000000" w:themeColor="text1"/>
        </w:rPr>
        <w:t xml:space="preserve">Previous research has indicated that </w:t>
      </w:r>
      <w:r w:rsidR="00400E40" w:rsidRPr="00826530">
        <w:rPr>
          <w:rFonts w:ascii="Arial" w:hAnsi="Arial" w:cs="Arial"/>
          <w:color w:val="000000" w:themeColor="text1"/>
        </w:rPr>
        <w:t xml:space="preserve">men who engage in transactional sex are more likely to </w:t>
      </w:r>
      <w:r w:rsidR="00743398" w:rsidRPr="00826530">
        <w:rPr>
          <w:rFonts w:ascii="Arial" w:hAnsi="Arial" w:cs="Arial"/>
          <w:color w:val="000000" w:themeColor="text1"/>
        </w:rPr>
        <w:t>be living with HIV</w:t>
      </w:r>
      <w:r w:rsidR="00954AA3"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6</w:t>
      </w:r>
      <w:r w:rsidR="00954AA3" w:rsidRPr="00826530">
        <w:rPr>
          <w:rFonts w:ascii="Arial" w:hAnsi="Arial" w:cs="Arial"/>
          <w:color w:val="000000" w:themeColor="text1"/>
          <w:vertAlign w:val="superscript"/>
        </w:rPr>
        <w:t>,</w:t>
      </w:r>
      <w:r w:rsidR="009071CA"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7</w:t>
      </w:r>
      <w:r w:rsidR="00954AA3"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8</w:t>
      </w:r>
      <w:r w:rsidR="00743398" w:rsidRPr="00826530">
        <w:rPr>
          <w:rFonts w:ascii="Arial" w:hAnsi="Arial" w:cs="Arial"/>
          <w:color w:val="000000" w:themeColor="text1"/>
        </w:rPr>
        <w:t xml:space="preserve"> and </w:t>
      </w:r>
      <w:r w:rsidRPr="00826530">
        <w:rPr>
          <w:rFonts w:ascii="Arial" w:hAnsi="Arial" w:cs="Arial"/>
          <w:color w:val="000000" w:themeColor="text1"/>
        </w:rPr>
        <w:t xml:space="preserve">are more likely </w:t>
      </w:r>
      <w:r w:rsidR="00400E40" w:rsidRPr="00826530">
        <w:rPr>
          <w:rFonts w:ascii="Arial" w:hAnsi="Arial" w:cs="Arial"/>
          <w:color w:val="000000" w:themeColor="text1"/>
        </w:rPr>
        <w:t xml:space="preserve">report having </w:t>
      </w:r>
      <w:r w:rsidRPr="00826530">
        <w:rPr>
          <w:rFonts w:ascii="Arial" w:hAnsi="Arial" w:cs="Arial"/>
          <w:color w:val="000000" w:themeColor="text1"/>
        </w:rPr>
        <w:t>more</w:t>
      </w:r>
      <w:r w:rsidR="00400E40" w:rsidRPr="00826530">
        <w:rPr>
          <w:rFonts w:ascii="Arial" w:hAnsi="Arial" w:cs="Arial"/>
          <w:color w:val="000000" w:themeColor="text1"/>
        </w:rPr>
        <w:t xml:space="preserve"> sex partners, including</w:t>
      </w:r>
      <w:r w:rsidRPr="00826530">
        <w:rPr>
          <w:rFonts w:ascii="Arial" w:hAnsi="Arial" w:cs="Arial"/>
          <w:color w:val="000000" w:themeColor="text1"/>
        </w:rPr>
        <w:t xml:space="preserve"> more </w:t>
      </w:r>
      <w:r w:rsidR="00632C36" w:rsidRPr="00826530">
        <w:rPr>
          <w:rFonts w:ascii="Arial" w:hAnsi="Arial" w:cs="Arial"/>
          <w:color w:val="000000" w:themeColor="text1"/>
        </w:rPr>
        <w:t>CAS</w:t>
      </w:r>
      <w:r w:rsidR="00400E40" w:rsidRPr="00826530">
        <w:rPr>
          <w:rFonts w:ascii="Arial" w:hAnsi="Arial" w:cs="Arial"/>
          <w:color w:val="000000" w:themeColor="text1"/>
        </w:rPr>
        <w:t xml:space="preserve"> partners</w:t>
      </w:r>
      <w:r w:rsidR="00FB40C6" w:rsidRPr="00826530">
        <w:rPr>
          <w:rFonts w:ascii="Arial" w:hAnsi="Arial" w:cs="Arial"/>
          <w:color w:val="000000" w:themeColor="text1"/>
        </w:rPr>
        <w:t>.</w:t>
      </w:r>
      <w:r w:rsidR="00954AA3"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4</w:t>
      </w:r>
      <w:r w:rsidR="00954AA3"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6</w:t>
      </w:r>
      <w:r w:rsidR="00954AA3"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7</w:t>
      </w:r>
      <w:r w:rsidR="00954AA3"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9</w:t>
      </w:r>
      <w:r w:rsidR="00954AA3" w:rsidRPr="00826530">
        <w:rPr>
          <w:rFonts w:ascii="Arial" w:hAnsi="Arial" w:cs="Arial"/>
          <w:color w:val="000000" w:themeColor="text1"/>
          <w:vertAlign w:val="superscript"/>
        </w:rPr>
        <w:t>,3</w:t>
      </w:r>
      <w:r w:rsidR="00BC73DD" w:rsidRPr="00826530">
        <w:rPr>
          <w:rFonts w:ascii="Arial" w:hAnsi="Arial" w:cs="Arial"/>
          <w:color w:val="000000" w:themeColor="text1"/>
          <w:vertAlign w:val="superscript"/>
        </w:rPr>
        <w:t>2</w:t>
      </w:r>
      <w:r w:rsidR="00FB40C6" w:rsidRPr="00826530">
        <w:rPr>
          <w:rFonts w:ascii="Arial" w:hAnsi="Arial" w:cs="Arial"/>
          <w:color w:val="000000" w:themeColor="text1"/>
        </w:rPr>
        <w:t xml:space="preserve"> </w:t>
      </w:r>
      <w:r w:rsidRPr="00826530">
        <w:rPr>
          <w:rFonts w:ascii="Arial" w:hAnsi="Arial" w:cs="Arial"/>
          <w:color w:val="000000" w:themeColor="text1"/>
        </w:rPr>
        <w:t>In the present study, we did not find an independent association between HIV status and transactional sex</w:t>
      </w:r>
      <w:r w:rsidR="00DB4CBD" w:rsidRPr="00826530">
        <w:rPr>
          <w:rFonts w:ascii="Arial" w:hAnsi="Arial" w:cs="Arial"/>
          <w:color w:val="000000" w:themeColor="text1"/>
        </w:rPr>
        <w:t>, highlighting the importance of considering other contributing factors which are associated with both transactional sex and likelihood of living with HIV</w:t>
      </w:r>
      <w:r w:rsidR="009900BF" w:rsidRPr="00826530">
        <w:rPr>
          <w:rFonts w:ascii="Arial" w:hAnsi="Arial" w:cs="Arial"/>
          <w:color w:val="000000" w:themeColor="text1"/>
        </w:rPr>
        <w:t>.</w:t>
      </w:r>
      <w:r w:rsidR="00DB4CBD" w:rsidRPr="00826530">
        <w:rPr>
          <w:rFonts w:ascii="Arial" w:hAnsi="Arial" w:cs="Arial"/>
          <w:color w:val="000000" w:themeColor="text1"/>
        </w:rPr>
        <w:t xml:space="preserve"> For instance</w:t>
      </w:r>
      <w:r w:rsidRPr="00826530">
        <w:rPr>
          <w:rFonts w:ascii="Arial" w:hAnsi="Arial" w:cs="Arial"/>
          <w:color w:val="000000" w:themeColor="text1"/>
        </w:rPr>
        <w:t xml:space="preserve">, consistent with past research, participants in this study who reported transactional sex </w:t>
      </w:r>
      <w:r w:rsidR="009900BF" w:rsidRPr="00826530">
        <w:rPr>
          <w:rFonts w:ascii="Arial" w:hAnsi="Arial" w:cs="Arial"/>
          <w:color w:val="000000" w:themeColor="text1"/>
        </w:rPr>
        <w:t>were more likely</w:t>
      </w:r>
      <w:r w:rsidRPr="00826530">
        <w:rPr>
          <w:rFonts w:ascii="Arial" w:hAnsi="Arial" w:cs="Arial"/>
          <w:color w:val="000000" w:themeColor="text1"/>
        </w:rPr>
        <w:t xml:space="preserve"> to report more sex partners, more CAS with serodifferent or unknown HIV status partners, and were more likely to participate in group sex parties. </w:t>
      </w:r>
      <w:r w:rsidR="007275FE" w:rsidRPr="00826530">
        <w:rPr>
          <w:rFonts w:ascii="Arial" w:hAnsi="Arial" w:cs="Arial"/>
          <w:color w:val="000000" w:themeColor="text1"/>
        </w:rPr>
        <w:t xml:space="preserve">Of note, when considering behavioural HIV prevention strategies, we found that those who engaged in transactional sex were equally as likely as those who did not to report always using </w:t>
      </w:r>
      <w:r w:rsidR="007275FE" w:rsidRPr="00826530">
        <w:rPr>
          <w:rFonts w:ascii="Arial" w:hAnsi="Arial" w:cs="Arial"/>
          <w:color w:val="000000" w:themeColor="text1"/>
        </w:rPr>
        <w:lastRenderedPageBreak/>
        <w:t xml:space="preserve">condoms, </w:t>
      </w:r>
      <w:proofErr w:type="spellStart"/>
      <w:r w:rsidR="007275FE" w:rsidRPr="00826530">
        <w:rPr>
          <w:rFonts w:ascii="Arial" w:hAnsi="Arial" w:cs="Arial"/>
          <w:color w:val="000000" w:themeColor="text1"/>
        </w:rPr>
        <w:t>sero</w:t>
      </w:r>
      <w:proofErr w:type="spellEnd"/>
      <w:r w:rsidR="007275FE" w:rsidRPr="00826530">
        <w:rPr>
          <w:rFonts w:ascii="Arial" w:hAnsi="Arial" w:cs="Arial"/>
          <w:color w:val="000000" w:themeColor="text1"/>
        </w:rPr>
        <w:t xml:space="preserve">-positioning, </w:t>
      </w:r>
      <w:proofErr w:type="spellStart"/>
      <w:r w:rsidR="007275FE" w:rsidRPr="00826530">
        <w:rPr>
          <w:rFonts w:ascii="Arial" w:hAnsi="Arial" w:cs="Arial"/>
          <w:color w:val="000000" w:themeColor="text1"/>
        </w:rPr>
        <w:t>sero</w:t>
      </w:r>
      <w:proofErr w:type="spellEnd"/>
      <w:r w:rsidR="007275FE" w:rsidRPr="00826530">
        <w:rPr>
          <w:rFonts w:ascii="Arial" w:hAnsi="Arial" w:cs="Arial"/>
          <w:color w:val="000000" w:themeColor="text1"/>
        </w:rPr>
        <w:t xml:space="preserve">-sorting, viral load sorting, anal sex avoidance, and asking the HIV status of their sex partners. </w:t>
      </w:r>
      <w:r w:rsidR="00DB4CBD" w:rsidRPr="00826530">
        <w:rPr>
          <w:rFonts w:ascii="Arial" w:hAnsi="Arial" w:cs="Arial"/>
          <w:color w:val="000000" w:themeColor="text1"/>
        </w:rPr>
        <w:t>However</w:t>
      </w:r>
      <w:r w:rsidR="007275FE" w:rsidRPr="00826530">
        <w:rPr>
          <w:rFonts w:ascii="Arial" w:hAnsi="Arial" w:cs="Arial"/>
          <w:color w:val="000000" w:themeColor="text1"/>
        </w:rPr>
        <w:t xml:space="preserve">, those who engaged in transactional </w:t>
      </w:r>
      <w:r w:rsidR="009900BF" w:rsidRPr="00826530">
        <w:rPr>
          <w:rFonts w:ascii="Arial" w:hAnsi="Arial" w:cs="Arial"/>
          <w:color w:val="000000" w:themeColor="text1"/>
        </w:rPr>
        <w:t xml:space="preserve">sex </w:t>
      </w:r>
      <w:r w:rsidR="007275FE" w:rsidRPr="00826530">
        <w:rPr>
          <w:rFonts w:ascii="Arial" w:hAnsi="Arial" w:cs="Arial"/>
          <w:color w:val="000000" w:themeColor="text1"/>
        </w:rPr>
        <w:t>were more likely to report using withdrawal as an HIV prevention strategy.</w:t>
      </w:r>
    </w:p>
    <w:p w14:paraId="32339FD8" w14:textId="2BF0AD91" w:rsidR="007275FE" w:rsidRPr="00826530" w:rsidRDefault="007275FE" w:rsidP="00F22BCF">
      <w:pPr>
        <w:spacing w:line="480" w:lineRule="auto"/>
        <w:ind w:firstLine="720"/>
        <w:rPr>
          <w:rFonts w:ascii="Arial" w:hAnsi="Arial" w:cs="Arial"/>
          <w:color w:val="000000" w:themeColor="text1"/>
        </w:rPr>
      </w:pPr>
      <w:r w:rsidRPr="00826530">
        <w:rPr>
          <w:rFonts w:ascii="Arial" w:hAnsi="Arial" w:cs="Arial"/>
          <w:color w:val="000000" w:themeColor="text1"/>
        </w:rPr>
        <w:t>Given advances in biomedical HIV prevention strategies such as Treatment as Prevention, U=U, and PrEP since the beginning of our study, subsequent changes in sexual behaviour</w:t>
      </w:r>
      <w:r w:rsidR="00DB4CBD" w:rsidRPr="00826530">
        <w:rPr>
          <w:rFonts w:ascii="Arial" w:hAnsi="Arial" w:cs="Arial"/>
          <w:color w:val="000000" w:themeColor="text1"/>
        </w:rPr>
        <w:t>, including decreased condom use,</w:t>
      </w:r>
      <w:r w:rsidRPr="00826530">
        <w:rPr>
          <w:rFonts w:ascii="Arial" w:hAnsi="Arial" w:cs="Arial"/>
          <w:color w:val="000000" w:themeColor="text1"/>
        </w:rPr>
        <w:t xml:space="preserve"> are likely.</w:t>
      </w:r>
      <w:r w:rsidR="00954AA3" w:rsidRPr="00826530">
        <w:rPr>
          <w:rFonts w:ascii="Arial" w:hAnsi="Arial" w:cs="Arial"/>
          <w:color w:val="000000" w:themeColor="text1"/>
          <w:vertAlign w:val="superscript"/>
        </w:rPr>
        <w:t>3</w:t>
      </w:r>
      <w:r w:rsidR="00BC73DD" w:rsidRPr="00826530">
        <w:rPr>
          <w:rFonts w:ascii="Arial" w:hAnsi="Arial" w:cs="Arial"/>
          <w:color w:val="000000" w:themeColor="text1"/>
          <w:vertAlign w:val="superscript"/>
        </w:rPr>
        <w:t>3</w:t>
      </w:r>
      <w:r w:rsidR="00954AA3" w:rsidRPr="00826530">
        <w:rPr>
          <w:rFonts w:ascii="Arial" w:hAnsi="Arial" w:cs="Arial"/>
          <w:color w:val="000000" w:themeColor="text1"/>
          <w:vertAlign w:val="superscript"/>
        </w:rPr>
        <w:t>,3</w:t>
      </w:r>
      <w:r w:rsidR="00BC73DD" w:rsidRPr="00826530">
        <w:rPr>
          <w:rFonts w:ascii="Arial" w:hAnsi="Arial" w:cs="Arial"/>
          <w:color w:val="000000" w:themeColor="text1"/>
          <w:vertAlign w:val="superscript"/>
        </w:rPr>
        <w:t>4</w:t>
      </w:r>
      <w:r w:rsidR="0053742F">
        <w:rPr>
          <w:rFonts w:ascii="Arial" w:hAnsi="Arial" w:cs="Arial"/>
          <w:color w:val="000000" w:themeColor="text1"/>
        </w:rPr>
        <w:t xml:space="preserve"> PrEP, specifically, has been freely available since January 2018 for anyone who needs it through the government of British Columbia and</w:t>
      </w:r>
      <w:r w:rsidR="0053742F" w:rsidRPr="00826530">
        <w:rPr>
          <w:rFonts w:ascii="Arial" w:hAnsi="Arial" w:cs="Arial"/>
          <w:color w:val="000000" w:themeColor="text1"/>
        </w:rPr>
        <w:t xml:space="preserve"> HIV-negative GBM who engage in transactional sex are likely to be indicated for PrEP due to increased sexual and substance-related behavioural risk</w:t>
      </w:r>
      <w:r w:rsidR="0053742F">
        <w:rPr>
          <w:rFonts w:ascii="Arial" w:hAnsi="Arial" w:cs="Arial"/>
          <w:color w:val="000000" w:themeColor="text1"/>
        </w:rPr>
        <w:t>.</w:t>
      </w:r>
      <w:r w:rsidR="0053742F" w:rsidRPr="00826530">
        <w:rPr>
          <w:rFonts w:ascii="Arial" w:hAnsi="Arial" w:cs="Arial"/>
          <w:color w:val="000000" w:themeColor="text1"/>
        </w:rPr>
        <w:t xml:space="preserve"> </w:t>
      </w:r>
      <w:r w:rsidR="004F1753" w:rsidRPr="00826530">
        <w:rPr>
          <w:rFonts w:ascii="Arial" w:hAnsi="Arial" w:cs="Arial"/>
          <w:color w:val="000000" w:themeColor="text1"/>
        </w:rPr>
        <w:t>Therefore</w:t>
      </w:r>
      <w:r w:rsidR="00F101AD" w:rsidRPr="00826530">
        <w:rPr>
          <w:rFonts w:ascii="Arial" w:hAnsi="Arial" w:cs="Arial"/>
          <w:color w:val="000000" w:themeColor="text1"/>
        </w:rPr>
        <w:t xml:space="preserve">, greater outreach to increase awareness of </w:t>
      </w:r>
      <w:r w:rsidR="001D3DEA" w:rsidRPr="00826530">
        <w:rPr>
          <w:rFonts w:ascii="Arial" w:hAnsi="Arial" w:cs="Arial"/>
          <w:color w:val="000000" w:themeColor="text1"/>
        </w:rPr>
        <w:t>biomedical HIV prevention methods</w:t>
      </w:r>
      <w:r w:rsidR="00F101AD" w:rsidRPr="00826530">
        <w:rPr>
          <w:rFonts w:ascii="Arial" w:hAnsi="Arial" w:cs="Arial"/>
          <w:color w:val="000000" w:themeColor="text1"/>
        </w:rPr>
        <w:t xml:space="preserve"> among GBM who engage in transactional sex is warranted</w:t>
      </w:r>
      <w:r w:rsidR="001D3DEA" w:rsidRPr="00826530">
        <w:rPr>
          <w:rFonts w:ascii="Arial" w:hAnsi="Arial" w:cs="Arial"/>
          <w:color w:val="000000" w:themeColor="text1"/>
        </w:rPr>
        <w:t xml:space="preserve">. </w:t>
      </w:r>
      <w:r w:rsidR="0053742F">
        <w:rPr>
          <w:rFonts w:ascii="Arial" w:hAnsi="Arial" w:cs="Arial"/>
          <w:color w:val="000000" w:themeColor="text1"/>
        </w:rPr>
        <w:t>Among GBM living with HIV in Vancouver, p</w:t>
      </w:r>
      <w:r w:rsidR="006D49DA" w:rsidRPr="00826530">
        <w:rPr>
          <w:rFonts w:ascii="Arial" w:hAnsi="Arial" w:cs="Arial"/>
          <w:color w:val="000000" w:themeColor="text1"/>
        </w:rPr>
        <w:t>revious analysis of the Momentum cohort has shown that rates of viral suppression surpass 95%</w:t>
      </w:r>
      <w:r w:rsidR="00954AA3" w:rsidRPr="00826530">
        <w:rPr>
          <w:rFonts w:ascii="Arial" w:hAnsi="Arial" w:cs="Arial"/>
          <w:color w:val="000000" w:themeColor="text1"/>
          <w:vertAlign w:val="superscript"/>
        </w:rPr>
        <w:t>3</w:t>
      </w:r>
      <w:r w:rsidR="00BC73DD" w:rsidRPr="00826530">
        <w:rPr>
          <w:rFonts w:ascii="Arial" w:hAnsi="Arial" w:cs="Arial"/>
          <w:color w:val="000000" w:themeColor="text1"/>
          <w:vertAlign w:val="superscript"/>
        </w:rPr>
        <w:t>5</w:t>
      </w:r>
      <w:r w:rsidR="009D6836">
        <w:rPr>
          <w:rFonts w:ascii="Arial" w:hAnsi="Arial" w:cs="Arial"/>
          <w:color w:val="000000" w:themeColor="text1"/>
          <w:vertAlign w:val="superscript"/>
        </w:rPr>
        <w:t>,36</w:t>
      </w:r>
      <w:r w:rsidR="005D1EEE" w:rsidRPr="00826530">
        <w:rPr>
          <w:rFonts w:ascii="Arial" w:hAnsi="Arial" w:cs="Arial"/>
          <w:color w:val="000000" w:themeColor="text1"/>
        </w:rPr>
        <w:t>. W</w:t>
      </w:r>
      <w:r w:rsidR="006D49DA" w:rsidRPr="00826530">
        <w:rPr>
          <w:rFonts w:ascii="Arial" w:hAnsi="Arial" w:cs="Arial"/>
          <w:color w:val="000000" w:themeColor="text1"/>
        </w:rPr>
        <w:t>hile risk of HIV transmission is low, risk of STI transmission remains and STI incidence have been increasing.</w:t>
      </w:r>
      <w:r w:rsidR="003570B7" w:rsidRPr="00826530">
        <w:rPr>
          <w:rFonts w:ascii="Arial" w:hAnsi="Arial" w:cs="Arial"/>
          <w:color w:val="000000" w:themeColor="text1"/>
          <w:vertAlign w:val="superscript"/>
        </w:rPr>
        <w:t>1,3</w:t>
      </w:r>
      <w:r w:rsidR="009D6836">
        <w:rPr>
          <w:rFonts w:ascii="Arial" w:hAnsi="Arial" w:cs="Arial"/>
          <w:color w:val="000000" w:themeColor="text1"/>
          <w:vertAlign w:val="superscript"/>
        </w:rPr>
        <w:t>7</w:t>
      </w:r>
      <w:r w:rsidR="006D49DA" w:rsidRPr="00826530">
        <w:rPr>
          <w:rFonts w:ascii="Arial" w:hAnsi="Arial" w:cs="Arial"/>
          <w:color w:val="000000" w:themeColor="text1"/>
        </w:rPr>
        <w:t xml:space="preserve"> Thus, </w:t>
      </w:r>
      <w:r w:rsidR="0086728F">
        <w:rPr>
          <w:rFonts w:ascii="Arial" w:hAnsi="Arial" w:cs="Arial"/>
          <w:color w:val="000000" w:themeColor="text1"/>
        </w:rPr>
        <w:t>regular and effective STI screening, treatment, and prevention, which is inclusive of, but limited not, to condom</w:t>
      </w:r>
      <w:r w:rsidR="006D49DA" w:rsidRPr="00826530">
        <w:rPr>
          <w:rFonts w:ascii="Arial" w:hAnsi="Arial" w:cs="Arial"/>
          <w:color w:val="000000" w:themeColor="text1"/>
        </w:rPr>
        <w:t xml:space="preserve"> use</w:t>
      </w:r>
      <w:r w:rsidR="0086728F">
        <w:rPr>
          <w:rFonts w:ascii="Arial" w:hAnsi="Arial" w:cs="Arial"/>
          <w:color w:val="000000" w:themeColor="text1"/>
        </w:rPr>
        <w:t xml:space="preserve"> and the use of biomedical prevention strategies,</w:t>
      </w:r>
      <w:r w:rsidR="006D49DA" w:rsidRPr="00826530">
        <w:rPr>
          <w:rFonts w:ascii="Arial" w:hAnsi="Arial" w:cs="Arial"/>
          <w:color w:val="000000" w:themeColor="text1"/>
        </w:rPr>
        <w:t xml:space="preserve"> need</w:t>
      </w:r>
      <w:r w:rsidR="0086728F">
        <w:rPr>
          <w:rFonts w:ascii="Arial" w:hAnsi="Arial" w:cs="Arial"/>
          <w:color w:val="000000" w:themeColor="text1"/>
        </w:rPr>
        <w:t>s</w:t>
      </w:r>
      <w:r w:rsidR="006D49DA" w:rsidRPr="00826530">
        <w:rPr>
          <w:rFonts w:ascii="Arial" w:hAnsi="Arial" w:cs="Arial"/>
          <w:color w:val="000000" w:themeColor="text1"/>
        </w:rPr>
        <w:t xml:space="preserve"> to be continuously encouraged and promoted among GBM, particularly those who engage in transactional sex. </w:t>
      </w:r>
    </w:p>
    <w:p w14:paraId="45BECACA" w14:textId="172C8FA2" w:rsidR="003F0D89" w:rsidRPr="00826530" w:rsidRDefault="00722415" w:rsidP="00F22BCF">
      <w:pPr>
        <w:spacing w:line="480" w:lineRule="auto"/>
        <w:ind w:firstLine="720"/>
        <w:rPr>
          <w:rFonts w:ascii="Arial" w:hAnsi="Arial" w:cs="Arial"/>
          <w:color w:val="000000" w:themeColor="text1"/>
        </w:rPr>
      </w:pPr>
      <w:r w:rsidRPr="00826530">
        <w:rPr>
          <w:rFonts w:ascii="Arial" w:hAnsi="Arial" w:cs="Arial"/>
          <w:color w:val="000000" w:themeColor="text1"/>
        </w:rPr>
        <w:t>Exploring psychosocial factors</w:t>
      </w:r>
      <w:r w:rsidR="002C25CD" w:rsidRPr="00826530">
        <w:rPr>
          <w:rFonts w:ascii="Arial" w:hAnsi="Arial" w:cs="Arial"/>
          <w:color w:val="000000" w:themeColor="text1"/>
        </w:rPr>
        <w:t>,</w:t>
      </w:r>
      <w:r w:rsidRPr="00826530">
        <w:rPr>
          <w:rFonts w:ascii="Arial" w:hAnsi="Arial" w:cs="Arial"/>
          <w:color w:val="000000" w:themeColor="text1"/>
        </w:rPr>
        <w:t xml:space="preserve"> we found </w:t>
      </w:r>
      <w:r w:rsidR="008743A1" w:rsidRPr="00826530">
        <w:rPr>
          <w:rFonts w:ascii="Arial" w:hAnsi="Arial" w:cs="Arial"/>
          <w:color w:val="000000" w:themeColor="text1"/>
        </w:rPr>
        <w:t xml:space="preserve">that </w:t>
      </w:r>
      <w:r w:rsidRPr="00826530">
        <w:rPr>
          <w:rFonts w:ascii="Arial" w:hAnsi="Arial" w:cs="Arial"/>
          <w:color w:val="000000" w:themeColor="text1"/>
        </w:rPr>
        <w:t xml:space="preserve">reporting </w:t>
      </w:r>
      <w:r w:rsidR="002C25CD" w:rsidRPr="00826530">
        <w:rPr>
          <w:rFonts w:ascii="Arial" w:hAnsi="Arial" w:cs="Arial"/>
          <w:color w:val="000000" w:themeColor="text1"/>
        </w:rPr>
        <w:t xml:space="preserve">higher </w:t>
      </w:r>
      <w:r w:rsidRPr="00826530">
        <w:rPr>
          <w:rFonts w:ascii="Arial" w:hAnsi="Arial" w:cs="Arial"/>
          <w:color w:val="000000" w:themeColor="text1"/>
        </w:rPr>
        <w:t>cognitive escape</w:t>
      </w:r>
      <w:r w:rsidR="00DB4CBD" w:rsidRPr="00826530">
        <w:rPr>
          <w:rFonts w:ascii="Arial" w:hAnsi="Arial" w:cs="Arial"/>
          <w:color w:val="000000" w:themeColor="text1"/>
        </w:rPr>
        <w:t>,</w:t>
      </w:r>
      <w:r w:rsidRPr="00826530">
        <w:rPr>
          <w:rFonts w:ascii="Arial" w:hAnsi="Arial" w:cs="Arial"/>
          <w:color w:val="000000" w:themeColor="text1"/>
        </w:rPr>
        <w:t xml:space="preserve"> loneliness</w:t>
      </w:r>
      <w:r w:rsidR="00DB4CBD" w:rsidRPr="00826530">
        <w:rPr>
          <w:rFonts w:ascii="Arial" w:hAnsi="Arial" w:cs="Arial"/>
          <w:color w:val="000000" w:themeColor="text1"/>
        </w:rPr>
        <w:t>, and anxious symptoms</w:t>
      </w:r>
      <w:r w:rsidRPr="00826530">
        <w:rPr>
          <w:rFonts w:ascii="Arial" w:hAnsi="Arial" w:cs="Arial"/>
          <w:color w:val="000000" w:themeColor="text1"/>
        </w:rPr>
        <w:t xml:space="preserve"> were associated with greater odds of engaging in transactional sex</w:t>
      </w:r>
      <w:r w:rsidR="009900BF" w:rsidRPr="00826530">
        <w:rPr>
          <w:rFonts w:ascii="Arial" w:hAnsi="Arial" w:cs="Arial"/>
          <w:color w:val="000000" w:themeColor="text1"/>
        </w:rPr>
        <w:t>,</w:t>
      </w:r>
      <w:r w:rsidR="008743A1" w:rsidRPr="00826530">
        <w:rPr>
          <w:rFonts w:ascii="Arial" w:hAnsi="Arial" w:cs="Arial"/>
          <w:color w:val="000000" w:themeColor="text1"/>
        </w:rPr>
        <w:t xml:space="preserve"> while </w:t>
      </w:r>
      <w:r w:rsidRPr="00826530">
        <w:rPr>
          <w:rFonts w:ascii="Arial" w:hAnsi="Arial" w:cs="Arial"/>
          <w:color w:val="000000" w:themeColor="text1"/>
        </w:rPr>
        <w:t xml:space="preserve">greater depressive symptoms were associated with lower odds. </w:t>
      </w:r>
      <w:r w:rsidR="00D77F82">
        <w:rPr>
          <w:rFonts w:ascii="Arial" w:hAnsi="Arial" w:cs="Arial"/>
          <w:color w:val="000000" w:themeColor="text1"/>
        </w:rPr>
        <w:t xml:space="preserve">This suggests that </w:t>
      </w:r>
      <w:r w:rsidR="00E84CBC">
        <w:rPr>
          <w:rFonts w:ascii="Arial" w:hAnsi="Arial" w:cs="Arial"/>
          <w:color w:val="000000" w:themeColor="text1"/>
        </w:rPr>
        <w:t xml:space="preserve">some of </w:t>
      </w:r>
      <w:r w:rsidR="00E06CA5">
        <w:rPr>
          <w:rFonts w:ascii="Arial" w:hAnsi="Arial" w:cs="Arial"/>
          <w:color w:val="000000" w:themeColor="text1"/>
        </w:rPr>
        <w:t xml:space="preserve">these men </w:t>
      </w:r>
      <w:r w:rsidR="00D77F82">
        <w:rPr>
          <w:rFonts w:ascii="Arial" w:hAnsi="Arial" w:cs="Arial"/>
          <w:color w:val="000000" w:themeColor="text1"/>
        </w:rPr>
        <w:t xml:space="preserve">may be experiencing challenging life situations in </w:t>
      </w:r>
      <w:r w:rsidR="00D77F82">
        <w:rPr>
          <w:rFonts w:ascii="Arial" w:hAnsi="Arial" w:cs="Arial"/>
          <w:color w:val="000000" w:themeColor="text1"/>
        </w:rPr>
        <w:lastRenderedPageBreak/>
        <w:t xml:space="preserve">which they may feel unsafe or unsupported. Consequently, they may benefit from increased support services through government or community agencies, as well as from an increase in peer support specifically. </w:t>
      </w:r>
      <w:r w:rsidRPr="00826530">
        <w:rPr>
          <w:rFonts w:ascii="Arial" w:hAnsi="Arial" w:cs="Arial"/>
          <w:color w:val="000000" w:themeColor="text1"/>
        </w:rPr>
        <w:t>Th</w:t>
      </w:r>
      <w:r w:rsidR="00D47169" w:rsidRPr="00826530">
        <w:rPr>
          <w:rFonts w:ascii="Arial" w:hAnsi="Arial" w:cs="Arial"/>
          <w:color w:val="000000" w:themeColor="text1"/>
        </w:rPr>
        <w:t>ese</w:t>
      </w:r>
      <w:r w:rsidRPr="00826530">
        <w:rPr>
          <w:rFonts w:ascii="Arial" w:hAnsi="Arial" w:cs="Arial"/>
          <w:color w:val="000000" w:themeColor="text1"/>
        </w:rPr>
        <w:t xml:space="preserve"> finding</w:t>
      </w:r>
      <w:r w:rsidR="00D47169" w:rsidRPr="00826530">
        <w:rPr>
          <w:rFonts w:ascii="Arial" w:hAnsi="Arial" w:cs="Arial"/>
          <w:color w:val="000000" w:themeColor="text1"/>
        </w:rPr>
        <w:t>s</w:t>
      </w:r>
      <w:r w:rsidRPr="00826530">
        <w:rPr>
          <w:rFonts w:ascii="Arial" w:hAnsi="Arial" w:cs="Arial"/>
          <w:color w:val="000000" w:themeColor="text1"/>
        </w:rPr>
        <w:t xml:space="preserve"> bring nuance to the </w:t>
      </w:r>
      <w:r w:rsidR="004F1753" w:rsidRPr="00826530">
        <w:rPr>
          <w:rFonts w:ascii="Arial" w:hAnsi="Arial" w:cs="Arial"/>
          <w:color w:val="000000" w:themeColor="text1"/>
        </w:rPr>
        <w:t xml:space="preserve">complexity of mental health experiences and highlight a </w:t>
      </w:r>
      <w:r w:rsidRPr="00826530">
        <w:rPr>
          <w:rFonts w:ascii="Arial" w:hAnsi="Arial" w:cs="Arial"/>
          <w:color w:val="000000" w:themeColor="text1"/>
        </w:rPr>
        <w:t>difference between loneliness (which may be a precursor to depression) and depression.</w:t>
      </w:r>
      <w:r w:rsidR="003570B7" w:rsidRPr="00826530">
        <w:rPr>
          <w:rFonts w:ascii="Arial" w:hAnsi="Arial" w:cs="Arial"/>
          <w:color w:val="000000" w:themeColor="text1"/>
          <w:vertAlign w:val="superscript"/>
        </w:rPr>
        <w:t>3</w:t>
      </w:r>
      <w:r w:rsidR="009D6836">
        <w:rPr>
          <w:rFonts w:ascii="Arial" w:hAnsi="Arial" w:cs="Arial"/>
          <w:color w:val="000000" w:themeColor="text1"/>
          <w:vertAlign w:val="superscript"/>
        </w:rPr>
        <w:t>8</w:t>
      </w:r>
      <w:r w:rsidRPr="00826530">
        <w:rPr>
          <w:rFonts w:ascii="Arial" w:hAnsi="Arial" w:cs="Arial"/>
          <w:color w:val="000000" w:themeColor="text1"/>
        </w:rPr>
        <w:t xml:space="preserve"> </w:t>
      </w:r>
      <w:r w:rsidR="008743A1" w:rsidRPr="00826530">
        <w:rPr>
          <w:rFonts w:ascii="Arial" w:hAnsi="Arial" w:cs="Arial"/>
          <w:color w:val="000000" w:themeColor="text1"/>
        </w:rPr>
        <w:t>In previous research, there have been mixed findings as to the relationships between depression and higher risk sexual behaviours</w:t>
      </w:r>
      <w:r w:rsidR="009900BF" w:rsidRPr="00826530">
        <w:rPr>
          <w:rFonts w:ascii="Arial" w:hAnsi="Arial" w:cs="Arial"/>
          <w:color w:val="000000" w:themeColor="text1"/>
        </w:rPr>
        <w:t>.</w:t>
      </w:r>
      <w:r w:rsidR="003570B7" w:rsidRPr="00826530">
        <w:rPr>
          <w:rFonts w:ascii="Arial" w:hAnsi="Arial" w:cs="Arial"/>
          <w:color w:val="000000" w:themeColor="text1"/>
          <w:vertAlign w:val="superscript"/>
        </w:rPr>
        <w:t>3</w:t>
      </w:r>
      <w:r w:rsidR="009D6836">
        <w:rPr>
          <w:rFonts w:ascii="Arial" w:hAnsi="Arial" w:cs="Arial"/>
          <w:color w:val="000000" w:themeColor="text1"/>
          <w:vertAlign w:val="superscript"/>
        </w:rPr>
        <w:t>9</w:t>
      </w:r>
      <w:r w:rsidR="008743A1" w:rsidRPr="00826530">
        <w:rPr>
          <w:rFonts w:ascii="Arial" w:hAnsi="Arial" w:cs="Arial"/>
          <w:color w:val="000000" w:themeColor="text1"/>
        </w:rPr>
        <w:t xml:space="preserve"> </w:t>
      </w:r>
      <w:r w:rsidR="009900BF" w:rsidRPr="00826530">
        <w:rPr>
          <w:rFonts w:ascii="Arial" w:hAnsi="Arial" w:cs="Arial"/>
          <w:color w:val="000000" w:themeColor="text1"/>
        </w:rPr>
        <w:t>A</w:t>
      </w:r>
      <w:r w:rsidR="008743A1" w:rsidRPr="00826530">
        <w:rPr>
          <w:rFonts w:ascii="Arial" w:hAnsi="Arial" w:cs="Arial"/>
          <w:color w:val="000000" w:themeColor="text1"/>
        </w:rPr>
        <w:t xml:space="preserve"> longitudinal analysis of</w:t>
      </w:r>
      <w:r w:rsidR="009B0128" w:rsidRPr="00826530">
        <w:rPr>
          <w:rFonts w:ascii="Arial" w:hAnsi="Arial" w:cs="Arial"/>
          <w:color w:val="000000" w:themeColor="text1"/>
        </w:rPr>
        <w:t xml:space="preserve"> 4295 HIV-negative GBM found depression to </w:t>
      </w:r>
      <w:r w:rsidR="008743A1" w:rsidRPr="00826530">
        <w:rPr>
          <w:rFonts w:ascii="Arial" w:hAnsi="Arial" w:cs="Arial"/>
          <w:color w:val="000000" w:themeColor="text1"/>
        </w:rPr>
        <w:t>have a U-shaped relationship with higher risk sexual behaviour</w:t>
      </w:r>
      <w:r w:rsidR="009B0128" w:rsidRPr="00826530">
        <w:rPr>
          <w:rFonts w:ascii="Arial" w:hAnsi="Arial" w:cs="Arial"/>
          <w:color w:val="000000" w:themeColor="text1"/>
        </w:rPr>
        <w:t xml:space="preserve"> such that those with moderate levels of depression engaged in higher risk behaviours than those with fewer or greater depressive symptoms.</w:t>
      </w:r>
      <w:r w:rsidR="009D6836">
        <w:rPr>
          <w:rFonts w:ascii="Arial" w:hAnsi="Arial" w:cs="Arial"/>
          <w:color w:val="000000" w:themeColor="text1"/>
          <w:vertAlign w:val="superscript"/>
        </w:rPr>
        <w:t>40</w:t>
      </w:r>
      <w:r w:rsidR="009B0128" w:rsidRPr="00826530">
        <w:rPr>
          <w:rFonts w:ascii="Arial" w:hAnsi="Arial" w:cs="Arial"/>
          <w:color w:val="000000" w:themeColor="text1"/>
        </w:rPr>
        <w:t xml:space="preserve"> Further, while </w:t>
      </w:r>
      <w:proofErr w:type="spellStart"/>
      <w:r w:rsidR="009B0128" w:rsidRPr="00826530">
        <w:rPr>
          <w:rFonts w:ascii="Arial" w:hAnsi="Arial" w:cs="Arial"/>
          <w:color w:val="000000" w:themeColor="text1"/>
        </w:rPr>
        <w:t>Alvy</w:t>
      </w:r>
      <w:proofErr w:type="spellEnd"/>
      <w:r w:rsidR="009B0128" w:rsidRPr="00826530">
        <w:rPr>
          <w:rFonts w:ascii="Arial" w:hAnsi="Arial" w:cs="Arial"/>
          <w:color w:val="000000" w:themeColor="text1"/>
        </w:rPr>
        <w:t xml:space="preserve"> et al. (2011) found a positive relationship between depressive symptoms and HIV transmission risk (defined as </w:t>
      </w:r>
      <w:r w:rsidR="00315271" w:rsidRPr="00826530">
        <w:rPr>
          <w:rFonts w:ascii="Arial" w:hAnsi="Arial" w:cs="Arial"/>
          <w:color w:val="000000" w:themeColor="text1"/>
        </w:rPr>
        <w:t>CAS with a serodifferent or unknown HIV-status partner), they also found that cognitive escape partially mediated this relationship.</w:t>
      </w:r>
      <w:r w:rsidR="003570B7" w:rsidRPr="00826530">
        <w:rPr>
          <w:rFonts w:ascii="Arial" w:hAnsi="Arial" w:cs="Arial"/>
          <w:color w:val="000000" w:themeColor="text1"/>
          <w:vertAlign w:val="superscript"/>
        </w:rPr>
        <w:t>3</w:t>
      </w:r>
      <w:r w:rsidR="009D6836">
        <w:rPr>
          <w:rFonts w:ascii="Arial" w:hAnsi="Arial" w:cs="Arial"/>
          <w:color w:val="000000" w:themeColor="text1"/>
          <w:vertAlign w:val="superscript"/>
        </w:rPr>
        <w:t>9</w:t>
      </w:r>
      <w:r w:rsidR="00315271" w:rsidRPr="00826530">
        <w:rPr>
          <w:rFonts w:ascii="Arial" w:hAnsi="Arial" w:cs="Arial"/>
          <w:color w:val="000000" w:themeColor="text1"/>
        </w:rPr>
        <w:t xml:space="preserve"> As such, our findings further illustrate that the specific relationships between psychosocial variables and transactional sex are complex and </w:t>
      </w:r>
      <w:r w:rsidR="009900BF" w:rsidRPr="00826530">
        <w:rPr>
          <w:rFonts w:ascii="Arial" w:hAnsi="Arial" w:cs="Arial"/>
          <w:color w:val="000000" w:themeColor="text1"/>
        </w:rPr>
        <w:t>give further</w:t>
      </w:r>
      <w:r w:rsidR="004F1753" w:rsidRPr="00826530">
        <w:rPr>
          <w:rFonts w:ascii="Arial" w:hAnsi="Arial" w:cs="Arial"/>
          <w:color w:val="000000" w:themeColor="text1"/>
        </w:rPr>
        <w:t xml:space="preserve"> </w:t>
      </w:r>
      <w:r w:rsidR="00315271" w:rsidRPr="00826530">
        <w:rPr>
          <w:rFonts w:ascii="Arial" w:hAnsi="Arial" w:cs="Arial"/>
          <w:color w:val="000000" w:themeColor="text1"/>
        </w:rPr>
        <w:t xml:space="preserve">support the importance of considering transactional sex within a syndemic framework. </w:t>
      </w:r>
    </w:p>
    <w:p w14:paraId="729EEEA8" w14:textId="10FB5247" w:rsidR="00851673" w:rsidRPr="00826530" w:rsidRDefault="00851673" w:rsidP="00F22BCF">
      <w:pPr>
        <w:spacing w:line="480" w:lineRule="auto"/>
        <w:rPr>
          <w:rFonts w:ascii="Arial" w:hAnsi="Arial" w:cs="Arial"/>
          <w:color w:val="000000" w:themeColor="text1"/>
        </w:rPr>
      </w:pPr>
      <w:r w:rsidRPr="00826530">
        <w:rPr>
          <w:rFonts w:ascii="Arial" w:hAnsi="Arial" w:cs="Arial"/>
          <w:color w:val="ED7D31" w:themeColor="accent2"/>
        </w:rPr>
        <w:tab/>
        <w:t xml:space="preserve"> </w:t>
      </w:r>
      <w:r w:rsidRPr="00826530">
        <w:rPr>
          <w:rFonts w:ascii="Arial" w:hAnsi="Arial" w:cs="Arial"/>
          <w:color w:val="000000" w:themeColor="text1"/>
        </w:rPr>
        <w:t xml:space="preserve">This study </w:t>
      </w:r>
      <w:r w:rsidR="00770708" w:rsidRPr="00826530">
        <w:rPr>
          <w:rFonts w:ascii="Arial" w:hAnsi="Arial" w:cs="Arial"/>
          <w:color w:val="000000" w:themeColor="text1"/>
        </w:rPr>
        <w:t>ha</w:t>
      </w:r>
      <w:r w:rsidRPr="00826530">
        <w:rPr>
          <w:rFonts w:ascii="Arial" w:hAnsi="Arial" w:cs="Arial"/>
          <w:color w:val="000000" w:themeColor="text1"/>
        </w:rPr>
        <w:t>s several</w:t>
      </w:r>
      <w:r w:rsidR="00D92DA4" w:rsidRPr="00826530">
        <w:rPr>
          <w:rFonts w:ascii="Arial" w:hAnsi="Arial" w:cs="Arial"/>
          <w:color w:val="000000" w:themeColor="text1"/>
        </w:rPr>
        <w:t xml:space="preserve"> </w:t>
      </w:r>
      <w:r w:rsidRPr="00826530">
        <w:rPr>
          <w:rFonts w:ascii="Arial" w:hAnsi="Arial" w:cs="Arial"/>
          <w:color w:val="000000" w:themeColor="text1"/>
        </w:rPr>
        <w:t xml:space="preserve">limitations. </w:t>
      </w:r>
      <w:r w:rsidR="001D3DEA" w:rsidRPr="00826530">
        <w:rPr>
          <w:rFonts w:ascii="Arial" w:hAnsi="Arial" w:cs="Arial"/>
          <w:color w:val="000000" w:themeColor="text1"/>
        </w:rPr>
        <w:t xml:space="preserve">As with all self-report studies, </w:t>
      </w:r>
      <w:r w:rsidR="00F37A82" w:rsidRPr="00826530">
        <w:rPr>
          <w:rFonts w:ascii="Arial" w:hAnsi="Arial" w:cs="Arial"/>
          <w:color w:val="000000" w:themeColor="text1"/>
        </w:rPr>
        <w:t xml:space="preserve">this study </w:t>
      </w:r>
      <w:r w:rsidRPr="00826530">
        <w:rPr>
          <w:rFonts w:ascii="Arial" w:hAnsi="Arial" w:cs="Arial"/>
          <w:color w:val="000000" w:themeColor="text1"/>
        </w:rPr>
        <w:t>is subject to interpretation bias</w:t>
      </w:r>
      <w:r w:rsidR="00BF4AD0" w:rsidRPr="00826530">
        <w:rPr>
          <w:rFonts w:ascii="Arial" w:hAnsi="Arial" w:cs="Arial"/>
          <w:color w:val="000000" w:themeColor="text1"/>
        </w:rPr>
        <w:t>.</w:t>
      </w:r>
      <w:r w:rsidR="00D92DA4" w:rsidRPr="00826530">
        <w:rPr>
          <w:rFonts w:ascii="Arial" w:hAnsi="Arial" w:cs="Arial"/>
          <w:color w:val="000000" w:themeColor="text1"/>
        </w:rPr>
        <w:t xml:space="preserve"> </w:t>
      </w:r>
      <w:r w:rsidR="00BF4AD0" w:rsidRPr="00826530">
        <w:rPr>
          <w:rFonts w:ascii="Arial" w:hAnsi="Arial" w:cs="Arial"/>
          <w:color w:val="000000" w:themeColor="text1"/>
        </w:rPr>
        <w:t>F</w:t>
      </w:r>
      <w:r w:rsidR="00D92DA4" w:rsidRPr="00826530">
        <w:rPr>
          <w:rFonts w:ascii="Arial" w:hAnsi="Arial" w:cs="Arial"/>
          <w:color w:val="000000" w:themeColor="text1"/>
        </w:rPr>
        <w:t>or example</w:t>
      </w:r>
      <w:r w:rsidR="00BF4AD0" w:rsidRPr="00826530">
        <w:rPr>
          <w:rFonts w:ascii="Arial" w:hAnsi="Arial" w:cs="Arial"/>
          <w:color w:val="000000" w:themeColor="text1"/>
        </w:rPr>
        <w:t>,</w:t>
      </w:r>
      <w:r w:rsidR="00F37A82" w:rsidRPr="00826530">
        <w:rPr>
          <w:rFonts w:ascii="Arial" w:hAnsi="Arial" w:cs="Arial"/>
          <w:color w:val="000000" w:themeColor="text1"/>
        </w:rPr>
        <w:t xml:space="preserve"> we did not define what was meant by “</w:t>
      </w:r>
      <w:r w:rsidRPr="00826530">
        <w:rPr>
          <w:rFonts w:ascii="Arial" w:hAnsi="Arial" w:cs="Arial"/>
          <w:color w:val="000000" w:themeColor="text1"/>
        </w:rPr>
        <w:t>goods”</w:t>
      </w:r>
      <w:r w:rsidR="00D92DA4" w:rsidRPr="00826530">
        <w:rPr>
          <w:rFonts w:ascii="Arial" w:hAnsi="Arial" w:cs="Arial"/>
          <w:color w:val="000000" w:themeColor="text1"/>
        </w:rPr>
        <w:t xml:space="preserve"> </w:t>
      </w:r>
      <w:r w:rsidR="00BF4AD0" w:rsidRPr="00826530">
        <w:rPr>
          <w:rFonts w:ascii="Arial" w:hAnsi="Arial" w:cs="Arial"/>
          <w:color w:val="000000" w:themeColor="text1"/>
        </w:rPr>
        <w:t xml:space="preserve">and </w:t>
      </w:r>
      <w:r w:rsidR="00D92DA4" w:rsidRPr="00826530">
        <w:rPr>
          <w:rFonts w:ascii="Arial" w:hAnsi="Arial" w:cs="Arial"/>
          <w:color w:val="000000" w:themeColor="text1"/>
        </w:rPr>
        <w:t>this</w:t>
      </w:r>
      <w:r w:rsidR="00F37A82" w:rsidRPr="00826530">
        <w:rPr>
          <w:rFonts w:ascii="Arial" w:hAnsi="Arial" w:cs="Arial"/>
          <w:color w:val="000000" w:themeColor="text1"/>
        </w:rPr>
        <w:t xml:space="preserve"> may have been interpreted differently by different participants.</w:t>
      </w:r>
      <w:r w:rsidR="00D92DA4" w:rsidRPr="00826530">
        <w:rPr>
          <w:rFonts w:ascii="Arial" w:hAnsi="Arial" w:cs="Arial"/>
          <w:color w:val="000000" w:themeColor="text1"/>
        </w:rPr>
        <w:t xml:space="preserve"> </w:t>
      </w:r>
      <w:r w:rsidR="00F26C8A" w:rsidRPr="00826530">
        <w:rPr>
          <w:rFonts w:ascii="Arial" w:hAnsi="Arial" w:cs="Arial"/>
          <w:color w:val="000000" w:themeColor="text1"/>
        </w:rPr>
        <w:t>However,</w:t>
      </w:r>
      <w:r w:rsidR="00D92DA4" w:rsidRPr="00826530">
        <w:rPr>
          <w:rFonts w:ascii="Arial" w:hAnsi="Arial" w:cs="Arial"/>
          <w:color w:val="000000" w:themeColor="text1"/>
        </w:rPr>
        <w:t xml:space="preserve"> </w:t>
      </w:r>
      <w:r w:rsidR="001D3DEA" w:rsidRPr="00826530">
        <w:rPr>
          <w:rFonts w:ascii="Arial" w:hAnsi="Arial" w:cs="Arial"/>
          <w:color w:val="000000" w:themeColor="text1"/>
        </w:rPr>
        <w:t xml:space="preserve">given our use of multiple measures to assess engagement in transactional sex we believe that we have mitigated this bias and ultimately, </w:t>
      </w:r>
      <w:r w:rsidR="00D92DA4" w:rsidRPr="00826530">
        <w:rPr>
          <w:rFonts w:ascii="Arial" w:hAnsi="Arial" w:cs="Arial"/>
          <w:color w:val="000000" w:themeColor="text1"/>
        </w:rPr>
        <w:t xml:space="preserve">exchanging any form of “good” for sex </w:t>
      </w:r>
      <w:r w:rsidR="00A9183A" w:rsidRPr="00826530">
        <w:rPr>
          <w:rFonts w:ascii="Arial" w:hAnsi="Arial" w:cs="Arial"/>
          <w:color w:val="000000" w:themeColor="text1"/>
        </w:rPr>
        <w:t>c</w:t>
      </w:r>
      <w:r w:rsidR="00D92DA4" w:rsidRPr="00826530">
        <w:rPr>
          <w:rFonts w:ascii="Arial" w:hAnsi="Arial" w:cs="Arial"/>
          <w:color w:val="000000" w:themeColor="text1"/>
        </w:rPr>
        <w:t>ould still be classified as transactional sex.</w:t>
      </w:r>
      <w:r w:rsidR="00F37A82" w:rsidRPr="00826530">
        <w:rPr>
          <w:rFonts w:ascii="Arial" w:hAnsi="Arial" w:cs="Arial"/>
          <w:color w:val="000000" w:themeColor="text1"/>
        </w:rPr>
        <w:t xml:space="preserve"> </w:t>
      </w:r>
      <w:r w:rsidR="00F26C8A" w:rsidRPr="00826530">
        <w:rPr>
          <w:rFonts w:ascii="Arial" w:hAnsi="Arial" w:cs="Arial"/>
          <w:color w:val="000000" w:themeColor="text1"/>
        </w:rPr>
        <w:t>Further</w:t>
      </w:r>
      <w:r w:rsidR="00CE3369" w:rsidRPr="00826530">
        <w:rPr>
          <w:rFonts w:ascii="Arial" w:hAnsi="Arial" w:cs="Arial"/>
          <w:color w:val="000000" w:themeColor="text1"/>
        </w:rPr>
        <w:t xml:space="preserve">, </w:t>
      </w:r>
      <w:r w:rsidR="00F26C8A" w:rsidRPr="00826530">
        <w:rPr>
          <w:rFonts w:ascii="Arial" w:hAnsi="Arial" w:cs="Arial"/>
          <w:color w:val="000000" w:themeColor="text1"/>
        </w:rPr>
        <w:t>the</w:t>
      </w:r>
      <w:r w:rsidR="00CE3369" w:rsidRPr="00826530">
        <w:rPr>
          <w:rFonts w:ascii="Arial" w:hAnsi="Arial" w:cs="Arial"/>
          <w:color w:val="000000" w:themeColor="text1"/>
        </w:rPr>
        <w:t xml:space="preserve"> open nature of </w:t>
      </w:r>
      <w:r w:rsidR="00F26C8A" w:rsidRPr="00826530">
        <w:rPr>
          <w:rFonts w:ascii="Arial" w:hAnsi="Arial" w:cs="Arial"/>
          <w:color w:val="000000" w:themeColor="text1"/>
        </w:rPr>
        <w:t xml:space="preserve">our categorization of </w:t>
      </w:r>
      <w:r w:rsidR="00CE3369" w:rsidRPr="00826530">
        <w:rPr>
          <w:rFonts w:ascii="Arial" w:hAnsi="Arial" w:cs="Arial"/>
          <w:color w:val="000000" w:themeColor="text1"/>
        </w:rPr>
        <w:t xml:space="preserve">transactional sex may have allowed us to capture </w:t>
      </w:r>
      <w:r w:rsidR="00F26C8A" w:rsidRPr="00826530">
        <w:rPr>
          <w:rFonts w:ascii="Arial" w:hAnsi="Arial" w:cs="Arial"/>
          <w:color w:val="000000" w:themeColor="text1"/>
        </w:rPr>
        <w:t xml:space="preserve">a wider range of </w:t>
      </w:r>
      <w:r w:rsidR="00CE3369" w:rsidRPr="00826530">
        <w:rPr>
          <w:rFonts w:ascii="Arial" w:hAnsi="Arial" w:cs="Arial"/>
          <w:color w:val="000000" w:themeColor="text1"/>
        </w:rPr>
        <w:lastRenderedPageBreak/>
        <w:t xml:space="preserve">transactional sex </w:t>
      </w:r>
      <w:r w:rsidR="00F26C8A" w:rsidRPr="00826530">
        <w:rPr>
          <w:rFonts w:ascii="Arial" w:hAnsi="Arial" w:cs="Arial"/>
          <w:color w:val="000000" w:themeColor="text1"/>
        </w:rPr>
        <w:t>behaviours</w:t>
      </w:r>
      <w:r w:rsidR="00A9183A" w:rsidRPr="00826530">
        <w:rPr>
          <w:rFonts w:ascii="Arial" w:hAnsi="Arial" w:cs="Arial"/>
          <w:color w:val="000000" w:themeColor="text1"/>
        </w:rPr>
        <w:t xml:space="preserve"> than is typically considered</w:t>
      </w:r>
      <w:r w:rsidR="00CE3369" w:rsidRPr="00826530">
        <w:rPr>
          <w:rFonts w:ascii="Arial" w:hAnsi="Arial" w:cs="Arial"/>
          <w:color w:val="000000" w:themeColor="text1"/>
        </w:rPr>
        <w:t>.</w:t>
      </w:r>
      <w:r w:rsidRPr="00826530">
        <w:rPr>
          <w:rFonts w:ascii="Arial" w:hAnsi="Arial" w:cs="Arial"/>
          <w:color w:val="000000" w:themeColor="text1"/>
        </w:rPr>
        <w:t xml:space="preserve"> </w:t>
      </w:r>
      <w:r w:rsidR="00CE3062">
        <w:rPr>
          <w:rFonts w:ascii="Arial" w:hAnsi="Arial" w:cs="Arial"/>
          <w:color w:val="000000" w:themeColor="text1"/>
        </w:rPr>
        <w:t xml:space="preserve">Secondly, our study began prior to the approval and widespread use of PrEP in Canada. Consequently, some of the participants had already completed the study before PrEP was made freely available and we were therefore unable to include PrEP use in the analysis. </w:t>
      </w:r>
      <w:r w:rsidR="001D3DEA" w:rsidRPr="00826530">
        <w:rPr>
          <w:rFonts w:ascii="Arial" w:hAnsi="Arial" w:cs="Arial"/>
          <w:color w:val="000000" w:themeColor="text1"/>
        </w:rPr>
        <w:t xml:space="preserve">An additional limitation of this study is </w:t>
      </w:r>
      <w:r w:rsidR="00D92DA4" w:rsidRPr="00826530">
        <w:rPr>
          <w:rFonts w:ascii="Arial" w:hAnsi="Arial" w:cs="Arial"/>
          <w:color w:val="000000" w:themeColor="text1"/>
        </w:rPr>
        <w:t xml:space="preserve">due to the small proportion of participants who reported </w:t>
      </w:r>
      <w:r w:rsidR="00787466">
        <w:rPr>
          <w:rFonts w:ascii="Arial" w:hAnsi="Arial" w:cs="Arial"/>
          <w:color w:val="000000" w:themeColor="text1"/>
        </w:rPr>
        <w:t xml:space="preserve">transactional sex in general, and </w:t>
      </w:r>
      <w:r w:rsidR="00BF4AD0" w:rsidRPr="00826530">
        <w:rPr>
          <w:rFonts w:ascii="Arial" w:hAnsi="Arial" w:cs="Arial"/>
          <w:color w:val="000000" w:themeColor="text1"/>
        </w:rPr>
        <w:t>giving drugs, good, or money in exchange for sex</w:t>
      </w:r>
      <w:r w:rsidR="00787466">
        <w:rPr>
          <w:rFonts w:ascii="Arial" w:hAnsi="Arial" w:cs="Arial"/>
          <w:color w:val="000000" w:themeColor="text1"/>
        </w:rPr>
        <w:t>, specifically.</w:t>
      </w:r>
      <w:r w:rsidR="001D3DEA" w:rsidRPr="00826530">
        <w:rPr>
          <w:rFonts w:ascii="Arial" w:hAnsi="Arial" w:cs="Arial"/>
          <w:color w:val="000000" w:themeColor="text1"/>
        </w:rPr>
        <w:t xml:space="preserve"> </w:t>
      </w:r>
      <w:r w:rsidR="00787466">
        <w:rPr>
          <w:rFonts w:ascii="Arial" w:hAnsi="Arial" w:cs="Arial"/>
          <w:color w:val="000000" w:themeColor="text1"/>
        </w:rPr>
        <w:t>C</w:t>
      </w:r>
      <w:r w:rsidR="001D3DEA" w:rsidRPr="00826530">
        <w:rPr>
          <w:rFonts w:ascii="Arial" w:hAnsi="Arial" w:cs="Arial"/>
          <w:color w:val="000000" w:themeColor="text1"/>
        </w:rPr>
        <w:t>onsequently,</w:t>
      </w:r>
      <w:r w:rsidR="00BF4AD0" w:rsidRPr="00826530">
        <w:rPr>
          <w:rFonts w:ascii="Arial" w:hAnsi="Arial" w:cs="Arial"/>
          <w:color w:val="000000" w:themeColor="text1"/>
        </w:rPr>
        <w:t xml:space="preserve"> </w:t>
      </w:r>
      <w:r w:rsidRPr="00826530">
        <w:rPr>
          <w:rFonts w:ascii="Arial" w:hAnsi="Arial" w:cs="Arial"/>
          <w:color w:val="000000" w:themeColor="text1"/>
        </w:rPr>
        <w:t xml:space="preserve">we were unable to explore </w:t>
      </w:r>
      <w:r w:rsidR="00787466">
        <w:rPr>
          <w:rFonts w:ascii="Arial" w:hAnsi="Arial" w:cs="Arial"/>
          <w:color w:val="000000" w:themeColor="text1"/>
        </w:rPr>
        <w:t xml:space="preserve">further nuances of transactional sex, such as differences in those who report receiving drugs or goods for sex as compared to those who receive money for sex, or </w:t>
      </w:r>
      <w:r w:rsidR="00BF4AD0" w:rsidRPr="00826530">
        <w:rPr>
          <w:rFonts w:ascii="Arial" w:hAnsi="Arial" w:cs="Arial"/>
          <w:color w:val="000000" w:themeColor="text1"/>
        </w:rPr>
        <w:t xml:space="preserve">potential </w:t>
      </w:r>
      <w:r w:rsidRPr="00826530">
        <w:rPr>
          <w:rFonts w:ascii="Arial" w:hAnsi="Arial" w:cs="Arial"/>
          <w:color w:val="000000" w:themeColor="text1"/>
        </w:rPr>
        <w:t>differences between those who buy sex compared with those who sell sex</w:t>
      </w:r>
      <w:r w:rsidR="00D92DA4" w:rsidRPr="00826530">
        <w:rPr>
          <w:rFonts w:ascii="Arial" w:hAnsi="Arial" w:cs="Arial"/>
          <w:color w:val="000000" w:themeColor="text1"/>
        </w:rPr>
        <w:t>.</w:t>
      </w:r>
      <w:r w:rsidR="003570B7"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4</w:t>
      </w:r>
      <w:r w:rsidR="003570B7" w:rsidRPr="00826530">
        <w:rPr>
          <w:rFonts w:ascii="Arial" w:hAnsi="Arial" w:cs="Arial"/>
          <w:color w:val="000000" w:themeColor="text1"/>
          <w:vertAlign w:val="superscript"/>
        </w:rPr>
        <w:t>,2</w:t>
      </w:r>
      <w:r w:rsidR="000B2312" w:rsidRPr="00826530">
        <w:rPr>
          <w:rFonts w:ascii="Arial" w:hAnsi="Arial" w:cs="Arial"/>
          <w:color w:val="000000" w:themeColor="text1"/>
          <w:vertAlign w:val="superscript"/>
        </w:rPr>
        <w:t>7</w:t>
      </w:r>
      <w:r w:rsidR="00D92DA4" w:rsidRPr="00826530">
        <w:rPr>
          <w:rFonts w:ascii="Arial" w:hAnsi="Arial" w:cs="Arial"/>
          <w:color w:val="000000" w:themeColor="text1"/>
        </w:rPr>
        <w:t xml:space="preserve"> However,</w:t>
      </w:r>
      <w:r w:rsidRPr="00826530">
        <w:rPr>
          <w:rFonts w:ascii="Arial" w:hAnsi="Arial" w:cs="Arial"/>
          <w:color w:val="000000" w:themeColor="text1"/>
        </w:rPr>
        <w:t xml:space="preserve"> </w:t>
      </w:r>
      <w:r w:rsidR="001D3DEA" w:rsidRPr="00826530">
        <w:rPr>
          <w:rFonts w:ascii="Arial" w:hAnsi="Arial" w:cs="Arial"/>
          <w:color w:val="000000" w:themeColor="text1"/>
        </w:rPr>
        <w:t xml:space="preserve">as </w:t>
      </w:r>
      <w:r w:rsidR="00D92DA4" w:rsidRPr="00826530">
        <w:rPr>
          <w:rFonts w:ascii="Arial" w:hAnsi="Arial" w:cs="Arial"/>
          <w:color w:val="000000" w:themeColor="text1"/>
        </w:rPr>
        <w:t>th</w:t>
      </w:r>
      <w:r w:rsidR="00787466">
        <w:rPr>
          <w:rFonts w:ascii="Arial" w:hAnsi="Arial" w:cs="Arial"/>
          <w:color w:val="000000" w:themeColor="text1"/>
        </w:rPr>
        <w:t>e</w:t>
      </w:r>
      <w:r w:rsidR="00D92DA4" w:rsidRPr="00826530">
        <w:rPr>
          <w:rFonts w:ascii="Arial" w:hAnsi="Arial" w:cs="Arial"/>
          <w:color w:val="000000" w:themeColor="text1"/>
        </w:rPr>
        <w:t>s</w:t>
      </w:r>
      <w:r w:rsidR="00787466">
        <w:rPr>
          <w:rFonts w:ascii="Arial" w:hAnsi="Arial" w:cs="Arial"/>
          <w:color w:val="000000" w:themeColor="text1"/>
        </w:rPr>
        <w:t>e</w:t>
      </w:r>
      <w:r w:rsidRPr="00826530">
        <w:rPr>
          <w:rFonts w:ascii="Arial" w:hAnsi="Arial" w:cs="Arial"/>
          <w:color w:val="000000" w:themeColor="text1"/>
        </w:rPr>
        <w:t xml:space="preserve"> analy</w:t>
      </w:r>
      <w:r w:rsidR="00D92DA4" w:rsidRPr="00826530">
        <w:rPr>
          <w:rFonts w:ascii="Arial" w:hAnsi="Arial" w:cs="Arial"/>
          <w:color w:val="000000" w:themeColor="text1"/>
        </w:rPr>
        <w:t>s</w:t>
      </w:r>
      <w:r w:rsidR="00787466">
        <w:rPr>
          <w:rFonts w:ascii="Arial" w:hAnsi="Arial" w:cs="Arial"/>
          <w:color w:val="000000" w:themeColor="text1"/>
        </w:rPr>
        <w:t>e</w:t>
      </w:r>
      <w:r w:rsidR="00D92DA4" w:rsidRPr="00826530">
        <w:rPr>
          <w:rFonts w:ascii="Arial" w:hAnsi="Arial" w:cs="Arial"/>
          <w:color w:val="000000" w:themeColor="text1"/>
        </w:rPr>
        <w:t xml:space="preserve">s </w:t>
      </w:r>
      <w:r w:rsidR="00787466">
        <w:rPr>
          <w:rFonts w:ascii="Arial" w:hAnsi="Arial" w:cs="Arial"/>
          <w:color w:val="000000" w:themeColor="text1"/>
        </w:rPr>
        <w:t xml:space="preserve">are </w:t>
      </w:r>
      <w:r w:rsidR="00D92DA4" w:rsidRPr="00826530">
        <w:rPr>
          <w:rFonts w:ascii="Arial" w:hAnsi="Arial" w:cs="Arial"/>
          <w:color w:val="000000" w:themeColor="text1"/>
        </w:rPr>
        <w:t>beyond the</w:t>
      </w:r>
      <w:r w:rsidRPr="00826530">
        <w:rPr>
          <w:rFonts w:ascii="Arial" w:hAnsi="Arial" w:cs="Arial"/>
          <w:color w:val="000000" w:themeColor="text1"/>
        </w:rPr>
        <w:t xml:space="preserve"> </w:t>
      </w:r>
      <w:r w:rsidR="007A7738" w:rsidRPr="00826530">
        <w:rPr>
          <w:rFonts w:ascii="Arial" w:hAnsi="Arial" w:cs="Arial"/>
          <w:color w:val="000000" w:themeColor="text1"/>
        </w:rPr>
        <w:t xml:space="preserve">focus </w:t>
      </w:r>
      <w:r w:rsidRPr="00826530">
        <w:rPr>
          <w:rFonts w:ascii="Arial" w:hAnsi="Arial" w:cs="Arial"/>
          <w:color w:val="000000" w:themeColor="text1"/>
        </w:rPr>
        <w:t>of the current study</w:t>
      </w:r>
      <w:r w:rsidR="001D3DEA" w:rsidRPr="00826530">
        <w:rPr>
          <w:rFonts w:ascii="Arial" w:hAnsi="Arial" w:cs="Arial"/>
          <w:color w:val="000000" w:themeColor="text1"/>
        </w:rPr>
        <w:t>,</w:t>
      </w:r>
      <w:r w:rsidR="009900BF" w:rsidRPr="00826530">
        <w:rPr>
          <w:rFonts w:ascii="Arial" w:hAnsi="Arial" w:cs="Arial"/>
          <w:color w:val="000000" w:themeColor="text1"/>
        </w:rPr>
        <w:t xml:space="preserve"> </w:t>
      </w:r>
      <w:r w:rsidR="001D3DEA" w:rsidRPr="00826530">
        <w:rPr>
          <w:rFonts w:ascii="Arial" w:hAnsi="Arial" w:cs="Arial"/>
          <w:color w:val="000000" w:themeColor="text1"/>
        </w:rPr>
        <w:t>w</w:t>
      </w:r>
      <w:r w:rsidR="00CE3369" w:rsidRPr="00826530">
        <w:rPr>
          <w:rFonts w:ascii="Arial" w:hAnsi="Arial" w:cs="Arial"/>
          <w:color w:val="000000" w:themeColor="text1"/>
        </w:rPr>
        <w:t>e</w:t>
      </w:r>
      <w:r w:rsidR="00CF79EA" w:rsidRPr="00826530">
        <w:rPr>
          <w:rFonts w:ascii="Arial" w:hAnsi="Arial" w:cs="Arial"/>
          <w:color w:val="000000" w:themeColor="text1"/>
        </w:rPr>
        <w:t xml:space="preserve"> </w:t>
      </w:r>
      <w:r w:rsidR="00CE3369" w:rsidRPr="00826530">
        <w:rPr>
          <w:rFonts w:ascii="Arial" w:hAnsi="Arial" w:cs="Arial"/>
          <w:color w:val="000000" w:themeColor="text1"/>
        </w:rPr>
        <w:t>recommend further research that</w:t>
      </w:r>
      <w:r w:rsidR="00787466">
        <w:rPr>
          <w:rFonts w:ascii="Arial" w:hAnsi="Arial" w:cs="Arial"/>
          <w:color w:val="000000" w:themeColor="text1"/>
        </w:rPr>
        <w:t xml:space="preserve"> can tease apart these nuances and that</w:t>
      </w:r>
      <w:r w:rsidR="00CE3369" w:rsidRPr="00826530">
        <w:rPr>
          <w:rFonts w:ascii="Arial" w:hAnsi="Arial" w:cs="Arial"/>
          <w:color w:val="000000" w:themeColor="text1"/>
        </w:rPr>
        <w:t xml:space="preserve"> separates </w:t>
      </w:r>
      <w:r w:rsidR="00CF79EA" w:rsidRPr="00826530">
        <w:rPr>
          <w:rFonts w:ascii="Arial" w:hAnsi="Arial" w:cs="Arial"/>
          <w:color w:val="000000" w:themeColor="text1"/>
        </w:rPr>
        <w:t xml:space="preserve">those who only buy, those who only sell, and those who do both </w:t>
      </w:r>
      <w:r w:rsidR="00CE3369" w:rsidRPr="00826530">
        <w:rPr>
          <w:rFonts w:ascii="Arial" w:hAnsi="Arial" w:cs="Arial"/>
          <w:color w:val="000000" w:themeColor="text1"/>
        </w:rPr>
        <w:t xml:space="preserve">to </w:t>
      </w:r>
      <w:r w:rsidR="005B12E9" w:rsidRPr="00826530">
        <w:rPr>
          <w:rFonts w:ascii="Arial" w:hAnsi="Arial" w:cs="Arial"/>
          <w:color w:val="000000" w:themeColor="text1"/>
        </w:rPr>
        <w:t>as</w:t>
      </w:r>
      <w:r w:rsidR="00CE3369" w:rsidRPr="00826530">
        <w:rPr>
          <w:rFonts w:ascii="Arial" w:hAnsi="Arial" w:cs="Arial"/>
          <w:color w:val="000000" w:themeColor="text1"/>
        </w:rPr>
        <w:t xml:space="preserve"> meaningful similarities and differences</w:t>
      </w:r>
      <w:r w:rsidR="005B12E9" w:rsidRPr="00826530">
        <w:rPr>
          <w:rFonts w:ascii="Arial" w:hAnsi="Arial" w:cs="Arial"/>
          <w:color w:val="000000" w:themeColor="text1"/>
        </w:rPr>
        <w:t xml:space="preserve"> have been noted</w:t>
      </w:r>
      <w:r w:rsidR="003570B7" w:rsidRPr="00826530">
        <w:rPr>
          <w:rFonts w:ascii="Arial" w:hAnsi="Arial" w:cs="Arial"/>
          <w:color w:val="000000" w:themeColor="text1"/>
        </w:rPr>
        <w:t>.</w:t>
      </w:r>
      <w:r w:rsidR="003570B7" w:rsidRPr="00826530">
        <w:rPr>
          <w:rFonts w:ascii="Arial" w:hAnsi="Arial" w:cs="Arial"/>
          <w:color w:val="000000" w:themeColor="text1"/>
          <w:vertAlign w:val="superscript"/>
        </w:rPr>
        <w:t>1</w:t>
      </w:r>
      <w:r w:rsidR="001D3DEA" w:rsidRPr="00826530">
        <w:rPr>
          <w:rFonts w:ascii="Arial" w:hAnsi="Arial" w:cs="Arial"/>
          <w:color w:val="000000" w:themeColor="text1"/>
          <w:vertAlign w:val="superscript"/>
        </w:rPr>
        <w:t>3</w:t>
      </w:r>
    </w:p>
    <w:p w14:paraId="7219DF5E" w14:textId="544AD7AB" w:rsidR="00D92DA4" w:rsidRPr="00826530" w:rsidRDefault="00D92DA4" w:rsidP="00F22BCF">
      <w:pPr>
        <w:spacing w:line="480" w:lineRule="auto"/>
        <w:jc w:val="center"/>
        <w:rPr>
          <w:rFonts w:ascii="Arial" w:hAnsi="Arial" w:cs="Arial"/>
          <w:b/>
          <w:bCs/>
        </w:rPr>
      </w:pPr>
      <w:r w:rsidRPr="00826530">
        <w:rPr>
          <w:rFonts w:ascii="Arial" w:hAnsi="Arial" w:cs="Arial"/>
          <w:b/>
          <w:bCs/>
        </w:rPr>
        <w:t>Conclusion</w:t>
      </w:r>
    </w:p>
    <w:p w14:paraId="7CF5F788" w14:textId="3C3D348B" w:rsidR="005D1EEE" w:rsidRPr="00826530" w:rsidRDefault="00851673" w:rsidP="00F22BCF">
      <w:pPr>
        <w:spacing w:line="480" w:lineRule="auto"/>
        <w:rPr>
          <w:rFonts w:ascii="Arial" w:hAnsi="Arial" w:cs="Arial"/>
        </w:rPr>
      </w:pPr>
      <w:r w:rsidRPr="00826530">
        <w:rPr>
          <w:rFonts w:ascii="Arial" w:hAnsi="Arial" w:cs="Arial"/>
        </w:rPr>
        <w:tab/>
        <w:t>This study explor</w:t>
      </w:r>
      <w:r w:rsidR="00296B1C" w:rsidRPr="00826530">
        <w:rPr>
          <w:rFonts w:ascii="Arial" w:hAnsi="Arial" w:cs="Arial"/>
        </w:rPr>
        <w:t>ed</w:t>
      </w:r>
      <w:r w:rsidR="00A822E9" w:rsidRPr="00826530">
        <w:rPr>
          <w:rFonts w:ascii="Arial" w:hAnsi="Arial" w:cs="Arial"/>
        </w:rPr>
        <w:t xml:space="preserve"> </w:t>
      </w:r>
      <w:r w:rsidR="00D47169" w:rsidRPr="00826530">
        <w:rPr>
          <w:rFonts w:ascii="Arial" w:hAnsi="Arial" w:cs="Arial"/>
        </w:rPr>
        <w:t xml:space="preserve">multi-level </w:t>
      </w:r>
      <w:r w:rsidR="007F1146" w:rsidRPr="00826530">
        <w:rPr>
          <w:rFonts w:ascii="Arial" w:hAnsi="Arial" w:cs="Arial"/>
        </w:rPr>
        <w:t>factors associated with</w:t>
      </w:r>
      <w:r w:rsidR="005E478A" w:rsidRPr="00826530">
        <w:rPr>
          <w:rFonts w:ascii="Arial" w:hAnsi="Arial" w:cs="Arial"/>
        </w:rPr>
        <w:t xml:space="preserve"> </w:t>
      </w:r>
      <w:r w:rsidRPr="00826530">
        <w:rPr>
          <w:rFonts w:ascii="Arial" w:hAnsi="Arial" w:cs="Arial"/>
        </w:rPr>
        <w:t xml:space="preserve">transactional sex </w:t>
      </w:r>
      <w:r w:rsidR="00296B1C" w:rsidRPr="00826530">
        <w:rPr>
          <w:rFonts w:ascii="Arial" w:hAnsi="Arial" w:cs="Arial"/>
        </w:rPr>
        <w:t xml:space="preserve">among </w:t>
      </w:r>
      <w:r w:rsidR="00A97B86" w:rsidRPr="00826530">
        <w:rPr>
          <w:rFonts w:ascii="Arial" w:hAnsi="Arial" w:cs="Arial"/>
        </w:rPr>
        <w:t>GBM</w:t>
      </w:r>
      <w:r w:rsidR="00296B1C" w:rsidRPr="00826530">
        <w:rPr>
          <w:rFonts w:ascii="Arial" w:hAnsi="Arial" w:cs="Arial"/>
        </w:rPr>
        <w:t xml:space="preserve"> </w:t>
      </w:r>
      <w:r w:rsidRPr="00826530">
        <w:rPr>
          <w:rFonts w:ascii="Arial" w:hAnsi="Arial" w:cs="Arial"/>
        </w:rPr>
        <w:t xml:space="preserve">in Vancouver, Canada. </w:t>
      </w:r>
      <w:r w:rsidR="007F1146" w:rsidRPr="00826530">
        <w:rPr>
          <w:rFonts w:ascii="Arial" w:hAnsi="Arial" w:cs="Arial"/>
        </w:rPr>
        <w:t>Based on our findings</w:t>
      </w:r>
      <w:r w:rsidR="00BF4AD0" w:rsidRPr="00826530">
        <w:rPr>
          <w:rFonts w:ascii="Arial" w:hAnsi="Arial" w:cs="Arial"/>
        </w:rPr>
        <w:t>,</w:t>
      </w:r>
      <w:r w:rsidR="007F1146" w:rsidRPr="00826530">
        <w:rPr>
          <w:rFonts w:ascii="Arial" w:hAnsi="Arial" w:cs="Arial"/>
        </w:rPr>
        <w:t xml:space="preserve"> </w:t>
      </w:r>
      <w:r w:rsidR="00221BC4" w:rsidRPr="00826530">
        <w:rPr>
          <w:rFonts w:ascii="Arial" w:hAnsi="Arial" w:cs="Arial"/>
        </w:rPr>
        <w:t xml:space="preserve">structural </w:t>
      </w:r>
      <w:r w:rsidR="007F1146" w:rsidRPr="00826530">
        <w:rPr>
          <w:rFonts w:ascii="Arial" w:hAnsi="Arial" w:cs="Arial"/>
        </w:rPr>
        <w:t>support</w:t>
      </w:r>
      <w:r w:rsidR="00221BC4" w:rsidRPr="00826530">
        <w:rPr>
          <w:rFonts w:ascii="Arial" w:hAnsi="Arial" w:cs="Arial"/>
        </w:rPr>
        <w:t xml:space="preserve"> which uses a holistic approach</w:t>
      </w:r>
      <w:r w:rsidR="00BF4AD0" w:rsidRPr="00826530">
        <w:rPr>
          <w:rFonts w:ascii="Arial" w:hAnsi="Arial" w:cs="Arial"/>
        </w:rPr>
        <w:t xml:space="preserve"> </w:t>
      </w:r>
      <w:r w:rsidR="00787466">
        <w:rPr>
          <w:rFonts w:ascii="Arial" w:hAnsi="Arial" w:cs="Arial"/>
        </w:rPr>
        <w:t>may be beneficial</w:t>
      </w:r>
      <w:r w:rsidR="00BF4AD0" w:rsidRPr="00826530">
        <w:rPr>
          <w:rFonts w:ascii="Arial" w:hAnsi="Arial" w:cs="Arial"/>
        </w:rPr>
        <w:t xml:space="preserve"> for</w:t>
      </w:r>
      <w:r w:rsidR="007F1146" w:rsidRPr="00826530">
        <w:rPr>
          <w:rFonts w:ascii="Arial" w:hAnsi="Arial" w:cs="Arial"/>
        </w:rPr>
        <w:t xml:space="preserve"> health </w:t>
      </w:r>
      <w:r w:rsidR="00221BC4" w:rsidRPr="00826530">
        <w:rPr>
          <w:rFonts w:ascii="Arial" w:hAnsi="Arial" w:cs="Arial"/>
        </w:rPr>
        <w:t xml:space="preserve">and social </w:t>
      </w:r>
      <w:r w:rsidR="007F1146" w:rsidRPr="00826530">
        <w:rPr>
          <w:rFonts w:ascii="Arial" w:hAnsi="Arial" w:cs="Arial"/>
        </w:rPr>
        <w:t xml:space="preserve">care programs targeted specifically for </w:t>
      </w:r>
      <w:r w:rsidR="00221BC4" w:rsidRPr="00826530">
        <w:rPr>
          <w:rFonts w:ascii="Arial" w:hAnsi="Arial" w:cs="Arial"/>
        </w:rPr>
        <w:t xml:space="preserve">GBM who engage in </w:t>
      </w:r>
      <w:r w:rsidR="007F1146" w:rsidRPr="00826530">
        <w:rPr>
          <w:rFonts w:ascii="Arial" w:hAnsi="Arial" w:cs="Arial"/>
        </w:rPr>
        <w:t xml:space="preserve">transactional sex to better address their </w:t>
      </w:r>
      <w:r w:rsidR="00D47169" w:rsidRPr="00826530">
        <w:rPr>
          <w:rFonts w:ascii="Arial" w:hAnsi="Arial" w:cs="Arial"/>
        </w:rPr>
        <w:t xml:space="preserve">specific </w:t>
      </w:r>
      <w:r w:rsidR="007F1146" w:rsidRPr="00826530">
        <w:rPr>
          <w:rFonts w:ascii="Arial" w:hAnsi="Arial" w:cs="Arial"/>
        </w:rPr>
        <w:t xml:space="preserve">needs. Using online interventions may be particularly </w:t>
      </w:r>
      <w:r w:rsidR="00221BC4" w:rsidRPr="00826530">
        <w:rPr>
          <w:rFonts w:ascii="Arial" w:hAnsi="Arial" w:cs="Arial"/>
        </w:rPr>
        <w:t>relevant</w:t>
      </w:r>
      <w:r w:rsidR="007F1146" w:rsidRPr="00826530">
        <w:rPr>
          <w:rFonts w:ascii="Arial" w:hAnsi="Arial" w:cs="Arial"/>
        </w:rPr>
        <w:t xml:space="preserve"> for </w:t>
      </w:r>
      <w:r w:rsidR="00D47169" w:rsidRPr="00826530">
        <w:rPr>
          <w:rFonts w:ascii="Arial" w:hAnsi="Arial" w:cs="Arial"/>
        </w:rPr>
        <w:t>th</w:t>
      </w:r>
      <w:r w:rsidR="00221BC4" w:rsidRPr="00826530">
        <w:rPr>
          <w:rFonts w:ascii="Arial" w:hAnsi="Arial" w:cs="Arial"/>
        </w:rPr>
        <w:t>ese men as they tend to be</w:t>
      </w:r>
      <w:r w:rsidR="007F1146" w:rsidRPr="00826530">
        <w:rPr>
          <w:rFonts w:ascii="Arial" w:hAnsi="Arial" w:cs="Arial"/>
        </w:rPr>
        <w:t xml:space="preserve"> highly engage</w:t>
      </w:r>
      <w:r w:rsidR="0094119B" w:rsidRPr="00826530">
        <w:rPr>
          <w:rFonts w:ascii="Arial" w:hAnsi="Arial" w:cs="Arial"/>
        </w:rPr>
        <w:t>d</w:t>
      </w:r>
      <w:r w:rsidR="007F1146" w:rsidRPr="00826530">
        <w:rPr>
          <w:rFonts w:ascii="Arial" w:hAnsi="Arial" w:cs="Arial"/>
        </w:rPr>
        <w:t xml:space="preserve"> in online environments to seek sex partners</w:t>
      </w:r>
      <w:r w:rsidR="009900BF" w:rsidRPr="00826530">
        <w:rPr>
          <w:rFonts w:ascii="Arial" w:hAnsi="Arial" w:cs="Arial"/>
        </w:rPr>
        <w:t>. Moreover,</w:t>
      </w:r>
      <w:r w:rsidR="00221BC4" w:rsidRPr="00826530">
        <w:rPr>
          <w:rFonts w:ascii="Arial" w:hAnsi="Arial" w:cs="Arial"/>
        </w:rPr>
        <w:t xml:space="preserve"> </w:t>
      </w:r>
      <w:r w:rsidR="00CE3369" w:rsidRPr="00826530">
        <w:rPr>
          <w:rFonts w:ascii="Arial" w:hAnsi="Arial" w:cs="Arial"/>
        </w:rPr>
        <w:t xml:space="preserve">stigma </w:t>
      </w:r>
      <w:r w:rsidR="00221BC4" w:rsidRPr="00826530">
        <w:rPr>
          <w:rFonts w:ascii="Arial" w:hAnsi="Arial" w:cs="Arial"/>
        </w:rPr>
        <w:t xml:space="preserve">associated with </w:t>
      </w:r>
      <w:r w:rsidR="00CE3369" w:rsidRPr="00826530">
        <w:rPr>
          <w:rFonts w:ascii="Arial" w:hAnsi="Arial" w:cs="Arial"/>
        </w:rPr>
        <w:t>sex w</w:t>
      </w:r>
      <w:r w:rsidR="00A9183A" w:rsidRPr="00826530">
        <w:rPr>
          <w:rFonts w:ascii="Arial" w:hAnsi="Arial" w:cs="Arial"/>
        </w:rPr>
        <w:t>ork and transactional sex</w:t>
      </w:r>
      <w:r w:rsidR="00221BC4" w:rsidRPr="00826530">
        <w:rPr>
          <w:rFonts w:ascii="Arial" w:hAnsi="Arial" w:cs="Arial"/>
        </w:rPr>
        <w:t xml:space="preserve"> may deter them </w:t>
      </w:r>
      <w:r w:rsidR="00CE3369" w:rsidRPr="00826530">
        <w:rPr>
          <w:rFonts w:ascii="Arial" w:hAnsi="Arial" w:cs="Arial"/>
        </w:rPr>
        <w:t>from engaging in</w:t>
      </w:r>
      <w:r w:rsidR="00FF1026" w:rsidRPr="00826530">
        <w:rPr>
          <w:rFonts w:ascii="Arial" w:hAnsi="Arial" w:cs="Arial"/>
        </w:rPr>
        <w:t xml:space="preserve"> in-person</w:t>
      </w:r>
      <w:r w:rsidR="00CE3369" w:rsidRPr="00826530">
        <w:rPr>
          <w:rFonts w:ascii="Arial" w:hAnsi="Arial" w:cs="Arial"/>
        </w:rPr>
        <w:t xml:space="preserve"> community services</w:t>
      </w:r>
      <w:r w:rsidR="007F1146" w:rsidRPr="00826530">
        <w:rPr>
          <w:rFonts w:ascii="Arial" w:hAnsi="Arial" w:cs="Arial"/>
        </w:rPr>
        <w:t>.</w:t>
      </w:r>
      <w:r w:rsidR="003570B7" w:rsidRPr="00826530">
        <w:rPr>
          <w:rFonts w:ascii="Arial" w:hAnsi="Arial" w:cs="Arial"/>
          <w:vertAlign w:val="superscript"/>
        </w:rPr>
        <w:t>8</w:t>
      </w:r>
      <w:r w:rsidR="0094119B" w:rsidRPr="00826530">
        <w:rPr>
          <w:rFonts w:ascii="Arial" w:hAnsi="Arial" w:cs="Arial"/>
        </w:rPr>
        <w:t xml:space="preserve"> One such example</w:t>
      </w:r>
      <w:r w:rsidR="00221BC4" w:rsidRPr="00826530">
        <w:rPr>
          <w:rFonts w:ascii="Arial" w:hAnsi="Arial" w:cs="Arial"/>
        </w:rPr>
        <w:t xml:space="preserve"> of a</w:t>
      </w:r>
      <w:r w:rsidR="00E9232E" w:rsidRPr="00826530">
        <w:rPr>
          <w:rFonts w:ascii="Arial" w:hAnsi="Arial" w:cs="Arial"/>
        </w:rPr>
        <w:t xml:space="preserve"> virtual</w:t>
      </w:r>
      <w:r w:rsidR="00221BC4" w:rsidRPr="00826530">
        <w:rPr>
          <w:rFonts w:ascii="Arial" w:hAnsi="Arial" w:cs="Arial"/>
        </w:rPr>
        <w:t xml:space="preserve"> intervention</w:t>
      </w:r>
      <w:r w:rsidR="0094119B" w:rsidRPr="00826530">
        <w:rPr>
          <w:rFonts w:ascii="Arial" w:hAnsi="Arial" w:cs="Arial"/>
        </w:rPr>
        <w:t xml:space="preserve"> is Get </w:t>
      </w:r>
      <w:r w:rsidR="0094119B" w:rsidRPr="00826530">
        <w:rPr>
          <w:rFonts w:ascii="Arial" w:hAnsi="Arial" w:cs="Arial"/>
        </w:rPr>
        <w:lastRenderedPageBreak/>
        <w:t>Check</w:t>
      </w:r>
      <w:r w:rsidR="00BF4AD0" w:rsidRPr="00826530">
        <w:rPr>
          <w:rFonts w:ascii="Arial" w:hAnsi="Arial" w:cs="Arial"/>
        </w:rPr>
        <w:t>ed</w:t>
      </w:r>
      <w:r w:rsidR="0094119B" w:rsidRPr="00826530">
        <w:rPr>
          <w:rFonts w:ascii="Arial" w:hAnsi="Arial" w:cs="Arial"/>
        </w:rPr>
        <w:t xml:space="preserve"> Online, an online tool </w:t>
      </w:r>
      <w:r w:rsidR="00221BC4" w:rsidRPr="00826530">
        <w:rPr>
          <w:rFonts w:ascii="Arial" w:hAnsi="Arial" w:cs="Arial"/>
        </w:rPr>
        <w:t xml:space="preserve">supported </w:t>
      </w:r>
      <w:r w:rsidR="0094119B" w:rsidRPr="00826530">
        <w:rPr>
          <w:rFonts w:ascii="Arial" w:hAnsi="Arial" w:cs="Arial"/>
        </w:rPr>
        <w:t xml:space="preserve">by the BC Centre for Disease Control to </w:t>
      </w:r>
      <w:r w:rsidR="00221BC4" w:rsidRPr="00826530">
        <w:rPr>
          <w:rFonts w:ascii="Arial" w:hAnsi="Arial" w:cs="Arial"/>
        </w:rPr>
        <w:t>enable online testing</w:t>
      </w:r>
      <w:r w:rsidR="0094119B" w:rsidRPr="00826530">
        <w:rPr>
          <w:rFonts w:ascii="Arial" w:hAnsi="Arial" w:cs="Arial"/>
        </w:rPr>
        <w:t xml:space="preserve"> for STIs in an easy and convenient manner.</w:t>
      </w:r>
      <w:r w:rsidR="00BC73DD" w:rsidRPr="00826530">
        <w:rPr>
          <w:rFonts w:ascii="Arial" w:hAnsi="Arial" w:cs="Arial"/>
          <w:vertAlign w:val="superscript"/>
        </w:rPr>
        <w:t>4</w:t>
      </w:r>
      <w:r w:rsidR="009D6836">
        <w:rPr>
          <w:rFonts w:ascii="Arial" w:hAnsi="Arial" w:cs="Arial"/>
          <w:vertAlign w:val="superscript"/>
        </w:rPr>
        <w:t>1</w:t>
      </w:r>
      <w:r w:rsidR="0094119B" w:rsidRPr="00826530">
        <w:rPr>
          <w:rFonts w:ascii="Arial" w:hAnsi="Arial" w:cs="Arial"/>
        </w:rPr>
        <w:t xml:space="preserve"> </w:t>
      </w:r>
    </w:p>
    <w:p w14:paraId="2D9FC7D4" w14:textId="5A1C776F" w:rsidR="005D1EEE" w:rsidRPr="00826530" w:rsidRDefault="0094119B" w:rsidP="009743CE">
      <w:pPr>
        <w:spacing w:line="480" w:lineRule="auto"/>
        <w:ind w:firstLine="720"/>
        <w:rPr>
          <w:rFonts w:ascii="Arial" w:hAnsi="Arial" w:cs="Arial"/>
        </w:rPr>
      </w:pPr>
      <w:r w:rsidRPr="00826530">
        <w:rPr>
          <w:rFonts w:ascii="Arial" w:hAnsi="Arial" w:cs="Arial"/>
        </w:rPr>
        <w:t xml:space="preserve">Furthermore, </w:t>
      </w:r>
      <w:r w:rsidR="00221BC4" w:rsidRPr="00826530">
        <w:rPr>
          <w:rFonts w:ascii="Arial" w:hAnsi="Arial" w:cs="Arial"/>
        </w:rPr>
        <w:t xml:space="preserve">given the </w:t>
      </w:r>
      <w:r w:rsidRPr="00826530">
        <w:rPr>
          <w:rFonts w:ascii="Arial" w:hAnsi="Arial" w:cs="Arial"/>
        </w:rPr>
        <w:t xml:space="preserve">significant associations </w:t>
      </w:r>
      <w:r w:rsidR="00E9232E" w:rsidRPr="00826530">
        <w:rPr>
          <w:rFonts w:ascii="Arial" w:hAnsi="Arial" w:cs="Arial"/>
        </w:rPr>
        <w:t xml:space="preserve">reported above </w:t>
      </w:r>
      <w:r w:rsidRPr="00826530">
        <w:rPr>
          <w:rFonts w:ascii="Arial" w:hAnsi="Arial" w:cs="Arial"/>
        </w:rPr>
        <w:t>between substance use and transactional sex</w:t>
      </w:r>
      <w:r w:rsidR="00221BC4" w:rsidRPr="00826530">
        <w:rPr>
          <w:rFonts w:ascii="Arial" w:hAnsi="Arial" w:cs="Arial"/>
        </w:rPr>
        <w:t>,</w:t>
      </w:r>
      <w:r w:rsidRPr="00826530">
        <w:rPr>
          <w:rFonts w:ascii="Arial" w:hAnsi="Arial" w:cs="Arial"/>
        </w:rPr>
        <w:t xml:space="preserve"> we support substance </w:t>
      </w:r>
      <w:r w:rsidR="00A9183A" w:rsidRPr="00826530">
        <w:rPr>
          <w:rFonts w:ascii="Arial" w:hAnsi="Arial" w:cs="Arial"/>
        </w:rPr>
        <w:t xml:space="preserve">use </w:t>
      </w:r>
      <w:r w:rsidRPr="00826530">
        <w:rPr>
          <w:rFonts w:ascii="Arial" w:hAnsi="Arial" w:cs="Arial"/>
        </w:rPr>
        <w:t>intervention programs aimed at reducing problematic substance</w:t>
      </w:r>
      <w:r w:rsidR="00BF4AD0" w:rsidRPr="00826530">
        <w:rPr>
          <w:rFonts w:ascii="Arial" w:hAnsi="Arial" w:cs="Arial"/>
        </w:rPr>
        <w:t xml:space="preserve"> use</w:t>
      </w:r>
      <w:r w:rsidRPr="00826530">
        <w:rPr>
          <w:rFonts w:ascii="Arial" w:hAnsi="Arial" w:cs="Arial"/>
        </w:rPr>
        <w:t xml:space="preserve"> behavio</w:t>
      </w:r>
      <w:r w:rsidR="00E9232E" w:rsidRPr="00826530">
        <w:rPr>
          <w:rFonts w:ascii="Arial" w:hAnsi="Arial" w:cs="Arial"/>
        </w:rPr>
        <w:t>u</w:t>
      </w:r>
      <w:r w:rsidRPr="00826530">
        <w:rPr>
          <w:rFonts w:ascii="Arial" w:hAnsi="Arial" w:cs="Arial"/>
        </w:rPr>
        <w:t>rs</w:t>
      </w:r>
      <w:r w:rsidR="00221BC4" w:rsidRPr="00826530">
        <w:rPr>
          <w:rFonts w:ascii="Arial" w:hAnsi="Arial" w:cs="Arial"/>
        </w:rPr>
        <w:t xml:space="preserve"> and recommend programs specifically for </w:t>
      </w:r>
      <w:r w:rsidRPr="00826530">
        <w:rPr>
          <w:rFonts w:ascii="Arial" w:hAnsi="Arial" w:cs="Arial"/>
        </w:rPr>
        <w:t xml:space="preserve">GBM </w:t>
      </w:r>
      <w:r w:rsidR="00221BC4" w:rsidRPr="00826530">
        <w:rPr>
          <w:rFonts w:ascii="Arial" w:hAnsi="Arial" w:cs="Arial"/>
        </w:rPr>
        <w:t xml:space="preserve">who also engage in </w:t>
      </w:r>
      <w:r w:rsidRPr="00826530">
        <w:rPr>
          <w:rFonts w:ascii="Arial" w:hAnsi="Arial" w:cs="Arial"/>
        </w:rPr>
        <w:t>transactional sex.</w:t>
      </w:r>
      <w:r w:rsidR="000B2312" w:rsidRPr="00826530">
        <w:rPr>
          <w:rFonts w:ascii="Arial" w:hAnsi="Arial" w:cs="Arial"/>
          <w:vertAlign w:val="superscript"/>
        </w:rPr>
        <w:t>4</w:t>
      </w:r>
      <w:r w:rsidR="009D6836">
        <w:rPr>
          <w:rFonts w:ascii="Arial" w:hAnsi="Arial" w:cs="Arial"/>
          <w:vertAlign w:val="superscript"/>
        </w:rPr>
        <w:t>2</w:t>
      </w:r>
      <w:r w:rsidRPr="00826530">
        <w:rPr>
          <w:rFonts w:ascii="Arial" w:hAnsi="Arial" w:cs="Arial"/>
        </w:rPr>
        <w:t xml:space="preserve"> </w:t>
      </w:r>
    </w:p>
    <w:p w14:paraId="544832CF" w14:textId="2A482AD4" w:rsidR="004E4A55" w:rsidRPr="00826530" w:rsidRDefault="00221BC4" w:rsidP="009743CE">
      <w:pPr>
        <w:spacing w:line="480" w:lineRule="auto"/>
        <w:ind w:firstLine="720"/>
        <w:rPr>
          <w:rFonts w:ascii="Arial" w:hAnsi="Arial" w:cs="Arial"/>
        </w:rPr>
      </w:pPr>
      <w:r w:rsidRPr="00826530">
        <w:rPr>
          <w:rFonts w:ascii="Arial" w:hAnsi="Arial" w:cs="Arial"/>
        </w:rPr>
        <w:t>Finally, o</w:t>
      </w:r>
      <w:r w:rsidR="00CE3369" w:rsidRPr="00826530">
        <w:rPr>
          <w:rFonts w:ascii="Arial" w:hAnsi="Arial" w:cs="Arial"/>
        </w:rPr>
        <w:t xml:space="preserve">ur findings </w:t>
      </w:r>
      <w:r w:rsidRPr="00826530">
        <w:rPr>
          <w:rFonts w:ascii="Arial" w:hAnsi="Arial" w:cs="Arial"/>
        </w:rPr>
        <w:t xml:space="preserve">demonstrate the need for </w:t>
      </w:r>
      <w:r w:rsidR="00CE3369" w:rsidRPr="00826530">
        <w:rPr>
          <w:rFonts w:ascii="Arial" w:hAnsi="Arial" w:cs="Arial"/>
        </w:rPr>
        <w:t>support</w:t>
      </w:r>
      <w:r w:rsidRPr="00826530">
        <w:rPr>
          <w:rFonts w:ascii="Arial" w:hAnsi="Arial" w:cs="Arial"/>
        </w:rPr>
        <w:t>ive</w:t>
      </w:r>
      <w:r w:rsidR="00CE3369" w:rsidRPr="00826530">
        <w:rPr>
          <w:rFonts w:ascii="Arial" w:hAnsi="Arial" w:cs="Arial"/>
        </w:rPr>
        <w:t xml:space="preserve"> structural interventions such as </w:t>
      </w:r>
      <w:r w:rsidRPr="00826530">
        <w:rPr>
          <w:rFonts w:ascii="Arial" w:hAnsi="Arial" w:cs="Arial"/>
        </w:rPr>
        <w:t xml:space="preserve">increased </w:t>
      </w:r>
      <w:r w:rsidR="00CE3369" w:rsidRPr="00826530">
        <w:rPr>
          <w:rFonts w:ascii="Arial" w:hAnsi="Arial" w:cs="Arial"/>
        </w:rPr>
        <w:t xml:space="preserve">housing stability and access to alternative occupational and educational programs for </w:t>
      </w:r>
      <w:r w:rsidRPr="00826530">
        <w:rPr>
          <w:rFonts w:ascii="Arial" w:hAnsi="Arial" w:cs="Arial"/>
        </w:rPr>
        <w:t>GBM who engage in transactional sex</w:t>
      </w:r>
      <w:r w:rsidR="00CE3369" w:rsidRPr="00826530">
        <w:rPr>
          <w:rFonts w:ascii="Arial" w:hAnsi="Arial" w:cs="Arial"/>
        </w:rPr>
        <w:t>.</w:t>
      </w:r>
      <w:r w:rsidRPr="00826530">
        <w:rPr>
          <w:rFonts w:ascii="Arial" w:hAnsi="Arial" w:cs="Arial"/>
        </w:rPr>
        <w:t xml:space="preserve"> Given the complexity of the motivations for and outcomes associated with transactional sex, a syndemic approach that considers the multifaceted and interrelated nature of transactional sex, substance use, sexual behaviour, and psychological functioning is recommend for supportive programming and future research. </w:t>
      </w:r>
    </w:p>
    <w:p w14:paraId="77264B97" w14:textId="77777777" w:rsidR="00F80492" w:rsidRPr="00826530" w:rsidRDefault="00F80492" w:rsidP="00F22BCF">
      <w:pPr>
        <w:tabs>
          <w:tab w:val="left" w:pos="4947"/>
        </w:tabs>
        <w:spacing w:line="480" w:lineRule="auto"/>
        <w:rPr>
          <w:rFonts w:ascii="Arial" w:hAnsi="Arial" w:cs="Arial"/>
          <w:b/>
        </w:rPr>
      </w:pPr>
    </w:p>
    <w:p w14:paraId="4103BCE5" w14:textId="49B9C779" w:rsidR="00F80492" w:rsidRPr="00826530" w:rsidRDefault="00F80492" w:rsidP="00F22BCF">
      <w:pPr>
        <w:tabs>
          <w:tab w:val="left" w:pos="4947"/>
        </w:tabs>
        <w:spacing w:line="480" w:lineRule="auto"/>
        <w:rPr>
          <w:rFonts w:ascii="Arial" w:hAnsi="Arial" w:cs="Arial"/>
          <w:b/>
        </w:rPr>
      </w:pPr>
      <w:r w:rsidRPr="00826530">
        <w:rPr>
          <w:rFonts w:ascii="Arial" w:hAnsi="Arial" w:cs="Arial"/>
          <w:b/>
        </w:rPr>
        <w:t>Acknowledgements</w:t>
      </w:r>
    </w:p>
    <w:p w14:paraId="47727D53" w14:textId="62974904" w:rsidR="00F80492" w:rsidRPr="00826530" w:rsidRDefault="00F80492" w:rsidP="00F22BCF">
      <w:pPr>
        <w:tabs>
          <w:tab w:val="left" w:pos="4947"/>
        </w:tabs>
        <w:spacing w:line="480" w:lineRule="auto"/>
        <w:rPr>
          <w:rFonts w:ascii="Arial" w:hAnsi="Arial" w:cs="Arial"/>
        </w:rPr>
      </w:pPr>
      <w:r w:rsidRPr="00826530">
        <w:rPr>
          <w:rFonts w:ascii="Arial" w:hAnsi="Arial" w:cs="Arial"/>
        </w:rPr>
        <w:t xml:space="preserve">We would like to thank the Momentum Study participants, office staff and community advisory board as well as our community partners: Health Initiative for Men, </w:t>
      </w:r>
      <w:proofErr w:type="spellStart"/>
      <w:r w:rsidRPr="00826530">
        <w:rPr>
          <w:rFonts w:ascii="Arial" w:hAnsi="Arial" w:cs="Arial"/>
        </w:rPr>
        <w:t>YouthCO</w:t>
      </w:r>
      <w:proofErr w:type="spellEnd"/>
      <w:r w:rsidRPr="00826530">
        <w:rPr>
          <w:rFonts w:ascii="Arial" w:hAnsi="Arial" w:cs="Arial"/>
        </w:rPr>
        <w:t xml:space="preserve"> HIV &amp; Hep C Society, and Positive Living Society of BC.</w:t>
      </w:r>
    </w:p>
    <w:p w14:paraId="0E3EB4B8" w14:textId="77777777" w:rsidR="00F80492" w:rsidRPr="00826530" w:rsidRDefault="00F80492" w:rsidP="00F22BCF">
      <w:pPr>
        <w:tabs>
          <w:tab w:val="left" w:pos="4947"/>
        </w:tabs>
        <w:spacing w:line="480" w:lineRule="auto"/>
        <w:rPr>
          <w:rFonts w:ascii="Arial" w:hAnsi="Arial" w:cs="Arial"/>
        </w:rPr>
      </w:pPr>
    </w:p>
    <w:p w14:paraId="439411D7" w14:textId="2DAAF694" w:rsidR="00F80492" w:rsidRPr="00826530" w:rsidRDefault="00826530" w:rsidP="00F22BCF">
      <w:pPr>
        <w:pStyle w:val="NoSpacing"/>
        <w:spacing w:line="480" w:lineRule="auto"/>
        <w:rPr>
          <w:rFonts w:ascii="Arial" w:hAnsi="Arial" w:cs="Arial"/>
          <w:b/>
          <w:sz w:val="24"/>
          <w:szCs w:val="24"/>
        </w:rPr>
      </w:pPr>
      <w:r w:rsidRPr="00826530">
        <w:rPr>
          <w:rFonts w:ascii="Arial" w:hAnsi="Arial" w:cs="Arial"/>
          <w:b/>
          <w:sz w:val="24"/>
          <w:szCs w:val="24"/>
        </w:rPr>
        <w:t>Declaration of Funding</w:t>
      </w:r>
    </w:p>
    <w:p w14:paraId="390A1FCA" w14:textId="49EEA082" w:rsidR="00F80492" w:rsidRPr="00826530" w:rsidRDefault="00F80492" w:rsidP="00F22BCF">
      <w:pPr>
        <w:pStyle w:val="NoSpacing"/>
        <w:spacing w:line="480" w:lineRule="auto"/>
        <w:rPr>
          <w:rFonts w:ascii="Arial" w:hAnsi="Arial" w:cs="Arial"/>
          <w:sz w:val="24"/>
          <w:szCs w:val="24"/>
        </w:rPr>
      </w:pPr>
      <w:r w:rsidRPr="00826530">
        <w:rPr>
          <w:rFonts w:ascii="Arial" w:hAnsi="Arial" w:cs="Arial"/>
          <w:sz w:val="24"/>
          <w:szCs w:val="24"/>
        </w:rPr>
        <w:t xml:space="preserve">This work was supported by the National Institute on Drug Abuse (R01DA031055-01A1) and the Canadian Institutes of Health Research (MOP-107544, FDN-143342, PJT-153139). NJL was supported by a CANFAR/CTN Postdoctoral Fellowship Award. HLA </w:t>
      </w:r>
      <w:r w:rsidRPr="00826530">
        <w:rPr>
          <w:rFonts w:ascii="Arial" w:hAnsi="Arial" w:cs="Arial"/>
          <w:sz w:val="24"/>
          <w:szCs w:val="24"/>
        </w:rPr>
        <w:lastRenderedPageBreak/>
        <w:t>was supported by a Postdoctoral Fellowship award from the Canadian Institutes of Health Research (Grant #MFE-152443).  DMM and NJL are supported by Michael Smith Foundation for Health Research Scholar Awards (#5209, #16863). KGC is supported by a Canadian Institutes of Health Research Health Systems Impact Fellowship award, a Michael Smith Foundation for Health Research Trainee award, and a Canadian HIV Trials Network/Canadian Foundation for AIDS Research Postdoctoral Fellowship award</w:t>
      </w:r>
      <w:r w:rsidRPr="009D6836">
        <w:rPr>
          <w:rFonts w:ascii="Arial" w:hAnsi="Arial" w:cs="Arial"/>
          <w:sz w:val="24"/>
          <w:szCs w:val="24"/>
        </w:rPr>
        <w:t>.</w:t>
      </w:r>
      <w:r w:rsidR="009D6836" w:rsidRPr="009D6836">
        <w:rPr>
          <w:rFonts w:ascii="Arial" w:hAnsi="Arial" w:cs="Arial"/>
          <w:sz w:val="24"/>
          <w:szCs w:val="24"/>
        </w:rPr>
        <w:t xml:space="preserve"> JMS is supported by a CTN postdoctoral fellowship award and a Michael Smith Foundation for Health Research trainee award.</w:t>
      </w:r>
      <w:r w:rsidR="009D6836" w:rsidRPr="00764651">
        <w:rPr>
          <w:rFonts w:ascii="Times" w:hAnsi="Times" w:cstheme="majorBidi"/>
        </w:rPr>
        <w:t xml:space="preserve"> </w:t>
      </w:r>
      <w:r w:rsidR="009D6836">
        <w:rPr>
          <w:rFonts w:ascii="Times" w:hAnsi="Times" w:cstheme="majorBidi"/>
        </w:rPr>
        <w:t xml:space="preserve"> </w:t>
      </w:r>
    </w:p>
    <w:p w14:paraId="6351F1DA" w14:textId="71782FD6" w:rsidR="00D40731" w:rsidRPr="00826530" w:rsidRDefault="00D40731" w:rsidP="00F22BCF">
      <w:pPr>
        <w:pStyle w:val="NoSpacing"/>
        <w:spacing w:line="480" w:lineRule="auto"/>
        <w:rPr>
          <w:rFonts w:ascii="Arial" w:hAnsi="Arial" w:cs="Arial"/>
          <w:sz w:val="24"/>
          <w:szCs w:val="24"/>
        </w:rPr>
      </w:pPr>
    </w:p>
    <w:p w14:paraId="2AD014E9" w14:textId="16587F22" w:rsidR="00D40731" w:rsidRPr="00826530" w:rsidRDefault="00D40731" w:rsidP="00F22BCF">
      <w:pPr>
        <w:pStyle w:val="NoSpacing"/>
        <w:spacing w:line="480" w:lineRule="auto"/>
        <w:rPr>
          <w:rFonts w:ascii="Arial" w:hAnsi="Arial" w:cs="Arial"/>
          <w:b/>
          <w:sz w:val="24"/>
          <w:szCs w:val="24"/>
        </w:rPr>
      </w:pPr>
      <w:r w:rsidRPr="00826530">
        <w:rPr>
          <w:rFonts w:ascii="Arial" w:hAnsi="Arial" w:cs="Arial"/>
          <w:b/>
          <w:sz w:val="24"/>
          <w:szCs w:val="24"/>
        </w:rPr>
        <w:t>Compliance with Ethical Standards</w:t>
      </w:r>
    </w:p>
    <w:p w14:paraId="366BB38B" w14:textId="1D241E78" w:rsidR="00D40731" w:rsidRPr="00826530" w:rsidRDefault="00D40731" w:rsidP="009565F3">
      <w:pPr>
        <w:spacing w:line="480" w:lineRule="auto"/>
        <w:rPr>
          <w:rFonts w:ascii="Arial" w:hAnsi="Arial" w:cs="Arial"/>
        </w:rPr>
      </w:pPr>
      <w:r w:rsidRPr="00826530">
        <w:rPr>
          <w:rFonts w:ascii="Arial" w:hAnsi="Arial" w:cs="Arial"/>
        </w:rPr>
        <w:t>Ethics approval was received from the research ethics boards of the University of British Columbia, Simon Fraser University, and the University of Victoria, and all participants provided informed consent.</w:t>
      </w:r>
    </w:p>
    <w:p w14:paraId="32905BAA" w14:textId="77777777" w:rsidR="009565F3" w:rsidRPr="00826530" w:rsidRDefault="009565F3" w:rsidP="009565F3">
      <w:pPr>
        <w:spacing w:line="480" w:lineRule="auto"/>
        <w:rPr>
          <w:rFonts w:ascii="Arial" w:hAnsi="Arial" w:cs="Arial"/>
        </w:rPr>
      </w:pPr>
    </w:p>
    <w:p w14:paraId="7EB9FBD3" w14:textId="3C88A7D5" w:rsidR="009565F3" w:rsidRPr="00826530" w:rsidRDefault="009565F3" w:rsidP="009565F3">
      <w:pPr>
        <w:spacing w:line="480" w:lineRule="auto"/>
        <w:rPr>
          <w:rFonts w:ascii="Arial" w:hAnsi="Arial" w:cs="Arial"/>
          <w:b/>
          <w:bCs/>
          <w:color w:val="000000" w:themeColor="text1"/>
        </w:rPr>
      </w:pPr>
      <w:r w:rsidRPr="00826530">
        <w:rPr>
          <w:rFonts w:ascii="Arial" w:hAnsi="Arial" w:cs="Arial"/>
          <w:b/>
          <w:bCs/>
          <w:color w:val="000000" w:themeColor="text1"/>
        </w:rPr>
        <w:t>Data Availability</w:t>
      </w:r>
    </w:p>
    <w:p w14:paraId="49AE674C" w14:textId="364A55B9" w:rsidR="009565F3" w:rsidRPr="00826530" w:rsidRDefault="009565F3" w:rsidP="009565F3">
      <w:pPr>
        <w:spacing w:line="480" w:lineRule="auto"/>
        <w:rPr>
          <w:rFonts w:ascii="Arial" w:hAnsi="Arial" w:cs="Arial"/>
          <w:color w:val="000000" w:themeColor="text1"/>
          <w:shd w:val="clear" w:color="auto" w:fill="FFFFFF"/>
        </w:rPr>
      </w:pPr>
      <w:r w:rsidRPr="009565F3">
        <w:rPr>
          <w:rFonts w:ascii="Arial" w:hAnsi="Arial" w:cs="Arial"/>
          <w:color w:val="000000" w:themeColor="text1"/>
          <w:shd w:val="clear" w:color="auto" w:fill="FFFFFF"/>
        </w:rPr>
        <w:t>The data that support this study cannot be publicly shared due to ethical or privacy reasons and may be shared upon reasonable request to the corresponding author if appropriate. </w:t>
      </w:r>
    </w:p>
    <w:p w14:paraId="5CC7764B" w14:textId="6B11FE26" w:rsidR="00826530" w:rsidRPr="00826530" w:rsidRDefault="00826530" w:rsidP="009565F3">
      <w:pPr>
        <w:spacing w:line="480" w:lineRule="auto"/>
        <w:rPr>
          <w:rFonts w:ascii="Arial" w:hAnsi="Arial" w:cs="Arial"/>
          <w:color w:val="000000" w:themeColor="text1"/>
          <w:shd w:val="clear" w:color="auto" w:fill="FFFFFF"/>
        </w:rPr>
      </w:pPr>
    </w:p>
    <w:p w14:paraId="2C4FEF04" w14:textId="4EE8B089" w:rsidR="00826530" w:rsidRPr="00826530" w:rsidRDefault="00826530" w:rsidP="009565F3">
      <w:pPr>
        <w:spacing w:line="480" w:lineRule="auto"/>
        <w:rPr>
          <w:rFonts w:ascii="Arial" w:hAnsi="Arial" w:cs="Arial"/>
          <w:b/>
          <w:bCs/>
          <w:color w:val="000000" w:themeColor="text1"/>
          <w:shd w:val="clear" w:color="auto" w:fill="FFFFFF"/>
        </w:rPr>
      </w:pPr>
      <w:r w:rsidRPr="00826530">
        <w:rPr>
          <w:rFonts w:ascii="Arial" w:hAnsi="Arial" w:cs="Arial"/>
          <w:b/>
          <w:bCs/>
          <w:color w:val="000000" w:themeColor="text1"/>
          <w:shd w:val="clear" w:color="auto" w:fill="FFFFFF"/>
        </w:rPr>
        <w:t>Conflicts of Interest</w:t>
      </w:r>
    </w:p>
    <w:p w14:paraId="550F7664" w14:textId="3B4F3DCF" w:rsidR="003570B7" w:rsidRPr="00AB1ADA" w:rsidRDefault="00D07606" w:rsidP="00AB1ADA">
      <w:pPr>
        <w:spacing w:line="480" w:lineRule="auto"/>
        <w:rPr>
          <w:rFonts w:ascii="Arial" w:hAnsi="Arial" w:cs="Arial"/>
          <w:color w:val="000000" w:themeColor="text1"/>
        </w:rPr>
      </w:pPr>
      <w:r>
        <w:rPr>
          <w:rFonts w:ascii="Arial" w:hAnsi="Arial" w:cs="Arial"/>
          <w:color w:val="000000" w:themeColor="text1"/>
        </w:rPr>
        <w:t xml:space="preserve">Heather Armstrong is a Joint Editor of Sexual Health but was blinded from the peer-review process for this paper. </w:t>
      </w:r>
      <w:r w:rsidR="003570B7" w:rsidRPr="00826530">
        <w:rPr>
          <w:rFonts w:ascii="Arial" w:hAnsi="Arial" w:cs="Arial"/>
          <w:b/>
          <w:color w:val="000000" w:themeColor="text1"/>
        </w:rPr>
        <w:br w:type="page"/>
      </w:r>
    </w:p>
    <w:p w14:paraId="5BDF7437" w14:textId="49B8E3FE" w:rsidR="00594C22" w:rsidRPr="00826530" w:rsidRDefault="00851673" w:rsidP="003570B7">
      <w:pPr>
        <w:spacing w:line="480" w:lineRule="auto"/>
        <w:ind w:left="567" w:hanging="567"/>
        <w:jc w:val="center"/>
        <w:rPr>
          <w:rFonts w:ascii="Arial" w:hAnsi="Arial" w:cs="Arial"/>
          <w:color w:val="000000" w:themeColor="text1"/>
        </w:rPr>
      </w:pPr>
      <w:r w:rsidRPr="00826530">
        <w:rPr>
          <w:rFonts w:ascii="Arial" w:hAnsi="Arial" w:cs="Arial"/>
          <w:b/>
          <w:color w:val="000000" w:themeColor="text1"/>
        </w:rPr>
        <w:lastRenderedPageBreak/>
        <w:t>References</w:t>
      </w:r>
    </w:p>
    <w:p w14:paraId="5BD9EA71" w14:textId="3679C162" w:rsidR="001A30CA" w:rsidRPr="00826530" w:rsidRDefault="001A30CA" w:rsidP="003570B7">
      <w:pPr>
        <w:pStyle w:val="EndNoteBibliography"/>
        <w:numPr>
          <w:ilvl w:val="0"/>
          <w:numId w:val="6"/>
        </w:numPr>
        <w:spacing w:after="0" w:line="480" w:lineRule="auto"/>
        <w:ind w:left="567" w:hanging="567"/>
        <w:rPr>
          <w:rFonts w:ascii="Arial" w:hAnsi="Arial" w:cs="Arial"/>
          <w:color w:val="000000" w:themeColor="text1"/>
          <w:sz w:val="24"/>
          <w:szCs w:val="24"/>
        </w:rPr>
      </w:pPr>
      <w:r w:rsidRPr="00826530">
        <w:rPr>
          <w:rFonts w:ascii="Arial" w:hAnsi="Arial" w:cs="Arial"/>
          <w:color w:val="000000" w:themeColor="text1"/>
          <w:sz w:val="24"/>
          <w:szCs w:val="24"/>
        </w:rPr>
        <w:t>BC Centre for Disease Control. STI Annual Report 2017. BC Ministry of Health. 2018.</w:t>
      </w:r>
    </w:p>
    <w:p w14:paraId="60FCB141" w14:textId="0BD3D59D" w:rsidR="001A30CA" w:rsidRPr="00826530" w:rsidRDefault="001A30CA" w:rsidP="003570B7">
      <w:pPr>
        <w:pStyle w:val="ListParagraph"/>
        <w:numPr>
          <w:ilvl w:val="0"/>
          <w:numId w:val="6"/>
        </w:numPr>
        <w:spacing w:line="480" w:lineRule="auto"/>
        <w:ind w:left="567" w:hanging="567"/>
        <w:rPr>
          <w:rFonts w:ascii="Arial" w:hAnsi="Arial" w:cs="Arial"/>
          <w:color w:val="222222"/>
          <w:sz w:val="24"/>
          <w:szCs w:val="24"/>
          <w:shd w:val="clear" w:color="auto" w:fill="FFFFFF"/>
        </w:rPr>
      </w:pPr>
      <w:r w:rsidRPr="00826530">
        <w:rPr>
          <w:rFonts w:ascii="Arial" w:hAnsi="Arial" w:cs="Arial"/>
          <w:color w:val="222222"/>
          <w:sz w:val="24"/>
          <w:szCs w:val="24"/>
          <w:shd w:val="clear" w:color="auto" w:fill="FFFFFF"/>
        </w:rPr>
        <w:t>Haddad N, Weeks A, Robert A, Totten S. HIV Surveillance Report 2019. CCDR. 2021 Jan;47(1).</w:t>
      </w:r>
    </w:p>
    <w:p w14:paraId="65E06DDF" w14:textId="1FE1D2AE" w:rsidR="001A30CA" w:rsidRPr="00826530" w:rsidRDefault="001A30CA"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Moore DM, Cui Z, </w:t>
      </w:r>
      <w:proofErr w:type="spellStart"/>
      <w:r w:rsidRPr="00826530">
        <w:rPr>
          <w:rFonts w:ascii="Arial" w:hAnsi="Arial" w:cs="Arial"/>
          <w:color w:val="222222"/>
          <w:sz w:val="24"/>
          <w:szCs w:val="24"/>
          <w:shd w:val="clear" w:color="auto" w:fill="FFFFFF"/>
        </w:rPr>
        <w:t>Lachowsky</w:t>
      </w:r>
      <w:proofErr w:type="spellEnd"/>
      <w:r w:rsidRPr="00826530">
        <w:rPr>
          <w:rFonts w:ascii="Arial" w:hAnsi="Arial" w:cs="Arial"/>
          <w:color w:val="222222"/>
          <w:sz w:val="24"/>
          <w:szCs w:val="24"/>
          <w:shd w:val="clear" w:color="auto" w:fill="FFFFFF"/>
        </w:rPr>
        <w:t xml:space="preserve"> N, Raymond HF, Roth E, Rich A, </w:t>
      </w:r>
      <w:proofErr w:type="spellStart"/>
      <w:r w:rsidRPr="00826530">
        <w:rPr>
          <w:rFonts w:ascii="Arial" w:hAnsi="Arial" w:cs="Arial"/>
          <w:color w:val="222222"/>
          <w:sz w:val="24"/>
          <w:szCs w:val="24"/>
          <w:shd w:val="clear" w:color="auto" w:fill="FFFFFF"/>
        </w:rPr>
        <w:t>Sereda</w:t>
      </w:r>
      <w:proofErr w:type="spellEnd"/>
      <w:r w:rsidRPr="00826530">
        <w:rPr>
          <w:rFonts w:ascii="Arial" w:hAnsi="Arial" w:cs="Arial"/>
          <w:color w:val="222222"/>
          <w:sz w:val="24"/>
          <w:szCs w:val="24"/>
          <w:shd w:val="clear" w:color="auto" w:fill="FFFFFF"/>
        </w:rPr>
        <w:t xml:space="preserve"> P, Howard T, McFarland W, Lal A, Montaner J. HIV community viral load and factors associated with elevated viremia among a community-based sample of men who have sex with men (MSM) in Vancouver, Canada. Journal of acquired immune deficiency syndromes. 2016 May 1;72(1):87.</w:t>
      </w:r>
    </w:p>
    <w:p w14:paraId="44555BBB" w14:textId="4AF84B28" w:rsidR="00841093" w:rsidRPr="00826530" w:rsidRDefault="00841093" w:rsidP="00841093">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Javanbakht</w:t>
      </w:r>
      <w:proofErr w:type="spellEnd"/>
      <w:r w:rsidRPr="00826530">
        <w:rPr>
          <w:rFonts w:ascii="Arial" w:hAnsi="Arial" w:cs="Arial"/>
          <w:color w:val="222222"/>
          <w:sz w:val="24"/>
          <w:szCs w:val="24"/>
          <w:shd w:val="clear" w:color="auto" w:fill="FFFFFF"/>
        </w:rPr>
        <w:t xml:space="preserve"> M, Ragsdale A, </w:t>
      </w:r>
      <w:proofErr w:type="spellStart"/>
      <w:r w:rsidRPr="00826530">
        <w:rPr>
          <w:rFonts w:ascii="Arial" w:hAnsi="Arial" w:cs="Arial"/>
          <w:color w:val="222222"/>
          <w:sz w:val="24"/>
          <w:szCs w:val="24"/>
          <w:shd w:val="clear" w:color="auto" w:fill="FFFFFF"/>
        </w:rPr>
        <w:t>Shoptaw</w:t>
      </w:r>
      <w:proofErr w:type="spellEnd"/>
      <w:r w:rsidRPr="00826530">
        <w:rPr>
          <w:rFonts w:ascii="Arial" w:hAnsi="Arial" w:cs="Arial"/>
          <w:color w:val="222222"/>
          <w:sz w:val="24"/>
          <w:szCs w:val="24"/>
          <w:shd w:val="clear" w:color="auto" w:fill="FFFFFF"/>
        </w:rPr>
        <w:t xml:space="preserve"> S, </w:t>
      </w:r>
      <w:proofErr w:type="spellStart"/>
      <w:r w:rsidRPr="00826530">
        <w:rPr>
          <w:rFonts w:ascii="Arial" w:hAnsi="Arial" w:cs="Arial"/>
          <w:color w:val="222222"/>
          <w:sz w:val="24"/>
          <w:szCs w:val="24"/>
          <w:shd w:val="clear" w:color="auto" w:fill="FFFFFF"/>
        </w:rPr>
        <w:t>Gorbach</w:t>
      </w:r>
      <w:proofErr w:type="spellEnd"/>
      <w:r w:rsidRPr="00826530">
        <w:rPr>
          <w:rFonts w:ascii="Arial" w:hAnsi="Arial" w:cs="Arial"/>
          <w:color w:val="222222"/>
          <w:sz w:val="24"/>
          <w:szCs w:val="24"/>
          <w:shd w:val="clear" w:color="auto" w:fill="FFFFFF"/>
        </w:rPr>
        <w:t xml:space="preserve"> PM. Transactional sex among men who have sex with men: differences by substance use and HIV status. Journal of Urban Health. 2019 Jun;96(3):429-41.</w:t>
      </w:r>
    </w:p>
    <w:p w14:paraId="0974079F" w14:textId="4AAC0555" w:rsidR="00C3297B" w:rsidRPr="00826530" w:rsidRDefault="00C3297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Oldenburg CE, Perez-</w:t>
      </w:r>
      <w:proofErr w:type="spellStart"/>
      <w:r w:rsidRPr="00826530">
        <w:rPr>
          <w:rFonts w:ascii="Arial" w:hAnsi="Arial" w:cs="Arial"/>
          <w:color w:val="222222"/>
          <w:sz w:val="24"/>
          <w:szCs w:val="24"/>
          <w:shd w:val="clear" w:color="auto" w:fill="FFFFFF"/>
        </w:rPr>
        <w:t>Brumer</w:t>
      </w:r>
      <w:proofErr w:type="spellEnd"/>
      <w:r w:rsidRPr="00826530">
        <w:rPr>
          <w:rFonts w:ascii="Arial" w:hAnsi="Arial" w:cs="Arial"/>
          <w:color w:val="222222"/>
          <w:sz w:val="24"/>
          <w:szCs w:val="24"/>
          <w:shd w:val="clear" w:color="auto" w:fill="FFFFFF"/>
        </w:rPr>
        <w:t xml:space="preserve"> AG, Reisner SL, </w:t>
      </w:r>
      <w:proofErr w:type="spellStart"/>
      <w:r w:rsidRPr="00826530">
        <w:rPr>
          <w:rFonts w:ascii="Arial" w:hAnsi="Arial" w:cs="Arial"/>
          <w:color w:val="222222"/>
          <w:sz w:val="24"/>
          <w:szCs w:val="24"/>
          <w:shd w:val="clear" w:color="auto" w:fill="FFFFFF"/>
        </w:rPr>
        <w:t>Mimiaga</w:t>
      </w:r>
      <w:proofErr w:type="spellEnd"/>
      <w:r w:rsidRPr="00826530">
        <w:rPr>
          <w:rFonts w:ascii="Arial" w:hAnsi="Arial" w:cs="Arial"/>
          <w:color w:val="222222"/>
          <w:sz w:val="24"/>
          <w:szCs w:val="24"/>
          <w:shd w:val="clear" w:color="auto" w:fill="FFFFFF"/>
        </w:rPr>
        <w:t xml:space="preserve"> MJ. Transactional sex and the HIV epidemic among men who have sex with men (MSM): results from a systematic review and meta-analysis. AIDS and Behavior. 2015 Dec;19(12):2177-83.</w:t>
      </w:r>
    </w:p>
    <w:p w14:paraId="66316EDB" w14:textId="77777777" w:rsidR="00C3297B" w:rsidRPr="00826530" w:rsidRDefault="00C3297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Ott MQ, </w:t>
      </w:r>
      <w:proofErr w:type="spellStart"/>
      <w:r w:rsidRPr="00826530">
        <w:rPr>
          <w:rFonts w:ascii="Arial" w:hAnsi="Arial" w:cs="Arial"/>
          <w:color w:val="222222"/>
          <w:sz w:val="24"/>
          <w:szCs w:val="24"/>
          <w:shd w:val="clear" w:color="auto" w:fill="FFFFFF"/>
        </w:rPr>
        <w:t>Bärnighausen</w:t>
      </w:r>
      <w:proofErr w:type="spellEnd"/>
      <w:r w:rsidRPr="00826530">
        <w:rPr>
          <w:rFonts w:ascii="Arial" w:hAnsi="Arial" w:cs="Arial"/>
          <w:color w:val="222222"/>
          <w:sz w:val="24"/>
          <w:szCs w:val="24"/>
          <w:shd w:val="clear" w:color="auto" w:fill="FFFFFF"/>
        </w:rPr>
        <w:t xml:space="preserve"> T, </w:t>
      </w:r>
      <w:proofErr w:type="spellStart"/>
      <w:r w:rsidRPr="00826530">
        <w:rPr>
          <w:rFonts w:ascii="Arial" w:hAnsi="Arial" w:cs="Arial"/>
          <w:color w:val="222222"/>
          <w:sz w:val="24"/>
          <w:szCs w:val="24"/>
          <w:shd w:val="clear" w:color="auto" w:fill="FFFFFF"/>
        </w:rPr>
        <w:t>Tanser</w:t>
      </w:r>
      <w:proofErr w:type="spellEnd"/>
      <w:r w:rsidRPr="00826530">
        <w:rPr>
          <w:rFonts w:ascii="Arial" w:hAnsi="Arial" w:cs="Arial"/>
          <w:color w:val="222222"/>
          <w:sz w:val="24"/>
          <w:szCs w:val="24"/>
          <w:shd w:val="clear" w:color="auto" w:fill="FFFFFF"/>
        </w:rPr>
        <w:t xml:space="preserve"> F, Lurie MN, Newell ML. Age-gaps in sexual partnerships: seeing beyond ‘sugar </w:t>
      </w:r>
      <w:proofErr w:type="gramStart"/>
      <w:r w:rsidRPr="00826530">
        <w:rPr>
          <w:rFonts w:ascii="Arial" w:hAnsi="Arial" w:cs="Arial"/>
          <w:color w:val="222222"/>
          <w:sz w:val="24"/>
          <w:szCs w:val="24"/>
          <w:shd w:val="clear" w:color="auto" w:fill="FFFFFF"/>
        </w:rPr>
        <w:t>daddies’</w:t>
      </w:r>
      <w:proofErr w:type="gramEnd"/>
      <w:r w:rsidRPr="00826530">
        <w:rPr>
          <w:rFonts w:ascii="Arial" w:hAnsi="Arial" w:cs="Arial"/>
          <w:color w:val="222222"/>
          <w:sz w:val="24"/>
          <w:szCs w:val="24"/>
          <w:shd w:val="clear" w:color="auto" w:fill="FFFFFF"/>
        </w:rPr>
        <w:t>. AIDS (London, England). 2011 Mar 27;25(6):861.</w:t>
      </w:r>
    </w:p>
    <w:p w14:paraId="2C37879E" w14:textId="77777777" w:rsidR="00C3297B" w:rsidRPr="00826530" w:rsidRDefault="00C3297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McCarthy B, Benoit C, Jansson M, Kolar K. Regulating sex work: heterogeneity in legal strategies. Annual Review of Law and Social Science. 2012 Dec </w:t>
      </w:r>
      <w:proofErr w:type="gramStart"/>
      <w:r w:rsidRPr="00826530">
        <w:rPr>
          <w:rFonts w:ascii="Arial" w:hAnsi="Arial" w:cs="Arial"/>
          <w:color w:val="222222"/>
          <w:sz w:val="24"/>
          <w:szCs w:val="24"/>
          <w:shd w:val="clear" w:color="auto" w:fill="FFFFFF"/>
        </w:rPr>
        <w:t>1;8:255</w:t>
      </w:r>
      <w:proofErr w:type="gramEnd"/>
      <w:r w:rsidRPr="00826530">
        <w:rPr>
          <w:rFonts w:ascii="Arial" w:hAnsi="Arial" w:cs="Arial"/>
          <w:color w:val="222222"/>
          <w:sz w:val="24"/>
          <w:szCs w:val="24"/>
          <w:shd w:val="clear" w:color="auto" w:fill="FFFFFF"/>
        </w:rPr>
        <w:t>-71.</w:t>
      </w:r>
    </w:p>
    <w:p w14:paraId="6A63153C" w14:textId="77777777" w:rsidR="00C3297B" w:rsidRPr="00826530" w:rsidRDefault="00C3297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lastRenderedPageBreak/>
        <w:t>Baral</w:t>
      </w:r>
      <w:proofErr w:type="spellEnd"/>
      <w:r w:rsidRPr="00826530">
        <w:rPr>
          <w:rFonts w:ascii="Arial" w:hAnsi="Arial" w:cs="Arial"/>
          <w:color w:val="222222"/>
          <w:sz w:val="24"/>
          <w:szCs w:val="24"/>
          <w:shd w:val="clear" w:color="auto" w:fill="FFFFFF"/>
        </w:rPr>
        <w:t xml:space="preserve"> SD, Friedman MR, </w:t>
      </w:r>
      <w:proofErr w:type="spellStart"/>
      <w:r w:rsidRPr="00826530">
        <w:rPr>
          <w:rFonts w:ascii="Arial" w:hAnsi="Arial" w:cs="Arial"/>
          <w:color w:val="222222"/>
          <w:sz w:val="24"/>
          <w:szCs w:val="24"/>
          <w:shd w:val="clear" w:color="auto" w:fill="FFFFFF"/>
        </w:rPr>
        <w:t>Geibel</w:t>
      </w:r>
      <w:proofErr w:type="spellEnd"/>
      <w:r w:rsidRPr="00826530">
        <w:rPr>
          <w:rFonts w:ascii="Arial" w:hAnsi="Arial" w:cs="Arial"/>
          <w:color w:val="222222"/>
          <w:sz w:val="24"/>
          <w:szCs w:val="24"/>
          <w:shd w:val="clear" w:color="auto" w:fill="FFFFFF"/>
        </w:rPr>
        <w:t xml:space="preserve"> S, </w:t>
      </w:r>
      <w:proofErr w:type="spellStart"/>
      <w:r w:rsidRPr="00826530">
        <w:rPr>
          <w:rFonts w:ascii="Arial" w:hAnsi="Arial" w:cs="Arial"/>
          <w:color w:val="222222"/>
          <w:sz w:val="24"/>
          <w:szCs w:val="24"/>
          <w:shd w:val="clear" w:color="auto" w:fill="FFFFFF"/>
        </w:rPr>
        <w:t>Rebe</w:t>
      </w:r>
      <w:proofErr w:type="spellEnd"/>
      <w:r w:rsidRPr="00826530">
        <w:rPr>
          <w:rFonts w:ascii="Arial" w:hAnsi="Arial" w:cs="Arial"/>
          <w:color w:val="222222"/>
          <w:sz w:val="24"/>
          <w:szCs w:val="24"/>
          <w:shd w:val="clear" w:color="auto" w:fill="FFFFFF"/>
        </w:rPr>
        <w:t xml:space="preserve"> K, </w:t>
      </w:r>
      <w:proofErr w:type="spellStart"/>
      <w:r w:rsidRPr="00826530">
        <w:rPr>
          <w:rFonts w:ascii="Arial" w:hAnsi="Arial" w:cs="Arial"/>
          <w:color w:val="222222"/>
          <w:sz w:val="24"/>
          <w:szCs w:val="24"/>
          <w:shd w:val="clear" w:color="auto" w:fill="FFFFFF"/>
        </w:rPr>
        <w:t>Bozhinov</w:t>
      </w:r>
      <w:proofErr w:type="spellEnd"/>
      <w:r w:rsidRPr="00826530">
        <w:rPr>
          <w:rFonts w:ascii="Arial" w:hAnsi="Arial" w:cs="Arial"/>
          <w:color w:val="222222"/>
          <w:sz w:val="24"/>
          <w:szCs w:val="24"/>
          <w:shd w:val="clear" w:color="auto" w:fill="FFFFFF"/>
        </w:rPr>
        <w:t xml:space="preserve"> B, Diouf D, Sabin K, Holland CE, Chan R, </w:t>
      </w:r>
      <w:proofErr w:type="spellStart"/>
      <w:r w:rsidRPr="00826530">
        <w:rPr>
          <w:rFonts w:ascii="Arial" w:hAnsi="Arial" w:cs="Arial"/>
          <w:color w:val="222222"/>
          <w:sz w:val="24"/>
          <w:szCs w:val="24"/>
          <w:shd w:val="clear" w:color="auto" w:fill="FFFFFF"/>
        </w:rPr>
        <w:t>Cáceres</w:t>
      </w:r>
      <w:proofErr w:type="spellEnd"/>
      <w:r w:rsidRPr="00826530">
        <w:rPr>
          <w:rFonts w:ascii="Arial" w:hAnsi="Arial" w:cs="Arial"/>
          <w:color w:val="222222"/>
          <w:sz w:val="24"/>
          <w:szCs w:val="24"/>
          <w:shd w:val="clear" w:color="auto" w:fill="FFFFFF"/>
        </w:rPr>
        <w:t xml:space="preserve"> CF. Male sex workers: practices, contexts, and vulnerabilities for HIV acquisition and transmission. The Lancet. 2015 Jan 17;385(9964):260-73.</w:t>
      </w:r>
    </w:p>
    <w:p w14:paraId="723ABFF8" w14:textId="77777777" w:rsidR="00C3297B" w:rsidRPr="00826530" w:rsidRDefault="00C3297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Benoit C, Smith M, Jansson M, Healey P, Magnuson D. “The prostitution problem”: Claims, evidence, and policy outcomes. Archives of Sexual Behavior. 2019 Oct;48(7):1905-23.</w:t>
      </w:r>
    </w:p>
    <w:p w14:paraId="69648D70"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Alvarado BE, </w:t>
      </w:r>
      <w:proofErr w:type="spellStart"/>
      <w:r w:rsidRPr="00826530">
        <w:rPr>
          <w:rFonts w:ascii="Arial" w:hAnsi="Arial" w:cs="Arial"/>
          <w:color w:val="222222"/>
          <w:sz w:val="24"/>
          <w:szCs w:val="24"/>
          <w:shd w:val="clear" w:color="auto" w:fill="FFFFFF"/>
        </w:rPr>
        <w:t>Mueses</w:t>
      </w:r>
      <w:proofErr w:type="spellEnd"/>
      <w:r w:rsidRPr="00826530">
        <w:rPr>
          <w:rFonts w:ascii="Arial" w:hAnsi="Arial" w:cs="Arial"/>
          <w:color w:val="222222"/>
          <w:sz w:val="24"/>
          <w:szCs w:val="24"/>
          <w:shd w:val="clear" w:color="auto" w:fill="FFFFFF"/>
        </w:rPr>
        <w:t xml:space="preserve"> HF, Galindo J, Martínez-</w:t>
      </w:r>
      <w:proofErr w:type="spellStart"/>
      <w:r w:rsidRPr="00826530">
        <w:rPr>
          <w:rFonts w:ascii="Arial" w:hAnsi="Arial" w:cs="Arial"/>
          <w:color w:val="222222"/>
          <w:sz w:val="24"/>
          <w:szCs w:val="24"/>
          <w:shd w:val="clear" w:color="auto" w:fill="FFFFFF"/>
        </w:rPr>
        <w:t>Cajas</w:t>
      </w:r>
      <w:proofErr w:type="spellEnd"/>
      <w:r w:rsidRPr="00826530">
        <w:rPr>
          <w:rFonts w:ascii="Arial" w:hAnsi="Arial" w:cs="Arial"/>
          <w:color w:val="222222"/>
          <w:sz w:val="24"/>
          <w:szCs w:val="24"/>
          <w:shd w:val="clear" w:color="auto" w:fill="FFFFFF"/>
        </w:rPr>
        <w:t xml:space="preserve"> JL. Application of the “</w:t>
      </w:r>
      <w:proofErr w:type="spellStart"/>
      <w:r w:rsidRPr="00826530">
        <w:rPr>
          <w:rFonts w:ascii="Arial" w:hAnsi="Arial" w:cs="Arial"/>
          <w:color w:val="222222"/>
          <w:sz w:val="24"/>
          <w:szCs w:val="24"/>
          <w:shd w:val="clear" w:color="auto" w:fill="FFFFFF"/>
        </w:rPr>
        <w:t>syndemics</w:t>
      </w:r>
      <w:proofErr w:type="spellEnd"/>
      <w:r w:rsidRPr="00826530">
        <w:rPr>
          <w:rFonts w:ascii="Arial" w:hAnsi="Arial" w:cs="Arial"/>
          <w:color w:val="222222"/>
          <w:sz w:val="24"/>
          <w:szCs w:val="24"/>
          <w:shd w:val="clear" w:color="auto" w:fill="FFFFFF"/>
        </w:rPr>
        <w:t xml:space="preserve">” theory to explain unprotected sex and transactional sex: A cross-sectional study in men who have sex with men (MSM), transgender women, and non-MSM in Colombia. </w:t>
      </w:r>
      <w:proofErr w:type="spellStart"/>
      <w:r w:rsidRPr="00826530">
        <w:rPr>
          <w:rFonts w:ascii="Arial" w:hAnsi="Arial" w:cs="Arial"/>
          <w:color w:val="222222"/>
          <w:sz w:val="24"/>
          <w:szCs w:val="24"/>
          <w:shd w:val="clear" w:color="auto" w:fill="FFFFFF"/>
        </w:rPr>
        <w:t>Biomédica</w:t>
      </w:r>
      <w:proofErr w:type="spellEnd"/>
      <w:r w:rsidRPr="00826530">
        <w:rPr>
          <w:rFonts w:ascii="Arial" w:hAnsi="Arial" w:cs="Arial"/>
          <w:color w:val="222222"/>
          <w:sz w:val="24"/>
          <w:szCs w:val="24"/>
          <w:shd w:val="clear" w:color="auto" w:fill="FFFFFF"/>
        </w:rPr>
        <w:t>. 2020 Jun;40(2):391.</w:t>
      </w:r>
    </w:p>
    <w:p w14:paraId="22DBDA83"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Bauermeister</w:t>
      </w:r>
      <w:proofErr w:type="spellEnd"/>
      <w:r w:rsidRPr="00826530">
        <w:rPr>
          <w:rFonts w:ascii="Arial" w:hAnsi="Arial" w:cs="Arial"/>
          <w:color w:val="222222"/>
          <w:sz w:val="24"/>
          <w:szCs w:val="24"/>
          <w:shd w:val="clear" w:color="auto" w:fill="FFFFFF"/>
        </w:rPr>
        <w:t xml:space="preserve"> JA, Eaton L, </w:t>
      </w:r>
      <w:proofErr w:type="spellStart"/>
      <w:r w:rsidRPr="00826530">
        <w:rPr>
          <w:rFonts w:ascii="Arial" w:hAnsi="Arial" w:cs="Arial"/>
          <w:color w:val="222222"/>
          <w:sz w:val="24"/>
          <w:szCs w:val="24"/>
          <w:shd w:val="clear" w:color="auto" w:fill="FFFFFF"/>
        </w:rPr>
        <w:t>Meanley</w:t>
      </w:r>
      <w:proofErr w:type="spellEnd"/>
      <w:r w:rsidRPr="00826530">
        <w:rPr>
          <w:rFonts w:ascii="Arial" w:hAnsi="Arial" w:cs="Arial"/>
          <w:color w:val="222222"/>
          <w:sz w:val="24"/>
          <w:szCs w:val="24"/>
          <w:shd w:val="clear" w:color="auto" w:fill="FFFFFF"/>
        </w:rPr>
        <w:t xml:space="preserve"> S, </w:t>
      </w:r>
      <w:proofErr w:type="spellStart"/>
      <w:r w:rsidRPr="00826530">
        <w:rPr>
          <w:rFonts w:ascii="Arial" w:hAnsi="Arial" w:cs="Arial"/>
          <w:color w:val="222222"/>
          <w:sz w:val="24"/>
          <w:szCs w:val="24"/>
          <w:shd w:val="clear" w:color="auto" w:fill="FFFFFF"/>
        </w:rPr>
        <w:t>Pingel</w:t>
      </w:r>
      <w:proofErr w:type="spellEnd"/>
      <w:r w:rsidRPr="00826530">
        <w:rPr>
          <w:rFonts w:ascii="Arial" w:hAnsi="Arial" w:cs="Arial"/>
          <w:color w:val="222222"/>
          <w:sz w:val="24"/>
          <w:szCs w:val="24"/>
          <w:shd w:val="clear" w:color="auto" w:fill="FFFFFF"/>
        </w:rPr>
        <w:t xml:space="preserve"> ES, UHIP Partnership. Transactional sex with regular and casual partners among young men who have sex with men in the Detroit metro area. American journal of men's health. 2017 May;11(3):498-507.</w:t>
      </w:r>
    </w:p>
    <w:p w14:paraId="7107AE4C"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Berg RC, </w:t>
      </w:r>
      <w:proofErr w:type="spellStart"/>
      <w:r w:rsidRPr="00826530">
        <w:rPr>
          <w:rFonts w:ascii="Arial" w:hAnsi="Arial" w:cs="Arial"/>
          <w:color w:val="222222"/>
          <w:sz w:val="24"/>
          <w:szCs w:val="24"/>
          <w:shd w:val="clear" w:color="auto" w:fill="FFFFFF"/>
        </w:rPr>
        <w:t>Weatherburn</w:t>
      </w:r>
      <w:proofErr w:type="spellEnd"/>
      <w:r w:rsidRPr="00826530">
        <w:rPr>
          <w:rFonts w:ascii="Arial" w:hAnsi="Arial" w:cs="Arial"/>
          <w:color w:val="222222"/>
          <w:sz w:val="24"/>
          <w:szCs w:val="24"/>
          <w:shd w:val="clear" w:color="auto" w:fill="FFFFFF"/>
        </w:rPr>
        <w:t xml:space="preserve"> P, Marcus U, Schmidt AJ. Links between transactional sex and HIV/STI-risk and substance use among a large sample of European men who have sex with men. BMC infectious diseases. 2019 Dec;19(1):1-9.</w:t>
      </w:r>
    </w:p>
    <w:p w14:paraId="41A0125B"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Bond KT, Yoon IS, </w:t>
      </w:r>
      <w:proofErr w:type="spellStart"/>
      <w:r w:rsidRPr="00826530">
        <w:rPr>
          <w:rFonts w:ascii="Arial" w:hAnsi="Arial" w:cs="Arial"/>
          <w:color w:val="222222"/>
          <w:sz w:val="24"/>
          <w:szCs w:val="24"/>
          <w:shd w:val="clear" w:color="auto" w:fill="FFFFFF"/>
        </w:rPr>
        <w:t>Houang</w:t>
      </w:r>
      <w:proofErr w:type="spellEnd"/>
      <w:r w:rsidRPr="00826530">
        <w:rPr>
          <w:rFonts w:ascii="Arial" w:hAnsi="Arial" w:cs="Arial"/>
          <w:color w:val="222222"/>
          <w:sz w:val="24"/>
          <w:szCs w:val="24"/>
          <w:shd w:val="clear" w:color="auto" w:fill="FFFFFF"/>
        </w:rPr>
        <w:t xml:space="preserve"> ST, Downing MJ, </w:t>
      </w:r>
      <w:proofErr w:type="spellStart"/>
      <w:r w:rsidRPr="00826530">
        <w:rPr>
          <w:rFonts w:ascii="Arial" w:hAnsi="Arial" w:cs="Arial"/>
          <w:color w:val="222222"/>
          <w:sz w:val="24"/>
          <w:szCs w:val="24"/>
          <w:shd w:val="clear" w:color="auto" w:fill="FFFFFF"/>
        </w:rPr>
        <w:t>Grov</w:t>
      </w:r>
      <w:proofErr w:type="spellEnd"/>
      <w:r w:rsidRPr="00826530">
        <w:rPr>
          <w:rFonts w:ascii="Arial" w:hAnsi="Arial" w:cs="Arial"/>
          <w:color w:val="222222"/>
          <w:sz w:val="24"/>
          <w:szCs w:val="24"/>
          <w:shd w:val="clear" w:color="auto" w:fill="FFFFFF"/>
        </w:rPr>
        <w:t xml:space="preserve"> C, </w:t>
      </w:r>
      <w:proofErr w:type="spellStart"/>
      <w:r w:rsidRPr="00826530">
        <w:rPr>
          <w:rFonts w:ascii="Arial" w:hAnsi="Arial" w:cs="Arial"/>
          <w:color w:val="222222"/>
          <w:sz w:val="24"/>
          <w:szCs w:val="24"/>
          <w:shd w:val="clear" w:color="auto" w:fill="FFFFFF"/>
        </w:rPr>
        <w:t>Hirshfield</w:t>
      </w:r>
      <w:proofErr w:type="spellEnd"/>
      <w:r w:rsidRPr="00826530">
        <w:rPr>
          <w:rFonts w:ascii="Arial" w:hAnsi="Arial" w:cs="Arial"/>
          <w:color w:val="222222"/>
          <w:sz w:val="24"/>
          <w:szCs w:val="24"/>
          <w:shd w:val="clear" w:color="auto" w:fill="FFFFFF"/>
        </w:rPr>
        <w:t xml:space="preserve"> S. Transactional sex, substance use, and sexual risk: comparing pay direction for an internet-based US sample of men who have sex with men. Sexuality Research and Social Policy. 2019 Sep;16(3):255-67.</w:t>
      </w:r>
    </w:p>
    <w:p w14:paraId="16AE486D"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lastRenderedPageBreak/>
        <w:t>Nerlander</w:t>
      </w:r>
      <w:proofErr w:type="spellEnd"/>
      <w:r w:rsidRPr="00826530">
        <w:rPr>
          <w:rFonts w:ascii="Arial" w:hAnsi="Arial" w:cs="Arial"/>
          <w:color w:val="222222"/>
          <w:sz w:val="24"/>
          <w:szCs w:val="24"/>
          <w:shd w:val="clear" w:color="auto" w:fill="FFFFFF"/>
        </w:rPr>
        <w:t xml:space="preserve"> LM, Hess KL, </w:t>
      </w:r>
      <w:proofErr w:type="spellStart"/>
      <w:r w:rsidRPr="00826530">
        <w:rPr>
          <w:rFonts w:ascii="Arial" w:hAnsi="Arial" w:cs="Arial"/>
          <w:color w:val="222222"/>
          <w:sz w:val="24"/>
          <w:szCs w:val="24"/>
          <w:shd w:val="clear" w:color="auto" w:fill="FFFFFF"/>
        </w:rPr>
        <w:t>Sionean</w:t>
      </w:r>
      <w:proofErr w:type="spellEnd"/>
      <w:r w:rsidRPr="00826530">
        <w:rPr>
          <w:rFonts w:ascii="Arial" w:hAnsi="Arial" w:cs="Arial"/>
          <w:color w:val="222222"/>
          <w:sz w:val="24"/>
          <w:szCs w:val="24"/>
          <w:shd w:val="clear" w:color="auto" w:fill="FFFFFF"/>
        </w:rPr>
        <w:t xml:space="preserve"> C, Rose CE, Thorson A, Broz D, Paz-Bailey G. Exchange sex and HIV infection among men who have sex with men: 20 US cities, 2011. AIDS and Behavior. 2017 Aug;21(8):2283-94.</w:t>
      </w:r>
    </w:p>
    <w:p w14:paraId="16B81BDF" w14:textId="2B65C892"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Walters SM, </w:t>
      </w:r>
      <w:proofErr w:type="spellStart"/>
      <w:r w:rsidRPr="00826530">
        <w:rPr>
          <w:rFonts w:ascii="Arial" w:hAnsi="Arial" w:cs="Arial"/>
          <w:color w:val="222222"/>
          <w:sz w:val="24"/>
          <w:szCs w:val="24"/>
          <w:shd w:val="clear" w:color="auto" w:fill="FFFFFF"/>
        </w:rPr>
        <w:t>Braksmajer</w:t>
      </w:r>
      <w:proofErr w:type="spellEnd"/>
      <w:r w:rsidRPr="00826530">
        <w:rPr>
          <w:rFonts w:ascii="Arial" w:hAnsi="Arial" w:cs="Arial"/>
          <w:color w:val="222222"/>
          <w:sz w:val="24"/>
          <w:szCs w:val="24"/>
          <w:shd w:val="clear" w:color="auto" w:fill="FFFFFF"/>
        </w:rPr>
        <w:t xml:space="preserve"> A, Coston B, Yoon I, </w:t>
      </w:r>
      <w:proofErr w:type="spellStart"/>
      <w:r w:rsidRPr="00826530">
        <w:rPr>
          <w:rFonts w:ascii="Arial" w:hAnsi="Arial" w:cs="Arial"/>
          <w:color w:val="222222"/>
          <w:sz w:val="24"/>
          <w:szCs w:val="24"/>
          <w:shd w:val="clear" w:color="auto" w:fill="FFFFFF"/>
        </w:rPr>
        <w:t>Grov</w:t>
      </w:r>
      <w:proofErr w:type="spellEnd"/>
      <w:r w:rsidRPr="00826530">
        <w:rPr>
          <w:rFonts w:ascii="Arial" w:hAnsi="Arial" w:cs="Arial"/>
          <w:color w:val="222222"/>
          <w:sz w:val="24"/>
          <w:szCs w:val="24"/>
          <w:shd w:val="clear" w:color="auto" w:fill="FFFFFF"/>
        </w:rPr>
        <w:t xml:space="preserve"> C, Downing MJ, Teran R, </w:t>
      </w:r>
      <w:proofErr w:type="spellStart"/>
      <w:r w:rsidRPr="00826530">
        <w:rPr>
          <w:rFonts w:ascii="Arial" w:hAnsi="Arial" w:cs="Arial"/>
          <w:color w:val="222222"/>
          <w:sz w:val="24"/>
          <w:szCs w:val="24"/>
          <w:shd w:val="clear" w:color="auto" w:fill="FFFFFF"/>
        </w:rPr>
        <w:t>Hirshfield</w:t>
      </w:r>
      <w:proofErr w:type="spellEnd"/>
      <w:r w:rsidRPr="00826530">
        <w:rPr>
          <w:rFonts w:ascii="Arial" w:hAnsi="Arial" w:cs="Arial"/>
          <w:color w:val="222222"/>
          <w:sz w:val="24"/>
          <w:szCs w:val="24"/>
          <w:shd w:val="clear" w:color="auto" w:fill="FFFFFF"/>
        </w:rPr>
        <w:t xml:space="preserve"> S. A syndemic model of exchange sex among HIV-positive men who have sex with men. Archives of sexual behavior. 2020 Jan 21:1-4.</w:t>
      </w:r>
    </w:p>
    <w:p w14:paraId="09513916" w14:textId="77777777" w:rsidR="00A72456" w:rsidRPr="00826530" w:rsidRDefault="00A72456" w:rsidP="00A72456">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Weber AE, </w:t>
      </w:r>
      <w:proofErr w:type="spellStart"/>
      <w:r w:rsidRPr="00826530">
        <w:rPr>
          <w:rFonts w:ascii="Arial" w:hAnsi="Arial" w:cs="Arial"/>
          <w:color w:val="222222"/>
          <w:sz w:val="24"/>
          <w:szCs w:val="24"/>
          <w:shd w:val="clear" w:color="auto" w:fill="FFFFFF"/>
        </w:rPr>
        <w:t>Craib</w:t>
      </w:r>
      <w:proofErr w:type="spellEnd"/>
      <w:r w:rsidRPr="00826530">
        <w:rPr>
          <w:rFonts w:ascii="Arial" w:hAnsi="Arial" w:cs="Arial"/>
          <w:color w:val="222222"/>
          <w:sz w:val="24"/>
          <w:szCs w:val="24"/>
          <w:shd w:val="clear" w:color="auto" w:fill="FFFFFF"/>
        </w:rPr>
        <w:t xml:space="preserve"> KJ, Chan K, Martindale S, Miller ML, Schechter MT, Hogg RS. Sex trade involvement and rates of human immunodeficiency virus positivity among young gay and bisexual men. International journal of epidemiology. 2001 Dec 1;30(6):1449-54.</w:t>
      </w:r>
    </w:p>
    <w:p w14:paraId="0C07A3FD" w14:textId="77777777" w:rsidR="00A72456" w:rsidRPr="00826530" w:rsidRDefault="00A72456" w:rsidP="00A72456">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Earls CM, David H. A psychosocial study of male prostitution. Archives of sexual behavior. 1989 Oct;18(5):401-19.</w:t>
      </w:r>
    </w:p>
    <w:p w14:paraId="7ACC43C8" w14:textId="67F7296C" w:rsidR="00A72456" w:rsidRPr="00826530" w:rsidRDefault="00A72456" w:rsidP="00A72456">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Argento</w:t>
      </w:r>
      <w:proofErr w:type="spellEnd"/>
      <w:r w:rsidRPr="00826530">
        <w:rPr>
          <w:rFonts w:ascii="Arial" w:hAnsi="Arial" w:cs="Arial"/>
          <w:color w:val="222222"/>
          <w:sz w:val="24"/>
          <w:szCs w:val="24"/>
          <w:shd w:val="clear" w:color="auto" w:fill="FFFFFF"/>
        </w:rPr>
        <w:t xml:space="preserve"> E, Taylor M, </w:t>
      </w:r>
      <w:proofErr w:type="spellStart"/>
      <w:r w:rsidRPr="00826530">
        <w:rPr>
          <w:rFonts w:ascii="Arial" w:hAnsi="Arial" w:cs="Arial"/>
          <w:color w:val="222222"/>
          <w:sz w:val="24"/>
          <w:szCs w:val="24"/>
          <w:shd w:val="clear" w:color="auto" w:fill="FFFFFF"/>
        </w:rPr>
        <w:t>Jollimore</w:t>
      </w:r>
      <w:proofErr w:type="spellEnd"/>
      <w:r w:rsidRPr="00826530">
        <w:rPr>
          <w:rFonts w:ascii="Arial" w:hAnsi="Arial" w:cs="Arial"/>
          <w:color w:val="222222"/>
          <w:sz w:val="24"/>
          <w:szCs w:val="24"/>
          <w:shd w:val="clear" w:color="auto" w:fill="FFFFFF"/>
        </w:rPr>
        <w:t xml:space="preserve"> J, Taylor C, </w:t>
      </w:r>
      <w:proofErr w:type="spellStart"/>
      <w:r w:rsidRPr="00826530">
        <w:rPr>
          <w:rFonts w:ascii="Arial" w:hAnsi="Arial" w:cs="Arial"/>
          <w:color w:val="222222"/>
          <w:sz w:val="24"/>
          <w:szCs w:val="24"/>
          <w:shd w:val="clear" w:color="auto" w:fill="FFFFFF"/>
        </w:rPr>
        <w:t>Jennex</w:t>
      </w:r>
      <w:proofErr w:type="spellEnd"/>
      <w:r w:rsidRPr="00826530">
        <w:rPr>
          <w:rFonts w:ascii="Arial" w:hAnsi="Arial" w:cs="Arial"/>
          <w:color w:val="222222"/>
          <w:sz w:val="24"/>
          <w:szCs w:val="24"/>
          <w:shd w:val="clear" w:color="auto" w:fill="FFFFFF"/>
        </w:rPr>
        <w:t xml:space="preserve"> J, </w:t>
      </w:r>
      <w:proofErr w:type="spellStart"/>
      <w:r w:rsidRPr="00826530">
        <w:rPr>
          <w:rFonts w:ascii="Arial" w:hAnsi="Arial" w:cs="Arial"/>
          <w:color w:val="222222"/>
          <w:sz w:val="24"/>
          <w:szCs w:val="24"/>
          <w:shd w:val="clear" w:color="auto" w:fill="FFFFFF"/>
        </w:rPr>
        <w:t>Krusi</w:t>
      </w:r>
      <w:proofErr w:type="spellEnd"/>
      <w:r w:rsidRPr="00826530">
        <w:rPr>
          <w:rFonts w:ascii="Arial" w:hAnsi="Arial" w:cs="Arial"/>
          <w:color w:val="222222"/>
          <w:sz w:val="24"/>
          <w:szCs w:val="24"/>
          <w:shd w:val="clear" w:color="auto" w:fill="FFFFFF"/>
        </w:rPr>
        <w:t xml:space="preserve"> A, Shannon K. The loss of </w:t>
      </w:r>
      <w:proofErr w:type="spellStart"/>
      <w:r w:rsidRPr="00826530">
        <w:rPr>
          <w:rFonts w:ascii="Arial" w:hAnsi="Arial" w:cs="Arial"/>
          <w:color w:val="222222"/>
          <w:sz w:val="24"/>
          <w:szCs w:val="24"/>
          <w:shd w:val="clear" w:color="auto" w:fill="FFFFFF"/>
        </w:rPr>
        <w:t>Boystown</w:t>
      </w:r>
      <w:proofErr w:type="spellEnd"/>
      <w:r w:rsidRPr="00826530">
        <w:rPr>
          <w:rFonts w:ascii="Arial" w:hAnsi="Arial" w:cs="Arial"/>
          <w:color w:val="222222"/>
          <w:sz w:val="24"/>
          <w:szCs w:val="24"/>
          <w:shd w:val="clear" w:color="auto" w:fill="FFFFFF"/>
        </w:rPr>
        <w:t xml:space="preserve"> and transition to online sex work: Strategies and barriers to increase safety among men sex workers and clients of men. American journal of men's health. 2018 Nov;12(6):1994-2005.</w:t>
      </w:r>
    </w:p>
    <w:p w14:paraId="2CDCA2A0"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Gile</w:t>
      </w:r>
      <w:proofErr w:type="spellEnd"/>
      <w:r w:rsidRPr="00826530">
        <w:rPr>
          <w:rFonts w:ascii="Arial" w:hAnsi="Arial" w:cs="Arial"/>
          <w:color w:val="222222"/>
          <w:sz w:val="24"/>
          <w:szCs w:val="24"/>
          <w:shd w:val="clear" w:color="auto" w:fill="FFFFFF"/>
        </w:rPr>
        <w:t xml:space="preserve"> KJ, Handcock MS. 7. Respondent-driven sampling: An assessment of current methodology. Sociological methodology. 2010 Aug;40(1):285-327.</w:t>
      </w:r>
    </w:p>
    <w:p w14:paraId="2C6A4FFA"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Saunders JB, </w:t>
      </w:r>
      <w:proofErr w:type="spellStart"/>
      <w:r w:rsidRPr="00826530">
        <w:rPr>
          <w:rFonts w:ascii="Arial" w:hAnsi="Arial" w:cs="Arial"/>
          <w:color w:val="222222"/>
          <w:sz w:val="24"/>
          <w:szCs w:val="24"/>
          <w:shd w:val="clear" w:color="auto" w:fill="FFFFFF"/>
        </w:rPr>
        <w:t>Aasland</w:t>
      </w:r>
      <w:proofErr w:type="spellEnd"/>
      <w:r w:rsidRPr="00826530">
        <w:rPr>
          <w:rFonts w:ascii="Arial" w:hAnsi="Arial" w:cs="Arial"/>
          <w:color w:val="222222"/>
          <w:sz w:val="24"/>
          <w:szCs w:val="24"/>
          <w:shd w:val="clear" w:color="auto" w:fill="FFFFFF"/>
        </w:rPr>
        <w:t xml:space="preserve"> OG, </w:t>
      </w:r>
      <w:proofErr w:type="spellStart"/>
      <w:r w:rsidRPr="00826530">
        <w:rPr>
          <w:rFonts w:ascii="Arial" w:hAnsi="Arial" w:cs="Arial"/>
          <w:color w:val="222222"/>
          <w:sz w:val="24"/>
          <w:szCs w:val="24"/>
          <w:shd w:val="clear" w:color="auto" w:fill="FFFFFF"/>
        </w:rPr>
        <w:t>Babor</w:t>
      </w:r>
      <w:proofErr w:type="spellEnd"/>
      <w:r w:rsidRPr="00826530">
        <w:rPr>
          <w:rFonts w:ascii="Arial" w:hAnsi="Arial" w:cs="Arial"/>
          <w:color w:val="222222"/>
          <w:sz w:val="24"/>
          <w:szCs w:val="24"/>
          <w:shd w:val="clear" w:color="auto" w:fill="FFFFFF"/>
        </w:rPr>
        <w:t xml:space="preserve"> TF, De La Fuente JR, Grant M. Development of the alcohol use disorders identification test (AUDIT): WHO collaborative project on early detection of persons with harmful alcohol consumption</w:t>
      </w:r>
      <w:r w:rsidRPr="00826530">
        <w:rPr>
          <w:rFonts w:ascii="Cambria Math" w:hAnsi="Cambria Math" w:cs="Cambria Math"/>
          <w:color w:val="222222"/>
          <w:sz w:val="24"/>
          <w:szCs w:val="24"/>
          <w:shd w:val="clear" w:color="auto" w:fill="FFFFFF"/>
        </w:rPr>
        <w:t>‐</w:t>
      </w:r>
      <w:r w:rsidRPr="00826530">
        <w:rPr>
          <w:rFonts w:ascii="Arial" w:hAnsi="Arial" w:cs="Arial"/>
          <w:color w:val="222222"/>
          <w:sz w:val="24"/>
          <w:szCs w:val="24"/>
          <w:shd w:val="clear" w:color="auto" w:fill="FFFFFF"/>
        </w:rPr>
        <w:t>II. Addiction. 1993 Jun;88(6):791-804.</w:t>
      </w:r>
    </w:p>
    <w:p w14:paraId="70720818"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lastRenderedPageBreak/>
        <w:t>Kalichman</w:t>
      </w:r>
      <w:proofErr w:type="spellEnd"/>
      <w:r w:rsidRPr="00826530">
        <w:rPr>
          <w:rFonts w:ascii="Arial" w:hAnsi="Arial" w:cs="Arial"/>
          <w:color w:val="222222"/>
          <w:sz w:val="24"/>
          <w:szCs w:val="24"/>
          <w:shd w:val="clear" w:color="auto" w:fill="FFFFFF"/>
        </w:rPr>
        <w:t xml:space="preserve"> SC, </w:t>
      </w:r>
      <w:proofErr w:type="spellStart"/>
      <w:r w:rsidRPr="00826530">
        <w:rPr>
          <w:rFonts w:ascii="Arial" w:hAnsi="Arial" w:cs="Arial"/>
          <w:color w:val="222222"/>
          <w:sz w:val="24"/>
          <w:szCs w:val="24"/>
          <w:shd w:val="clear" w:color="auto" w:fill="FFFFFF"/>
        </w:rPr>
        <w:t>Rompa</w:t>
      </w:r>
      <w:proofErr w:type="spellEnd"/>
      <w:r w:rsidRPr="00826530">
        <w:rPr>
          <w:rFonts w:ascii="Arial" w:hAnsi="Arial" w:cs="Arial"/>
          <w:color w:val="222222"/>
          <w:sz w:val="24"/>
          <w:szCs w:val="24"/>
          <w:shd w:val="clear" w:color="auto" w:fill="FFFFFF"/>
        </w:rPr>
        <w:t xml:space="preserve"> D. Sexual sensation seeking and sexual compulsivity scales: </w:t>
      </w:r>
      <w:proofErr w:type="gramStart"/>
      <w:r w:rsidRPr="00826530">
        <w:rPr>
          <w:rFonts w:ascii="Arial" w:hAnsi="Arial" w:cs="Arial"/>
          <w:color w:val="222222"/>
          <w:sz w:val="24"/>
          <w:szCs w:val="24"/>
          <w:shd w:val="clear" w:color="auto" w:fill="FFFFFF"/>
        </w:rPr>
        <w:t>Validity, and</w:t>
      </w:r>
      <w:proofErr w:type="gramEnd"/>
      <w:r w:rsidRPr="00826530">
        <w:rPr>
          <w:rFonts w:ascii="Arial" w:hAnsi="Arial" w:cs="Arial"/>
          <w:color w:val="222222"/>
          <w:sz w:val="24"/>
          <w:szCs w:val="24"/>
          <w:shd w:val="clear" w:color="auto" w:fill="FFFFFF"/>
        </w:rPr>
        <w:t xml:space="preserve"> predicting HIV risk behavior. Journal of personality assessment. 1995 Dec 1;65(3):586-601.</w:t>
      </w:r>
    </w:p>
    <w:p w14:paraId="41DCD316"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McKirnan</w:t>
      </w:r>
      <w:proofErr w:type="spellEnd"/>
      <w:r w:rsidRPr="00826530">
        <w:rPr>
          <w:rFonts w:ascii="Arial" w:hAnsi="Arial" w:cs="Arial"/>
          <w:color w:val="222222"/>
          <w:sz w:val="24"/>
          <w:szCs w:val="24"/>
          <w:shd w:val="clear" w:color="auto" w:fill="FFFFFF"/>
        </w:rPr>
        <w:t xml:space="preserve"> DJ, </w:t>
      </w:r>
      <w:proofErr w:type="spellStart"/>
      <w:r w:rsidRPr="00826530">
        <w:rPr>
          <w:rFonts w:ascii="Arial" w:hAnsi="Arial" w:cs="Arial"/>
          <w:color w:val="222222"/>
          <w:sz w:val="24"/>
          <w:szCs w:val="24"/>
          <w:shd w:val="clear" w:color="auto" w:fill="FFFFFF"/>
        </w:rPr>
        <w:t>Vanable</w:t>
      </w:r>
      <w:proofErr w:type="spellEnd"/>
      <w:r w:rsidRPr="00826530">
        <w:rPr>
          <w:rFonts w:ascii="Arial" w:hAnsi="Arial" w:cs="Arial"/>
          <w:color w:val="222222"/>
          <w:sz w:val="24"/>
          <w:szCs w:val="24"/>
          <w:shd w:val="clear" w:color="auto" w:fill="FFFFFF"/>
        </w:rPr>
        <w:t xml:space="preserve"> PA, Ostrow DG, Hope B. Expectancies of sexual “escape” and sexual risk among drug-and alcohol-involved gay and bisexual men. Journal of substance abuse. 2001 Sep 1;13(1-2):137-54.</w:t>
      </w:r>
    </w:p>
    <w:p w14:paraId="2D01A978"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Gierveld</w:t>
      </w:r>
      <w:proofErr w:type="spellEnd"/>
      <w:r w:rsidRPr="00826530">
        <w:rPr>
          <w:rFonts w:ascii="Arial" w:hAnsi="Arial" w:cs="Arial"/>
          <w:color w:val="222222"/>
          <w:sz w:val="24"/>
          <w:szCs w:val="24"/>
          <w:shd w:val="clear" w:color="auto" w:fill="FFFFFF"/>
        </w:rPr>
        <w:t xml:space="preserve"> JD, Tilburg TV. A 6-item scale for overall, emotional, and social loneliness: Confirmatory tests on survey data. Research on aging. 2006 Sep;28(5):582-98.</w:t>
      </w:r>
    </w:p>
    <w:p w14:paraId="38EE1161" w14:textId="77777777" w:rsidR="00F2590B" w:rsidRPr="00826530" w:rsidRDefault="00F2590B"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Snaith RP. The hospital anxiety and depression scale. Health and quality of life outcomes. 2003 Dec;1(1):1-4.</w:t>
      </w:r>
    </w:p>
    <w:p w14:paraId="338C7589" w14:textId="77777777" w:rsidR="000B2312" w:rsidRPr="00826530" w:rsidRDefault="00F2590B" w:rsidP="000B2312">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Lima VD, Geller J, </w:t>
      </w:r>
      <w:proofErr w:type="spellStart"/>
      <w:r w:rsidRPr="00826530">
        <w:rPr>
          <w:rFonts w:ascii="Arial" w:hAnsi="Arial" w:cs="Arial"/>
          <w:color w:val="222222"/>
          <w:sz w:val="24"/>
          <w:szCs w:val="24"/>
          <w:shd w:val="clear" w:color="auto" w:fill="FFFFFF"/>
        </w:rPr>
        <w:t>Bangsberg</w:t>
      </w:r>
      <w:proofErr w:type="spellEnd"/>
      <w:r w:rsidRPr="00826530">
        <w:rPr>
          <w:rFonts w:ascii="Arial" w:hAnsi="Arial" w:cs="Arial"/>
          <w:color w:val="222222"/>
          <w:sz w:val="24"/>
          <w:szCs w:val="24"/>
          <w:shd w:val="clear" w:color="auto" w:fill="FFFFFF"/>
        </w:rPr>
        <w:t xml:space="preserve"> DR, Patterson TL, Daniel M, Kerr T, Montaner JS, Hogg RS. The effect of adherence on the association between depressive symptoms and mortality among HIV-infected individuals first initiating HAART. Aids. 2007 May 31;21(9):1175-83.</w:t>
      </w:r>
    </w:p>
    <w:p w14:paraId="49FD7440" w14:textId="6131687F" w:rsidR="000B2312" w:rsidRPr="00826530" w:rsidRDefault="000B2312" w:rsidP="000B2312">
      <w:pPr>
        <w:pStyle w:val="ListParagraph"/>
        <w:numPr>
          <w:ilvl w:val="0"/>
          <w:numId w:val="6"/>
        </w:numPr>
        <w:spacing w:line="480" w:lineRule="auto"/>
        <w:ind w:left="567" w:hanging="567"/>
        <w:rPr>
          <w:rFonts w:ascii="Arial" w:hAnsi="Arial" w:cs="Arial"/>
          <w:color w:val="000000" w:themeColor="text1"/>
          <w:sz w:val="24"/>
          <w:szCs w:val="24"/>
        </w:rPr>
      </w:pPr>
      <w:r w:rsidRPr="00826530">
        <w:rPr>
          <w:rFonts w:ascii="Arial" w:hAnsi="Arial" w:cs="Arial"/>
          <w:color w:val="000000" w:themeColor="text1"/>
          <w:sz w:val="24"/>
          <w:szCs w:val="24"/>
          <w:shd w:val="clear" w:color="auto" w:fill="FFFFFF"/>
        </w:rPr>
        <w:t>Statistics Canada. </w:t>
      </w:r>
      <w:r w:rsidRPr="00826530">
        <w:rPr>
          <w:rFonts w:ascii="Arial" w:hAnsi="Arial" w:cs="Arial"/>
          <w:color w:val="000000" w:themeColor="text1"/>
          <w:sz w:val="24"/>
          <w:szCs w:val="24"/>
        </w:rPr>
        <w:t>Table 11-10-0191-01. Income statistics by economic family type and income source. 2021.</w:t>
      </w:r>
    </w:p>
    <w:p w14:paraId="4E602D61" w14:textId="7BE38C4E" w:rsidR="009071CA" w:rsidRPr="00826530" w:rsidRDefault="009071CA"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Koken</w:t>
      </w:r>
      <w:proofErr w:type="spellEnd"/>
      <w:r w:rsidRPr="00826530">
        <w:rPr>
          <w:rFonts w:ascii="Arial" w:hAnsi="Arial" w:cs="Arial"/>
          <w:color w:val="222222"/>
          <w:sz w:val="24"/>
          <w:szCs w:val="24"/>
          <w:shd w:val="clear" w:color="auto" w:fill="FFFFFF"/>
        </w:rPr>
        <w:t>, J. A., Parsons, J. T., Severino, J., &amp; Bimbi, D. S. (2005). Exploring commercial sex encounters in an urban community sample of gay and bisexual men: A preliminary report.</w:t>
      </w:r>
      <w:r w:rsidRPr="00826530">
        <w:rPr>
          <w:rStyle w:val="apple-converted-space"/>
          <w:rFonts w:ascii="Arial" w:hAnsi="Arial" w:cs="Arial"/>
          <w:color w:val="222222"/>
          <w:sz w:val="24"/>
          <w:szCs w:val="24"/>
          <w:shd w:val="clear" w:color="auto" w:fill="FFFFFF"/>
        </w:rPr>
        <w:t> </w:t>
      </w:r>
      <w:r w:rsidRPr="00826530">
        <w:rPr>
          <w:rFonts w:ascii="Arial" w:hAnsi="Arial" w:cs="Arial"/>
          <w:color w:val="222222"/>
          <w:sz w:val="24"/>
          <w:szCs w:val="24"/>
        </w:rPr>
        <w:t>Journal of Psychology &amp; Human Sexuality</w:t>
      </w:r>
      <w:r w:rsidR="000B2312" w:rsidRPr="00826530">
        <w:rPr>
          <w:rFonts w:ascii="Arial" w:hAnsi="Arial" w:cs="Arial"/>
          <w:color w:val="222222"/>
          <w:sz w:val="24"/>
          <w:szCs w:val="24"/>
          <w:shd w:val="clear" w:color="auto" w:fill="FFFFFF"/>
        </w:rPr>
        <w:t>. 2005;</w:t>
      </w:r>
      <w:r w:rsidRPr="00826530">
        <w:rPr>
          <w:rStyle w:val="apple-converted-space"/>
          <w:rFonts w:ascii="Arial" w:hAnsi="Arial" w:cs="Arial"/>
          <w:color w:val="222222"/>
          <w:sz w:val="24"/>
          <w:szCs w:val="24"/>
          <w:shd w:val="clear" w:color="auto" w:fill="FFFFFF"/>
        </w:rPr>
        <w:t> </w:t>
      </w:r>
      <w:r w:rsidRPr="00826530">
        <w:rPr>
          <w:rFonts w:ascii="Arial" w:hAnsi="Arial" w:cs="Arial"/>
          <w:color w:val="222222"/>
          <w:sz w:val="24"/>
          <w:szCs w:val="24"/>
        </w:rPr>
        <w:t>17</w:t>
      </w:r>
      <w:r w:rsidRPr="00826530">
        <w:rPr>
          <w:rFonts w:ascii="Arial" w:hAnsi="Arial" w:cs="Arial"/>
          <w:color w:val="222222"/>
          <w:sz w:val="24"/>
          <w:szCs w:val="24"/>
          <w:shd w:val="clear" w:color="auto" w:fill="FFFFFF"/>
        </w:rPr>
        <w:t>(1-2), 197-213.</w:t>
      </w:r>
    </w:p>
    <w:p w14:paraId="0D33A170" w14:textId="77777777" w:rsidR="009071CA" w:rsidRPr="00826530" w:rsidRDefault="009071CA"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lastRenderedPageBreak/>
        <w:t xml:space="preserve">Yu G, </w:t>
      </w:r>
      <w:proofErr w:type="spellStart"/>
      <w:r w:rsidRPr="00826530">
        <w:rPr>
          <w:rFonts w:ascii="Arial" w:hAnsi="Arial" w:cs="Arial"/>
          <w:color w:val="222222"/>
          <w:sz w:val="24"/>
          <w:szCs w:val="24"/>
          <w:shd w:val="clear" w:color="auto" w:fill="FFFFFF"/>
        </w:rPr>
        <w:t>Goldsamt</w:t>
      </w:r>
      <w:proofErr w:type="spellEnd"/>
      <w:r w:rsidRPr="00826530">
        <w:rPr>
          <w:rFonts w:ascii="Arial" w:hAnsi="Arial" w:cs="Arial"/>
          <w:color w:val="222222"/>
          <w:sz w:val="24"/>
          <w:szCs w:val="24"/>
          <w:shd w:val="clear" w:color="auto" w:fill="FFFFFF"/>
        </w:rPr>
        <w:t xml:space="preserve"> LA, </w:t>
      </w:r>
      <w:proofErr w:type="spellStart"/>
      <w:r w:rsidRPr="00826530">
        <w:rPr>
          <w:rFonts w:ascii="Arial" w:hAnsi="Arial" w:cs="Arial"/>
          <w:color w:val="222222"/>
          <w:sz w:val="24"/>
          <w:szCs w:val="24"/>
          <w:shd w:val="clear" w:color="auto" w:fill="FFFFFF"/>
        </w:rPr>
        <w:t>Clatts</w:t>
      </w:r>
      <w:proofErr w:type="spellEnd"/>
      <w:r w:rsidRPr="00826530">
        <w:rPr>
          <w:rFonts w:ascii="Arial" w:hAnsi="Arial" w:cs="Arial"/>
          <w:color w:val="222222"/>
          <w:sz w:val="24"/>
          <w:szCs w:val="24"/>
          <w:shd w:val="clear" w:color="auto" w:fill="FFFFFF"/>
        </w:rPr>
        <w:t xml:space="preserve"> MC. Sexual initiation and complex recent polydrug use patterns among male sex workers in Vietnam: a preliminary epidemiological trajectory. Archives of sexual behavior. 2016 May;45(4):975-81.</w:t>
      </w:r>
    </w:p>
    <w:p w14:paraId="1BBD3E11" w14:textId="77777777" w:rsidR="009071CA" w:rsidRPr="00826530" w:rsidRDefault="009071CA"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Kuyper LM, </w:t>
      </w:r>
      <w:proofErr w:type="spellStart"/>
      <w:r w:rsidRPr="00826530">
        <w:rPr>
          <w:rFonts w:ascii="Arial" w:hAnsi="Arial" w:cs="Arial"/>
          <w:color w:val="222222"/>
          <w:sz w:val="24"/>
          <w:szCs w:val="24"/>
          <w:shd w:val="clear" w:color="auto" w:fill="FFFFFF"/>
        </w:rPr>
        <w:t>Lampinen</w:t>
      </w:r>
      <w:proofErr w:type="spellEnd"/>
      <w:r w:rsidRPr="00826530">
        <w:rPr>
          <w:rFonts w:ascii="Arial" w:hAnsi="Arial" w:cs="Arial"/>
          <w:color w:val="222222"/>
          <w:sz w:val="24"/>
          <w:szCs w:val="24"/>
          <w:shd w:val="clear" w:color="auto" w:fill="FFFFFF"/>
        </w:rPr>
        <w:t xml:space="preserve"> TM, Li K, </w:t>
      </w:r>
      <w:proofErr w:type="spellStart"/>
      <w:r w:rsidRPr="00826530">
        <w:rPr>
          <w:rFonts w:ascii="Arial" w:hAnsi="Arial" w:cs="Arial"/>
          <w:color w:val="222222"/>
          <w:sz w:val="24"/>
          <w:szCs w:val="24"/>
          <w:shd w:val="clear" w:color="auto" w:fill="FFFFFF"/>
        </w:rPr>
        <w:t>Spittal</w:t>
      </w:r>
      <w:proofErr w:type="spellEnd"/>
      <w:r w:rsidRPr="00826530">
        <w:rPr>
          <w:rFonts w:ascii="Arial" w:hAnsi="Arial" w:cs="Arial"/>
          <w:color w:val="222222"/>
          <w:sz w:val="24"/>
          <w:szCs w:val="24"/>
          <w:shd w:val="clear" w:color="auto" w:fill="FFFFFF"/>
        </w:rPr>
        <w:t xml:space="preserve"> PM, Hogg RS, Schechter MT, Wood E. Factors associated with sex trade involvement among male participants in a prospective study of injection drug users. Sexually Transmitted Infections. 2004 Dec 1;80(6):531-5.</w:t>
      </w:r>
    </w:p>
    <w:p w14:paraId="4A1796EC" w14:textId="77777777" w:rsidR="00BC73DD" w:rsidRPr="00826530" w:rsidRDefault="009071CA" w:rsidP="00BC73DD">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Newman PA, Rhodes F, Weiss RE. Correlates of sex trading among drug-using men who have sex with men. American Journal of Public Health. 2004 Nov;94(11):1998-2003.</w:t>
      </w:r>
    </w:p>
    <w:p w14:paraId="5D6FA533" w14:textId="21C9B2CF" w:rsidR="00BC73DD" w:rsidRPr="00826530" w:rsidRDefault="00BC73DD" w:rsidP="00BC73DD">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Tan RK, O’Hara CA, Koh WL, Le D, Tan A, Tyler A, Tan C, Kwok C, Banerjee S, Wong ML. Delineating patterns of sexualized substance use and its association with sexual and mental health outcomes among young gay, bisexual and other men who have sex with men in Singapore: a latent class analysis. BMC public health. 2021 Dec;21(1):1-1.</w:t>
      </w:r>
    </w:p>
    <w:p w14:paraId="2BAF7BE8" w14:textId="77777777" w:rsidR="00954AA3" w:rsidRPr="00826530" w:rsidRDefault="00954AA3"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Mimiaga</w:t>
      </w:r>
      <w:proofErr w:type="spellEnd"/>
      <w:r w:rsidRPr="00826530">
        <w:rPr>
          <w:rFonts w:ascii="Arial" w:hAnsi="Arial" w:cs="Arial"/>
          <w:color w:val="222222"/>
          <w:sz w:val="24"/>
          <w:szCs w:val="24"/>
          <w:shd w:val="clear" w:color="auto" w:fill="FFFFFF"/>
        </w:rPr>
        <w:t xml:space="preserve"> MJ, Reisner SL, Tinsley JP, Mayer KH, </w:t>
      </w:r>
      <w:proofErr w:type="spellStart"/>
      <w:r w:rsidRPr="00826530">
        <w:rPr>
          <w:rFonts w:ascii="Arial" w:hAnsi="Arial" w:cs="Arial"/>
          <w:color w:val="222222"/>
          <w:sz w:val="24"/>
          <w:szCs w:val="24"/>
          <w:shd w:val="clear" w:color="auto" w:fill="FFFFFF"/>
        </w:rPr>
        <w:t>Safren</w:t>
      </w:r>
      <w:proofErr w:type="spellEnd"/>
      <w:r w:rsidRPr="00826530">
        <w:rPr>
          <w:rFonts w:ascii="Arial" w:hAnsi="Arial" w:cs="Arial"/>
          <w:color w:val="222222"/>
          <w:sz w:val="24"/>
          <w:szCs w:val="24"/>
          <w:shd w:val="clear" w:color="auto" w:fill="FFFFFF"/>
        </w:rPr>
        <w:t xml:space="preserve"> SA. Street workers and internet escorts: contextual and psychosocial factors surrounding HIV risk behavior among men who engage in sex work with other men. Journal of Urban Health. 2009 Jan 1;86(1):54-66.</w:t>
      </w:r>
    </w:p>
    <w:p w14:paraId="4CD90198" w14:textId="77777777" w:rsidR="00954AA3" w:rsidRPr="00826530" w:rsidRDefault="00954AA3" w:rsidP="003570B7">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Chen YH, </w:t>
      </w:r>
      <w:proofErr w:type="spellStart"/>
      <w:r w:rsidRPr="00826530">
        <w:rPr>
          <w:rFonts w:ascii="Arial" w:hAnsi="Arial" w:cs="Arial"/>
          <w:color w:val="222222"/>
          <w:sz w:val="24"/>
          <w:szCs w:val="24"/>
          <w:shd w:val="clear" w:color="auto" w:fill="FFFFFF"/>
        </w:rPr>
        <w:t>Guigayoma</w:t>
      </w:r>
      <w:proofErr w:type="spellEnd"/>
      <w:r w:rsidRPr="00826530">
        <w:rPr>
          <w:rFonts w:ascii="Arial" w:hAnsi="Arial" w:cs="Arial"/>
          <w:color w:val="222222"/>
          <w:sz w:val="24"/>
          <w:szCs w:val="24"/>
          <w:shd w:val="clear" w:color="auto" w:fill="FFFFFF"/>
        </w:rPr>
        <w:t xml:space="preserve"> J, McFarland W, Snowden JM, Raymond HF. Increases in pre-exposure prophylaxis use and decreases in condom use: Behavioral patterns among HIV-negative San Francisco men who have sex with men, 2004–2017. AIDS and behavior. 2019 Jul;23(7):1841-5.</w:t>
      </w:r>
    </w:p>
    <w:p w14:paraId="000E4189" w14:textId="77777777" w:rsidR="00954AA3" w:rsidRPr="00826530" w:rsidRDefault="00954AA3"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lastRenderedPageBreak/>
        <w:t>Montaño</w:t>
      </w:r>
      <w:proofErr w:type="spellEnd"/>
      <w:r w:rsidRPr="00826530">
        <w:rPr>
          <w:rFonts w:ascii="Arial" w:hAnsi="Arial" w:cs="Arial"/>
          <w:color w:val="222222"/>
          <w:sz w:val="24"/>
          <w:szCs w:val="24"/>
          <w:shd w:val="clear" w:color="auto" w:fill="FFFFFF"/>
        </w:rPr>
        <w:t xml:space="preserve"> MA, Dombrowski JC, Dasgupta S, Golden MR, </w:t>
      </w:r>
      <w:proofErr w:type="spellStart"/>
      <w:r w:rsidRPr="00826530">
        <w:rPr>
          <w:rFonts w:ascii="Arial" w:hAnsi="Arial" w:cs="Arial"/>
          <w:color w:val="222222"/>
          <w:sz w:val="24"/>
          <w:szCs w:val="24"/>
          <w:shd w:val="clear" w:color="auto" w:fill="FFFFFF"/>
        </w:rPr>
        <w:t>Duerr</w:t>
      </w:r>
      <w:proofErr w:type="spellEnd"/>
      <w:r w:rsidRPr="00826530">
        <w:rPr>
          <w:rFonts w:ascii="Arial" w:hAnsi="Arial" w:cs="Arial"/>
          <w:color w:val="222222"/>
          <w:sz w:val="24"/>
          <w:szCs w:val="24"/>
          <w:shd w:val="clear" w:color="auto" w:fill="FFFFFF"/>
        </w:rPr>
        <w:t xml:space="preserve"> A, Manhart LE, Barbee LA, </w:t>
      </w:r>
      <w:proofErr w:type="spellStart"/>
      <w:r w:rsidRPr="00826530">
        <w:rPr>
          <w:rFonts w:ascii="Arial" w:hAnsi="Arial" w:cs="Arial"/>
          <w:color w:val="222222"/>
          <w:sz w:val="24"/>
          <w:szCs w:val="24"/>
          <w:shd w:val="clear" w:color="auto" w:fill="FFFFFF"/>
        </w:rPr>
        <w:t>Khosropour</w:t>
      </w:r>
      <w:proofErr w:type="spellEnd"/>
      <w:r w:rsidRPr="00826530">
        <w:rPr>
          <w:rFonts w:ascii="Arial" w:hAnsi="Arial" w:cs="Arial"/>
          <w:color w:val="222222"/>
          <w:sz w:val="24"/>
          <w:szCs w:val="24"/>
          <w:shd w:val="clear" w:color="auto" w:fill="FFFFFF"/>
        </w:rPr>
        <w:t xml:space="preserve"> CM. Changes in sexual behavior and STI diagnoses among MSM initiating PrEP in a clinic setting. AIDS and Behavior. 2019 Feb;23(2):548-55.</w:t>
      </w:r>
    </w:p>
    <w:p w14:paraId="355C3208" w14:textId="1FE5F462" w:rsidR="00C3297B" w:rsidRDefault="00954AA3" w:rsidP="003570B7">
      <w:pPr>
        <w:pStyle w:val="EndNoteBibliography"/>
        <w:numPr>
          <w:ilvl w:val="0"/>
          <w:numId w:val="6"/>
        </w:numPr>
        <w:spacing w:after="0" w:line="480" w:lineRule="auto"/>
        <w:ind w:left="567" w:hanging="567"/>
        <w:rPr>
          <w:rFonts w:ascii="Arial" w:hAnsi="Arial" w:cs="Arial"/>
          <w:noProof/>
          <w:sz w:val="24"/>
          <w:szCs w:val="24"/>
        </w:rPr>
      </w:pPr>
      <w:r w:rsidRPr="00826530">
        <w:rPr>
          <w:rFonts w:ascii="Arial" w:hAnsi="Arial" w:cs="Arial"/>
          <w:bCs/>
          <w:sz w:val="24"/>
          <w:szCs w:val="24"/>
        </w:rPr>
        <w:t xml:space="preserve">Armstrong HL, </w:t>
      </w:r>
      <w:proofErr w:type="spellStart"/>
      <w:r w:rsidRPr="00826530">
        <w:rPr>
          <w:rFonts w:ascii="Arial" w:hAnsi="Arial" w:cs="Arial"/>
          <w:sz w:val="24"/>
          <w:szCs w:val="24"/>
        </w:rPr>
        <w:t>Gitelman</w:t>
      </w:r>
      <w:proofErr w:type="spellEnd"/>
      <w:r w:rsidRPr="00826530">
        <w:rPr>
          <w:rFonts w:ascii="Arial" w:hAnsi="Arial" w:cs="Arial"/>
          <w:sz w:val="24"/>
          <w:szCs w:val="24"/>
        </w:rPr>
        <w:t xml:space="preserve"> J, Cui Z, </w:t>
      </w:r>
      <w:proofErr w:type="spellStart"/>
      <w:r w:rsidRPr="00826530">
        <w:rPr>
          <w:rFonts w:ascii="Arial" w:hAnsi="Arial" w:cs="Arial"/>
          <w:sz w:val="24"/>
          <w:szCs w:val="24"/>
        </w:rPr>
        <w:t>Bacani</w:t>
      </w:r>
      <w:proofErr w:type="spellEnd"/>
      <w:r w:rsidRPr="00826530">
        <w:rPr>
          <w:rFonts w:ascii="Arial" w:hAnsi="Arial" w:cs="Arial"/>
          <w:sz w:val="24"/>
          <w:szCs w:val="24"/>
        </w:rPr>
        <w:t xml:space="preserve"> N, </w:t>
      </w:r>
      <w:proofErr w:type="spellStart"/>
      <w:r w:rsidRPr="00826530">
        <w:rPr>
          <w:rFonts w:ascii="Arial" w:hAnsi="Arial" w:cs="Arial"/>
          <w:sz w:val="24"/>
          <w:szCs w:val="24"/>
        </w:rPr>
        <w:t>Sereda</w:t>
      </w:r>
      <w:proofErr w:type="spellEnd"/>
      <w:r w:rsidRPr="00826530">
        <w:rPr>
          <w:rFonts w:ascii="Arial" w:hAnsi="Arial" w:cs="Arial"/>
          <w:sz w:val="24"/>
          <w:szCs w:val="24"/>
        </w:rPr>
        <w:t xml:space="preserve"> P, </w:t>
      </w:r>
      <w:proofErr w:type="spellStart"/>
      <w:r w:rsidRPr="00826530">
        <w:rPr>
          <w:rFonts w:ascii="Arial" w:hAnsi="Arial" w:cs="Arial"/>
          <w:sz w:val="24"/>
          <w:szCs w:val="24"/>
        </w:rPr>
        <w:t>Lachowsky</w:t>
      </w:r>
      <w:proofErr w:type="spellEnd"/>
      <w:r w:rsidRPr="00826530">
        <w:rPr>
          <w:rFonts w:ascii="Arial" w:hAnsi="Arial" w:cs="Arial"/>
          <w:sz w:val="24"/>
          <w:szCs w:val="24"/>
        </w:rPr>
        <w:t xml:space="preserve"> NJ, Card KG, Raymond HF, Montaner J, Hogg RS, Roth EA, Hull M, Howard T, McFarland W, Moore DM. Recent decreases in unsuppressed viral load among HIV-positive men who have sex with men in Vancouver, Canada from 2012-2017. Poster presented at: International AIDS Conference; 2018 Jul; Amsterdam, The Netherlands.</w:t>
      </w:r>
    </w:p>
    <w:p w14:paraId="53DD049B" w14:textId="7B2B8814" w:rsidR="009D6836" w:rsidRPr="00826530" w:rsidRDefault="009D6836" w:rsidP="003570B7">
      <w:pPr>
        <w:pStyle w:val="EndNoteBibliography"/>
        <w:numPr>
          <w:ilvl w:val="0"/>
          <w:numId w:val="6"/>
        </w:numPr>
        <w:spacing w:after="0" w:line="480" w:lineRule="auto"/>
        <w:ind w:left="567" w:hanging="567"/>
        <w:rPr>
          <w:rFonts w:ascii="Arial" w:hAnsi="Arial" w:cs="Arial"/>
          <w:noProof/>
          <w:sz w:val="24"/>
          <w:szCs w:val="24"/>
        </w:rPr>
      </w:pPr>
      <w:r>
        <w:rPr>
          <w:rFonts w:ascii="Arial" w:hAnsi="Arial" w:cs="Arial"/>
          <w:sz w:val="24"/>
          <w:szCs w:val="24"/>
        </w:rPr>
        <w:t xml:space="preserve">Moore DM, Cui Z, </w:t>
      </w:r>
      <w:proofErr w:type="spellStart"/>
      <w:r>
        <w:rPr>
          <w:rFonts w:ascii="Arial" w:hAnsi="Arial" w:cs="Arial"/>
          <w:sz w:val="24"/>
          <w:szCs w:val="24"/>
        </w:rPr>
        <w:t>Lachowsky</w:t>
      </w:r>
      <w:proofErr w:type="spellEnd"/>
      <w:r>
        <w:rPr>
          <w:rFonts w:ascii="Arial" w:hAnsi="Arial" w:cs="Arial"/>
          <w:sz w:val="24"/>
          <w:szCs w:val="24"/>
        </w:rPr>
        <w:t xml:space="preserve"> NJ, Rich AJ, Roth EA, Raymond HF, </w:t>
      </w:r>
      <w:proofErr w:type="spellStart"/>
      <w:r>
        <w:rPr>
          <w:rFonts w:ascii="Arial" w:hAnsi="Arial" w:cs="Arial"/>
          <w:sz w:val="24"/>
          <w:szCs w:val="24"/>
        </w:rPr>
        <w:t>Sereda</w:t>
      </w:r>
      <w:proofErr w:type="spellEnd"/>
      <w:r>
        <w:rPr>
          <w:rFonts w:ascii="Arial" w:hAnsi="Arial" w:cs="Arial"/>
          <w:sz w:val="24"/>
          <w:szCs w:val="24"/>
        </w:rPr>
        <w:t xml:space="preserve"> P, Montaner J, Wong J, Armstrong HL, Hall D, Hogg RS. Increasing HIV treatment optimism but no changes in HIV risk behavior among men who have sex with men in Vancouver, Canada. Journal of Acquired Immune Deficiency Syndrome. 2017, Dec 1;76(4</w:t>
      </w:r>
      <w:proofErr w:type="gramStart"/>
      <w:r>
        <w:rPr>
          <w:rFonts w:ascii="Arial" w:hAnsi="Arial" w:cs="Arial"/>
          <w:sz w:val="24"/>
          <w:szCs w:val="24"/>
        </w:rPr>
        <w:t>):e</w:t>
      </w:r>
      <w:proofErr w:type="gramEnd"/>
      <w:r>
        <w:rPr>
          <w:rFonts w:ascii="Arial" w:hAnsi="Arial" w:cs="Arial"/>
          <w:sz w:val="24"/>
          <w:szCs w:val="24"/>
        </w:rPr>
        <w:t>98-e101.</w:t>
      </w:r>
    </w:p>
    <w:p w14:paraId="563D77B8" w14:textId="4BD9F464" w:rsidR="003570B7" w:rsidRPr="00826530" w:rsidRDefault="003570B7" w:rsidP="003570B7">
      <w:pPr>
        <w:pStyle w:val="EndNoteBibliography"/>
        <w:numPr>
          <w:ilvl w:val="0"/>
          <w:numId w:val="6"/>
        </w:numPr>
        <w:spacing w:after="0" w:line="480" w:lineRule="auto"/>
        <w:ind w:left="567" w:hanging="567"/>
        <w:rPr>
          <w:rFonts w:ascii="Arial" w:hAnsi="Arial" w:cs="Arial"/>
          <w:noProof/>
          <w:sz w:val="24"/>
          <w:szCs w:val="24"/>
        </w:rPr>
      </w:pPr>
      <w:r w:rsidRPr="00826530">
        <w:rPr>
          <w:rFonts w:ascii="Arial" w:hAnsi="Arial" w:cs="Arial"/>
          <w:noProof/>
          <w:sz w:val="24"/>
          <w:szCs w:val="24"/>
        </w:rPr>
        <w:t>Public Health Agency of Canada.  Report on Sexually transmitted Infections in Canada, 2017. 2019.</w:t>
      </w:r>
    </w:p>
    <w:p w14:paraId="4E9D3A9F" w14:textId="77777777" w:rsidR="003570B7" w:rsidRPr="00826530" w:rsidRDefault="003570B7"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Spithoven</w:t>
      </w:r>
      <w:proofErr w:type="spellEnd"/>
      <w:r w:rsidRPr="00826530">
        <w:rPr>
          <w:rFonts w:ascii="Arial" w:hAnsi="Arial" w:cs="Arial"/>
          <w:color w:val="222222"/>
          <w:sz w:val="24"/>
          <w:szCs w:val="24"/>
          <w:shd w:val="clear" w:color="auto" w:fill="FFFFFF"/>
        </w:rPr>
        <w:t xml:space="preserve"> AW, </w:t>
      </w:r>
      <w:proofErr w:type="spellStart"/>
      <w:r w:rsidRPr="00826530">
        <w:rPr>
          <w:rFonts w:ascii="Arial" w:hAnsi="Arial" w:cs="Arial"/>
          <w:color w:val="222222"/>
          <w:sz w:val="24"/>
          <w:szCs w:val="24"/>
          <w:shd w:val="clear" w:color="auto" w:fill="FFFFFF"/>
        </w:rPr>
        <w:t>Lodder</w:t>
      </w:r>
      <w:proofErr w:type="spellEnd"/>
      <w:r w:rsidRPr="00826530">
        <w:rPr>
          <w:rFonts w:ascii="Arial" w:hAnsi="Arial" w:cs="Arial"/>
          <w:color w:val="222222"/>
          <w:sz w:val="24"/>
          <w:szCs w:val="24"/>
          <w:shd w:val="clear" w:color="auto" w:fill="FFFFFF"/>
        </w:rPr>
        <w:t xml:space="preserve"> GM, </w:t>
      </w:r>
      <w:proofErr w:type="spellStart"/>
      <w:r w:rsidRPr="00826530">
        <w:rPr>
          <w:rFonts w:ascii="Arial" w:hAnsi="Arial" w:cs="Arial"/>
          <w:color w:val="222222"/>
          <w:sz w:val="24"/>
          <w:szCs w:val="24"/>
          <w:shd w:val="clear" w:color="auto" w:fill="FFFFFF"/>
        </w:rPr>
        <w:t>Goossens</w:t>
      </w:r>
      <w:proofErr w:type="spellEnd"/>
      <w:r w:rsidRPr="00826530">
        <w:rPr>
          <w:rFonts w:ascii="Arial" w:hAnsi="Arial" w:cs="Arial"/>
          <w:color w:val="222222"/>
          <w:sz w:val="24"/>
          <w:szCs w:val="24"/>
          <w:shd w:val="clear" w:color="auto" w:fill="FFFFFF"/>
        </w:rPr>
        <w:t xml:space="preserve"> L, </w:t>
      </w:r>
      <w:proofErr w:type="spellStart"/>
      <w:r w:rsidRPr="00826530">
        <w:rPr>
          <w:rFonts w:ascii="Arial" w:hAnsi="Arial" w:cs="Arial"/>
          <w:color w:val="222222"/>
          <w:sz w:val="24"/>
          <w:szCs w:val="24"/>
          <w:shd w:val="clear" w:color="auto" w:fill="FFFFFF"/>
        </w:rPr>
        <w:t>Bijttebier</w:t>
      </w:r>
      <w:proofErr w:type="spellEnd"/>
      <w:r w:rsidRPr="00826530">
        <w:rPr>
          <w:rFonts w:ascii="Arial" w:hAnsi="Arial" w:cs="Arial"/>
          <w:color w:val="222222"/>
          <w:sz w:val="24"/>
          <w:szCs w:val="24"/>
          <w:shd w:val="clear" w:color="auto" w:fill="FFFFFF"/>
        </w:rPr>
        <w:t xml:space="preserve"> P, </w:t>
      </w:r>
      <w:proofErr w:type="spellStart"/>
      <w:r w:rsidRPr="00826530">
        <w:rPr>
          <w:rFonts w:ascii="Arial" w:hAnsi="Arial" w:cs="Arial"/>
          <w:color w:val="222222"/>
          <w:sz w:val="24"/>
          <w:szCs w:val="24"/>
          <w:shd w:val="clear" w:color="auto" w:fill="FFFFFF"/>
        </w:rPr>
        <w:t>Bastin</w:t>
      </w:r>
      <w:proofErr w:type="spellEnd"/>
      <w:r w:rsidRPr="00826530">
        <w:rPr>
          <w:rFonts w:ascii="Arial" w:hAnsi="Arial" w:cs="Arial"/>
          <w:color w:val="222222"/>
          <w:sz w:val="24"/>
          <w:szCs w:val="24"/>
          <w:shd w:val="clear" w:color="auto" w:fill="FFFFFF"/>
        </w:rPr>
        <w:t xml:space="preserve"> M, </w:t>
      </w:r>
      <w:proofErr w:type="spellStart"/>
      <w:r w:rsidRPr="00826530">
        <w:rPr>
          <w:rFonts w:ascii="Arial" w:hAnsi="Arial" w:cs="Arial"/>
          <w:color w:val="222222"/>
          <w:sz w:val="24"/>
          <w:szCs w:val="24"/>
          <w:shd w:val="clear" w:color="auto" w:fill="FFFFFF"/>
        </w:rPr>
        <w:t>Verhagen</w:t>
      </w:r>
      <w:proofErr w:type="spellEnd"/>
      <w:r w:rsidRPr="00826530">
        <w:rPr>
          <w:rFonts w:ascii="Arial" w:hAnsi="Arial" w:cs="Arial"/>
          <w:color w:val="222222"/>
          <w:sz w:val="24"/>
          <w:szCs w:val="24"/>
          <w:shd w:val="clear" w:color="auto" w:fill="FFFFFF"/>
        </w:rPr>
        <w:t xml:space="preserve"> M, Scholte RH. Adolescents’ loneliness and depression associated with friendship experiences and well-being: A person-centered approach. Journal of youth and adolescence. 2017 Feb 1;46(2):429-41.</w:t>
      </w:r>
    </w:p>
    <w:p w14:paraId="3839BCDF" w14:textId="77777777" w:rsidR="003570B7" w:rsidRPr="00826530" w:rsidRDefault="003570B7"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Alvy</w:t>
      </w:r>
      <w:proofErr w:type="spellEnd"/>
      <w:r w:rsidRPr="00826530">
        <w:rPr>
          <w:rFonts w:ascii="Arial" w:hAnsi="Arial" w:cs="Arial"/>
          <w:color w:val="222222"/>
          <w:sz w:val="24"/>
          <w:szCs w:val="24"/>
          <w:shd w:val="clear" w:color="auto" w:fill="FFFFFF"/>
        </w:rPr>
        <w:t xml:space="preserve"> LM, </w:t>
      </w:r>
      <w:proofErr w:type="spellStart"/>
      <w:r w:rsidRPr="00826530">
        <w:rPr>
          <w:rFonts w:ascii="Arial" w:hAnsi="Arial" w:cs="Arial"/>
          <w:color w:val="222222"/>
          <w:sz w:val="24"/>
          <w:szCs w:val="24"/>
          <w:shd w:val="clear" w:color="auto" w:fill="FFFFFF"/>
        </w:rPr>
        <w:t>McKirnan</w:t>
      </w:r>
      <w:proofErr w:type="spellEnd"/>
      <w:r w:rsidRPr="00826530">
        <w:rPr>
          <w:rFonts w:ascii="Arial" w:hAnsi="Arial" w:cs="Arial"/>
          <w:color w:val="222222"/>
          <w:sz w:val="24"/>
          <w:szCs w:val="24"/>
          <w:shd w:val="clear" w:color="auto" w:fill="FFFFFF"/>
        </w:rPr>
        <w:t xml:space="preserve"> DJ, </w:t>
      </w:r>
      <w:proofErr w:type="spellStart"/>
      <w:r w:rsidRPr="00826530">
        <w:rPr>
          <w:rFonts w:ascii="Arial" w:hAnsi="Arial" w:cs="Arial"/>
          <w:color w:val="222222"/>
          <w:sz w:val="24"/>
          <w:szCs w:val="24"/>
          <w:shd w:val="clear" w:color="auto" w:fill="FFFFFF"/>
        </w:rPr>
        <w:t>Mansergh</w:t>
      </w:r>
      <w:proofErr w:type="spellEnd"/>
      <w:r w:rsidRPr="00826530">
        <w:rPr>
          <w:rFonts w:ascii="Arial" w:hAnsi="Arial" w:cs="Arial"/>
          <w:color w:val="222222"/>
          <w:sz w:val="24"/>
          <w:szCs w:val="24"/>
          <w:shd w:val="clear" w:color="auto" w:fill="FFFFFF"/>
        </w:rPr>
        <w:t xml:space="preserve"> G, </w:t>
      </w:r>
      <w:proofErr w:type="spellStart"/>
      <w:r w:rsidRPr="00826530">
        <w:rPr>
          <w:rFonts w:ascii="Arial" w:hAnsi="Arial" w:cs="Arial"/>
          <w:color w:val="222222"/>
          <w:sz w:val="24"/>
          <w:szCs w:val="24"/>
          <w:shd w:val="clear" w:color="auto" w:fill="FFFFFF"/>
        </w:rPr>
        <w:t>Koblin</w:t>
      </w:r>
      <w:proofErr w:type="spellEnd"/>
      <w:r w:rsidRPr="00826530">
        <w:rPr>
          <w:rFonts w:ascii="Arial" w:hAnsi="Arial" w:cs="Arial"/>
          <w:color w:val="222222"/>
          <w:sz w:val="24"/>
          <w:szCs w:val="24"/>
          <w:shd w:val="clear" w:color="auto" w:fill="FFFFFF"/>
        </w:rPr>
        <w:t xml:space="preserve"> B, Colfax GN, Flores SA, Hudson S. Depression is associated with sexual risk among men who have sex with </w:t>
      </w:r>
      <w:proofErr w:type="gramStart"/>
      <w:r w:rsidRPr="00826530">
        <w:rPr>
          <w:rFonts w:ascii="Arial" w:hAnsi="Arial" w:cs="Arial"/>
          <w:color w:val="222222"/>
          <w:sz w:val="24"/>
          <w:szCs w:val="24"/>
          <w:shd w:val="clear" w:color="auto" w:fill="FFFFFF"/>
        </w:rPr>
        <w:t>men, but</w:t>
      </w:r>
      <w:proofErr w:type="gramEnd"/>
      <w:r w:rsidRPr="00826530">
        <w:rPr>
          <w:rFonts w:ascii="Arial" w:hAnsi="Arial" w:cs="Arial"/>
          <w:color w:val="222222"/>
          <w:sz w:val="24"/>
          <w:szCs w:val="24"/>
          <w:shd w:val="clear" w:color="auto" w:fill="FFFFFF"/>
        </w:rPr>
        <w:t xml:space="preserve"> </w:t>
      </w:r>
      <w:r w:rsidRPr="00826530">
        <w:rPr>
          <w:rFonts w:ascii="Arial" w:hAnsi="Arial" w:cs="Arial"/>
          <w:color w:val="222222"/>
          <w:sz w:val="24"/>
          <w:szCs w:val="24"/>
          <w:shd w:val="clear" w:color="auto" w:fill="FFFFFF"/>
        </w:rPr>
        <w:lastRenderedPageBreak/>
        <w:t>is mediated by cognitive escape and self-efficacy. AIDS and Behavior. 2011 Aug;15(6):1171-9.</w:t>
      </w:r>
    </w:p>
    <w:p w14:paraId="67B38094" w14:textId="77777777" w:rsidR="003570B7" w:rsidRPr="00826530" w:rsidRDefault="003570B7"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Koblin</w:t>
      </w:r>
      <w:proofErr w:type="spellEnd"/>
      <w:r w:rsidRPr="00826530">
        <w:rPr>
          <w:rFonts w:ascii="Arial" w:hAnsi="Arial" w:cs="Arial"/>
          <w:color w:val="222222"/>
          <w:sz w:val="24"/>
          <w:szCs w:val="24"/>
          <w:shd w:val="clear" w:color="auto" w:fill="FFFFFF"/>
        </w:rPr>
        <w:t xml:space="preserve"> BA, </w:t>
      </w:r>
      <w:proofErr w:type="spellStart"/>
      <w:r w:rsidRPr="00826530">
        <w:rPr>
          <w:rFonts w:ascii="Arial" w:hAnsi="Arial" w:cs="Arial"/>
          <w:color w:val="222222"/>
          <w:sz w:val="24"/>
          <w:szCs w:val="24"/>
          <w:shd w:val="clear" w:color="auto" w:fill="FFFFFF"/>
        </w:rPr>
        <w:t>Husnik</w:t>
      </w:r>
      <w:proofErr w:type="spellEnd"/>
      <w:r w:rsidRPr="00826530">
        <w:rPr>
          <w:rFonts w:ascii="Arial" w:hAnsi="Arial" w:cs="Arial"/>
          <w:color w:val="222222"/>
          <w:sz w:val="24"/>
          <w:szCs w:val="24"/>
          <w:shd w:val="clear" w:color="auto" w:fill="FFFFFF"/>
        </w:rPr>
        <w:t xml:space="preserve"> MJ, Colfax G, Huang Y, Madison M, Mayer K, Barresi PJ, Coates TJ, Chesney MA, Buchbinder S. Risk factors for HIV infection among men who have sex with men. Aids. 2006 Mar 21;20(5):731-9.</w:t>
      </w:r>
    </w:p>
    <w:p w14:paraId="130F4E2C" w14:textId="77777777" w:rsidR="003570B7" w:rsidRPr="00826530" w:rsidRDefault="003570B7" w:rsidP="003570B7">
      <w:pPr>
        <w:pStyle w:val="ListParagraph"/>
        <w:numPr>
          <w:ilvl w:val="0"/>
          <w:numId w:val="6"/>
        </w:numPr>
        <w:spacing w:line="480" w:lineRule="auto"/>
        <w:ind w:left="567" w:hanging="567"/>
        <w:rPr>
          <w:rFonts w:ascii="Arial" w:hAnsi="Arial" w:cs="Arial"/>
          <w:sz w:val="24"/>
          <w:szCs w:val="24"/>
        </w:rPr>
      </w:pPr>
      <w:proofErr w:type="spellStart"/>
      <w:r w:rsidRPr="00826530">
        <w:rPr>
          <w:rFonts w:ascii="Arial" w:hAnsi="Arial" w:cs="Arial"/>
          <w:color w:val="222222"/>
          <w:sz w:val="24"/>
          <w:szCs w:val="24"/>
          <w:shd w:val="clear" w:color="auto" w:fill="FFFFFF"/>
        </w:rPr>
        <w:t>Falasinnu</w:t>
      </w:r>
      <w:proofErr w:type="spellEnd"/>
      <w:r w:rsidRPr="00826530">
        <w:rPr>
          <w:rFonts w:ascii="Arial" w:hAnsi="Arial" w:cs="Arial"/>
          <w:color w:val="222222"/>
          <w:sz w:val="24"/>
          <w:szCs w:val="24"/>
          <w:shd w:val="clear" w:color="auto" w:fill="FFFFFF"/>
        </w:rPr>
        <w:t xml:space="preserve"> T, Gustafson P, Gilbert M, </w:t>
      </w:r>
      <w:proofErr w:type="spellStart"/>
      <w:r w:rsidRPr="00826530">
        <w:rPr>
          <w:rFonts w:ascii="Arial" w:hAnsi="Arial" w:cs="Arial"/>
          <w:color w:val="222222"/>
          <w:sz w:val="24"/>
          <w:szCs w:val="24"/>
          <w:shd w:val="clear" w:color="auto" w:fill="FFFFFF"/>
        </w:rPr>
        <w:t>Shoveller</w:t>
      </w:r>
      <w:proofErr w:type="spellEnd"/>
      <w:r w:rsidRPr="00826530">
        <w:rPr>
          <w:rFonts w:ascii="Arial" w:hAnsi="Arial" w:cs="Arial"/>
          <w:color w:val="222222"/>
          <w:sz w:val="24"/>
          <w:szCs w:val="24"/>
          <w:shd w:val="clear" w:color="auto" w:fill="FFFFFF"/>
        </w:rPr>
        <w:t xml:space="preserve"> J. Risk prediction in sexual health contexts: Protocol. JMIR research protocols. 2013;2(2</w:t>
      </w:r>
      <w:proofErr w:type="gramStart"/>
      <w:r w:rsidRPr="00826530">
        <w:rPr>
          <w:rFonts w:ascii="Arial" w:hAnsi="Arial" w:cs="Arial"/>
          <w:color w:val="222222"/>
          <w:sz w:val="24"/>
          <w:szCs w:val="24"/>
          <w:shd w:val="clear" w:color="auto" w:fill="FFFFFF"/>
        </w:rPr>
        <w:t>):e</w:t>
      </w:r>
      <w:proofErr w:type="gramEnd"/>
      <w:r w:rsidRPr="00826530">
        <w:rPr>
          <w:rFonts w:ascii="Arial" w:hAnsi="Arial" w:cs="Arial"/>
          <w:color w:val="222222"/>
          <w:sz w:val="24"/>
          <w:szCs w:val="24"/>
          <w:shd w:val="clear" w:color="auto" w:fill="FFFFFF"/>
        </w:rPr>
        <w:t>57.</w:t>
      </w:r>
    </w:p>
    <w:p w14:paraId="352CFF09" w14:textId="12227E27" w:rsidR="000E05F6" w:rsidRPr="00AB1ADA" w:rsidRDefault="003570B7" w:rsidP="000E05F6">
      <w:pPr>
        <w:pStyle w:val="ListParagraph"/>
        <w:numPr>
          <w:ilvl w:val="0"/>
          <w:numId w:val="6"/>
        </w:numPr>
        <w:spacing w:line="480" w:lineRule="auto"/>
        <w:ind w:left="567" w:hanging="567"/>
        <w:rPr>
          <w:rFonts w:ascii="Arial" w:hAnsi="Arial" w:cs="Arial"/>
          <w:sz w:val="24"/>
          <w:szCs w:val="24"/>
        </w:rPr>
      </w:pPr>
      <w:r w:rsidRPr="00826530">
        <w:rPr>
          <w:rFonts w:ascii="Arial" w:hAnsi="Arial" w:cs="Arial"/>
          <w:color w:val="222222"/>
          <w:sz w:val="24"/>
          <w:szCs w:val="24"/>
          <w:shd w:val="clear" w:color="auto" w:fill="FFFFFF"/>
        </w:rPr>
        <w:t xml:space="preserve">Kenyon C, </w:t>
      </w:r>
      <w:proofErr w:type="spellStart"/>
      <w:r w:rsidRPr="00826530">
        <w:rPr>
          <w:rFonts w:ascii="Arial" w:hAnsi="Arial" w:cs="Arial"/>
          <w:color w:val="222222"/>
          <w:sz w:val="24"/>
          <w:szCs w:val="24"/>
          <w:shd w:val="clear" w:color="auto" w:fill="FFFFFF"/>
        </w:rPr>
        <w:t>Wouters</w:t>
      </w:r>
      <w:proofErr w:type="spellEnd"/>
      <w:r w:rsidRPr="00826530">
        <w:rPr>
          <w:rFonts w:ascii="Arial" w:hAnsi="Arial" w:cs="Arial"/>
          <w:color w:val="222222"/>
          <w:sz w:val="24"/>
          <w:szCs w:val="24"/>
          <w:shd w:val="clear" w:color="auto" w:fill="FFFFFF"/>
        </w:rPr>
        <w:t xml:space="preserve"> K, </w:t>
      </w:r>
      <w:proofErr w:type="spellStart"/>
      <w:r w:rsidRPr="00826530">
        <w:rPr>
          <w:rFonts w:ascii="Arial" w:hAnsi="Arial" w:cs="Arial"/>
          <w:color w:val="222222"/>
          <w:sz w:val="24"/>
          <w:szCs w:val="24"/>
          <w:shd w:val="clear" w:color="auto" w:fill="FFFFFF"/>
        </w:rPr>
        <w:t>Platteau</w:t>
      </w:r>
      <w:proofErr w:type="spellEnd"/>
      <w:r w:rsidRPr="00826530">
        <w:rPr>
          <w:rFonts w:ascii="Arial" w:hAnsi="Arial" w:cs="Arial"/>
          <w:color w:val="222222"/>
          <w:sz w:val="24"/>
          <w:szCs w:val="24"/>
          <w:shd w:val="clear" w:color="auto" w:fill="FFFFFF"/>
        </w:rPr>
        <w:t xml:space="preserve"> T, </w:t>
      </w:r>
      <w:proofErr w:type="spellStart"/>
      <w:r w:rsidRPr="00826530">
        <w:rPr>
          <w:rFonts w:ascii="Arial" w:hAnsi="Arial" w:cs="Arial"/>
          <w:color w:val="222222"/>
          <w:sz w:val="24"/>
          <w:szCs w:val="24"/>
          <w:shd w:val="clear" w:color="auto" w:fill="FFFFFF"/>
        </w:rPr>
        <w:t>Buyze</w:t>
      </w:r>
      <w:proofErr w:type="spellEnd"/>
      <w:r w:rsidRPr="00826530">
        <w:rPr>
          <w:rFonts w:ascii="Arial" w:hAnsi="Arial" w:cs="Arial"/>
          <w:color w:val="222222"/>
          <w:sz w:val="24"/>
          <w:szCs w:val="24"/>
          <w:shd w:val="clear" w:color="auto" w:fill="FFFFFF"/>
        </w:rPr>
        <w:t xml:space="preserve"> J, Florence E. Increases in condomless </w:t>
      </w:r>
      <w:proofErr w:type="spellStart"/>
      <w:r w:rsidRPr="00826530">
        <w:rPr>
          <w:rFonts w:ascii="Arial" w:hAnsi="Arial" w:cs="Arial"/>
          <w:color w:val="222222"/>
          <w:sz w:val="24"/>
          <w:szCs w:val="24"/>
          <w:shd w:val="clear" w:color="auto" w:fill="FFFFFF"/>
        </w:rPr>
        <w:t>chemsex</w:t>
      </w:r>
      <w:proofErr w:type="spellEnd"/>
      <w:r w:rsidRPr="00826530">
        <w:rPr>
          <w:rFonts w:ascii="Arial" w:hAnsi="Arial" w:cs="Arial"/>
          <w:color w:val="222222"/>
          <w:sz w:val="24"/>
          <w:szCs w:val="24"/>
          <w:shd w:val="clear" w:color="auto" w:fill="FFFFFF"/>
        </w:rPr>
        <w:t xml:space="preserve"> associated with HIV acquisition in MSM but not heterosexuals attending a HIV testing center in Antwerp, Belgium. AIDS research and therapy. 2018 Dec;15(1):1-6</w:t>
      </w:r>
      <w:r w:rsidR="000E05F6" w:rsidRPr="00826530">
        <w:rPr>
          <w:rFonts w:ascii="Arial" w:hAnsi="Arial" w:cs="Arial"/>
          <w:color w:val="222222"/>
          <w:sz w:val="24"/>
          <w:szCs w:val="24"/>
          <w:shd w:val="clear" w:color="auto" w:fill="FFFFFF"/>
        </w:rPr>
        <w:t>.</w:t>
      </w:r>
    </w:p>
    <w:p w14:paraId="782F7281" w14:textId="04F1E86C" w:rsidR="000E05F6" w:rsidRPr="00826530" w:rsidRDefault="000E05F6" w:rsidP="000E05F6">
      <w:pPr>
        <w:spacing w:line="480" w:lineRule="auto"/>
        <w:rPr>
          <w:rFonts w:ascii="Arial" w:hAnsi="Arial" w:cs="Arial"/>
        </w:rPr>
        <w:sectPr w:rsidR="000E05F6" w:rsidRPr="00826530" w:rsidSect="00AB1ADA">
          <w:headerReference w:type="even" r:id="rId8"/>
          <w:headerReference w:type="default" r:id="rId9"/>
          <w:pgSz w:w="12240" w:h="15840"/>
          <w:pgMar w:top="1440" w:right="1440" w:bottom="1440" w:left="1440" w:header="720" w:footer="720" w:gutter="0"/>
          <w:lnNumType w:countBy="1" w:restart="continuous"/>
          <w:cols w:space="720"/>
          <w:docGrid w:linePitch="360"/>
        </w:sectPr>
      </w:pPr>
    </w:p>
    <w:p w14:paraId="2A105A31" w14:textId="0409C885" w:rsidR="00851673" w:rsidRPr="00826530" w:rsidRDefault="00851673" w:rsidP="00836582">
      <w:pPr>
        <w:rPr>
          <w:rFonts w:ascii="Arial" w:hAnsi="Arial" w:cs="Arial"/>
          <w:b/>
          <w:bCs/>
        </w:rPr>
      </w:pPr>
      <w:r w:rsidRPr="00826530">
        <w:rPr>
          <w:rFonts w:ascii="Arial" w:hAnsi="Arial" w:cs="Arial"/>
          <w:b/>
          <w:bCs/>
        </w:rPr>
        <w:lastRenderedPageBreak/>
        <w:t xml:space="preserve">Table </w:t>
      </w:r>
      <w:r w:rsidR="007F7686" w:rsidRPr="00826530">
        <w:rPr>
          <w:rFonts w:ascii="Arial" w:hAnsi="Arial" w:cs="Arial"/>
          <w:b/>
          <w:bCs/>
        </w:rPr>
        <w:t>1</w:t>
      </w:r>
      <w:r w:rsidR="002356D8" w:rsidRPr="00826530">
        <w:rPr>
          <w:rFonts w:ascii="Arial" w:hAnsi="Arial" w:cs="Arial"/>
          <w:b/>
          <w:bCs/>
        </w:rPr>
        <w:t>:</w:t>
      </w:r>
      <w:r w:rsidRPr="00826530">
        <w:rPr>
          <w:rFonts w:ascii="Arial" w:hAnsi="Arial" w:cs="Arial"/>
          <w:b/>
          <w:bCs/>
        </w:rPr>
        <w:t xml:space="preserve"> Baseline participant demographics</w:t>
      </w:r>
      <w:r w:rsidR="009D38C3" w:rsidRPr="00826530">
        <w:rPr>
          <w:rFonts w:ascii="Arial" w:hAnsi="Arial" w:cs="Arial"/>
          <w:b/>
          <w:bCs/>
        </w:rPr>
        <w:t xml:space="preserve"> and</w:t>
      </w:r>
      <w:r w:rsidRPr="00826530">
        <w:rPr>
          <w:rFonts w:ascii="Arial" w:hAnsi="Arial" w:cs="Arial"/>
          <w:b/>
          <w:bCs/>
        </w:rPr>
        <w:t xml:space="preserve"> </w:t>
      </w:r>
      <w:r w:rsidR="009D38C3" w:rsidRPr="00826530">
        <w:rPr>
          <w:rFonts w:ascii="Arial" w:hAnsi="Arial" w:cs="Arial"/>
          <w:b/>
          <w:bCs/>
        </w:rPr>
        <w:t>U</w:t>
      </w:r>
      <w:r w:rsidRPr="00826530">
        <w:rPr>
          <w:rFonts w:ascii="Arial" w:hAnsi="Arial" w:cs="Arial"/>
          <w:b/>
          <w:bCs/>
        </w:rPr>
        <w:t xml:space="preserve">nivariable </w:t>
      </w:r>
      <w:r w:rsidR="009D38C3" w:rsidRPr="00826530">
        <w:rPr>
          <w:rFonts w:ascii="Arial" w:hAnsi="Arial" w:cs="Arial"/>
          <w:b/>
          <w:bCs/>
        </w:rPr>
        <w:t xml:space="preserve">Generalized Linear Mixed Models </w:t>
      </w:r>
      <w:r w:rsidRPr="00826530">
        <w:rPr>
          <w:rFonts w:ascii="Arial" w:hAnsi="Arial" w:cs="Arial"/>
          <w:b/>
          <w:bCs/>
        </w:rPr>
        <w:t xml:space="preserve">for </w:t>
      </w:r>
      <w:r w:rsidR="00A1437F" w:rsidRPr="00826530">
        <w:rPr>
          <w:rFonts w:ascii="Arial" w:hAnsi="Arial" w:cs="Arial"/>
          <w:b/>
          <w:bCs/>
        </w:rPr>
        <w:t>Engaging in Transactional sex (p</w:t>
      </w:r>
      <w:r w:rsidR="00CE3062">
        <w:rPr>
          <w:rFonts w:ascii="Arial" w:hAnsi="Arial" w:cs="Arial"/>
          <w:b/>
          <w:bCs/>
        </w:rPr>
        <w:t xml:space="preserve">ast </w:t>
      </w:r>
      <w:r w:rsidR="00A1437F" w:rsidRPr="00826530">
        <w:rPr>
          <w:rFonts w:ascii="Arial" w:hAnsi="Arial" w:cs="Arial"/>
          <w:b/>
          <w:bCs/>
        </w:rPr>
        <w:t>6</w:t>
      </w:r>
      <w:r w:rsidR="00CE3062">
        <w:rPr>
          <w:rFonts w:ascii="Arial" w:hAnsi="Arial" w:cs="Arial"/>
          <w:b/>
          <w:bCs/>
        </w:rPr>
        <w:t xml:space="preserve"> </w:t>
      </w:r>
      <w:r w:rsidR="00A1437F" w:rsidRPr="00826530">
        <w:rPr>
          <w:rFonts w:ascii="Arial" w:hAnsi="Arial" w:cs="Arial"/>
          <w:b/>
          <w:bCs/>
        </w:rPr>
        <w:t>m</w:t>
      </w:r>
      <w:r w:rsidR="00CE3062">
        <w:rPr>
          <w:rFonts w:ascii="Arial" w:hAnsi="Arial" w:cs="Arial"/>
          <w:b/>
          <w:bCs/>
        </w:rPr>
        <w:t>onths</w:t>
      </w:r>
      <w:r w:rsidR="00A1437F" w:rsidRPr="00826530">
        <w:rPr>
          <w:rFonts w:ascii="Arial" w:hAnsi="Arial" w:cs="Arial"/>
          <w:b/>
          <w:bCs/>
        </w:rPr>
        <w:t>)</w:t>
      </w:r>
    </w:p>
    <w:tbl>
      <w:tblPr>
        <w:tblStyle w:val="TableGrid"/>
        <w:tblW w:w="9500" w:type="dxa"/>
        <w:tblLayout w:type="fixed"/>
        <w:tblLook w:val="04A0" w:firstRow="1" w:lastRow="0" w:firstColumn="1" w:lastColumn="0" w:noHBand="0" w:noVBand="1"/>
      </w:tblPr>
      <w:tblGrid>
        <w:gridCol w:w="1560"/>
        <w:gridCol w:w="283"/>
        <w:gridCol w:w="425"/>
        <w:gridCol w:w="179"/>
        <w:gridCol w:w="1003"/>
        <w:gridCol w:w="1007"/>
        <w:gridCol w:w="1009"/>
        <w:gridCol w:w="935"/>
        <w:gridCol w:w="936"/>
        <w:gridCol w:w="743"/>
        <w:gridCol w:w="1420"/>
      </w:tblGrid>
      <w:tr w:rsidR="00851673" w:rsidRPr="00826530" w14:paraId="541F7FD4" w14:textId="77777777" w:rsidTr="00FE3A65">
        <w:trPr>
          <w:trHeight w:val="867"/>
        </w:trPr>
        <w:tc>
          <w:tcPr>
            <w:tcW w:w="3450" w:type="dxa"/>
            <w:gridSpan w:val="5"/>
            <w:tcBorders>
              <w:left w:val="nil"/>
              <w:bottom w:val="single" w:sz="4" w:space="0" w:color="auto"/>
              <w:right w:val="nil"/>
            </w:tcBorders>
            <w:vAlign w:val="center"/>
          </w:tcPr>
          <w:p w14:paraId="5060CC56" w14:textId="24878E7A" w:rsidR="00851673" w:rsidRPr="00826530" w:rsidRDefault="00851673" w:rsidP="00836582">
            <w:pPr>
              <w:jc w:val="center"/>
              <w:rPr>
                <w:rFonts w:ascii="Arial" w:hAnsi="Arial" w:cs="Arial"/>
                <w:b/>
                <w:bCs/>
                <w:sz w:val="22"/>
                <w:szCs w:val="22"/>
              </w:rPr>
            </w:pPr>
          </w:p>
        </w:tc>
        <w:tc>
          <w:tcPr>
            <w:tcW w:w="2016" w:type="dxa"/>
            <w:gridSpan w:val="2"/>
            <w:tcBorders>
              <w:left w:val="nil"/>
              <w:bottom w:val="single" w:sz="4" w:space="0" w:color="auto"/>
              <w:right w:val="nil"/>
            </w:tcBorders>
            <w:vAlign w:val="center"/>
          </w:tcPr>
          <w:p w14:paraId="2C8BE479" w14:textId="0B0BE620" w:rsidR="00851673" w:rsidRPr="00826530" w:rsidRDefault="00A1437F" w:rsidP="00836582">
            <w:pPr>
              <w:jc w:val="center"/>
              <w:rPr>
                <w:rFonts w:ascii="Arial" w:hAnsi="Arial" w:cs="Arial"/>
                <w:b/>
                <w:bCs/>
                <w:sz w:val="22"/>
                <w:szCs w:val="22"/>
              </w:rPr>
            </w:pPr>
            <w:r w:rsidRPr="00826530">
              <w:rPr>
                <w:rFonts w:ascii="Arial" w:hAnsi="Arial" w:cs="Arial"/>
                <w:b/>
                <w:bCs/>
                <w:sz w:val="22"/>
                <w:szCs w:val="22"/>
              </w:rPr>
              <w:t xml:space="preserve">Transactional sex </w:t>
            </w:r>
            <w:r w:rsidR="00851673" w:rsidRPr="00826530">
              <w:rPr>
                <w:rFonts w:ascii="Arial" w:hAnsi="Arial" w:cs="Arial"/>
                <w:b/>
                <w:bCs/>
                <w:sz w:val="22"/>
                <w:szCs w:val="22"/>
              </w:rPr>
              <w:t>(n=103)</w:t>
            </w:r>
          </w:p>
        </w:tc>
        <w:tc>
          <w:tcPr>
            <w:tcW w:w="1871" w:type="dxa"/>
            <w:gridSpan w:val="2"/>
            <w:tcBorders>
              <w:left w:val="nil"/>
              <w:bottom w:val="single" w:sz="4" w:space="0" w:color="auto"/>
              <w:right w:val="nil"/>
            </w:tcBorders>
            <w:vAlign w:val="center"/>
          </w:tcPr>
          <w:p w14:paraId="0DC8B8A6" w14:textId="77777777" w:rsidR="00851673" w:rsidRPr="00826530" w:rsidRDefault="00851673" w:rsidP="00836582">
            <w:pPr>
              <w:jc w:val="center"/>
              <w:rPr>
                <w:rFonts w:ascii="Arial" w:hAnsi="Arial" w:cs="Arial"/>
                <w:b/>
                <w:bCs/>
                <w:sz w:val="22"/>
                <w:szCs w:val="22"/>
              </w:rPr>
            </w:pPr>
            <w:r w:rsidRPr="00826530">
              <w:rPr>
                <w:rFonts w:ascii="Arial" w:hAnsi="Arial" w:cs="Arial"/>
                <w:b/>
                <w:bCs/>
                <w:sz w:val="22"/>
                <w:szCs w:val="22"/>
              </w:rPr>
              <w:t>No Transactional Sex (n=576)</w:t>
            </w:r>
          </w:p>
        </w:tc>
        <w:tc>
          <w:tcPr>
            <w:tcW w:w="2163" w:type="dxa"/>
            <w:gridSpan w:val="2"/>
            <w:tcBorders>
              <w:left w:val="nil"/>
              <w:bottom w:val="single" w:sz="4" w:space="0" w:color="auto"/>
              <w:right w:val="nil"/>
            </w:tcBorders>
            <w:vAlign w:val="center"/>
          </w:tcPr>
          <w:p w14:paraId="68605EBE" w14:textId="4E641252" w:rsidR="00851673" w:rsidRPr="00826530" w:rsidRDefault="00A1437F" w:rsidP="00836582">
            <w:pPr>
              <w:jc w:val="center"/>
              <w:rPr>
                <w:rFonts w:ascii="Arial" w:hAnsi="Arial" w:cs="Arial"/>
                <w:b/>
                <w:bCs/>
                <w:sz w:val="22"/>
                <w:szCs w:val="22"/>
              </w:rPr>
            </w:pPr>
            <w:r w:rsidRPr="00826530">
              <w:rPr>
                <w:rFonts w:ascii="Arial" w:hAnsi="Arial" w:cs="Arial"/>
                <w:b/>
                <w:bCs/>
                <w:sz w:val="22"/>
                <w:szCs w:val="22"/>
              </w:rPr>
              <w:t>Univariable: Transactional sex vs. No Transactional sex</w:t>
            </w:r>
            <w:r w:rsidR="00E8626A" w:rsidRPr="00826530">
              <w:rPr>
                <w:rFonts w:ascii="Arial" w:hAnsi="Arial" w:cs="Arial"/>
                <w:b/>
                <w:bCs/>
                <w:sz w:val="22"/>
                <w:szCs w:val="22"/>
              </w:rPr>
              <w:t xml:space="preserve"> (n=693)</w:t>
            </w:r>
          </w:p>
        </w:tc>
      </w:tr>
      <w:tr w:rsidR="00851673" w:rsidRPr="00826530" w14:paraId="60E4AC94" w14:textId="77777777" w:rsidTr="00826530">
        <w:trPr>
          <w:trHeight w:val="20"/>
        </w:trPr>
        <w:tc>
          <w:tcPr>
            <w:tcW w:w="1560" w:type="dxa"/>
            <w:tcBorders>
              <w:left w:val="nil"/>
              <w:bottom w:val="single" w:sz="4" w:space="0" w:color="auto"/>
              <w:right w:val="nil"/>
            </w:tcBorders>
            <w:vAlign w:val="center"/>
          </w:tcPr>
          <w:p w14:paraId="5777DBEE" w14:textId="7C27D84E" w:rsidR="00851673" w:rsidRPr="00826530" w:rsidRDefault="00E401E4" w:rsidP="00836582">
            <w:pPr>
              <w:rPr>
                <w:rFonts w:ascii="Arial" w:hAnsi="Arial" w:cs="Arial"/>
                <w:b/>
                <w:bCs/>
                <w:sz w:val="21"/>
                <w:szCs w:val="21"/>
              </w:rPr>
            </w:pPr>
            <w:r w:rsidRPr="00826530">
              <w:rPr>
                <w:rFonts w:ascii="Arial" w:hAnsi="Arial" w:cs="Arial"/>
                <w:b/>
                <w:bCs/>
                <w:sz w:val="21"/>
                <w:szCs w:val="21"/>
              </w:rPr>
              <w:t>Demographic v</w:t>
            </w:r>
            <w:r w:rsidR="00A1437F" w:rsidRPr="00826530">
              <w:rPr>
                <w:rFonts w:ascii="Arial" w:hAnsi="Arial" w:cs="Arial"/>
                <w:b/>
                <w:bCs/>
                <w:sz w:val="21"/>
                <w:szCs w:val="21"/>
              </w:rPr>
              <w:t>ariable</w:t>
            </w:r>
            <w:r w:rsidRPr="00826530">
              <w:rPr>
                <w:rFonts w:ascii="Arial" w:hAnsi="Arial" w:cs="Arial"/>
                <w:b/>
                <w:bCs/>
                <w:sz w:val="21"/>
                <w:szCs w:val="21"/>
              </w:rPr>
              <w:t>s</w:t>
            </w:r>
            <w:r w:rsidR="00A1437F" w:rsidRPr="00826530">
              <w:rPr>
                <w:rFonts w:ascii="Arial" w:hAnsi="Arial" w:cs="Arial"/>
                <w:b/>
                <w:bCs/>
                <w:sz w:val="21"/>
                <w:szCs w:val="21"/>
              </w:rPr>
              <w:t xml:space="preserve"> </w:t>
            </w:r>
          </w:p>
        </w:tc>
        <w:tc>
          <w:tcPr>
            <w:tcW w:w="1890" w:type="dxa"/>
            <w:gridSpan w:val="4"/>
            <w:tcBorders>
              <w:left w:val="nil"/>
              <w:bottom w:val="single" w:sz="4" w:space="0" w:color="auto"/>
              <w:right w:val="nil"/>
            </w:tcBorders>
            <w:vAlign w:val="center"/>
          </w:tcPr>
          <w:p w14:paraId="2C3D133A" w14:textId="77777777" w:rsidR="00851673" w:rsidRPr="00826530" w:rsidRDefault="00851673" w:rsidP="00836582">
            <w:pPr>
              <w:jc w:val="right"/>
              <w:rPr>
                <w:rFonts w:ascii="Arial" w:hAnsi="Arial" w:cs="Arial"/>
                <w:b/>
                <w:bCs/>
                <w:sz w:val="21"/>
                <w:szCs w:val="21"/>
              </w:rPr>
            </w:pPr>
          </w:p>
        </w:tc>
        <w:tc>
          <w:tcPr>
            <w:tcW w:w="1007" w:type="dxa"/>
            <w:tcBorders>
              <w:left w:val="nil"/>
              <w:bottom w:val="single" w:sz="4" w:space="0" w:color="auto"/>
              <w:right w:val="nil"/>
            </w:tcBorders>
            <w:vAlign w:val="center"/>
          </w:tcPr>
          <w:p w14:paraId="3E1762C6"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n</w:t>
            </w:r>
          </w:p>
        </w:tc>
        <w:tc>
          <w:tcPr>
            <w:tcW w:w="1009" w:type="dxa"/>
            <w:tcBorders>
              <w:left w:val="nil"/>
              <w:bottom w:val="single" w:sz="4" w:space="0" w:color="auto"/>
              <w:right w:val="nil"/>
            </w:tcBorders>
            <w:vAlign w:val="center"/>
          </w:tcPr>
          <w:p w14:paraId="22352371"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w:t>
            </w:r>
          </w:p>
        </w:tc>
        <w:tc>
          <w:tcPr>
            <w:tcW w:w="935" w:type="dxa"/>
            <w:tcBorders>
              <w:left w:val="nil"/>
              <w:bottom w:val="single" w:sz="4" w:space="0" w:color="auto"/>
              <w:right w:val="nil"/>
            </w:tcBorders>
            <w:vAlign w:val="center"/>
          </w:tcPr>
          <w:p w14:paraId="6B9D73E6"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n</w:t>
            </w:r>
          </w:p>
        </w:tc>
        <w:tc>
          <w:tcPr>
            <w:tcW w:w="936" w:type="dxa"/>
            <w:tcBorders>
              <w:left w:val="nil"/>
              <w:bottom w:val="single" w:sz="4" w:space="0" w:color="auto"/>
              <w:right w:val="nil"/>
            </w:tcBorders>
            <w:vAlign w:val="center"/>
          </w:tcPr>
          <w:p w14:paraId="12743432"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w:t>
            </w:r>
          </w:p>
        </w:tc>
        <w:tc>
          <w:tcPr>
            <w:tcW w:w="743" w:type="dxa"/>
            <w:tcBorders>
              <w:left w:val="nil"/>
              <w:bottom w:val="single" w:sz="4" w:space="0" w:color="auto"/>
              <w:right w:val="nil"/>
            </w:tcBorders>
            <w:vAlign w:val="center"/>
          </w:tcPr>
          <w:p w14:paraId="0F031C89"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OR</w:t>
            </w:r>
          </w:p>
        </w:tc>
        <w:tc>
          <w:tcPr>
            <w:tcW w:w="1420" w:type="dxa"/>
            <w:tcBorders>
              <w:left w:val="nil"/>
              <w:bottom w:val="single" w:sz="4" w:space="0" w:color="auto"/>
              <w:right w:val="nil"/>
            </w:tcBorders>
            <w:vAlign w:val="center"/>
          </w:tcPr>
          <w:p w14:paraId="056A7A5B"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95% CI</w:t>
            </w:r>
          </w:p>
        </w:tc>
      </w:tr>
      <w:tr w:rsidR="00851673" w:rsidRPr="00826530" w14:paraId="77D6193D" w14:textId="77777777" w:rsidTr="00826530">
        <w:trPr>
          <w:trHeight w:val="20"/>
        </w:trPr>
        <w:tc>
          <w:tcPr>
            <w:tcW w:w="1560" w:type="dxa"/>
            <w:tcBorders>
              <w:left w:val="nil"/>
              <w:bottom w:val="nil"/>
              <w:right w:val="nil"/>
            </w:tcBorders>
            <w:vAlign w:val="center"/>
          </w:tcPr>
          <w:p w14:paraId="3FBD9A75" w14:textId="77777777" w:rsidR="00851673" w:rsidRPr="00826530" w:rsidRDefault="00851673" w:rsidP="00836582">
            <w:pPr>
              <w:rPr>
                <w:rFonts w:ascii="Arial" w:hAnsi="Arial" w:cs="Arial"/>
                <w:sz w:val="21"/>
                <w:szCs w:val="21"/>
              </w:rPr>
            </w:pPr>
            <w:r w:rsidRPr="00826530">
              <w:rPr>
                <w:rFonts w:ascii="Arial" w:hAnsi="Arial" w:cs="Arial"/>
                <w:sz w:val="21"/>
                <w:szCs w:val="21"/>
              </w:rPr>
              <w:t>Age</w:t>
            </w:r>
          </w:p>
        </w:tc>
        <w:tc>
          <w:tcPr>
            <w:tcW w:w="1890" w:type="dxa"/>
            <w:gridSpan w:val="4"/>
            <w:tcBorders>
              <w:left w:val="nil"/>
              <w:bottom w:val="nil"/>
              <w:right w:val="nil"/>
            </w:tcBorders>
            <w:vAlign w:val="center"/>
          </w:tcPr>
          <w:p w14:paraId="67DB5B89"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&lt;30</w:t>
            </w:r>
          </w:p>
        </w:tc>
        <w:tc>
          <w:tcPr>
            <w:tcW w:w="1007" w:type="dxa"/>
            <w:tcBorders>
              <w:left w:val="nil"/>
              <w:bottom w:val="nil"/>
              <w:right w:val="nil"/>
            </w:tcBorders>
            <w:vAlign w:val="center"/>
          </w:tcPr>
          <w:p w14:paraId="6553793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42</w:t>
            </w:r>
          </w:p>
        </w:tc>
        <w:tc>
          <w:tcPr>
            <w:tcW w:w="1009" w:type="dxa"/>
            <w:tcBorders>
              <w:left w:val="nil"/>
              <w:bottom w:val="nil"/>
              <w:right w:val="nil"/>
            </w:tcBorders>
            <w:vAlign w:val="center"/>
          </w:tcPr>
          <w:p w14:paraId="4E5E737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40.8</w:t>
            </w:r>
          </w:p>
        </w:tc>
        <w:tc>
          <w:tcPr>
            <w:tcW w:w="935" w:type="dxa"/>
            <w:tcBorders>
              <w:left w:val="nil"/>
              <w:bottom w:val="nil"/>
              <w:right w:val="nil"/>
            </w:tcBorders>
            <w:vAlign w:val="center"/>
          </w:tcPr>
          <w:p w14:paraId="1880B4C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214</w:t>
            </w:r>
          </w:p>
        </w:tc>
        <w:tc>
          <w:tcPr>
            <w:tcW w:w="936" w:type="dxa"/>
            <w:tcBorders>
              <w:left w:val="nil"/>
              <w:bottom w:val="nil"/>
              <w:right w:val="nil"/>
            </w:tcBorders>
            <w:vAlign w:val="center"/>
          </w:tcPr>
          <w:p w14:paraId="1CA455F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37.2</w:t>
            </w:r>
          </w:p>
        </w:tc>
        <w:tc>
          <w:tcPr>
            <w:tcW w:w="743" w:type="dxa"/>
            <w:tcBorders>
              <w:left w:val="nil"/>
              <w:bottom w:val="nil"/>
              <w:right w:val="nil"/>
            </w:tcBorders>
            <w:vAlign w:val="center"/>
          </w:tcPr>
          <w:p w14:paraId="6782C17D" w14:textId="02AE5AD2" w:rsidR="00851673" w:rsidRPr="00826530" w:rsidRDefault="00DD3815" w:rsidP="00836582">
            <w:pPr>
              <w:jc w:val="center"/>
              <w:rPr>
                <w:rFonts w:ascii="Arial" w:hAnsi="Arial" w:cs="Arial"/>
                <w:sz w:val="21"/>
                <w:szCs w:val="21"/>
              </w:rPr>
            </w:pPr>
            <w:r w:rsidRPr="00826530">
              <w:rPr>
                <w:rFonts w:ascii="Arial" w:hAnsi="Arial" w:cs="Arial"/>
                <w:sz w:val="21"/>
                <w:szCs w:val="21"/>
              </w:rPr>
              <w:t>Ref</w:t>
            </w:r>
          </w:p>
        </w:tc>
        <w:tc>
          <w:tcPr>
            <w:tcW w:w="1420" w:type="dxa"/>
            <w:tcBorders>
              <w:left w:val="nil"/>
              <w:bottom w:val="nil"/>
              <w:right w:val="nil"/>
            </w:tcBorders>
            <w:vAlign w:val="center"/>
          </w:tcPr>
          <w:p w14:paraId="1E45D3AB" w14:textId="75DED884" w:rsidR="00851673" w:rsidRPr="00826530" w:rsidRDefault="00851673" w:rsidP="00836582">
            <w:pPr>
              <w:jc w:val="center"/>
              <w:rPr>
                <w:rFonts w:ascii="Arial" w:hAnsi="Arial" w:cs="Arial"/>
                <w:sz w:val="21"/>
                <w:szCs w:val="21"/>
              </w:rPr>
            </w:pPr>
          </w:p>
        </w:tc>
      </w:tr>
      <w:tr w:rsidR="00851673" w:rsidRPr="00826530" w14:paraId="1705A4E8" w14:textId="77777777" w:rsidTr="00826530">
        <w:trPr>
          <w:trHeight w:val="20"/>
        </w:trPr>
        <w:tc>
          <w:tcPr>
            <w:tcW w:w="1560" w:type="dxa"/>
            <w:tcBorders>
              <w:top w:val="nil"/>
              <w:left w:val="nil"/>
              <w:bottom w:val="nil"/>
              <w:right w:val="nil"/>
            </w:tcBorders>
            <w:vAlign w:val="center"/>
          </w:tcPr>
          <w:p w14:paraId="6B933C5B"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0A7F715D"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30-44</w:t>
            </w:r>
          </w:p>
        </w:tc>
        <w:tc>
          <w:tcPr>
            <w:tcW w:w="1007" w:type="dxa"/>
            <w:tcBorders>
              <w:top w:val="nil"/>
              <w:left w:val="nil"/>
              <w:bottom w:val="nil"/>
              <w:right w:val="nil"/>
            </w:tcBorders>
            <w:vAlign w:val="center"/>
          </w:tcPr>
          <w:p w14:paraId="562CAB7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38</w:t>
            </w:r>
          </w:p>
        </w:tc>
        <w:tc>
          <w:tcPr>
            <w:tcW w:w="1009" w:type="dxa"/>
            <w:tcBorders>
              <w:top w:val="nil"/>
              <w:left w:val="nil"/>
              <w:bottom w:val="nil"/>
              <w:right w:val="nil"/>
            </w:tcBorders>
            <w:vAlign w:val="center"/>
          </w:tcPr>
          <w:p w14:paraId="0ABAD44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36.9</w:t>
            </w:r>
          </w:p>
        </w:tc>
        <w:tc>
          <w:tcPr>
            <w:tcW w:w="935" w:type="dxa"/>
            <w:tcBorders>
              <w:top w:val="nil"/>
              <w:left w:val="nil"/>
              <w:bottom w:val="nil"/>
              <w:right w:val="nil"/>
            </w:tcBorders>
            <w:vAlign w:val="center"/>
          </w:tcPr>
          <w:p w14:paraId="3C6EEF7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186</w:t>
            </w:r>
          </w:p>
        </w:tc>
        <w:tc>
          <w:tcPr>
            <w:tcW w:w="936" w:type="dxa"/>
            <w:tcBorders>
              <w:top w:val="nil"/>
              <w:left w:val="nil"/>
              <w:bottom w:val="nil"/>
              <w:right w:val="nil"/>
            </w:tcBorders>
            <w:vAlign w:val="center"/>
          </w:tcPr>
          <w:p w14:paraId="06E5F7E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32.3</w:t>
            </w:r>
          </w:p>
        </w:tc>
        <w:tc>
          <w:tcPr>
            <w:tcW w:w="743" w:type="dxa"/>
            <w:tcBorders>
              <w:top w:val="nil"/>
              <w:left w:val="nil"/>
              <w:bottom w:val="nil"/>
              <w:right w:val="nil"/>
            </w:tcBorders>
            <w:vAlign w:val="center"/>
          </w:tcPr>
          <w:p w14:paraId="3F6552C8" w14:textId="17CC5D20" w:rsidR="00851673" w:rsidRPr="00826530" w:rsidRDefault="00DD3815" w:rsidP="00836582">
            <w:pPr>
              <w:jc w:val="center"/>
              <w:rPr>
                <w:rFonts w:ascii="Arial" w:hAnsi="Arial" w:cs="Arial"/>
                <w:sz w:val="21"/>
                <w:szCs w:val="21"/>
              </w:rPr>
            </w:pPr>
            <w:r w:rsidRPr="00826530">
              <w:rPr>
                <w:rFonts w:ascii="Arial" w:hAnsi="Arial" w:cs="Arial"/>
                <w:sz w:val="21"/>
                <w:szCs w:val="21"/>
              </w:rPr>
              <w:t>0.55</w:t>
            </w:r>
          </w:p>
        </w:tc>
        <w:tc>
          <w:tcPr>
            <w:tcW w:w="1420" w:type="dxa"/>
            <w:tcBorders>
              <w:top w:val="nil"/>
              <w:left w:val="nil"/>
              <w:bottom w:val="nil"/>
              <w:right w:val="nil"/>
            </w:tcBorders>
            <w:vAlign w:val="center"/>
          </w:tcPr>
          <w:p w14:paraId="2D259D05" w14:textId="15077B99" w:rsidR="00851673" w:rsidRPr="00826530" w:rsidRDefault="009D0F4D" w:rsidP="00836582">
            <w:pPr>
              <w:jc w:val="center"/>
              <w:rPr>
                <w:rFonts w:ascii="Arial" w:hAnsi="Arial" w:cs="Arial"/>
                <w:sz w:val="21"/>
                <w:szCs w:val="21"/>
              </w:rPr>
            </w:pPr>
            <w:r w:rsidRPr="00826530">
              <w:rPr>
                <w:rFonts w:ascii="Arial" w:hAnsi="Arial" w:cs="Arial"/>
                <w:sz w:val="21"/>
                <w:szCs w:val="21"/>
              </w:rPr>
              <w:t>0.29,1.06</w:t>
            </w:r>
          </w:p>
        </w:tc>
      </w:tr>
      <w:tr w:rsidR="00851673" w:rsidRPr="00826530" w14:paraId="5EDEEF44" w14:textId="77777777" w:rsidTr="00826530">
        <w:trPr>
          <w:trHeight w:val="20"/>
        </w:trPr>
        <w:tc>
          <w:tcPr>
            <w:tcW w:w="1560" w:type="dxa"/>
            <w:tcBorders>
              <w:top w:val="nil"/>
              <w:left w:val="nil"/>
              <w:bottom w:val="nil"/>
              <w:right w:val="nil"/>
            </w:tcBorders>
            <w:vAlign w:val="center"/>
          </w:tcPr>
          <w:p w14:paraId="4E9414D3"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21EFB381"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sym w:font="Symbol" w:char="F0B3"/>
            </w:r>
            <w:r w:rsidRPr="00826530">
              <w:rPr>
                <w:rFonts w:ascii="Arial" w:hAnsi="Arial" w:cs="Arial"/>
                <w:sz w:val="21"/>
                <w:szCs w:val="21"/>
              </w:rPr>
              <w:t>45</w:t>
            </w:r>
          </w:p>
        </w:tc>
        <w:tc>
          <w:tcPr>
            <w:tcW w:w="1007" w:type="dxa"/>
            <w:tcBorders>
              <w:top w:val="nil"/>
              <w:left w:val="nil"/>
              <w:bottom w:val="nil"/>
              <w:right w:val="nil"/>
            </w:tcBorders>
            <w:vAlign w:val="center"/>
          </w:tcPr>
          <w:p w14:paraId="03C60EF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23</w:t>
            </w:r>
          </w:p>
        </w:tc>
        <w:tc>
          <w:tcPr>
            <w:tcW w:w="1009" w:type="dxa"/>
            <w:tcBorders>
              <w:top w:val="nil"/>
              <w:left w:val="nil"/>
              <w:bottom w:val="nil"/>
              <w:right w:val="nil"/>
            </w:tcBorders>
            <w:vAlign w:val="center"/>
          </w:tcPr>
          <w:p w14:paraId="6038EEE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22.3</w:t>
            </w:r>
          </w:p>
        </w:tc>
        <w:tc>
          <w:tcPr>
            <w:tcW w:w="935" w:type="dxa"/>
            <w:tcBorders>
              <w:top w:val="nil"/>
              <w:left w:val="nil"/>
              <w:bottom w:val="nil"/>
              <w:right w:val="nil"/>
            </w:tcBorders>
            <w:vAlign w:val="center"/>
          </w:tcPr>
          <w:p w14:paraId="0332C1B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176</w:t>
            </w:r>
          </w:p>
        </w:tc>
        <w:tc>
          <w:tcPr>
            <w:tcW w:w="936" w:type="dxa"/>
            <w:tcBorders>
              <w:top w:val="nil"/>
              <w:left w:val="nil"/>
              <w:bottom w:val="nil"/>
              <w:right w:val="nil"/>
            </w:tcBorders>
            <w:vAlign w:val="center"/>
          </w:tcPr>
          <w:p w14:paraId="4D3EEF4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30.6</w:t>
            </w:r>
          </w:p>
        </w:tc>
        <w:tc>
          <w:tcPr>
            <w:tcW w:w="743" w:type="dxa"/>
            <w:tcBorders>
              <w:top w:val="nil"/>
              <w:left w:val="nil"/>
              <w:bottom w:val="nil"/>
              <w:right w:val="nil"/>
            </w:tcBorders>
            <w:vAlign w:val="center"/>
          </w:tcPr>
          <w:p w14:paraId="026EA0E3" w14:textId="5824858D" w:rsidR="00851673" w:rsidRPr="00826530" w:rsidRDefault="00851673" w:rsidP="00836582">
            <w:pPr>
              <w:jc w:val="center"/>
              <w:rPr>
                <w:rFonts w:ascii="Arial" w:hAnsi="Arial" w:cs="Arial"/>
                <w:sz w:val="21"/>
                <w:szCs w:val="21"/>
              </w:rPr>
            </w:pPr>
            <w:r w:rsidRPr="00826530">
              <w:rPr>
                <w:rFonts w:ascii="Arial" w:hAnsi="Arial" w:cs="Arial"/>
                <w:sz w:val="21"/>
                <w:szCs w:val="21"/>
              </w:rPr>
              <w:t>0.</w:t>
            </w:r>
            <w:r w:rsidR="009D0F4D" w:rsidRPr="00826530">
              <w:rPr>
                <w:rFonts w:ascii="Arial" w:hAnsi="Arial" w:cs="Arial"/>
                <w:sz w:val="21"/>
                <w:szCs w:val="21"/>
              </w:rPr>
              <w:t>28</w:t>
            </w:r>
          </w:p>
        </w:tc>
        <w:tc>
          <w:tcPr>
            <w:tcW w:w="1420" w:type="dxa"/>
            <w:tcBorders>
              <w:top w:val="nil"/>
              <w:left w:val="nil"/>
              <w:bottom w:val="nil"/>
              <w:right w:val="nil"/>
            </w:tcBorders>
            <w:vAlign w:val="center"/>
          </w:tcPr>
          <w:p w14:paraId="691ED504" w14:textId="2662EAFF"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0.1</w:t>
            </w:r>
            <w:r w:rsidR="009D0F4D" w:rsidRPr="00826530">
              <w:rPr>
                <w:rFonts w:ascii="Arial" w:hAnsi="Arial" w:cs="Arial"/>
                <w:b/>
                <w:bCs/>
                <w:sz w:val="21"/>
                <w:szCs w:val="21"/>
              </w:rPr>
              <w:t>4</w:t>
            </w:r>
            <w:r w:rsidRPr="00826530">
              <w:rPr>
                <w:rFonts w:ascii="Arial" w:hAnsi="Arial" w:cs="Arial"/>
                <w:b/>
                <w:bCs/>
                <w:sz w:val="21"/>
                <w:szCs w:val="21"/>
              </w:rPr>
              <w:t xml:space="preserve">, </w:t>
            </w:r>
            <w:r w:rsidR="009D0F4D" w:rsidRPr="00826530">
              <w:rPr>
                <w:rFonts w:ascii="Arial" w:hAnsi="Arial" w:cs="Arial"/>
                <w:b/>
                <w:bCs/>
                <w:sz w:val="21"/>
                <w:szCs w:val="21"/>
              </w:rPr>
              <w:t>0</w:t>
            </w:r>
            <w:r w:rsidRPr="00826530">
              <w:rPr>
                <w:rFonts w:ascii="Arial" w:hAnsi="Arial" w:cs="Arial"/>
                <w:b/>
                <w:bCs/>
                <w:sz w:val="21"/>
                <w:szCs w:val="21"/>
              </w:rPr>
              <w:t>.5</w:t>
            </w:r>
            <w:r w:rsidR="009D0F4D" w:rsidRPr="00826530">
              <w:rPr>
                <w:rFonts w:ascii="Arial" w:hAnsi="Arial" w:cs="Arial"/>
                <w:b/>
                <w:bCs/>
                <w:sz w:val="21"/>
                <w:szCs w:val="21"/>
              </w:rPr>
              <w:t>7</w:t>
            </w:r>
          </w:p>
        </w:tc>
      </w:tr>
      <w:tr w:rsidR="00851673" w:rsidRPr="00826530" w14:paraId="7DF3843F" w14:textId="77777777" w:rsidTr="00826530">
        <w:trPr>
          <w:trHeight w:val="20"/>
        </w:trPr>
        <w:tc>
          <w:tcPr>
            <w:tcW w:w="1560" w:type="dxa"/>
            <w:tcBorders>
              <w:top w:val="nil"/>
              <w:left w:val="nil"/>
              <w:bottom w:val="nil"/>
              <w:right w:val="nil"/>
            </w:tcBorders>
            <w:vAlign w:val="center"/>
          </w:tcPr>
          <w:p w14:paraId="298DFB5E" w14:textId="77777777" w:rsidR="00851673" w:rsidRPr="00826530" w:rsidRDefault="00851673" w:rsidP="00836582">
            <w:pPr>
              <w:rPr>
                <w:rFonts w:ascii="Arial" w:hAnsi="Arial" w:cs="Arial"/>
                <w:sz w:val="21"/>
                <w:szCs w:val="21"/>
              </w:rPr>
            </w:pPr>
            <w:r w:rsidRPr="00826530">
              <w:rPr>
                <w:rFonts w:ascii="Arial" w:hAnsi="Arial" w:cs="Arial"/>
                <w:sz w:val="21"/>
                <w:szCs w:val="21"/>
              </w:rPr>
              <w:t>Income</w:t>
            </w:r>
          </w:p>
        </w:tc>
        <w:tc>
          <w:tcPr>
            <w:tcW w:w="1890" w:type="dxa"/>
            <w:gridSpan w:val="4"/>
            <w:tcBorders>
              <w:top w:val="nil"/>
              <w:left w:val="nil"/>
              <w:bottom w:val="nil"/>
              <w:right w:val="nil"/>
            </w:tcBorders>
            <w:vAlign w:val="center"/>
          </w:tcPr>
          <w:p w14:paraId="46F0FBB2" w14:textId="50E54756" w:rsidR="00851673" w:rsidRPr="00826530" w:rsidRDefault="00851673" w:rsidP="00836582">
            <w:pPr>
              <w:jc w:val="right"/>
              <w:rPr>
                <w:rFonts w:ascii="Arial" w:hAnsi="Arial" w:cs="Arial"/>
                <w:sz w:val="21"/>
                <w:szCs w:val="21"/>
              </w:rPr>
            </w:pPr>
            <w:r w:rsidRPr="00826530">
              <w:rPr>
                <w:rFonts w:ascii="Arial" w:hAnsi="Arial" w:cs="Arial"/>
                <w:sz w:val="21"/>
                <w:szCs w:val="21"/>
              </w:rPr>
              <w:t>&lt;$30</w:t>
            </w:r>
            <w:r w:rsidR="005E12EB" w:rsidRPr="00826530">
              <w:rPr>
                <w:rFonts w:ascii="Arial" w:hAnsi="Arial" w:cs="Arial"/>
                <w:sz w:val="21"/>
                <w:szCs w:val="21"/>
              </w:rPr>
              <w:t>,</w:t>
            </w:r>
            <w:r w:rsidRPr="00826530">
              <w:rPr>
                <w:rFonts w:ascii="Arial" w:hAnsi="Arial" w:cs="Arial"/>
                <w:sz w:val="21"/>
                <w:szCs w:val="21"/>
              </w:rPr>
              <w:t>000</w:t>
            </w:r>
          </w:p>
        </w:tc>
        <w:tc>
          <w:tcPr>
            <w:tcW w:w="1007" w:type="dxa"/>
            <w:tcBorders>
              <w:top w:val="nil"/>
              <w:left w:val="nil"/>
              <w:bottom w:val="nil"/>
              <w:right w:val="nil"/>
            </w:tcBorders>
            <w:vAlign w:val="center"/>
          </w:tcPr>
          <w:p w14:paraId="25F4BE7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77</w:t>
            </w:r>
          </w:p>
        </w:tc>
        <w:tc>
          <w:tcPr>
            <w:tcW w:w="1009" w:type="dxa"/>
            <w:tcBorders>
              <w:top w:val="nil"/>
              <w:left w:val="nil"/>
              <w:bottom w:val="nil"/>
              <w:right w:val="nil"/>
            </w:tcBorders>
            <w:vAlign w:val="center"/>
          </w:tcPr>
          <w:p w14:paraId="393CD80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74.8</w:t>
            </w:r>
          </w:p>
        </w:tc>
        <w:tc>
          <w:tcPr>
            <w:tcW w:w="935" w:type="dxa"/>
            <w:tcBorders>
              <w:top w:val="nil"/>
              <w:left w:val="nil"/>
              <w:bottom w:val="nil"/>
              <w:right w:val="nil"/>
            </w:tcBorders>
            <w:vAlign w:val="center"/>
          </w:tcPr>
          <w:p w14:paraId="6E37EF0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340</w:t>
            </w:r>
          </w:p>
        </w:tc>
        <w:tc>
          <w:tcPr>
            <w:tcW w:w="936" w:type="dxa"/>
            <w:tcBorders>
              <w:top w:val="nil"/>
              <w:left w:val="nil"/>
              <w:bottom w:val="nil"/>
              <w:right w:val="nil"/>
            </w:tcBorders>
            <w:vAlign w:val="center"/>
          </w:tcPr>
          <w:p w14:paraId="72DA2773"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59.0</w:t>
            </w:r>
          </w:p>
        </w:tc>
        <w:tc>
          <w:tcPr>
            <w:tcW w:w="743" w:type="dxa"/>
            <w:tcBorders>
              <w:top w:val="nil"/>
              <w:left w:val="nil"/>
              <w:bottom w:val="nil"/>
              <w:right w:val="nil"/>
            </w:tcBorders>
            <w:vAlign w:val="center"/>
          </w:tcPr>
          <w:p w14:paraId="3628584B"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44D01647" w14:textId="77777777" w:rsidR="00851673" w:rsidRPr="00826530" w:rsidRDefault="00851673" w:rsidP="00836582">
            <w:pPr>
              <w:jc w:val="center"/>
              <w:rPr>
                <w:rFonts w:ascii="Arial" w:hAnsi="Arial" w:cs="Arial"/>
                <w:color w:val="000000" w:themeColor="text1"/>
                <w:sz w:val="21"/>
                <w:szCs w:val="21"/>
              </w:rPr>
            </w:pPr>
          </w:p>
        </w:tc>
      </w:tr>
      <w:tr w:rsidR="00851673" w:rsidRPr="00826530" w14:paraId="3FE294DB" w14:textId="77777777" w:rsidTr="00826530">
        <w:trPr>
          <w:trHeight w:val="20"/>
        </w:trPr>
        <w:tc>
          <w:tcPr>
            <w:tcW w:w="1560" w:type="dxa"/>
            <w:tcBorders>
              <w:top w:val="nil"/>
              <w:left w:val="nil"/>
              <w:bottom w:val="nil"/>
              <w:right w:val="nil"/>
            </w:tcBorders>
            <w:vAlign w:val="center"/>
          </w:tcPr>
          <w:p w14:paraId="022558A8"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6DC6CA91" w14:textId="06EE858A" w:rsidR="00851673" w:rsidRPr="00826530" w:rsidRDefault="00851673" w:rsidP="00836582">
            <w:pPr>
              <w:jc w:val="right"/>
              <w:rPr>
                <w:rFonts w:ascii="Arial" w:hAnsi="Arial" w:cs="Arial"/>
                <w:sz w:val="21"/>
                <w:szCs w:val="21"/>
              </w:rPr>
            </w:pPr>
            <w:r w:rsidRPr="00826530">
              <w:rPr>
                <w:rFonts w:ascii="Arial" w:hAnsi="Arial" w:cs="Arial"/>
                <w:sz w:val="21"/>
                <w:szCs w:val="21"/>
              </w:rPr>
              <w:sym w:font="Symbol" w:char="F0B3"/>
            </w:r>
            <w:r w:rsidRPr="00826530">
              <w:rPr>
                <w:rFonts w:ascii="Arial" w:hAnsi="Arial" w:cs="Arial"/>
                <w:sz w:val="21"/>
                <w:szCs w:val="21"/>
              </w:rPr>
              <w:t>$30</w:t>
            </w:r>
            <w:r w:rsidR="005E12EB" w:rsidRPr="00826530">
              <w:rPr>
                <w:rFonts w:ascii="Arial" w:hAnsi="Arial" w:cs="Arial"/>
                <w:sz w:val="21"/>
                <w:szCs w:val="21"/>
              </w:rPr>
              <w:t>,</w:t>
            </w:r>
            <w:r w:rsidRPr="00826530">
              <w:rPr>
                <w:rFonts w:ascii="Arial" w:hAnsi="Arial" w:cs="Arial"/>
                <w:sz w:val="21"/>
                <w:szCs w:val="21"/>
              </w:rPr>
              <w:t>000</w:t>
            </w:r>
          </w:p>
        </w:tc>
        <w:tc>
          <w:tcPr>
            <w:tcW w:w="1007" w:type="dxa"/>
            <w:tcBorders>
              <w:top w:val="nil"/>
              <w:left w:val="nil"/>
              <w:bottom w:val="nil"/>
              <w:right w:val="nil"/>
            </w:tcBorders>
            <w:vAlign w:val="center"/>
          </w:tcPr>
          <w:p w14:paraId="7E561CF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26</w:t>
            </w:r>
          </w:p>
        </w:tc>
        <w:tc>
          <w:tcPr>
            <w:tcW w:w="1009" w:type="dxa"/>
            <w:tcBorders>
              <w:top w:val="nil"/>
              <w:left w:val="nil"/>
              <w:bottom w:val="nil"/>
              <w:right w:val="nil"/>
            </w:tcBorders>
            <w:vAlign w:val="center"/>
          </w:tcPr>
          <w:p w14:paraId="48A1AC5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25.2</w:t>
            </w:r>
          </w:p>
        </w:tc>
        <w:tc>
          <w:tcPr>
            <w:tcW w:w="935" w:type="dxa"/>
            <w:tcBorders>
              <w:top w:val="nil"/>
              <w:left w:val="nil"/>
              <w:bottom w:val="nil"/>
              <w:right w:val="nil"/>
            </w:tcBorders>
            <w:vAlign w:val="center"/>
          </w:tcPr>
          <w:p w14:paraId="7D5E18A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236</w:t>
            </w:r>
          </w:p>
        </w:tc>
        <w:tc>
          <w:tcPr>
            <w:tcW w:w="936" w:type="dxa"/>
            <w:tcBorders>
              <w:top w:val="nil"/>
              <w:left w:val="nil"/>
              <w:bottom w:val="nil"/>
              <w:right w:val="nil"/>
            </w:tcBorders>
            <w:vAlign w:val="center"/>
          </w:tcPr>
          <w:p w14:paraId="1DE52A65"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41.0</w:t>
            </w:r>
          </w:p>
        </w:tc>
        <w:tc>
          <w:tcPr>
            <w:tcW w:w="743" w:type="dxa"/>
            <w:tcBorders>
              <w:top w:val="nil"/>
              <w:left w:val="nil"/>
              <w:bottom w:val="nil"/>
              <w:right w:val="nil"/>
            </w:tcBorders>
            <w:vAlign w:val="center"/>
          </w:tcPr>
          <w:p w14:paraId="7B98293F" w14:textId="5BC127E4"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9D0F4D" w:rsidRPr="00826530">
              <w:rPr>
                <w:rFonts w:ascii="Arial" w:hAnsi="Arial" w:cs="Arial"/>
                <w:color w:val="000000" w:themeColor="text1"/>
                <w:sz w:val="21"/>
                <w:szCs w:val="21"/>
              </w:rPr>
              <w:t>45</w:t>
            </w:r>
          </w:p>
        </w:tc>
        <w:tc>
          <w:tcPr>
            <w:tcW w:w="1420" w:type="dxa"/>
            <w:tcBorders>
              <w:top w:val="nil"/>
              <w:left w:val="nil"/>
              <w:bottom w:val="nil"/>
              <w:right w:val="nil"/>
            </w:tcBorders>
            <w:vAlign w:val="center"/>
          </w:tcPr>
          <w:p w14:paraId="17735DCF" w14:textId="13773507" w:rsidR="00851673" w:rsidRPr="00826530" w:rsidRDefault="00851673" w:rsidP="00836582">
            <w:pPr>
              <w:jc w:val="center"/>
              <w:rPr>
                <w:rFonts w:ascii="Arial" w:hAnsi="Arial" w:cs="Arial"/>
                <w:b/>
                <w:bCs/>
                <w:color w:val="000000" w:themeColor="text1"/>
                <w:sz w:val="21"/>
                <w:szCs w:val="21"/>
              </w:rPr>
            </w:pPr>
            <w:r w:rsidRPr="00826530">
              <w:rPr>
                <w:rFonts w:ascii="Arial" w:hAnsi="Arial" w:cs="Arial"/>
                <w:b/>
                <w:bCs/>
                <w:color w:val="000000" w:themeColor="text1"/>
                <w:sz w:val="21"/>
                <w:szCs w:val="21"/>
              </w:rPr>
              <w:t>0.</w:t>
            </w:r>
            <w:r w:rsidR="009D0F4D" w:rsidRPr="00826530">
              <w:rPr>
                <w:rFonts w:ascii="Arial" w:hAnsi="Arial" w:cs="Arial"/>
                <w:b/>
                <w:bCs/>
                <w:color w:val="000000" w:themeColor="text1"/>
                <w:sz w:val="21"/>
                <w:szCs w:val="21"/>
              </w:rPr>
              <w:t>28</w:t>
            </w:r>
            <w:r w:rsidRPr="00826530">
              <w:rPr>
                <w:rFonts w:ascii="Arial" w:hAnsi="Arial" w:cs="Arial"/>
                <w:b/>
                <w:bCs/>
                <w:color w:val="000000" w:themeColor="text1"/>
                <w:sz w:val="21"/>
                <w:szCs w:val="21"/>
              </w:rPr>
              <w:t xml:space="preserve">, </w:t>
            </w:r>
            <w:r w:rsidR="009D0F4D" w:rsidRPr="00826530">
              <w:rPr>
                <w:rFonts w:ascii="Arial" w:hAnsi="Arial" w:cs="Arial"/>
                <w:b/>
                <w:bCs/>
                <w:color w:val="000000" w:themeColor="text1"/>
                <w:sz w:val="21"/>
                <w:szCs w:val="21"/>
              </w:rPr>
              <w:t>0</w:t>
            </w:r>
            <w:r w:rsidRPr="00826530">
              <w:rPr>
                <w:rFonts w:ascii="Arial" w:hAnsi="Arial" w:cs="Arial"/>
                <w:b/>
                <w:bCs/>
                <w:color w:val="000000" w:themeColor="text1"/>
                <w:sz w:val="21"/>
                <w:szCs w:val="21"/>
              </w:rPr>
              <w:t>.</w:t>
            </w:r>
            <w:r w:rsidR="009D0F4D" w:rsidRPr="00826530">
              <w:rPr>
                <w:rFonts w:ascii="Arial" w:hAnsi="Arial" w:cs="Arial"/>
                <w:b/>
                <w:bCs/>
                <w:color w:val="000000" w:themeColor="text1"/>
                <w:sz w:val="21"/>
                <w:szCs w:val="21"/>
              </w:rPr>
              <w:t>73</w:t>
            </w:r>
          </w:p>
        </w:tc>
      </w:tr>
      <w:tr w:rsidR="00851673" w:rsidRPr="00826530" w14:paraId="0CC69803" w14:textId="77777777" w:rsidTr="00826530">
        <w:trPr>
          <w:trHeight w:val="20"/>
        </w:trPr>
        <w:tc>
          <w:tcPr>
            <w:tcW w:w="1560" w:type="dxa"/>
            <w:tcBorders>
              <w:top w:val="nil"/>
              <w:left w:val="nil"/>
              <w:bottom w:val="nil"/>
              <w:right w:val="nil"/>
            </w:tcBorders>
            <w:vAlign w:val="center"/>
          </w:tcPr>
          <w:p w14:paraId="72757A69" w14:textId="77777777" w:rsidR="00851673" w:rsidRPr="00826530" w:rsidRDefault="00851673" w:rsidP="00836582">
            <w:pPr>
              <w:tabs>
                <w:tab w:val="left" w:pos="784"/>
              </w:tabs>
              <w:rPr>
                <w:rFonts w:ascii="Arial" w:hAnsi="Arial" w:cs="Arial"/>
                <w:sz w:val="21"/>
                <w:szCs w:val="21"/>
              </w:rPr>
            </w:pPr>
            <w:r w:rsidRPr="00826530">
              <w:rPr>
                <w:rFonts w:ascii="Arial" w:hAnsi="Arial" w:cs="Arial"/>
                <w:sz w:val="21"/>
                <w:szCs w:val="21"/>
              </w:rPr>
              <w:t>Ethnicity</w:t>
            </w:r>
          </w:p>
        </w:tc>
        <w:tc>
          <w:tcPr>
            <w:tcW w:w="1890" w:type="dxa"/>
            <w:gridSpan w:val="4"/>
            <w:tcBorders>
              <w:top w:val="nil"/>
              <w:left w:val="nil"/>
              <w:bottom w:val="nil"/>
              <w:right w:val="nil"/>
            </w:tcBorders>
            <w:vAlign w:val="center"/>
          </w:tcPr>
          <w:p w14:paraId="1FE5FAB8"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White</w:t>
            </w:r>
          </w:p>
        </w:tc>
        <w:tc>
          <w:tcPr>
            <w:tcW w:w="1007" w:type="dxa"/>
            <w:tcBorders>
              <w:top w:val="nil"/>
              <w:left w:val="nil"/>
              <w:bottom w:val="nil"/>
              <w:right w:val="nil"/>
            </w:tcBorders>
            <w:vAlign w:val="center"/>
          </w:tcPr>
          <w:p w14:paraId="54D01FF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74</w:t>
            </w:r>
          </w:p>
        </w:tc>
        <w:tc>
          <w:tcPr>
            <w:tcW w:w="1009" w:type="dxa"/>
            <w:tcBorders>
              <w:top w:val="nil"/>
              <w:left w:val="nil"/>
              <w:bottom w:val="nil"/>
              <w:right w:val="nil"/>
            </w:tcBorders>
            <w:vAlign w:val="center"/>
          </w:tcPr>
          <w:p w14:paraId="4F670645"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71.8</w:t>
            </w:r>
          </w:p>
        </w:tc>
        <w:tc>
          <w:tcPr>
            <w:tcW w:w="935" w:type="dxa"/>
            <w:tcBorders>
              <w:top w:val="nil"/>
              <w:left w:val="nil"/>
              <w:bottom w:val="nil"/>
              <w:right w:val="nil"/>
            </w:tcBorders>
            <w:vAlign w:val="center"/>
          </w:tcPr>
          <w:p w14:paraId="3E68601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438</w:t>
            </w:r>
          </w:p>
        </w:tc>
        <w:tc>
          <w:tcPr>
            <w:tcW w:w="936" w:type="dxa"/>
            <w:tcBorders>
              <w:top w:val="nil"/>
              <w:left w:val="nil"/>
              <w:bottom w:val="nil"/>
              <w:right w:val="nil"/>
            </w:tcBorders>
            <w:vAlign w:val="center"/>
          </w:tcPr>
          <w:p w14:paraId="453BB9E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76.0</w:t>
            </w:r>
          </w:p>
        </w:tc>
        <w:tc>
          <w:tcPr>
            <w:tcW w:w="743" w:type="dxa"/>
            <w:tcBorders>
              <w:top w:val="nil"/>
              <w:left w:val="nil"/>
              <w:bottom w:val="nil"/>
              <w:right w:val="nil"/>
            </w:tcBorders>
            <w:vAlign w:val="center"/>
          </w:tcPr>
          <w:p w14:paraId="1F56F748"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66595960" w14:textId="77777777" w:rsidR="00851673" w:rsidRPr="00826530" w:rsidRDefault="00851673" w:rsidP="00836582">
            <w:pPr>
              <w:jc w:val="center"/>
              <w:rPr>
                <w:rFonts w:ascii="Arial" w:hAnsi="Arial" w:cs="Arial"/>
                <w:color w:val="000000" w:themeColor="text1"/>
                <w:sz w:val="21"/>
                <w:szCs w:val="21"/>
              </w:rPr>
            </w:pPr>
          </w:p>
        </w:tc>
      </w:tr>
      <w:tr w:rsidR="00851673" w:rsidRPr="00826530" w14:paraId="67751255" w14:textId="77777777" w:rsidTr="00826530">
        <w:trPr>
          <w:trHeight w:val="20"/>
        </w:trPr>
        <w:tc>
          <w:tcPr>
            <w:tcW w:w="1560" w:type="dxa"/>
            <w:tcBorders>
              <w:top w:val="nil"/>
              <w:left w:val="nil"/>
              <w:bottom w:val="nil"/>
              <w:right w:val="nil"/>
            </w:tcBorders>
            <w:vAlign w:val="center"/>
          </w:tcPr>
          <w:p w14:paraId="39C2604A"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70F4CF5F"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Asian</w:t>
            </w:r>
          </w:p>
        </w:tc>
        <w:tc>
          <w:tcPr>
            <w:tcW w:w="1007" w:type="dxa"/>
            <w:tcBorders>
              <w:top w:val="nil"/>
              <w:left w:val="nil"/>
              <w:bottom w:val="nil"/>
              <w:right w:val="nil"/>
            </w:tcBorders>
            <w:vAlign w:val="center"/>
          </w:tcPr>
          <w:p w14:paraId="7AC45D3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w:t>
            </w:r>
          </w:p>
        </w:tc>
        <w:tc>
          <w:tcPr>
            <w:tcW w:w="1009" w:type="dxa"/>
            <w:tcBorders>
              <w:top w:val="nil"/>
              <w:left w:val="nil"/>
              <w:bottom w:val="nil"/>
              <w:right w:val="nil"/>
            </w:tcBorders>
            <w:vAlign w:val="center"/>
          </w:tcPr>
          <w:p w14:paraId="5A38911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5.8</w:t>
            </w:r>
          </w:p>
        </w:tc>
        <w:tc>
          <w:tcPr>
            <w:tcW w:w="935" w:type="dxa"/>
            <w:tcBorders>
              <w:top w:val="nil"/>
              <w:left w:val="nil"/>
              <w:bottom w:val="nil"/>
              <w:right w:val="nil"/>
            </w:tcBorders>
            <w:vAlign w:val="center"/>
          </w:tcPr>
          <w:p w14:paraId="472333A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62</w:t>
            </w:r>
          </w:p>
        </w:tc>
        <w:tc>
          <w:tcPr>
            <w:tcW w:w="936" w:type="dxa"/>
            <w:tcBorders>
              <w:top w:val="nil"/>
              <w:left w:val="nil"/>
              <w:bottom w:val="nil"/>
              <w:right w:val="nil"/>
            </w:tcBorders>
            <w:vAlign w:val="center"/>
          </w:tcPr>
          <w:p w14:paraId="2C80DFF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10.8</w:t>
            </w:r>
          </w:p>
        </w:tc>
        <w:tc>
          <w:tcPr>
            <w:tcW w:w="743" w:type="dxa"/>
            <w:tcBorders>
              <w:top w:val="nil"/>
              <w:left w:val="nil"/>
              <w:bottom w:val="nil"/>
              <w:right w:val="nil"/>
            </w:tcBorders>
            <w:vAlign w:val="center"/>
          </w:tcPr>
          <w:p w14:paraId="671CC1D9" w14:textId="11823005"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0.</w:t>
            </w:r>
            <w:r w:rsidR="009D0F4D" w:rsidRPr="00826530">
              <w:rPr>
                <w:rFonts w:ascii="Arial" w:hAnsi="Arial" w:cs="Arial"/>
                <w:bCs/>
                <w:color w:val="000000" w:themeColor="text1"/>
                <w:sz w:val="21"/>
                <w:szCs w:val="21"/>
              </w:rPr>
              <w:t>25</w:t>
            </w:r>
          </w:p>
        </w:tc>
        <w:tc>
          <w:tcPr>
            <w:tcW w:w="1420" w:type="dxa"/>
            <w:tcBorders>
              <w:top w:val="nil"/>
              <w:left w:val="nil"/>
              <w:bottom w:val="nil"/>
              <w:right w:val="nil"/>
            </w:tcBorders>
            <w:vAlign w:val="center"/>
          </w:tcPr>
          <w:p w14:paraId="554587BC" w14:textId="294CD2DE"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0.</w:t>
            </w:r>
            <w:r w:rsidR="009D0F4D" w:rsidRPr="00826530">
              <w:rPr>
                <w:rFonts w:ascii="Arial" w:hAnsi="Arial" w:cs="Arial"/>
                <w:b/>
                <w:color w:val="000000" w:themeColor="text1"/>
                <w:sz w:val="21"/>
                <w:szCs w:val="21"/>
              </w:rPr>
              <w:t>09</w:t>
            </w:r>
            <w:r w:rsidRPr="00826530">
              <w:rPr>
                <w:rFonts w:ascii="Arial" w:hAnsi="Arial" w:cs="Arial"/>
                <w:b/>
                <w:color w:val="000000" w:themeColor="text1"/>
                <w:sz w:val="21"/>
                <w:szCs w:val="21"/>
              </w:rPr>
              <w:t>, 0.</w:t>
            </w:r>
            <w:r w:rsidR="009D0F4D" w:rsidRPr="00826530">
              <w:rPr>
                <w:rFonts w:ascii="Arial" w:hAnsi="Arial" w:cs="Arial"/>
                <w:b/>
                <w:color w:val="000000" w:themeColor="text1"/>
                <w:sz w:val="21"/>
                <w:szCs w:val="21"/>
              </w:rPr>
              <w:t>6</w:t>
            </w:r>
            <w:r w:rsidRPr="00826530">
              <w:rPr>
                <w:rFonts w:ascii="Arial" w:hAnsi="Arial" w:cs="Arial"/>
                <w:b/>
                <w:color w:val="000000" w:themeColor="text1"/>
                <w:sz w:val="21"/>
                <w:szCs w:val="21"/>
              </w:rPr>
              <w:t>8</w:t>
            </w:r>
          </w:p>
        </w:tc>
      </w:tr>
      <w:tr w:rsidR="00851673" w:rsidRPr="00826530" w14:paraId="53F2425F" w14:textId="77777777" w:rsidTr="00826530">
        <w:trPr>
          <w:trHeight w:val="20"/>
        </w:trPr>
        <w:tc>
          <w:tcPr>
            <w:tcW w:w="1560" w:type="dxa"/>
            <w:tcBorders>
              <w:top w:val="nil"/>
              <w:left w:val="nil"/>
              <w:bottom w:val="nil"/>
              <w:right w:val="nil"/>
            </w:tcBorders>
            <w:vAlign w:val="center"/>
          </w:tcPr>
          <w:p w14:paraId="114D3B52"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5AE9769B" w14:textId="5F9D8430" w:rsidR="00851673" w:rsidRPr="00826530" w:rsidRDefault="009D0F4D" w:rsidP="00836582">
            <w:pPr>
              <w:jc w:val="right"/>
              <w:rPr>
                <w:rFonts w:ascii="Arial" w:hAnsi="Arial" w:cs="Arial"/>
                <w:bCs/>
                <w:sz w:val="21"/>
                <w:szCs w:val="21"/>
              </w:rPr>
            </w:pPr>
            <w:r w:rsidRPr="00826530">
              <w:rPr>
                <w:rFonts w:ascii="Arial" w:hAnsi="Arial" w:cs="Arial"/>
                <w:bCs/>
                <w:sz w:val="21"/>
                <w:szCs w:val="21"/>
              </w:rPr>
              <w:t>Indigenous</w:t>
            </w:r>
          </w:p>
        </w:tc>
        <w:tc>
          <w:tcPr>
            <w:tcW w:w="1007" w:type="dxa"/>
            <w:tcBorders>
              <w:top w:val="nil"/>
              <w:left w:val="nil"/>
              <w:bottom w:val="nil"/>
              <w:right w:val="nil"/>
            </w:tcBorders>
            <w:vAlign w:val="center"/>
          </w:tcPr>
          <w:p w14:paraId="4977EC8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16</w:t>
            </w:r>
          </w:p>
        </w:tc>
        <w:tc>
          <w:tcPr>
            <w:tcW w:w="1009" w:type="dxa"/>
            <w:tcBorders>
              <w:top w:val="nil"/>
              <w:left w:val="nil"/>
              <w:bottom w:val="nil"/>
              <w:right w:val="nil"/>
            </w:tcBorders>
            <w:vAlign w:val="center"/>
          </w:tcPr>
          <w:p w14:paraId="18B9D72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15.5</w:t>
            </w:r>
          </w:p>
        </w:tc>
        <w:tc>
          <w:tcPr>
            <w:tcW w:w="935" w:type="dxa"/>
            <w:tcBorders>
              <w:top w:val="nil"/>
              <w:left w:val="nil"/>
              <w:bottom w:val="nil"/>
              <w:right w:val="nil"/>
            </w:tcBorders>
            <w:vAlign w:val="center"/>
          </w:tcPr>
          <w:p w14:paraId="2C80B4E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24</w:t>
            </w:r>
          </w:p>
        </w:tc>
        <w:tc>
          <w:tcPr>
            <w:tcW w:w="936" w:type="dxa"/>
            <w:tcBorders>
              <w:top w:val="nil"/>
              <w:left w:val="nil"/>
              <w:bottom w:val="nil"/>
              <w:right w:val="nil"/>
            </w:tcBorders>
            <w:vAlign w:val="center"/>
          </w:tcPr>
          <w:p w14:paraId="60A9272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4.2</w:t>
            </w:r>
          </w:p>
        </w:tc>
        <w:tc>
          <w:tcPr>
            <w:tcW w:w="743" w:type="dxa"/>
            <w:tcBorders>
              <w:top w:val="nil"/>
              <w:left w:val="nil"/>
              <w:bottom w:val="nil"/>
              <w:right w:val="nil"/>
            </w:tcBorders>
            <w:vAlign w:val="center"/>
          </w:tcPr>
          <w:p w14:paraId="544F310C" w14:textId="5BE24F8F" w:rsidR="00851673" w:rsidRPr="00826530" w:rsidRDefault="009D0F4D"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8.90</w:t>
            </w:r>
          </w:p>
        </w:tc>
        <w:tc>
          <w:tcPr>
            <w:tcW w:w="1420" w:type="dxa"/>
            <w:tcBorders>
              <w:top w:val="nil"/>
              <w:left w:val="nil"/>
              <w:bottom w:val="nil"/>
              <w:right w:val="nil"/>
            </w:tcBorders>
            <w:vAlign w:val="center"/>
          </w:tcPr>
          <w:p w14:paraId="7D197033" w14:textId="5F430FED" w:rsidR="00851673" w:rsidRPr="00826530" w:rsidRDefault="009D0F4D"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27</w:t>
            </w:r>
            <w:r w:rsidR="00851673" w:rsidRPr="00826530">
              <w:rPr>
                <w:rFonts w:ascii="Arial" w:hAnsi="Arial" w:cs="Arial"/>
                <w:b/>
                <w:color w:val="000000" w:themeColor="text1"/>
                <w:sz w:val="21"/>
                <w:szCs w:val="21"/>
              </w:rPr>
              <w:t xml:space="preserve">, </w:t>
            </w:r>
            <w:r w:rsidRPr="00826530">
              <w:rPr>
                <w:rFonts w:ascii="Arial" w:hAnsi="Arial" w:cs="Arial"/>
                <w:b/>
                <w:color w:val="000000" w:themeColor="text1"/>
                <w:sz w:val="21"/>
                <w:szCs w:val="21"/>
              </w:rPr>
              <w:t>34</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91</w:t>
            </w:r>
          </w:p>
        </w:tc>
      </w:tr>
      <w:tr w:rsidR="00851673" w:rsidRPr="00826530" w14:paraId="08CF25A1" w14:textId="77777777" w:rsidTr="00826530">
        <w:trPr>
          <w:trHeight w:val="20"/>
        </w:trPr>
        <w:tc>
          <w:tcPr>
            <w:tcW w:w="1560" w:type="dxa"/>
            <w:tcBorders>
              <w:top w:val="nil"/>
              <w:left w:val="nil"/>
              <w:bottom w:val="nil"/>
              <w:right w:val="nil"/>
            </w:tcBorders>
            <w:vAlign w:val="center"/>
          </w:tcPr>
          <w:p w14:paraId="0FE91B72"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7CCE8B39" w14:textId="725FD1B1" w:rsidR="00851673" w:rsidRPr="00826530" w:rsidRDefault="00851673" w:rsidP="00836582">
            <w:pPr>
              <w:jc w:val="right"/>
              <w:rPr>
                <w:rFonts w:ascii="Arial" w:hAnsi="Arial" w:cs="Arial"/>
                <w:sz w:val="21"/>
                <w:szCs w:val="21"/>
              </w:rPr>
            </w:pPr>
            <w:r w:rsidRPr="00826530">
              <w:rPr>
                <w:rFonts w:ascii="Arial" w:hAnsi="Arial" w:cs="Arial"/>
                <w:sz w:val="21"/>
                <w:szCs w:val="21"/>
              </w:rPr>
              <w:t>Latino</w:t>
            </w:r>
            <w:r w:rsidR="009D0F4D" w:rsidRPr="00826530">
              <w:rPr>
                <w:rFonts w:ascii="Arial" w:hAnsi="Arial" w:cs="Arial"/>
                <w:sz w:val="21"/>
                <w:szCs w:val="21"/>
              </w:rPr>
              <w:t>/Other</w:t>
            </w:r>
          </w:p>
        </w:tc>
        <w:tc>
          <w:tcPr>
            <w:tcW w:w="1007" w:type="dxa"/>
            <w:tcBorders>
              <w:top w:val="nil"/>
              <w:left w:val="nil"/>
              <w:bottom w:val="nil"/>
              <w:right w:val="nil"/>
            </w:tcBorders>
            <w:vAlign w:val="center"/>
          </w:tcPr>
          <w:p w14:paraId="1AC00D5C" w14:textId="45360C0D" w:rsidR="00851673" w:rsidRPr="00826530" w:rsidRDefault="009D0F4D" w:rsidP="00836582">
            <w:pPr>
              <w:jc w:val="center"/>
              <w:rPr>
                <w:rFonts w:ascii="Arial" w:hAnsi="Arial" w:cs="Arial"/>
                <w:sz w:val="21"/>
                <w:szCs w:val="21"/>
              </w:rPr>
            </w:pPr>
            <w:r w:rsidRPr="00826530">
              <w:rPr>
                <w:rFonts w:ascii="Arial" w:hAnsi="Arial" w:cs="Arial"/>
                <w:sz w:val="21"/>
                <w:szCs w:val="21"/>
              </w:rPr>
              <w:t>7</w:t>
            </w:r>
          </w:p>
        </w:tc>
        <w:tc>
          <w:tcPr>
            <w:tcW w:w="1009" w:type="dxa"/>
            <w:tcBorders>
              <w:top w:val="nil"/>
              <w:left w:val="nil"/>
              <w:bottom w:val="nil"/>
              <w:right w:val="nil"/>
            </w:tcBorders>
            <w:vAlign w:val="center"/>
          </w:tcPr>
          <w:p w14:paraId="54CD3B71" w14:textId="57E0DFD9" w:rsidR="00851673" w:rsidRPr="00826530" w:rsidRDefault="009D0F4D" w:rsidP="00836582">
            <w:pPr>
              <w:jc w:val="center"/>
              <w:rPr>
                <w:rFonts w:ascii="Arial" w:hAnsi="Arial" w:cs="Arial"/>
                <w:sz w:val="21"/>
                <w:szCs w:val="21"/>
              </w:rPr>
            </w:pPr>
            <w:r w:rsidRPr="00826530">
              <w:rPr>
                <w:rFonts w:ascii="Arial" w:hAnsi="Arial" w:cs="Arial"/>
                <w:sz w:val="21"/>
                <w:szCs w:val="21"/>
              </w:rPr>
              <w:t>6.8</w:t>
            </w:r>
          </w:p>
        </w:tc>
        <w:tc>
          <w:tcPr>
            <w:tcW w:w="935" w:type="dxa"/>
            <w:tcBorders>
              <w:top w:val="nil"/>
              <w:left w:val="nil"/>
              <w:bottom w:val="nil"/>
              <w:right w:val="nil"/>
            </w:tcBorders>
            <w:vAlign w:val="center"/>
          </w:tcPr>
          <w:p w14:paraId="606E40A8" w14:textId="04060C13" w:rsidR="00851673" w:rsidRPr="00826530" w:rsidRDefault="009D0F4D" w:rsidP="00836582">
            <w:pPr>
              <w:jc w:val="center"/>
              <w:rPr>
                <w:rFonts w:ascii="Arial" w:hAnsi="Arial" w:cs="Arial"/>
                <w:sz w:val="21"/>
                <w:szCs w:val="21"/>
              </w:rPr>
            </w:pPr>
            <w:r w:rsidRPr="00826530">
              <w:rPr>
                <w:rFonts w:ascii="Arial" w:hAnsi="Arial" w:cs="Arial"/>
                <w:sz w:val="21"/>
                <w:szCs w:val="21"/>
              </w:rPr>
              <w:t>52</w:t>
            </w:r>
          </w:p>
        </w:tc>
        <w:tc>
          <w:tcPr>
            <w:tcW w:w="936" w:type="dxa"/>
            <w:tcBorders>
              <w:top w:val="nil"/>
              <w:left w:val="nil"/>
              <w:bottom w:val="nil"/>
              <w:right w:val="nil"/>
            </w:tcBorders>
            <w:vAlign w:val="center"/>
          </w:tcPr>
          <w:p w14:paraId="00B3485F" w14:textId="49B8B915" w:rsidR="00851673" w:rsidRPr="00826530" w:rsidRDefault="009D0F4D" w:rsidP="00836582">
            <w:pPr>
              <w:jc w:val="center"/>
              <w:rPr>
                <w:rFonts w:ascii="Arial" w:hAnsi="Arial" w:cs="Arial"/>
                <w:sz w:val="21"/>
                <w:szCs w:val="21"/>
              </w:rPr>
            </w:pPr>
            <w:r w:rsidRPr="00826530">
              <w:rPr>
                <w:rFonts w:ascii="Arial" w:hAnsi="Arial" w:cs="Arial"/>
                <w:sz w:val="21"/>
                <w:szCs w:val="21"/>
              </w:rPr>
              <w:t>9.0</w:t>
            </w:r>
          </w:p>
        </w:tc>
        <w:tc>
          <w:tcPr>
            <w:tcW w:w="743" w:type="dxa"/>
            <w:tcBorders>
              <w:top w:val="nil"/>
              <w:left w:val="nil"/>
              <w:bottom w:val="nil"/>
              <w:right w:val="nil"/>
            </w:tcBorders>
            <w:vAlign w:val="center"/>
          </w:tcPr>
          <w:p w14:paraId="78EC2818" w14:textId="3F84B190"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9D0F4D" w:rsidRPr="00826530">
              <w:rPr>
                <w:rFonts w:ascii="Arial" w:hAnsi="Arial" w:cs="Arial"/>
                <w:color w:val="000000" w:themeColor="text1"/>
                <w:sz w:val="21"/>
                <w:szCs w:val="21"/>
              </w:rPr>
              <w:t>10</w:t>
            </w:r>
          </w:p>
        </w:tc>
        <w:tc>
          <w:tcPr>
            <w:tcW w:w="1420" w:type="dxa"/>
            <w:tcBorders>
              <w:top w:val="nil"/>
              <w:left w:val="nil"/>
              <w:bottom w:val="nil"/>
              <w:right w:val="nil"/>
            </w:tcBorders>
            <w:vAlign w:val="center"/>
          </w:tcPr>
          <w:p w14:paraId="16CB1AC8" w14:textId="117CCAFB"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0.3</w:t>
            </w:r>
            <w:r w:rsidR="009D0F4D" w:rsidRPr="00826530">
              <w:rPr>
                <w:rFonts w:ascii="Arial" w:hAnsi="Arial" w:cs="Arial"/>
                <w:color w:val="000000" w:themeColor="text1"/>
                <w:sz w:val="21"/>
                <w:szCs w:val="21"/>
              </w:rPr>
              <w:t>6</w:t>
            </w:r>
            <w:r w:rsidRPr="00826530">
              <w:rPr>
                <w:rFonts w:ascii="Arial" w:hAnsi="Arial" w:cs="Arial"/>
                <w:color w:val="000000" w:themeColor="text1"/>
                <w:sz w:val="21"/>
                <w:szCs w:val="21"/>
              </w:rPr>
              <w:t>, 3.</w:t>
            </w:r>
            <w:r w:rsidR="009D0F4D" w:rsidRPr="00826530">
              <w:rPr>
                <w:rFonts w:ascii="Arial" w:hAnsi="Arial" w:cs="Arial"/>
                <w:color w:val="000000" w:themeColor="text1"/>
                <w:sz w:val="21"/>
                <w:szCs w:val="21"/>
              </w:rPr>
              <w:t>35</w:t>
            </w:r>
          </w:p>
        </w:tc>
      </w:tr>
      <w:tr w:rsidR="00851673" w:rsidRPr="00826530" w14:paraId="6F8E6037" w14:textId="77777777" w:rsidTr="00826530">
        <w:trPr>
          <w:trHeight w:val="20"/>
        </w:trPr>
        <w:tc>
          <w:tcPr>
            <w:tcW w:w="1560" w:type="dxa"/>
            <w:tcBorders>
              <w:top w:val="nil"/>
              <w:left w:val="nil"/>
              <w:bottom w:val="nil"/>
              <w:right w:val="nil"/>
            </w:tcBorders>
            <w:vAlign w:val="center"/>
          </w:tcPr>
          <w:p w14:paraId="156FB166" w14:textId="77777777" w:rsidR="00851673" w:rsidRPr="00826530" w:rsidRDefault="00851673" w:rsidP="00836582">
            <w:pPr>
              <w:rPr>
                <w:rFonts w:ascii="Arial" w:hAnsi="Arial" w:cs="Arial"/>
                <w:sz w:val="21"/>
                <w:szCs w:val="21"/>
              </w:rPr>
            </w:pPr>
            <w:r w:rsidRPr="00826530">
              <w:rPr>
                <w:rFonts w:ascii="Arial" w:hAnsi="Arial" w:cs="Arial"/>
                <w:sz w:val="21"/>
                <w:szCs w:val="21"/>
              </w:rPr>
              <w:t>Education</w:t>
            </w:r>
          </w:p>
        </w:tc>
        <w:tc>
          <w:tcPr>
            <w:tcW w:w="1890" w:type="dxa"/>
            <w:gridSpan w:val="4"/>
            <w:tcBorders>
              <w:top w:val="nil"/>
              <w:left w:val="nil"/>
              <w:bottom w:val="nil"/>
              <w:right w:val="nil"/>
            </w:tcBorders>
            <w:vAlign w:val="center"/>
          </w:tcPr>
          <w:p w14:paraId="78F55810"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≤High school</w:t>
            </w:r>
          </w:p>
        </w:tc>
        <w:tc>
          <w:tcPr>
            <w:tcW w:w="1007" w:type="dxa"/>
            <w:tcBorders>
              <w:top w:val="nil"/>
              <w:left w:val="nil"/>
              <w:bottom w:val="nil"/>
              <w:right w:val="nil"/>
            </w:tcBorders>
            <w:vAlign w:val="center"/>
          </w:tcPr>
          <w:p w14:paraId="77405EF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41</w:t>
            </w:r>
          </w:p>
        </w:tc>
        <w:tc>
          <w:tcPr>
            <w:tcW w:w="1009" w:type="dxa"/>
            <w:tcBorders>
              <w:top w:val="nil"/>
              <w:left w:val="nil"/>
              <w:bottom w:val="nil"/>
              <w:right w:val="nil"/>
            </w:tcBorders>
            <w:vAlign w:val="center"/>
          </w:tcPr>
          <w:p w14:paraId="7B88EF71"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39.8</w:t>
            </w:r>
          </w:p>
        </w:tc>
        <w:tc>
          <w:tcPr>
            <w:tcW w:w="935" w:type="dxa"/>
            <w:tcBorders>
              <w:top w:val="nil"/>
              <w:left w:val="nil"/>
              <w:bottom w:val="nil"/>
              <w:right w:val="nil"/>
            </w:tcBorders>
            <w:vAlign w:val="center"/>
          </w:tcPr>
          <w:p w14:paraId="4F56B2A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100</w:t>
            </w:r>
          </w:p>
        </w:tc>
        <w:tc>
          <w:tcPr>
            <w:tcW w:w="936" w:type="dxa"/>
            <w:tcBorders>
              <w:top w:val="nil"/>
              <w:left w:val="nil"/>
              <w:bottom w:val="nil"/>
              <w:right w:val="nil"/>
            </w:tcBorders>
            <w:vAlign w:val="center"/>
          </w:tcPr>
          <w:p w14:paraId="4C11244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17.4</w:t>
            </w:r>
          </w:p>
        </w:tc>
        <w:tc>
          <w:tcPr>
            <w:tcW w:w="743" w:type="dxa"/>
            <w:tcBorders>
              <w:top w:val="nil"/>
              <w:left w:val="nil"/>
              <w:bottom w:val="nil"/>
              <w:right w:val="nil"/>
            </w:tcBorders>
            <w:vAlign w:val="center"/>
          </w:tcPr>
          <w:p w14:paraId="48A8E586"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127A0E97" w14:textId="77777777" w:rsidR="00851673" w:rsidRPr="00826530" w:rsidRDefault="00851673" w:rsidP="00836582">
            <w:pPr>
              <w:jc w:val="center"/>
              <w:rPr>
                <w:rFonts w:ascii="Arial" w:hAnsi="Arial" w:cs="Arial"/>
                <w:color w:val="000000" w:themeColor="text1"/>
                <w:sz w:val="21"/>
                <w:szCs w:val="21"/>
              </w:rPr>
            </w:pPr>
          </w:p>
        </w:tc>
      </w:tr>
      <w:tr w:rsidR="00851673" w:rsidRPr="00826530" w14:paraId="565890FF" w14:textId="77777777" w:rsidTr="00826530">
        <w:trPr>
          <w:trHeight w:val="20"/>
        </w:trPr>
        <w:tc>
          <w:tcPr>
            <w:tcW w:w="1560" w:type="dxa"/>
            <w:tcBorders>
              <w:top w:val="nil"/>
              <w:left w:val="nil"/>
              <w:bottom w:val="nil"/>
              <w:right w:val="nil"/>
            </w:tcBorders>
            <w:vAlign w:val="center"/>
          </w:tcPr>
          <w:p w14:paraId="440E0203"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686FF372"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&gt;High school</w:t>
            </w:r>
          </w:p>
        </w:tc>
        <w:tc>
          <w:tcPr>
            <w:tcW w:w="1007" w:type="dxa"/>
            <w:tcBorders>
              <w:top w:val="nil"/>
              <w:left w:val="nil"/>
              <w:bottom w:val="nil"/>
              <w:right w:val="nil"/>
            </w:tcBorders>
            <w:vAlign w:val="center"/>
          </w:tcPr>
          <w:p w14:paraId="29DB4BC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62</w:t>
            </w:r>
          </w:p>
        </w:tc>
        <w:tc>
          <w:tcPr>
            <w:tcW w:w="1009" w:type="dxa"/>
            <w:tcBorders>
              <w:top w:val="nil"/>
              <w:left w:val="nil"/>
              <w:bottom w:val="nil"/>
              <w:right w:val="nil"/>
            </w:tcBorders>
            <w:vAlign w:val="center"/>
          </w:tcPr>
          <w:p w14:paraId="5CF6282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60.2</w:t>
            </w:r>
          </w:p>
        </w:tc>
        <w:tc>
          <w:tcPr>
            <w:tcW w:w="935" w:type="dxa"/>
            <w:tcBorders>
              <w:top w:val="nil"/>
              <w:left w:val="nil"/>
              <w:bottom w:val="nil"/>
              <w:right w:val="nil"/>
            </w:tcBorders>
            <w:vAlign w:val="center"/>
          </w:tcPr>
          <w:p w14:paraId="6A6FD98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476</w:t>
            </w:r>
          </w:p>
        </w:tc>
        <w:tc>
          <w:tcPr>
            <w:tcW w:w="936" w:type="dxa"/>
            <w:tcBorders>
              <w:top w:val="nil"/>
              <w:left w:val="nil"/>
              <w:bottom w:val="nil"/>
              <w:right w:val="nil"/>
            </w:tcBorders>
            <w:vAlign w:val="center"/>
          </w:tcPr>
          <w:p w14:paraId="5FF8FD1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82.6</w:t>
            </w:r>
          </w:p>
        </w:tc>
        <w:tc>
          <w:tcPr>
            <w:tcW w:w="743" w:type="dxa"/>
            <w:tcBorders>
              <w:top w:val="nil"/>
              <w:left w:val="nil"/>
              <w:bottom w:val="nil"/>
              <w:right w:val="nil"/>
            </w:tcBorders>
            <w:vAlign w:val="center"/>
          </w:tcPr>
          <w:p w14:paraId="6E1133AA" w14:textId="07FD98B8"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0.1</w:t>
            </w:r>
            <w:r w:rsidR="002B0750" w:rsidRPr="00826530">
              <w:rPr>
                <w:rFonts w:ascii="Arial" w:hAnsi="Arial" w:cs="Arial"/>
                <w:bCs/>
                <w:color w:val="000000" w:themeColor="text1"/>
                <w:sz w:val="21"/>
                <w:szCs w:val="21"/>
              </w:rPr>
              <w:t>5</w:t>
            </w:r>
          </w:p>
        </w:tc>
        <w:tc>
          <w:tcPr>
            <w:tcW w:w="1420" w:type="dxa"/>
            <w:tcBorders>
              <w:top w:val="nil"/>
              <w:left w:val="nil"/>
              <w:bottom w:val="nil"/>
              <w:right w:val="nil"/>
            </w:tcBorders>
            <w:vAlign w:val="center"/>
          </w:tcPr>
          <w:p w14:paraId="24F7ED55" w14:textId="48642C87"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0.0</w:t>
            </w:r>
            <w:r w:rsidR="002B0750" w:rsidRPr="00826530">
              <w:rPr>
                <w:rFonts w:ascii="Arial" w:hAnsi="Arial" w:cs="Arial"/>
                <w:b/>
                <w:color w:val="000000" w:themeColor="text1"/>
                <w:sz w:val="21"/>
                <w:szCs w:val="21"/>
              </w:rPr>
              <w:t>7</w:t>
            </w:r>
            <w:r w:rsidRPr="00826530">
              <w:rPr>
                <w:rFonts w:ascii="Arial" w:hAnsi="Arial" w:cs="Arial"/>
                <w:b/>
                <w:color w:val="000000" w:themeColor="text1"/>
                <w:sz w:val="21"/>
                <w:szCs w:val="21"/>
              </w:rPr>
              <w:t>, 0.3</w:t>
            </w:r>
            <w:r w:rsidR="002B0750" w:rsidRPr="00826530">
              <w:rPr>
                <w:rFonts w:ascii="Arial" w:hAnsi="Arial" w:cs="Arial"/>
                <w:b/>
                <w:color w:val="000000" w:themeColor="text1"/>
                <w:sz w:val="21"/>
                <w:szCs w:val="21"/>
              </w:rPr>
              <w:t>5</w:t>
            </w:r>
          </w:p>
        </w:tc>
      </w:tr>
      <w:tr w:rsidR="00851673" w:rsidRPr="00826530" w14:paraId="67479DD7" w14:textId="77777777" w:rsidTr="00826530">
        <w:trPr>
          <w:trHeight w:val="20"/>
        </w:trPr>
        <w:tc>
          <w:tcPr>
            <w:tcW w:w="1560" w:type="dxa"/>
            <w:tcBorders>
              <w:top w:val="nil"/>
              <w:left w:val="nil"/>
              <w:bottom w:val="nil"/>
              <w:right w:val="nil"/>
            </w:tcBorders>
            <w:vAlign w:val="center"/>
          </w:tcPr>
          <w:p w14:paraId="1EBF6C8B" w14:textId="77777777" w:rsidR="00851673" w:rsidRPr="00826530" w:rsidRDefault="00851673" w:rsidP="00836582">
            <w:pPr>
              <w:rPr>
                <w:rFonts w:ascii="Arial" w:hAnsi="Arial" w:cs="Arial"/>
                <w:sz w:val="21"/>
                <w:szCs w:val="21"/>
              </w:rPr>
            </w:pPr>
            <w:r w:rsidRPr="00826530">
              <w:rPr>
                <w:rFonts w:ascii="Arial" w:hAnsi="Arial" w:cs="Arial"/>
                <w:sz w:val="21"/>
                <w:szCs w:val="21"/>
              </w:rPr>
              <w:t>Sexual Identity</w:t>
            </w:r>
          </w:p>
        </w:tc>
        <w:tc>
          <w:tcPr>
            <w:tcW w:w="1890" w:type="dxa"/>
            <w:gridSpan w:val="4"/>
            <w:tcBorders>
              <w:top w:val="nil"/>
              <w:left w:val="nil"/>
              <w:bottom w:val="nil"/>
              <w:right w:val="nil"/>
            </w:tcBorders>
            <w:vAlign w:val="center"/>
          </w:tcPr>
          <w:p w14:paraId="30B3C52C"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Gay</w:t>
            </w:r>
          </w:p>
        </w:tc>
        <w:tc>
          <w:tcPr>
            <w:tcW w:w="1007" w:type="dxa"/>
            <w:tcBorders>
              <w:top w:val="nil"/>
              <w:left w:val="nil"/>
              <w:bottom w:val="nil"/>
              <w:right w:val="nil"/>
            </w:tcBorders>
            <w:vAlign w:val="center"/>
          </w:tcPr>
          <w:p w14:paraId="7B9FF70E"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76</w:t>
            </w:r>
          </w:p>
        </w:tc>
        <w:tc>
          <w:tcPr>
            <w:tcW w:w="1009" w:type="dxa"/>
            <w:tcBorders>
              <w:top w:val="nil"/>
              <w:left w:val="nil"/>
              <w:bottom w:val="nil"/>
              <w:right w:val="nil"/>
            </w:tcBorders>
            <w:vAlign w:val="center"/>
          </w:tcPr>
          <w:p w14:paraId="42D5DEA1"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73.8</w:t>
            </w:r>
          </w:p>
        </w:tc>
        <w:tc>
          <w:tcPr>
            <w:tcW w:w="935" w:type="dxa"/>
            <w:tcBorders>
              <w:top w:val="nil"/>
              <w:left w:val="nil"/>
              <w:bottom w:val="nil"/>
              <w:right w:val="nil"/>
            </w:tcBorders>
            <w:vAlign w:val="center"/>
          </w:tcPr>
          <w:p w14:paraId="21CA9AC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510</w:t>
            </w:r>
          </w:p>
        </w:tc>
        <w:tc>
          <w:tcPr>
            <w:tcW w:w="936" w:type="dxa"/>
            <w:tcBorders>
              <w:top w:val="nil"/>
              <w:left w:val="nil"/>
              <w:bottom w:val="nil"/>
              <w:right w:val="nil"/>
            </w:tcBorders>
            <w:vAlign w:val="center"/>
          </w:tcPr>
          <w:p w14:paraId="74A0D1C1"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88.5</w:t>
            </w:r>
          </w:p>
        </w:tc>
        <w:tc>
          <w:tcPr>
            <w:tcW w:w="743" w:type="dxa"/>
            <w:tcBorders>
              <w:top w:val="nil"/>
              <w:left w:val="nil"/>
              <w:bottom w:val="nil"/>
              <w:right w:val="nil"/>
            </w:tcBorders>
            <w:vAlign w:val="center"/>
          </w:tcPr>
          <w:p w14:paraId="589BD6EB"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6D90CE4F" w14:textId="77777777" w:rsidR="00851673" w:rsidRPr="00826530" w:rsidRDefault="00851673" w:rsidP="00836582">
            <w:pPr>
              <w:jc w:val="center"/>
              <w:rPr>
                <w:rFonts w:ascii="Arial" w:hAnsi="Arial" w:cs="Arial"/>
                <w:color w:val="000000" w:themeColor="text1"/>
                <w:sz w:val="21"/>
                <w:szCs w:val="21"/>
              </w:rPr>
            </w:pPr>
          </w:p>
        </w:tc>
      </w:tr>
      <w:tr w:rsidR="00851673" w:rsidRPr="00826530" w14:paraId="1AA6FD4A" w14:textId="77777777" w:rsidTr="00826530">
        <w:trPr>
          <w:trHeight w:val="20"/>
        </w:trPr>
        <w:tc>
          <w:tcPr>
            <w:tcW w:w="1560" w:type="dxa"/>
            <w:tcBorders>
              <w:top w:val="nil"/>
              <w:left w:val="nil"/>
              <w:bottom w:val="nil"/>
              <w:right w:val="nil"/>
            </w:tcBorders>
            <w:vAlign w:val="center"/>
          </w:tcPr>
          <w:p w14:paraId="417F25BC"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45D774F7" w14:textId="77777777" w:rsidR="00851673" w:rsidRPr="00826530" w:rsidRDefault="00851673" w:rsidP="00826530">
            <w:pPr>
              <w:jc w:val="right"/>
              <w:rPr>
                <w:rFonts w:ascii="Arial" w:hAnsi="Arial" w:cs="Arial"/>
                <w:bCs/>
                <w:sz w:val="21"/>
                <w:szCs w:val="21"/>
              </w:rPr>
            </w:pPr>
            <w:r w:rsidRPr="00826530">
              <w:rPr>
                <w:rFonts w:ascii="Arial" w:hAnsi="Arial" w:cs="Arial"/>
                <w:bCs/>
                <w:sz w:val="21"/>
                <w:szCs w:val="21"/>
              </w:rPr>
              <w:t>Bisexual/Other</w:t>
            </w:r>
          </w:p>
        </w:tc>
        <w:tc>
          <w:tcPr>
            <w:tcW w:w="1007" w:type="dxa"/>
            <w:tcBorders>
              <w:top w:val="nil"/>
              <w:left w:val="nil"/>
              <w:bottom w:val="nil"/>
              <w:right w:val="nil"/>
            </w:tcBorders>
            <w:vAlign w:val="center"/>
          </w:tcPr>
          <w:p w14:paraId="75AEEF2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27</w:t>
            </w:r>
          </w:p>
        </w:tc>
        <w:tc>
          <w:tcPr>
            <w:tcW w:w="1009" w:type="dxa"/>
            <w:tcBorders>
              <w:top w:val="nil"/>
              <w:left w:val="nil"/>
              <w:bottom w:val="nil"/>
              <w:right w:val="nil"/>
            </w:tcBorders>
            <w:vAlign w:val="center"/>
          </w:tcPr>
          <w:p w14:paraId="5318EF8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26.2</w:t>
            </w:r>
          </w:p>
        </w:tc>
        <w:tc>
          <w:tcPr>
            <w:tcW w:w="935" w:type="dxa"/>
            <w:tcBorders>
              <w:top w:val="nil"/>
              <w:left w:val="nil"/>
              <w:bottom w:val="nil"/>
              <w:right w:val="nil"/>
            </w:tcBorders>
            <w:vAlign w:val="center"/>
          </w:tcPr>
          <w:p w14:paraId="7EA9D16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66</w:t>
            </w:r>
          </w:p>
        </w:tc>
        <w:tc>
          <w:tcPr>
            <w:tcW w:w="936" w:type="dxa"/>
            <w:tcBorders>
              <w:top w:val="nil"/>
              <w:left w:val="nil"/>
              <w:bottom w:val="nil"/>
              <w:right w:val="nil"/>
            </w:tcBorders>
            <w:vAlign w:val="center"/>
          </w:tcPr>
          <w:p w14:paraId="53D3419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11.5</w:t>
            </w:r>
          </w:p>
        </w:tc>
        <w:tc>
          <w:tcPr>
            <w:tcW w:w="743" w:type="dxa"/>
            <w:tcBorders>
              <w:top w:val="nil"/>
              <w:left w:val="nil"/>
              <w:bottom w:val="nil"/>
              <w:right w:val="nil"/>
            </w:tcBorders>
            <w:vAlign w:val="center"/>
          </w:tcPr>
          <w:p w14:paraId="6A876045" w14:textId="52FC6706" w:rsidR="00851673" w:rsidRPr="00826530" w:rsidRDefault="002B0750"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3</w:t>
            </w:r>
            <w:r w:rsidR="00851673" w:rsidRPr="00826530">
              <w:rPr>
                <w:rFonts w:ascii="Arial" w:hAnsi="Arial" w:cs="Arial"/>
                <w:bCs/>
                <w:color w:val="000000" w:themeColor="text1"/>
                <w:sz w:val="21"/>
                <w:szCs w:val="21"/>
              </w:rPr>
              <w:t>.</w:t>
            </w:r>
            <w:r w:rsidRPr="00826530">
              <w:rPr>
                <w:rFonts w:ascii="Arial" w:hAnsi="Arial" w:cs="Arial"/>
                <w:bCs/>
                <w:color w:val="000000" w:themeColor="text1"/>
                <w:sz w:val="21"/>
                <w:szCs w:val="21"/>
              </w:rPr>
              <w:t>95</w:t>
            </w:r>
          </w:p>
        </w:tc>
        <w:tc>
          <w:tcPr>
            <w:tcW w:w="1420" w:type="dxa"/>
            <w:tcBorders>
              <w:top w:val="nil"/>
              <w:left w:val="nil"/>
              <w:bottom w:val="nil"/>
              <w:right w:val="nil"/>
            </w:tcBorders>
            <w:vAlign w:val="center"/>
          </w:tcPr>
          <w:p w14:paraId="668515EC" w14:textId="34A698E4" w:rsidR="00851673" w:rsidRPr="00826530" w:rsidRDefault="002B0750"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18</w:t>
            </w:r>
            <w:r w:rsidR="00851673" w:rsidRPr="00826530">
              <w:rPr>
                <w:rFonts w:ascii="Arial" w:hAnsi="Arial" w:cs="Arial"/>
                <w:b/>
                <w:color w:val="000000" w:themeColor="text1"/>
                <w:sz w:val="21"/>
                <w:szCs w:val="21"/>
              </w:rPr>
              <w:t xml:space="preserve">, </w:t>
            </w:r>
            <w:r w:rsidRPr="00826530">
              <w:rPr>
                <w:rFonts w:ascii="Arial" w:hAnsi="Arial" w:cs="Arial"/>
                <w:b/>
                <w:color w:val="000000" w:themeColor="text1"/>
                <w:sz w:val="21"/>
                <w:szCs w:val="21"/>
              </w:rPr>
              <w:t>7</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15</w:t>
            </w:r>
          </w:p>
        </w:tc>
      </w:tr>
      <w:tr w:rsidR="00851673" w:rsidRPr="00826530" w14:paraId="6D404337" w14:textId="77777777" w:rsidTr="00826530">
        <w:trPr>
          <w:trHeight w:val="20"/>
        </w:trPr>
        <w:tc>
          <w:tcPr>
            <w:tcW w:w="1560" w:type="dxa"/>
            <w:tcBorders>
              <w:top w:val="nil"/>
              <w:left w:val="nil"/>
              <w:bottom w:val="nil"/>
              <w:right w:val="nil"/>
            </w:tcBorders>
            <w:vAlign w:val="center"/>
          </w:tcPr>
          <w:p w14:paraId="134FD1B5" w14:textId="77777777" w:rsidR="00851673" w:rsidRPr="00826530" w:rsidRDefault="00851673" w:rsidP="00836582">
            <w:pPr>
              <w:rPr>
                <w:rFonts w:ascii="Arial" w:hAnsi="Arial" w:cs="Arial"/>
                <w:sz w:val="21"/>
                <w:szCs w:val="21"/>
              </w:rPr>
            </w:pPr>
            <w:r w:rsidRPr="00826530">
              <w:rPr>
                <w:rFonts w:ascii="Arial" w:hAnsi="Arial" w:cs="Arial"/>
                <w:sz w:val="21"/>
                <w:szCs w:val="21"/>
              </w:rPr>
              <w:t>HIV Status</w:t>
            </w:r>
          </w:p>
        </w:tc>
        <w:tc>
          <w:tcPr>
            <w:tcW w:w="1890" w:type="dxa"/>
            <w:gridSpan w:val="4"/>
            <w:tcBorders>
              <w:top w:val="nil"/>
              <w:left w:val="nil"/>
              <w:bottom w:val="nil"/>
              <w:right w:val="nil"/>
            </w:tcBorders>
            <w:vAlign w:val="center"/>
          </w:tcPr>
          <w:p w14:paraId="782CCDB7"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HIV-negative</w:t>
            </w:r>
          </w:p>
        </w:tc>
        <w:tc>
          <w:tcPr>
            <w:tcW w:w="1007" w:type="dxa"/>
            <w:tcBorders>
              <w:top w:val="nil"/>
              <w:left w:val="nil"/>
              <w:bottom w:val="nil"/>
              <w:right w:val="nil"/>
            </w:tcBorders>
            <w:vAlign w:val="center"/>
          </w:tcPr>
          <w:p w14:paraId="69DCD1D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58</w:t>
            </w:r>
          </w:p>
        </w:tc>
        <w:tc>
          <w:tcPr>
            <w:tcW w:w="1009" w:type="dxa"/>
            <w:tcBorders>
              <w:top w:val="nil"/>
              <w:left w:val="nil"/>
              <w:bottom w:val="nil"/>
              <w:right w:val="nil"/>
            </w:tcBorders>
            <w:vAlign w:val="center"/>
          </w:tcPr>
          <w:p w14:paraId="576A7EA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56.3</w:t>
            </w:r>
          </w:p>
        </w:tc>
        <w:tc>
          <w:tcPr>
            <w:tcW w:w="935" w:type="dxa"/>
            <w:tcBorders>
              <w:top w:val="nil"/>
              <w:left w:val="nil"/>
              <w:bottom w:val="nil"/>
              <w:right w:val="nil"/>
            </w:tcBorders>
            <w:vAlign w:val="center"/>
          </w:tcPr>
          <w:p w14:paraId="2B8A38F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431</w:t>
            </w:r>
          </w:p>
        </w:tc>
        <w:tc>
          <w:tcPr>
            <w:tcW w:w="936" w:type="dxa"/>
            <w:tcBorders>
              <w:top w:val="nil"/>
              <w:left w:val="nil"/>
              <w:bottom w:val="nil"/>
              <w:right w:val="nil"/>
            </w:tcBorders>
            <w:vAlign w:val="center"/>
          </w:tcPr>
          <w:p w14:paraId="70B93E1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74.8</w:t>
            </w:r>
          </w:p>
        </w:tc>
        <w:tc>
          <w:tcPr>
            <w:tcW w:w="743" w:type="dxa"/>
            <w:tcBorders>
              <w:top w:val="nil"/>
              <w:left w:val="nil"/>
              <w:bottom w:val="nil"/>
              <w:right w:val="nil"/>
            </w:tcBorders>
            <w:vAlign w:val="center"/>
          </w:tcPr>
          <w:p w14:paraId="0D8EEB32" w14:textId="77777777"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Ref</w:t>
            </w:r>
          </w:p>
        </w:tc>
        <w:tc>
          <w:tcPr>
            <w:tcW w:w="1420" w:type="dxa"/>
            <w:tcBorders>
              <w:top w:val="nil"/>
              <w:left w:val="nil"/>
              <w:bottom w:val="nil"/>
              <w:right w:val="nil"/>
            </w:tcBorders>
            <w:vAlign w:val="center"/>
          </w:tcPr>
          <w:p w14:paraId="3EE1888C" w14:textId="77777777" w:rsidR="00851673" w:rsidRPr="00826530" w:rsidRDefault="00851673" w:rsidP="00836582">
            <w:pPr>
              <w:jc w:val="center"/>
              <w:rPr>
                <w:rFonts w:ascii="Arial" w:hAnsi="Arial" w:cs="Arial"/>
                <w:color w:val="000000" w:themeColor="text1"/>
                <w:sz w:val="21"/>
                <w:szCs w:val="21"/>
              </w:rPr>
            </w:pPr>
          </w:p>
        </w:tc>
      </w:tr>
      <w:tr w:rsidR="00851673" w:rsidRPr="00826530" w14:paraId="23F2A6A0" w14:textId="77777777" w:rsidTr="00826530">
        <w:trPr>
          <w:trHeight w:val="20"/>
        </w:trPr>
        <w:tc>
          <w:tcPr>
            <w:tcW w:w="1560" w:type="dxa"/>
            <w:tcBorders>
              <w:top w:val="nil"/>
              <w:left w:val="nil"/>
              <w:bottom w:val="nil"/>
              <w:right w:val="nil"/>
            </w:tcBorders>
            <w:vAlign w:val="center"/>
          </w:tcPr>
          <w:p w14:paraId="555F8572"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4C8F58FB"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HIV-positive</w:t>
            </w:r>
          </w:p>
        </w:tc>
        <w:tc>
          <w:tcPr>
            <w:tcW w:w="1007" w:type="dxa"/>
            <w:tcBorders>
              <w:top w:val="nil"/>
              <w:left w:val="nil"/>
              <w:bottom w:val="nil"/>
              <w:right w:val="nil"/>
            </w:tcBorders>
            <w:vAlign w:val="center"/>
          </w:tcPr>
          <w:p w14:paraId="3255649C"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45</w:t>
            </w:r>
          </w:p>
        </w:tc>
        <w:tc>
          <w:tcPr>
            <w:tcW w:w="1009" w:type="dxa"/>
            <w:tcBorders>
              <w:top w:val="nil"/>
              <w:left w:val="nil"/>
              <w:bottom w:val="nil"/>
              <w:right w:val="nil"/>
            </w:tcBorders>
            <w:vAlign w:val="center"/>
          </w:tcPr>
          <w:p w14:paraId="11017CD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43.7</w:t>
            </w:r>
          </w:p>
        </w:tc>
        <w:tc>
          <w:tcPr>
            <w:tcW w:w="935" w:type="dxa"/>
            <w:tcBorders>
              <w:top w:val="nil"/>
              <w:left w:val="nil"/>
              <w:bottom w:val="nil"/>
              <w:right w:val="nil"/>
            </w:tcBorders>
            <w:vAlign w:val="center"/>
          </w:tcPr>
          <w:p w14:paraId="011EA7C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145</w:t>
            </w:r>
          </w:p>
        </w:tc>
        <w:tc>
          <w:tcPr>
            <w:tcW w:w="936" w:type="dxa"/>
            <w:tcBorders>
              <w:top w:val="nil"/>
              <w:left w:val="nil"/>
              <w:bottom w:val="nil"/>
              <w:right w:val="nil"/>
            </w:tcBorders>
            <w:vAlign w:val="center"/>
          </w:tcPr>
          <w:p w14:paraId="10178A8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25.2</w:t>
            </w:r>
          </w:p>
        </w:tc>
        <w:tc>
          <w:tcPr>
            <w:tcW w:w="743" w:type="dxa"/>
            <w:tcBorders>
              <w:top w:val="nil"/>
              <w:left w:val="nil"/>
              <w:bottom w:val="nil"/>
              <w:right w:val="nil"/>
            </w:tcBorders>
            <w:vAlign w:val="center"/>
          </w:tcPr>
          <w:p w14:paraId="722A6C4E" w14:textId="145F8640" w:rsidR="00851673" w:rsidRPr="00826530" w:rsidRDefault="002B0750"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2</w:t>
            </w:r>
            <w:r w:rsidR="00851673" w:rsidRPr="00826530">
              <w:rPr>
                <w:rFonts w:ascii="Arial" w:hAnsi="Arial" w:cs="Arial"/>
                <w:bCs/>
                <w:color w:val="000000" w:themeColor="text1"/>
                <w:sz w:val="21"/>
                <w:szCs w:val="21"/>
              </w:rPr>
              <w:t>.</w:t>
            </w:r>
            <w:r w:rsidRPr="00826530">
              <w:rPr>
                <w:rFonts w:ascii="Arial" w:hAnsi="Arial" w:cs="Arial"/>
                <w:bCs/>
                <w:color w:val="000000" w:themeColor="text1"/>
                <w:sz w:val="21"/>
                <w:szCs w:val="21"/>
              </w:rPr>
              <w:t>44</w:t>
            </w:r>
          </w:p>
        </w:tc>
        <w:tc>
          <w:tcPr>
            <w:tcW w:w="1420" w:type="dxa"/>
            <w:tcBorders>
              <w:top w:val="nil"/>
              <w:left w:val="nil"/>
              <w:bottom w:val="nil"/>
              <w:right w:val="nil"/>
            </w:tcBorders>
            <w:vAlign w:val="center"/>
          </w:tcPr>
          <w:p w14:paraId="6089DD10" w14:textId="74EFC7EB"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w:t>
            </w:r>
            <w:r w:rsidR="002B0750" w:rsidRPr="00826530">
              <w:rPr>
                <w:rFonts w:ascii="Arial" w:hAnsi="Arial" w:cs="Arial"/>
                <w:b/>
                <w:color w:val="000000" w:themeColor="text1"/>
                <w:sz w:val="21"/>
                <w:szCs w:val="21"/>
              </w:rPr>
              <w:t>17</w:t>
            </w:r>
            <w:r w:rsidRPr="00826530">
              <w:rPr>
                <w:rFonts w:ascii="Arial" w:hAnsi="Arial" w:cs="Arial"/>
                <w:b/>
                <w:color w:val="000000" w:themeColor="text1"/>
                <w:sz w:val="21"/>
                <w:szCs w:val="21"/>
              </w:rPr>
              <w:t xml:space="preserve">, </w:t>
            </w:r>
            <w:r w:rsidR="002B0750" w:rsidRPr="00826530">
              <w:rPr>
                <w:rFonts w:ascii="Arial" w:hAnsi="Arial" w:cs="Arial"/>
                <w:b/>
                <w:color w:val="000000" w:themeColor="text1"/>
                <w:sz w:val="21"/>
                <w:szCs w:val="21"/>
              </w:rPr>
              <w:t>5</w:t>
            </w:r>
            <w:r w:rsidRPr="00826530">
              <w:rPr>
                <w:rFonts w:ascii="Arial" w:hAnsi="Arial" w:cs="Arial"/>
                <w:b/>
                <w:color w:val="000000" w:themeColor="text1"/>
                <w:sz w:val="21"/>
                <w:szCs w:val="21"/>
              </w:rPr>
              <w:t>.</w:t>
            </w:r>
            <w:r w:rsidR="002B0750" w:rsidRPr="00826530">
              <w:rPr>
                <w:rFonts w:ascii="Arial" w:hAnsi="Arial" w:cs="Arial"/>
                <w:b/>
                <w:color w:val="000000" w:themeColor="text1"/>
                <w:sz w:val="21"/>
                <w:szCs w:val="21"/>
              </w:rPr>
              <w:t>08</w:t>
            </w:r>
          </w:p>
        </w:tc>
      </w:tr>
      <w:tr w:rsidR="00BE4FB7" w:rsidRPr="00826530" w14:paraId="560E9CBF" w14:textId="77777777" w:rsidTr="00826530">
        <w:trPr>
          <w:trHeight w:val="20"/>
        </w:trPr>
        <w:tc>
          <w:tcPr>
            <w:tcW w:w="1560" w:type="dxa"/>
            <w:tcBorders>
              <w:top w:val="nil"/>
              <w:left w:val="nil"/>
              <w:bottom w:val="nil"/>
              <w:right w:val="nil"/>
            </w:tcBorders>
            <w:vAlign w:val="center"/>
          </w:tcPr>
          <w:p w14:paraId="656AA4E4" w14:textId="75CFA137" w:rsidR="00BE4FB7" w:rsidRPr="00826530" w:rsidRDefault="00BE4FB7" w:rsidP="00836582">
            <w:pPr>
              <w:rPr>
                <w:rFonts w:ascii="Arial" w:hAnsi="Arial" w:cs="Arial"/>
                <w:sz w:val="21"/>
                <w:szCs w:val="21"/>
                <w:vertAlign w:val="superscript"/>
              </w:rPr>
            </w:pPr>
            <w:r w:rsidRPr="00826530">
              <w:rPr>
                <w:rFonts w:ascii="Arial" w:hAnsi="Arial" w:cs="Arial"/>
                <w:sz w:val="21"/>
                <w:szCs w:val="21"/>
              </w:rPr>
              <w:t xml:space="preserve">Any STI diagnoses (p6m) </w:t>
            </w:r>
            <w:r w:rsidR="00F9220D" w:rsidRPr="00826530">
              <w:rPr>
                <w:rFonts w:ascii="Arial" w:hAnsi="Arial" w:cs="Arial"/>
                <w:sz w:val="21"/>
                <w:szCs w:val="21"/>
                <w:vertAlign w:val="superscript"/>
              </w:rPr>
              <w:t>1</w:t>
            </w:r>
          </w:p>
        </w:tc>
        <w:tc>
          <w:tcPr>
            <w:tcW w:w="1890" w:type="dxa"/>
            <w:gridSpan w:val="4"/>
            <w:tcBorders>
              <w:top w:val="nil"/>
              <w:left w:val="nil"/>
              <w:bottom w:val="nil"/>
              <w:right w:val="nil"/>
            </w:tcBorders>
            <w:vAlign w:val="center"/>
          </w:tcPr>
          <w:p w14:paraId="4744AAE0" w14:textId="71F95690" w:rsidR="00BE4FB7" w:rsidRPr="00826530" w:rsidRDefault="00BE4FB7" w:rsidP="00836582">
            <w:pPr>
              <w:jc w:val="center"/>
              <w:rPr>
                <w:rFonts w:ascii="Arial" w:hAnsi="Arial" w:cs="Arial"/>
                <w:b/>
                <w:sz w:val="21"/>
                <w:szCs w:val="21"/>
              </w:rPr>
            </w:pPr>
          </w:p>
        </w:tc>
        <w:tc>
          <w:tcPr>
            <w:tcW w:w="1007" w:type="dxa"/>
            <w:tcBorders>
              <w:top w:val="nil"/>
              <w:left w:val="nil"/>
              <w:bottom w:val="nil"/>
              <w:right w:val="nil"/>
            </w:tcBorders>
            <w:vAlign w:val="center"/>
          </w:tcPr>
          <w:p w14:paraId="305C2A5E" w14:textId="2525C26A" w:rsidR="00BE4FB7" w:rsidRPr="00826530" w:rsidRDefault="00BE4FB7" w:rsidP="00836582">
            <w:pPr>
              <w:jc w:val="center"/>
              <w:rPr>
                <w:rFonts w:ascii="Arial" w:hAnsi="Arial" w:cs="Arial"/>
                <w:bCs/>
                <w:sz w:val="21"/>
                <w:szCs w:val="21"/>
              </w:rPr>
            </w:pPr>
            <w:r w:rsidRPr="00826530">
              <w:rPr>
                <w:rFonts w:ascii="Arial" w:hAnsi="Arial" w:cs="Arial"/>
                <w:bCs/>
                <w:sz w:val="21"/>
                <w:szCs w:val="21"/>
              </w:rPr>
              <w:t>20</w:t>
            </w:r>
          </w:p>
        </w:tc>
        <w:tc>
          <w:tcPr>
            <w:tcW w:w="1009" w:type="dxa"/>
            <w:tcBorders>
              <w:top w:val="nil"/>
              <w:left w:val="nil"/>
              <w:bottom w:val="nil"/>
              <w:right w:val="nil"/>
            </w:tcBorders>
            <w:vAlign w:val="center"/>
          </w:tcPr>
          <w:p w14:paraId="5AD22D91" w14:textId="4845CD4A" w:rsidR="00BE4FB7" w:rsidRPr="00826530" w:rsidRDefault="005E12EB" w:rsidP="00836582">
            <w:pPr>
              <w:jc w:val="center"/>
              <w:rPr>
                <w:rFonts w:ascii="Arial" w:hAnsi="Arial" w:cs="Arial"/>
                <w:bCs/>
                <w:sz w:val="21"/>
                <w:szCs w:val="21"/>
              </w:rPr>
            </w:pPr>
            <w:r w:rsidRPr="00826530">
              <w:rPr>
                <w:rFonts w:ascii="Arial" w:hAnsi="Arial" w:cs="Arial"/>
                <w:bCs/>
                <w:sz w:val="21"/>
                <w:szCs w:val="21"/>
              </w:rPr>
              <w:t>19.8</w:t>
            </w:r>
          </w:p>
        </w:tc>
        <w:tc>
          <w:tcPr>
            <w:tcW w:w="935" w:type="dxa"/>
            <w:tcBorders>
              <w:top w:val="nil"/>
              <w:left w:val="nil"/>
              <w:bottom w:val="nil"/>
              <w:right w:val="nil"/>
            </w:tcBorders>
            <w:vAlign w:val="center"/>
          </w:tcPr>
          <w:p w14:paraId="4C2AF036" w14:textId="000734E1" w:rsidR="00BE4FB7" w:rsidRPr="00826530" w:rsidRDefault="00BE4FB7" w:rsidP="00836582">
            <w:pPr>
              <w:jc w:val="center"/>
              <w:rPr>
                <w:rFonts w:ascii="Arial" w:hAnsi="Arial" w:cs="Arial"/>
                <w:bCs/>
                <w:sz w:val="21"/>
                <w:szCs w:val="21"/>
              </w:rPr>
            </w:pPr>
            <w:r w:rsidRPr="00826530">
              <w:rPr>
                <w:rFonts w:ascii="Arial" w:hAnsi="Arial" w:cs="Arial"/>
                <w:bCs/>
                <w:sz w:val="21"/>
                <w:szCs w:val="21"/>
              </w:rPr>
              <w:t>37</w:t>
            </w:r>
          </w:p>
        </w:tc>
        <w:tc>
          <w:tcPr>
            <w:tcW w:w="936" w:type="dxa"/>
            <w:tcBorders>
              <w:top w:val="nil"/>
              <w:left w:val="nil"/>
              <w:bottom w:val="nil"/>
              <w:right w:val="nil"/>
            </w:tcBorders>
            <w:vAlign w:val="center"/>
          </w:tcPr>
          <w:p w14:paraId="264E2DF9" w14:textId="38E1636E" w:rsidR="00BE4FB7" w:rsidRPr="00826530" w:rsidRDefault="005E12EB" w:rsidP="00836582">
            <w:pPr>
              <w:jc w:val="center"/>
              <w:rPr>
                <w:rFonts w:ascii="Arial" w:hAnsi="Arial" w:cs="Arial"/>
                <w:bCs/>
                <w:sz w:val="21"/>
                <w:szCs w:val="21"/>
              </w:rPr>
            </w:pPr>
            <w:r w:rsidRPr="00826530">
              <w:rPr>
                <w:rFonts w:ascii="Arial" w:hAnsi="Arial" w:cs="Arial"/>
                <w:bCs/>
                <w:sz w:val="21"/>
                <w:szCs w:val="21"/>
              </w:rPr>
              <w:t>6.7</w:t>
            </w:r>
          </w:p>
        </w:tc>
        <w:tc>
          <w:tcPr>
            <w:tcW w:w="743" w:type="dxa"/>
            <w:tcBorders>
              <w:top w:val="nil"/>
              <w:left w:val="nil"/>
              <w:bottom w:val="nil"/>
              <w:right w:val="nil"/>
            </w:tcBorders>
            <w:vAlign w:val="center"/>
          </w:tcPr>
          <w:p w14:paraId="20466195" w14:textId="30B4D65D" w:rsidR="00BE4FB7" w:rsidRPr="00826530" w:rsidRDefault="002964EB" w:rsidP="00836582">
            <w:pPr>
              <w:jc w:val="center"/>
              <w:rPr>
                <w:rFonts w:ascii="Arial" w:hAnsi="Arial" w:cs="Arial"/>
                <w:bCs/>
                <w:sz w:val="21"/>
                <w:szCs w:val="21"/>
              </w:rPr>
            </w:pPr>
            <w:r w:rsidRPr="00826530">
              <w:rPr>
                <w:rFonts w:ascii="Arial" w:hAnsi="Arial" w:cs="Arial"/>
                <w:bCs/>
                <w:sz w:val="21"/>
                <w:szCs w:val="21"/>
              </w:rPr>
              <w:t>2</w:t>
            </w:r>
            <w:r w:rsidR="00BE4FB7" w:rsidRPr="00826530">
              <w:rPr>
                <w:rFonts w:ascii="Arial" w:hAnsi="Arial" w:cs="Arial"/>
                <w:bCs/>
                <w:sz w:val="21"/>
                <w:szCs w:val="21"/>
              </w:rPr>
              <w:t>.</w:t>
            </w:r>
            <w:r w:rsidRPr="00826530">
              <w:rPr>
                <w:rFonts w:ascii="Arial" w:hAnsi="Arial" w:cs="Arial"/>
                <w:bCs/>
                <w:sz w:val="21"/>
                <w:szCs w:val="21"/>
              </w:rPr>
              <w:t>90</w:t>
            </w:r>
          </w:p>
        </w:tc>
        <w:tc>
          <w:tcPr>
            <w:tcW w:w="1420" w:type="dxa"/>
            <w:tcBorders>
              <w:top w:val="nil"/>
              <w:left w:val="nil"/>
              <w:bottom w:val="nil"/>
              <w:right w:val="nil"/>
            </w:tcBorders>
            <w:vAlign w:val="center"/>
          </w:tcPr>
          <w:p w14:paraId="471A467A" w14:textId="548ECAFD" w:rsidR="00BE4FB7" w:rsidRPr="00826530" w:rsidRDefault="00BE4FB7" w:rsidP="00836582">
            <w:pPr>
              <w:jc w:val="center"/>
              <w:rPr>
                <w:rFonts w:ascii="Arial" w:hAnsi="Arial" w:cs="Arial"/>
                <w:b/>
                <w:sz w:val="21"/>
                <w:szCs w:val="21"/>
              </w:rPr>
            </w:pPr>
            <w:r w:rsidRPr="00826530">
              <w:rPr>
                <w:rFonts w:ascii="Arial" w:hAnsi="Arial" w:cs="Arial"/>
                <w:b/>
                <w:sz w:val="21"/>
                <w:szCs w:val="21"/>
              </w:rPr>
              <w:t>1.</w:t>
            </w:r>
            <w:r w:rsidR="002964EB" w:rsidRPr="00826530">
              <w:rPr>
                <w:rFonts w:ascii="Arial" w:hAnsi="Arial" w:cs="Arial"/>
                <w:b/>
                <w:sz w:val="21"/>
                <w:szCs w:val="21"/>
              </w:rPr>
              <w:t>57</w:t>
            </w:r>
            <w:r w:rsidRPr="00826530">
              <w:rPr>
                <w:rFonts w:ascii="Arial" w:hAnsi="Arial" w:cs="Arial"/>
                <w:b/>
                <w:sz w:val="21"/>
                <w:szCs w:val="21"/>
              </w:rPr>
              <w:t xml:space="preserve">, </w:t>
            </w:r>
            <w:r w:rsidR="002964EB" w:rsidRPr="00826530">
              <w:rPr>
                <w:rFonts w:ascii="Arial" w:hAnsi="Arial" w:cs="Arial"/>
                <w:b/>
                <w:sz w:val="21"/>
                <w:szCs w:val="21"/>
              </w:rPr>
              <w:t>5</w:t>
            </w:r>
            <w:r w:rsidRPr="00826530">
              <w:rPr>
                <w:rFonts w:ascii="Arial" w:hAnsi="Arial" w:cs="Arial"/>
                <w:b/>
                <w:sz w:val="21"/>
                <w:szCs w:val="21"/>
              </w:rPr>
              <w:t>.</w:t>
            </w:r>
            <w:r w:rsidR="002964EB" w:rsidRPr="00826530">
              <w:rPr>
                <w:rFonts w:ascii="Arial" w:hAnsi="Arial" w:cs="Arial"/>
                <w:b/>
                <w:sz w:val="21"/>
                <w:szCs w:val="21"/>
              </w:rPr>
              <w:t>37</w:t>
            </w:r>
          </w:p>
        </w:tc>
      </w:tr>
      <w:tr w:rsidR="00851673" w:rsidRPr="00826530" w14:paraId="562354CA" w14:textId="77777777" w:rsidTr="00FE3A65">
        <w:trPr>
          <w:trHeight w:val="20"/>
        </w:trPr>
        <w:tc>
          <w:tcPr>
            <w:tcW w:w="1843" w:type="dxa"/>
            <w:gridSpan w:val="2"/>
            <w:tcBorders>
              <w:top w:val="nil"/>
              <w:left w:val="nil"/>
              <w:bottom w:val="nil"/>
              <w:right w:val="nil"/>
            </w:tcBorders>
            <w:vAlign w:val="center"/>
          </w:tcPr>
          <w:p w14:paraId="2EEF0C9C" w14:textId="77777777" w:rsidR="00851673" w:rsidRPr="00826530" w:rsidRDefault="00851673" w:rsidP="00836582">
            <w:pPr>
              <w:rPr>
                <w:rFonts w:ascii="Arial" w:hAnsi="Arial" w:cs="Arial"/>
                <w:sz w:val="21"/>
                <w:szCs w:val="21"/>
              </w:rPr>
            </w:pPr>
            <w:r w:rsidRPr="00826530">
              <w:rPr>
                <w:rFonts w:ascii="Arial" w:hAnsi="Arial" w:cs="Arial"/>
                <w:sz w:val="21"/>
                <w:szCs w:val="21"/>
              </w:rPr>
              <w:t>Relationship status</w:t>
            </w:r>
          </w:p>
        </w:tc>
        <w:tc>
          <w:tcPr>
            <w:tcW w:w="1607" w:type="dxa"/>
            <w:gridSpan w:val="3"/>
            <w:tcBorders>
              <w:top w:val="nil"/>
              <w:left w:val="nil"/>
              <w:bottom w:val="nil"/>
              <w:right w:val="nil"/>
            </w:tcBorders>
            <w:vAlign w:val="center"/>
          </w:tcPr>
          <w:p w14:paraId="23C39743"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In a relationship</w:t>
            </w:r>
          </w:p>
        </w:tc>
        <w:tc>
          <w:tcPr>
            <w:tcW w:w="1007" w:type="dxa"/>
            <w:tcBorders>
              <w:top w:val="nil"/>
              <w:left w:val="nil"/>
              <w:bottom w:val="nil"/>
              <w:right w:val="nil"/>
            </w:tcBorders>
            <w:vAlign w:val="center"/>
          </w:tcPr>
          <w:p w14:paraId="218EAFF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26</w:t>
            </w:r>
          </w:p>
        </w:tc>
        <w:tc>
          <w:tcPr>
            <w:tcW w:w="1009" w:type="dxa"/>
            <w:tcBorders>
              <w:top w:val="nil"/>
              <w:left w:val="nil"/>
              <w:bottom w:val="nil"/>
              <w:right w:val="nil"/>
            </w:tcBorders>
            <w:vAlign w:val="center"/>
          </w:tcPr>
          <w:p w14:paraId="7A0193A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25.2</w:t>
            </w:r>
          </w:p>
        </w:tc>
        <w:tc>
          <w:tcPr>
            <w:tcW w:w="935" w:type="dxa"/>
            <w:tcBorders>
              <w:top w:val="nil"/>
              <w:left w:val="nil"/>
              <w:bottom w:val="nil"/>
              <w:right w:val="nil"/>
            </w:tcBorders>
            <w:vAlign w:val="center"/>
          </w:tcPr>
          <w:p w14:paraId="2989A630"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242</w:t>
            </w:r>
          </w:p>
        </w:tc>
        <w:tc>
          <w:tcPr>
            <w:tcW w:w="936" w:type="dxa"/>
            <w:tcBorders>
              <w:top w:val="nil"/>
              <w:left w:val="nil"/>
              <w:bottom w:val="nil"/>
              <w:right w:val="nil"/>
            </w:tcBorders>
            <w:vAlign w:val="center"/>
          </w:tcPr>
          <w:p w14:paraId="20B94E7D"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42.0</w:t>
            </w:r>
          </w:p>
        </w:tc>
        <w:tc>
          <w:tcPr>
            <w:tcW w:w="743" w:type="dxa"/>
            <w:tcBorders>
              <w:top w:val="nil"/>
              <w:left w:val="nil"/>
              <w:bottom w:val="nil"/>
              <w:right w:val="nil"/>
            </w:tcBorders>
            <w:vAlign w:val="center"/>
          </w:tcPr>
          <w:p w14:paraId="0004DD18"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55A2805D" w14:textId="77777777" w:rsidR="00851673" w:rsidRPr="00826530" w:rsidRDefault="00851673" w:rsidP="00836582">
            <w:pPr>
              <w:jc w:val="center"/>
              <w:rPr>
                <w:rFonts w:ascii="Arial" w:hAnsi="Arial" w:cs="Arial"/>
                <w:color w:val="000000" w:themeColor="text1"/>
                <w:sz w:val="21"/>
                <w:szCs w:val="21"/>
              </w:rPr>
            </w:pPr>
          </w:p>
        </w:tc>
      </w:tr>
      <w:tr w:rsidR="00851673" w:rsidRPr="00826530" w14:paraId="2D061AFA" w14:textId="77777777" w:rsidTr="00826530">
        <w:trPr>
          <w:trHeight w:val="20"/>
        </w:trPr>
        <w:tc>
          <w:tcPr>
            <w:tcW w:w="1560" w:type="dxa"/>
            <w:tcBorders>
              <w:top w:val="nil"/>
              <w:left w:val="nil"/>
              <w:bottom w:val="nil"/>
              <w:right w:val="nil"/>
            </w:tcBorders>
            <w:vAlign w:val="center"/>
          </w:tcPr>
          <w:p w14:paraId="2478AB64"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4453E548"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Single</w:t>
            </w:r>
          </w:p>
        </w:tc>
        <w:tc>
          <w:tcPr>
            <w:tcW w:w="1007" w:type="dxa"/>
            <w:tcBorders>
              <w:top w:val="nil"/>
              <w:left w:val="nil"/>
              <w:bottom w:val="nil"/>
              <w:right w:val="nil"/>
            </w:tcBorders>
            <w:vAlign w:val="center"/>
          </w:tcPr>
          <w:p w14:paraId="618FDFB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77</w:t>
            </w:r>
          </w:p>
        </w:tc>
        <w:tc>
          <w:tcPr>
            <w:tcW w:w="1009" w:type="dxa"/>
            <w:tcBorders>
              <w:top w:val="nil"/>
              <w:left w:val="nil"/>
              <w:bottom w:val="nil"/>
              <w:right w:val="nil"/>
            </w:tcBorders>
            <w:vAlign w:val="center"/>
          </w:tcPr>
          <w:p w14:paraId="678619D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74.8</w:t>
            </w:r>
          </w:p>
        </w:tc>
        <w:tc>
          <w:tcPr>
            <w:tcW w:w="935" w:type="dxa"/>
            <w:tcBorders>
              <w:top w:val="nil"/>
              <w:left w:val="nil"/>
              <w:bottom w:val="nil"/>
              <w:right w:val="nil"/>
            </w:tcBorders>
            <w:vAlign w:val="center"/>
          </w:tcPr>
          <w:p w14:paraId="1E99327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334</w:t>
            </w:r>
          </w:p>
        </w:tc>
        <w:tc>
          <w:tcPr>
            <w:tcW w:w="936" w:type="dxa"/>
            <w:tcBorders>
              <w:top w:val="nil"/>
              <w:left w:val="nil"/>
              <w:bottom w:val="nil"/>
              <w:right w:val="nil"/>
            </w:tcBorders>
            <w:vAlign w:val="center"/>
          </w:tcPr>
          <w:p w14:paraId="76316993" w14:textId="77777777"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58.0</w:t>
            </w:r>
          </w:p>
        </w:tc>
        <w:tc>
          <w:tcPr>
            <w:tcW w:w="743" w:type="dxa"/>
            <w:tcBorders>
              <w:top w:val="nil"/>
              <w:left w:val="nil"/>
              <w:bottom w:val="nil"/>
              <w:right w:val="nil"/>
            </w:tcBorders>
            <w:vAlign w:val="center"/>
          </w:tcPr>
          <w:p w14:paraId="60AC19A5" w14:textId="7572D9EB"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2.</w:t>
            </w:r>
            <w:r w:rsidR="002B0750" w:rsidRPr="00826530">
              <w:rPr>
                <w:rFonts w:ascii="Arial" w:hAnsi="Arial" w:cs="Arial"/>
                <w:bCs/>
                <w:color w:val="000000" w:themeColor="text1"/>
                <w:sz w:val="21"/>
                <w:szCs w:val="21"/>
              </w:rPr>
              <w:t>36</w:t>
            </w:r>
          </w:p>
        </w:tc>
        <w:tc>
          <w:tcPr>
            <w:tcW w:w="1420" w:type="dxa"/>
            <w:tcBorders>
              <w:top w:val="nil"/>
              <w:left w:val="nil"/>
              <w:bottom w:val="nil"/>
              <w:right w:val="nil"/>
            </w:tcBorders>
            <w:vAlign w:val="center"/>
          </w:tcPr>
          <w:p w14:paraId="4560C8DA" w14:textId="40696DDC"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w:t>
            </w:r>
            <w:r w:rsidR="002B0750" w:rsidRPr="00826530">
              <w:rPr>
                <w:rFonts w:ascii="Arial" w:hAnsi="Arial" w:cs="Arial"/>
                <w:b/>
                <w:color w:val="000000" w:themeColor="text1"/>
                <w:sz w:val="21"/>
                <w:szCs w:val="21"/>
              </w:rPr>
              <w:t>47</w:t>
            </w:r>
            <w:r w:rsidRPr="00826530">
              <w:rPr>
                <w:rFonts w:ascii="Arial" w:hAnsi="Arial" w:cs="Arial"/>
                <w:b/>
                <w:color w:val="000000" w:themeColor="text1"/>
                <w:sz w:val="21"/>
                <w:szCs w:val="21"/>
              </w:rPr>
              <w:t xml:space="preserve">, </w:t>
            </w:r>
            <w:r w:rsidR="002B0750" w:rsidRPr="00826530">
              <w:rPr>
                <w:rFonts w:ascii="Arial" w:hAnsi="Arial" w:cs="Arial"/>
                <w:b/>
                <w:color w:val="000000" w:themeColor="text1"/>
                <w:sz w:val="21"/>
                <w:szCs w:val="21"/>
              </w:rPr>
              <w:t>3</w:t>
            </w:r>
            <w:r w:rsidRPr="00826530">
              <w:rPr>
                <w:rFonts w:ascii="Arial" w:hAnsi="Arial" w:cs="Arial"/>
                <w:b/>
                <w:color w:val="000000" w:themeColor="text1"/>
                <w:sz w:val="21"/>
                <w:szCs w:val="21"/>
              </w:rPr>
              <w:t>.</w:t>
            </w:r>
            <w:r w:rsidR="002B0750" w:rsidRPr="00826530">
              <w:rPr>
                <w:rFonts w:ascii="Arial" w:hAnsi="Arial" w:cs="Arial"/>
                <w:b/>
                <w:color w:val="000000" w:themeColor="text1"/>
                <w:sz w:val="21"/>
                <w:szCs w:val="21"/>
              </w:rPr>
              <w:t>80</w:t>
            </w:r>
          </w:p>
        </w:tc>
      </w:tr>
      <w:tr w:rsidR="00851673" w:rsidRPr="00826530" w14:paraId="4B31FA37" w14:textId="77777777" w:rsidTr="00FE3A65">
        <w:trPr>
          <w:trHeight w:val="20"/>
        </w:trPr>
        <w:tc>
          <w:tcPr>
            <w:tcW w:w="3450" w:type="dxa"/>
            <w:gridSpan w:val="5"/>
            <w:tcBorders>
              <w:top w:val="nil"/>
              <w:left w:val="nil"/>
              <w:bottom w:val="nil"/>
              <w:right w:val="nil"/>
            </w:tcBorders>
            <w:vAlign w:val="center"/>
          </w:tcPr>
          <w:p w14:paraId="5E45C31B" w14:textId="034EDB7A" w:rsidR="00851673" w:rsidRPr="00826530" w:rsidRDefault="00851673" w:rsidP="00836582">
            <w:pPr>
              <w:rPr>
                <w:rFonts w:ascii="Arial" w:hAnsi="Arial" w:cs="Arial"/>
                <w:bCs/>
                <w:sz w:val="21"/>
                <w:szCs w:val="21"/>
              </w:rPr>
            </w:pPr>
            <w:r w:rsidRPr="00826530">
              <w:rPr>
                <w:rFonts w:ascii="Arial" w:hAnsi="Arial" w:cs="Arial"/>
                <w:bCs/>
                <w:sz w:val="21"/>
                <w:szCs w:val="21"/>
              </w:rPr>
              <w:t>Stable housing</w:t>
            </w:r>
            <w:r w:rsidR="00E22A52" w:rsidRPr="00826530">
              <w:rPr>
                <w:rFonts w:ascii="Arial" w:hAnsi="Arial" w:cs="Arial"/>
                <w:bCs/>
                <w:sz w:val="21"/>
                <w:szCs w:val="21"/>
              </w:rPr>
              <w:t xml:space="preserve"> </w:t>
            </w:r>
            <w:r w:rsidR="00F9220D" w:rsidRPr="00826530">
              <w:rPr>
                <w:rFonts w:ascii="Arial" w:hAnsi="Arial" w:cs="Arial"/>
                <w:bCs/>
                <w:sz w:val="21"/>
                <w:szCs w:val="21"/>
                <w:vertAlign w:val="superscript"/>
              </w:rPr>
              <w:t>1</w:t>
            </w:r>
          </w:p>
        </w:tc>
        <w:tc>
          <w:tcPr>
            <w:tcW w:w="1007" w:type="dxa"/>
            <w:tcBorders>
              <w:top w:val="nil"/>
              <w:left w:val="nil"/>
              <w:bottom w:val="nil"/>
              <w:right w:val="nil"/>
            </w:tcBorders>
            <w:vAlign w:val="center"/>
          </w:tcPr>
          <w:p w14:paraId="355ADE4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71</w:t>
            </w:r>
          </w:p>
        </w:tc>
        <w:tc>
          <w:tcPr>
            <w:tcW w:w="1009" w:type="dxa"/>
            <w:tcBorders>
              <w:top w:val="nil"/>
              <w:left w:val="nil"/>
              <w:bottom w:val="nil"/>
              <w:right w:val="nil"/>
            </w:tcBorders>
            <w:vAlign w:val="center"/>
          </w:tcPr>
          <w:p w14:paraId="7A0EA3E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68.9</w:t>
            </w:r>
          </w:p>
        </w:tc>
        <w:tc>
          <w:tcPr>
            <w:tcW w:w="935" w:type="dxa"/>
            <w:tcBorders>
              <w:top w:val="nil"/>
              <w:left w:val="nil"/>
              <w:bottom w:val="nil"/>
              <w:right w:val="nil"/>
            </w:tcBorders>
            <w:vAlign w:val="center"/>
          </w:tcPr>
          <w:p w14:paraId="1EB2F21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525</w:t>
            </w:r>
          </w:p>
        </w:tc>
        <w:tc>
          <w:tcPr>
            <w:tcW w:w="936" w:type="dxa"/>
            <w:tcBorders>
              <w:top w:val="nil"/>
              <w:left w:val="nil"/>
              <w:bottom w:val="nil"/>
              <w:right w:val="nil"/>
            </w:tcBorders>
            <w:vAlign w:val="center"/>
          </w:tcPr>
          <w:p w14:paraId="51FF460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92.4</w:t>
            </w:r>
          </w:p>
        </w:tc>
        <w:tc>
          <w:tcPr>
            <w:tcW w:w="743" w:type="dxa"/>
            <w:tcBorders>
              <w:top w:val="nil"/>
              <w:left w:val="nil"/>
              <w:bottom w:val="nil"/>
              <w:right w:val="nil"/>
            </w:tcBorders>
            <w:vAlign w:val="center"/>
          </w:tcPr>
          <w:p w14:paraId="492E98A4" w14:textId="005FCBAF"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0.2</w:t>
            </w:r>
            <w:r w:rsidR="002B0750" w:rsidRPr="00826530">
              <w:rPr>
                <w:rFonts w:ascii="Arial" w:hAnsi="Arial" w:cs="Arial"/>
                <w:bCs/>
                <w:color w:val="000000" w:themeColor="text1"/>
                <w:sz w:val="21"/>
                <w:szCs w:val="21"/>
              </w:rPr>
              <w:t>0</w:t>
            </w:r>
          </w:p>
        </w:tc>
        <w:tc>
          <w:tcPr>
            <w:tcW w:w="1420" w:type="dxa"/>
            <w:tcBorders>
              <w:top w:val="nil"/>
              <w:left w:val="nil"/>
              <w:bottom w:val="nil"/>
              <w:right w:val="nil"/>
            </w:tcBorders>
            <w:vAlign w:val="center"/>
          </w:tcPr>
          <w:p w14:paraId="1BA2AF76" w14:textId="718C4741"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0.</w:t>
            </w:r>
            <w:r w:rsidR="002B0750" w:rsidRPr="00826530">
              <w:rPr>
                <w:rFonts w:ascii="Arial" w:hAnsi="Arial" w:cs="Arial"/>
                <w:b/>
                <w:color w:val="000000" w:themeColor="text1"/>
                <w:sz w:val="21"/>
                <w:szCs w:val="21"/>
              </w:rPr>
              <w:t>11</w:t>
            </w:r>
            <w:r w:rsidRPr="00826530">
              <w:rPr>
                <w:rFonts w:ascii="Arial" w:hAnsi="Arial" w:cs="Arial"/>
                <w:b/>
                <w:color w:val="000000" w:themeColor="text1"/>
                <w:sz w:val="21"/>
                <w:szCs w:val="21"/>
              </w:rPr>
              <w:t>, 0.</w:t>
            </w:r>
            <w:r w:rsidR="002B0750" w:rsidRPr="00826530">
              <w:rPr>
                <w:rFonts w:ascii="Arial" w:hAnsi="Arial" w:cs="Arial"/>
                <w:b/>
                <w:color w:val="000000" w:themeColor="text1"/>
                <w:sz w:val="21"/>
                <w:szCs w:val="21"/>
              </w:rPr>
              <w:t>39</w:t>
            </w:r>
          </w:p>
        </w:tc>
      </w:tr>
      <w:tr w:rsidR="00851673" w:rsidRPr="00826530" w14:paraId="02A6A9B5" w14:textId="77777777" w:rsidTr="00FE3A65">
        <w:trPr>
          <w:trHeight w:val="20"/>
        </w:trPr>
        <w:tc>
          <w:tcPr>
            <w:tcW w:w="3450" w:type="dxa"/>
            <w:gridSpan w:val="5"/>
            <w:tcBorders>
              <w:top w:val="nil"/>
              <w:left w:val="nil"/>
              <w:bottom w:val="nil"/>
              <w:right w:val="nil"/>
            </w:tcBorders>
            <w:vAlign w:val="center"/>
          </w:tcPr>
          <w:p w14:paraId="5758DA3C" w14:textId="429B390E" w:rsidR="00851673" w:rsidRPr="00826530" w:rsidRDefault="00851673" w:rsidP="00836582">
            <w:pPr>
              <w:rPr>
                <w:rFonts w:ascii="Arial" w:hAnsi="Arial" w:cs="Arial"/>
                <w:bCs/>
                <w:sz w:val="21"/>
                <w:szCs w:val="21"/>
              </w:rPr>
            </w:pPr>
            <w:r w:rsidRPr="00826530">
              <w:rPr>
                <w:rFonts w:ascii="Arial" w:hAnsi="Arial" w:cs="Arial"/>
                <w:bCs/>
                <w:sz w:val="21"/>
                <w:szCs w:val="21"/>
              </w:rPr>
              <w:t>Currently a student</w:t>
            </w:r>
            <w:r w:rsidR="00E22A52" w:rsidRPr="00826530">
              <w:rPr>
                <w:rFonts w:ascii="Arial" w:hAnsi="Arial" w:cs="Arial"/>
                <w:bCs/>
                <w:sz w:val="21"/>
                <w:szCs w:val="21"/>
              </w:rPr>
              <w:t xml:space="preserve"> </w:t>
            </w:r>
            <w:r w:rsidR="00F9220D" w:rsidRPr="00826530">
              <w:rPr>
                <w:rFonts w:ascii="Arial" w:hAnsi="Arial" w:cs="Arial"/>
                <w:bCs/>
                <w:sz w:val="21"/>
                <w:szCs w:val="21"/>
                <w:vertAlign w:val="superscript"/>
              </w:rPr>
              <w:t>1</w:t>
            </w:r>
          </w:p>
        </w:tc>
        <w:tc>
          <w:tcPr>
            <w:tcW w:w="1007" w:type="dxa"/>
            <w:tcBorders>
              <w:top w:val="nil"/>
              <w:left w:val="nil"/>
              <w:bottom w:val="nil"/>
              <w:right w:val="nil"/>
            </w:tcBorders>
            <w:vAlign w:val="center"/>
          </w:tcPr>
          <w:p w14:paraId="06B909D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w:t>
            </w:r>
          </w:p>
        </w:tc>
        <w:tc>
          <w:tcPr>
            <w:tcW w:w="1009" w:type="dxa"/>
            <w:tcBorders>
              <w:top w:val="nil"/>
              <w:left w:val="nil"/>
              <w:bottom w:val="nil"/>
              <w:right w:val="nil"/>
            </w:tcBorders>
            <w:vAlign w:val="center"/>
          </w:tcPr>
          <w:p w14:paraId="03BC238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11.7</w:t>
            </w:r>
          </w:p>
        </w:tc>
        <w:tc>
          <w:tcPr>
            <w:tcW w:w="935" w:type="dxa"/>
            <w:tcBorders>
              <w:top w:val="nil"/>
              <w:left w:val="nil"/>
              <w:bottom w:val="nil"/>
              <w:right w:val="nil"/>
            </w:tcBorders>
            <w:vAlign w:val="center"/>
          </w:tcPr>
          <w:p w14:paraId="63AAB28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127</w:t>
            </w:r>
          </w:p>
        </w:tc>
        <w:tc>
          <w:tcPr>
            <w:tcW w:w="936" w:type="dxa"/>
            <w:tcBorders>
              <w:top w:val="nil"/>
              <w:left w:val="nil"/>
              <w:bottom w:val="nil"/>
              <w:right w:val="nil"/>
            </w:tcBorders>
            <w:vAlign w:val="center"/>
          </w:tcPr>
          <w:p w14:paraId="268FB46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22.0</w:t>
            </w:r>
          </w:p>
        </w:tc>
        <w:tc>
          <w:tcPr>
            <w:tcW w:w="743" w:type="dxa"/>
            <w:tcBorders>
              <w:top w:val="nil"/>
              <w:left w:val="nil"/>
              <w:bottom w:val="nil"/>
              <w:right w:val="nil"/>
            </w:tcBorders>
            <w:vAlign w:val="center"/>
          </w:tcPr>
          <w:p w14:paraId="720847E0" w14:textId="353FFA90"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0.</w:t>
            </w:r>
            <w:r w:rsidR="002B0750" w:rsidRPr="00826530">
              <w:rPr>
                <w:rFonts w:ascii="Arial" w:hAnsi="Arial" w:cs="Arial"/>
                <w:bCs/>
                <w:color w:val="000000" w:themeColor="text1"/>
                <w:sz w:val="21"/>
                <w:szCs w:val="21"/>
              </w:rPr>
              <w:t>47</w:t>
            </w:r>
          </w:p>
        </w:tc>
        <w:tc>
          <w:tcPr>
            <w:tcW w:w="1420" w:type="dxa"/>
            <w:tcBorders>
              <w:top w:val="nil"/>
              <w:left w:val="nil"/>
              <w:bottom w:val="nil"/>
              <w:right w:val="nil"/>
            </w:tcBorders>
            <w:vAlign w:val="center"/>
          </w:tcPr>
          <w:p w14:paraId="42BA5DA0" w14:textId="127B6672"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0.</w:t>
            </w:r>
            <w:r w:rsidR="002B0750" w:rsidRPr="00826530">
              <w:rPr>
                <w:rFonts w:ascii="Arial" w:hAnsi="Arial" w:cs="Arial"/>
                <w:b/>
                <w:color w:val="000000" w:themeColor="text1"/>
                <w:sz w:val="21"/>
                <w:szCs w:val="21"/>
              </w:rPr>
              <w:t>23</w:t>
            </w:r>
            <w:r w:rsidRPr="00826530">
              <w:rPr>
                <w:rFonts w:ascii="Arial" w:hAnsi="Arial" w:cs="Arial"/>
                <w:b/>
                <w:color w:val="000000" w:themeColor="text1"/>
                <w:sz w:val="21"/>
                <w:szCs w:val="21"/>
              </w:rPr>
              <w:t xml:space="preserve">, </w:t>
            </w:r>
            <w:r w:rsidR="002B0750" w:rsidRPr="00826530">
              <w:rPr>
                <w:rFonts w:ascii="Arial" w:hAnsi="Arial" w:cs="Arial"/>
                <w:b/>
                <w:color w:val="000000" w:themeColor="text1"/>
                <w:sz w:val="21"/>
                <w:szCs w:val="21"/>
              </w:rPr>
              <w:t>0.9</w:t>
            </w:r>
            <w:r w:rsidRPr="00826530">
              <w:rPr>
                <w:rFonts w:ascii="Arial" w:hAnsi="Arial" w:cs="Arial"/>
                <w:b/>
                <w:color w:val="000000" w:themeColor="text1"/>
                <w:sz w:val="21"/>
                <w:szCs w:val="21"/>
              </w:rPr>
              <w:t>7</w:t>
            </w:r>
          </w:p>
        </w:tc>
      </w:tr>
      <w:tr w:rsidR="00851673" w:rsidRPr="00826530" w14:paraId="2A9DA0D8" w14:textId="77777777" w:rsidTr="00FE3A65">
        <w:trPr>
          <w:trHeight w:val="20"/>
        </w:trPr>
        <w:tc>
          <w:tcPr>
            <w:tcW w:w="3450" w:type="dxa"/>
            <w:gridSpan w:val="5"/>
            <w:tcBorders>
              <w:top w:val="nil"/>
              <w:left w:val="nil"/>
              <w:bottom w:val="nil"/>
              <w:right w:val="nil"/>
            </w:tcBorders>
            <w:vAlign w:val="center"/>
          </w:tcPr>
          <w:p w14:paraId="4EC92B6B" w14:textId="1128EDAB" w:rsidR="00851673" w:rsidRPr="00826530" w:rsidRDefault="00851673" w:rsidP="00836582">
            <w:pPr>
              <w:rPr>
                <w:rFonts w:ascii="Arial" w:hAnsi="Arial" w:cs="Arial"/>
                <w:sz w:val="21"/>
                <w:szCs w:val="21"/>
              </w:rPr>
            </w:pPr>
            <w:r w:rsidRPr="00826530">
              <w:rPr>
                <w:rFonts w:ascii="Arial" w:hAnsi="Arial" w:cs="Arial"/>
                <w:sz w:val="21"/>
                <w:szCs w:val="21"/>
              </w:rPr>
              <w:t>Attended last Pride parade</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1693773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61</w:t>
            </w:r>
          </w:p>
        </w:tc>
        <w:tc>
          <w:tcPr>
            <w:tcW w:w="1009" w:type="dxa"/>
            <w:tcBorders>
              <w:top w:val="nil"/>
              <w:left w:val="nil"/>
              <w:bottom w:val="nil"/>
              <w:right w:val="nil"/>
            </w:tcBorders>
            <w:vAlign w:val="center"/>
          </w:tcPr>
          <w:p w14:paraId="32519DE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59.2</w:t>
            </w:r>
          </w:p>
        </w:tc>
        <w:tc>
          <w:tcPr>
            <w:tcW w:w="935" w:type="dxa"/>
            <w:tcBorders>
              <w:top w:val="nil"/>
              <w:left w:val="nil"/>
              <w:bottom w:val="nil"/>
              <w:right w:val="nil"/>
            </w:tcBorders>
            <w:vAlign w:val="center"/>
          </w:tcPr>
          <w:p w14:paraId="00235261"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368</w:t>
            </w:r>
          </w:p>
        </w:tc>
        <w:tc>
          <w:tcPr>
            <w:tcW w:w="936" w:type="dxa"/>
            <w:tcBorders>
              <w:top w:val="nil"/>
              <w:left w:val="nil"/>
              <w:bottom w:val="nil"/>
              <w:right w:val="nil"/>
            </w:tcBorders>
            <w:vAlign w:val="center"/>
          </w:tcPr>
          <w:p w14:paraId="661C1433"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63.9</w:t>
            </w:r>
          </w:p>
        </w:tc>
        <w:tc>
          <w:tcPr>
            <w:tcW w:w="743" w:type="dxa"/>
            <w:tcBorders>
              <w:top w:val="nil"/>
              <w:left w:val="nil"/>
              <w:bottom w:val="nil"/>
              <w:right w:val="nil"/>
            </w:tcBorders>
            <w:vAlign w:val="center"/>
          </w:tcPr>
          <w:p w14:paraId="5E3FD4E0"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0.72</w:t>
            </w:r>
          </w:p>
        </w:tc>
        <w:tc>
          <w:tcPr>
            <w:tcW w:w="1420" w:type="dxa"/>
            <w:tcBorders>
              <w:top w:val="nil"/>
              <w:left w:val="nil"/>
              <w:bottom w:val="nil"/>
              <w:right w:val="nil"/>
            </w:tcBorders>
            <w:vAlign w:val="center"/>
          </w:tcPr>
          <w:p w14:paraId="51D67043" w14:textId="3E2F8D42"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F14B03" w:rsidRPr="00826530">
              <w:rPr>
                <w:rFonts w:ascii="Arial" w:hAnsi="Arial" w:cs="Arial"/>
                <w:color w:val="000000" w:themeColor="text1"/>
                <w:sz w:val="21"/>
                <w:szCs w:val="21"/>
              </w:rPr>
              <w:t>51</w:t>
            </w:r>
            <w:r w:rsidRPr="00826530">
              <w:rPr>
                <w:rFonts w:ascii="Arial" w:hAnsi="Arial" w:cs="Arial"/>
                <w:color w:val="000000" w:themeColor="text1"/>
                <w:sz w:val="21"/>
                <w:szCs w:val="21"/>
              </w:rPr>
              <w:t>, 1.</w:t>
            </w:r>
            <w:r w:rsidR="00F14B03" w:rsidRPr="00826530">
              <w:rPr>
                <w:rFonts w:ascii="Arial" w:hAnsi="Arial" w:cs="Arial"/>
                <w:color w:val="000000" w:themeColor="text1"/>
                <w:sz w:val="21"/>
                <w:szCs w:val="21"/>
              </w:rPr>
              <w:t>0</w:t>
            </w:r>
            <w:r w:rsidRPr="00826530">
              <w:rPr>
                <w:rFonts w:ascii="Arial" w:hAnsi="Arial" w:cs="Arial"/>
                <w:color w:val="000000" w:themeColor="text1"/>
                <w:sz w:val="21"/>
                <w:szCs w:val="21"/>
              </w:rPr>
              <w:t>2</w:t>
            </w:r>
          </w:p>
        </w:tc>
      </w:tr>
      <w:tr w:rsidR="00851673" w:rsidRPr="00826530" w14:paraId="6C49FEFF" w14:textId="77777777" w:rsidTr="00FE3A65">
        <w:trPr>
          <w:trHeight w:val="20"/>
        </w:trPr>
        <w:tc>
          <w:tcPr>
            <w:tcW w:w="3450" w:type="dxa"/>
            <w:gridSpan w:val="5"/>
            <w:tcBorders>
              <w:top w:val="nil"/>
              <w:left w:val="nil"/>
              <w:bottom w:val="nil"/>
              <w:right w:val="nil"/>
            </w:tcBorders>
            <w:vAlign w:val="center"/>
          </w:tcPr>
          <w:p w14:paraId="7C304486" w14:textId="2A5D8830" w:rsidR="00851673" w:rsidRPr="00826530" w:rsidRDefault="00851673" w:rsidP="00836582">
            <w:pPr>
              <w:rPr>
                <w:rFonts w:ascii="Arial" w:hAnsi="Arial" w:cs="Arial"/>
                <w:sz w:val="21"/>
                <w:szCs w:val="21"/>
              </w:rPr>
            </w:pPr>
            <w:r w:rsidRPr="00826530">
              <w:rPr>
                <w:rFonts w:ascii="Arial" w:hAnsi="Arial" w:cs="Arial"/>
                <w:sz w:val="21"/>
                <w:szCs w:val="21"/>
              </w:rPr>
              <w:t>Attended gay bars (p6m)</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62C1C283"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73</w:t>
            </w:r>
          </w:p>
        </w:tc>
        <w:tc>
          <w:tcPr>
            <w:tcW w:w="1009" w:type="dxa"/>
            <w:tcBorders>
              <w:top w:val="nil"/>
              <w:left w:val="nil"/>
              <w:bottom w:val="nil"/>
              <w:right w:val="nil"/>
            </w:tcBorders>
            <w:vAlign w:val="center"/>
          </w:tcPr>
          <w:p w14:paraId="3E5002E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70.9</w:t>
            </w:r>
          </w:p>
        </w:tc>
        <w:tc>
          <w:tcPr>
            <w:tcW w:w="935" w:type="dxa"/>
            <w:tcBorders>
              <w:top w:val="nil"/>
              <w:left w:val="nil"/>
              <w:bottom w:val="nil"/>
              <w:right w:val="nil"/>
            </w:tcBorders>
            <w:vAlign w:val="center"/>
          </w:tcPr>
          <w:p w14:paraId="1E8CB75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475</w:t>
            </w:r>
          </w:p>
        </w:tc>
        <w:tc>
          <w:tcPr>
            <w:tcW w:w="936" w:type="dxa"/>
            <w:tcBorders>
              <w:top w:val="nil"/>
              <w:left w:val="nil"/>
              <w:bottom w:val="nil"/>
              <w:right w:val="nil"/>
            </w:tcBorders>
            <w:vAlign w:val="center"/>
          </w:tcPr>
          <w:p w14:paraId="1762EA90"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82.5</w:t>
            </w:r>
          </w:p>
        </w:tc>
        <w:tc>
          <w:tcPr>
            <w:tcW w:w="743" w:type="dxa"/>
            <w:tcBorders>
              <w:top w:val="nil"/>
              <w:left w:val="nil"/>
              <w:bottom w:val="nil"/>
              <w:right w:val="nil"/>
            </w:tcBorders>
            <w:vAlign w:val="center"/>
          </w:tcPr>
          <w:p w14:paraId="48CD5B3F" w14:textId="09479929" w:rsidR="00851673" w:rsidRPr="00826530" w:rsidRDefault="00F14B0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851673" w:rsidRPr="00826530">
              <w:rPr>
                <w:rFonts w:ascii="Arial" w:hAnsi="Arial" w:cs="Arial"/>
                <w:color w:val="000000" w:themeColor="text1"/>
                <w:sz w:val="21"/>
                <w:szCs w:val="21"/>
              </w:rPr>
              <w:t>.</w:t>
            </w:r>
            <w:r w:rsidRPr="00826530">
              <w:rPr>
                <w:rFonts w:ascii="Arial" w:hAnsi="Arial" w:cs="Arial"/>
                <w:color w:val="000000" w:themeColor="text1"/>
                <w:sz w:val="21"/>
                <w:szCs w:val="21"/>
              </w:rPr>
              <w:t>43</w:t>
            </w:r>
          </w:p>
        </w:tc>
        <w:tc>
          <w:tcPr>
            <w:tcW w:w="1420" w:type="dxa"/>
            <w:tcBorders>
              <w:top w:val="nil"/>
              <w:left w:val="nil"/>
              <w:bottom w:val="nil"/>
              <w:right w:val="nil"/>
            </w:tcBorders>
            <w:vAlign w:val="center"/>
          </w:tcPr>
          <w:p w14:paraId="09325DED" w14:textId="6B902A26"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0.8</w:t>
            </w:r>
            <w:r w:rsidR="00F14B03" w:rsidRPr="00826530">
              <w:rPr>
                <w:rFonts w:ascii="Arial" w:hAnsi="Arial" w:cs="Arial"/>
                <w:color w:val="000000" w:themeColor="text1"/>
                <w:sz w:val="21"/>
                <w:szCs w:val="21"/>
              </w:rPr>
              <w:t>6</w:t>
            </w:r>
            <w:r w:rsidRPr="00826530">
              <w:rPr>
                <w:rFonts w:ascii="Arial" w:hAnsi="Arial" w:cs="Arial"/>
                <w:color w:val="000000" w:themeColor="text1"/>
                <w:sz w:val="21"/>
                <w:szCs w:val="21"/>
              </w:rPr>
              <w:t xml:space="preserve">, </w:t>
            </w:r>
            <w:r w:rsidR="00F14B03" w:rsidRPr="00826530">
              <w:rPr>
                <w:rFonts w:ascii="Arial" w:hAnsi="Arial" w:cs="Arial"/>
                <w:color w:val="000000" w:themeColor="text1"/>
                <w:sz w:val="21"/>
                <w:szCs w:val="21"/>
              </w:rPr>
              <w:t>2</w:t>
            </w:r>
            <w:r w:rsidRPr="00826530">
              <w:rPr>
                <w:rFonts w:ascii="Arial" w:hAnsi="Arial" w:cs="Arial"/>
                <w:color w:val="000000" w:themeColor="text1"/>
                <w:sz w:val="21"/>
                <w:szCs w:val="21"/>
              </w:rPr>
              <w:t>.3</w:t>
            </w:r>
            <w:r w:rsidR="00F14B03" w:rsidRPr="00826530">
              <w:rPr>
                <w:rFonts w:ascii="Arial" w:hAnsi="Arial" w:cs="Arial"/>
                <w:color w:val="000000" w:themeColor="text1"/>
                <w:sz w:val="21"/>
                <w:szCs w:val="21"/>
              </w:rPr>
              <w:t>7</w:t>
            </w:r>
          </w:p>
        </w:tc>
      </w:tr>
      <w:tr w:rsidR="00851673" w:rsidRPr="00826530" w14:paraId="3D08522E" w14:textId="77777777" w:rsidTr="002964EB">
        <w:trPr>
          <w:trHeight w:val="20"/>
        </w:trPr>
        <w:tc>
          <w:tcPr>
            <w:tcW w:w="3450" w:type="dxa"/>
            <w:gridSpan w:val="5"/>
            <w:tcBorders>
              <w:top w:val="nil"/>
              <w:left w:val="nil"/>
              <w:bottom w:val="nil"/>
              <w:right w:val="nil"/>
            </w:tcBorders>
            <w:vAlign w:val="center"/>
          </w:tcPr>
          <w:p w14:paraId="6DC87BCA" w14:textId="324C8E50" w:rsidR="00851673" w:rsidRPr="00826530" w:rsidRDefault="00851673" w:rsidP="00836582">
            <w:pPr>
              <w:rPr>
                <w:rFonts w:ascii="Arial" w:hAnsi="Arial" w:cs="Arial"/>
                <w:sz w:val="21"/>
                <w:szCs w:val="21"/>
              </w:rPr>
            </w:pPr>
            <w:r w:rsidRPr="00826530">
              <w:rPr>
                <w:rFonts w:ascii="Arial" w:hAnsi="Arial" w:cs="Arial"/>
                <w:sz w:val="21"/>
                <w:szCs w:val="21"/>
              </w:rPr>
              <w:t>Attend gay-specific groups (p6m)</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F41D7A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40</w:t>
            </w:r>
          </w:p>
        </w:tc>
        <w:tc>
          <w:tcPr>
            <w:tcW w:w="1009" w:type="dxa"/>
            <w:tcBorders>
              <w:top w:val="nil"/>
              <w:left w:val="nil"/>
              <w:bottom w:val="nil"/>
              <w:right w:val="nil"/>
            </w:tcBorders>
            <w:vAlign w:val="center"/>
          </w:tcPr>
          <w:p w14:paraId="5BFB622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38.8</w:t>
            </w:r>
          </w:p>
        </w:tc>
        <w:tc>
          <w:tcPr>
            <w:tcW w:w="935" w:type="dxa"/>
            <w:tcBorders>
              <w:top w:val="nil"/>
              <w:left w:val="nil"/>
              <w:bottom w:val="nil"/>
              <w:right w:val="nil"/>
            </w:tcBorders>
            <w:vAlign w:val="center"/>
          </w:tcPr>
          <w:p w14:paraId="55F18AB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224</w:t>
            </w:r>
          </w:p>
        </w:tc>
        <w:tc>
          <w:tcPr>
            <w:tcW w:w="936" w:type="dxa"/>
            <w:tcBorders>
              <w:top w:val="nil"/>
              <w:left w:val="nil"/>
              <w:bottom w:val="nil"/>
              <w:right w:val="nil"/>
            </w:tcBorders>
            <w:vAlign w:val="center"/>
          </w:tcPr>
          <w:p w14:paraId="2E63AE2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38.9</w:t>
            </w:r>
          </w:p>
        </w:tc>
        <w:tc>
          <w:tcPr>
            <w:tcW w:w="743" w:type="dxa"/>
            <w:tcBorders>
              <w:top w:val="nil"/>
              <w:left w:val="nil"/>
              <w:bottom w:val="nil"/>
              <w:right w:val="nil"/>
            </w:tcBorders>
            <w:vAlign w:val="center"/>
          </w:tcPr>
          <w:p w14:paraId="411CEAEE" w14:textId="750CECB3"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F14B03" w:rsidRPr="00826530">
              <w:rPr>
                <w:rFonts w:ascii="Arial" w:hAnsi="Arial" w:cs="Arial"/>
                <w:color w:val="000000" w:themeColor="text1"/>
                <w:sz w:val="21"/>
                <w:szCs w:val="21"/>
              </w:rPr>
              <w:t>70</w:t>
            </w:r>
          </w:p>
        </w:tc>
        <w:tc>
          <w:tcPr>
            <w:tcW w:w="1420" w:type="dxa"/>
            <w:tcBorders>
              <w:top w:val="nil"/>
              <w:left w:val="nil"/>
              <w:bottom w:val="nil"/>
              <w:right w:val="nil"/>
            </w:tcBorders>
            <w:vAlign w:val="center"/>
          </w:tcPr>
          <w:p w14:paraId="0D6D815C" w14:textId="15DDBE73" w:rsidR="00851673" w:rsidRPr="00826530" w:rsidRDefault="00F14B03" w:rsidP="00836582">
            <w:pPr>
              <w:jc w:val="center"/>
              <w:rPr>
                <w:rFonts w:ascii="Arial" w:hAnsi="Arial" w:cs="Arial"/>
                <w:b/>
                <w:bCs/>
                <w:color w:val="000000" w:themeColor="text1"/>
                <w:sz w:val="21"/>
                <w:szCs w:val="21"/>
              </w:rPr>
            </w:pPr>
            <w:r w:rsidRPr="00826530">
              <w:rPr>
                <w:rFonts w:ascii="Arial" w:hAnsi="Arial" w:cs="Arial"/>
                <w:b/>
                <w:bCs/>
                <w:color w:val="000000" w:themeColor="text1"/>
                <w:sz w:val="21"/>
                <w:szCs w:val="21"/>
              </w:rPr>
              <w:t>1</w:t>
            </w:r>
            <w:r w:rsidR="00851673" w:rsidRPr="00826530">
              <w:rPr>
                <w:rFonts w:ascii="Arial" w:hAnsi="Arial" w:cs="Arial"/>
                <w:b/>
                <w:bCs/>
                <w:color w:val="000000" w:themeColor="text1"/>
                <w:sz w:val="21"/>
                <w:szCs w:val="21"/>
              </w:rPr>
              <w:t>.</w:t>
            </w:r>
            <w:r w:rsidRPr="00826530">
              <w:rPr>
                <w:rFonts w:ascii="Arial" w:hAnsi="Arial" w:cs="Arial"/>
                <w:b/>
                <w:bCs/>
                <w:color w:val="000000" w:themeColor="text1"/>
                <w:sz w:val="21"/>
                <w:szCs w:val="21"/>
              </w:rPr>
              <w:t>1</w:t>
            </w:r>
            <w:r w:rsidR="00851673" w:rsidRPr="00826530">
              <w:rPr>
                <w:rFonts w:ascii="Arial" w:hAnsi="Arial" w:cs="Arial"/>
                <w:b/>
                <w:bCs/>
                <w:color w:val="000000" w:themeColor="text1"/>
                <w:sz w:val="21"/>
                <w:szCs w:val="21"/>
              </w:rPr>
              <w:t>9, 2.</w:t>
            </w:r>
            <w:r w:rsidRPr="00826530">
              <w:rPr>
                <w:rFonts w:ascii="Arial" w:hAnsi="Arial" w:cs="Arial"/>
                <w:b/>
                <w:bCs/>
                <w:color w:val="000000" w:themeColor="text1"/>
                <w:sz w:val="21"/>
                <w:szCs w:val="21"/>
              </w:rPr>
              <w:t>43</w:t>
            </w:r>
          </w:p>
        </w:tc>
      </w:tr>
      <w:tr w:rsidR="00851673" w:rsidRPr="00826530" w14:paraId="1C9D2F2E" w14:textId="77777777" w:rsidTr="00FE3A65">
        <w:trPr>
          <w:trHeight w:val="20"/>
        </w:trPr>
        <w:tc>
          <w:tcPr>
            <w:tcW w:w="3450" w:type="dxa"/>
            <w:gridSpan w:val="5"/>
            <w:tcBorders>
              <w:left w:val="nil"/>
              <w:bottom w:val="single" w:sz="4" w:space="0" w:color="auto"/>
              <w:right w:val="nil"/>
            </w:tcBorders>
            <w:vAlign w:val="center"/>
          </w:tcPr>
          <w:p w14:paraId="03458B8D" w14:textId="77777777" w:rsidR="00851673" w:rsidRPr="00826530" w:rsidRDefault="00851673" w:rsidP="00836582">
            <w:pPr>
              <w:rPr>
                <w:rFonts w:ascii="Arial" w:hAnsi="Arial" w:cs="Arial"/>
                <w:b/>
                <w:sz w:val="21"/>
                <w:szCs w:val="21"/>
              </w:rPr>
            </w:pPr>
            <w:r w:rsidRPr="00826530">
              <w:rPr>
                <w:rFonts w:ascii="Arial" w:hAnsi="Arial" w:cs="Arial"/>
                <w:b/>
                <w:sz w:val="21"/>
                <w:szCs w:val="21"/>
              </w:rPr>
              <w:t>Sexual behaviours (p6m)</w:t>
            </w:r>
          </w:p>
        </w:tc>
        <w:tc>
          <w:tcPr>
            <w:tcW w:w="1007" w:type="dxa"/>
            <w:tcBorders>
              <w:left w:val="nil"/>
              <w:bottom w:val="single" w:sz="4" w:space="0" w:color="auto"/>
              <w:right w:val="nil"/>
            </w:tcBorders>
            <w:vAlign w:val="center"/>
          </w:tcPr>
          <w:p w14:paraId="1E0755B9" w14:textId="77777777" w:rsidR="00851673" w:rsidRPr="00826530" w:rsidRDefault="00851673" w:rsidP="00836582">
            <w:pPr>
              <w:jc w:val="center"/>
              <w:rPr>
                <w:rFonts w:ascii="Arial" w:hAnsi="Arial" w:cs="Arial"/>
                <w:sz w:val="21"/>
                <w:szCs w:val="21"/>
              </w:rPr>
            </w:pPr>
          </w:p>
        </w:tc>
        <w:tc>
          <w:tcPr>
            <w:tcW w:w="1009" w:type="dxa"/>
            <w:tcBorders>
              <w:left w:val="nil"/>
              <w:bottom w:val="single" w:sz="4" w:space="0" w:color="auto"/>
              <w:right w:val="nil"/>
            </w:tcBorders>
            <w:vAlign w:val="center"/>
          </w:tcPr>
          <w:p w14:paraId="1A706836" w14:textId="77777777" w:rsidR="00851673" w:rsidRPr="00826530" w:rsidRDefault="00851673" w:rsidP="00836582">
            <w:pPr>
              <w:jc w:val="center"/>
              <w:rPr>
                <w:rFonts w:ascii="Arial" w:hAnsi="Arial" w:cs="Arial"/>
                <w:sz w:val="21"/>
                <w:szCs w:val="21"/>
              </w:rPr>
            </w:pPr>
          </w:p>
        </w:tc>
        <w:tc>
          <w:tcPr>
            <w:tcW w:w="935" w:type="dxa"/>
            <w:tcBorders>
              <w:left w:val="nil"/>
              <w:bottom w:val="single" w:sz="4" w:space="0" w:color="auto"/>
              <w:right w:val="nil"/>
            </w:tcBorders>
            <w:vAlign w:val="center"/>
          </w:tcPr>
          <w:p w14:paraId="655AAD77" w14:textId="77777777" w:rsidR="00851673" w:rsidRPr="00826530" w:rsidRDefault="00851673" w:rsidP="00836582">
            <w:pPr>
              <w:jc w:val="center"/>
              <w:rPr>
                <w:rFonts w:ascii="Arial" w:hAnsi="Arial" w:cs="Arial"/>
                <w:sz w:val="21"/>
                <w:szCs w:val="21"/>
              </w:rPr>
            </w:pPr>
          </w:p>
        </w:tc>
        <w:tc>
          <w:tcPr>
            <w:tcW w:w="936" w:type="dxa"/>
            <w:tcBorders>
              <w:left w:val="nil"/>
              <w:bottom w:val="single" w:sz="4" w:space="0" w:color="auto"/>
              <w:right w:val="nil"/>
            </w:tcBorders>
            <w:vAlign w:val="center"/>
          </w:tcPr>
          <w:p w14:paraId="62BDA3DE" w14:textId="77777777" w:rsidR="00851673" w:rsidRPr="00826530" w:rsidRDefault="00851673" w:rsidP="00836582">
            <w:pPr>
              <w:jc w:val="center"/>
              <w:rPr>
                <w:rFonts w:ascii="Arial" w:hAnsi="Arial" w:cs="Arial"/>
                <w:sz w:val="21"/>
                <w:szCs w:val="21"/>
              </w:rPr>
            </w:pPr>
          </w:p>
        </w:tc>
        <w:tc>
          <w:tcPr>
            <w:tcW w:w="743" w:type="dxa"/>
            <w:tcBorders>
              <w:left w:val="nil"/>
              <w:bottom w:val="single" w:sz="4" w:space="0" w:color="auto"/>
              <w:right w:val="nil"/>
            </w:tcBorders>
            <w:vAlign w:val="center"/>
          </w:tcPr>
          <w:p w14:paraId="20445C3C" w14:textId="77777777" w:rsidR="00851673" w:rsidRPr="00826530" w:rsidRDefault="00851673" w:rsidP="00836582">
            <w:pPr>
              <w:jc w:val="center"/>
              <w:rPr>
                <w:rFonts w:ascii="Arial" w:hAnsi="Arial" w:cs="Arial"/>
                <w:color w:val="FF0000"/>
                <w:sz w:val="21"/>
                <w:szCs w:val="21"/>
              </w:rPr>
            </w:pPr>
          </w:p>
        </w:tc>
        <w:tc>
          <w:tcPr>
            <w:tcW w:w="1420" w:type="dxa"/>
            <w:tcBorders>
              <w:left w:val="nil"/>
              <w:bottom w:val="single" w:sz="4" w:space="0" w:color="auto"/>
              <w:right w:val="nil"/>
            </w:tcBorders>
            <w:vAlign w:val="center"/>
          </w:tcPr>
          <w:p w14:paraId="79932271" w14:textId="77777777" w:rsidR="00851673" w:rsidRPr="00826530" w:rsidRDefault="00851673" w:rsidP="00836582">
            <w:pPr>
              <w:jc w:val="center"/>
              <w:rPr>
                <w:rFonts w:ascii="Arial" w:hAnsi="Arial" w:cs="Arial"/>
                <w:color w:val="FF0000"/>
                <w:sz w:val="21"/>
                <w:szCs w:val="21"/>
              </w:rPr>
            </w:pPr>
          </w:p>
        </w:tc>
      </w:tr>
      <w:tr w:rsidR="00851673" w:rsidRPr="00826530" w14:paraId="2CC5D0F4" w14:textId="77777777" w:rsidTr="00FE3A65">
        <w:trPr>
          <w:trHeight w:val="20"/>
        </w:trPr>
        <w:tc>
          <w:tcPr>
            <w:tcW w:w="3450" w:type="dxa"/>
            <w:gridSpan w:val="5"/>
            <w:tcBorders>
              <w:left w:val="nil"/>
              <w:bottom w:val="nil"/>
              <w:right w:val="nil"/>
            </w:tcBorders>
            <w:vAlign w:val="center"/>
          </w:tcPr>
          <w:p w14:paraId="5527C15D" w14:textId="16D6B802" w:rsidR="00851673" w:rsidRPr="00826530" w:rsidRDefault="00851673" w:rsidP="00836582">
            <w:pPr>
              <w:rPr>
                <w:rFonts w:ascii="Arial" w:hAnsi="Arial" w:cs="Arial"/>
                <w:sz w:val="21"/>
                <w:szCs w:val="21"/>
              </w:rPr>
            </w:pPr>
            <w:r w:rsidRPr="00826530">
              <w:rPr>
                <w:rFonts w:ascii="Arial" w:hAnsi="Arial" w:cs="Arial"/>
                <w:sz w:val="21"/>
                <w:szCs w:val="21"/>
              </w:rPr>
              <w:t>Used chat lines to seek sex</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left w:val="nil"/>
              <w:bottom w:val="nil"/>
              <w:right w:val="nil"/>
            </w:tcBorders>
            <w:vAlign w:val="center"/>
          </w:tcPr>
          <w:p w14:paraId="7131FBD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28</w:t>
            </w:r>
          </w:p>
        </w:tc>
        <w:tc>
          <w:tcPr>
            <w:tcW w:w="1009" w:type="dxa"/>
            <w:tcBorders>
              <w:left w:val="nil"/>
              <w:bottom w:val="nil"/>
              <w:right w:val="nil"/>
            </w:tcBorders>
            <w:vAlign w:val="center"/>
          </w:tcPr>
          <w:p w14:paraId="2596D53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27.2</w:t>
            </w:r>
          </w:p>
        </w:tc>
        <w:tc>
          <w:tcPr>
            <w:tcW w:w="935" w:type="dxa"/>
            <w:tcBorders>
              <w:left w:val="nil"/>
              <w:bottom w:val="nil"/>
              <w:right w:val="nil"/>
            </w:tcBorders>
            <w:vAlign w:val="center"/>
          </w:tcPr>
          <w:p w14:paraId="267DCFA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55</w:t>
            </w:r>
          </w:p>
        </w:tc>
        <w:tc>
          <w:tcPr>
            <w:tcW w:w="936" w:type="dxa"/>
            <w:tcBorders>
              <w:left w:val="nil"/>
              <w:bottom w:val="nil"/>
              <w:right w:val="nil"/>
            </w:tcBorders>
            <w:vAlign w:val="center"/>
          </w:tcPr>
          <w:p w14:paraId="439345F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9.5</w:t>
            </w:r>
          </w:p>
        </w:tc>
        <w:tc>
          <w:tcPr>
            <w:tcW w:w="743" w:type="dxa"/>
            <w:tcBorders>
              <w:left w:val="nil"/>
              <w:bottom w:val="nil"/>
              <w:right w:val="nil"/>
            </w:tcBorders>
            <w:vAlign w:val="center"/>
          </w:tcPr>
          <w:p w14:paraId="03F076A5" w14:textId="0CD5A1FD"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5.</w:t>
            </w:r>
            <w:r w:rsidR="00F14B03" w:rsidRPr="00826530">
              <w:rPr>
                <w:rFonts w:ascii="Arial" w:hAnsi="Arial" w:cs="Arial"/>
                <w:bCs/>
                <w:color w:val="000000" w:themeColor="text1"/>
                <w:sz w:val="21"/>
                <w:szCs w:val="21"/>
              </w:rPr>
              <w:t>6</w:t>
            </w:r>
            <w:r w:rsidRPr="00826530">
              <w:rPr>
                <w:rFonts w:ascii="Arial" w:hAnsi="Arial" w:cs="Arial"/>
                <w:bCs/>
                <w:color w:val="000000" w:themeColor="text1"/>
                <w:sz w:val="21"/>
                <w:szCs w:val="21"/>
              </w:rPr>
              <w:t>0</w:t>
            </w:r>
          </w:p>
        </w:tc>
        <w:tc>
          <w:tcPr>
            <w:tcW w:w="1420" w:type="dxa"/>
            <w:tcBorders>
              <w:left w:val="nil"/>
              <w:bottom w:val="nil"/>
              <w:right w:val="nil"/>
            </w:tcBorders>
            <w:vAlign w:val="center"/>
          </w:tcPr>
          <w:p w14:paraId="3B043DDB" w14:textId="66C20CBC" w:rsidR="00851673" w:rsidRPr="00826530" w:rsidRDefault="00F14B0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.4</w:t>
            </w:r>
            <w:r w:rsidRPr="00826530">
              <w:rPr>
                <w:rFonts w:ascii="Arial" w:hAnsi="Arial" w:cs="Arial"/>
                <w:b/>
                <w:color w:val="000000" w:themeColor="text1"/>
                <w:sz w:val="21"/>
                <w:szCs w:val="21"/>
              </w:rPr>
              <w:t>9</w:t>
            </w:r>
            <w:r w:rsidR="00851673" w:rsidRPr="00826530">
              <w:rPr>
                <w:rFonts w:ascii="Arial" w:hAnsi="Arial" w:cs="Arial"/>
                <w:b/>
                <w:color w:val="000000" w:themeColor="text1"/>
                <w:sz w:val="21"/>
                <w:szCs w:val="21"/>
              </w:rPr>
              <w:t>, 1</w:t>
            </w: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5</w:t>
            </w:r>
            <w:r w:rsidR="00851673" w:rsidRPr="00826530">
              <w:rPr>
                <w:rFonts w:ascii="Arial" w:hAnsi="Arial" w:cs="Arial"/>
                <w:b/>
                <w:color w:val="000000" w:themeColor="text1"/>
                <w:sz w:val="21"/>
                <w:szCs w:val="21"/>
              </w:rPr>
              <w:t>8</w:t>
            </w:r>
          </w:p>
        </w:tc>
      </w:tr>
      <w:tr w:rsidR="00851673" w:rsidRPr="00826530" w14:paraId="52701DDF" w14:textId="77777777" w:rsidTr="00FE3A65">
        <w:trPr>
          <w:trHeight w:val="20"/>
        </w:trPr>
        <w:tc>
          <w:tcPr>
            <w:tcW w:w="3450" w:type="dxa"/>
            <w:gridSpan w:val="5"/>
            <w:tcBorders>
              <w:top w:val="nil"/>
              <w:left w:val="nil"/>
              <w:bottom w:val="nil"/>
              <w:right w:val="nil"/>
            </w:tcBorders>
            <w:vAlign w:val="center"/>
          </w:tcPr>
          <w:p w14:paraId="3BEDE4AD" w14:textId="1AF6C0A6" w:rsidR="00851673" w:rsidRPr="00826530" w:rsidRDefault="00851673" w:rsidP="00836582">
            <w:pPr>
              <w:rPr>
                <w:rFonts w:ascii="Arial" w:hAnsi="Arial" w:cs="Arial"/>
                <w:sz w:val="21"/>
                <w:szCs w:val="21"/>
              </w:rPr>
            </w:pPr>
            <w:r w:rsidRPr="00826530">
              <w:rPr>
                <w:rFonts w:ascii="Arial" w:hAnsi="Arial" w:cs="Arial"/>
                <w:sz w:val="21"/>
                <w:szCs w:val="21"/>
              </w:rPr>
              <w:t>Used apps to seek sex</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06A97F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65</w:t>
            </w:r>
          </w:p>
        </w:tc>
        <w:tc>
          <w:tcPr>
            <w:tcW w:w="1009" w:type="dxa"/>
            <w:tcBorders>
              <w:top w:val="nil"/>
              <w:left w:val="nil"/>
              <w:bottom w:val="nil"/>
              <w:right w:val="nil"/>
            </w:tcBorders>
            <w:vAlign w:val="center"/>
          </w:tcPr>
          <w:p w14:paraId="0455A84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63.1</w:t>
            </w:r>
          </w:p>
        </w:tc>
        <w:tc>
          <w:tcPr>
            <w:tcW w:w="935" w:type="dxa"/>
            <w:tcBorders>
              <w:top w:val="nil"/>
              <w:left w:val="nil"/>
              <w:bottom w:val="nil"/>
              <w:right w:val="nil"/>
            </w:tcBorders>
            <w:vAlign w:val="center"/>
          </w:tcPr>
          <w:p w14:paraId="65250CF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319</w:t>
            </w:r>
          </w:p>
        </w:tc>
        <w:tc>
          <w:tcPr>
            <w:tcW w:w="936" w:type="dxa"/>
            <w:tcBorders>
              <w:top w:val="nil"/>
              <w:left w:val="nil"/>
              <w:bottom w:val="nil"/>
              <w:right w:val="nil"/>
            </w:tcBorders>
            <w:vAlign w:val="center"/>
          </w:tcPr>
          <w:p w14:paraId="597079B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55.4</w:t>
            </w:r>
          </w:p>
        </w:tc>
        <w:tc>
          <w:tcPr>
            <w:tcW w:w="743" w:type="dxa"/>
            <w:tcBorders>
              <w:top w:val="nil"/>
              <w:left w:val="nil"/>
              <w:bottom w:val="nil"/>
              <w:right w:val="nil"/>
            </w:tcBorders>
            <w:vAlign w:val="center"/>
          </w:tcPr>
          <w:p w14:paraId="4AFB1F1A" w14:textId="68D25AED" w:rsidR="00851673" w:rsidRPr="00826530" w:rsidRDefault="00F14B0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2</w:t>
            </w:r>
            <w:r w:rsidR="00851673" w:rsidRPr="00826530">
              <w:rPr>
                <w:rFonts w:ascii="Arial" w:hAnsi="Arial" w:cs="Arial"/>
                <w:bCs/>
                <w:color w:val="000000" w:themeColor="text1"/>
                <w:sz w:val="21"/>
                <w:szCs w:val="21"/>
              </w:rPr>
              <w:t>.</w:t>
            </w:r>
            <w:r w:rsidRPr="00826530">
              <w:rPr>
                <w:rFonts w:ascii="Arial" w:hAnsi="Arial" w:cs="Arial"/>
                <w:bCs/>
                <w:color w:val="000000" w:themeColor="text1"/>
                <w:sz w:val="21"/>
                <w:szCs w:val="21"/>
              </w:rPr>
              <w:t>52</w:t>
            </w:r>
          </w:p>
        </w:tc>
        <w:tc>
          <w:tcPr>
            <w:tcW w:w="1420" w:type="dxa"/>
            <w:tcBorders>
              <w:top w:val="nil"/>
              <w:left w:val="nil"/>
              <w:bottom w:val="nil"/>
              <w:right w:val="nil"/>
            </w:tcBorders>
            <w:vAlign w:val="center"/>
          </w:tcPr>
          <w:p w14:paraId="1EE50150" w14:textId="74A483C3"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w:t>
            </w:r>
            <w:r w:rsidR="00F14B03" w:rsidRPr="00826530">
              <w:rPr>
                <w:rFonts w:ascii="Arial" w:hAnsi="Arial" w:cs="Arial"/>
                <w:b/>
                <w:color w:val="000000" w:themeColor="text1"/>
                <w:sz w:val="21"/>
                <w:szCs w:val="21"/>
              </w:rPr>
              <w:t>65</w:t>
            </w:r>
            <w:r w:rsidRPr="00826530">
              <w:rPr>
                <w:rFonts w:ascii="Arial" w:hAnsi="Arial" w:cs="Arial"/>
                <w:b/>
                <w:color w:val="000000" w:themeColor="text1"/>
                <w:sz w:val="21"/>
                <w:szCs w:val="21"/>
              </w:rPr>
              <w:t xml:space="preserve">, </w:t>
            </w:r>
            <w:r w:rsidR="00F14B03" w:rsidRPr="00826530">
              <w:rPr>
                <w:rFonts w:ascii="Arial" w:hAnsi="Arial" w:cs="Arial"/>
                <w:b/>
                <w:color w:val="000000" w:themeColor="text1"/>
                <w:sz w:val="21"/>
                <w:szCs w:val="21"/>
              </w:rPr>
              <w:t>3</w:t>
            </w:r>
            <w:r w:rsidRPr="00826530">
              <w:rPr>
                <w:rFonts w:ascii="Arial" w:hAnsi="Arial" w:cs="Arial"/>
                <w:b/>
                <w:color w:val="000000" w:themeColor="text1"/>
                <w:sz w:val="21"/>
                <w:szCs w:val="21"/>
              </w:rPr>
              <w:t>.</w:t>
            </w:r>
            <w:r w:rsidR="00F14B03" w:rsidRPr="00826530">
              <w:rPr>
                <w:rFonts w:ascii="Arial" w:hAnsi="Arial" w:cs="Arial"/>
                <w:b/>
                <w:color w:val="000000" w:themeColor="text1"/>
                <w:sz w:val="21"/>
                <w:szCs w:val="21"/>
              </w:rPr>
              <w:t>84</w:t>
            </w:r>
          </w:p>
        </w:tc>
      </w:tr>
      <w:tr w:rsidR="00851673" w:rsidRPr="00826530" w14:paraId="0C936729" w14:textId="77777777" w:rsidTr="00FE3A65">
        <w:trPr>
          <w:trHeight w:val="20"/>
        </w:trPr>
        <w:tc>
          <w:tcPr>
            <w:tcW w:w="3450" w:type="dxa"/>
            <w:gridSpan w:val="5"/>
            <w:tcBorders>
              <w:top w:val="nil"/>
              <w:left w:val="nil"/>
              <w:bottom w:val="nil"/>
              <w:right w:val="nil"/>
            </w:tcBorders>
            <w:vAlign w:val="center"/>
          </w:tcPr>
          <w:p w14:paraId="3236DC9D" w14:textId="25AF53D8" w:rsidR="00851673" w:rsidRPr="00826530" w:rsidRDefault="00851673" w:rsidP="00836582">
            <w:pPr>
              <w:rPr>
                <w:rFonts w:ascii="Arial" w:hAnsi="Arial" w:cs="Arial"/>
                <w:sz w:val="21"/>
                <w:szCs w:val="21"/>
              </w:rPr>
            </w:pPr>
            <w:r w:rsidRPr="00826530">
              <w:rPr>
                <w:rFonts w:ascii="Arial" w:hAnsi="Arial" w:cs="Arial"/>
                <w:sz w:val="21"/>
                <w:szCs w:val="21"/>
              </w:rPr>
              <w:t>Used websites to seek sex</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7DBA3C6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86</w:t>
            </w:r>
          </w:p>
        </w:tc>
        <w:tc>
          <w:tcPr>
            <w:tcW w:w="1009" w:type="dxa"/>
            <w:tcBorders>
              <w:top w:val="nil"/>
              <w:left w:val="nil"/>
              <w:bottom w:val="nil"/>
              <w:right w:val="nil"/>
            </w:tcBorders>
            <w:vAlign w:val="center"/>
          </w:tcPr>
          <w:p w14:paraId="6CAB9B7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83.5</w:t>
            </w:r>
          </w:p>
        </w:tc>
        <w:tc>
          <w:tcPr>
            <w:tcW w:w="935" w:type="dxa"/>
            <w:tcBorders>
              <w:top w:val="nil"/>
              <w:left w:val="nil"/>
              <w:bottom w:val="nil"/>
              <w:right w:val="nil"/>
            </w:tcBorders>
            <w:vAlign w:val="center"/>
          </w:tcPr>
          <w:p w14:paraId="0E7948F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349</w:t>
            </w:r>
          </w:p>
        </w:tc>
        <w:tc>
          <w:tcPr>
            <w:tcW w:w="936" w:type="dxa"/>
            <w:tcBorders>
              <w:top w:val="nil"/>
              <w:left w:val="nil"/>
              <w:bottom w:val="nil"/>
              <w:right w:val="nil"/>
            </w:tcBorders>
            <w:vAlign w:val="center"/>
          </w:tcPr>
          <w:p w14:paraId="5DF08F2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60.6</w:t>
            </w:r>
          </w:p>
        </w:tc>
        <w:tc>
          <w:tcPr>
            <w:tcW w:w="743" w:type="dxa"/>
            <w:tcBorders>
              <w:top w:val="nil"/>
              <w:left w:val="nil"/>
              <w:bottom w:val="nil"/>
              <w:right w:val="nil"/>
            </w:tcBorders>
            <w:vAlign w:val="center"/>
          </w:tcPr>
          <w:p w14:paraId="70B1D00B" w14:textId="1C9F0EB8" w:rsidR="00851673" w:rsidRPr="00826530" w:rsidRDefault="00F14B0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7</w:t>
            </w:r>
            <w:r w:rsidR="00851673" w:rsidRPr="00826530">
              <w:rPr>
                <w:rFonts w:ascii="Arial" w:hAnsi="Arial" w:cs="Arial"/>
                <w:bCs/>
                <w:color w:val="000000" w:themeColor="text1"/>
                <w:sz w:val="21"/>
                <w:szCs w:val="21"/>
              </w:rPr>
              <w:t>.</w:t>
            </w:r>
            <w:r w:rsidRPr="00826530">
              <w:rPr>
                <w:rFonts w:ascii="Arial" w:hAnsi="Arial" w:cs="Arial"/>
                <w:bCs/>
                <w:color w:val="000000" w:themeColor="text1"/>
                <w:sz w:val="21"/>
                <w:szCs w:val="21"/>
              </w:rPr>
              <w:t>49</w:t>
            </w:r>
          </w:p>
        </w:tc>
        <w:tc>
          <w:tcPr>
            <w:tcW w:w="1420" w:type="dxa"/>
            <w:tcBorders>
              <w:top w:val="nil"/>
              <w:left w:val="nil"/>
              <w:bottom w:val="nil"/>
              <w:right w:val="nil"/>
            </w:tcBorders>
            <w:vAlign w:val="center"/>
          </w:tcPr>
          <w:p w14:paraId="70872B42" w14:textId="6945F48C" w:rsidR="00851673" w:rsidRPr="00826530" w:rsidRDefault="00F14B0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4</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39</w:t>
            </w:r>
            <w:r w:rsidR="00851673" w:rsidRPr="00826530">
              <w:rPr>
                <w:rFonts w:ascii="Arial" w:hAnsi="Arial" w:cs="Arial"/>
                <w:b/>
                <w:color w:val="000000" w:themeColor="text1"/>
                <w:sz w:val="21"/>
                <w:szCs w:val="21"/>
              </w:rPr>
              <w:t xml:space="preserve">, </w:t>
            </w:r>
            <w:r w:rsidRPr="00826530">
              <w:rPr>
                <w:rFonts w:ascii="Arial" w:hAnsi="Arial" w:cs="Arial"/>
                <w:b/>
                <w:color w:val="000000" w:themeColor="text1"/>
                <w:sz w:val="21"/>
                <w:szCs w:val="21"/>
              </w:rPr>
              <w:t>1</w:t>
            </w:r>
            <w:r w:rsidR="00851673" w:rsidRPr="00826530">
              <w:rPr>
                <w:rFonts w:ascii="Arial" w:hAnsi="Arial" w:cs="Arial"/>
                <w:b/>
                <w:color w:val="000000" w:themeColor="text1"/>
                <w:sz w:val="21"/>
                <w:szCs w:val="21"/>
              </w:rPr>
              <w:t>2.</w:t>
            </w:r>
            <w:r w:rsidRPr="00826530">
              <w:rPr>
                <w:rFonts w:ascii="Arial" w:hAnsi="Arial" w:cs="Arial"/>
                <w:b/>
                <w:color w:val="000000" w:themeColor="text1"/>
                <w:sz w:val="21"/>
                <w:szCs w:val="21"/>
              </w:rPr>
              <w:t>79</w:t>
            </w:r>
          </w:p>
        </w:tc>
      </w:tr>
      <w:tr w:rsidR="00851673" w:rsidRPr="00826530" w14:paraId="2DD508E4" w14:textId="77777777" w:rsidTr="00FE3A65">
        <w:trPr>
          <w:trHeight w:val="20"/>
        </w:trPr>
        <w:tc>
          <w:tcPr>
            <w:tcW w:w="3450" w:type="dxa"/>
            <w:gridSpan w:val="5"/>
            <w:tcBorders>
              <w:top w:val="nil"/>
              <w:left w:val="nil"/>
              <w:bottom w:val="nil"/>
              <w:right w:val="nil"/>
            </w:tcBorders>
            <w:vAlign w:val="center"/>
          </w:tcPr>
          <w:p w14:paraId="0DE93DD4" w14:textId="3C27689B" w:rsidR="00851673" w:rsidRPr="00826530" w:rsidRDefault="00851673" w:rsidP="00836582">
            <w:pPr>
              <w:rPr>
                <w:rFonts w:ascii="Arial" w:hAnsi="Arial" w:cs="Arial"/>
                <w:sz w:val="21"/>
                <w:szCs w:val="21"/>
              </w:rPr>
            </w:pPr>
            <w:r w:rsidRPr="00826530">
              <w:rPr>
                <w:rFonts w:ascii="Arial" w:hAnsi="Arial" w:cs="Arial"/>
                <w:sz w:val="21"/>
                <w:szCs w:val="21"/>
              </w:rPr>
              <w:t>Attended sex parties</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47F5AEC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54</w:t>
            </w:r>
          </w:p>
        </w:tc>
        <w:tc>
          <w:tcPr>
            <w:tcW w:w="1009" w:type="dxa"/>
            <w:tcBorders>
              <w:top w:val="nil"/>
              <w:left w:val="nil"/>
              <w:bottom w:val="nil"/>
              <w:right w:val="nil"/>
            </w:tcBorders>
            <w:vAlign w:val="center"/>
          </w:tcPr>
          <w:p w14:paraId="373DF98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52.4</w:t>
            </w:r>
          </w:p>
        </w:tc>
        <w:tc>
          <w:tcPr>
            <w:tcW w:w="935" w:type="dxa"/>
            <w:tcBorders>
              <w:top w:val="nil"/>
              <w:left w:val="nil"/>
              <w:bottom w:val="nil"/>
              <w:right w:val="nil"/>
            </w:tcBorders>
            <w:vAlign w:val="center"/>
          </w:tcPr>
          <w:p w14:paraId="5F9B957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124</w:t>
            </w:r>
          </w:p>
        </w:tc>
        <w:tc>
          <w:tcPr>
            <w:tcW w:w="936" w:type="dxa"/>
            <w:tcBorders>
              <w:top w:val="nil"/>
              <w:left w:val="nil"/>
              <w:bottom w:val="nil"/>
              <w:right w:val="nil"/>
            </w:tcBorders>
            <w:vAlign w:val="center"/>
          </w:tcPr>
          <w:p w14:paraId="6EC146F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21.5</w:t>
            </w:r>
          </w:p>
        </w:tc>
        <w:tc>
          <w:tcPr>
            <w:tcW w:w="743" w:type="dxa"/>
            <w:tcBorders>
              <w:top w:val="nil"/>
              <w:left w:val="nil"/>
              <w:bottom w:val="nil"/>
              <w:right w:val="nil"/>
            </w:tcBorders>
            <w:vAlign w:val="center"/>
          </w:tcPr>
          <w:p w14:paraId="07CBC0E2" w14:textId="61AD545D" w:rsidR="00851673" w:rsidRPr="00826530" w:rsidRDefault="00EC061C"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8</w:t>
            </w:r>
            <w:r w:rsidR="00851673" w:rsidRPr="00826530">
              <w:rPr>
                <w:rFonts w:ascii="Arial" w:hAnsi="Arial" w:cs="Arial"/>
                <w:bCs/>
                <w:color w:val="000000" w:themeColor="text1"/>
                <w:sz w:val="21"/>
                <w:szCs w:val="21"/>
              </w:rPr>
              <w:t>.</w:t>
            </w:r>
            <w:r w:rsidRPr="00826530">
              <w:rPr>
                <w:rFonts w:ascii="Arial" w:hAnsi="Arial" w:cs="Arial"/>
                <w:bCs/>
                <w:color w:val="000000" w:themeColor="text1"/>
                <w:sz w:val="21"/>
                <w:szCs w:val="21"/>
              </w:rPr>
              <w:t>17</w:t>
            </w:r>
          </w:p>
        </w:tc>
        <w:tc>
          <w:tcPr>
            <w:tcW w:w="1420" w:type="dxa"/>
            <w:tcBorders>
              <w:top w:val="nil"/>
              <w:left w:val="nil"/>
              <w:bottom w:val="nil"/>
              <w:right w:val="nil"/>
            </w:tcBorders>
            <w:vAlign w:val="center"/>
          </w:tcPr>
          <w:p w14:paraId="2EB34118" w14:textId="5BF3540B"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5.</w:t>
            </w:r>
            <w:r w:rsidR="00EC061C" w:rsidRPr="00826530">
              <w:rPr>
                <w:rFonts w:ascii="Arial" w:hAnsi="Arial" w:cs="Arial"/>
                <w:b/>
                <w:color w:val="000000" w:themeColor="text1"/>
                <w:sz w:val="21"/>
                <w:szCs w:val="21"/>
              </w:rPr>
              <w:t>2</w:t>
            </w:r>
            <w:r w:rsidRPr="00826530">
              <w:rPr>
                <w:rFonts w:ascii="Arial" w:hAnsi="Arial" w:cs="Arial"/>
                <w:b/>
                <w:color w:val="000000" w:themeColor="text1"/>
                <w:sz w:val="21"/>
                <w:szCs w:val="21"/>
              </w:rPr>
              <w:t xml:space="preserve">7, </w:t>
            </w:r>
            <w:r w:rsidR="00EC061C" w:rsidRPr="00826530">
              <w:rPr>
                <w:rFonts w:ascii="Arial" w:hAnsi="Arial" w:cs="Arial"/>
                <w:b/>
                <w:color w:val="000000" w:themeColor="text1"/>
                <w:sz w:val="21"/>
                <w:szCs w:val="21"/>
              </w:rPr>
              <w:t>1</w:t>
            </w:r>
            <w:r w:rsidRPr="00826530">
              <w:rPr>
                <w:rFonts w:ascii="Arial" w:hAnsi="Arial" w:cs="Arial"/>
                <w:b/>
                <w:color w:val="000000" w:themeColor="text1"/>
                <w:sz w:val="21"/>
                <w:szCs w:val="21"/>
              </w:rPr>
              <w:t>2.</w:t>
            </w:r>
            <w:r w:rsidR="00EC061C" w:rsidRPr="00826530">
              <w:rPr>
                <w:rFonts w:ascii="Arial" w:hAnsi="Arial" w:cs="Arial"/>
                <w:b/>
                <w:color w:val="000000" w:themeColor="text1"/>
                <w:sz w:val="21"/>
                <w:szCs w:val="21"/>
              </w:rPr>
              <w:t>6</w:t>
            </w:r>
            <w:r w:rsidRPr="00826530">
              <w:rPr>
                <w:rFonts w:ascii="Arial" w:hAnsi="Arial" w:cs="Arial"/>
                <w:b/>
                <w:color w:val="000000" w:themeColor="text1"/>
                <w:sz w:val="21"/>
                <w:szCs w:val="21"/>
              </w:rPr>
              <w:t>7</w:t>
            </w:r>
          </w:p>
        </w:tc>
      </w:tr>
      <w:tr w:rsidR="00851673" w:rsidRPr="00826530" w14:paraId="4795515A" w14:textId="77777777" w:rsidTr="00FE3A65">
        <w:trPr>
          <w:trHeight w:val="20"/>
        </w:trPr>
        <w:tc>
          <w:tcPr>
            <w:tcW w:w="3450" w:type="dxa"/>
            <w:gridSpan w:val="5"/>
            <w:tcBorders>
              <w:top w:val="nil"/>
              <w:left w:val="nil"/>
              <w:bottom w:val="nil"/>
              <w:right w:val="nil"/>
            </w:tcBorders>
            <w:vAlign w:val="center"/>
          </w:tcPr>
          <w:p w14:paraId="60C2DE21" w14:textId="2AC8FBD5" w:rsidR="00851673" w:rsidRPr="00826530" w:rsidRDefault="00851673" w:rsidP="00836582">
            <w:pPr>
              <w:rPr>
                <w:rFonts w:ascii="Arial" w:hAnsi="Arial" w:cs="Arial"/>
                <w:sz w:val="21"/>
                <w:szCs w:val="21"/>
              </w:rPr>
            </w:pPr>
            <w:r w:rsidRPr="00826530">
              <w:rPr>
                <w:rFonts w:ascii="Arial" w:hAnsi="Arial" w:cs="Arial"/>
                <w:sz w:val="21"/>
                <w:szCs w:val="21"/>
              </w:rPr>
              <w:t xml:space="preserve">Fisting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2ED086E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26</w:t>
            </w:r>
          </w:p>
        </w:tc>
        <w:tc>
          <w:tcPr>
            <w:tcW w:w="1009" w:type="dxa"/>
            <w:tcBorders>
              <w:top w:val="nil"/>
              <w:left w:val="nil"/>
              <w:bottom w:val="nil"/>
              <w:right w:val="nil"/>
            </w:tcBorders>
            <w:vAlign w:val="center"/>
          </w:tcPr>
          <w:p w14:paraId="10D35F5A"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25.2</w:t>
            </w:r>
          </w:p>
        </w:tc>
        <w:tc>
          <w:tcPr>
            <w:tcW w:w="935" w:type="dxa"/>
            <w:tcBorders>
              <w:top w:val="nil"/>
              <w:left w:val="nil"/>
              <w:bottom w:val="nil"/>
              <w:right w:val="nil"/>
            </w:tcBorders>
            <w:vAlign w:val="center"/>
          </w:tcPr>
          <w:p w14:paraId="17FDAB9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51</w:t>
            </w:r>
          </w:p>
        </w:tc>
        <w:tc>
          <w:tcPr>
            <w:tcW w:w="936" w:type="dxa"/>
            <w:tcBorders>
              <w:top w:val="nil"/>
              <w:left w:val="nil"/>
              <w:bottom w:val="nil"/>
              <w:right w:val="nil"/>
            </w:tcBorders>
            <w:vAlign w:val="center"/>
          </w:tcPr>
          <w:p w14:paraId="79AD1DB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8.9</w:t>
            </w:r>
          </w:p>
        </w:tc>
        <w:tc>
          <w:tcPr>
            <w:tcW w:w="743" w:type="dxa"/>
            <w:tcBorders>
              <w:top w:val="nil"/>
              <w:left w:val="nil"/>
              <w:bottom w:val="nil"/>
              <w:right w:val="nil"/>
            </w:tcBorders>
            <w:vAlign w:val="center"/>
          </w:tcPr>
          <w:p w14:paraId="0159EF78" w14:textId="5EF8B651" w:rsidR="00851673" w:rsidRPr="00826530" w:rsidRDefault="00EC061C"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5</w:t>
            </w:r>
            <w:r w:rsidR="00851673" w:rsidRPr="00826530">
              <w:rPr>
                <w:rFonts w:ascii="Arial" w:hAnsi="Arial" w:cs="Arial"/>
                <w:bCs/>
                <w:color w:val="000000" w:themeColor="text1"/>
                <w:sz w:val="21"/>
                <w:szCs w:val="21"/>
              </w:rPr>
              <w:t>.8</w:t>
            </w:r>
            <w:r w:rsidRPr="00826530">
              <w:rPr>
                <w:rFonts w:ascii="Arial" w:hAnsi="Arial" w:cs="Arial"/>
                <w:bCs/>
                <w:color w:val="000000" w:themeColor="text1"/>
                <w:sz w:val="21"/>
                <w:szCs w:val="21"/>
              </w:rPr>
              <w:t>2</w:t>
            </w:r>
          </w:p>
        </w:tc>
        <w:tc>
          <w:tcPr>
            <w:tcW w:w="1420" w:type="dxa"/>
            <w:tcBorders>
              <w:top w:val="nil"/>
              <w:left w:val="nil"/>
              <w:bottom w:val="nil"/>
              <w:right w:val="nil"/>
            </w:tcBorders>
            <w:vAlign w:val="center"/>
          </w:tcPr>
          <w:p w14:paraId="724476FA" w14:textId="5B061C67" w:rsidR="00851673" w:rsidRPr="00826530" w:rsidRDefault="00EC061C"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3</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07</w:t>
            </w:r>
            <w:r w:rsidR="00851673" w:rsidRPr="00826530">
              <w:rPr>
                <w:rFonts w:ascii="Arial" w:hAnsi="Arial" w:cs="Arial"/>
                <w:b/>
                <w:color w:val="000000" w:themeColor="text1"/>
                <w:sz w:val="21"/>
                <w:szCs w:val="21"/>
              </w:rPr>
              <w:t>, 11.</w:t>
            </w:r>
            <w:r w:rsidRPr="00826530">
              <w:rPr>
                <w:rFonts w:ascii="Arial" w:hAnsi="Arial" w:cs="Arial"/>
                <w:b/>
                <w:color w:val="000000" w:themeColor="text1"/>
                <w:sz w:val="21"/>
                <w:szCs w:val="21"/>
              </w:rPr>
              <w:t>06</w:t>
            </w:r>
          </w:p>
        </w:tc>
      </w:tr>
      <w:tr w:rsidR="00851673" w:rsidRPr="00826530" w14:paraId="396E5756" w14:textId="77777777" w:rsidTr="00FE3A65">
        <w:trPr>
          <w:trHeight w:val="20"/>
        </w:trPr>
        <w:tc>
          <w:tcPr>
            <w:tcW w:w="3450" w:type="dxa"/>
            <w:gridSpan w:val="5"/>
            <w:tcBorders>
              <w:top w:val="nil"/>
              <w:left w:val="nil"/>
              <w:bottom w:val="nil"/>
              <w:right w:val="nil"/>
            </w:tcBorders>
            <w:vAlign w:val="center"/>
          </w:tcPr>
          <w:p w14:paraId="465ECABA" w14:textId="59C4C747" w:rsidR="00851673" w:rsidRPr="00826530" w:rsidRDefault="00851673" w:rsidP="00836582">
            <w:pPr>
              <w:rPr>
                <w:rFonts w:ascii="Arial" w:hAnsi="Arial" w:cs="Arial"/>
                <w:sz w:val="21"/>
                <w:szCs w:val="21"/>
              </w:rPr>
            </w:pPr>
            <w:r w:rsidRPr="00826530">
              <w:rPr>
                <w:rFonts w:ascii="Arial" w:hAnsi="Arial" w:cs="Arial"/>
                <w:sz w:val="21"/>
                <w:szCs w:val="21"/>
              </w:rPr>
              <w:t>Sex toys</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D94240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45</w:t>
            </w:r>
          </w:p>
        </w:tc>
        <w:tc>
          <w:tcPr>
            <w:tcW w:w="1009" w:type="dxa"/>
            <w:tcBorders>
              <w:top w:val="nil"/>
              <w:left w:val="nil"/>
              <w:bottom w:val="nil"/>
              <w:right w:val="nil"/>
            </w:tcBorders>
            <w:vAlign w:val="center"/>
          </w:tcPr>
          <w:p w14:paraId="7736EDF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43.7</w:t>
            </w:r>
          </w:p>
        </w:tc>
        <w:tc>
          <w:tcPr>
            <w:tcW w:w="935" w:type="dxa"/>
            <w:tcBorders>
              <w:top w:val="nil"/>
              <w:left w:val="nil"/>
              <w:bottom w:val="nil"/>
              <w:right w:val="nil"/>
            </w:tcBorders>
            <w:vAlign w:val="center"/>
          </w:tcPr>
          <w:p w14:paraId="115328B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153</w:t>
            </w:r>
          </w:p>
        </w:tc>
        <w:tc>
          <w:tcPr>
            <w:tcW w:w="936" w:type="dxa"/>
            <w:tcBorders>
              <w:top w:val="nil"/>
              <w:left w:val="nil"/>
              <w:bottom w:val="nil"/>
              <w:right w:val="nil"/>
            </w:tcBorders>
            <w:vAlign w:val="center"/>
          </w:tcPr>
          <w:p w14:paraId="3E4ED3F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26.6</w:t>
            </w:r>
          </w:p>
        </w:tc>
        <w:tc>
          <w:tcPr>
            <w:tcW w:w="743" w:type="dxa"/>
            <w:tcBorders>
              <w:top w:val="nil"/>
              <w:left w:val="nil"/>
              <w:bottom w:val="nil"/>
              <w:right w:val="nil"/>
            </w:tcBorders>
            <w:vAlign w:val="center"/>
          </w:tcPr>
          <w:p w14:paraId="7126ADDA" w14:textId="702F48F7"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3.</w:t>
            </w:r>
            <w:r w:rsidR="00EC061C" w:rsidRPr="00826530">
              <w:rPr>
                <w:rFonts w:ascii="Arial" w:hAnsi="Arial" w:cs="Arial"/>
                <w:bCs/>
                <w:color w:val="000000" w:themeColor="text1"/>
                <w:sz w:val="21"/>
                <w:szCs w:val="21"/>
              </w:rPr>
              <w:t>74</w:t>
            </w:r>
          </w:p>
        </w:tc>
        <w:tc>
          <w:tcPr>
            <w:tcW w:w="1420" w:type="dxa"/>
            <w:tcBorders>
              <w:top w:val="nil"/>
              <w:left w:val="nil"/>
              <w:bottom w:val="nil"/>
              <w:right w:val="nil"/>
            </w:tcBorders>
            <w:vAlign w:val="center"/>
          </w:tcPr>
          <w:p w14:paraId="73E87F73" w14:textId="3A2646C4" w:rsidR="00851673" w:rsidRPr="00826530" w:rsidRDefault="00EC061C"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53</w:t>
            </w:r>
            <w:r w:rsidR="00851673" w:rsidRPr="00826530">
              <w:rPr>
                <w:rFonts w:ascii="Arial" w:hAnsi="Arial" w:cs="Arial"/>
                <w:b/>
                <w:color w:val="000000" w:themeColor="text1"/>
                <w:sz w:val="21"/>
                <w:szCs w:val="21"/>
              </w:rPr>
              <w:t xml:space="preserve">, </w:t>
            </w:r>
            <w:r w:rsidRPr="00826530">
              <w:rPr>
                <w:rFonts w:ascii="Arial" w:hAnsi="Arial" w:cs="Arial"/>
                <w:b/>
                <w:color w:val="000000" w:themeColor="text1"/>
                <w:sz w:val="21"/>
                <w:szCs w:val="21"/>
              </w:rPr>
              <w:t>5</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54</w:t>
            </w:r>
          </w:p>
        </w:tc>
      </w:tr>
      <w:tr w:rsidR="00851673" w:rsidRPr="00826530" w14:paraId="2CE765D3" w14:textId="77777777" w:rsidTr="00FE3A65">
        <w:trPr>
          <w:trHeight w:val="20"/>
        </w:trPr>
        <w:tc>
          <w:tcPr>
            <w:tcW w:w="3450" w:type="dxa"/>
            <w:gridSpan w:val="5"/>
            <w:tcBorders>
              <w:top w:val="nil"/>
              <w:left w:val="nil"/>
              <w:bottom w:val="nil"/>
              <w:right w:val="nil"/>
            </w:tcBorders>
            <w:vAlign w:val="center"/>
          </w:tcPr>
          <w:p w14:paraId="5919621F" w14:textId="2E0519BA" w:rsidR="00851673" w:rsidRPr="00826530" w:rsidRDefault="00851673" w:rsidP="00836582">
            <w:pPr>
              <w:rPr>
                <w:rFonts w:ascii="Arial" w:hAnsi="Arial" w:cs="Arial"/>
                <w:sz w:val="21"/>
                <w:szCs w:val="21"/>
              </w:rPr>
            </w:pPr>
            <w:proofErr w:type="spellStart"/>
            <w:r w:rsidRPr="00826530">
              <w:rPr>
                <w:rFonts w:ascii="Arial" w:hAnsi="Arial" w:cs="Arial"/>
                <w:sz w:val="21"/>
                <w:szCs w:val="21"/>
              </w:rPr>
              <w:t>Watersports</w:t>
            </w:r>
            <w:proofErr w:type="spellEnd"/>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DD61DF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24</w:t>
            </w:r>
          </w:p>
        </w:tc>
        <w:tc>
          <w:tcPr>
            <w:tcW w:w="1009" w:type="dxa"/>
            <w:tcBorders>
              <w:top w:val="nil"/>
              <w:left w:val="nil"/>
              <w:bottom w:val="nil"/>
              <w:right w:val="nil"/>
            </w:tcBorders>
            <w:vAlign w:val="center"/>
          </w:tcPr>
          <w:p w14:paraId="5A48A3B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23.3</w:t>
            </w:r>
          </w:p>
        </w:tc>
        <w:tc>
          <w:tcPr>
            <w:tcW w:w="935" w:type="dxa"/>
            <w:tcBorders>
              <w:top w:val="nil"/>
              <w:left w:val="nil"/>
              <w:bottom w:val="nil"/>
              <w:right w:val="nil"/>
            </w:tcBorders>
            <w:vAlign w:val="center"/>
          </w:tcPr>
          <w:p w14:paraId="2FBD572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74</w:t>
            </w:r>
          </w:p>
        </w:tc>
        <w:tc>
          <w:tcPr>
            <w:tcW w:w="936" w:type="dxa"/>
            <w:tcBorders>
              <w:top w:val="nil"/>
              <w:left w:val="nil"/>
              <w:bottom w:val="nil"/>
              <w:right w:val="nil"/>
            </w:tcBorders>
            <w:vAlign w:val="center"/>
          </w:tcPr>
          <w:p w14:paraId="0DC6664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12.8</w:t>
            </w:r>
          </w:p>
        </w:tc>
        <w:tc>
          <w:tcPr>
            <w:tcW w:w="743" w:type="dxa"/>
            <w:tcBorders>
              <w:top w:val="nil"/>
              <w:left w:val="nil"/>
              <w:bottom w:val="nil"/>
              <w:right w:val="nil"/>
            </w:tcBorders>
            <w:vAlign w:val="center"/>
          </w:tcPr>
          <w:p w14:paraId="0F4EF1EA" w14:textId="2144A161" w:rsidR="00851673" w:rsidRPr="00826530" w:rsidRDefault="00EC061C"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3.92</w:t>
            </w:r>
          </w:p>
        </w:tc>
        <w:tc>
          <w:tcPr>
            <w:tcW w:w="1420" w:type="dxa"/>
            <w:tcBorders>
              <w:top w:val="nil"/>
              <w:left w:val="nil"/>
              <w:bottom w:val="nil"/>
              <w:right w:val="nil"/>
            </w:tcBorders>
            <w:vAlign w:val="center"/>
          </w:tcPr>
          <w:p w14:paraId="62A346FE" w14:textId="5C764726" w:rsidR="00851673" w:rsidRPr="00826530" w:rsidRDefault="00EC061C"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26</w:t>
            </w:r>
            <w:r w:rsidR="00851673" w:rsidRPr="00826530">
              <w:rPr>
                <w:rFonts w:ascii="Arial" w:hAnsi="Arial" w:cs="Arial"/>
                <w:b/>
                <w:color w:val="000000" w:themeColor="text1"/>
                <w:sz w:val="21"/>
                <w:szCs w:val="21"/>
              </w:rPr>
              <w:t xml:space="preserve">, </w:t>
            </w:r>
            <w:r w:rsidRPr="00826530">
              <w:rPr>
                <w:rFonts w:ascii="Arial" w:hAnsi="Arial" w:cs="Arial"/>
                <w:b/>
                <w:color w:val="000000" w:themeColor="text1"/>
                <w:sz w:val="21"/>
                <w:szCs w:val="21"/>
              </w:rPr>
              <w:t>6</w:t>
            </w:r>
            <w:r w:rsidR="00851673" w:rsidRPr="00826530">
              <w:rPr>
                <w:rFonts w:ascii="Arial" w:hAnsi="Arial" w:cs="Arial"/>
                <w:b/>
                <w:color w:val="000000" w:themeColor="text1"/>
                <w:sz w:val="21"/>
                <w:szCs w:val="21"/>
              </w:rPr>
              <w:t>.</w:t>
            </w:r>
            <w:r w:rsidRPr="00826530">
              <w:rPr>
                <w:rFonts w:ascii="Arial" w:hAnsi="Arial" w:cs="Arial"/>
                <w:b/>
                <w:color w:val="000000" w:themeColor="text1"/>
                <w:sz w:val="21"/>
                <w:szCs w:val="21"/>
              </w:rPr>
              <w:t>80</w:t>
            </w:r>
          </w:p>
        </w:tc>
      </w:tr>
      <w:tr w:rsidR="00851673" w:rsidRPr="00826530" w14:paraId="0CA637DB" w14:textId="77777777" w:rsidTr="00FE3A65">
        <w:trPr>
          <w:trHeight w:val="227"/>
        </w:trPr>
        <w:tc>
          <w:tcPr>
            <w:tcW w:w="3450" w:type="dxa"/>
            <w:gridSpan w:val="5"/>
            <w:tcBorders>
              <w:top w:val="nil"/>
              <w:left w:val="nil"/>
              <w:bottom w:val="nil"/>
              <w:right w:val="nil"/>
            </w:tcBorders>
            <w:vAlign w:val="center"/>
          </w:tcPr>
          <w:p w14:paraId="6D83BDD5" w14:textId="1EDE8812" w:rsidR="00851673" w:rsidRPr="00826530" w:rsidRDefault="00EC061C" w:rsidP="00836582">
            <w:pPr>
              <w:rPr>
                <w:rFonts w:ascii="Arial" w:hAnsi="Arial" w:cs="Arial"/>
                <w:sz w:val="21"/>
                <w:szCs w:val="21"/>
              </w:rPr>
            </w:pPr>
            <w:r w:rsidRPr="00826530">
              <w:rPr>
                <w:rFonts w:ascii="Arial" w:hAnsi="Arial" w:cs="Arial"/>
                <w:sz w:val="21"/>
                <w:szCs w:val="21"/>
              </w:rPr>
              <w:t>CAS with serodifferent/unknown partner</w:t>
            </w:r>
            <w:r w:rsidRPr="00826530">
              <w:rPr>
                <w:rFonts w:ascii="Arial" w:hAnsi="Arial" w:cs="Arial"/>
                <w:sz w:val="21"/>
                <w:szCs w:val="21"/>
                <w:vertAlign w:val="superscript"/>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721695E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60</w:t>
            </w:r>
          </w:p>
        </w:tc>
        <w:tc>
          <w:tcPr>
            <w:tcW w:w="1009" w:type="dxa"/>
            <w:tcBorders>
              <w:top w:val="nil"/>
              <w:left w:val="nil"/>
              <w:bottom w:val="nil"/>
              <w:right w:val="nil"/>
            </w:tcBorders>
            <w:vAlign w:val="center"/>
          </w:tcPr>
          <w:p w14:paraId="6782A78C"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58.8</w:t>
            </w:r>
          </w:p>
        </w:tc>
        <w:tc>
          <w:tcPr>
            <w:tcW w:w="935" w:type="dxa"/>
            <w:tcBorders>
              <w:top w:val="nil"/>
              <w:left w:val="nil"/>
              <w:bottom w:val="nil"/>
              <w:right w:val="nil"/>
            </w:tcBorders>
            <w:vAlign w:val="center"/>
          </w:tcPr>
          <w:p w14:paraId="1A6288D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202</w:t>
            </w:r>
          </w:p>
        </w:tc>
        <w:tc>
          <w:tcPr>
            <w:tcW w:w="936" w:type="dxa"/>
            <w:tcBorders>
              <w:top w:val="nil"/>
              <w:left w:val="nil"/>
              <w:bottom w:val="nil"/>
              <w:right w:val="nil"/>
            </w:tcBorders>
            <w:vAlign w:val="center"/>
          </w:tcPr>
          <w:p w14:paraId="512877EC"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35.9</w:t>
            </w:r>
          </w:p>
        </w:tc>
        <w:tc>
          <w:tcPr>
            <w:tcW w:w="743" w:type="dxa"/>
            <w:tcBorders>
              <w:top w:val="nil"/>
              <w:left w:val="nil"/>
              <w:bottom w:val="nil"/>
              <w:right w:val="nil"/>
            </w:tcBorders>
            <w:vAlign w:val="center"/>
          </w:tcPr>
          <w:p w14:paraId="188D6E15" w14:textId="6D770215" w:rsidR="00851673" w:rsidRPr="00826530" w:rsidRDefault="00851673" w:rsidP="00836582">
            <w:pPr>
              <w:jc w:val="center"/>
              <w:rPr>
                <w:rFonts w:ascii="Arial" w:hAnsi="Arial" w:cs="Arial"/>
                <w:bCs/>
                <w:color w:val="000000" w:themeColor="text1"/>
                <w:sz w:val="21"/>
                <w:szCs w:val="21"/>
              </w:rPr>
            </w:pPr>
            <w:r w:rsidRPr="00826530">
              <w:rPr>
                <w:rFonts w:ascii="Arial" w:hAnsi="Arial" w:cs="Arial"/>
                <w:bCs/>
                <w:color w:val="000000" w:themeColor="text1"/>
                <w:sz w:val="21"/>
                <w:szCs w:val="21"/>
              </w:rPr>
              <w:t>4.</w:t>
            </w:r>
            <w:r w:rsidR="00EC061C" w:rsidRPr="00826530">
              <w:rPr>
                <w:rFonts w:ascii="Arial" w:hAnsi="Arial" w:cs="Arial"/>
                <w:bCs/>
                <w:color w:val="000000" w:themeColor="text1"/>
                <w:sz w:val="21"/>
                <w:szCs w:val="21"/>
              </w:rPr>
              <w:t>72</w:t>
            </w:r>
          </w:p>
        </w:tc>
        <w:tc>
          <w:tcPr>
            <w:tcW w:w="1420" w:type="dxa"/>
            <w:tcBorders>
              <w:top w:val="nil"/>
              <w:left w:val="nil"/>
              <w:bottom w:val="nil"/>
              <w:right w:val="nil"/>
            </w:tcBorders>
            <w:vAlign w:val="center"/>
          </w:tcPr>
          <w:p w14:paraId="04C4CAD6" w14:textId="7B7271FA"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2.</w:t>
            </w:r>
            <w:r w:rsidR="00EC061C" w:rsidRPr="00826530">
              <w:rPr>
                <w:rFonts w:ascii="Arial" w:hAnsi="Arial" w:cs="Arial"/>
                <w:b/>
                <w:color w:val="000000" w:themeColor="text1"/>
                <w:sz w:val="21"/>
                <w:szCs w:val="21"/>
              </w:rPr>
              <w:t>91</w:t>
            </w:r>
            <w:r w:rsidRPr="00826530">
              <w:rPr>
                <w:rFonts w:ascii="Arial" w:hAnsi="Arial" w:cs="Arial"/>
                <w:b/>
                <w:color w:val="000000" w:themeColor="text1"/>
                <w:sz w:val="21"/>
                <w:szCs w:val="21"/>
              </w:rPr>
              <w:t xml:space="preserve">, </w:t>
            </w:r>
            <w:r w:rsidR="00EC061C" w:rsidRPr="00826530">
              <w:rPr>
                <w:rFonts w:ascii="Arial" w:hAnsi="Arial" w:cs="Arial"/>
                <w:b/>
                <w:color w:val="000000" w:themeColor="text1"/>
                <w:sz w:val="21"/>
                <w:szCs w:val="21"/>
              </w:rPr>
              <w:t>7</w:t>
            </w:r>
            <w:r w:rsidRPr="00826530">
              <w:rPr>
                <w:rFonts w:ascii="Arial" w:hAnsi="Arial" w:cs="Arial"/>
                <w:b/>
                <w:color w:val="000000" w:themeColor="text1"/>
                <w:sz w:val="21"/>
                <w:szCs w:val="21"/>
              </w:rPr>
              <w:t>.</w:t>
            </w:r>
            <w:r w:rsidR="00EC061C" w:rsidRPr="00826530">
              <w:rPr>
                <w:rFonts w:ascii="Arial" w:hAnsi="Arial" w:cs="Arial"/>
                <w:b/>
                <w:color w:val="000000" w:themeColor="text1"/>
                <w:sz w:val="21"/>
                <w:szCs w:val="21"/>
              </w:rPr>
              <w:t>65</w:t>
            </w:r>
          </w:p>
        </w:tc>
      </w:tr>
      <w:tr w:rsidR="00851673" w:rsidRPr="00826530" w14:paraId="3D589DD7" w14:textId="77777777" w:rsidTr="00826530">
        <w:trPr>
          <w:trHeight w:val="227"/>
        </w:trPr>
        <w:tc>
          <w:tcPr>
            <w:tcW w:w="1843" w:type="dxa"/>
            <w:gridSpan w:val="2"/>
            <w:tcBorders>
              <w:top w:val="nil"/>
              <w:left w:val="nil"/>
              <w:bottom w:val="nil"/>
              <w:right w:val="nil"/>
            </w:tcBorders>
            <w:vAlign w:val="center"/>
          </w:tcPr>
          <w:p w14:paraId="5FB9844E" w14:textId="77777777" w:rsidR="00851673" w:rsidRPr="00826530" w:rsidRDefault="00851673" w:rsidP="00836582">
            <w:pPr>
              <w:rPr>
                <w:rFonts w:ascii="Arial" w:hAnsi="Arial" w:cs="Arial"/>
                <w:sz w:val="21"/>
                <w:szCs w:val="21"/>
              </w:rPr>
            </w:pPr>
            <w:r w:rsidRPr="00826530">
              <w:rPr>
                <w:rFonts w:ascii="Arial" w:hAnsi="Arial" w:cs="Arial"/>
                <w:sz w:val="21"/>
                <w:szCs w:val="21"/>
              </w:rPr>
              <w:t>Anal sex preference</w:t>
            </w:r>
          </w:p>
        </w:tc>
        <w:tc>
          <w:tcPr>
            <w:tcW w:w="1607" w:type="dxa"/>
            <w:gridSpan w:val="3"/>
            <w:tcBorders>
              <w:top w:val="nil"/>
              <w:left w:val="nil"/>
              <w:bottom w:val="nil"/>
              <w:right w:val="nil"/>
            </w:tcBorders>
            <w:vAlign w:val="center"/>
          </w:tcPr>
          <w:p w14:paraId="6B158391"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Bottom</w:t>
            </w:r>
          </w:p>
        </w:tc>
        <w:tc>
          <w:tcPr>
            <w:tcW w:w="1007" w:type="dxa"/>
            <w:tcBorders>
              <w:top w:val="nil"/>
              <w:left w:val="nil"/>
              <w:bottom w:val="nil"/>
              <w:right w:val="nil"/>
            </w:tcBorders>
            <w:vAlign w:val="center"/>
          </w:tcPr>
          <w:p w14:paraId="33654CB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28</w:t>
            </w:r>
          </w:p>
        </w:tc>
        <w:tc>
          <w:tcPr>
            <w:tcW w:w="1009" w:type="dxa"/>
            <w:tcBorders>
              <w:top w:val="nil"/>
              <w:left w:val="nil"/>
              <w:bottom w:val="nil"/>
              <w:right w:val="nil"/>
            </w:tcBorders>
            <w:vAlign w:val="center"/>
          </w:tcPr>
          <w:p w14:paraId="503C9F7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27.2</w:t>
            </w:r>
          </w:p>
        </w:tc>
        <w:tc>
          <w:tcPr>
            <w:tcW w:w="935" w:type="dxa"/>
            <w:tcBorders>
              <w:top w:val="nil"/>
              <w:left w:val="nil"/>
              <w:bottom w:val="nil"/>
              <w:right w:val="nil"/>
            </w:tcBorders>
            <w:vAlign w:val="center"/>
          </w:tcPr>
          <w:p w14:paraId="40BF28D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202</w:t>
            </w:r>
          </w:p>
        </w:tc>
        <w:tc>
          <w:tcPr>
            <w:tcW w:w="936" w:type="dxa"/>
            <w:tcBorders>
              <w:top w:val="nil"/>
              <w:left w:val="nil"/>
              <w:bottom w:val="nil"/>
              <w:right w:val="nil"/>
            </w:tcBorders>
            <w:vAlign w:val="center"/>
          </w:tcPr>
          <w:p w14:paraId="008DD2C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35.1</w:t>
            </w:r>
          </w:p>
        </w:tc>
        <w:tc>
          <w:tcPr>
            <w:tcW w:w="743" w:type="dxa"/>
            <w:tcBorders>
              <w:top w:val="nil"/>
              <w:left w:val="nil"/>
              <w:bottom w:val="nil"/>
              <w:right w:val="nil"/>
            </w:tcBorders>
            <w:vAlign w:val="center"/>
          </w:tcPr>
          <w:p w14:paraId="5BDC4255" w14:textId="77777777"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Ref</w:t>
            </w:r>
          </w:p>
        </w:tc>
        <w:tc>
          <w:tcPr>
            <w:tcW w:w="1420" w:type="dxa"/>
            <w:tcBorders>
              <w:top w:val="nil"/>
              <w:left w:val="nil"/>
              <w:bottom w:val="nil"/>
              <w:right w:val="nil"/>
            </w:tcBorders>
            <w:vAlign w:val="center"/>
          </w:tcPr>
          <w:p w14:paraId="2BE9A480" w14:textId="77777777" w:rsidR="00851673" w:rsidRPr="00826530" w:rsidRDefault="00851673" w:rsidP="00836582">
            <w:pPr>
              <w:jc w:val="center"/>
              <w:rPr>
                <w:rFonts w:ascii="Arial" w:hAnsi="Arial" w:cs="Arial"/>
                <w:color w:val="000000" w:themeColor="text1"/>
                <w:sz w:val="21"/>
                <w:szCs w:val="21"/>
              </w:rPr>
            </w:pPr>
          </w:p>
        </w:tc>
      </w:tr>
      <w:tr w:rsidR="00851673" w:rsidRPr="00826530" w14:paraId="6B002408" w14:textId="77777777" w:rsidTr="00826530">
        <w:trPr>
          <w:trHeight w:val="227"/>
        </w:trPr>
        <w:tc>
          <w:tcPr>
            <w:tcW w:w="1560" w:type="dxa"/>
            <w:tcBorders>
              <w:top w:val="nil"/>
              <w:left w:val="nil"/>
              <w:bottom w:val="nil"/>
              <w:right w:val="nil"/>
            </w:tcBorders>
            <w:vAlign w:val="center"/>
          </w:tcPr>
          <w:p w14:paraId="0BAC04B2"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613CCDFE"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Versatile</w:t>
            </w:r>
          </w:p>
        </w:tc>
        <w:tc>
          <w:tcPr>
            <w:tcW w:w="1007" w:type="dxa"/>
            <w:tcBorders>
              <w:top w:val="nil"/>
              <w:left w:val="nil"/>
              <w:bottom w:val="nil"/>
              <w:right w:val="nil"/>
            </w:tcBorders>
            <w:vAlign w:val="center"/>
          </w:tcPr>
          <w:p w14:paraId="74B7855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38</w:t>
            </w:r>
          </w:p>
        </w:tc>
        <w:tc>
          <w:tcPr>
            <w:tcW w:w="1009" w:type="dxa"/>
            <w:tcBorders>
              <w:top w:val="nil"/>
              <w:left w:val="nil"/>
              <w:bottom w:val="nil"/>
              <w:right w:val="nil"/>
            </w:tcBorders>
            <w:vAlign w:val="center"/>
          </w:tcPr>
          <w:p w14:paraId="3F83C61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36.9</w:t>
            </w:r>
          </w:p>
        </w:tc>
        <w:tc>
          <w:tcPr>
            <w:tcW w:w="935" w:type="dxa"/>
            <w:tcBorders>
              <w:top w:val="nil"/>
              <w:left w:val="nil"/>
              <w:bottom w:val="nil"/>
              <w:right w:val="nil"/>
            </w:tcBorders>
            <w:vAlign w:val="center"/>
          </w:tcPr>
          <w:p w14:paraId="3D53CFC0"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146</w:t>
            </w:r>
          </w:p>
        </w:tc>
        <w:tc>
          <w:tcPr>
            <w:tcW w:w="936" w:type="dxa"/>
            <w:tcBorders>
              <w:top w:val="nil"/>
              <w:left w:val="nil"/>
              <w:bottom w:val="nil"/>
              <w:right w:val="nil"/>
            </w:tcBorders>
            <w:vAlign w:val="center"/>
          </w:tcPr>
          <w:p w14:paraId="5355DFB3"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25.3</w:t>
            </w:r>
          </w:p>
        </w:tc>
        <w:tc>
          <w:tcPr>
            <w:tcW w:w="743" w:type="dxa"/>
            <w:tcBorders>
              <w:top w:val="nil"/>
              <w:left w:val="nil"/>
              <w:bottom w:val="nil"/>
              <w:right w:val="nil"/>
            </w:tcBorders>
            <w:vAlign w:val="center"/>
          </w:tcPr>
          <w:p w14:paraId="2073C5E6" w14:textId="5576A458"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EC061C" w:rsidRPr="00826530">
              <w:rPr>
                <w:rFonts w:ascii="Arial" w:hAnsi="Arial" w:cs="Arial"/>
                <w:color w:val="000000" w:themeColor="text1"/>
                <w:sz w:val="21"/>
                <w:szCs w:val="21"/>
              </w:rPr>
              <w:t>5</w:t>
            </w:r>
            <w:r w:rsidRPr="00826530">
              <w:rPr>
                <w:rFonts w:ascii="Arial" w:hAnsi="Arial" w:cs="Arial"/>
                <w:color w:val="000000" w:themeColor="text1"/>
                <w:sz w:val="21"/>
                <w:szCs w:val="21"/>
              </w:rPr>
              <w:t>0</w:t>
            </w:r>
          </w:p>
        </w:tc>
        <w:tc>
          <w:tcPr>
            <w:tcW w:w="1420" w:type="dxa"/>
            <w:tcBorders>
              <w:top w:val="nil"/>
              <w:left w:val="nil"/>
              <w:bottom w:val="nil"/>
              <w:right w:val="nil"/>
            </w:tcBorders>
            <w:vAlign w:val="center"/>
          </w:tcPr>
          <w:p w14:paraId="147BC34D" w14:textId="4906F4D4"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EC061C" w:rsidRPr="00826530">
              <w:rPr>
                <w:rFonts w:ascii="Arial" w:hAnsi="Arial" w:cs="Arial"/>
                <w:color w:val="000000" w:themeColor="text1"/>
                <w:sz w:val="21"/>
                <w:szCs w:val="21"/>
              </w:rPr>
              <w:t>86</w:t>
            </w:r>
            <w:r w:rsidRPr="00826530">
              <w:rPr>
                <w:rFonts w:ascii="Arial" w:hAnsi="Arial" w:cs="Arial"/>
                <w:color w:val="000000" w:themeColor="text1"/>
                <w:sz w:val="21"/>
                <w:szCs w:val="21"/>
              </w:rPr>
              <w:t xml:space="preserve">, </w:t>
            </w:r>
            <w:r w:rsidR="00EC061C" w:rsidRPr="00826530">
              <w:rPr>
                <w:rFonts w:ascii="Arial" w:hAnsi="Arial" w:cs="Arial"/>
                <w:color w:val="000000" w:themeColor="text1"/>
                <w:sz w:val="21"/>
                <w:szCs w:val="21"/>
              </w:rPr>
              <w:t>2</w:t>
            </w:r>
            <w:r w:rsidRPr="00826530">
              <w:rPr>
                <w:rFonts w:ascii="Arial" w:hAnsi="Arial" w:cs="Arial"/>
                <w:color w:val="000000" w:themeColor="text1"/>
                <w:sz w:val="21"/>
                <w:szCs w:val="21"/>
              </w:rPr>
              <w:t>.6</w:t>
            </w:r>
            <w:r w:rsidR="00EC061C" w:rsidRPr="00826530">
              <w:rPr>
                <w:rFonts w:ascii="Arial" w:hAnsi="Arial" w:cs="Arial"/>
                <w:color w:val="000000" w:themeColor="text1"/>
                <w:sz w:val="21"/>
                <w:szCs w:val="21"/>
              </w:rPr>
              <w:t>1</w:t>
            </w:r>
          </w:p>
        </w:tc>
      </w:tr>
      <w:tr w:rsidR="00851673" w:rsidRPr="00826530" w14:paraId="722A1BFE" w14:textId="77777777" w:rsidTr="00826530">
        <w:trPr>
          <w:trHeight w:val="227"/>
        </w:trPr>
        <w:tc>
          <w:tcPr>
            <w:tcW w:w="1560" w:type="dxa"/>
            <w:tcBorders>
              <w:top w:val="nil"/>
              <w:left w:val="nil"/>
              <w:bottom w:val="nil"/>
              <w:right w:val="nil"/>
            </w:tcBorders>
            <w:vAlign w:val="center"/>
          </w:tcPr>
          <w:p w14:paraId="7F73368C"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02008B94"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Top</w:t>
            </w:r>
          </w:p>
        </w:tc>
        <w:tc>
          <w:tcPr>
            <w:tcW w:w="1007" w:type="dxa"/>
            <w:tcBorders>
              <w:top w:val="nil"/>
              <w:left w:val="nil"/>
              <w:bottom w:val="nil"/>
              <w:right w:val="nil"/>
            </w:tcBorders>
            <w:vAlign w:val="center"/>
          </w:tcPr>
          <w:p w14:paraId="69F763D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34</w:t>
            </w:r>
          </w:p>
        </w:tc>
        <w:tc>
          <w:tcPr>
            <w:tcW w:w="1009" w:type="dxa"/>
            <w:tcBorders>
              <w:top w:val="nil"/>
              <w:left w:val="nil"/>
              <w:bottom w:val="nil"/>
              <w:right w:val="nil"/>
            </w:tcBorders>
            <w:vAlign w:val="center"/>
          </w:tcPr>
          <w:p w14:paraId="52BDF5FD"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33.0</w:t>
            </w:r>
          </w:p>
        </w:tc>
        <w:tc>
          <w:tcPr>
            <w:tcW w:w="935" w:type="dxa"/>
            <w:tcBorders>
              <w:top w:val="nil"/>
              <w:left w:val="nil"/>
              <w:bottom w:val="nil"/>
              <w:right w:val="nil"/>
            </w:tcBorders>
            <w:vAlign w:val="center"/>
          </w:tcPr>
          <w:p w14:paraId="5C92D54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202</w:t>
            </w:r>
          </w:p>
        </w:tc>
        <w:tc>
          <w:tcPr>
            <w:tcW w:w="936" w:type="dxa"/>
            <w:tcBorders>
              <w:top w:val="nil"/>
              <w:left w:val="nil"/>
              <w:bottom w:val="nil"/>
              <w:right w:val="nil"/>
            </w:tcBorders>
            <w:vAlign w:val="center"/>
          </w:tcPr>
          <w:p w14:paraId="080E0ED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35.1</w:t>
            </w:r>
          </w:p>
        </w:tc>
        <w:tc>
          <w:tcPr>
            <w:tcW w:w="743" w:type="dxa"/>
            <w:tcBorders>
              <w:top w:val="nil"/>
              <w:left w:val="nil"/>
              <w:bottom w:val="nil"/>
              <w:right w:val="nil"/>
            </w:tcBorders>
            <w:vAlign w:val="center"/>
          </w:tcPr>
          <w:p w14:paraId="1E5C3176" w14:textId="20704636"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0.9</w:t>
            </w:r>
            <w:r w:rsidR="00EC061C" w:rsidRPr="00826530">
              <w:rPr>
                <w:rFonts w:ascii="Arial" w:hAnsi="Arial" w:cs="Arial"/>
                <w:color w:val="000000" w:themeColor="text1"/>
                <w:sz w:val="21"/>
                <w:szCs w:val="21"/>
              </w:rPr>
              <w:t>4</w:t>
            </w:r>
          </w:p>
        </w:tc>
        <w:tc>
          <w:tcPr>
            <w:tcW w:w="1420" w:type="dxa"/>
            <w:tcBorders>
              <w:top w:val="nil"/>
              <w:left w:val="nil"/>
              <w:bottom w:val="nil"/>
              <w:right w:val="nil"/>
            </w:tcBorders>
            <w:vAlign w:val="center"/>
          </w:tcPr>
          <w:p w14:paraId="51E25029" w14:textId="4599187A"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EC061C" w:rsidRPr="00826530">
              <w:rPr>
                <w:rFonts w:ascii="Arial" w:hAnsi="Arial" w:cs="Arial"/>
                <w:color w:val="000000" w:themeColor="text1"/>
                <w:sz w:val="21"/>
                <w:szCs w:val="21"/>
              </w:rPr>
              <w:t>48</w:t>
            </w:r>
            <w:r w:rsidRPr="00826530">
              <w:rPr>
                <w:rFonts w:ascii="Arial" w:hAnsi="Arial" w:cs="Arial"/>
                <w:color w:val="000000" w:themeColor="text1"/>
                <w:sz w:val="21"/>
                <w:szCs w:val="21"/>
              </w:rPr>
              <w:t xml:space="preserve">, </w:t>
            </w:r>
            <w:r w:rsidR="00EC061C" w:rsidRPr="00826530">
              <w:rPr>
                <w:rFonts w:ascii="Arial" w:hAnsi="Arial" w:cs="Arial"/>
                <w:color w:val="000000" w:themeColor="text1"/>
                <w:sz w:val="21"/>
                <w:szCs w:val="21"/>
              </w:rPr>
              <w:t>1</w:t>
            </w:r>
            <w:r w:rsidRPr="00826530">
              <w:rPr>
                <w:rFonts w:ascii="Arial" w:hAnsi="Arial" w:cs="Arial"/>
                <w:color w:val="000000" w:themeColor="text1"/>
                <w:sz w:val="21"/>
                <w:szCs w:val="21"/>
              </w:rPr>
              <w:t>.</w:t>
            </w:r>
            <w:r w:rsidR="00EC061C" w:rsidRPr="00826530">
              <w:rPr>
                <w:rFonts w:ascii="Arial" w:hAnsi="Arial" w:cs="Arial"/>
                <w:color w:val="000000" w:themeColor="text1"/>
                <w:sz w:val="21"/>
                <w:szCs w:val="21"/>
              </w:rPr>
              <w:t>82</w:t>
            </w:r>
          </w:p>
        </w:tc>
      </w:tr>
      <w:tr w:rsidR="00851673" w:rsidRPr="00826530" w14:paraId="174FB95C" w14:textId="77777777" w:rsidTr="00826530">
        <w:trPr>
          <w:trHeight w:val="227"/>
        </w:trPr>
        <w:tc>
          <w:tcPr>
            <w:tcW w:w="1560" w:type="dxa"/>
            <w:tcBorders>
              <w:top w:val="nil"/>
              <w:left w:val="nil"/>
              <w:bottom w:val="single" w:sz="4" w:space="0" w:color="auto"/>
              <w:right w:val="nil"/>
            </w:tcBorders>
            <w:vAlign w:val="center"/>
          </w:tcPr>
          <w:p w14:paraId="5480DD14" w14:textId="77777777" w:rsidR="00851673" w:rsidRPr="00826530" w:rsidRDefault="00851673" w:rsidP="00836582">
            <w:pPr>
              <w:rPr>
                <w:rFonts w:ascii="Arial" w:hAnsi="Arial" w:cs="Arial"/>
                <w:sz w:val="21"/>
                <w:szCs w:val="21"/>
              </w:rPr>
            </w:pPr>
          </w:p>
        </w:tc>
        <w:tc>
          <w:tcPr>
            <w:tcW w:w="1890" w:type="dxa"/>
            <w:gridSpan w:val="4"/>
            <w:tcBorders>
              <w:top w:val="nil"/>
              <w:left w:val="nil"/>
              <w:bottom w:val="single" w:sz="4" w:space="0" w:color="auto"/>
              <w:right w:val="nil"/>
            </w:tcBorders>
            <w:vAlign w:val="center"/>
          </w:tcPr>
          <w:p w14:paraId="6EAE2134" w14:textId="77777777" w:rsidR="00851673" w:rsidRPr="00826530" w:rsidRDefault="00851673" w:rsidP="00836582">
            <w:pPr>
              <w:jc w:val="right"/>
              <w:rPr>
                <w:rFonts w:ascii="Arial" w:hAnsi="Arial" w:cs="Arial"/>
                <w:sz w:val="21"/>
                <w:szCs w:val="21"/>
              </w:rPr>
            </w:pPr>
            <w:r w:rsidRPr="00826530">
              <w:rPr>
                <w:rFonts w:ascii="Arial" w:hAnsi="Arial" w:cs="Arial"/>
                <w:sz w:val="21"/>
                <w:szCs w:val="21"/>
              </w:rPr>
              <w:t>No anal</w:t>
            </w:r>
          </w:p>
        </w:tc>
        <w:tc>
          <w:tcPr>
            <w:tcW w:w="1007" w:type="dxa"/>
            <w:tcBorders>
              <w:top w:val="nil"/>
              <w:left w:val="nil"/>
              <w:bottom w:val="single" w:sz="4" w:space="0" w:color="auto"/>
              <w:right w:val="nil"/>
            </w:tcBorders>
            <w:vAlign w:val="center"/>
          </w:tcPr>
          <w:p w14:paraId="293CB90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w:t>
            </w:r>
          </w:p>
        </w:tc>
        <w:tc>
          <w:tcPr>
            <w:tcW w:w="1009" w:type="dxa"/>
            <w:tcBorders>
              <w:top w:val="nil"/>
              <w:left w:val="nil"/>
              <w:bottom w:val="single" w:sz="4" w:space="0" w:color="auto"/>
              <w:right w:val="nil"/>
            </w:tcBorders>
            <w:vAlign w:val="center"/>
          </w:tcPr>
          <w:p w14:paraId="19934C8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2.9</w:t>
            </w:r>
          </w:p>
        </w:tc>
        <w:tc>
          <w:tcPr>
            <w:tcW w:w="935" w:type="dxa"/>
            <w:tcBorders>
              <w:top w:val="nil"/>
              <w:left w:val="nil"/>
              <w:bottom w:val="single" w:sz="4" w:space="0" w:color="auto"/>
              <w:right w:val="nil"/>
            </w:tcBorders>
            <w:vAlign w:val="center"/>
          </w:tcPr>
          <w:p w14:paraId="42EBFB70"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26</w:t>
            </w:r>
          </w:p>
        </w:tc>
        <w:tc>
          <w:tcPr>
            <w:tcW w:w="936" w:type="dxa"/>
            <w:tcBorders>
              <w:top w:val="nil"/>
              <w:left w:val="nil"/>
              <w:bottom w:val="single" w:sz="4" w:space="0" w:color="auto"/>
              <w:right w:val="nil"/>
            </w:tcBorders>
            <w:vAlign w:val="center"/>
          </w:tcPr>
          <w:p w14:paraId="7219BF1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4.5</w:t>
            </w:r>
          </w:p>
        </w:tc>
        <w:tc>
          <w:tcPr>
            <w:tcW w:w="743" w:type="dxa"/>
            <w:tcBorders>
              <w:top w:val="nil"/>
              <w:left w:val="nil"/>
              <w:bottom w:val="single" w:sz="4" w:space="0" w:color="auto"/>
              <w:right w:val="nil"/>
            </w:tcBorders>
            <w:vAlign w:val="center"/>
          </w:tcPr>
          <w:p w14:paraId="60C4D987" w14:textId="11D9EC7D"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0.2</w:t>
            </w:r>
            <w:r w:rsidR="00EC061C" w:rsidRPr="00826530">
              <w:rPr>
                <w:rFonts w:ascii="Arial" w:hAnsi="Arial" w:cs="Arial"/>
                <w:color w:val="000000" w:themeColor="text1"/>
                <w:sz w:val="21"/>
                <w:szCs w:val="21"/>
              </w:rPr>
              <w:t>9</w:t>
            </w:r>
          </w:p>
        </w:tc>
        <w:tc>
          <w:tcPr>
            <w:tcW w:w="1420" w:type="dxa"/>
            <w:tcBorders>
              <w:top w:val="nil"/>
              <w:left w:val="nil"/>
              <w:bottom w:val="single" w:sz="4" w:space="0" w:color="auto"/>
              <w:right w:val="nil"/>
            </w:tcBorders>
            <w:vAlign w:val="center"/>
          </w:tcPr>
          <w:p w14:paraId="7AD9F9C3" w14:textId="6739A946" w:rsidR="00851673" w:rsidRPr="00826530" w:rsidRDefault="00851673" w:rsidP="00836582">
            <w:pPr>
              <w:jc w:val="center"/>
              <w:rPr>
                <w:rFonts w:ascii="Arial" w:hAnsi="Arial" w:cs="Arial"/>
                <w:b/>
                <w:bCs/>
                <w:color w:val="000000" w:themeColor="text1"/>
                <w:sz w:val="21"/>
                <w:szCs w:val="21"/>
              </w:rPr>
            </w:pPr>
            <w:r w:rsidRPr="00826530">
              <w:rPr>
                <w:rFonts w:ascii="Arial" w:hAnsi="Arial" w:cs="Arial"/>
                <w:b/>
                <w:bCs/>
                <w:color w:val="000000" w:themeColor="text1"/>
                <w:sz w:val="21"/>
                <w:szCs w:val="21"/>
              </w:rPr>
              <w:t>0.</w:t>
            </w:r>
            <w:r w:rsidR="00EC061C" w:rsidRPr="00826530">
              <w:rPr>
                <w:rFonts w:ascii="Arial" w:hAnsi="Arial" w:cs="Arial"/>
                <w:b/>
                <w:bCs/>
                <w:color w:val="000000" w:themeColor="text1"/>
                <w:sz w:val="21"/>
                <w:szCs w:val="21"/>
              </w:rPr>
              <w:t>10</w:t>
            </w:r>
            <w:r w:rsidRPr="00826530">
              <w:rPr>
                <w:rFonts w:ascii="Arial" w:hAnsi="Arial" w:cs="Arial"/>
                <w:b/>
                <w:bCs/>
                <w:color w:val="000000" w:themeColor="text1"/>
                <w:sz w:val="21"/>
                <w:szCs w:val="21"/>
              </w:rPr>
              <w:t>,</w:t>
            </w:r>
            <w:r w:rsidR="00EC061C" w:rsidRPr="00826530">
              <w:rPr>
                <w:rFonts w:ascii="Arial" w:hAnsi="Arial" w:cs="Arial"/>
                <w:b/>
                <w:bCs/>
                <w:color w:val="000000" w:themeColor="text1"/>
                <w:sz w:val="21"/>
                <w:szCs w:val="21"/>
              </w:rPr>
              <w:t xml:space="preserve"> 0.83</w:t>
            </w:r>
          </w:p>
        </w:tc>
      </w:tr>
      <w:tr w:rsidR="00851673" w:rsidRPr="00826530" w14:paraId="0C04D08E" w14:textId="77777777" w:rsidTr="00FE3A65">
        <w:trPr>
          <w:trHeight w:val="227"/>
        </w:trPr>
        <w:tc>
          <w:tcPr>
            <w:tcW w:w="3450" w:type="dxa"/>
            <w:gridSpan w:val="5"/>
            <w:tcBorders>
              <w:left w:val="nil"/>
              <w:bottom w:val="single" w:sz="4" w:space="0" w:color="auto"/>
              <w:right w:val="nil"/>
            </w:tcBorders>
            <w:vAlign w:val="center"/>
          </w:tcPr>
          <w:p w14:paraId="6886BA4A" w14:textId="77777777" w:rsidR="00851673" w:rsidRPr="00826530" w:rsidRDefault="00851673" w:rsidP="00836582">
            <w:pPr>
              <w:rPr>
                <w:rFonts w:ascii="Arial" w:hAnsi="Arial" w:cs="Arial"/>
                <w:b/>
                <w:sz w:val="21"/>
                <w:szCs w:val="21"/>
              </w:rPr>
            </w:pPr>
            <w:r w:rsidRPr="00826530">
              <w:rPr>
                <w:rFonts w:ascii="Arial" w:hAnsi="Arial" w:cs="Arial"/>
                <w:b/>
                <w:sz w:val="21"/>
                <w:szCs w:val="21"/>
              </w:rPr>
              <w:t>HIV prevention strategies (p6m)</w:t>
            </w:r>
          </w:p>
        </w:tc>
        <w:tc>
          <w:tcPr>
            <w:tcW w:w="1007" w:type="dxa"/>
            <w:tcBorders>
              <w:left w:val="nil"/>
              <w:bottom w:val="single" w:sz="4" w:space="0" w:color="auto"/>
              <w:right w:val="nil"/>
            </w:tcBorders>
            <w:vAlign w:val="center"/>
          </w:tcPr>
          <w:p w14:paraId="13A587BF" w14:textId="77777777" w:rsidR="00851673" w:rsidRPr="00826530" w:rsidRDefault="00851673" w:rsidP="00836582">
            <w:pPr>
              <w:jc w:val="center"/>
              <w:rPr>
                <w:rFonts w:ascii="Arial" w:hAnsi="Arial" w:cs="Arial"/>
                <w:sz w:val="21"/>
                <w:szCs w:val="21"/>
              </w:rPr>
            </w:pPr>
          </w:p>
        </w:tc>
        <w:tc>
          <w:tcPr>
            <w:tcW w:w="1009" w:type="dxa"/>
            <w:tcBorders>
              <w:left w:val="nil"/>
              <w:bottom w:val="single" w:sz="4" w:space="0" w:color="auto"/>
              <w:right w:val="nil"/>
            </w:tcBorders>
            <w:vAlign w:val="center"/>
          </w:tcPr>
          <w:p w14:paraId="50555C37" w14:textId="77777777" w:rsidR="00851673" w:rsidRPr="00826530" w:rsidRDefault="00851673" w:rsidP="00836582">
            <w:pPr>
              <w:jc w:val="center"/>
              <w:rPr>
                <w:rFonts w:ascii="Arial" w:hAnsi="Arial" w:cs="Arial"/>
                <w:sz w:val="21"/>
                <w:szCs w:val="21"/>
              </w:rPr>
            </w:pPr>
          </w:p>
        </w:tc>
        <w:tc>
          <w:tcPr>
            <w:tcW w:w="935" w:type="dxa"/>
            <w:tcBorders>
              <w:left w:val="nil"/>
              <w:bottom w:val="single" w:sz="4" w:space="0" w:color="auto"/>
              <w:right w:val="nil"/>
            </w:tcBorders>
            <w:vAlign w:val="center"/>
          </w:tcPr>
          <w:p w14:paraId="75BF7BCD" w14:textId="77777777" w:rsidR="00851673" w:rsidRPr="00826530" w:rsidRDefault="00851673" w:rsidP="00836582">
            <w:pPr>
              <w:jc w:val="center"/>
              <w:rPr>
                <w:rFonts w:ascii="Arial" w:hAnsi="Arial" w:cs="Arial"/>
                <w:sz w:val="21"/>
                <w:szCs w:val="21"/>
              </w:rPr>
            </w:pPr>
          </w:p>
        </w:tc>
        <w:tc>
          <w:tcPr>
            <w:tcW w:w="936" w:type="dxa"/>
            <w:tcBorders>
              <w:left w:val="nil"/>
              <w:bottom w:val="single" w:sz="4" w:space="0" w:color="auto"/>
              <w:right w:val="nil"/>
            </w:tcBorders>
            <w:vAlign w:val="center"/>
          </w:tcPr>
          <w:p w14:paraId="4DFD4ECC" w14:textId="77777777" w:rsidR="00851673" w:rsidRPr="00826530" w:rsidRDefault="00851673" w:rsidP="00836582">
            <w:pPr>
              <w:jc w:val="center"/>
              <w:rPr>
                <w:rFonts w:ascii="Arial" w:hAnsi="Arial" w:cs="Arial"/>
                <w:sz w:val="21"/>
                <w:szCs w:val="21"/>
              </w:rPr>
            </w:pPr>
          </w:p>
        </w:tc>
        <w:tc>
          <w:tcPr>
            <w:tcW w:w="743" w:type="dxa"/>
            <w:tcBorders>
              <w:left w:val="nil"/>
              <w:bottom w:val="single" w:sz="4" w:space="0" w:color="auto"/>
              <w:right w:val="nil"/>
            </w:tcBorders>
            <w:vAlign w:val="center"/>
          </w:tcPr>
          <w:p w14:paraId="09C4D489" w14:textId="77777777" w:rsidR="00851673" w:rsidRPr="00826530" w:rsidRDefault="00851673" w:rsidP="00836582">
            <w:pPr>
              <w:jc w:val="center"/>
              <w:rPr>
                <w:rFonts w:ascii="Arial" w:hAnsi="Arial" w:cs="Arial"/>
                <w:color w:val="FF0000"/>
                <w:sz w:val="21"/>
                <w:szCs w:val="21"/>
              </w:rPr>
            </w:pPr>
          </w:p>
        </w:tc>
        <w:tc>
          <w:tcPr>
            <w:tcW w:w="1420" w:type="dxa"/>
            <w:tcBorders>
              <w:left w:val="nil"/>
              <w:bottom w:val="single" w:sz="4" w:space="0" w:color="auto"/>
              <w:right w:val="nil"/>
            </w:tcBorders>
            <w:vAlign w:val="center"/>
          </w:tcPr>
          <w:p w14:paraId="5F1A38E0" w14:textId="77777777" w:rsidR="00851673" w:rsidRPr="00826530" w:rsidRDefault="00851673" w:rsidP="00836582">
            <w:pPr>
              <w:jc w:val="center"/>
              <w:rPr>
                <w:rFonts w:ascii="Arial" w:hAnsi="Arial" w:cs="Arial"/>
                <w:color w:val="FF0000"/>
                <w:sz w:val="21"/>
                <w:szCs w:val="21"/>
              </w:rPr>
            </w:pPr>
          </w:p>
        </w:tc>
      </w:tr>
      <w:tr w:rsidR="00851673" w:rsidRPr="00826530" w14:paraId="797999E5" w14:textId="77777777" w:rsidTr="00FE3A65">
        <w:trPr>
          <w:trHeight w:val="227"/>
        </w:trPr>
        <w:tc>
          <w:tcPr>
            <w:tcW w:w="3450" w:type="dxa"/>
            <w:gridSpan w:val="5"/>
            <w:tcBorders>
              <w:left w:val="nil"/>
              <w:bottom w:val="nil"/>
              <w:right w:val="nil"/>
            </w:tcBorders>
            <w:vAlign w:val="center"/>
          </w:tcPr>
          <w:p w14:paraId="2FC18FA2" w14:textId="4876CB70" w:rsidR="00851673" w:rsidRPr="00826530" w:rsidRDefault="00851673" w:rsidP="00836582">
            <w:pPr>
              <w:rPr>
                <w:rFonts w:ascii="Arial" w:hAnsi="Arial" w:cs="Arial"/>
                <w:sz w:val="21"/>
                <w:szCs w:val="21"/>
              </w:rPr>
            </w:pPr>
            <w:r w:rsidRPr="00826530">
              <w:rPr>
                <w:rFonts w:ascii="Arial" w:hAnsi="Arial" w:cs="Arial"/>
                <w:sz w:val="21"/>
                <w:szCs w:val="21"/>
              </w:rPr>
              <w:lastRenderedPageBreak/>
              <w:t>Always using condoms</w:t>
            </w:r>
            <w:r w:rsidR="00364726"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left w:val="nil"/>
              <w:bottom w:val="nil"/>
              <w:right w:val="nil"/>
            </w:tcBorders>
            <w:vAlign w:val="center"/>
          </w:tcPr>
          <w:p w14:paraId="2FB00E9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44</w:t>
            </w:r>
          </w:p>
        </w:tc>
        <w:tc>
          <w:tcPr>
            <w:tcW w:w="1009" w:type="dxa"/>
            <w:tcBorders>
              <w:left w:val="nil"/>
              <w:bottom w:val="nil"/>
              <w:right w:val="nil"/>
            </w:tcBorders>
            <w:vAlign w:val="center"/>
          </w:tcPr>
          <w:p w14:paraId="102CC7C5"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42.7</w:t>
            </w:r>
          </w:p>
        </w:tc>
        <w:tc>
          <w:tcPr>
            <w:tcW w:w="935" w:type="dxa"/>
            <w:tcBorders>
              <w:left w:val="nil"/>
              <w:bottom w:val="nil"/>
              <w:right w:val="nil"/>
            </w:tcBorders>
            <w:vAlign w:val="center"/>
          </w:tcPr>
          <w:p w14:paraId="20F88F4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324</w:t>
            </w:r>
          </w:p>
        </w:tc>
        <w:tc>
          <w:tcPr>
            <w:tcW w:w="936" w:type="dxa"/>
            <w:tcBorders>
              <w:left w:val="nil"/>
              <w:bottom w:val="nil"/>
              <w:right w:val="nil"/>
            </w:tcBorders>
            <w:vAlign w:val="center"/>
          </w:tcPr>
          <w:p w14:paraId="7A9D984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56.5</w:t>
            </w:r>
          </w:p>
        </w:tc>
        <w:tc>
          <w:tcPr>
            <w:tcW w:w="743" w:type="dxa"/>
            <w:tcBorders>
              <w:left w:val="nil"/>
              <w:bottom w:val="nil"/>
              <w:right w:val="nil"/>
            </w:tcBorders>
            <w:vAlign w:val="center"/>
          </w:tcPr>
          <w:p w14:paraId="0AE7641D" w14:textId="22ED63B2"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EC061C" w:rsidRPr="00826530">
              <w:rPr>
                <w:rFonts w:ascii="Arial" w:hAnsi="Arial" w:cs="Arial"/>
                <w:color w:val="000000" w:themeColor="text1"/>
                <w:sz w:val="21"/>
                <w:szCs w:val="21"/>
              </w:rPr>
              <w:t>80</w:t>
            </w:r>
          </w:p>
        </w:tc>
        <w:tc>
          <w:tcPr>
            <w:tcW w:w="1420" w:type="dxa"/>
            <w:tcBorders>
              <w:left w:val="nil"/>
              <w:bottom w:val="nil"/>
              <w:right w:val="nil"/>
            </w:tcBorders>
            <w:vAlign w:val="center"/>
          </w:tcPr>
          <w:p w14:paraId="69F8664D" w14:textId="4FCEF6C1"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EC061C" w:rsidRPr="00826530">
              <w:rPr>
                <w:rFonts w:ascii="Arial" w:hAnsi="Arial" w:cs="Arial"/>
                <w:color w:val="000000" w:themeColor="text1"/>
                <w:sz w:val="21"/>
                <w:szCs w:val="21"/>
              </w:rPr>
              <w:t>51</w:t>
            </w:r>
            <w:r w:rsidRPr="00826530">
              <w:rPr>
                <w:rFonts w:ascii="Arial" w:hAnsi="Arial" w:cs="Arial"/>
                <w:color w:val="000000" w:themeColor="text1"/>
                <w:sz w:val="21"/>
                <w:szCs w:val="21"/>
              </w:rPr>
              <w:t>, 1.</w:t>
            </w:r>
            <w:r w:rsidR="00EC061C" w:rsidRPr="00826530">
              <w:rPr>
                <w:rFonts w:ascii="Arial" w:hAnsi="Arial" w:cs="Arial"/>
                <w:color w:val="000000" w:themeColor="text1"/>
                <w:sz w:val="21"/>
                <w:szCs w:val="21"/>
              </w:rPr>
              <w:t>24</w:t>
            </w:r>
          </w:p>
        </w:tc>
      </w:tr>
      <w:tr w:rsidR="00851673" w:rsidRPr="00826530" w14:paraId="71FEB619" w14:textId="77777777" w:rsidTr="00FE3A65">
        <w:trPr>
          <w:trHeight w:val="227"/>
        </w:trPr>
        <w:tc>
          <w:tcPr>
            <w:tcW w:w="3450" w:type="dxa"/>
            <w:gridSpan w:val="5"/>
            <w:tcBorders>
              <w:top w:val="nil"/>
              <w:left w:val="nil"/>
              <w:bottom w:val="nil"/>
              <w:right w:val="nil"/>
            </w:tcBorders>
            <w:vAlign w:val="center"/>
          </w:tcPr>
          <w:p w14:paraId="4911E50B" w14:textId="6AF2743F" w:rsidR="00851673" w:rsidRPr="00826530" w:rsidRDefault="00851673" w:rsidP="00836582">
            <w:pPr>
              <w:rPr>
                <w:rFonts w:ascii="Arial" w:hAnsi="Arial" w:cs="Arial"/>
                <w:sz w:val="21"/>
                <w:szCs w:val="21"/>
              </w:rPr>
            </w:pPr>
            <w:proofErr w:type="spellStart"/>
            <w:r w:rsidRPr="00826530">
              <w:rPr>
                <w:rFonts w:ascii="Arial" w:hAnsi="Arial" w:cs="Arial"/>
                <w:sz w:val="21"/>
                <w:szCs w:val="21"/>
              </w:rPr>
              <w:t>Sero</w:t>
            </w:r>
            <w:proofErr w:type="spellEnd"/>
            <w:r w:rsidRPr="00826530">
              <w:rPr>
                <w:rFonts w:ascii="Arial" w:hAnsi="Arial" w:cs="Arial"/>
                <w:sz w:val="21"/>
                <w:szCs w:val="21"/>
              </w:rPr>
              <w:t>-positioning</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4E8CC4C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34</w:t>
            </w:r>
          </w:p>
        </w:tc>
        <w:tc>
          <w:tcPr>
            <w:tcW w:w="1009" w:type="dxa"/>
            <w:tcBorders>
              <w:top w:val="nil"/>
              <w:left w:val="nil"/>
              <w:bottom w:val="nil"/>
              <w:right w:val="nil"/>
            </w:tcBorders>
            <w:vAlign w:val="center"/>
          </w:tcPr>
          <w:p w14:paraId="0965710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33.0</w:t>
            </w:r>
          </w:p>
        </w:tc>
        <w:tc>
          <w:tcPr>
            <w:tcW w:w="935" w:type="dxa"/>
            <w:tcBorders>
              <w:top w:val="nil"/>
              <w:left w:val="nil"/>
              <w:bottom w:val="nil"/>
              <w:right w:val="nil"/>
            </w:tcBorders>
            <w:vAlign w:val="center"/>
          </w:tcPr>
          <w:p w14:paraId="13AD69D1"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163</w:t>
            </w:r>
          </w:p>
        </w:tc>
        <w:tc>
          <w:tcPr>
            <w:tcW w:w="936" w:type="dxa"/>
            <w:tcBorders>
              <w:top w:val="nil"/>
              <w:left w:val="nil"/>
              <w:bottom w:val="nil"/>
              <w:right w:val="nil"/>
            </w:tcBorders>
            <w:vAlign w:val="center"/>
          </w:tcPr>
          <w:p w14:paraId="7EC135B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28.4</w:t>
            </w:r>
          </w:p>
        </w:tc>
        <w:tc>
          <w:tcPr>
            <w:tcW w:w="743" w:type="dxa"/>
            <w:tcBorders>
              <w:top w:val="nil"/>
              <w:left w:val="nil"/>
              <w:bottom w:val="nil"/>
              <w:right w:val="nil"/>
            </w:tcBorders>
            <w:vAlign w:val="center"/>
          </w:tcPr>
          <w:p w14:paraId="55368F90" w14:textId="05F9BE94" w:rsidR="00851673" w:rsidRPr="00826530" w:rsidRDefault="00EC061C"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851673" w:rsidRPr="00826530">
              <w:rPr>
                <w:rFonts w:ascii="Arial" w:hAnsi="Arial" w:cs="Arial"/>
                <w:color w:val="000000" w:themeColor="text1"/>
                <w:sz w:val="21"/>
                <w:szCs w:val="21"/>
              </w:rPr>
              <w:t>.</w:t>
            </w:r>
            <w:r w:rsidRPr="00826530">
              <w:rPr>
                <w:rFonts w:ascii="Arial" w:hAnsi="Arial" w:cs="Arial"/>
                <w:color w:val="000000" w:themeColor="text1"/>
                <w:sz w:val="21"/>
                <w:szCs w:val="21"/>
              </w:rPr>
              <w:t>62</w:t>
            </w:r>
          </w:p>
        </w:tc>
        <w:tc>
          <w:tcPr>
            <w:tcW w:w="1420" w:type="dxa"/>
            <w:tcBorders>
              <w:top w:val="nil"/>
              <w:left w:val="nil"/>
              <w:bottom w:val="nil"/>
              <w:right w:val="nil"/>
            </w:tcBorders>
            <w:vAlign w:val="center"/>
          </w:tcPr>
          <w:p w14:paraId="292E5850" w14:textId="7E850C25"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1.0</w:t>
            </w:r>
            <w:r w:rsidR="00EC061C" w:rsidRPr="00826530">
              <w:rPr>
                <w:rFonts w:ascii="Arial" w:hAnsi="Arial" w:cs="Arial"/>
                <w:b/>
                <w:color w:val="000000" w:themeColor="text1"/>
                <w:sz w:val="21"/>
                <w:szCs w:val="21"/>
              </w:rPr>
              <w:t>6</w:t>
            </w:r>
            <w:r w:rsidRPr="00826530">
              <w:rPr>
                <w:rFonts w:ascii="Arial" w:hAnsi="Arial" w:cs="Arial"/>
                <w:b/>
                <w:color w:val="000000" w:themeColor="text1"/>
                <w:sz w:val="21"/>
                <w:szCs w:val="21"/>
              </w:rPr>
              <w:t xml:space="preserve">, </w:t>
            </w:r>
            <w:r w:rsidR="00EC061C" w:rsidRPr="00826530">
              <w:rPr>
                <w:rFonts w:ascii="Arial" w:hAnsi="Arial" w:cs="Arial"/>
                <w:b/>
                <w:color w:val="000000" w:themeColor="text1"/>
                <w:sz w:val="21"/>
                <w:szCs w:val="21"/>
              </w:rPr>
              <w:t>2</w:t>
            </w:r>
            <w:r w:rsidRPr="00826530">
              <w:rPr>
                <w:rFonts w:ascii="Arial" w:hAnsi="Arial" w:cs="Arial"/>
                <w:b/>
                <w:color w:val="000000" w:themeColor="text1"/>
                <w:sz w:val="21"/>
                <w:szCs w:val="21"/>
              </w:rPr>
              <w:t>.</w:t>
            </w:r>
            <w:r w:rsidR="00EC061C" w:rsidRPr="00826530">
              <w:rPr>
                <w:rFonts w:ascii="Arial" w:hAnsi="Arial" w:cs="Arial"/>
                <w:b/>
                <w:color w:val="000000" w:themeColor="text1"/>
                <w:sz w:val="21"/>
                <w:szCs w:val="21"/>
              </w:rPr>
              <w:t>4</w:t>
            </w:r>
            <w:r w:rsidRPr="00826530">
              <w:rPr>
                <w:rFonts w:ascii="Arial" w:hAnsi="Arial" w:cs="Arial"/>
                <w:b/>
                <w:color w:val="000000" w:themeColor="text1"/>
                <w:sz w:val="21"/>
                <w:szCs w:val="21"/>
              </w:rPr>
              <w:t>8</w:t>
            </w:r>
          </w:p>
        </w:tc>
      </w:tr>
      <w:tr w:rsidR="00851673" w:rsidRPr="00826530" w14:paraId="00246CC7" w14:textId="77777777" w:rsidTr="00FE3A65">
        <w:trPr>
          <w:trHeight w:val="227"/>
        </w:trPr>
        <w:tc>
          <w:tcPr>
            <w:tcW w:w="3450" w:type="dxa"/>
            <w:gridSpan w:val="5"/>
            <w:tcBorders>
              <w:top w:val="nil"/>
              <w:left w:val="nil"/>
              <w:bottom w:val="nil"/>
              <w:right w:val="nil"/>
            </w:tcBorders>
            <w:vAlign w:val="center"/>
          </w:tcPr>
          <w:p w14:paraId="539CD065" w14:textId="46249CF9" w:rsidR="00851673" w:rsidRPr="00826530" w:rsidRDefault="00851673" w:rsidP="00836582">
            <w:pPr>
              <w:rPr>
                <w:rFonts w:ascii="Arial" w:hAnsi="Arial" w:cs="Arial"/>
                <w:sz w:val="21"/>
                <w:szCs w:val="21"/>
              </w:rPr>
            </w:pPr>
            <w:r w:rsidRPr="00826530">
              <w:rPr>
                <w:rFonts w:ascii="Arial" w:hAnsi="Arial" w:cs="Arial"/>
                <w:sz w:val="21"/>
                <w:szCs w:val="21"/>
              </w:rPr>
              <w:t>No anal sex</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41F3A183"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42</w:t>
            </w:r>
          </w:p>
        </w:tc>
        <w:tc>
          <w:tcPr>
            <w:tcW w:w="1009" w:type="dxa"/>
            <w:tcBorders>
              <w:top w:val="nil"/>
              <w:left w:val="nil"/>
              <w:bottom w:val="nil"/>
              <w:right w:val="nil"/>
            </w:tcBorders>
            <w:vAlign w:val="center"/>
          </w:tcPr>
          <w:p w14:paraId="3A87EADE"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40.8</w:t>
            </w:r>
          </w:p>
        </w:tc>
        <w:tc>
          <w:tcPr>
            <w:tcW w:w="935" w:type="dxa"/>
            <w:tcBorders>
              <w:top w:val="nil"/>
              <w:left w:val="nil"/>
              <w:bottom w:val="nil"/>
              <w:right w:val="nil"/>
            </w:tcBorders>
            <w:vAlign w:val="center"/>
          </w:tcPr>
          <w:p w14:paraId="0B4A1D0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275</w:t>
            </w:r>
          </w:p>
        </w:tc>
        <w:tc>
          <w:tcPr>
            <w:tcW w:w="936" w:type="dxa"/>
            <w:tcBorders>
              <w:top w:val="nil"/>
              <w:left w:val="nil"/>
              <w:bottom w:val="nil"/>
              <w:right w:val="nil"/>
            </w:tcBorders>
            <w:vAlign w:val="center"/>
          </w:tcPr>
          <w:p w14:paraId="3548F30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48.0</w:t>
            </w:r>
          </w:p>
        </w:tc>
        <w:tc>
          <w:tcPr>
            <w:tcW w:w="743" w:type="dxa"/>
            <w:tcBorders>
              <w:top w:val="nil"/>
              <w:left w:val="nil"/>
              <w:bottom w:val="nil"/>
              <w:right w:val="nil"/>
            </w:tcBorders>
            <w:vAlign w:val="center"/>
          </w:tcPr>
          <w:p w14:paraId="4AA0510C" w14:textId="03F5518D"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w:t>
            </w:r>
            <w:r w:rsidR="00EC061C" w:rsidRPr="00826530">
              <w:rPr>
                <w:rFonts w:ascii="Arial" w:hAnsi="Arial" w:cs="Arial"/>
                <w:color w:val="000000" w:themeColor="text1"/>
                <w:sz w:val="21"/>
                <w:szCs w:val="21"/>
              </w:rPr>
              <w:t>11</w:t>
            </w:r>
          </w:p>
        </w:tc>
        <w:tc>
          <w:tcPr>
            <w:tcW w:w="1420" w:type="dxa"/>
            <w:tcBorders>
              <w:top w:val="nil"/>
              <w:left w:val="nil"/>
              <w:bottom w:val="nil"/>
              <w:right w:val="nil"/>
            </w:tcBorders>
            <w:vAlign w:val="center"/>
          </w:tcPr>
          <w:p w14:paraId="03521CB8" w14:textId="17A42C12"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 xml:space="preserve">0.76, </w:t>
            </w:r>
            <w:r w:rsidR="00EC061C" w:rsidRPr="00826530">
              <w:rPr>
                <w:rFonts w:ascii="Arial" w:hAnsi="Arial" w:cs="Arial"/>
                <w:color w:val="000000" w:themeColor="text1"/>
                <w:sz w:val="21"/>
                <w:szCs w:val="21"/>
              </w:rPr>
              <w:t>1</w:t>
            </w:r>
            <w:r w:rsidRPr="00826530">
              <w:rPr>
                <w:rFonts w:ascii="Arial" w:hAnsi="Arial" w:cs="Arial"/>
                <w:color w:val="000000" w:themeColor="text1"/>
                <w:sz w:val="21"/>
                <w:szCs w:val="21"/>
              </w:rPr>
              <w:t>.</w:t>
            </w:r>
            <w:r w:rsidR="00EC061C" w:rsidRPr="00826530">
              <w:rPr>
                <w:rFonts w:ascii="Arial" w:hAnsi="Arial" w:cs="Arial"/>
                <w:color w:val="000000" w:themeColor="text1"/>
                <w:sz w:val="21"/>
                <w:szCs w:val="21"/>
              </w:rPr>
              <w:t>61</w:t>
            </w:r>
          </w:p>
        </w:tc>
      </w:tr>
      <w:tr w:rsidR="00851673" w:rsidRPr="00826530" w14:paraId="590DA5C8" w14:textId="77777777" w:rsidTr="00FE3A65">
        <w:trPr>
          <w:trHeight w:val="227"/>
        </w:trPr>
        <w:tc>
          <w:tcPr>
            <w:tcW w:w="3450" w:type="dxa"/>
            <w:gridSpan w:val="5"/>
            <w:tcBorders>
              <w:top w:val="nil"/>
              <w:left w:val="nil"/>
              <w:bottom w:val="nil"/>
              <w:right w:val="nil"/>
            </w:tcBorders>
            <w:vAlign w:val="center"/>
          </w:tcPr>
          <w:p w14:paraId="106DCF09" w14:textId="6A0B0F37" w:rsidR="00851673" w:rsidRPr="00826530" w:rsidRDefault="00851673" w:rsidP="00836582">
            <w:pPr>
              <w:rPr>
                <w:rFonts w:ascii="Arial" w:hAnsi="Arial" w:cs="Arial"/>
                <w:sz w:val="21"/>
                <w:szCs w:val="21"/>
              </w:rPr>
            </w:pPr>
            <w:proofErr w:type="spellStart"/>
            <w:r w:rsidRPr="00826530">
              <w:rPr>
                <w:rFonts w:ascii="Arial" w:hAnsi="Arial" w:cs="Arial"/>
                <w:sz w:val="21"/>
                <w:szCs w:val="21"/>
              </w:rPr>
              <w:t>Sero</w:t>
            </w:r>
            <w:proofErr w:type="spellEnd"/>
            <w:r w:rsidRPr="00826530">
              <w:rPr>
                <w:rFonts w:ascii="Arial" w:hAnsi="Arial" w:cs="Arial"/>
                <w:sz w:val="21"/>
                <w:szCs w:val="21"/>
              </w:rPr>
              <w:t>-sorting</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5FAC545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46</w:t>
            </w:r>
          </w:p>
        </w:tc>
        <w:tc>
          <w:tcPr>
            <w:tcW w:w="1009" w:type="dxa"/>
            <w:tcBorders>
              <w:top w:val="nil"/>
              <w:left w:val="nil"/>
              <w:bottom w:val="nil"/>
              <w:right w:val="nil"/>
            </w:tcBorders>
            <w:vAlign w:val="center"/>
          </w:tcPr>
          <w:p w14:paraId="712C99DE"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44.7</w:t>
            </w:r>
          </w:p>
        </w:tc>
        <w:tc>
          <w:tcPr>
            <w:tcW w:w="935" w:type="dxa"/>
            <w:tcBorders>
              <w:top w:val="nil"/>
              <w:left w:val="nil"/>
              <w:bottom w:val="nil"/>
              <w:right w:val="nil"/>
            </w:tcBorders>
            <w:vAlign w:val="center"/>
          </w:tcPr>
          <w:p w14:paraId="5717DB0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235</w:t>
            </w:r>
          </w:p>
        </w:tc>
        <w:tc>
          <w:tcPr>
            <w:tcW w:w="936" w:type="dxa"/>
            <w:tcBorders>
              <w:top w:val="nil"/>
              <w:left w:val="nil"/>
              <w:bottom w:val="nil"/>
              <w:right w:val="nil"/>
            </w:tcBorders>
            <w:vAlign w:val="center"/>
          </w:tcPr>
          <w:p w14:paraId="493B4FD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41.0</w:t>
            </w:r>
          </w:p>
        </w:tc>
        <w:tc>
          <w:tcPr>
            <w:tcW w:w="743" w:type="dxa"/>
            <w:tcBorders>
              <w:top w:val="nil"/>
              <w:left w:val="nil"/>
              <w:bottom w:val="nil"/>
              <w:right w:val="nil"/>
            </w:tcBorders>
            <w:vAlign w:val="center"/>
          </w:tcPr>
          <w:p w14:paraId="0374092A" w14:textId="5381EA39"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1.2</w:t>
            </w:r>
            <w:r w:rsidR="00EC061C" w:rsidRPr="00826530">
              <w:rPr>
                <w:rFonts w:ascii="Arial" w:hAnsi="Arial" w:cs="Arial"/>
                <w:color w:val="000000" w:themeColor="text1"/>
                <w:sz w:val="21"/>
                <w:szCs w:val="21"/>
              </w:rPr>
              <w:t>9</w:t>
            </w:r>
          </w:p>
        </w:tc>
        <w:tc>
          <w:tcPr>
            <w:tcW w:w="1420" w:type="dxa"/>
            <w:tcBorders>
              <w:top w:val="nil"/>
              <w:left w:val="nil"/>
              <w:bottom w:val="nil"/>
              <w:right w:val="nil"/>
            </w:tcBorders>
            <w:vAlign w:val="center"/>
          </w:tcPr>
          <w:p w14:paraId="159039FF" w14:textId="43A4F34A"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EC061C" w:rsidRPr="00826530">
              <w:rPr>
                <w:rFonts w:ascii="Arial" w:hAnsi="Arial" w:cs="Arial"/>
                <w:color w:val="000000" w:themeColor="text1"/>
                <w:sz w:val="21"/>
                <w:szCs w:val="21"/>
              </w:rPr>
              <w:t>88</w:t>
            </w:r>
            <w:r w:rsidRPr="00826530">
              <w:rPr>
                <w:rFonts w:ascii="Arial" w:hAnsi="Arial" w:cs="Arial"/>
                <w:color w:val="000000" w:themeColor="text1"/>
                <w:sz w:val="21"/>
                <w:szCs w:val="21"/>
              </w:rPr>
              <w:t xml:space="preserve">, </w:t>
            </w:r>
            <w:r w:rsidR="00EC061C" w:rsidRPr="00826530">
              <w:rPr>
                <w:rFonts w:ascii="Arial" w:hAnsi="Arial" w:cs="Arial"/>
                <w:color w:val="000000" w:themeColor="text1"/>
                <w:sz w:val="21"/>
                <w:szCs w:val="21"/>
              </w:rPr>
              <w:t>1</w:t>
            </w:r>
            <w:r w:rsidRPr="00826530">
              <w:rPr>
                <w:rFonts w:ascii="Arial" w:hAnsi="Arial" w:cs="Arial"/>
                <w:color w:val="000000" w:themeColor="text1"/>
                <w:sz w:val="21"/>
                <w:szCs w:val="21"/>
              </w:rPr>
              <w:t>.</w:t>
            </w:r>
            <w:r w:rsidR="00EC061C" w:rsidRPr="00826530">
              <w:rPr>
                <w:rFonts w:ascii="Arial" w:hAnsi="Arial" w:cs="Arial"/>
                <w:color w:val="000000" w:themeColor="text1"/>
                <w:sz w:val="21"/>
                <w:szCs w:val="21"/>
              </w:rPr>
              <w:t>88</w:t>
            </w:r>
          </w:p>
        </w:tc>
      </w:tr>
      <w:tr w:rsidR="00851673" w:rsidRPr="00826530" w14:paraId="51AA8EDA" w14:textId="77777777" w:rsidTr="00FE3A65">
        <w:trPr>
          <w:trHeight w:val="227"/>
        </w:trPr>
        <w:tc>
          <w:tcPr>
            <w:tcW w:w="3450" w:type="dxa"/>
            <w:gridSpan w:val="5"/>
            <w:tcBorders>
              <w:top w:val="nil"/>
              <w:left w:val="nil"/>
              <w:bottom w:val="nil"/>
              <w:right w:val="nil"/>
            </w:tcBorders>
            <w:vAlign w:val="center"/>
          </w:tcPr>
          <w:p w14:paraId="7B9DC1B2" w14:textId="321B1F4A" w:rsidR="00851673" w:rsidRPr="00826530" w:rsidRDefault="00851673" w:rsidP="00836582">
            <w:pPr>
              <w:rPr>
                <w:rFonts w:ascii="Arial" w:hAnsi="Arial" w:cs="Arial"/>
                <w:sz w:val="21"/>
                <w:szCs w:val="21"/>
              </w:rPr>
            </w:pPr>
            <w:r w:rsidRPr="00826530">
              <w:rPr>
                <w:rFonts w:ascii="Arial" w:hAnsi="Arial" w:cs="Arial"/>
                <w:sz w:val="21"/>
                <w:szCs w:val="21"/>
              </w:rPr>
              <w:t>Viral load sorting</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6E1CB3E9"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28</w:t>
            </w:r>
          </w:p>
        </w:tc>
        <w:tc>
          <w:tcPr>
            <w:tcW w:w="1009" w:type="dxa"/>
            <w:tcBorders>
              <w:top w:val="nil"/>
              <w:left w:val="nil"/>
              <w:bottom w:val="nil"/>
              <w:right w:val="nil"/>
            </w:tcBorders>
            <w:vAlign w:val="center"/>
          </w:tcPr>
          <w:p w14:paraId="5E2EE15C"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27.2</w:t>
            </w:r>
          </w:p>
        </w:tc>
        <w:tc>
          <w:tcPr>
            <w:tcW w:w="935" w:type="dxa"/>
            <w:tcBorders>
              <w:top w:val="nil"/>
              <w:left w:val="nil"/>
              <w:bottom w:val="nil"/>
              <w:right w:val="nil"/>
            </w:tcBorders>
            <w:vAlign w:val="center"/>
          </w:tcPr>
          <w:p w14:paraId="4788800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100</w:t>
            </w:r>
          </w:p>
        </w:tc>
        <w:tc>
          <w:tcPr>
            <w:tcW w:w="936" w:type="dxa"/>
            <w:tcBorders>
              <w:top w:val="nil"/>
              <w:left w:val="nil"/>
              <w:bottom w:val="nil"/>
              <w:right w:val="nil"/>
            </w:tcBorders>
            <w:vAlign w:val="center"/>
          </w:tcPr>
          <w:p w14:paraId="5AA4852D"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17.5</w:t>
            </w:r>
          </w:p>
        </w:tc>
        <w:tc>
          <w:tcPr>
            <w:tcW w:w="743" w:type="dxa"/>
            <w:tcBorders>
              <w:top w:val="nil"/>
              <w:left w:val="nil"/>
              <w:bottom w:val="nil"/>
              <w:right w:val="nil"/>
            </w:tcBorders>
            <w:vAlign w:val="center"/>
          </w:tcPr>
          <w:p w14:paraId="7495FA1E" w14:textId="22C07B72"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2.</w:t>
            </w:r>
            <w:r w:rsidR="00EC061C" w:rsidRPr="00826530">
              <w:rPr>
                <w:rFonts w:ascii="Arial" w:hAnsi="Arial" w:cs="Arial"/>
                <w:color w:val="000000" w:themeColor="text1"/>
                <w:sz w:val="21"/>
                <w:szCs w:val="21"/>
              </w:rPr>
              <w:t>13</w:t>
            </w:r>
          </w:p>
        </w:tc>
        <w:tc>
          <w:tcPr>
            <w:tcW w:w="1420" w:type="dxa"/>
            <w:tcBorders>
              <w:top w:val="nil"/>
              <w:left w:val="nil"/>
              <w:bottom w:val="nil"/>
              <w:right w:val="nil"/>
            </w:tcBorders>
            <w:vAlign w:val="center"/>
          </w:tcPr>
          <w:p w14:paraId="38A94AE2" w14:textId="57B8C194"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1.3</w:t>
            </w:r>
            <w:r w:rsidR="00EC061C" w:rsidRPr="00826530">
              <w:rPr>
                <w:rFonts w:ascii="Arial" w:hAnsi="Arial" w:cs="Arial"/>
                <w:b/>
                <w:color w:val="000000" w:themeColor="text1"/>
                <w:sz w:val="21"/>
                <w:szCs w:val="21"/>
              </w:rPr>
              <w:t>9</w:t>
            </w:r>
            <w:r w:rsidRPr="00826530">
              <w:rPr>
                <w:rFonts w:ascii="Arial" w:hAnsi="Arial" w:cs="Arial"/>
                <w:b/>
                <w:color w:val="000000" w:themeColor="text1"/>
                <w:sz w:val="21"/>
                <w:szCs w:val="21"/>
              </w:rPr>
              <w:t xml:space="preserve">, </w:t>
            </w:r>
            <w:r w:rsidR="00EC061C" w:rsidRPr="00826530">
              <w:rPr>
                <w:rFonts w:ascii="Arial" w:hAnsi="Arial" w:cs="Arial"/>
                <w:b/>
                <w:color w:val="000000" w:themeColor="text1"/>
                <w:sz w:val="21"/>
                <w:szCs w:val="21"/>
              </w:rPr>
              <w:t>3</w:t>
            </w:r>
            <w:r w:rsidRPr="00826530">
              <w:rPr>
                <w:rFonts w:ascii="Arial" w:hAnsi="Arial" w:cs="Arial"/>
                <w:b/>
                <w:color w:val="000000" w:themeColor="text1"/>
                <w:sz w:val="21"/>
                <w:szCs w:val="21"/>
              </w:rPr>
              <w:t>.</w:t>
            </w:r>
            <w:r w:rsidR="00EC061C" w:rsidRPr="00826530">
              <w:rPr>
                <w:rFonts w:ascii="Arial" w:hAnsi="Arial" w:cs="Arial"/>
                <w:b/>
                <w:color w:val="000000" w:themeColor="text1"/>
                <w:sz w:val="21"/>
                <w:szCs w:val="21"/>
              </w:rPr>
              <w:t>26</w:t>
            </w:r>
          </w:p>
        </w:tc>
      </w:tr>
      <w:tr w:rsidR="00851673" w:rsidRPr="00826530" w14:paraId="5D99631D" w14:textId="77777777" w:rsidTr="00FE3A65">
        <w:trPr>
          <w:trHeight w:val="227"/>
        </w:trPr>
        <w:tc>
          <w:tcPr>
            <w:tcW w:w="3450" w:type="dxa"/>
            <w:gridSpan w:val="5"/>
            <w:tcBorders>
              <w:top w:val="nil"/>
              <w:left w:val="nil"/>
              <w:bottom w:val="nil"/>
              <w:right w:val="nil"/>
            </w:tcBorders>
            <w:vAlign w:val="center"/>
          </w:tcPr>
          <w:p w14:paraId="1737175E" w14:textId="7B8FB592" w:rsidR="00851673" w:rsidRPr="00826530" w:rsidRDefault="00851673" w:rsidP="00836582">
            <w:pPr>
              <w:rPr>
                <w:rFonts w:ascii="Arial" w:hAnsi="Arial" w:cs="Arial"/>
                <w:sz w:val="21"/>
                <w:szCs w:val="21"/>
              </w:rPr>
            </w:pPr>
            <w:r w:rsidRPr="00826530">
              <w:rPr>
                <w:rFonts w:ascii="Arial" w:hAnsi="Arial" w:cs="Arial"/>
                <w:sz w:val="21"/>
                <w:szCs w:val="21"/>
              </w:rPr>
              <w:t>Withdrawal</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788204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33</w:t>
            </w:r>
          </w:p>
        </w:tc>
        <w:tc>
          <w:tcPr>
            <w:tcW w:w="1009" w:type="dxa"/>
            <w:tcBorders>
              <w:top w:val="nil"/>
              <w:left w:val="nil"/>
              <w:bottom w:val="nil"/>
              <w:right w:val="nil"/>
            </w:tcBorders>
            <w:vAlign w:val="center"/>
          </w:tcPr>
          <w:p w14:paraId="7C4B274B"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32.0</w:t>
            </w:r>
          </w:p>
        </w:tc>
        <w:tc>
          <w:tcPr>
            <w:tcW w:w="935" w:type="dxa"/>
            <w:tcBorders>
              <w:top w:val="nil"/>
              <w:left w:val="nil"/>
              <w:bottom w:val="nil"/>
              <w:right w:val="nil"/>
            </w:tcBorders>
            <w:vAlign w:val="center"/>
          </w:tcPr>
          <w:p w14:paraId="6A2F70D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166</w:t>
            </w:r>
          </w:p>
        </w:tc>
        <w:tc>
          <w:tcPr>
            <w:tcW w:w="936" w:type="dxa"/>
            <w:tcBorders>
              <w:top w:val="nil"/>
              <w:left w:val="nil"/>
              <w:bottom w:val="nil"/>
              <w:right w:val="nil"/>
            </w:tcBorders>
            <w:vAlign w:val="center"/>
          </w:tcPr>
          <w:p w14:paraId="3908C70A"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29.0</w:t>
            </w:r>
          </w:p>
        </w:tc>
        <w:tc>
          <w:tcPr>
            <w:tcW w:w="743" w:type="dxa"/>
            <w:tcBorders>
              <w:top w:val="nil"/>
              <w:left w:val="nil"/>
              <w:bottom w:val="nil"/>
              <w:right w:val="nil"/>
            </w:tcBorders>
            <w:vAlign w:val="center"/>
          </w:tcPr>
          <w:p w14:paraId="20C8A9CB" w14:textId="70B1B266"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2.4</w:t>
            </w:r>
            <w:r w:rsidR="00EC061C" w:rsidRPr="00826530">
              <w:rPr>
                <w:rFonts w:ascii="Arial" w:hAnsi="Arial" w:cs="Arial"/>
                <w:color w:val="000000" w:themeColor="text1"/>
                <w:sz w:val="21"/>
                <w:szCs w:val="21"/>
              </w:rPr>
              <w:t>1</w:t>
            </w:r>
          </w:p>
        </w:tc>
        <w:tc>
          <w:tcPr>
            <w:tcW w:w="1420" w:type="dxa"/>
            <w:tcBorders>
              <w:top w:val="nil"/>
              <w:left w:val="nil"/>
              <w:bottom w:val="nil"/>
              <w:right w:val="nil"/>
            </w:tcBorders>
            <w:vAlign w:val="center"/>
          </w:tcPr>
          <w:p w14:paraId="4D269E72" w14:textId="4BB22AB1" w:rsidR="00851673" w:rsidRPr="00826530" w:rsidRDefault="00851673" w:rsidP="00836582">
            <w:pPr>
              <w:jc w:val="center"/>
              <w:rPr>
                <w:rFonts w:ascii="Arial" w:hAnsi="Arial" w:cs="Arial"/>
                <w:b/>
                <w:color w:val="000000" w:themeColor="text1"/>
                <w:sz w:val="21"/>
                <w:szCs w:val="21"/>
              </w:rPr>
            </w:pPr>
            <w:r w:rsidRPr="00826530">
              <w:rPr>
                <w:rFonts w:ascii="Arial" w:hAnsi="Arial" w:cs="Arial"/>
                <w:b/>
                <w:color w:val="000000" w:themeColor="text1"/>
                <w:sz w:val="21"/>
                <w:szCs w:val="21"/>
              </w:rPr>
              <w:t>1.</w:t>
            </w:r>
            <w:r w:rsidR="00EC061C" w:rsidRPr="00826530">
              <w:rPr>
                <w:rFonts w:ascii="Arial" w:hAnsi="Arial" w:cs="Arial"/>
                <w:b/>
                <w:color w:val="000000" w:themeColor="text1"/>
                <w:sz w:val="21"/>
                <w:szCs w:val="21"/>
              </w:rPr>
              <w:t>55</w:t>
            </w:r>
            <w:r w:rsidRPr="00826530">
              <w:rPr>
                <w:rFonts w:ascii="Arial" w:hAnsi="Arial" w:cs="Arial"/>
                <w:b/>
                <w:color w:val="000000" w:themeColor="text1"/>
                <w:sz w:val="21"/>
                <w:szCs w:val="21"/>
              </w:rPr>
              <w:t xml:space="preserve">, </w:t>
            </w:r>
            <w:r w:rsidR="00EC061C" w:rsidRPr="00826530">
              <w:rPr>
                <w:rFonts w:ascii="Arial" w:hAnsi="Arial" w:cs="Arial"/>
                <w:b/>
                <w:color w:val="000000" w:themeColor="text1"/>
                <w:sz w:val="21"/>
                <w:szCs w:val="21"/>
              </w:rPr>
              <w:t>3</w:t>
            </w:r>
            <w:r w:rsidRPr="00826530">
              <w:rPr>
                <w:rFonts w:ascii="Arial" w:hAnsi="Arial" w:cs="Arial"/>
                <w:b/>
                <w:color w:val="000000" w:themeColor="text1"/>
                <w:sz w:val="21"/>
                <w:szCs w:val="21"/>
              </w:rPr>
              <w:t>.</w:t>
            </w:r>
            <w:r w:rsidR="00EC061C" w:rsidRPr="00826530">
              <w:rPr>
                <w:rFonts w:ascii="Arial" w:hAnsi="Arial" w:cs="Arial"/>
                <w:b/>
                <w:color w:val="000000" w:themeColor="text1"/>
                <w:sz w:val="21"/>
                <w:szCs w:val="21"/>
              </w:rPr>
              <w:t>76</w:t>
            </w:r>
          </w:p>
        </w:tc>
      </w:tr>
      <w:tr w:rsidR="00851673" w:rsidRPr="00826530" w14:paraId="49234AFA" w14:textId="77777777" w:rsidTr="00FE3A65">
        <w:trPr>
          <w:trHeight w:val="227"/>
        </w:trPr>
        <w:tc>
          <w:tcPr>
            <w:tcW w:w="3450" w:type="dxa"/>
            <w:gridSpan w:val="5"/>
            <w:tcBorders>
              <w:top w:val="nil"/>
              <w:left w:val="nil"/>
              <w:bottom w:val="nil"/>
              <w:right w:val="nil"/>
            </w:tcBorders>
            <w:vAlign w:val="center"/>
          </w:tcPr>
          <w:p w14:paraId="607C385C" w14:textId="49874E53" w:rsidR="00851673" w:rsidRPr="00826530" w:rsidRDefault="00851673" w:rsidP="00836582">
            <w:pPr>
              <w:rPr>
                <w:rFonts w:ascii="Arial" w:hAnsi="Arial" w:cs="Arial"/>
                <w:sz w:val="21"/>
                <w:szCs w:val="21"/>
              </w:rPr>
            </w:pPr>
            <w:r w:rsidRPr="00826530">
              <w:rPr>
                <w:rFonts w:ascii="Arial" w:hAnsi="Arial" w:cs="Arial"/>
                <w:sz w:val="21"/>
                <w:szCs w:val="21"/>
              </w:rPr>
              <w:t>Asking HIV status of sex partners</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188AFFA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59</w:t>
            </w:r>
          </w:p>
        </w:tc>
        <w:tc>
          <w:tcPr>
            <w:tcW w:w="1009" w:type="dxa"/>
            <w:tcBorders>
              <w:top w:val="nil"/>
              <w:left w:val="nil"/>
              <w:bottom w:val="nil"/>
              <w:right w:val="nil"/>
            </w:tcBorders>
            <w:vAlign w:val="center"/>
          </w:tcPr>
          <w:p w14:paraId="277FA36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57.3</w:t>
            </w:r>
          </w:p>
        </w:tc>
        <w:tc>
          <w:tcPr>
            <w:tcW w:w="935" w:type="dxa"/>
            <w:tcBorders>
              <w:top w:val="nil"/>
              <w:left w:val="nil"/>
              <w:bottom w:val="nil"/>
              <w:right w:val="nil"/>
            </w:tcBorders>
            <w:vAlign w:val="center"/>
          </w:tcPr>
          <w:p w14:paraId="66ABB30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344</w:t>
            </w:r>
          </w:p>
        </w:tc>
        <w:tc>
          <w:tcPr>
            <w:tcW w:w="936" w:type="dxa"/>
            <w:tcBorders>
              <w:top w:val="nil"/>
              <w:left w:val="nil"/>
              <w:bottom w:val="nil"/>
              <w:right w:val="nil"/>
            </w:tcBorders>
            <w:vAlign w:val="center"/>
          </w:tcPr>
          <w:p w14:paraId="63FFF7DF"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60.0</w:t>
            </w:r>
          </w:p>
        </w:tc>
        <w:tc>
          <w:tcPr>
            <w:tcW w:w="743" w:type="dxa"/>
            <w:tcBorders>
              <w:top w:val="nil"/>
              <w:left w:val="nil"/>
              <w:bottom w:val="nil"/>
              <w:right w:val="nil"/>
            </w:tcBorders>
            <w:vAlign w:val="center"/>
          </w:tcPr>
          <w:p w14:paraId="6DD5082A" w14:textId="431460D4"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2964EB" w:rsidRPr="00826530">
              <w:rPr>
                <w:rFonts w:ascii="Arial" w:hAnsi="Arial" w:cs="Arial"/>
                <w:color w:val="000000" w:themeColor="text1"/>
                <w:sz w:val="21"/>
                <w:szCs w:val="21"/>
              </w:rPr>
              <w:t>98</w:t>
            </w:r>
          </w:p>
        </w:tc>
        <w:tc>
          <w:tcPr>
            <w:tcW w:w="1420" w:type="dxa"/>
            <w:tcBorders>
              <w:top w:val="nil"/>
              <w:left w:val="nil"/>
              <w:bottom w:val="nil"/>
              <w:right w:val="nil"/>
            </w:tcBorders>
            <w:vAlign w:val="center"/>
          </w:tcPr>
          <w:p w14:paraId="20A73184" w14:textId="5E1188F9" w:rsidR="00851673" w:rsidRPr="00826530" w:rsidRDefault="00851673" w:rsidP="00836582">
            <w:pPr>
              <w:jc w:val="center"/>
              <w:rPr>
                <w:rFonts w:ascii="Arial" w:hAnsi="Arial" w:cs="Arial"/>
                <w:color w:val="000000" w:themeColor="text1"/>
                <w:sz w:val="21"/>
                <w:szCs w:val="21"/>
              </w:rPr>
            </w:pPr>
            <w:r w:rsidRPr="00826530">
              <w:rPr>
                <w:rFonts w:ascii="Arial" w:hAnsi="Arial" w:cs="Arial"/>
                <w:color w:val="000000" w:themeColor="text1"/>
                <w:sz w:val="21"/>
                <w:szCs w:val="21"/>
              </w:rPr>
              <w:t>0.</w:t>
            </w:r>
            <w:r w:rsidR="002964EB" w:rsidRPr="00826530">
              <w:rPr>
                <w:rFonts w:ascii="Arial" w:hAnsi="Arial" w:cs="Arial"/>
                <w:color w:val="000000" w:themeColor="text1"/>
                <w:sz w:val="21"/>
                <w:szCs w:val="21"/>
              </w:rPr>
              <w:t>69</w:t>
            </w:r>
            <w:r w:rsidRPr="00826530">
              <w:rPr>
                <w:rFonts w:ascii="Arial" w:hAnsi="Arial" w:cs="Arial"/>
                <w:color w:val="000000" w:themeColor="text1"/>
                <w:sz w:val="21"/>
                <w:szCs w:val="21"/>
              </w:rPr>
              <w:t xml:space="preserve">, </w:t>
            </w:r>
            <w:r w:rsidR="002964EB" w:rsidRPr="00826530">
              <w:rPr>
                <w:rFonts w:ascii="Arial" w:hAnsi="Arial" w:cs="Arial"/>
                <w:color w:val="000000" w:themeColor="text1"/>
                <w:sz w:val="21"/>
                <w:szCs w:val="21"/>
              </w:rPr>
              <w:t>1.39</w:t>
            </w:r>
          </w:p>
        </w:tc>
      </w:tr>
      <w:tr w:rsidR="00851673" w:rsidRPr="00826530" w14:paraId="323EEAC2" w14:textId="77777777" w:rsidTr="002964EB">
        <w:trPr>
          <w:trHeight w:val="227"/>
        </w:trPr>
        <w:tc>
          <w:tcPr>
            <w:tcW w:w="2447" w:type="dxa"/>
            <w:gridSpan w:val="4"/>
            <w:tcBorders>
              <w:top w:val="nil"/>
              <w:left w:val="nil"/>
              <w:bottom w:val="nil"/>
              <w:right w:val="nil"/>
            </w:tcBorders>
            <w:vAlign w:val="center"/>
          </w:tcPr>
          <w:p w14:paraId="666A4F73" w14:textId="77777777" w:rsidR="00851673" w:rsidRPr="00826530" w:rsidRDefault="00851673" w:rsidP="00836582">
            <w:pPr>
              <w:rPr>
                <w:rFonts w:ascii="Arial" w:hAnsi="Arial" w:cs="Arial"/>
                <w:sz w:val="21"/>
                <w:szCs w:val="21"/>
              </w:rPr>
            </w:pPr>
            <w:r w:rsidRPr="00826530">
              <w:rPr>
                <w:rFonts w:ascii="Arial" w:hAnsi="Arial" w:cs="Arial"/>
                <w:sz w:val="21"/>
                <w:szCs w:val="21"/>
              </w:rPr>
              <w:t>How often do you disclose your HIV status to your male sex partners</w:t>
            </w:r>
          </w:p>
        </w:tc>
        <w:tc>
          <w:tcPr>
            <w:tcW w:w="1003" w:type="dxa"/>
            <w:tcBorders>
              <w:top w:val="nil"/>
              <w:left w:val="nil"/>
              <w:bottom w:val="nil"/>
              <w:right w:val="nil"/>
            </w:tcBorders>
            <w:vAlign w:val="bottom"/>
          </w:tcPr>
          <w:p w14:paraId="1776D1FC" w14:textId="74365FB6" w:rsidR="00851673" w:rsidRPr="00826530" w:rsidRDefault="00851673" w:rsidP="00836582">
            <w:pPr>
              <w:jc w:val="right"/>
              <w:rPr>
                <w:rFonts w:ascii="Arial" w:hAnsi="Arial" w:cs="Arial"/>
                <w:sz w:val="21"/>
                <w:szCs w:val="21"/>
              </w:rPr>
            </w:pPr>
            <w:r w:rsidRPr="00826530">
              <w:rPr>
                <w:rFonts w:ascii="Arial" w:hAnsi="Arial" w:cs="Arial"/>
                <w:sz w:val="21"/>
                <w:szCs w:val="21"/>
              </w:rPr>
              <w:t>&lt;50%</w:t>
            </w:r>
          </w:p>
        </w:tc>
        <w:tc>
          <w:tcPr>
            <w:tcW w:w="1007" w:type="dxa"/>
            <w:tcBorders>
              <w:top w:val="nil"/>
              <w:left w:val="nil"/>
              <w:bottom w:val="nil"/>
              <w:right w:val="nil"/>
            </w:tcBorders>
            <w:vAlign w:val="bottom"/>
          </w:tcPr>
          <w:p w14:paraId="446276E8"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14</w:t>
            </w:r>
          </w:p>
        </w:tc>
        <w:tc>
          <w:tcPr>
            <w:tcW w:w="1009" w:type="dxa"/>
            <w:tcBorders>
              <w:top w:val="nil"/>
              <w:left w:val="nil"/>
              <w:bottom w:val="nil"/>
              <w:right w:val="nil"/>
            </w:tcBorders>
            <w:vAlign w:val="bottom"/>
          </w:tcPr>
          <w:p w14:paraId="10786B44"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13.6</w:t>
            </w:r>
          </w:p>
        </w:tc>
        <w:tc>
          <w:tcPr>
            <w:tcW w:w="935" w:type="dxa"/>
            <w:tcBorders>
              <w:top w:val="nil"/>
              <w:left w:val="nil"/>
              <w:bottom w:val="nil"/>
              <w:right w:val="nil"/>
            </w:tcBorders>
            <w:vAlign w:val="bottom"/>
          </w:tcPr>
          <w:p w14:paraId="76B7C007"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72</w:t>
            </w:r>
          </w:p>
        </w:tc>
        <w:tc>
          <w:tcPr>
            <w:tcW w:w="936" w:type="dxa"/>
            <w:tcBorders>
              <w:top w:val="nil"/>
              <w:left w:val="nil"/>
              <w:bottom w:val="nil"/>
              <w:right w:val="nil"/>
            </w:tcBorders>
            <w:vAlign w:val="bottom"/>
          </w:tcPr>
          <w:p w14:paraId="024ED2D2"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12.5</w:t>
            </w:r>
          </w:p>
        </w:tc>
        <w:tc>
          <w:tcPr>
            <w:tcW w:w="743" w:type="dxa"/>
            <w:tcBorders>
              <w:top w:val="nil"/>
              <w:left w:val="nil"/>
              <w:bottom w:val="nil"/>
              <w:right w:val="nil"/>
            </w:tcBorders>
            <w:vAlign w:val="bottom"/>
          </w:tcPr>
          <w:p w14:paraId="24FA6296" w14:textId="77777777" w:rsidR="00851673" w:rsidRPr="00826530" w:rsidRDefault="00851673" w:rsidP="00836582">
            <w:pPr>
              <w:jc w:val="center"/>
              <w:rPr>
                <w:rFonts w:ascii="Arial" w:hAnsi="Arial" w:cs="Arial"/>
                <w:sz w:val="21"/>
                <w:szCs w:val="21"/>
              </w:rPr>
            </w:pPr>
            <w:r w:rsidRPr="00826530">
              <w:rPr>
                <w:rFonts w:ascii="Arial" w:hAnsi="Arial" w:cs="Arial"/>
                <w:sz w:val="21"/>
                <w:szCs w:val="21"/>
              </w:rPr>
              <w:t>Ref</w:t>
            </w:r>
          </w:p>
        </w:tc>
        <w:tc>
          <w:tcPr>
            <w:tcW w:w="1420" w:type="dxa"/>
            <w:tcBorders>
              <w:top w:val="nil"/>
              <w:left w:val="nil"/>
              <w:bottom w:val="nil"/>
              <w:right w:val="nil"/>
            </w:tcBorders>
            <w:vAlign w:val="bottom"/>
          </w:tcPr>
          <w:p w14:paraId="34A4D2FC" w14:textId="77777777" w:rsidR="00851673" w:rsidRPr="00826530" w:rsidRDefault="00851673" w:rsidP="00836582">
            <w:pPr>
              <w:jc w:val="center"/>
              <w:rPr>
                <w:rFonts w:ascii="Arial" w:hAnsi="Arial" w:cs="Arial"/>
                <w:sz w:val="21"/>
                <w:szCs w:val="21"/>
              </w:rPr>
            </w:pPr>
          </w:p>
        </w:tc>
      </w:tr>
      <w:tr w:rsidR="00851673" w:rsidRPr="00826530" w14:paraId="645EE947" w14:textId="77777777" w:rsidTr="00826530">
        <w:trPr>
          <w:trHeight w:val="227"/>
        </w:trPr>
        <w:tc>
          <w:tcPr>
            <w:tcW w:w="1560" w:type="dxa"/>
            <w:tcBorders>
              <w:top w:val="nil"/>
              <w:left w:val="nil"/>
              <w:bottom w:val="nil"/>
              <w:right w:val="nil"/>
            </w:tcBorders>
            <w:vAlign w:val="center"/>
          </w:tcPr>
          <w:p w14:paraId="32C0ECD1"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2E49EDAF"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 xml:space="preserve">≥50% </w:t>
            </w:r>
          </w:p>
        </w:tc>
        <w:tc>
          <w:tcPr>
            <w:tcW w:w="1007" w:type="dxa"/>
            <w:tcBorders>
              <w:top w:val="nil"/>
              <w:left w:val="nil"/>
              <w:bottom w:val="nil"/>
              <w:right w:val="nil"/>
            </w:tcBorders>
            <w:vAlign w:val="center"/>
          </w:tcPr>
          <w:p w14:paraId="653031A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59</w:t>
            </w:r>
          </w:p>
        </w:tc>
        <w:tc>
          <w:tcPr>
            <w:tcW w:w="1009" w:type="dxa"/>
            <w:tcBorders>
              <w:top w:val="nil"/>
              <w:left w:val="nil"/>
              <w:bottom w:val="nil"/>
              <w:right w:val="nil"/>
            </w:tcBorders>
            <w:vAlign w:val="center"/>
          </w:tcPr>
          <w:p w14:paraId="04EDE72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57.3</w:t>
            </w:r>
          </w:p>
        </w:tc>
        <w:tc>
          <w:tcPr>
            <w:tcW w:w="935" w:type="dxa"/>
            <w:tcBorders>
              <w:top w:val="nil"/>
              <w:left w:val="nil"/>
              <w:bottom w:val="nil"/>
              <w:right w:val="nil"/>
            </w:tcBorders>
            <w:vAlign w:val="center"/>
          </w:tcPr>
          <w:p w14:paraId="35C8A27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295</w:t>
            </w:r>
          </w:p>
        </w:tc>
        <w:tc>
          <w:tcPr>
            <w:tcW w:w="936" w:type="dxa"/>
            <w:tcBorders>
              <w:top w:val="nil"/>
              <w:left w:val="nil"/>
              <w:bottom w:val="nil"/>
              <w:right w:val="nil"/>
            </w:tcBorders>
            <w:vAlign w:val="center"/>
          </w:tcPr>
          <w:p w14:paraId="6D0CD7D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51.2</w:t>
            </w:r>
          </w:p>
        </w:tc>
        <w:tc>
          <w:tcPr>
            <w:tcW w:w="743" w:type="dxa"/>
            <w:tcBorders>
              <w:top w:val="nil"/>
              <w:left w:val="nil"/>
              <w:bottom w:val="nil"/>
              <w:right w:val="nil"/>
            </w:tcBorders>
            <w:vAlign w:val="center"/>
          </w:tcPr>
          <w:p w14:paraId="20C21B12" w14:textId="15FC47E3" w:rsidR="00851673" w:rsidRPr="00826530" w:rsidRDefault="002964EB" w:rsidP="00836582">
            <w:pPr>
              <w:jc w:val="center"/>
              <w:rPr>
                <w:rFonts w:ascii="Arial" w:hAnsi="Arial" w:cs="Arial"/>
                <w:bCs/>
                <w:sz w:val="21"/>
                <w:szCs w:val="21"/>
              </w:rPr>
            </w:pPr>
            <w:r w:rsidRPr="00826530">
              <w:rPr>
                <w:rFonts w:ascii="Arial" w:hAnsi="Arial" w:cs="Arial"/>
                <w:bCs/>
                <w:sz w:val="21"/>
                <w:szCs w:val="21"/>
              </w:rPr>
              <w:t>1</w:t>
            </w:r>
            <w:r w:rsidR="00851673" w:rsidRPr="00826530">
              <w:rPr>
                <w:rFonts w:ascii="Arial" w:hAnsi="Arial" w:cs="Arial"/>
                <w:bCs/>
                <w:sz w:val="21"/>
                <w:szCs w:val="21"/>
              </w:rPr>
              <w:t>.</w:t>
            </w:r>
            <w:r w:rsidRPr="00826530">
              <w:rPr>
                <w:rFonts w:ascii="Arial" w:hAnsi="Arial" w:cs="Arial"/>
                <w:bCs/>
                <w:sz w:val="21"/>
                <w:szCs w:val="21"/>
              </w:rPr>
              <w:t>95</w:t>
            </w:r>
          </w:p>
        </w:tc>
        <w:tc>
          <w:tcPr>
            <w:tcW w:w="1420" w:type="dxa"/>
            <w:tcBorders>
              <w:top w:val="nil"/>
              <w:left w:val="nil"/>
              <w:bottom w:val="nil"/>
              <w:right w:val="nil"/>
            </w:tcBorders>
            <w:vAlign w:val="center"/>
          </w:tcPr>
          <w:p w14:paraId="519536AA" w14:textId="7C406DDD" w:rsidR="00851673" w:rsidRPr="00826530" w:rsidRDefault="00851673" w:rsidP="00836582">
            <w:pPr>
              <w:jc w:val="center"/>
              <w:rPr>
                <w:rFonts w:ascii="Arial" w:hAnsi="Arial" w:cs="Arial"/>
                <w:b/>
                <w:sz w:val="21"/>
                <w:szCs w:val="21"/>
              </w:rPr>
            </w:pPr>
            <w:r w:rsidRPr="00826530">
              <w:rPr>
                <w:rFonts w:ascii="Arial" w:hAnsi="Arial" w:cs="Arial"/>
                <w:b/>
                <w:sz w:val="21"/>
                <w:szCs w:val="21"/>
              </w:rPr>
              <w:t>1.1</w:t>
            </w:r>
            <w:r w:rsidR="002964EB" w:rsidRPr="00826530">
              <w:rPr>
                <w:rFonts w:ascii="Arial" w:hAnsi="Arial" w:cs="Arial"/>
                <w:b/>
                <w:sz w:val="21"/>
                <w:szCs w:val="21"/>
              </w:rPr>
              <w:t>9</w:t>
            </w:r>
            <w:r w:rsidRPr="00826530">
              <w:rPr>
                <w:rFonts w:ascii="Arial" w:hAnsi="Arial" w:cs="Arial"/>
                <w:b/>
                <w:sz w:val="21"/>
                <w:szCs w:val="21"/>
              </w:rPr>
              <w:t xml:space="preserve">, </w:t>
            </w:r>
            <w:r w:rsidR="002964EB" w:rsidRPr="00826530">
              <w:rPr>
                <w:rFonts w:ascii="Arial" w:hAnsi="Arial" w:cs="Arial"/>
                <w:b/>
                <w:sz w:val="21"/>
                <w:szCs w:val="21"/>
              </w:rPr>
              <w:t>3</w:t>
            </w:r>
            <w:r w:rsidRPr="00826530">
              <w:rPr>
                <w:rFonts w:ascii="Arial" w:hAnsi="Arial" w:cs="Arial"/>
                <w:b/>
                <w:sz w:val="21"/>
                <w:szCs w:val="21"/>
              </w:rPr>
              <w:t>.</w:t>
            </w:r>
            <w:r w:rsidR="002964EB" w:rsidRPr="00826530">
              <w:rPr>
                <w:rFonts w:ascii="Arial" w:hAnsi="Arial" w:cs="Arial"/>
                <w:b/>
                <w:sz w:val="21"/>
                <w:szCs w:val="21"/>
              </w:rPr>
              <w:t>21</w:t>
            </w:r>
          </w:p>
        </w:tc>
      </w:tr>
      <w:tr w:rsidR="00851673" w:rsidRPr="00826530" w14:paraId="28F27B9D" w14:textId="77777777" w:rsidTr="00826530">
        <w:trPr>
          <w:trHeight w:val="227"/>
        </w:trPr>
        <w:tc>
          <w:tcPr>
            <w:tcW w:w="1560" w:type="dxa"/>
            <w:tcBorders>
              <w:top w:val="nil"/>
              <w:left w:val="nil"/>
              <w:bottom w:val="nil"/>
              <w:right w:val="nil"/>
            </w:tcBorders>
            <w:vAlign w:val="center"/>
          </w:tcPr>
          <w:p w14:paraId="28283A9C" w14:textId="77777777" w:rsidR="00851673" w:rsidRPr="00826530" w:rsidRDefault="00851673" w:rsidP="00836582">
            <w:pPr>
              <w:rPr>
                <w:rFonts w:ascii="Arial" w:hAnsi="Arial" w:cs="Arial"/>
                <w:sz w:val="21"/>
                <w:szCs w:val="21"/>
              </w:rPr>
            </w:pPr>
          </w:p>
        </w:tc>
        <w:tc>
          <w:tcPr>
            <w:tcW w:w="1890" w:type="dxa"/>
            <w:gridSpan w:val="4"/>
            <w:tcBorders>
              <w:top w:val="nil"/>
              <w:left w:val="nil"/>
              <w:bottom w:val="nil"/>
              <w:right w:val="nil"/>
            </w:tcBorders>
            <w:vAlign w:val="center"/>
          </w:tcPr>
          <w:p w14:paraId="2A5D4924" w14:textId="77777777" w:rsidR="00851673" w:rsidRPr="00826530" w:rsidRDefault="00851673" w:rsidP="00836582">
            <w:pPr>
              <w:jc w:val="right"/>
              <w:rPr>
                <w:rFonts w:ascii="Arial" w:hAnsi="Arial" w:cs="Arial"/>
                <w:bCs/>
                <w:sz w:val="21"/>
                <w:szCs w:val="21"/>
              </w:rPr>
            </w:pPr>
            <w:r w:rsidRPr="00826530">
              <w:rPr>
                <w:rFonts w:ascii="Arial" w:hAnsi="Arial" w:cs="Arial"/>
                <w:bCs/>
                <w:sz w:val="21"/>
                <w:szCs w:val="21"/>
              </w:rPr>
              <w:t>Only when asked</w:t>
            </w:r>
          </w:p>
        </w:tc>
        <w:tc>
          <w:tcPr>
            <w:tcW w:w="1007" w:type="dxa"/>
            <w:tcBorders>
              <w:top w:val="nil"/>
              <w:left w:val="nil"/>
              <w:bottom w:val="nil"/>
              <w:right w:val="nil"/>
            </w:tcBorders>
            <w:vAlign w:val="center"/>
          </w:tcPr>
          <w:p w14:paraId="57CBB51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30</w:t>
            </w:r>
          </w:p>
        </w:tc>
        <w:tc>
          <w:tcPr>
            <w:tcW w:w="1009" w:type="dxa"/>
            <w:tcBorders>
              <w:top w:val="nil"/>
              <w:left w:val="nil"/>
              <w:bottom w:val="nil"/>
              <w:right w:val="nil"/>
            </w:tcBorders>
            <w:vAlign w:val="center"/>
          </w:tcPr>
          <w:p w14:paraId="3CEEB9A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29.1</w:t>
            </w:r>
          </w:p>
        </w:tc>
        <w:tc>
          <w:tcPr>
            <w:tcW w:w="935" w:type="dxa"/>
            <w:tcBorders>
              <w:top w:val="nil"/>
              <w:left w:val="nil"/>
              <w:bottom w:val="nil"/>
              <w:right w:val="nil"/>
            </w:tcBorders>
            <w:vAlign w:val="center"/>
          </w:tcPr>
          <w:p w14:paraId="2D54F90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209</w:t>
            </w:r>
          </w:p>
        </w:tc>
        <w:tc>
          <w:tcPr>
            <w:tcW w:w="936" w:type="dxa"/>
            <w:tcBorders>
              <w:top w:val="nil"/>
              <w:left w:val="nil"/>
              <w:bottom w:val="nil"/>
              <w:right w:val="nil"/>
            </w:tcBorders>
            <w:vAlign w:val="center"/>
          </w:tcPr>
          <w:p w14:paraId="2FE29F0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36.3</w:t>
            </w:r>
          </w:p>
        </w:tc>
        <w:tc>
          <w:tcPr>
            <w:tcW w:w="743" w:type="dxa"/>
            <w:tcBorders>
              <w:top w:val="nil"/>
              <w:left w:val="nil"/>
              <w:bottom w:val="nil"/>
              <w:right w:val="nil"/>
            </w:tcBorders>
            <w:vAlign w:val="center"/>
          </w:tcPr>
          <w:p w14:paraId="23FC3B7F" w14:textId="19185439" w:rsidR="00851673" w:rsidRPr="00826530" w:rsidRDefault="002964EB" w:rsidP="00836582">
            <w:pPr>
              <w:jc w:val="center"/>
              <w:rPr>
                <w:rFonts w:ascii="Arial" w:hAnsi="Arial" w:cs="Arial"/>
                <w:bCs/>
                <w:sz w:val="21"/>
                <w:szCs w:val="21"/>
              </w:rPr>
            </w:pPr>
            <w:r w:rsidRPr="00826530">
              <w:rPr>
                <w:rFonts w:ascii="Arial" w:hAnsi="Arial" w:cs="Arial"/>
                <w:bCs/>
                <w:sz w:val="21"/>
                <w:szCs w:val="21"/>
              </w:rPr>
              <w:t>1</w:t>
            </w:r>
            <w:r w:rsidR="00851673" w:rsidRPr="00826530">
              <w:rPr>
                <w:rFonts w:ascii="Arial" w:hAnsi="Arial" w:cs="Arial"/>
                <w:bCs/>
                <w:sz w:val="21"/>
                <w:szCs w:val="21"/>
              </w:rPr>
              <w:t>.</w:t>
            </w:r>
            <w:r w:rsidRPr="00826530">
              <w:rPr>
                <w:rFonts w:ascii="Arial" w:hAnsi="Arial" w:cs="Arial"/>
                <w:bCs/>
                <w:sz w:val="21"/>
                <w:szCs w:val="21"/>
              </w:rPr>
              <w:t>69</w:t>
            </w:r>
          </w:p>
        </w:tc>
        <w:tc>
          <w:tcPr>
            <w:tcW w:w="1420" w:type="dxa"/>
            <w:tcBorders>
              <w:top w:val="nil"/>
              <w:left w:val="nil"/>
              <w:bottom w:val="nil"/>
              <w:right w:val="nil"/>
            </w:tcBorders>
            <w:vAlign w:val="center"/>
          </w:tcPr>
          <w:p w14:paraId="1E832A17" w14:textId="59718CE0" w:rsidR="00851673" w:rsidRPr="00826530" w:rsidRDefault="00851673" w:rsidP="00836582">
            <w:pPr>
              <w:jc w:val="center"/>
              <w:rPr>
                <w:rFonts w:ascii="Arial" w:hAnsi="Arial" w:cs="Arial"/>
                <w:b/>
                <w:sz w:val="21"/>
                <w:szCs w:val="21"/>
              </w:rPr>
            </w:pPr>
            <w:r w:rsidRPr="00826530">
              <w:rPr>
                <w:rFonts w:ascii="Arial" w:hAnsi="Arial" w:cs="Arial"/>
                <w:b/>
                <w:sz w:val="21"/>
                <w:szCs w:val="21"/>
              </w:rPr>
              <w:t>1.0</w:t>
            </w:r>
            <w:r w:rsidR="002964EB" w:rsidRPr="00826530">
              <w:rPr>
                <w:rFonts w:ascii="Arial" w:hAnsi="Arial" w:cs="Arial"/>
                <w:b/>
                <w:sz w:val="21"/>
                <w:szCs w:val="21"/>
              </w:rPr>
              <w:t>1</w:t>
            </w:r>
            <w:r w:rsidRPr="00826530">
              <w:rPr>
                <w:rFonts w:ascii="Arial" w:hAnsi="Arial" w:cs="Arial"/>
                <w:b/>
                <w:sz w:val="21"/>
                <w:szCs w:val="21"/>
              </w:rPr>
              <w:t xml:space="preserve">, </w:t>
            </w:r>
            <w:r w:rsidR="002964EB" w:rsidRPr="00826530">
              <w:rPr>
                <w:rFonts w:ascii="Arial" w:hAnsi="Arial" w:cs="Arial"/>
                <w:b/>
                <w:sz w:val="21"/>
                <w:szCs w:val="21"/>
              </w:rPr>
              <w:t>2</w:t>
            </w:r>
            <w:r w:rsidRPr="00826530">
              <w:rPr>
                <w:rFonts w:ascii="Arial" w:hAnsi="Arial" w:cs="Arial"/>
                <w:b/>
                <w:sz w:val="21"/>
                <w:szCs w:val="21"/>
              </w:rPr>
              <w:t>.8</w:t>
            </w:r>
            <w:r w:rsidR="002964EB" w:rsidRPr="00826530">
              <w:rPr>
                <w:rFonts w:ascii="Arial" w:hAnsi="Arial" w:cs="Arial"/>
                <w:b/>
                <w:sz w:val="21"/>
                <w:szCs w:val="21"/>
              </w:rPr>
              <w:t>2</w:t>
            </w:r>
          </w:p>
        </w:tc>
      </w:tr>
      <w:tr w:rsidR="00851673" w:rsidRPr="00826530" w14:paraId="025A06EB" w14:textId="77777777" w:rsidTr="00A07EC3">
        <w:trPr>
          <w:trHeight w:val="227"/>
        </w:trPr>
        <w:tc>
          <w:tcPr>
            <w:tcW w:w="3450" w:type="dxa"/>
            <w:gridSpan w:val="5"/>
            <w:tcBorders>
              <w:top w:val="single" w:sz="4" w:space="0" w:color="auto"/>
              <w:left w:val="nil"/>
              <w:bottom w:val="single" w:sz="4" w:space="0" w:color="auto"/>
              <w:right w:val="nil"/>
            </w:tcBorders>
            <w:vAlign w:val="center"/>
          </w:tcPr>
          <w:p w14:paraId="797D05E8" w14:textId="77777777" w:rsidR="00851673" w:rsidRPr="00826530" w:rsidRDefault="00851673" w:rsidP="00836582">
            <w:pPr>
              <w:rPr>
                <w:rFonts w:ascii="Arial" w:hAnsi="Arial" w:cs="Arial"/>
                <w:b/>
                <w:sz w:val="21"/>
                <w:szCs w:val="21"/>
              </w:rPr>
            </w:pPr>
            <w:r w:rsidRPr="00826530">
              <w:rPr>
                <w:rFonts w:ascii="Arial" w:hAnsi="Arial" w:cs="Arial"/>
                <w:b/>
                <w:sz w:val="21"/>
                <w:szCs w:val="21"/>
              </w:rPr>
              <w:t>Substance use (p6m)</w:t>
            </w:r>
          </w:p>
        </w:tc>
        <w:tc>
          <w:tcPr>
            <w:tcW w:w="1007" w:type="dxa"/>
            <w:tcBorders>
              <w:top w:val="single" w:sz="4" w:space="0" w:color="auto"/>
              <w:left w:val="nil"/>
              <w:bottom w:val="single" w:sz="4" w:space="0" w:color="auto"/>
              <w:right w:val="nil"/>
            </w:tcBorders>
            <w:vAlign w:val="center"/>
          </w:tcPr>
          <w:p w14:paraId="4C58873F" w14:textId="77777777" w:rsidR="00851673" w:rsidRPr="00826530" w:rsidRDefault="00851673" w:rsidP="00836582">
            <w:pPr>
              <w:jc w:val="center"/>
              <w:rPr>
                <w:rFonts w:ascii="Arial" w:hAnsi="Arial" w:cs="Arial"/>
                <w:b/>
                <w:sz w:val="21"/>
                <w:szCs w:val="21"/>
              </w:rPr>
            </w:pPr>
          </w:p>
        </w:tc>
        <w:tc>
          <w:tcPr>
            <w:tcW w:w="1009" w:type="dxa"/>
            <w:tcBorders>
              <w:top w:val="single" w:sz="4" w:space="0" w:color="auto"/>
              <w:left w:val="nil"/>
              <w:bottom w:val="single" w:sz="4" w:space="0" w:color="auto"/>
              <w:right w:val="nil"/>
            </w:tcBorders>
            <w:vAlign w:val="center"/>
          </w:tcPr>
          <w:p w14:paraId="7B49605D" w14:textId="77777777" w:rsidR="00851673" w:rsidRPr="00826530" w:rsidRDefault="00851673" w:rsidP="00836582">
            <w:pPr>
              <w:jc w:val="center"/>
              <w:rPr>
                <w:rFonts w:ascii="Arial" w:hAnsi="Arial" w:cs="Arial"/>
                <w:b/>
                <w:sz w:val="21"/>
                <w:szCs w:val="21"/>
              </w:rPr>
            </w:pPr>
          </w:p>
        </w:tc>
        <w:tc>
          <w:tcPr>
            <w:tcW w:w="935" w:type="dxa"/>
            <w:tcBorders>
              <w:top w:val="single" w:sz="4" w:space="0" w:color="auto"/>
              <w:left w:val="nil"/>
              <w:bottom w:val="single" w:sz="4" w:space="0" w:color="auto"/>
              <w:right w:val="nil"/>
            </w:tcBorders>
            <w:vAlign w:val="center"/>
          </w:tcPr>
          <w:p w14:paraId="4902BFE1" w14:textId="77777777" w:rsidR="00851673" w:rsidRPr="00826530" w:rsidRDefault="00851673" w:rsidP="00836582">
            <w:pPr>
              <w:jc w:val="center"/>
              <w:rPr>
                <w:rFonts w:ascii="Arial" w:hAnsi="Arial" w:cs="Arial"/>
                <w:b/>
                <w:sz w:val="21"/>
                <w:szCs w:val="21"/>
              </w:rPr>
            </w:pPr>
          </w:p>
        </w:tc>
        <w:tc>
          <w:tcPr>
            <w:tcW w:w="936" w:type="dxa"/>
            <w:tcBorders>
              <w:top w:val="single" w:sz="4" w:space="0" w:color="auto"/>
              <w:left w:val="nil"/>
              <w:bottom w:val="single" w:sz="4" w:space="0" w:color="auto"/>
              <w:right w:val="nil"/>
            </w:tcBorders>
            <w:vAlign w:val="center"/>
          </w:tcPr>
          <w:p w14:paraId="0987EA64" w14:textId="77777777" w:rsidR="00851673" w:rsidRPr="00826530" w:rsidRDefault="00851673" w:rsidP="00836582">
            <w:pPr>
              <w:jc w:val="center"/>
              <w:rPr>
                <w:rFonts w:ascii="Arial" w:hAnsi="Arial" w:cs="Arial"/>
                <w:b/>
                <w:sz w:val="21"/>
                <w:szCs w:val="21"/>
              </w:rPr>
            </w:pPr>
          </w:p>
        </w:tc>
        <w:tc>
          <w:tcPr>
            <w:tcW w:w="743" w:type="dxa"/>
            <w:tcBorders>
              <w:top w:val="single" w:sz="4" w:space="0" w:color="auto"/>
              <w:left w:val="nil"/>
              <w:bottom w:val="single" w:sz="4" w:space="0" w:color="auto"/>
              <w:right w:val="nil"/>
            </w:tcBorders>
            <w:vAlign w:val="center"/>
          </w:tcPr>
          <w:p w14:paraId="3E37B507" w14:textId="77777777" w:rsidR="00851673" w:rsidRPr="00826530" w:rsidRDefault="00851673" w:rsidP="00836582">
            <w:pPr>
              <w:jc w:val="center"/>
              <w:rPr>
                <w:rFonts w:ascii="Arial" w:hAnsi="Arial" w:cs="Arial"/>
                <w:b/>
                <w:color w:val="FF0000"/>
                <w:sz w:val="21"/>
                <w:szCs w:val="21"/>
              </w:rPr>
            </w:pPr>
          </w:p>
        </w:tc>
        <w:tc>
          <w:tcPr>
            <w:tcW w:w="1420" w:type="dxa"/>
            <w:tcBorders>
              <w:top w:val="single" w:sz="4" w:space="0" w:color="auto"/>
              <w:left w:val="nil"/>
              <w:bottom w:val="single" w:sz="4" w:space="0" w:color="auto"/>
              <w:right w:val="nil"/>
            </w:tcBorders>
            <w:vAlign w:val="center"/>
          </w:tcPr>
          <w:p w14:paraId="7A2897F2" w14:textId="77777777" w:rsidR="00851673" w:rsidRPr="00826530" w:rsidRDefault="00851673" w:rsidP="00836582">
            <w:pPr>
              <w:jc w:val="center"/>
              <w:rPr>
                <w:rFonts w:ascii="Arial" w:hAnsi="Arial" w:cs="Arial"/>
                <w:b/>
                <w:color w:val="FF0000"/>
                <w:sz w:val="21"/>
                <w:szCs w:val="21"/>
              </w:rPr>
            </w:pPr>
          </w:p>
        </w:tc>
      </w:tr>
      <w:tr w:rsidR="00851673" w:rsidRPr="00826530" w14:paraId="7BD3F1DE" w14:textId="77777777" w:rsidTr="00FE3A65">
        <w:trPr>
          <w:trHeight w:val="227"/>
        </w:trPr>
        <w:tc>
          <w:tcPr>
            <w:tcW w:w="3450" w:type="dxa"/>
            <w:gridSpan w:val="5"/>
            <w:tcBorders>
              <w:top w:val="single" w:sz="4" w:space="0" w:color="auto"/>
              <w:left w:val="nil"/>
              <w:bottom w:val="nil"/>
              <w:right w:val="nil"/>
            </w:tcBorders>
            <w:vAlign w:val="center"/>
          </w:tcPr>
          <w:p w14:paraId="52C81D57" w14:textId="06E7FAFE" w:rsidR="00851673" w:rsidRPr="00826530" w:rsidRDefault="00851673" w:rsidP="00836582">
            <w:pPr>
              <w:rPr>
                <w:rFonts w:ascii="Arial" w:hAnsi="Arial" w:cs="Arial"/>
                <w:sz w:val="21"/>
                <w:szCs w:val="21"/>
              </w:rPr>
            </w:pPr>
            <w:r w:rsidRPr="00826530">
              <w:rPr>
                <w:rFonts w:ascii="Arial" w:hAnsi="Arial" w:cs="Arial"/>
                <w:sz w:val="21"/>
                <w:szCs w:val="21"/>
              </w:rPr>
              <w:t>EDDs, no prescription</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single" w:sz="4" w:space="0" w:color="auto"/>
              <w:left w:val="nil"/>
              <w:bottom w:val="nil"/>
              <w:right w:val="nil"/>
            </w:tcBorders>
            <w:vAlign w:val="center"/>
          </w:tcPr>
          <w:p w14:paraId="621A86B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36</w:t>
            </w:r>
          </w:p>
        </w:tc>
        <w:tc>
          <w:tcPr>
            <w:tcW w:w="1009" w:type="dxa"/>
            <w:tcBorders>
              <w:top w:val="single" w:sz="4" w:space="0" w:color="auto"/>
              <w:left w:val="nil"/>
              <w:bottom w:val="nil"/>
              <w:right w:val="nil"/>
            </w:tcBorders>
            <w:vAlign w:val="center"/>
          </w:tcPr>
          <w:p w14:paraId="2EB02CB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35.0</w:t>
            </w:r>
          </w:p>
        </w:tc>
        <w:tc>
          <w:tcPr>
            <w:tcW w:w="935" w:type="dxa"/>
            <w:tcBorders>
              <w:top w:val="single" w:sz="4" w:space="0" w:color="auto"/>
              <w:left w:val="nil"/>
              <w:bottom w:val="nil"/>
              <w:right w:val="nil"/>
            </w:tcBorders>
            <w:vAlign w:val="center"/>
          </w:tcPr>
          <w:p w14:paraId="37AF844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64</w:t>
            </w:r>
          </w:p>
        </w:tc>
        <w:tc>
          <w:tcPr>
            <w:tcW w:w="936" w:type="dxa"/>
            <w:tcBorders>
              <w:top w:val="single" w:sz="4" w:space="0" w:color="auto"/>
              <w:left w:val="nil"/>
              <w:bottom w:val="nil"/>
              <w:right w:val="nil"/>
            </w:tcBorders>
            <w:vAlign w:val="center"/>
          </w:tcPr>
          <w:p w14:paraId="63735D6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11.1</w:t>
            </w:r>
          </w:p>
        </w:tc>
        <w:tc>
          <w:tcPr>
            <w:tcW w:w="743" w:type="dxa"/>
            <w:tcBorders>
              <w:top w:val="single" w:sz="4" w:space="0" w:color="auto"/>
              <w:left w:val="nil"/>
              <w:bottom w:val="nil"/>
              <w:right w:val="nil"/>
            </w:tcBorders>
            <w:vAlign w:val="center"/>
          </w:tcPr>
          <w:p w14:paraId="5BD42E89" w14:textId="09E71B42" w:rsidR="00851673" w:rsidRPr="00826530" w:rsidRDefault="002964EB" w:rsidP="00836582">
            <w:pPr>
              <w:jc w:val="center"/>
              <w:rPr>
                <w:rFonts w:ascii="Arial" w:hAnsi="Arial" w:cs="Arial"/>
                <w:bCs/>
                <w:sz w:val="21"/>
                <w:szCs w:val="21"/>
              </w:rPr>
            </w:pPr>
            <w:r w:rsidRPr="00826530">
              <w:rPr>
                <w:rFonts w:ascii="Arial" w:hAnsi="Arial" w:cs="Arial"/>
                <w:bCs/>
                <w:sz w:val="21"/>
                <w:szCs w:val="21"/>
              </w:rPr>
              <w:t>6.5</w:t>
            </w:r>
            <w:r w:rsidR="00851673" w:rsidRPr="00826530">
              <w:rPr>
                <w:rFonts w:ascii="Arial" w:hAnsi="Arial" w:cs="Arial"/>
                <w:bCs/>
                <w:sz w:val="21"/>
                <w:szCs w:val="21"/>
              </w:rPr>
              <w:t>1</w:t>
            </w:r>
          </w:p>
        </w:tc>
        <w:tc>
          <w:tcPr>
            <w:tcW w:w="1420" w:type="dxa"/>
            <w:tcBorders>
              <w:top w:val="single" w:sz="4" w:space="0" w:color="auto"/>
              <w:left w:val="nil"/>
              <w:bottom w:val="nil"/>
              <w:right w:val="nil"/>
            </w:tcBorders>
            <w:vAlign w:val="center"/>
          </w:tcPr>
          <w:p w14:paraId="760A14FC" w14:textId="2B0AD726" w:rsidR="00851673" w:rsidRPr="00826530" w:rsidRDefault="00851673" w:rsidP="00836582">
            <w:pPr>
              <w:jc w:val="center"/>
              <w:rPr>
                <w:rFonts w:ascii="Arial" w:hAnsi="Arial" w:cs="Arial"/>
                <w:b/>
                <w:sz w:val="21"/>
                <w:szCs w:val="21"/>
              </w:rPr>
            </w:pPr>
            <w:r w:rsidRPr="00826530">
              <w:rPr>
                <w:rFonts w:ascii="Arial" w:hAnsi="Arial" w:cs="Arial"/>
                <w:b/>
                <w:sz w:val="21"/>
                <w:szCs w:val="21"/>
              </w:rPr>
              <w:t>3.</w:t>
            </w:r>
            <w:r w:rsidR="002964EB" w:rsidRPr="00826530">
              <w:rPr>
                <w:rFonts w:ascii="Arial" w:hAnsi="Arial" w:cs="Arial"/>
                <w:b/>
                <w:sz w:val="21"/>
                <w:szCs w:val="21"/>
              </w:rPr>
              <w:t>6</w:t>
            </w:r>
            <w:r w:rsidRPr="00826530">
              <w:rPr>
                <w:rFonts w:ascii="Arial" w:hAnsi="Arial" w:cs="Arial"/>
                <w:b/>
                <w:sz w:val="21"/>
                <w:szCs w:val="21"/>
              </w:rPr>
              <w:t>8, 1</w:t>
            </w:r>
            <w:r w:rsidR="002964EB" w:rsidRPr="00826530">
              <w:rPr>
                <w:rFonts w:ascii="Arial" w:hAnsi="Arial" w:cs="Arial"/>
                <w:b/>
                <w:sz w:val="21"/>
                <w:szCs w:val="21"/>
              </w:rPr>
              <w:t>1</w:t>
            </w:r>
            <w:r w:rsidRPr="00826530">
              <w:rPr>
                <w:rFonts w:ascii="Arial" w:hAnsi="Arial" w:cs="Arial"/>
                <w:b/>
                <w:sz w:val="21"/>
                <w:szCs w:val="21"/>
              </w:rPr>
              <w:t>.</w:t>
            </w:r>
            <w:r w:rsidR="002964EB" w:rsidRPr="00826530">
              <w:rPr>
                <w:rFonts w:ascii="Arial" w:hAnsi="Arial" w:cs="Arial"/>
                <w:b/>
                <w:sz w:val="21"/>
                <w:szCs w:val="21"/>
              </w:rPr>
              <w:t>53</w:t>
            </w:r>
          </w:p>
        </w:tc>
      </w:tr>
      <w:tr w:rsidR="00851673" w:rsidRPr="00826530" w14:paraId="26284491" w14:textId="77777777" w:rsidTr="00FE3A65">
        <w:trPr>
          <w:trHeight w:val="227"/>
        </w:trPr>
        <w:tc>
          <w:tcPr>
            <w:tcW w:w="3450" w:type="dxa"/>
            <w:gridSpan w:val="5"/>
            <w:tcBorders>
              <w:top w:val="nil"/>
              <w:left w:val="nil"/>
              <w:bottom w:val="nil"/>
              <w:right w:val="nil"/>
            </w:tcBorders>
            <w:vAlign w:val="center"/>
          </w:tcPr>
          <w:p w14:paraId="0CF2C843" w14:textId="39A0EB2D" w:rsidR="00851673" w:rsidRPr="00826530" w:rsidRDefault="00851673" w:rsidP="00836582">
            <w:pPr>
              <w:rPr>
                <w:rFonts w:ascii="Arial" w:hAnsi="Arial" w:cs="Arial"/>
                <w:sz w:val="21"/>
                <w:szCs w:val="21"/>
              </w:rPr>
            </w:pPr>
            <w:r w:rsidRPr="00826530">
              <w:rPr>
                <w:rFonts w:ascii="Arial" w:hAnsi="Arial" w:cs="Arial"/>
                <w:sz w:val="21"/>
                <w:szCs w:val="21"/>
              </w:rPr>
              <w:t>EDDs, prescription</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58F97A7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20</w:t>
            </w:r>
          </w:p>
        </w:tc>
        <w:tc>
          <w:tcPr>
            <w:tcW w:w="1009" w:type="dxa"/>
            <w:tcBorders>
              <w:top w:val="nil"/>
              <w:left w:val="nil"/>
              <w:bottom w:val="nil"/>
              <w:right w:val="nil"/>
            </w:tcBorders>
            <w:vAlign w:val="center"/>
          </w:tcPr>
          <w:p w14:paraId="75DD30E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19.4</w:t>
            </w:r>
          </w:p>
        </w:tc>
        <w:tc>
          <w:tcPr>
            <w:tcW w:w="935" w:type="dxa"/>
            <w:tcBorders>
              <w:top w:val="nil"/>
              <w:left w:val="nil"/>
              <w:bottom w:val="nil"/>
              <w:right w:val="nil"/>
            </w:tcBorders>
            <w:vAlign w:val="center"/>
          </w:tcPr>
          <w:p w14:paraId="41A9F4C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71</w:t>
            </w:r>
          </w:p>
        </w:tc>
        <w:tc>
          <w:tcPr>
            <w:tcW w:w="936" w:type="dxa"/>
            <w:tcBorders>
              <w:top w:val="nil"/>
              <w:left w:val="nil"/>
              <w:bottom w:val="nil"/>
              <w:right w:val="nil"/>
            </w:tcBorders>
            <w:vAlign w:val="center"/>
          </w:tcPr>
          <w:p w14:paraId="3020F8B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12.3</w:t>
            </w:r>
          </w:p>
        </w:tc>
        <w:tc>
          <w:tcPr>
            <w:tcW w:w="743" w:type="dxa"/>
            <w:tcBorders>
              <w:top w:val="nil"/>
              <w:left w:val="nil"/>
              <w:bottom w:val="nil"/>
              <w:right w:val="nil"/>
            </w:tcBorders>
            <w:vAlign w:val="center"/>
          </w:tcPr>
          <w:p w14:paraId="7BF29709" w14:textId="588B4948" w:rsidR="00851673" w:rsidRPr="00826530" w:rsidRDefault="00851673" w:rsidP="00836582">
            <w:pPr>
              <w:jc w:val="center"/>
              <w:rPr>
                <w:rFonts w:ascii="Arial" w:hAnsi="Arial" w:cs="Arial"/>
                <w:bCs/>
                <w:sz w:val="21"/>
                <w:szCs w:val="21"/>
              </w:rPr>
            </w:pPr>
            <w:r w:rsidRPr="00826530">
              <w:rPr>
                <w:rFonts w:ascii="Arial" w:hAnsi="Arial" w:cs="Arial"/>
                <w:bCs/>
                <w:sz w:val="21"/>
                <w:szCs w:val="21"/>
              </w:rPr>
              <w:t>2.</w:t>
            </w:r>
            <w:r w:rsidR="002964EB" w:rsidRPr="00826530">
              <w:rPr>
                <w:rFonts w:ascii="Arial" w:hAnsi="Arial" w:cs="Arial"/>
                <w:bCs/>
                <w:sz w:val="21"/>
                <w:szCs w:val="21"/>
              </w:rPr>
              <w:t>24</w:t>
            </w:r>
          </w:p>
        </w:tc>
        <w:tc>
          <w:tcPr>
            <w:tcW w:w="1420" w:type="dxa"/>
            <w:tcBorders>
              <w:top w:val="nil"/>
              <w:left w:val="nil"/>
              <w:bottom w:val="nil"/>
              <w:right w:val="nil"/>
            </w:tcBorders>
            <w:vAlign w:val="center"/>
          </w:tcPr>
          <w:p w14:paraId="24993F90" w14:textId="4AADBF12" w:rsidR="00851673" w:rsidRPr="00826530" w:rsidRDefault="00851673" w:rsidP="00836582">
            <w:pPr>
              <w:jc w:val="center"/>
              <w:rPr>
                <w:rFonts w:ascii="Arial" w:hAnsi="Arial" w:cs="Arial"/>
                <w:b/>
                <w:sz w:val="21"/>
                <w:szCs w:val="21"/>
              </w:rPr>
            </w:pPr>
            <w:r w:rsidRPr="00826530">
              <w:rPr>
                <w:rFonts w:ascii="Arial" w:hAnsi="Arial" w:cs="Arial"/>
                <w:b/>
                <w:sz w:val="21"/>
                <w:szCs w:val="21"/>
              </w:rPr>
              <w:t>1.</w:t>
            </w:r>
            <w:r w:rsidR="002964EB" w:rsidRPr="00826530">
              <w:rPr>
                <w:rFonts w:ascii="Arial" w:hAnsi="Arial" w:cs="Arial"/>
                <w:b/>
                <w:sz w:val="21"/>
                <w:szCs w:val="21"/>
              </w:rPr>
              <w:t>25</w:t>
            </w:r>
            <w:r w:rsidRPr="00826530">
              <w:rPr>
                <w:rFonts w:ascii="Arial" w:hAnsi="Arial" w:cs="Arial"/>
                <w:b/>
                <w:sz w:val="21"/>
                <w:szCs w:val="21"/>
              </w:rPr>
              <w:t>, 4.</w:t>
            </w:r>
            <w:r w:rsidR="002964EB" w:rsidRPr="00826530">
              <w:rPr>
                <w:rFonts w:ascii="Arial" w:hAnsi="Arial" w:cs="Arial"/>
                <w:b/>
                <w:sz w:val="21"/>
                <w:szCs w:val="21"/>
              </w:rPr>
              <w:t>00</w:t>
            </w:r>
          </w:p>
        </w:tc>
      </w:tr>
      <w:tr w:rsidR="00851673" w:rsidRPr="00826530" w14:paraId="261951C2" w14:textId="77777777" w:rsidTr="00FE3A65">
        <w:trPr>
          <w:trHeight w:val="227"/>
        </w:trPr>
        <w:tc>
          <w:tcPr>
            <w:tcW w:w="3450" w:type="dxa"/>
            <w:gridSpan w:val="5"/>
            <w:tcBorders>
              <w:top w:val="nil"/>
              <w:left w:val="nil"/>
              <w:bottom w:val="nil"/>
              <w:right w:val="nil"/>
            </w:tcBorders>
            <w:vAlign w:val="center"/>
          </w:tcPr>
          <w:p w14:paraId="71DB2C90" w14:textId="3918BAF3" w:rsidR="00851673" w:rsidRPr="00826530" w:rsidRDefault="00851673" w:rsidP="00836582">
            <w:pPr>
              <w:rPr>
                <w:rFonts w:ascii="Arial" w:hAnsi="Arial" w:cs="Arial"/>
                <w:sz w:val="21"/>
                <w:szCs w:val="21"/>
              </w:rPr>
            </w:pPr>
            <w:r w:rsidRPr="00826530">
              <w:rPr>
                <w:rFonts w:ascii="Arial" w:hAnsi="Arial" w:cs="Arial"/>
                <w:sz w:val="21"/>
                <w:szCs w:val="21"/>
              </w:rPr>
              <w:t>Crystal methamphetamine</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004991DE"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61</w:t>
            </w:r>
          </w:p>
        </w:tc>
        <w:tc>
          <w:tcPr>
            <w:tcW w:w="1009" w:type="dxa"/>
            <w:tcBorders>
              <w:top w:val="nil"/>
              <w:left w:val="nil"/>
              <w:bottom w:val="nil"/>
              <w:right w:val="nil"/>
            </w:tcBorders>
            <w:vAlign w:val="center"/>
          </w:tcPr>
          <w:p w14:paraId="216DA76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59.2</w:t>
            </w:r>
          </w:p>
        </w:tc>
        <w:tc>
          <w:tcPr>
            <w:tcW w:w="935" w:type="dxa"/>
            <w:tcBorders>
              <w:top w:val="nil"/>
              <w:left w:val="nil"/>
              <w:bottom w:val="nil"/>
              <w:right w:val="nil"/>
            </w:tcBorders>
            <w:vAlign w:val="center"/>
          </w:tcPr>
          <w:p w14:paraId="06BACA6C"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73</w:t>
            </w:r>
          </w:p>
        </w:tc>
        <w:tc>
          <w:tcPr>
            <w:tcW w:w="936" w:type="dxa"/>
            <w:tcBorders>
              <w:top w:val="nil"/>
              <w:left w:val="nil"/>
              <w:bottom w:val="nil"/>
              <w:right w:val="nil"/>
            </w:tcBorders>
            <w:vAlign w:val="center"/>
          </w:tcPr>
          <w:p w14:paraId="46F44A1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12.7</w:t>
            </w:r>
          </w:p>
        </w:tc>
        <w:tc>
          <w:tcPr>
            <w:tcW w:w="743" w:type="dxa"/>
            <w:tcBorders>
              <w:top w:val="nil"/>
              <w:left w:val="nil"/>
              <w:bottom w:val="nil"/>
              <w:right w:val="nil"/>
            </w:tcBorders>
            <w:vAlign w:val="center"/>
          </w:tcPr>
          <w:p w14:paraId="24CBC27B" w14:textId="5121C897" w:rsidR="00851673" w:rsidRPr="00826530" w:rsidRDefault="002964EB" w:rsidP="00836582">
            <w:pPr>
              <w:jc w:val="center"/>
              <w:rPr>
                <w:rFonts w:ascii="Arial" w:hAnsi="Arial" w:cs="Arial"/>
                <w:bCs/>
                <w:sz w:val="21"/>
                <w:szCs w:val="21"/>
              </w:rPr>
            </w:pPr>
            <w:r w:rsidRPr="00826530">
              <w:rPr>
                <w:rFonts w:ascii="Arial" w:hAnsi="Arial" w:cs="Arial"/>
                <w:bCs/>
                <w:sz w:val="21"/>
                <w:szCs w:val="21"/>
              </w:rPr>
              <w:t>28</w:t>
            </w:r>
            <w:r w:rsidR="00851673" w:rsidRPr="00826530">
              <w:rPr>
                <w:rFonts w:ascii="Arial" w:hAnsi="Arial" w:cs="Arial"/>
                <w:bCs/>
                <w:sz w:val="21"/>
                <w:szCs w:val="21"/>
              </w:rPr>
              <w:t>.</w:t>
            </w:r>
            <w:r w:rsidRPr="00826530">
              <w:rPr>
                <w:rFonts w:ascii="Arial" w:hAnsi="Arial" w:cs="Arial"/>
                <w:bCs/>
                <w:sz w:val="21"/>
                <w:szCs w:val="21"/>
              </w:rPr>
              <w:t>94</w:t>
            </w:r>
          </w:p>
        </w:tc>
        <w:tc>
          <w:tcPr>
            <w:tcW w:w="1420" w:type="dxa"/>
            <w:tcBorders>
              <w:top w:val="nil"/>
              <w:left w:val="nil"/>
              <w:bottom w:val="nil"/>
              <w:right w:val="nil"/>
            </w:tcBorders>
            <w:vAlign w:val="center"/>
          </w:tcPr>
          <w:p w14:paraId="37F0A5E7" w14:textId="49D1E8DE" w:rsidR="00851673" w:rsidRPr="00826530" w:rsidRDefault="00851673" w:rsidP="00836582">
            <w:pPr>
              <w:jc w:val="center"/>
              <w:rPr>
                <w:rFonts w:ascii="Arial" w:hAnsi="Arial" w:cs="Arial"/>
                <w:b/>
                <w:sz w:val="21"/>
                <w:szCs w:val="21"/>
              </w:rPr>
            </w:pPr>
            <w:r w:rsidRPr="00826530">
              <w:rPr>
                <w:rFonts w:ascii="Arial" w:hAnsi="Arial" w:cs="Arial"/>
                <w:b/>
                <w:sz w:val="21"/>
                <w:szCs w:val="21"/>
              </w:rPr>
              <w:t>1</w:t>
            </w:r>
            <w:r w:rsidR="002964EB" w:rsidRPr="00826530">
              <w:rPr>
                <w:rFonts w:ascii="Arial" w:hAnsi="Arial" w:cs="Arial"/>
                <w:b/>
                <w:sz w:val="21"/>
                <w:szCs w:val="21"/>
              </w:rPr>
              <w:t>5</w:t>
            </w:r>
            <w:r w:rsidRPr="00826530">
              <w:rPr>
                <w:rFonts w:ascii="Arial" w:hAnsi="Arial" w:cs="Arial"/>
                <w:b/>
                <w:sz w:val="21"/>
                <w:szCs w:val="21"/>
              </w:rPr>
              <w:t>.</w:t>
            </w:r>
            <w:r w:rsidR="002964EB" w:rsidRPr="00826530">
              <w:rPr>
                <w:rFonts w:ascii="Arial" w:hAnsi="Arial" w:cs="Arial"/>
                <w:b/>
                <w:sz w:val="21"/>
                <w:szCs w:val="21"/>
              </w:rPr>
              <w:t>5</w:t>
            </w:r>
            <w:r w:rsidRPr="00826530">
              <w:rPr>
                <w:rFonts w:ascii="Arial" w:hAnsi="Arial" w:cs="Arial"/>
                <w:b/>
                <w:sz w:val="21"/>
                <w:szCs w:val="21"/>
              </w:rPr>
              <w:t xml:space="preserve">3, </w:t>
            </w:r>
            <w:r w:rsidR="002964EB" w:rsidRPr="00826530">
              <w:rPr>
                <w:rFonts w:ascii="Arial" w:hAnsi="Arial" w:cs="Arial"/>
                <w:b/>
                <w:sz w:val="21"/>
                <w:szCs w:val="21"/>
              </w:rPr>
              <w:t>53</w:t>
            </w:r>
            <w:r w:rsidRPr="00826530">
              <w:rPr>
                <w:rFonts w:ascii="Arial" w:hAnsi="Arial" w:cs="Arial"/>
                <w:b/>
                <w:sz w:val="21"/>
                <w:szCs w:val="21"/>
              </w:rPr>
              <w:t>.</w:t>
            </w:r>
            <w:r w:rsidR="002964EB" w:rsidRPr="00826530">
              <w:rPr>
                <w:rFonts w:ascii="Arial" w:hAnsi="Arial" w:cs="Arial"/>
                <w:b/>
                <w:sz w:val="21"/>
                <w:szCs w:val="21"/>
              </w:rPr>
              <w:t>92</w:t>
            </w:r>
          </w:p>
        </w:tc>
      </w:tr>
      <w:tr w:rsidR="00851673" w:rsidRPr="00826530" w14:paraId="06798252" w14:textId="77777777" w:rsidTr="00FE3A65">
        <w:trPr>
          <w:trHeight w:val="227"/>
        </w:trPr>
        <w:tc>
          <w:tcPr>
            <w:tcW w:w="3450" w:type="dxa"/>
            <w:gridSpan w:val="5"/>
            <w:tcBorders>
              <w:top w:val="nil"/>
              <w:left w:val="nil"/>
              <w:bottom w:val="nil"/>
              <w:right w:val="nil"/>
            </w:tcBorders>
            <w:vAlign w:val="center"/>
          </w:tcPr>
          <w:p w14:paraId="346233DA" w14:textId="277A9231" w:rsidR="00851673" w:rsidRPr="00826530" w:rsidRDefault="00851673" w:rsidP="00836582">
            <w:pPr>
              <w:rPr>
                <w:rFonts w:ascii="Arial" w:hAnsi="Arial" w:cs="Arial"/>
                <w:sz w:val="21"/>
                <w:szCs w:val="21"/>
              </w:rPr>
            </w:pPr>
            <w:r w:rsidRPr="00826530">
              <w:rPr>
                <w:rFonts w:ascii="Arial" w:hAnsi="Arial" w:cs="Arial"/>
                <w:sz w:val="21"/>
                <w:szCs w:val="21"/>
              </w:rPr>
              <w:t>Poppers</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66C0AC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60</w:t>
            </w:r>
          </w:p>
        </w:tc>
        <w:tc>
          <w:tcPr>
            <w:tcW w:w="1009" w:type="dxa"/>
            <w:tcBorders>
              <w:top w:val="nil"/>
              <w:left w:val="nil"/>
              <w:bottom w:val="nil"/>
              <w:right w:val="nil"/>
            </w:tcBorders>
            <w:vAlign w:val="center"/>
          </w:tcPr>
          <w:p w14:paraId="69E5A92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58.3</w:t>
            </w:r>
          </w:p>
        </w:tc>
        <w:tc>
          <w:tcPr>
            <w:tcW w:w="935" w:type="dxa"/>
            <w:tcBorders>
              <w:top w:val="nil"/>
              <w:left w:val="nil"/>
              <w:bottom w:val="nil"/>
              <w:right w:val="nil"/>
            </w:tcBorders>
            <w:vAlign w:val="center"/>
          </w:tcPr>
          <w:p w14:paraId="2A969CC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202</w:t>
            </w:r>
          </w:p>
        </w:tc>
        <w:tc>
          <w:tcPr>
            <w:tcW w:w="936" w:type="dxa"/>
            <w:tcBorders>
              <w:top w:val="nil"/>
              <w:left w:val="nil"/>
              <w:bottom w:val="nil"/>
              <w:right w:val="nil"/>
            </w:tcBorders>
            <w:vAlign w:val="center"/>
          </w:tcPr>
          <w:p w14:paraId="6F0A2C5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35.1</w:t>
            </w:r>
          </w:p>
        </w:tc>
        <w:tc>
          <w:tcPr>
            <w:tcW w:w="743" w:type="dxa"/>
            <w:tcBorders>
              <w:top w:val="nil"/>
              <w:left w:val="nil"/>
              <w:bottom w:val="nil"/>
              <w:right w:val="nil"/>
            </w:tcBorders>
            <w:vAlign w:val="center"/>
          </w:tcPr>
          <w:p w14:paraId="745373C5" w14:textId="69C9BCD4" w:rsidR="00851673" w:rsidRPr="00826530" w:rsidRDefault="002964EB" w:rsidP="00836582">
            <w:pPr>
              <w:jc w:val="center"/>
              <w:rPr>
                <w:rFonts w:ascii="Arial" w:hAnsi="Arial" w:cs="Arial"/>
                <w:bCs/>
                <w:sz w:val="21"/>
                <w:szCs w:val="21"/>
              </w:rPr>
            </w:pPr>
            <w:r w:rsidRPr="00826530">
              <w:rPr>
                <w:rFonts w:ascii="Arial" w:hAnsi="Arial" w:cs="Arial"/>
                <w:bCs/>
                <w:sz w:val="21"/>
                <w:szCs w:val="21"/>
              </w:rPr>
              <w:t>6</w:t>
            </w:r>
            <w:r w:rsidR="00851673" w:rsidRPr="00826530">
              <w:rPr>
                <w:rFonts w:ascii="Arial" w:hAnsi="Arial" w:cs="Arial"/>
                <w:bCs/>
                <w:sz w:val="21"/>
                <w:szCs w:val="21"/>
              </w:rPr>
              <w:t>.</w:t>
            </w:r>
            <w:r w:rsidRPr="00826530">
              <w:rPr>
                <w:rFonts w:ascii="Arial" w:hAnsi="Arial" w:cs="Arial"/>
                <w:bCs/>
                <w:sz w:val="21"/>
                <w:szCs w:val="21"/>
              </w:rPr>
              <w:t>93</w:t>
            </w:r>
          </w:p>
        </w:tc>
        <w:tc>
          <w:tcPr>
            <w:tcW w:w="1420" w:type="dxa"/>
            <w:tcBorders>
              <w:top w:val="nil"/>
              <w:left w:val="nil"/>
              <w:bottom w:val="nil"/>
              <w:right w:val="nil"/>
            </w:tcBorders>
            <w:vAlign w:val="center"/>
          </w:tcPr>
          <w:p w14:paraId="408D4414" w14:textId="013CA69A" w:rsidR="00851673" w:rsidRPr="00826530" w:rsidRDefault="00851673" w:rsidP="00836582">
            <w:pPr>
              <w:jc w:val="center"/>
              <w:rPr>
                <w:rFonts w:ascii="Arial" w:hAnsi="Arial" w:cs="Arial"/>
                <w:b/>
                <w:sz w:val="21"/>
                <w:szCs w:val="21"/>
              </w:rPr>
            </w:pPr>
            <w:r w:rsidRPr="00826530">
              <w:rPr>
                <w:rFonts w:ascii="Arial" w:hAnsi="Arial" w:cs="Arial"/>
                <w:b/>
                <w:sz w:val="21"/>
                <w:szCs w:val="21"/>
              </w:rPr>
              <w:t>4.</w:t>
            </w:r>
            <w:r w:rsidR="002964EB" w:rsidRPr="00826530">
              <w:rPr>
                <w:rFonts w:ascii="Arial" w:hAnsi="Arial" w:cs="Arial"/>
                <w:b/>
                <w:sz w:val="21"/>
                <w:szCs w:val="21"/>
              </w:rPr>
              <w:t>17</w:t>
            </w:r>
            <w:r w:rsidRPr="00826530">
              <w:rPr>
                <w:rFonts w:ascii="Arial" w:hAnsi="Arial" w:cs="Arial"/>
                <w:b/>
                <w:sz w:val="21"/>
                <w:szCs w:val="21"/>
              </w:rPr>
              <w:t xml:space="preserve">, </w:t>
            </w:r>
            <w:r w:rsidR="002964EB" w:rsidRPr="00826530">
              <w:rPr>
                <w:rFonts w:ascii="Arial" w:hAnsi="Arial" w:cs="Arial"/>
                <w:b/>
                <w:sz w:val="21"/>
                <w:szCs w:val="21"/>
              </w:rPr>
              <w:t>11</w:t>
            </w:r>
            <w:r w:rsidRPr="00826530">
              <w:rPr>
                <w:rFonts w:ascii="Arial" w:hAnsi="Arial" w:cs="Arial"/>
                <w:b/>
                <w:sz w:val="21"/>
                <w:szCs w:val="21"/>
              </w:rPr>
              <w:t>.</w:t>
            </w:r>
            <w:r w:rsidR="002964EB" w:rsidRPr="00826530">
              <w:rPr>
                <w:rFonts w:ascii="Arial" w:hAnsi="Arial" w:cs="Arial"/>
                <w:b/>
                <w:sz w:val="21"/>
                <w:szCs w:val="21"/>
              </w:rPr>
              <w:t>51</w:t>
            </w:r>
          </w:p>
        </w:tc>
      </w:tr>
      <w:tr w:rsidR="00851673" w:rsidRPr="00826530" w14:paraId="7DB421CA" w14:textId="77777777" w:rsidTr="00FE3A65">
        <w:trPr>
          <w:trHeight w:val="227"/>
        </w:trPr>
        <w:tc>
          <w:tcPr>
            <w:tcW w:w="3450" w:type="dxa"/>
            <w:gridSpan w:val="5"/>
            <w:tcBorders>
              <w:top w:val="nil"/>
              <w:left w:val="nil"/>
              <w:bottom w:val="nil"/>
              <w:right w:val="nil"/>
            </w:tcBorders>
            <w:vAlign w:val="center"/>
          </w:tcPr>
          <w:p w14:paraId="7E89291A" w14:textId="5BC21482" w:rsidR="00851673" w:rsidRPr="00826530" w:rsidRDefault="00851673" w:rsidP="00836582">
            <w:pPr>
              <w:rPr>
                <w:rFonts w:ascii="Arial" w:hAnsi="Arial" w:cs="Arial"/>
                <w:sz w:val="21"/>
                <w:szCs w:val="21"/>
              </w:rPr>
            </w:pPr>
            <w:r w:rsidRPr="00826530">
              <w:rPr>
                <w:rFonts w:ascii="Arial" w:hAnsi="Arial" w:cs="Arial"/>
                <w:sz w:val="21"/>
                <w:szCs w:val="21"/>
              </w:rPr>
              <w:t>Ecstasy</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6EFAB5D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46</w:t>
            </w:r>
          </w:p>
        </w:tc>
        <w:tc>
          <w:tcPr>
            <w:tcW w:w="1009" w:type="dxa"/>
            <w:tcBorders>
              <w:top w:val="nil"/>
              <w:left w:val="nil"/>
              <w:bottom w:val="nil"/>
              <w:right w:val="nil"/>
            </w:tcBorders>
            <w:vAlign w:val="center"/>
          </w:tcPr>
          <w:p w14:paraId="231DF80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44.7</w:t>
            </w:r>
          </w:p>
        </w:tc>
        <w:tc>
          <w:tcPr>
            <w:tcW w:w="935" w:type="dxa"/>
            <w:tcBorders>
              <w:top w:val="nil"/>
              <w:left w:val="nil"/>
              <w:bottom w:val="nil"/>
              <w:right w:val="nil"/>
            </w:tcBorders>
            <w:vAlign w:val="center"/>
          </w:tcPr>
          <w:p w14:paraId="4FC0198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128</w:t>
            </w:r>
          </w:p>
        </w:tc>
        <w:tc>
          <w:tcPr>
            <w:tcW w:w="936" w:type="dxa"/>
            <w:tcBorders>
              <w:top w:val="nil"/>
              <w:left w:val="nil"/>
              <w:bottom w:val="nil"/>
              <w:right w:val="nil"/>
            </w:tcBorders>
            <w:vAlign w:val="center"/>
          </w:tcPr>
          <w:p w14:paraId="17A1123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22.2</w:t>
            </w:r>
          </w:p>
        </w:tc>
        <w:tc>
          <w:tcPr>
            <w:tcW w:w="743" w:type="dxa"/>
            <w:tcBorders>
              <w:top w:val="nil"/>
              <w:left w:val="nil"/>
              <w:bottom w:val="nil"/>
              <w:right w:val="nil"/>
            </w:tcBorders>
            <w:vAlign w:val="center"/>
          </w:tcPr>
          <w:p w14:paraId="194563BD" w14:textId="640BAE52" w:rsidR="00851673" w:rsidRPr="00826530" w:rsidRDefault="002964EB" w:rsidP="00836582">
            <w:pPr>
              <w:jc w:val="center"/>
              <w:rPr>
                <w:rFonts w:ascii="Arial" w:hAnsi="Arial" w:cs="Arial"/>
                <w:bCs/>
                <w:sz w:val="21"/>
                <w:szCs w:val="21"/>
              </w:rPr>
            </w:pPr>
            <w:r w:rsidRPr="00826530">
              <w:rPr>
                <w:rFonts w:ascii="Arial" w:hAnsi="Arial" w:cs="Arial"/>
                <w:bCs/>
                <w:sz w:val="21"/>
                <w:szCs w:val="21"/>
              </w:rPr>
              <w:t>4.81</w:t>
            </w:r>
          </w:p>
        </w:tc>
        <w:tc>
          <w:tcPr>
            <w:tcW w:w="1420" w:type="dxa"/>
            <w:tcBorders>
              <w:top w:val="nil"/>
              <w:left w:val="nil"/>
              <w:bottom w:val="nil"/>
              <w:right w:val="nil"/>
            </w:tcBorders>
            <w:vAlign w:val="center"/>
          </w:tcPr>
          <w:p w14:paraId="160FF845" w14:textId="5A1FBD3D" w:rsidR="00851673" w:rsidRPr="00826530" w:rsidRDefault="00851673" w:rsidP="00836582">
            <w:pPr>
              <w:jc w:val="center"/>
              <w:rPr>
                <w:rFonts w:ascii="Arial" w:hAnsi="Arial" w:cs="Arial"/>
                <w:b/>
                <w:sz w:val="21"/>
                <w:szCs w:val="21"/>
              </w:rPr>
            </w:pPr>
            <w:r w:rsidRPr="00826530">
              <w:rPr>
                <w:rFonts w:ascii="Arial" w:hAnsi="Arial" w:cs="Arial"/>
                <w:b/>
                <w:sz w:val="21"/>
                <w:szCs w:val="21"/>
              </w:rPr>
              <w:t>3.</w:t>
            </w:r>
            <w:r w:rsidR="002964EB" w:rsidRPr="00826530">
              <w:rPr>
                <w:rFonts w:ascii="Arial" w:hAnsi="Arial" w:cs="Arial"/>
                <w:b/>
                <w:sz w:val="21"/>
                <w:szCs w:val="21"/>
              </w:rPr>
              <w:t>02</w:t>
            </w:r>
            <w:r w:rsidRPr="00826530">
              <w:rPr>
                <w:rFonts w:ascii="Arial" w:hAnsi="Arial" w:cs="Arial"/>
                <w:b/>
                <w:sz w:val="21"/>
                <w:szCs w:val="21"/>
              </w:rPr>
              <w:t xml:space="preserve">, </w:t>
            </w:r>
            <w:r w:rsidR="002964EB" w:rsidRPr="00826530">
              <w:rPr>
                <w:rFonts w:ascii="Arial" w:hAnsi="Arial" w:cs="Arial"/>
                <w:b/>
                <w:sz w:val="21"/>
                <w:szCs w:val="21"/>
              </w:rPr>
              <w:t>7</w:t>
            </w:r>
            <w:r w:rsidRPr="00826530">
              <w:rPr>
                <w:rFonts w:ascii="Arial" w:hAnsi="Arial" w:cs="Arial"/>
                <w:b/>
                <w:sz w:val="21"/>
                <w:szCs w:val="21"/>
              </w:rPr>
              <w:t>.</w:t>
            </w:r>
            <w:r w:rsidR="002964EB" w:rsidRPr="00826530">
              <w:rPr>
                <w:rFonts w:ascii="Arial" w:hAnsi="Arial" w:cs="Arial"/>
                <w:b/>
                <w:sz w:val="21"/>
                <w:szCs w:val="21"/>
              </w:rPr>
              <w:t>64</w:t>
            </w:r>
          </w:p>
        </w:tc>
      </w:tr>
      <w:tr w:rsidR="00851673" w:rsidRPr="00826530" w14:paraId="5013D1F6" w14:textId="77777777" w:rsidTr="00FE3A65">
        <w:trPr>
          <w:trHeight w:val="227"/>
        </w:trPr>
        <w:tc>
          <w:tcPr>
            <w:tcW w:w="3450" w:type="dxa"/>
            <w:gridSpan w:val="5"/>
            <w:tcBorders>
              <w:top w:val="nil"/>
              <w:left w:val="nil"/>
              <w:bottom w:val="nil"/>
              <w:right w:val="nil"/>
            </w:tcBorders>
            <w:vAlign w:val="center"/>
          </w:tcPr>
          <w:p w14:paraId="02814177" w14:textId="03BCE567" w:rsidR="00851673" w:rsidRPr="00826530" w:rsidRDefault="00851673" w:rsidP="00836582">
            <w:pPr>
              <w:rPr>
                <w:rFonts w:ascii="Arial" w:hAnsi="Arial" w:cs="Arial"/>
                <w:sz w:val="21"/>
                <w:szCs w:val="21"/>
              </w:rPr>
            </w:pPr>
            <w:r w:rsidRPr="00826530">
              <w:rPr>
                <w:rFonts w:ascii="Arial" w:hAnsi="Arial" w:cs="Arial"/>
                <w:sz w:val="21"/>
                <w:szCs w:val="21"/>
              </w:rPr>
              <w:t>Gamma-hydroxybutyric acid</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3B9281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48</w:t>
            </w:r>
          </w:p>
        </w:tc>
        <w:tc>
          <w:tcPr>
            <w:tcW w:w="1009" w:type="dxa"/>
            <w:tcBorders>
              <w:top w:val="nil"/>
              <w:left w:val="nil"/>
              <w:bottom w:val="nil"/>
              <w:right w:val="nil"/>
            </w:tcBorders>
            <w:vAlign w:val="center"/>
          </w:tcPr>
          <w:p w14:paraId="61445E4A"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46.6</w:t>
            </w:r>
          </w:p>
        </w:tc>
        <w:tc>
          <w:tcPr>
            <w:tcW w:w="935" w:type="dxa"/>
            <w:tcBorders>
              <w:top w:val="nil"/>
              <w:left w:val="nil"/>
              <w:bottom w:val="nil"/>
              <w:right w:val="nil"/>
            </w:tcBorders>
            <w:vAlign w:val="center"/>
          </w:tcPr>
          <w:p w14:paraId="16E21C7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83</w:t>
            </w:r>
          </w:p>
        </w:tc>
        <w:tc>
          <w:tcPr>
            <w:tcW w:w="936" w:type="dxa"/>
            <w:tcBorders>
              <w:top w:val="nil"/>
              <w:left w:val="nil"/>
              <w:bottom w:val="nil"/>
              <w:right w:val="nil"/>
            </w:tcBorders>
            <w:vAlign w:val="center"/>
          </w:tcPr>
          <w:p w14:paraId="7B6BDEE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14.4</w:t>
            </w:r>
          </w:p>
        </w:tc>
        <w:tc>
          <w:tcPr>
            <w:tcW w:w="743" w:type="dxa"/>
            <w:tcBorders>
              <w:top w:val="nil"/>
              <w:left w:val="nil"/>
              <w:bottom w:val="nil"/>
              <w:right w:val="nil"/>
            </w:tcBorders>
            <w:vAlign w:val="center"/>
          </w:tcPr>
          <w:p w14:paraId="7453D2B5" w14:textId="1439813E"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2964EB" w:rsidRPr="00826530">
              <w:rPr>
                <w:rFonts w:ascii="Arial" w:hAnsi="Arial" w:cs="Arial"/>
                <w:bCs/>
                <w:sz w:val="21"/>
                <w:szCs w:val="21"/>
              </w:rPr>
              <w:t>2</w:t>
            </w:r>
            <w:r w:rsidRPr="00826530">
              <w:rPr>
                <w:rFonts w:ascii="Arial" w:hAnsi="Arial" w:cs="Arial"/>
                <w:bCs/>
                <w:sz w:val="21"/>
                <w:szCs w:val="21"/>
              </w:rPr>
              <w:t>.</w:t>
            </w:r>
            <w:r w:rsidR="002964EB" w:rsidRPr="00826530">
              <w:rPr>
                <w:rFonts w:ascii="Arial" w:hAnsi="Arial" w:cs="Arial"/>
                <w:bCs/>
                <w:sz w:val="21"/>
                <w:szCs w:val="21"/>
              </w:rPr>
              <w:t>6</w:t>
            </w:r>
            <w:r w:rsidRPr="00826530">
              <w:rPr>
                <w:rFonts w:ascii="Arial" w:hAnsi="Arial" w:cs="Arial"/>
                <w:bCs/>
                <w:sz w:val="21"/>
                <w:szCs w:val="21"/>
              </w:rPr>
              <w:t>3</w:t>
            </w:r>
          </w:p>
        </w:tc>
        <w:tc>
          <w:tcPr>
            <w:tcW w:w="1420" w:type="dxa"/>
            <w:tcBorders>
              <w:top w:val="nil"/>
              <w:left w:val="nil"/>
              <w:bottom w:val="nil"/>
              <w:right w:val="nil"/>
            </w:tcBorders>
            <w:vAlign w:val="center"/>
          </w:tcPr>
          <w:p w14:paraId="4EC754FA" w14:textId="6245AAF1" w:rsidR="00851673" w:rsidRPr="00826530" w:rsidRDefault="002964EB" w:rsidP="00836582">
            <w:pPr>
              <w:jc w:val="center"/>
              <w:rPr>
                <w:rFonts w:ascii="Arial" w:hAnsi="Arial" w:cs="Arial"/>
                <w:b/>
                <w:sz w:val="21"/>
                <w:szCs w:val="21"/>
              </w:rPr>
            </w:pPr>
            <w:r w:rsidRPr="00826530">
              <w:rPr>
                <w:rFonts w:ascii="Arial" w:hAnsi="Arial" w:cs="Arial"/>
                <w:b/>
                <w:sz w:val="21"/>
                <w:szCs w:val="21"/>
              </w:rPr>
              <w:t>7.21</w:t>
            </w:r>
            <w:r w:rsidR="00851673" w:rsidRPr="00826530">
              <w:rPr>
                <w:rFonts w:ascii="Arial" w:hAnsi="Arial" w:cs="Arial"/>
                <w:b/>
                <w:sz w:val="21"/>
                <w:szCs w:val="21"/>
              </w:rPr>
              <w:t>, 2</w:t>
            </w:r>
            <w:r w:rsidRPr="00826530">
              <w:rPr>
                <w:rFonts w:ascii="Arial" w:hAnsi="Arial" w:cs="Arial"/>
                <w:b/>
                <w:sz w:val="21"/>
                <w:szCs w:val="21"/>
              </w:rPr>
              <w:t>2</w:t>
            </w:r>
            <w:r w:rsidR="00851673" w:rsidRPr="00826530">
              <w:rPr>
                <w:rFonts w:ascii="Arial" w:hAnsi="Arial" w:cs="Arial"/>
                <w:b/>
                <w:sz w:val="21"/>
                <w:szCs w:val="21"/>
              </w:rPr>
              <w:t>.</w:t>
            </w:r>
            <w:r w:rsidRPr="00826530">
              <w:rPr>
                <w:rFonts w:ascii="Arial" w:hAnsi="Arial" w:cs="Arial"/>
                <w:b/>
                <w:sz w:val="21"/>
                <w:szCs w:val="21"/>
              </w:rPr>
              <w:t>13</w:t>
            </w:r>
          </w:p>
        </w:tc>
      </w:tr>
      <w:tr w:rsidR="00851673" w:rsidRPr="00826530" w14:paraId="462BC215" w14:textId="77777777" w:rsidTr="00826530">
        <w:trPr>
          <w:trHeight w:val="227"/>
        </w:trPr>
        <w:tc>
          <w:tcPr>
            <w:tcW w:w="1560" w:type="dxa"/>
            <w:tcBorders>
              <w:top w:val="nil"/>
              <w:left w:val="nil"/>
              <w:bottom w:val="nil"/>
              <w:right w:val="nil"/>
            </w:tcBorders>
            <w:vAlign w:val="center"/>
          </w:tcPr>
          <w:p w14:paraId="236AADB9" w14:textId="5FC61605" w:rsidR="00851673" w:rsidRPr="00826530" w:rsidRDefault="00851673" w:rsidP="00836582">
            <w:pPr>
              <w:rPr>
                <w:rFonts w:ascii="Arial" w:hAnsi="Arial" w:cs="Arial"/>
                <w:sz w:val="21"/>
                <w:szCs w:val="21"/>
              </w:rPr>
            </w:pPr>
            <w:r w:rsidRPr="00826530">
              <w:rPr>
                <w:rFonts w:ascii="Arial" w:hAnsi="Arial" w:cs="Arial"/>
                <w:sz w:val="21"/>
                <w:szCs w:val="21"/>
              </w:rPr>
              <w:t>Ketamine</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890" w:type="dxa"/>
            <w:gridSpan w:val="4"/>
            <w:tcBorders>
              <w:top w:val="nil"/>
              <w:left w:val="nil"/>
              <w:bottom w:val="nil"/>
              <w:right w:val="nil"/>
            </w:tcBorders>
            <w:vAlign w:val="center"/>
          </w:tcPr>
          <w:p w14:paraId="4E976680" w14:textId="77777777" w:rsidR="00851673" w:rsidRPr="00826530" w:rsidRDefault="00851673" w:rsidP="00836582">
            <w:pPr>
              <w:rPr>
                <w:rFonts w:ascii="Arial" w:hAnsi="Arial" w:cs="Arial"/>
                <w:sz w:val="21"/>
                <w:szCs w:val="21"/>
              </w:rPr>
            </w:pPr>
          </w:p>
        </w:tc>
        <w:tc>
          <w:tcPr>
            <w:tcW w:w="1007" w:type="dxa"/>
            <w:tcBorders>
              <w:top w:val="nil"/>
              <w:left w:val="nil"/>
              <w:bottom w:val="nil"/>
              <w:right w:val="nil"/>
            </w:tcBorders>
            <w:vAlign w:val="center"/>
          </w:tcPr>
          <w:p w14:paraId="2144239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33</w:t>
            </w:r>
          </w:p>
        </w:tc>
        <w:tc>
          <w:tcPr>
            <w:tcW w:w="1009" w:type="dxa"/>
            <w:tcBorders>
              <w:top w:val="nil"/>
              <w:left w:val="nil"/>
              <w:bottom w:val="nil"/>
              <w:right w:val="nil"/>
            </w:tcBorders>
            <w:vAlign w:val="center"/>
          </w:tcPr>
          <w:p w14:paraId="4E16A26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32.0</w:t>
            </w:r>
          </w:p>
        </w:tc>
        <w:tc>
          <w:tcPr>
            <w:tcW w:w="935" w:type="dxa"/>
            <w:tcBorders>
              <w:top w:val="nil"/>
              <w:left w:val="nil"/>
              <w:bottom w:val="nil"/>
              <w:right w:val="nil"/>
            </w:tcBorders>
            <w:vAlign w:val="center"/>
          </w:tcPr>
          <w:p w14:paraId="556088D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64</w:t>
            </w:r>
          </w:p>
        </w:tc>
        <w:tc>
          <w:tcPr>
            <w:tcW w:w="936" w:type="dxa"/>
            <w:tcBorders>
              <w:top w:val="nil"/>
              <w:left w:val="nil"/>
              <w:bottom w:val="nil"/>
              <w:right w:val="nil"/>
            </w:tcBorders>
            <w:vAlign w:val="center"/>
          </w:tcPr>
          <w:p w14:paraId="736E173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11.1</w:t>
            </w:r>
          </w:p>
        </w:tc>
        <w:tc>
          <w:tcPr>
            <w:tcW w:w="743" w:type="dxa"/>
            <w:tcBorders>
              <w:top w:val="nil"/>
              <w:left w:val="nil"/>
              <w:bottom w:val="nil"/>
              <w:right w:val="nil"/>
            </w:tcBorders>
            <w:vAlign w:val="center"/>
          </w:tcPr>
          <w:p w14:paraId="617C7509" w14:textId="315619E0" w:rsidR="00851673" w:rsidRPr="00826530" w:rsidRDefault="00851673" w:rsidP="00836582">
            <w:pPr>
              <w:jc w:val="center"/>
              <w:rPr>
                <w:rFonts w:ascii="Arial" w:hAnsi="Arial" w:cs="Arial"/>
                <w:bCs/>
                <w:sz w:val="21"/>
                <w:szCs w:val="21"/>
              </w:rPr>
            </w:pPr>
            <w:r w:rsidRPr="00826530">
              <w:rPr>
                <w:rFonts w:ascii="Arial" w:hAnsi="Arial" w:cs="Arial"/>
                <w:bCs/>
                <w:sz w:val="21"/>
                <w:szCs w:val="21"/>
              </w:rPr>
              <w:t>7.8</w:t>
            </w:r>
            <w:r w:rsidR="002964EB" w:rsidRPr="00826530">
              <w:rPr>
                <w:rFonts w:ascii="Arial" w:hAnsi="Arial" w:cs="Arial"/>
                <w:bCs/>
                <w:sz w:val="21"/>
                <w:szCs w:val="21"/>
              </w:rPr>
              <w:t>4</w:t>
            </w:r>
          </w:p>
        </w:tc>
        <w:tc>
          <w:tcPr>
            <w:tcW w:w="1420" w:type="dxa"/>
            <w:tcBorders>
              <w:top w:val="nil"/>
              <w:left w:val="nil"/>
              <w:bottom w:val="nil"/>
              <w:right w:val="nil"/>
            </w:tcBorders>
            <w:vAlign w:val="center"/>
          </w:tcPr>
          <w:p w14:paraId="7EA2C9FC" w14:textId="126DCC8A" w:rsidR="00851673" w:rsidRPr="00826530" w:rsidRDefault="002964EB" w:rsidP="00836582">
            <w:pPr>
              <w:jc w:val="center"/>
              <w:rPr>
                <w:rFonts w:ascii="Arial" w:hAnsi="Arial" w:cs="Arial"/>
                <w:b/>
                <w:sz w:val="21"/>
                <w:szCs w:val="21"/>
              </w:rPr>
            </w:pPr>
            <w:r w:rsidRPr="00826530">
              <w:rPr>
                <w:rFonts w:ascii="Arial" w:hAnsi="Arial" w:cs="Arial"/>
                <w:b/>
                <w:sz w:val="21"/>
                <w:szCs w:val="21"/>
              </w:rPr>
              <w:t>4</w:t>
            </w:r>
            <w:r w:rsidR="00851673" w:rsidRPr="00826530">
              <w:rPr>
                <w:rFonts w:ascii="Arial" w:hAnsi="Arial" w:cs="Arial"/>
                <w:b/>
                <w:sz w:val="21"/>
                <w:szCs w:val="21"/>
              </w:rPr>
              <w:t>.</w:t>
            </w:r>
            <w:r w:rsidRPr="00826530">
              <w:rPr>
                <w:rFonts w:ascii="Arial" w:hAnsi="Arial" w:cs="Arial"/>
                <w:b/>
                <w:sz w:val="21"/>
                <w:szCs w:val="21"/>
              </w:rPr>
              <w:t>53</w:t>
            </w:r>
            <w:r w:rsidR="00851673" w:rsidRPr="00826530">
              <w:rPr>
                <w:rFonts w:ascii="Arial" w:hAnsi="Arial" w:cs="Arial"/>
                <w:b/>
                <w:sz w:val="21"/>
                <w:szCs w:val="21"/>
              </w:rPr>
              <w:t>, 1</w:t>
            </w:r>
            <w:r w:rsidRPr="00826530">
              <w:rPr>
                <w:rFonts w:ascii="Arial" w:hAnsi="Arial" w:cs="Arial"/>
                <w:b/>
                <w:sz w:val="21"/>
                <w:szCs w:val="21"/>
              </w:rPr>
              <w:t>3</w:t>
            </w:r>
            <w:r w:rsidR="00851673" w:rsidRPr="00826530">
              <w:rPr>
                <w:rFonts w:ascii="Arial" w:hAnsi="Arial" w:cs="Arial"/>
                <w:b/>
                <w:sz w:val="21"/>
                <w:szCs w:val="21"/>
              </w:rPr>
              <w:t>.</w:t>
            </w:r>
            <w:r w:rsidRPr="00826530">
              <w:rPr>
                <w:rFonts w:ascii="Arial" w:hAnsi="Arial" w:cs="Arial"/>
                <w:b/>
                <w:sz w:val="21"/>
                <w:szCs w:val="21"/>
              </w:rPr>
              <w:t>59</w:t>
            </w:r>
          </w:p>
        </w:tc>
      </w:tr>
      <w:tr w:rsidR="00851673" w:rsidRPr="00826530" w14:paraId="62A7529D" w14:textId="77777777" w:rsidTr="00826530">
        <w:trPr>
          <w:trHeight w:val="227"/>
        </w:trPr>
        <w:tc>
          <w:tcPr>
            <w:tcW w:w="1560" w:type="dxa"/>
            <w:tcBorders>
              <w:top w:val="nil"/>
              <w:left w:val="nil"/>
              <w:bottom w:val="nil"/>
              <w:right w:val="nil"/>
            </w:tcBorders>
            <w:vAlign w:val="center"/>
          </w:tcPr>
          <w:p w14:paraId="17C16B16" w14:textId="4F105F7A" w:rsidR="00851673" w:rsidRPr="00826530" w:rsidRDefault="00851673" w:rsidP="00836582">
            <w:pPr>
              <w:rPr>
                <w:rFonts w:ascii="Arial" w:hAnsi="Arial" w:cs="Arial"/>
                <w:sz w:val="21"/>
                <w:szCs w:val="21"/>
              </w:rPr>
            </w:pPr>
            <w:r w:rsidRPr="00826530">
              <w:rPr>
                <w:rFonts w:ascii="Arial" w:hAnsi="Arial" w:cs="Arial"/>
                <w:sz w:val="21"/>
                <w:szCs w:val="21"/>
              </w:rPr>
              <w:t>Cocaine</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890" w:type="dxa"/>
            <w:gridSpan w:val="4"/>
            <w:tcBorders>
              <w:top w:val="nil"/>
              <w:left w:val="nil"/>
              <w:bottom w:val="nil"/>
              <w:right w:val="nil"/>
            </w:tcBorders>
            <w:vAlign w:val="center"/>
          </w:tcPr>
          <w:p w14:paraId="7235DB18" w14:textId="77777777" w:rsidR="00851673" w:rsidRPr="00826530" w:rsidRDefault="00851673" w:rsidP="00836582">
            <w:pPr>
              <w:rPr>
                <w:rFonts w:ascii="Arial" w:hAnsi="Arial" w:cs="Arial"/>
                <w:sz w:val="21"/>
                <w:szCs w:val="21"/>
              </w:rPr>
            </w:pPr>
          </w:p>
        </w:tc>
        <w:tc>
          <w:tcPr>
            <w:tcW w:w="1007" w:type="dxa"/>
            <w:tcBorders>
              <w:top w:val="nil"/>
              <w:left w:val="nil"/>
              <w:bottom w:val="nil"/>
              <w:right w:val="nil"/>
            </w:tcBorders>
            <w:vAlign w:val="center"/>
          </w:tcPr>
          <w:p w14:paraId="1723191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45</w:t>
            </w:r>
          </w:p>
        </w:tc>
        <w:tc>
          <w:tcPr>
            <w:tcW w:w="1009" w:type="dxa"/>
            <w:tcBorders>
              <w:top w:val="nil"/>
              <w:left w:val="nil"/>
              <w:bottom w:val="nil"/>
              <w:right w:val="nil"/>
            </w:tcBorders>
            <w:vAlign w:val="center"/>
          </w:tcPr>
          <w:p w14:paraId="3886341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43.7</w:t>
            </w:r>
          </w:p>
        </w:tc>
        <w:tc>
          <w:tcPr>
            <w:tcW w:w="935" w:type="dxa"/>
            <w:tcBorders>
              <w:top w:val="nil"/>
              <w:left w:val="nil"/>
              <w:bottom w:val="nil"/>
              <w:right w:val="nil"/>
            </w:tcBorders>
            <w:vAlign w:val="center"/>
          </w:tcPr>
          <w:p w14:paraId="0F891AB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132</w:t>
            </w:r>
          </w:p>
        </w:tc>
        <w:tc>
          <w:tcPr>
            <w:tcW w:w="936" w:type="dxa"/>
            <w:tcBorders>
              <w:top w:val="nil"/>
              <w:left w:val="nil"/>
              <w:bottom w:val="nil"/>
              <w:right w:val="nil"/>
            </w:tcBorders>
            <w:vAlign w:val="center"/>
          </w:tcPr>
          <w:p w14:paraId="19D1C4F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22.9</w:t>
            </w:r>
          </w:p>
        </w:tc>
        <w:tc>
          <w:tcPr>
            <w:tcW w:w="743" w:type="dxa"/>
            <w:tcBorders>
              <w:top w:val="nil"/>
              <w:left w:val="nil"/>
              <w:bottom w:val="nil"/>
              <w:right w:val="nil"/>
            </w:tcBorders>
            <w:vAlign w:val="center"/>
          </w:tcPr>
          <w:p w14:paraId="1F7D9783" w14:textId="637A6E92" w:rsidR="00851673" w:rsidRPr="00826530" w:rsidRDefault="002964EB" w:rsidP="00836582">
            <w:pPr>
              <w:jc w:val="center"/>
              <w:rPr>
                <w:rFonts w:ascii="Arial" w:hAnsi="Arial" w:cs="Arial"/>
                <w:bCs/>
                <w:sz w:val="21"/>
                <w:szCs w:val="21"/>
              </w:rPr>
            </w:pPr>
            <w:r w:rsidRPr="00826530">
              <w:rPr>
                <w:rFonts w:ascii="Arial" w:hAnsi="Arial" w:cs="Arial"/>
                <w:bCs/>
                <w:sz w:val="21"/>
                <w:szCs w:val="21"/>
              </w:rPr>
              <w:t>4</w:t>
            </w:r>
            <w:r w:rsidR="00851673" w:rsidRPr="00826530">
              <w:rPr>
                <w:rFonts w:ascii="Arial" w:hAnsi="Arial" w:cs="Arial"/>
                <w:bCs/>
                <w:sz w:val="21"/>
                <w:szCs w:val="21"/>
              </w:rPr>
              <w:t>.</w:t>
            </w:r>
            <w:r w:rsidRPr="00826530">
              <w:rPr>
                <w:rFonts w:ascii="Arial" w:hAnsi="Arial" w:cs="Arial"/>
                <w:bCs/>
                <w:sz w:val="21"/>
                <w:szCs w:val="21"/>
              </w:rPr>
              <w:t>21</w:t>
            </w:r>
          </w:p>
        </w:tc>
        <w:tc>
          <w:tcPr>
            <w:tcW w:w="1420" w:type="dxa"/>
            <w:tcBorders>
              <w:top w:val="nil"/>
              <w:left w:val="nil"/>
              <w:bottom w:val="nil"/>
              <w:right w:val="nil"/>
            </w:tcBorders>
            <w:vAlign w:val="center"/>
          </w:tcPr>
          <w:p w14:paraId="302A5262" w14:textId="6CCD60E6" w:rsidR="00851673" w:rsidRPr="00826530" w:rsidRDefault="00851673" w:rsidP="00836582">
            <w:pPr>
              <w:jc w:val="center"/>
              <w:rPr>
                <w:rFonts w:ascii="Arial" w:hAnsi="Arial" w:cs="Arial"/>
                <w:b/>
                <w:sz w:val="21"/>
                <w:szCs w:val="21"/>
              </w:rPr>
            </w:pPr>
            <w:r w:rsidRPr="00826530">
              <w:rPr>
                <w:rFonts w:ascii="Arial" w:hAnsi="Arial" w:cs="Arial"/>
                <w:b/>
                <w:sz w:val="21"/>
                <w:szCs w:val="21"/>
              </w:rPr>
              <w:t>2.</w:t>
            </w:r>
            <w:r w:rsidR="002964EB" w:rsidRPr="00826530">
              <w:rPr>
                <w:rFonts w:ascii="Arial" w:hAnsi="Arial" w:cs="Arial"/>
                <w:b/>
                <w:sz w:val="21"/>
                <w:szCs w:val="21"/>
              </w:rPr>
              <w:t>67</w:t>
            </w:r>
            <w:r w:rsidRPr="00826530">
              <w:rPr>
                <w:rFonts w:ascii="Arial" w:hAnsi="Arial" w:cs="Arial"/>
                <w:b/>
                <w:sz w:val="21"/>
                <w:szCs w:val="21"/>
              </w:rPr>
              <w:t xml:space="preserve">, </w:t>
            </w:r>
            <w:r w:rsidR="002964EB" w:rsidRPr="00826530">
              <w:rPr>
                <w:rFonts w:ascii="Arial" w:hAnsi="Arial" w:cs="Arial"/>
                <w:b/>
                <w:sz w:val="21"/>
                <w:szCs w:val="21"/>
              </w:rPr>
              <w:t>6</w:t>
            </w:r>
            <w:r w:rsidRPr="00826530">
              <w:rPr>
                <w:rFonts w:ascii="Arial" w:hAnsi="Arial" w:cs="Arial"/>
                <w:b/>
                <w:sz w:val="21"/>
                <w:szCs w:val="21"/>
              </w:rPr>
              <w:t>.6</w:t>
            </w:r>
            <w:r w:rsidR="002964EB" w:rsidRPr="00826530">
              <w:rPr>
                <w:rFonts w:ascii="Arial" w:hAnsi="Arial" w:cs="Arial"/>
                <w:b/>
                <w:sz w:val="21"/>
                <w:szCs w:val="21"/>
              </w:rPr>
              <w:t>6</w:t>
            </w:r>
          </w:p>
        </w:tc>
      </w:tr>
      <w:tr w:rsidR="00851673" w:rsidRPr="00826530" w14:paraId="7FD2B1D2" w14:textId="77777777" w:rsidTr="00826530">
        <w:trPr>
          <w:trHeight w:val="227"/>
        </w:trPr>
        <w:tc>
          <w:tcPr>
            <w:tcW w:w="1560" w:type="dxa"/>
            <w:tcBorders>
              <w:top w:val="nil"/>
              <w:left w:val="nil"/>
              <w:bottom w:val="nil"/>
              <w:right w:val="nil"/>
            </w:tcBorders>
            <w:vAlign w:val="center"/>
          </w:tcPr>
          <w:p w14:paraId="48194925" w14:textId="1FB98414" w:rsidR="00851673" w:rsidRPr="00826530" w:rsidRDefault="00851673" w:rsidP="00836582">
            <w:pPr>
              <w:rPr>
                <w:rFonts w:ascii="Arial" w:hAnsi="Arial" w:cs="Arial"/>
                <w:sz w:val="21"/>
                <w:szCs w:val="21"/>
              </w:rPr>
            </w:pPr>
            <w:r w:rsidRPr="00826530">
              <w:rPr>
                <w:rFonts w:ascii="Arial" w:hAnsi="Arial" w:cs="Arial"/>
                <w:sz w:val="21"/>
                <w:szCs w:val="21"/>
              </w:rPr>
              <w:t>Speed</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890" w:type="dxa"/>
            <w:gridSpan w:val="4"/>
            <w:tcBorders>
              <w:top w:val="nil"/>
              <w:left w:val="nil"/>
              <w:bottom w:val="nil"/>
              <w:right w:val="nil"/>
            </w:tcBorders>
            <w:vAlign w:val="center"/>
          </w:tcPr>
          <w:p w14:paraId="0D17F0CD" w14:textId="77777777" w:rsidR="00851673" w:rsidRPr="00826530" w:rsidRDefault="00851673" w:rsidP="00836582">
            <w:pPr>
              <w:rPr>
                <w:rFonts w:ascii="Arial" w:hAnsi="Arial" w:cs="Arial"/>
                <w:sz w:val="21"/>
                <w:szCs w:val="21"/>
              </w:rPr>
            </w:pPr>
          </w:p>
        </w:tc>
        <w:tc>
          <w:tcPr>
            <w:tcW w:w="1007" w:type="dxa"/>
            <w:tcBorders>
              <w:top w:val="nil"/>
              <w:left w:val="nil"/>
              <w:bottom w:val="nil"/>
              <w:right w:val="nil"/>
            </w:tcBorders>
            <w:vAlign w:val="center"/>
          </w:tcPr>
          <w:p w14:paraId="6A7DB29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16</w:t>
            </w:r>
          </w:p>
        </w:tc>
        <w:tc>
          <w:tcPr>
            <w:tcW w:w="1009" w:type="dxa"/>
            <w:tcBorders>
              <w:top w:val="nil"/>
              <w:left w:val="nil"/>
              <w:bottom w:val="nil"/>
              <w:right w:val="nil"/>
            </w:tcBorders>
            <w:vAlign w:val="center"/>
          </w:tcPr>
          <w:p w14:paraId="7338A3E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15.5</w:t>
            </w:r>
          </w:p>
        </w:tc>
        <w:tc>
          <w:tcPr>
            <w:tcW w:w="935" w:type="dxa"/>
            <w:tcBorders>
              <w:top w:val="nil"/>
              <w:left w:val="nil"/>
              <w:bottom w:val="nil"/>
              <w:right w:val="nil"/>
            </w:tcBorders>
            <w:vAlign w:val="center"/>
          </w:tcPr>
          <w:p w14:paraId="5EF450A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22</w:t>
            </w:r>
          </w:p>
        </w:tc>
        <w:tc>
          <w:tcPr>
            <w:tcW w:w="936" w:type="dxa"/>
            <w:tcBorders>
              <w:top w:val="nil"/>
              <w:left w:val="nil"/>
              <w:bottom w:val="nil"/>
              <w:right w:val="nil"/>
            </w:tcBorders>
            <w:vAlign w:val="center"/>
          </w:tcPr>
          <w:p w14:paraId="5DC6BCA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3.8</w:t>
            </w:r>
          </w:p>
        </w:tc>
        <w:tc>
          <w:tcPr>
            <w:tcW w:w="743" w:type="dxa"/>
            <w:tcBorders>
              <w:top w:val="nil"/>
              <w:left w:val="nil"/>
              <w:bottom w:val="nil"/>
              <w:right w:val="nil"/>
            </w:tcBorders>
            <w:vAlign w:val="center"/>
          </w:tcPr>
          <w:p w14:paraId="2C405665" w14:textId="7F380317" w:rsidR="00851673" w:rsidRPr="00826530" w:rsidRDefault="002964EB" w:rsidP="00836582">
            <w:pPr>
              <w:jc w:val="center"/>
              <w:rPr>
                <w:rFonts w:ascii="Arial" w:hAnsi="Arial" w:cs="Arial"/>
                <w:bCs/>
                <w:sz w:val="21"/>
                <w:szCs w:val="21"/>
              </w:rPr>
            </w:pPr>
            <w:r w:rsidRPr="00826530">
              <w:rPr>
                <w:rFonts w:ascii="Arial" w:hAnsi="Arial" w:cs="Arial"/>
                <w:bCs/>
                <w:sz w:val="21"/>
                <w:szCs w:val="21"/>
              </w:rPr>
              <w:t>9</w:t>
            </w:r>
            <w:r w:rsidR="00851673" w:rsidRPr="00826530">
              <w:rPr>
                <w:rFonts w:ascii="Arial" w:hAnsi="Arial" w:cs="Arial"/>
                <w:bCs/>
                <w:sz w:val="21"/>
                <w:szCs w:val="21"/>
              </w:rPr>
              <w:t>.</w:t>
            </w:r>
            <w:r w:rsidRPr="00826530">
              <w:rPr>
                <w:rFonts w:ascii="Arial" w:hAnsi="Arial" w:cs="Arial"/>
                <w:bCs/>
                <w:sz w:val="21"/>
                <w:szCs w:val="21"/>
              </w:rPr>
              <w:t>12</w:t>
            </w:r>
          </w:p>
        </w:tc>
        <w:tc>
          <w:tcPr>
            <w:tcW w:w="1420" w:type="dxa"/>
            <w:tcBorders>
              <w:top w:val="nil"/>
              <w:left w:val="nil"/>
              <w:bottom w:val="nil"/>
              <w:right w:val="nil"/>
            </w:tcBorders>
            <w:vAlign w:val="center"/>
          </w:tcPr>
          <w:p w14:paraId="3B3F209B" w14:textId="5DCF914D" w:rsidR="00851673" w:rsidRPr="00826530" w:rsidRDefault="002964EB" w:rsidP="00836582">
            <w:pPr>
              <w:jc w:val="center"/>
              <w:rPr>
                <w:rFonts w:ascii="Arial" w:hAnsi="Arial" w:cs="Arial"/>
                <w:b/>
                <w:sz w:val="21"/>
                <w:szCs w:val="21"/>
              </w:rPr>
            </w:pPr>
            <w:r w:rsidRPr="00826530">
              <w:rPr>
                <w:rFonts w:ascii="Arial" w:hAnsi="Arial" w:cs="Arial"/>
                <w:b/>
                <w:sz w:val="21"/>
                <w:szCs w:val="21"/>
              </w:rPr>
              <w:t>3</w:t>
            </w:r>
            <w:r w:rsidR="00851673" w:rsidRPr="00826530">
              <w:rPr>
                <w:rFonts w:ascii="Arial" w:hAnsi="Arial" w:cs="Arial"/>
                <w:b/>
                <w:sz w:val="21"/>
                <w:szCs w:val="21"/>
              </w:rPr>
              <w:t>.</w:t>
            </w:r>
            <w:r w:rsidRPr="00826530">
              <w:rPr>
                <w:rFonts w:ascii="Arial" w:hAnsi="Arial" w:cs="Arial"/>
                <w:b/>
                <w:sz w:val="21"/>
                <w:szCs w:val="21"/>
              </w:rPr>
              <w:t>92</w:t>
            </w:r>
            <w:r w:rsidR="00851673" w:rsidRPr="00826530">
              <w:rPr>
                <w:rFonts w:ascii="Arial" w:hAnsi="Arial" w:cs="Arial"/>
                <w:b/>
                <w:sz w:val="21"/>
                <w:szCs w:val="21"/>
              </w:rPr>
              <w:t xml:space="preserve">, </w:t>
            </w:r>
            <w:r w:rsidRPr="00826530">
              <w:rPr>
                <w:rFonts w:ascii="Arial" w:hAnsi="Arial" w:cs="Arial"/>
                <w:b/>
                <w:sz w:val="21"/>
                <w:szCs w:val="21"/>
              </w:rPr>
              <w:t>21</w:t>
            </w:r>
            <w:r w:rsidR="00851673" w:rsidRPr="00826530">
              <w:rPr>
                <w:rFonts w:ascii="Arial" w:hAnsi="Arial" w:cs="Arial"/>
                <w:b/>
                <w:sz w:val="21"/>
                <w:szCs w:val="21"/>
              </w:rPr>
              <w:t>.</w:t>
            </w:r>
            <w:r w:rsidRPr="00826530">
              <w:rPr>
                <w:rFonts w:ascii="Arial" w:hAnsi="Arial" w:cs="Arial"/>
                <w:b/>
                <w:sz w:val="21"/>
                <w:szCs w:val="21"/>
              </w:rPr>
              <w:t>2</w:t>
            </w:r>
            <w:r w:rsidR="00851673" w:rsidRPr="00826530">
              <w:rPr>
                <w:rFonts w:ascii="Arial" w:hAnsi="Arial" w:cs="Arial"/>
                <w:b/>
                <w:sz w:val="21"/>
                <w:szCs w:val="21"/>
              </w:rPr>
              <w:t>0</w:t>
            </w:r>
          </w:p>
        </w:tc>
      </w:tr>
      <w:tr w:rsidR="00851673" w:rsidRPr="00826530" w14:paraId="768AC56A" w14:textId="77777777" w:rsidTr="00826530">
        <w:trPr>
          <w:trHeight w:val="227"/>
        </w:trPr>
        <w:tc>
          <w:tcPr>
            <w:tcW w:w="1560" w:type="dxa"/>
            <w:tcBorders>
              <w:top w:val="nil"/>
              <w:left w:val="nil"/>
              <w:bottom w:val="nil"/>
              <w:right w:val="nil"/>
            </w:tcBorders>
            <w:vAlign w:val="center"/>
          </w:tcPr>
          <w:p w14:paraId="50FCCB7C" w14:textId="1FE6F2E1" w:rsidR="00851673" w:rsidRPr="00826530" w:rsidRDefault="00851673" w:rsidP="00836582">
            <w:pPr>
              <w:rPr>
                <w:rFonts w:ascii="Arial" w:hAnsi="Arial" w:cs="Arial"/>
                <w:sz w:val="21"/>
                <w:szCs w:val="21"/>
              </w:rPr>
            </w:pPr>
            <w:r w:rsidRPr="00826530">
              <w:rPr>
                <w:rFonts w:ascii="Arial" w:hAnsi="Arial" w:cs="Arial"/>
                <w:sz w:val="21"/>
                <w:szCs w:val="21"/>
              </w:rPr>
              <w:t>Heroin</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890" w:type="dxa"/>
            <w:gridSpan w:val="4"/>
            <w:tcBorders>
              <w:top w:val="nil"/>
              <w:left w:val="nil"/>
              <w:bottom w:val="nil"/>
              <w:right w:val="nil"/>
            </w:tcBorders>
            <w:vAlign w:val="center"/>
          </w:tcPr>
          <w:p w14:paraId="0D173A2D" w14:textId="77777777" w:rsidR="00851673" w:rsidRPr="00826530" w:rsidRDefault="00851673" w:rsidP="00836582">
            <w:pPr>
              <w:rPr>
                <w:rFonts w:ascii="Arial" w:hAnsi="Arial" w:cs="Arial"/>
                <w:sz w:val="21"/>
                <w:szCs w:val="21"/>
              </w:rPr>
            </w:pPr>
          </w:p>
        </w:tc>
        <w:tc>
          <w:tcPr>
            <w:tcW w:w="1007" w:type="dxa"/>
            <w:tcBorders>
              <w:top w:val="nil"/>
              <w:left w:val="nil"/>
              <w:bottom w:val="nil"/>
              <w:right w:val="nil"/>
            </w:tcBorders>
            <w:vAlign w:val="center"/>
          </w:tcPr>
          <w:p w14:paraId="4F1F99E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14</w:t>
            </w:r>
          </w:p>
        </w:tc>
        <w:tc>
          <w:tcPr>
            <w:tcW w:w="1009" w:type="dxa"/>
            <w:tcBorders>
              <w:top w:val="nil"/>
              <w:left w:val="nil"/>
              <w:bottom w:val="nil"/>
              <w:right w:val="nil"/>
            </w:tcBorders>
            <w:vAlign w:val="center"/>
          </w:tcPr>
          <w:p w14:paraId="0A61012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13.6</w:t>
            </w:r>
          </w:p>
        </w:tc>
        <w:tc>
          <w:tcPr>
            <w:tcW w:w="935" w:type="dxa"/>
            <w:tcBorders>
              <w:top w:val="nil"/>
              <w:left w:val="nil"/>
              <w:bottom w:val="nil"/>
              <w:right w:val="nil"/>
            </w:tcBorders>
            <w:vAlign w:val="center"/>
          </w:tcPr>
          <w:p w14:paraId="4676DA4A"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9</w:t>
            </w:r>
          </w:p>
        </w:tc>
        <w:tc>
          <w:tcPr>
            <w:tcW w:w="936" w:type="dxa"/>
            <w:tcBorders>
              <w:top w:val="nil"/>
              <w:left w:val="nil"/>
              <w:bottom w:val="nil"/>
              <w:right w:val="nil"/>
            </w:tcBorders>
            <w:vAlign w:val="center"/>
          </w:tcPr>
          <w:p w14:paraId="58A1128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1.6</w:t>
            </w:r>
          </w:p>
        </w:tc>
        <w:tc>
          <w:tcPr>
            <w:tcW w:w="743" w:type="dxa"/>
            <w:tcBorders>
              <w:top w:val="nil"/>
              <w:left w:val="nil"/>
              <w:bottom w:val="nil"/>
              <w:right w:val="nil"/>
            </w:tcBorders>
            <w:vAlign w:val="center"/>
          </w:tcPr>
          <w:p w14:paraId="365100D0" w14:textId="66B3D612"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2964EB" w:rsidRPr="00826530">
              <w:rPr>
                <w:rFonts w:ascii="Arial" w:hAnsi="Arial" w:cs="Arial"/>
                <w:bCs/>
                <w:sz w:val="21"/>
                <w:szCs w:val="21"/>
              </w:rPr>
              <w:t>4</w:t>
            </w:r>
            <w:r w:rsidRPr="00826530">
              <w:rPr>
                <w:rFonts w:ascii="Arial" w:hAnsi="Arial" w:cs="Arial"/>
                <w:bCs/>
                <w:sz w:val="21"/>
                <w:szCs w:val="21"/>
              </w:rPr>
              <w:t>.</w:t>
            </w:r>
            <w:r w:rsidR="002964EB" w:rsidRPr="00826530">
              <w:rPr>
                <w:rFonts w:ascii="Arial" w:hAnsi="Arial" w:cs="Arial"/>
                <w:bCs/>
                <w:sz w:val="21"/>
                <w:szCs w:val="21"/>
              </w:rPr>
              <w:t>69</w:t>
            </w:r>
          </w:p>
        </w:tc>
        <w:tc>
          <w:tcPr>
            <w:tcW w:w="1420" w:type="dxa"/>
            <w:tcBorders>
              <w:top w:val="nil"/>
              <w:left w:val="nil"/>
              <w:bottom w:val="nil"/>
              <w:right w:val="nil"/>
            </w:tcBorders>
            <w:vAlign w:val="center"/>
          </w:tcPr>
          <w:p w14:paraId="5C990CBE" w14:textId="3C7C2B21" w:rsidR="00851673" w:rsidRPr="00826530" w:rsidRDefault="002964EB" w:rsidP="00836582">
            <w:pPr>
              <w:jc w:val="center"/>
              <w:rPr>
                <w:rFonts w:ascii="Arial" w:hAnsi="Arial" w:cs="Arial"/>
                <w:b/>
                <w:sz w:val="21"/>
                <w:szCs w:val="21"/>
              </w:rPr>
            </w:pPr>
            <w:r w:rsidRPr="00826530">
              <w:rPr>
                <w:rFonts w:ascii="Arial" w:hAnsi="Arial" w:cs="Arial"/>
                <w:b/>
                <w:sz w:val="21"/>
                <w:szCs w:val="21"/>
              </w:rPr>
              <w:t>3</w:t>
            </w:r>
            <w:r w:rsidR="00851673" w:rsidRPr="00826530">
              <w:rPr>
                <w:rFonts w:ascii="Arial" w:hAnsi="Arial" w:cs="Arial"/>
                <w:b/>
                <w:sz w:val="21"/>
                <w:szCs w:val="21"/>
              </w:rPr>
              <w:t>.</w:t>
            </w:r>
            <w:r w:rsidR="00D72FB4" w:rsidRPr="00826530">
              <w:rPr>
                <w:rFonts w:ascii="Arial" w:hAnsi="Arial" w:cs="Arial"/>
                <w:b/>
                <w:sz w:val="21"/>
                <w:szCs w:val="21"/>
              </w:rPr>
              <w:t>20</w:t>
            </w:r>
            <w:r w:rsidR="00851673" w:rsidRPr="00826530">
              <w:rPr>
                <w:rFonts w:ascii="Arial" w:hAnsi="Arial" w:cs="Arial"/>
                <w:b/>
                <w:sz w:val="21"/>
                <w:szCs w:val="21"/>
              </w:rPr>
              <w:t>, 6</w:t>
            </w:r>
            <w:r w:rsidR="00D72FB4" w:rsidRPr="00826530">
              <w:rPr>
                <w:rFonts w:ascii="Arial" w:hAnsi="Arial" w:cs="Arial"/>
                <w:b/>
                <w:sz w:val="21"/>
                <w:szCs w:val="21"/>
              </w:rPr>
              <w:t>7</w:t>
            </w:r>
            <w:r w:rsidR="00851673" w:rsidRPr="00826530">
              <w:rPr>
                <w:rFonts w:ascii="Arial" w:hAnsi="Arial" w:cs="Arial"/>
                <w:b/>
                <w:sz w:val="21"/>
                <w:szCs w:val="21"/>
              </w:rPr>
              <w:t>.</w:t>
            </w:r>
            <w:r w:rsidR="00D72FB4" w:rsidRPr="00826530">
              <w:rPr>
                <w:rFonts w:ascii="Arial" w:hAnsi="Arial" w:cs="Arial"/>
                <w:b/>
                <w:sz w:val="21"/>
                <w:szCs w:val="21"/>
              </w:rPr>
              <w:t>49</w:t>
            </w:r>
          </w:p>
        </w:tc>
      </w:tr>
      <w:tr w:rsidR="00D72FB4" w:rsidRPr="00826530" w14:paraId="4E3889EB" w14:textId="77777777" w:rsidTr="0098210D">
        <w:trPr>
          <w:trHeight w:val="227"/>
        </w:trPr>
        <w:tc>
          <w:tcPr>
            <w:tcW w:w="3450" w:type="dxa"/>
            <w:gridSpan w:val="5"/>
            <w:tcBorders>
              <w:top w:val="nil"/>
              <w:left w:val="nil"/>
              <w:bottom w:val="nil"/>
              <w:right w:val="nil"/>
            </w:tcBorders>
            <w:vAlign w:val="center"/>
          </w:tcPr>
          <w:p w14:paraId="007F8430" w14:textId="16A4ED73" w:rsidR="00D72FB4" w:rsidRPr="00826530" w:rsidRDefault="00D72FB4" w:rsidP="00836582">
            <w:pPr>
              <w:rPr>
                <w:rFonts w:ascii="Arial" w:hAnsi="Arial" w:cs="Arial"/>
                <w:sz w:val="21"/>
                <w:szCs w:val="21"/>
              </w:rPr>
            </w:pPr>
            <w:r w:rsidRPr="00826530">
              <w:rPr>
                <w:rFonts w:ascii="Arial" w:hAnsi="Arial" w:cs="Arial"/>
                <w:sz w:val="21"/>
                <w:szCs w:val="21"/>
              </w:rPr>
              <w:t xml:space="preserve">Morphine, no prescription </w:t>
            </w:r>
            <w:r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6FED6AB" w14:textId="503623D3" w:rsidR="00D72FB4" w:rsidRPr="00826530" w:rsidRDefault="00D72FB4" w:rsidP="00836582">
            <w:pPr>
              <w:jc w:val="center"/>
              <w:rPr>
                <w:rFonts w:ascii="Arial" w:hAnsi="Arial" w:cs="Arial"/>
                <w:bCs/>
                <w:sz w:val="21"/>
                <w:szCs w:val="21"/>
              </w:rPr>
            </w:pPr>
            <w:r w:rsidRPr="00826530">
              <w:rPr>
                <w:rFonts w:ascii="Arial" w:hAnsi="Arial" w:cs="Arial"/>
                <w:bCs/>
                <w:sz w:val="21"/>
                <w:szCs w:val="21"/>
              </w:rPr>
              <w:t>6</w:t>
            </w:r>
          </w:p>
        </w:tc>
        <w:tc>
          <w:tcPr>
            <w:tcW w:w="1009" w:type="dxa"/>
            <w:tcBorders>
              <w:top w:val="nil"/>
              <w:left w:val="nil"/>
              <w:bottom w:val="nil"/>
              <w:right w:val="nil"/>
            </w:tcBorders>
            <w:vAlign w:val="center"/>
          </w:tcPr>
          <w:p w14:paraId="697E1E8F" w14:textId="34F4777D" w:rsidR="00D72FB4" w:rsidRPr="00826530" w:rsidRDefault="00D72FB4" w:rsidP="00836582">
            <w:pPr>
              <w:jc w:val="center"/>
              <w:rPr>
                <w:rFonts w:ascii="Arial" w:hAnsi="Arial" w:cs="Arial"/>
                <w:bCs/>
                <w:sz w:val="21"/>
                <w:szCs w:val="21"/>
              </w:rPr>
            </w:pPr>
            <w:r w:rsidRPr="00826530">
              <w:rPr>
                <w:rFonts w:ascii="Arial" w:hAnsi="Arial" w:cs="Arial"/>
                <w:bCs/>
                <w:sz w:val="21"/>
                <w:szCs w:val="21"/>
              </w:rPr>
              <w:t>5.8</w:t>
            </w:r>
          </w:p>
        </w:tc>
        <w:tc>
          <w:tcPr>
            <w:tcW w:w="935" w:type="dxa"/>
            <w:tcBorders>
              <w:top w:val="nil"/>
              <w:left w:val="nil"/>
              <w:bottom w:val="nil"/>
              <w:right w:val="nil"/>
            </w:tcBorders>
            <w:vAlign w:val="center"/>
          </w:tcPr>
          <w:p w14:paraId="26674159" w14:textId="2198CA8F" w:rsidR="00D72FB4" w:rsidRPr="00826530" w:rsidRDefault="00D72FB4" w:rsidP="00836582">
            <w:pPr>
              <w:jc w:val="center"/>
              <w:rPr>
                <w:rFonts w:ascii="Arial" w:hAnsi="Arial" w:cs="Arial"/>
                <w:bCs/>
                <w:sz w:val="21"/>
                <w:szCs w:val="21"/>
              </w:rPr>
            </w:pPr>
            <w:r w:rsidRPr="00826530">
              <w:rPr>
                <w:rFonts w:ascii="Arial" w:hAnsi="Arial" w:cs="Arial"/>
                <w:bCs/>
                <w:sz w:val="21"/>
                <w:szCs w:val="21"/>
              </w:rPr>
              <w:t>0</w:t>
            </w:r>
          </w:p>
        </w:tc>
        <w:tc>
          <w:tcPr>
            <w:tcW w:w="936" w:type="dxa"/>
            <w:tcBorders>
              <w:top w:val="nil"/>
              <w:left w:val="nil"/>
              <w:bottom w:val="nil"/>
              <w:right w:val="nil"/>
            </w:tcBorders>
            <w:vAlign w:val="center"/>
          </w:tcPr>
          <w:p w14:paraId="6242AE4D" w14:textId="7D9F82BF" w:rsidR="00D72FB4" w:rsidRPr="00826530" w:rsidRDefault="00D72FB4" w:rsidP="00836582">
            <w:pPr>
              <w:jc w:val="center"/>
              <w:rPr>
                <w:rFonts w:ascii="Arial" w:hAnsi="Arial" w:cs="Arial"/>
                <w:bCs/>
                <w:sz w:val="21"/>
                <w:szCs w:val="21"/>
              </w:rPr>
            </w:pPr>
            <w:r w:rsidRPr="00826530">
              <w:rPr>
                <w:rFonts w:ascii="Arial" w:hAnsi="Arial" w:cs="Arial"/>
                <w:bCs/>
                <w:sz w:val="21"/>
                <w:szCs w:val="21"/>
              </w:rPr>
              <w:t>0</w:t>
            </w:r>
          </w:p>
        </w:tc>
        <w:tc>
          <w:tcPr>
            <w:tcW w:w="743" w:type="dxa"/>
            <w:tcBorders>
              <w:top w:val="nil"/>
              <w:left w:val="nil"/>
              <w:bottom w:val="nil"/>
              <w:right w:val="nil"/>
            </w:tcBorders>
            <w:vAlign w:val="center"/>
          </w:tcPr>
          <w:p w14:paraId="332597F1" w14:textId="6C312D20" w:rsidR="00D72FB4" w:rsidRPr="00826530" w:rsidRDefault="00D72FB4" w:rsidP="00836582">
            <w:pPr>
              <w:jc w:val="center"/>
              <w:rPr>
                <w:rFonts w:ascii="Arial" w:hAnsi="Arial" w:cs="Arial"/>
                <w:bCs/>
                <w:sz w:val="21"/>
                <w:szCs w:val="21"/>
              </w:rPr>
            </w:pPr>
            <w:r w:rsidRPr="00826530">
              <w:rPr>
                <w:rFonts w:ascii="Arial" w:hAnsi="Arial" w:cs="Arial"/>
                <w:bCs/>
                <w:sz w:val="21"/>
                <w:szCs w:val="21"/>
              </w:rPr>
              <w:t>6.35</w:t>
            </w:r>
          </w:p>
        </w:tc>
        <w:tc>
          <w:tcPr>
            <w:tcW w:w="1420" w:type="dxa"/>
            <w:tcBorders>
              <w:top w:val="nil"/>
              <w:left w:val="nil"/>
              <w:bottom w:val="nil"/>
              <w:right w:val="nil"/>
            </w:tcBorders>
            <w:vAlign w:val="center"/>
          </w:tcPr>
          <w:p w14:paraId="4442B578" w14:textId="11992C4E" w:rsidR="00D72FB4" w:rsidRPr="00826530" w:rsidRDefault="00D72FB4" w:rsidP="00836582">
            <w:pPr>
              <w:jc w:val="center"/>
              <w:rPr>
                <w:rFonts w:ascii="Arial" w:hAnsi="Arial" w:cs="Arial"/>
                <w:b/>
                <w:sz w:val="21"/>
                <w:szCs w:val="21"/>
              </w:rPr>
            </w:pPr>
            <w:r w:rsidRPr="00826530">
              <w:rPr>
                <w:rFonts w:ascii="Arial" w:hAnsi="Arial" w:cs="Arial"/>
                <w:b/>
                <w:sz w:val="21"/>
                <w:szCs w:val="21"/>
              </w:rPr>
              <w:t>2.19, 18.36</w:t>
            </w:r>
          </w:p>
        </w:tc>
      </w:tr>
      <w:tr w:rsidR="00851673" w:rsidRPr="00826530" w14:paraId="2CF126B7" w14:textId="77777777" w:rsidTr="00FE3A65">
        <w:trPr>
          <w:trHeight w:val="227"/>
        </w:trPr>
        <w:tc>
          <w:tcPr>
            <w:tcW w:w="3450" w:type="dxa"/>
            <w:gridSpan w:val="5"/>
            <w:tcBorders>
              <w:top w:val="nil"/>
              <w:left w:val="nil"/>
              <w:bottom w:val="nil"/>
              <w:right w:val="nil"/>
            </w:tcBorders>
            <w:vAlign w:val="center"/>
          </w:tcPr>
          <w:p w14:paraId="44C45F08" w14:textId="7AB5066F" w:rsidR="00851673" w:rsidRPr="00826530" w:rsidRDefault="00851673" w:rsidP="00836582">
            <w:pPr>
              <w:rPr>
                <w:rFonts w:ascii="Arial" w:hAnsi="Arial" w:cs="Arial"/>
                <w:sz w:val="21"/>
                <w:szCs w:val="21"/>
              </w:rPr>
            </w:pPr>
            <w:r w:rsidRPr="00826530">
              <w:rPr>
                <w:rFonts w:ascii="Arial" w:hAnsi="Arial" w:cs="Arial"/>
                <w:sz w:val="21"/>
                <w:szCs w:val="21"/>
              </w:rPr>
              <w:t>Non-steroid injection drugs</w:t>
            </w:r>
            <w:r w:rsidR="00E22A52"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1007" w:type="dxa"/>
            <w:tcBorders>
              <w:top w:val="nil"/>
              <w:left w:val="nil"/>
              <w:bottom w:val="nil"/>
              <w:right w:val="nil"/>
            </w:tcBorders>
            <w:vAlign w:val="center"/>
          </w:tcPr>
          <w:p w14:paraId="3C7E828F"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30</w:t>
            </w:r>
          </w:p>
        </w:tc>
        <w:tc>
          <w:tcPr>
            <w:tcW w:w="1009" w:type="dxa"/>
            <w:tcBorders>
              <w:top w:val="nil"/>
              <w:left w:val="nil"/>
              <w:bottom w:val="nil"/>
              <w:right w:val="nil"/>
            </w:tcBorders>
            <w:vAlign w:val="center"/>
          </w:tcPr>
          <w:p w14:paraId="5C637AD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29.1</w:t>
            </w:r>
          </w:p>
        </w:tc>
        <w:tc>
          <w:tcPr>
            <w:tcW w:w="935" w:type="dxa"/>
            <w:tcBorders>
              <w:top w:val="nil"/>
              <w:left w:val="nil"/>
              <w:bottom w:val="nil"/>
              <w:right w:val="nil"/>
            </w:tcBorders>
            <w:vAlign w:val="center"/>
          </w:tcPr>
          <w:p w14:paraId="6F6BA01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14</w:t>
            </w:r>
          </w:p>
        </w:tc>
        <w:tc>
          <w:tcPr>
            <w:tcW w:w="936" w:type="dxa"/>
            <w:tcBorders>
              <w:top w:val="nil"/>
              <w:left w:val="nil"/>
              <w:bottom w:val="nil"/>
              <w:right w:val="nil"/>
            </w:tcBorders>
            <w:vAlign w:val="center"/>
          </w:tcPr>
          <w:p w14:paraId="0EE91EA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2.4</w:t>
            </w:r>
          </w:p>
        </w:tc>
        <w:tc>
          <w:tcPr>
            <w:tcW w:w="743" w:type="dxa"/>
            <w:tcBorders>
              <w:top w:val="nil"/>
              <w:left w:val="nil"/>
              <w:bottom w:val="nil"/>
              <w:right w:val="nil"/>
            </w:tcBorders>
            <w:vAlign w:val="center"/>
          </w:tcPr>
          <w:p w14:paraId="204971B1" w14:textId="1B8CCA0F"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786DE9" w:rsidRPr="00826530">
              <w:rPr>
                <w:rFonts w:ascii="Arial" w:hAnsi="Arial" w:cs="Arial"/>
                <w:bCs/>
                <w:sz w:val="21"/>
                <w:szCs w:val="21"/>
              </w:rPr>
              <w:t>3</w:t>
            </w:r>
            <w:r w:rsidRPr="00826530">
              <w:rPr>
                <w:rFonts w:ascii="Arial" w:hAnsi="Arial" w:cs="Arial"/>
                <w:bCs/>
                <w:sz w:val="21"/>
                <w:szCs w:val="21"/>
              </w:rPr>
              <w:t>.</w:t>
            </w:r>
            <w:r w:rsidR="00786DE9" w:rsidRPr="00826530">
              <w:rPr>
                <w:rFonts w:ascii="Arial" w:hAnsi="Arial" w:cs="Arial"/>
                <w:bCs/>
                <w:sz w:val="21"/>
                <w:szCs w:val="21"/>
              </w:rPr>
              <w:t>47</w:t>
            </w:r>
          </w:p>
        </w:tc>
        <w:tc>
          <w:tcPr>
            <w:tcW w:w="1420" w:type="dxa"/>
            <w:tcBorders>
              <w:top w:val="nil"/>
              <w:left w:val="nil"/>
              <w:bottom w:val="nil"/>
              <w:right w:val="nil"/>
            </w:tcBorders>
            <w:vAlign w:val="center"/>
          </w:tcPr>
          <w:p w14:paraId="3C9B4D4C" w14:textId="1F405739" w:rsidR="00851673" w:rsidRPr="00826530" w:rsidRDefault="009B0A97" w:rsidP="00836582">
            <w:pPr>
              <w:jc w:val="center"/>
              <w:rPr>
                <w:rFonts w:ascii="Arial" w:hAnsi="Arial" w:cs="Arial"/>
                <w:b/>
                <w:sz w:val="21"/>
                <w:szCs w:val="21"/>
              </w:rPr>
            </w:pPr>
            <w:r w:rsidRPr="00826530">
              <w:rPr>
                <w:rFonts w:ascii="Arial" w:hAnsi="Arial" w:cs="Arial"/>
                <w:b/>
                <w:sz w:val="21"/>
                <w:szCs w:val="21"/>
              </w:rPr>
              <w:t>5.59, 32.44</w:t>
            </w:r>
          </w:p>
        </w:tc>
      </w:tr>
      <w:tr w:rsidR="00851673" w:rsidRPr="00826530" w14:paraId="2463F7E1" w14:textId="77777777" w:rsidTr="00826530">
        <w:trPr>
          <w:trHeight w:val="227"/>
        </w:trPr>
        <w:tc>
          <w:tcPr>
            <w:tcW w:w="1843" w:type="dxa"/>
            <w:gridSpan w:val="2"/>
            <w:tcBorders>
              <w:top w:val="nil"/>
              <w:left w:val="nil"/>
              <w:bottom w:val="nil"/>
              <w:right w:val="nil"/>
            </w:tcBorders>
            <w:vAlign w:val="center"/>
          </w:tcPr>
          <w:p w14:paraId="3A67069C" w14:textId="77777777" w:rsidR="00851673" w:rsidRPr="00826530" w:rsidRDefault="00851673" w:rsidP="00836582">
            <w:pPr>
              <w:rPr>
                <w:rFonts w:ascii="Arial" w:hAnsi="Arial" w:cs="Arial"/>
                <w:sz w:val="21"/>
                <w:szCs w:val="21"/>
              </w:rPr>
            </w:pPr>
            <w:r w:rsidRPr="00826530">
              <w:rPr>
                <w:rFonts w:ascii="Arial" w:hAnsi="Arial" w:cs="Arial"/>
                <w:sz w:val="21"/>
                <w:szCs w:val="21"/>
              </w:rPr>
              <w:t>AUDIT Score (p12m)</w:t>
            </w:r>
          </w:p>
        </w:tc>
        <w:tc>
          <w:tcPr>
            <w:tcW w:w="1607" w:type="dxa"/>
            <w:gridSpan w:val="3"/>
            <w:tcBorders>
              <w:top w:val="nil"/>
              <w:left w:val="nil"/>
              <w:bottom w:val="nil"/>
              <w:right w:val="nil"/>
            </w:tcBorders>
            <w:vAlign w:val="center"/>
          </w:tcPr>
          <w:p w14:paraId="1D755721" w14:textId="52853DFF" w:rsidR="00851673" w:rsidRPr="00826530" w:rsidRDefault="00786DE9" w:rsidP="00B742DC">
            <w:pPr>
              <w:jc w:val="center"/>
              <w:rPr>
                <w:rFonts w:ascii="Arial" w:hAnsi="Arial" w:cs="Arial"/>
                <w:sz w:val="21"/>
                <w:szCs w:val="21"/>
              </w:rPr>
            </w:pPr>
            <w:r w:rsidRPr="00826530">
              <w:rPr>
                <w:rFonts w:ascii="Arial" w:hAnsi="Arial" w:cs="Arial"/>
                <w:sz w:val="21"/>
                <w:szCs w:val="21"/>
              </w:rPr>
              <w:t>Low/Medium</w:t>
            </w:r>
          </w:p>
        </w:tc>
        <w:tc>
          <w:tcPr>
            <w:tcW w:w="1007" w:type="dxa"/>
            <w:tcBorders>
              <w:top w:val="nil"/>
              <w:left w:val="nil"/>
              <w:bottom w:val="nil"/>
              <w:right w:val="nil"/>
            </w:tcBorders>
            <w:vAlign w:val="center"/>
          </w:tcPr>
          <w:p w14:paraId="399C5944" w14:textId="50EC1D4B" w:rsidR="00851673" w:rsidRPr="00826530" w:rsidRDefault="00786DE9" w:rsidP="00836582">
            <w:pPr>
              <w:jc w:val="center"/>
              <w:rPr>
                <w:rFonts w:ascii="Arial" w:hAnsi="Arial" w:cs="Arial"/>
                <w:bCs/>
                <w:sz w:val="21"/>
                <w:szCs w:val="21"/>
              </w:rPr>
            </w:pPr>
            <w:r w:rsidRPr="00826530">
              <w:rPr>
                <w:rFonts w:ascii="Arial" w:hAnsi="Arial" w:cs="Arial"/>
                <w:bCs/>
                <w:sz w:val="21"/>
                <w:szCs w:val="21"/>
              </w:rPr>
              <w:t>77</w:t>
            </w:r>
          </w:p>
        </w:tc>
        <w:tc>
          <w:tcPr>
            <w:tcW w:w="1009" w:type="dxa"/>
            <w:tcBorders>
              <w:top w:val="nil"/>
              <w:left w:val="nil"/>
              <w:bottom w:val="nil"/>
              <w:right w:val="nil"/>
            </w:tcBorders>
            <w:vAlign w:val="center"/>
          </w:tcPr>
          <w:p w14:paraId="3E195C19" w14:textId="671BC8DB" w:rsidR="00851673" w:rsidRPr="00826530" w:rsidRDefault="00786DE9" w:rsidP="00836582">
            <w:pPr>
              <w:jc w:val="center"/>
              <w:rPr>
                <w:rFonts w:ascii="Arial" w:hAnsi="Arial" w:cs="Arial"/>
                <w:bCs/>
                <w:sz w:val="21"/>
                <w:szCs w:val="21"/>
              </w:rPr>
            </w:pPr>
            <w:r w:rsidRPr="00826530">
              <w:rPr>
                <w:rFonts w:ascii="Arial" w:hAnsi="Arial" w:cs="Arial"/>
                <w:bCs/>
                <w:sz w:val="21"/>
                <w:szCs w:val="21"/>
              </w:rPr>
              <w:t>77</w:t>
            </w:r>
            <w:r w:rsidR="00851673" w:rsidRPr="00826530">
              <w:rPr>
                <w:rFonts w:ascii="Arial" w:hAnsi="Arial" w:cs="Arial"/>
                <w:bCs/>
                <w:sz w:val="21"/>
                <w:szCs w:val="21"/>
              </w:rPr>
              <w:t>.</w:t>
            </w:r>
            <w:r w:rsidRPr="00826530">
              <w:rPr>
                <w:rFonts w:ascii="Arial" w:hAnsi="Arial" w:cs="Arial"/>
                <w:bCs/>
                <w:sz w:val="21"/>
                <w:szCs w:val="21"/>
              </w:rPr>
              <w:t>8</w:t>
            </w:r>
          </w:p>
        </w:tc>
        <w:tc>
          <w:tcPr>
            <w:tcW w:w="935" w:type="dxa"/>
            <w:tcBorders>
              <w:top w:val="nil"/>
              <w:left w:val="nil"/>
              <w:bottom w:val="nil"/>
              <w:right w:val="nil"/>
            </w:tcBorders>
            <w:vAlign w:val="center"/>
          </w:tcPr>
          <w:p w14:paraId="6DEEEF1D" w14:textId="2F0094DF" w:rsidR="00851673" w:rsidRPr="00826530" w:rsidRDefault="00786DE9" w:rsidP="00836582">
            <w:pPr>
              <w:jc w:val="center"/>
              <w:rPr>
                <w:rFonts w:ascii="Arial" w:hAnsi="Arial" w:cs="Arial"/>
                <w:bCs/>
                <w:sz w:val="21"/>
                <w:szCs w:val="21"/>
              </w:rPr>
            </w:pPr>
            <w:r w:rsidRPr="00826530">
              <w:rPr>
                <w:rFonts w:ascii="Arial" w:hAnsi="Arial" w:cs="Arial"/>
                <w:bCs/>
                <w:sz w:val="21"/>
                <w:szCs w:val="21"/>
              </w:rPr>
              <w:t>504</w:t>
            </w:r>
          </w:p>
        </w:tc>
        <w:tc>
          <w:tcPr>
            <w:tcW w:w="936" w:type="dxa"/>
            <w:tcBorders>
              <w:top w:val="nil"/>
              <w:left w:val="nil"/>
              <w:bottom w:val="nil"/>
              <w:right w:val="nil"/>
            </w:tcBorders>
            <w:vAlign w:val="center"/>
          </w:tcPr>
          <w:p w14:paraId="0258290B" w14:textId="6AC22B92" w:rsidR="00851673" w:rsidRPr="00826530" w:rsidRDefault="00786DE9" w:rsidP="00836582">
            <w:pPr>
              <w:jc w:val="center"/>
              <w:rPr>
                <w:rFonts w:ascii="Arial" w:hAnsi="Arial" w:cs="Arial"/>
                <w:bCs/>
                <w:sz w:val="21"/>
                <w:szCs w:val="21"/>
              </w:rPr>
            </w:pPr>
            <w:r w:rsidRPr="00826530">
              <w:rPr>
                <w:rFonts w:ascii="Arial" w:hAnsi="Arial" w:cs="Arial"/>
                <w:bCs/>
                <w:sz w:val="21"/>
                <w:szCs w:val="21"/>
              </w:rPr>
              <w:t>87</w:t>
            </w:r>
            <w:r w:rsidR="00851673" w:rsidRPr="00826530">
              <w:rPr>
                <w:rFonts w:ascii="Arial" w:hAnsi="Arial" w:cs="Arial"/>
                <w:bCs/>
                <w:sz w:val="21"/>
                <w:szCs w:val="21"/>
              </w:rPr>
              <w:t>.</w:t>
            </w:r>
            <w:r w:rsidRPr="00826530">
              <w:rPr>
                <w:rFonts w:ascii="Arial" w:hAnsi="Arial" w:cs="Arial"/>
                <w:bCs/>
                <w:sz w:val="21"/>
                <w:szCs w:val="21"/>
              </w:rPr>
              <w:t>7</w:t>
            </w:r>
          </w:p>
        </w:tc>
        <w:tc>
          <w:tcPr>
            <w:tcW w:w="743" w:type="dxa"/>
            <w:tcBorders>
              <w:top w:val="nil"/>
              <w:left w:val="nil"/>
              <w:bottom w:val="nil"/>
              <w:right w:val="nil"/>
            </w:tcBorders>
            <w:vAlign w:val="center"/>
          </w:tcPr>
          <w:p w14:paraId="0B2B481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Ref</w:t>
            </w:r>
          </w:p>
        </w:tc>
        <w:tc>
          <w:tcPr>
            <w:tcW w:w="1420" w:type="dxa"/>
            <w:tcBorders>
              <w:top w:val="nil"/>
              <w:left w:val="nil"/>
              <w:bottom w:val="nil"/>
              <w:right w:val="nil"/>
            </w:tcBorders>
            <w:vAlign w:val="center"/>
          </w:tcPr>
          <w:p w14:paraId="16786915" w14:textId="77777777" w:rsidR="00851673" w:rsidRPr="00826530" w:rsidRDefault="00851673" w:rsidP="00836582">
            <w:pPr>
              <w:jc w:val="center"/>
              <w:rPr>
                <w:rFonts w:ascii="Arial" w:hAnsi="Arial" w:cs="Arial"/>
                <w:sz w:val="21"/>
                <w:szCs w:val="21"/>
              </w:rPr>
            </w:pPr>
          </w:p>
        </w:tc>
      </w:tr>
      <w:tr w:rsidR="00786DE9" w:rsidRPr="00826530" w14:paraId="19B03C41" w14:textId="77777777" w:rsidTr="0098210D">
        <w:trPr>
          <w:trHeight w:val="227"/>
        </w:trPr>
        <w:tc>
          <w:tcPr>
            <w:tcW w:w="3450" w:type="dxa"/>
            <w:gridSpan w:val="5"/>
            <w:tcBorders>
              <w:top w:val="nil"/>
              <w:left w:val="nil"/>
              <w:bottom w:val="single" w:sz="4" w:space="0" w:color="auto"/>
              <w:right w:val="nil"/>
            </w:tcBorders>
            <w:vAlign w:val="center"/>
          </w:tcPr>
          <w:p w14:paraId="097938E6" w14:textId="781CEDDD" w:rsidR="00786DE9" w:rsidRPr="00826530" w:rsidRDefault="00786DE9" w:rsidP="00836582">
            <w:pPr>
              <w:jc w:val="right"/>
              <w:rPr>
                <w:rFonts w:ascii="Arial" w:hAnsi="Arial" w:cs="Arial"/>
                <w:bCs/>
                <w:sz w:val="21"/>
                <w:szCs w:val="21"/>
              </w:rPr>
            </w:pPr>
            <w:r w:rsidRPr="00826530">
              <w:rPr>
                <w:rFonts w:ascii="Arial" w:hAnsi="Arial" w:cs="Arial"/>
                <w:bCs/>
                <w:sz w:val="21"/>
                <w:szCs w:val="21"/>
              </w:rPr>
              <w:t>Harmful/Dependence</w:t>
            </w:r>
          </w:p>
        </w:tc>
        <w:tc>
          <w:tcPr>
            <w:tcW w:w="1007" w:type="dxa"/>
            <w:tcBorders>
              <w:top w:val="nil"/>
              <w:left w:val="nil"/>
              <w:bottom w:val="single" w:sz="4" w:space="0" w:color="auto"/>
              <w:right w:val="nil"/>
            </w:tcBorders>
            <w:vAlign w:val="center"/>
          </w:tcPr>
          <w:p w14:paraId="0A888C83" w14:textId="03D4DDD3" w:rsidR="00786DE9" w:rsidRPr="00826530" w:rsidRDefault="00786DE9" w:rsidP="00836582">
            <w:pPr>
              <w:jc w:val="center"/>
              <w:rPr>
                <w:rFonts w:ascii="Arial" w:hAnsi="Arial" w:cs="Arial"/>
                <w:bCs/>
                <w:sz w:val="21"/>
                <w:szCs w:val="21"/>
              </w:rPr>
            </w:pPr>
            <w:r w:rsidRPr="00826530">
              <w:rPr>
                <w:rFonts w:ascii="Arial" w:hAnsi="Arial" w:cs="Arial"/>
                <w:bCs/>
                <w:sz w:val="21"/>
                <w:szCs w:val="21"/>
              </w:rPr>
              <w:t>22</w:t>
            </w:r>
          </w:p>
        </w:tc>
        <w:tc>
          <w:tcPr>
            <w:tcW w:w="1009" w:type="dxa"/>
            <w:tcBorders>
              <w:top w:val="nil"/>
              <w:left w:val="nil"/>
              <w:bottom w:val="single" w:sz="4" w:space="0" w:color="auto"/>
              <w:right w:val="nil"/>
            </w:tcBorders>
            <w:vAlign w:val="center"/>
          </w:tcPr>
          <w:p w14:paraId="33833B38" w14:textId="4AD1913B" w:rsidR="00786DE9" w:rsidRPr="00826530" w:rsidRDefault="00786DE9" w:rsidP="00836582">
            <w:pPr>
              <w:jc w:val="center"/>
              <w:rPr>
                <w:rFonts w:ascii="Arial" w:hAnsi="Arial" w:cs="Arial"/>
                <w:bCs/>
                <w:sz w:val="21"/>
                <w:szCs w:val="21"/>
              </w:rPr>
            </w:pPr>
            <w:r w:rsidRPr="00826530">
              <w:rPr>
                <w:rFonts w:ascii="Arial" w:hAnsi="Arial" w:cs="Arial"/>
                <w:bCs/>
                <w:sz w:val="21"/>
                <w:szCs w:val="21"/>
              </w:rPr>
              <w:t>22.2</w:t>
            </w:r>
          </w:p>
        </w:tc>
        <w:tc>
          <w:tcPr>
            <w:tcW w:w="935" w:type="dxa"/>
            <w:tcBorders>
              <w:top w:val="nil"/>
              <w:left w:val="nil"/>
              <w:bottom w:val="single" w:sz="4" w:space="0" w:color="auto"/>
              <w:right w:val="nil"/>
            </w:tcBorders>
            <w:vAlign w:val="center"/>
          </w:tcPr>
          <w:p w14:paraId="4C83A953" w14:textId="433E358A" w:rsidR="00786DE9" w:rsidRPr="00826530" w:rsidRDefault="00786DE9" w:rsidP="00836582">
            <w:pPr>
              <w:jc w:val="center"/>
              <w:rPr>
                <w:rFonts w:ascii="Arial" w:hAnsi="Arial" w:cs="Arial"/>
                <w:bCs/>
                <w:sz w:val="21"/>
                <w:szCs w:val="21"/>
              </w:rPr>
            </w:pPr>
            <w:r w:rsidRPr="00826530">
              <w:rPr>
                <w:rFonts w:ascii="Arial" w:hAnsi="Arial" w:cs="Arial"/>
                <w:bCs/>
                <w:sz w:val="21"/>
                <w:szCs w:val="21"/>
              </w:rPr>
              <w:t>71</w:t>
            </w:r>
          </w:p>
        </w:tc>
        <w:tc>
          <w:tcPr>
            <w:tcW w:w="936" w:type="dxa"/>
            <w:tcBorders>
              <w:top w:val="nil"/>
              <w:left w:val="nil"/>
              <w:bottom w:val="single" w:sz="4" w:space="0" w:color="auto"/>
              <w:right w:val="nil"/>
            </w:tcBorders>
            <w:vAlign w:val="center"/>
          </w:tcPr>
          <w:p w14:paraId="7203AC67" w14:textId="14AF193A" w:rsidR="00786DE9" w:rsidRPr="00826530" w:rsidRDefault="00786DE9" w:rsidP="00836582">
            <w:pPr>
              <w:jc w:val="center"/>
              <w:rPr>
                <w:rFonts w:ascii="Arial" w:hAnsi="Arial" w:cs="Arial"/>
                <w:bCs/>
                <w:sz w:val="21"/>
                <w:szCs w:val="21"/>
              </w:rPr>
            </w:pPr>
            <w:r w:rsidRPr="00826530">
              <w:rPr>
                <w:rFonts w:ascii="Arial" w:hAnsi="Arial" w:cs="Arial"/>
                <w:bCs/>
                <w:sz w:val="21"/>
                <w:szCs w:val="21"/>
              </w:rPr>
              <w:t>12.3</w:t>
            </w:r>
          </w:p>
        </w:tc>
        <w:tc>
          <w:tcPr>
            <w:tcW w:w="743" w:type="dxa"/>
            <w:tcBorders>
              <w:top w:val="nil"/>
              <w:left w:val="nil"/>
              <w:bottom w:val="single" w:sz="4" w:space="0" w:color="auto"/>
              <w:right w:val="nil"/>
            </w:tcBorders>
            <w:vAlign w:val="center"/>
          </w:tcPr>
          <w:p w14:paraId="11F9EC73" w14:textId="2F9D632D" w:rsidR="00786DE9" w:rsidRPr="00826530" w:rsidRDefault="00786DE9" w:rsidP="00836582">
            <w:pPr>
              <w:jc w:val="center"/>
              <w:rPr>
                <w:rFonts w:ascii="Arial" w:hAnsi="Arial" w:cs="Arial"/>
                <w:bCs/>
                <w:sz w:val="21"/>
                <w:szCs w:val="21"/>
              </w:rPr>
            </w:pPr>
            <w:r w:rsidRPr="00826530">
              <w:rPr>
                <w:rFonts w:ascii="Arial" w:hAnsi="Arial" w:cs="Arial"/>
                <w:bCs/>
                <w:sz w:val="21"/>
                <w:szCs w:val="21"/>
              </w:rPr>
              <w:t>3.10</w:t>
            </w:r>
          </w:p>
        </w:tc>
        <w:tc>
          <w:tcPr>
            <w:tcW w:w="1420" w:type="dxa"/>
            <w:tcBorders>
              <w:top w:val="nil"/>
              <w:left w:val="nil"/>
              <w:bottom w:val="single" w:sz="4" w:space="0" w:color="auto"/>
              <w:right w:val="nil"/>
            </w:tcBorders>
            <w:vAlign w:val="center"/>
          </w:tcPr>
          <w:p w14:paraId="3BF0A329" w14:textId="221F4D92" w:rsidR="00786DE9" w:rsidRPr="00826530" w:rsidRDefault="00786DE9" w:rsidP="00836582">
            <w:pPr>
              <w:jc w:val="center"/>
              <w:rPr>
                <w:rFonts w:ascii="Arial" w:hAnsi="Arial" w:cs="Arial"/>
                <w:b/>
                <w:sz w:val="21"/>
                <w:szCs w:val="21"/>
              </w:rPr>
            </w:pPr>
            <w:r w:rsidRPr="00826530">
              <w:rPr>
                <w:rFonts w:ascii="Arial" w:hAnsi="Arial" w:cs="Arial"/>
                <w:b/>
                <w:sz w:val="21"/>
                <w:szCs w:val="21"/>
              </w:rPr>
              <w:t>1.55, 6.20</w:t>
            </w:r>
          </w:p>
        </w:tc>
      </w:tr>
      <w:tr w:rsidR="00851673" w:rsidRPr="00826530" w14:paraId="0422FF0A" w14:textId="77777777" w:rsidTr="00FE3A65">
        <w:trPr>
          <w:trHeight w:val="227"/>
        </w:trPr>
        <w:tc>
          <w:tcPr>
            <w:tcW w:w="2268" w:type="dxa"/>
            <w:gridSpan w:val="3"/>
            <w:tcBorders>
              <w:left w:val="nil"/>
              <w:bottom w:val="single" w:sz="4" w:space="0" w:color="auto"/>
              <w:right w:val="nil"/>
            </w:tcBorders>
            <w:vAlign w:val="center"/>
          </w:tcPr>
          <w:p w14:paraId="190453B8" w14:textId="60652CE9" w:rsidR="00851673" w:rsidRPr="00826530" w:rsidRDefault="00851673" w:rsidP="00836582">
            <w:pPr>
              <w:rPr>
                <w:rFonts w:ascii="Arial" w:hAnsi="Arial" w:cs="Arial"/>
                <w:sz w:val="21"/>
                <w:szCs w:val="21"/>
              </w:rPr>
            </w:pPr>
            <w:r w:rsidRPr="00826530">
              <w:rPr>
                <w:rFonts w:ascii="Arial" w:hAnsi="Arial" w:cs="Arial"/>
                <w:b/>
                <w:sz w:val="21"/>
                <w:szCs w:val="21"/>
              </w:rPr>
              <w:t xml:space="preserve">Continuous </w:t>
            </w:r>
            <w:r w:rsidR="00E401E4" w:rsidRPr="00826530">
              <w:rPr>
                <w:rFonts w:ascii="Arial" w:hAnsi="Arial" w:cs="Arial"/>
                <w:b/>
                <w:sz w:val="21"/>
                <w:szCs w:val="21"/>
              </w:rPr>
              <w:t>p</w:t>
            </w:r>
            <w:r w:rsidR="00AF3875" w:rsidRPr="00826530">
              <w:rPr>
                <w:rFonts w:ascii="Arial" w:hAnsi="Arial" w:cs="Arial"/>
                <w:b/>
                <w:sz w:val="21"/>
                <w:szCs w:val="21"/>
              </w:rPr>
              <w:t xml:space="preserve">sychosocial </w:t>
            </w:r>
            <w:r w:rsidR="00E401E4" w:rsidRPr="00826530">
              <w:rPr>
                <w:rFonts w:ascii="Arial" w:hAnsi="Arial" w:cs="Arial"/>
                <w:b/>
                <w:sz w:val="21"/>
                <w:szCs w:val="21"/>
              </w:rPr>
              <w:t>v</w:t>
            </w:r>
            <w:r w:rsidRPr="00826530">
              <w:rPr>
                <w:rFonts w:ascii="Arial" w:hAnsi="Arial" w:cs="Arial"/>
                <w:b/>
                <w:sz w:val="21"/>
                <w:szCs w:val="21"/>
              </w:rPr>
              <w:t>ariables</w:t>
            </w:r>
          </w:p>
        </w:tc>
        <w:tc>
          <w:tcPr>
            <w:tcW w:w="1182" w:type="dxa"/>
            <w:gridSpan w:val="2"/>
            <w:tcBorders>
              <w:left w:val="nil"/>
              <w:bottom w:val="single" w:sz="4" w:space="0" w:color="auto"/>
              <w:right w:val="nil"/>
            </w:tcBorders>
            <w:vAlign w:val="center"/>
          </w:tcPr>
          <w:p w14:paraId="560C85F8" w14:textId="77777777" w:rsidR="00851673" w:rsidRPr="00826530" w:rsidRDefault="00851673" w:rsidP="00836582">
            <w:pPr>
              <w:jc w:val="right"/>
              <w:rPr>
                <w:rFonts w:ascii="Arial" w:hAnsi="Arial" w:cs="Arial"/>
                <w:sz w:val="21"/>
                <w:szCs w:val="21"/>
              </w:rPr>
            </w:pPr>
          </w:p>
        </w:tc>
        <w:tc>
          <w:tcPr>
            <w:tcW w:w="1007" w:type="dxa"/>
            <w:tcBorders>
              <w:left w:val="nil"/>
              <w:bottom w:val="single" w:sz="4" w:space="0" w:color="auto"/>
              <w:right w:val="nil"/>
            </w:tcBorders>
            <w:vAlign w:val="center"/>
          </w:tcPr>
          <w:p w14:paraId="397C69EA"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Median</w:t>
            </w:r>
          </w:p>
        </w:tc>
        <w:tc>
          <w:tcPr>
            <w:tcW w:w="1009" w:type="dxa"/>
            <w:tcBorders>
              <w:left w:val="nil"/>
              <w:bottom w:val="single" w:sz="4" w:space="0" w:color="auto"/>
              <w:right w:val="nil"/>
            </w:tcBorders>
            <w:vAlign w:val="center"/>
          </w:tcPr>
          <w:p w14:paraId="74F80248"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Q1-Q3</w:t>
            </w:r>
          </w:p>
        </w:tc>
        <w:tc>
          <w:tcPr>
            <w:tcW w:w="935" w:type="dxa"/>
            <w:tcBorders>
              <w:left w:val="nil"/>
              <w:bottom w:val="single" w:sz="4" w:space="0" w:color="auto"/>
              <w:right w:val="nil"/>
            </w:tcBorders>
            <w:vAlign w:val="center"/>
          </w:tcPr>
          <w:p w14:paraId="697C80E9"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Median</w:t>
            </w:r>
          </w:p>
        </w:tc>
        <w:tc>
          <w:tcPr>
            <w:tcW w:w="936" w:type="dxa"/>
            <w:tcBorders>
              <w:left w:val="nil"/>
              <w:bottom w:val="single" w:sz="4" w:space="0" w:color="auto"/>
              <w:right w:val="nil"/>
            </w:tcBorders>
            <w:vAlign w:val="center"/>
          </w:tcPr>
          <w:p w14:paraId="686A551E"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Q1-Q3</w:t>
            </w:r>
          </w:p>
        </w:tc>
        <w:tc>
          <w:tcPr>
            <w:tcW w:w="743" w:type="dxa"/>
            <w:tcBorders>
              <w:left w:val="nil"/>
              <w:bottom w:val="single" w:sz="4" w:space="0" w:color="auto"/>
              <w:right w:val="nil"/>
            </w:tcBorders>
            <w:vAlign w:val="center"/>
          </w:tcPr>
          <w:p w14:paraId="52503E02"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OR</w:t>
            </w:r>
          </w:p>
        </w:tc>
        <w:tc>
          <w:tcPr>
            <w:tcW w:w="1420" w:type="dxa"/>
            <w:tcBorders>
              <w:left w:val="nil"/>
              <w:bottom w:val="single" w:sz="4" w:space="0" w:color="auto"/>
              <w:right w:val="nil"/>
            </w:tcBorders>
            <w:vAlign w:val="center"/>
          </w:tcPr>
          <w:p w14:paraId="6B67B1F5" w14:textId="77777777" w:rsidR="00851673" w:rsidRPr="00826530" w:rsidRDefault="00851673" w:rsidP="00836582">
            <w:pPr>
              <w:jc w:val="center"/>
              <w:rPr>
                <w:rFonts w:ascii="Arial" w:hAnsi="Arial" w:cs="Arial"/>
                <w:b/>
                <w:bCs/>
                <w:sz w:val="21"/>
                <w:szCs w:val="21"/>
              </w:rPr>
            </w:pPr>
            <w:r w:rsidRPr="00826530">
              <w:rPr>
                <w:rFonts w:ascii="Arial" w:hAnsi="Arial" w:cs="Arial"/>
                <w:b/>
                <w:bCs/>
                <w:sz w:val="21"/>
                <w:szCs w:val="21"/>
              </w:rPr>
              <w:t>95% CI</w:t>
            </w:r>
          </w:p>
        </w:tc>
      </w:tr>
      <w:tr w:rsidR="00851673" w:rsidRPr="00826530" w14:paraId="6865F571" w14:textId="77777777" w:rsidTr="00FE3A65">
        <w:trPr>
          <w:trHeight w:val="227"/>
        </w:trPr>
        <w:tc>
          <w:tcPr>
            <w:tcW w:w="3450" w:type="dxa"/>
            <w:gridSpan w:val="5"/>
            <w:tcBorders>
              <w:top w:val="nil"/>
              <w:left w:val="nil"/>
              <w:bottom w:val="nil"/>
              <w:right w:val="nil"/>
            </w:tcBorders>
            <w:vAlign w:val="center"/>
          </w:tcPr>
          <w:p w14:paraId="4D9EE000" w14:textId="77777777" w:rsidR="00851673" w:rsidRPr="00826530" w:rsidRDefault="00851673" w:rsidP="00836582">
            <w:pPr>
              <w:rPr>
                <w:rFonts w:ascii="Arial" w:hAnsi="Arial" w:cs="Arial"/>
                <w:sz w:val="21"/>
                <w:szCs w:val="21"/>
              </w:rPr>
            </w:pPr>
            <w:r w:rsidRPr="00826530">
              <w:rPr>
                <w:rFonts w:ascii="Arial" w:hAnsi="Arial" w:cs="Arial"/>
                <w:sz w:val="21"/>
                <w:szCs w:val="21"/>
              </w:rPr>
              <w:t>Sexual Sensations Scale (</w:t>
            </w:r>
            <w:r w:rsidRPr="00826530">
              <w:rPr>
                <w:rFonts w:ascii="Arial" w:hAnsi="Arial" w:cs="Arial"/>
                <w:sz w:val="21"/>
                <w:szCs w:val="21"/>
              </w:rPr>
              <w:sym w:font="Symbol" w:char="F061"/>
            </w:r>
            <w:r w:rsidRPr="00826530">
              <w:rPr>
                <w:rFonts w:ascii="Arial" w:hAnsi="Arial" w:cs="Arial"/>
                <w:sz w:val="21"/>
                <w:szCs w:val="21"/>
              </w:rPr>
              <w:t>=0.73)</w:t>
            </w:r>
          </w:p>
        </w:tc>
        <w:tc>
          <w:tcPr>
            <w:tcW w:w="1007" w:type="dxa"/>
            <w:tcBorders>
              <w:top w:val="nil"/>
              <w:left w:val="nil"/>
              <w:bottom w:val="nil"/>
              <w:right w:val="nil"/>
            </w:tcBorders>
            <w:vAlign w:val="center"/>
          </w:tcPr>
          <w:p w14:paraId="630430C5"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33</w:t>
            </w:r>
          </w:p>
        </w:tc>
        <w:tc>
          <w:tcPr>
            <w:tcW w:w="1009" w:type="dxa"/>
            <w:tcBorders>
              <w:top w:val="nil"/>
              <w:left w:val="nil"/>
              <w:bottom w:val="nil"/>
              <w:right w:val="nil"/>
            </w:tcBorders>
            <w:vAlign w:val="center"/>
          </w:tcPr>
          <w:p w14:paraId="32CFEE6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30-37</w:t>
            </w:r>
          </w:p>
        </w:tc>
        <w:tc>
          <w:tcPr>
            <w:tcW w:w="935" w:type="dxa"/>
            <w:tcBorders>
              <w:top w:val="nil"/>
              <w:left w:val="nil"/>
              <w:bottom w:val="nil"/>
              <w:right w:val="nil"/>
            </w:tcBorders>
            <w:vAlign w:val="center"/>
          </w:tcPr>
          <w:p w14:paraId="6DFAA4E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30</w:t>
            </w:r>
          </w:p>
        </w:tc>
        <w:tc>
          <w:tcPr>
            <w:tcW w:w="936" w:type="dxa"/>
            <w:tcBorders>
              <w:top w:val="nil"/>
              <w:left w:val="nil"/>
              <w:bottom w:val="nil"/>
              <w:right w:val="nil"/>
            </w:tcBorders>
            <w:vAlign w:val="center"/>
          </w:tcPr>
          <w:p w14:paraId="43956C4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28-34</w:t>
            </w:r>
          </w:p>
        </w:tc>
        <w:tc>
          <w:tcPr>
            <w:tcW w:w="743" w:type="dxa"/>
            <w:tcBorders>
              <w:top w:val="nil"/>
              <w:left w:val="nil"/>
              <w:bottom w:val="nil"/>
              <w:right w:val="nil"/>
            </w:tcBorders>
            <w:vAlign w:val="center"/>
          </w:tcPr>
          <w:p w14:paraId="56673CA7" w14:textId="0EBFDB3C"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786DE9" w:rsidRPr="00826530">
              <w:rPr>
                <w:rFonts w:ascii="Arial" w:hAnsi="Arial" w:cs="Arial"/>
                <w:bCs/>
                <w:sz w:val="21"/>
                <w:szCs w:val="21"/>
              </w:rPr>
              <w:t>25</w:t>
            </w:r>
          </w:p>
        </w:tc>
        <w:tc>
          <w:tcPr>
            <w:tcW w:w="1420" w:type="dxa"/>
            <w:tcBorders>
              <w:top w:val="nil"/>
              <w:left w:val="nil"/>
              <w:bottom w:val="nil"/>
              <w:right w:val="nil"/>
            </w:tcBorders>
            <w:vAlign w:val="center"/>
          </w:tcPr>
          <w:p w14:paraId="518EA53D" w14:textId="4BE47C01" w:rsidR="00851673" w:rsidRPr="00826530" w:rsidRDefault="00851673" w:rsidP="00836582">
            <w:pPr>
              <w:jc w:val="center"/>
              <w:rPr>
                <w:rFonts w:ascii="Arial" w:hAnsi="Arial" w:cs="Arial"/>
                <w:b/>
                <w:sz w:val="21"/>
                <w:szCs w:val="21"/>
              </w:rPr>
            </w:pPr>
            <w:r w:rsidRPr="00826530">
              <w:rPr>
                <w:rFonts w:ascii="Arial" w:hAnsi="Arial" w:cs="Arial"/>
                <w:b/>
                <w:sz w:val="21"/>
                <w:szCs w:val="21"/>
              </w:rPr>
              <w:t>1.</w:t>
            </w:r>
            <w:r w:rsidR="00786DE9" w:rsidRPr="00826530">
              <w:rPr>
                <w:rFonts w:ascii="Arial" w:hAnsi="Arial" w:cs="Arial"/>
                <w:b/>
                <w:sz w:val="21"/>
                <w:szCs w:val="21"/>
              </w:rPr>
              <w:t>16</w:t>
            </w:r>
            <w:r w:rsidRPr="00826530">
              <w:rPr>
                <w:rFonts w:ascii="Arial" w:hAnsi="Arial" w:cs="Arial"/>
                <w:b/>
                <w:sz w:val="21"/>
                <w:szCs w:val="21"/>
              </w:rPr>
              <w:t>, 1.</w:t>
            </w:r>
            <w:r w:rsidR="00786DE9" w:rsidRPr="00826530">
              <w:rPr>
                <w:rFonts w:ascii="Arial" w:hAnsi="Arial" w:cs="Arial"/>
                <w:b/>
                <w:sz w:val="21"/>
                <w:szCs w:val="21"/>
              </w:rPr>
              <w:t>35</w:t>
            </w:r>
          </w:p>
        </w:tc>
      </w:tr>
      <w:tr w:rsidR="00851673" w:rsidRPr="00826530" w14:paraId="47D1C88F" w14:textId="77777777" w:rsidTr="00FE3A65">
        <w:trPr>
          <w:trHeight w:val="227"/>
        </w:trPr>
        <w:tc>
          <w:tcPr>
            <w:tcW w:w="3450" w:type="dxa"/>
            <w:gridSpan w:val="5"/>
            <w:tcBorders>
              <w:top w:val="nil"/>
              <w:left w:val="nil"/>
              <w:bottom w:val="nil"/>
              <w:right w:val="nil"/>
            </w:tcBorders>
            <w:vAlign w:val="center"/>
          </w:tcPr>
          <w:p w14:paraId="2A85D98D" w14:textId="77777777" w:rsidR="00851673" w:rsidRPr="00826530" w:rsidRDefault="00851673" w:rsidP="00836582">
            <w:pPr>
              <w:rPr>
                <w:rFonts w:ascii="Arial" w:hAnsi="Arial" w:cs="Arial"/>
                <w:sz w:val="21"/>
                <w:szCs w:val="21"/>
              </w:rPr>
            </w:pPr>
            <w:r w:rsidRPr="00826530">
              <w:rPr>
                <w:rFonts w:ascii="Arial" w:hAnsi="Arial" w:cs="Arial"/>
                <w:sz w:val="21"/>
                <w:szCs w:val="21"/>
              </w:rPr>
              <w:t>Cognitive Escape Scale (</w:t>
            </w:r>
            <w:r w:rsidRPr="00826530">
              <w:rPr>
                <w:rFonts w:ascii="Arial" w:hAnsi="Arial" w:cs="Arial"/>
                <w:sz w:val="21"/>
                <w:szCs w:val="21"/>
              </w:rPr>
              <w:sym w:font="Symbol" w:char="F061"/>
            </w:r>
            <w:r w:rsidRPr="00826530">
              <w:rPr>
                <w:rFonts w:ascii="Arial" w:hAnsi="Arial" w:cs="Arial"/>
                <w:sz w:val="21"/>
                <w:szCs w:val="21"/>
              </w:rPr>
              <w:t>=0.90)</w:t>
            </w:r>
          </w:p>
        </w:tc>
        <w:tc>
          <w:tcPr>
            <w:tcW w:w="1007" w:type="dxa"/>
            <w:tcBorders>
              <w:top w:val="nil"/>
              <w:left w:val="nil"/>
              <w:bottom w:val="nil"/>
              <w:right w:val="nil"/>
            </w:tcBorders>
            <w:vAlign w:val="center"/>
          </w:tcPr>
          <w:p w14:paraId="6BF7C67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32</w:t>
            </w:r>
          </w:p>
        </w:tc>
        <w:tc>
          <w:tcPr>
            <w:tcW w:w="1009" w:type="dxa"/>
            <w:tcBorders>
              <w:top w:val="nil"/>
              <w:left w:val="nil"/>
              <w:bottom w:val="nil"/>
              <w:right w:val="nil"/>
            </w:tcBorders>
            <w:vAlign w:val="center"/>
          </w:tcPr>
          <w:p w14:paraId="1B85D80A"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29-36</w:t>
            </w:r>
          </w:p>
        </w:tc>
        <w:tc>
          <w:tcPr>
            <w:tcW w:w="935" w:type="dxa"/>
            <w:tcBorders>
              <w:top w:val="nil"/>
              <w:left w:val="nil"/>
              <w:bottom w:val="nil"/>
              <w:right w:val="nil"/>
            </w:tcBorders>
            <w:vAlign w:val="center"/>
          </w:tcPr>
          <w:p w14:paraId="78BDC79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28</w:t>
            </w:r>
          </w:p>
        </w:tc>
        <w:tc>
          <w:tcPr>
            <w:tcW w:w="936" w:type="dxa"/>
            <w:tcBorders>
              <w:top w:val="nil"/>
              <w:left w:val="nil"/>
              <w:bottom w:val="nil"/>
              <w:right w:val="nil"/>
            </w:tcBorders>
            <w:vAlign w:val="center"/>
          </w:tcPr>
          <w:p w14:paraId="239E71B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24-32</w:t>
            </w:r>
          </w:p>
        </w:tc>
        <w:tc>
          <w:tcPr>
            <w:tcW w:w="743" w:type="dxa"/>
            <w:tcBorders>
              <w:top w:val="nil"/>
              <w:left w:val="nil"/>
              <w:bottom w:val="nil"/>
              <w:right w:val="nil"/>
            </w:tcBorders>
            <w:vAlign w:val="center"/>
          </w:tcPr>
          <w:p w14:paraId="107CC077" w14:textId="25718791" w:rsidR="00851673" w:rsidRPr="00826530" w:rsidRDefault="00851673" w:rsidP="00836582">
            <w:pPr>
              <w:jc w:val="center"/>
              <w:rPr>
                <w:rFonts w:ascii="Arial" w:hAnsi="Arial" w:cs="Arial"/>
                <w:bCs/>
                <w:sz w:val="21"/>
                <w:szCs w:val="21"/>
              </w:rPr>
            </w:pPr>
            <w:r w:rsidRPr="00826530">
              <w:rPr>
                <w:rFonts w:ascii="Arial" w:hAnsi="Arial" w:cs="Arial"/>
                <w:bCs/>
                <w:sz w:val="21"/>
                <w:szCs w:val="21"/>
              </w:rPr>
              <w:t>1.1</w:t>
            </w:r>
            <w:r w:rsidR="00786DE9" w:rsidRPr="00826530">
              <w:rPr>
                <w:rFonts w:ascii="Arial" w:hAnsi="Arial" w:cs="Arial"/>
                <w:bCs/>
                <w:sz w:val="21"/>
                <w:szCs w:val="21"/>
              </w:rPr>
              <w:t>3</w:t>
            </w:r>
          </w:p>
        </w:tc>
        <w:tc>
          <w:tcPr>
            <w:tcW w:w="1420" w:type="dxa"/>
            <w:tcBorders>
              <w:top w:val="nil"/>
              <w:left w:val="nil"/>
              <w:bottom w:val="nil"/>
              <w:right w:val="nil"/>
            </w:tcBorders>
            <w:vAlign w:val="center"/>
          </w:tcPr>
          <w:p w14:paraId="1CF03FF1" w14:textId="779D1FFF" w:rsidR="00851673" w:rsidRPr="00826530" w:rsidRDefault="00851673" w:rsidP="00836582">
            <w:pPr>
              <w:jc w:val="center"/>
              <w:rPr>
                <w:rFonts w:ascii="Arial" w:hAnsi="Arial" w:cs="Arial"/>
                <w:b/>
                <w:sz w:val="21"/>
                <w:szCs w:val="21"/>
              </w:rPr>
            </w:pPr>
            <w:r w:rsidRPr="00826530">
              <w:rPr>
                <w:rFonts w:ascii="Arial" w:hAnsi="Arial" w:cs="Arial"/>
                <w:b/>
                <w:sz w:val="21"/>
                <w:szCs w:val="21"/>
              </w:rPr>
              <w:t>1.09, 1.</w:t>
            </w:r>
            <w:r w:rsidR="00786DE9" w:rsidRPr="00826530">
              <w:rPr>
                <w:rFonts w:ascii="Arial" w:hAnsi="Arial" w:cs="Arial"/>
                <w:b/>
                <w:sz w:val="21"/>
                <w:szCs w:val="21"/>
              </w:rPr>
              <w:t>17</w:t>
            </w:r>
          </w:p>
        </w:tc>
      </w:tr>
      <w:tr w:rsidR="00851673" w:rsidRPr="00826530" w14:paraId="0BB2B94E" w14:textId="77777777" w:rsidTr="00FE3A65">
        <w:trPr>
          <w:trHeight w:val="227"/>
        </w:trPr>
        <w:tc>
          <w:tcPr>
            <w:tcW w:w="3450" w:type="dxa"/>
            <w:gridSpan w:val="5"/>
            <w:tcBorders>
              <w:top w:val="nil"/>
              <w:left w:val="nil"/>
              <w:bottom w:val="nil"/>
              <w:right w:val="nil"/>
            </w:tcBorders>
            <w:vAlign w:val="center"/>
          </w:tcPr>
          <w:p w14:paraId="5607DEC7" w14:textId="139D0A90" w:rsidR="00851673" w:rsidRPr="00826530" w:rsidRDefault="00851673" w:rsidP="00836582">
            <w:pPr>
              <w:rPr>
                <w:rFonts w:ascii="Arial" w:hAnsi="Arial" w:cs="Arial"/>
                <w:sz w:val="21"/>
                <w:szCs w:val="21"/>
              </w:rPr>
            </w:pPr>
            <w:r w:rsidRPr="00826530">
              <w:rPr>
                <w:rFonts w:ascii="Arial" w:hAnsi="Arial" w:cs="Arial"/>
                <w:sz w:val="21"/>
                <w:szCs w:val="21"/>
              </w:rPr>
              <w:t>Loneliness Scale (</w:t>
            </w:r>
            <w:r w:rsidRPr="00826530">
              <w:rPr>
                <w:rFonts w:ascii="Arial" w:hAnsi="Arial" w:cs="Arial"/>
                <w:sz w:val="21"/>
                <w:szCs w:val="21"/>
              </w:rPr>
              <w:sym w:font="Symbol" w:char="F061"/>
            </w:r>
            <w:r w:rsidRPr="00826530">
              <w:rPr>
                <w:rFonts w:ascii="Arial" w:hAnsi="Arial" w:cs="Arial"/>
                <w:sz w:val="21"/>
                <w:szCs w:val="21"/>
              </w:rPr>
              <w:t>=0.</w:t>
            </w:r>
            <w:r w:rsidR="009B0A97" w:rsidRPr="00826530">
              <w:rPr>
                <w:rFonts w:ascii="Arial" w:hAnsi="Arial" w:cs="Arial"/>
                <w:sz w:val="21"/>
                <w:szCs w:val="21"/>
              </w:rPr>
              <w:t>77</w:t>
            </w:r>
            <w:r w:rsidRPr="00826530">
              <w:rPr>
                <w:rFonts w:ascii="Arial" w:hAnsi="Arial" w:cs="Arial"/>
                <w:sz w:val="21"/>
                <w:szCs w:val="21"/>
              </w:rPr>
              <w:t>)</w:t>
            </w:r>
          </w:p>
        </w:tc>
        <w:tc>
          <w:tcPr>
            <w:tcW w:w="1007" w:type="dxa"/>
            <w:tcBorders>
              <w:top w:val="nil"/>
              <w:left w:val="nil"/>
              <w:bottom w:val="nil"/>
              <w:right w:val="nil"/>
            </w:tcBorders>
            <w:vAlign w:val="center"/>
          </w:tcPr>
          <w:p w14:paraId="06FA676A"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w:t>
            </w:r>
          </w:p>
        </w:tc>
        <w:tc>
          <w:tcPr>
            <w:tcW w:w="1009" w:type="dxa"/>
            <w:tcBorders>
              <w:top w:val="nil"/>
              <w:left w:val="nil"/>
              <w:bottom w:val="nil"/>
              <w:right w:val="nil"/>
            </w:tcBorders>
            <w:vAlign w:val="center"/>
          </w:tcPr>
          <w:p w14:paraId="4F5E0F4B"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2-5</w:t>
            </w:r>
          </w:p>
        </w:tc>
        <w:tc>
          <w:tcPr>
            <w:tcW w:w="935" w:type="dxa"/>
            <w:tcBorders>
              <w:top w:val="nil"/>
              <w:left w:val="nil"/>
              <w:bottom w:val="nil"/>
              <w:right w:val="nil"/>
            </w:tcBorders>
            <w:vAlign w:val="center"/>
          </w:tcPr>
          <w:p w14:paraId="667D9C84"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w:t>
            </w:r>
          </w:p>
        </w:tc>
        <w:tc>
          <w:tcPr>
            <w:tcW w:w="936" w:type="dxa"/>
            <w:tcBorders>
              <w:top w:val="nil"/>
              <w:left w:val="nil"/>
              <w:bottom w:val="nil"/>
              <w:right w:val="nil"/>
            </w:tcBorders>
            <w:vAlign w:val="center"/>
          </w:tcPr>
          <w:p w14:paraId="7BEA5FD9"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1-4</w:t>
            </w:r>
          </w:p>
        </w:tc>
        <w:tc>
          <w:tcPr>
            <w:tcW w:w="743" w:type="dxa"/>
            <w:tcBorders>
              <w:top w:val="nil"/>
              <w:left w:val="nil"/>
              <w:bottom w:val="nil"/>
              <w:right w:val="nil"/>
            </w:tcBorders>
            <w:vAlign w:val="center"/>
          </w:tcPr>
          <w:p w14:paraId="696BF740" w14:textId="29EAECD0"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786DE9" w:rsidRPr="00826530">
              <w:rPr>
                <w:rFonts w:ascii="Arial" w:hAnsi="Arial" w:cs="Arial"/>
                <w:bCs/>
                <w:sz w:val="21"/>
                <w:szCs w:val="21"/>
              </w:rPr>
              <w:t>31</w:t>
            </w:r>
          </w:p>
        </w:tc>
        <w:tc>
          <w:tcPr>
            <w:tcW w:w="1420" w:type="dxa"/>
            <w:tcBorders>
              <w:top w:val="nil"/>
              <w:left w:val="nil"/>
              <w:bottom w:val="nil"/>
              <w:right w:val="nil"/>
            </w:tcBorders>
            <w:vAlign w:val="center"/>
          </w:tcPr>
          <w:p w14:paraId="6DF92FFC" w14:textId="1546C077" w:rsidR="00851673" w:rsidRPr="00826530" w:rsidRDefault="00851673" w:rsidP="00836582">
            <w:pPr>
              <w:jc w:val="center"/>
              <w:rPr>
                <w:rFonts w:ascii="Arial" w:hAnsi="Arial" w:cs="Arial"/>
                <w:b/>
                <w:sz w:val="21"/>
                <w:szCs w:val="21"/>
              </w:rPr>
            </w:pPr>
            <w:r w:rsidRPr="00826530">
              <w:rPr>
                <w:rFonts w:ascii="Arial" w:hAnsi="Arial" w:cs="Arial"/>
                <w:b/>
                <w:sz w:val="21"/>
                <w:szCs w:val="21"/>
              </w:rPr>
              <w:t>1.</w:t>
            </w:r>
            <w:r w:rsidR="00786DE9" w:rsidRPr="00826530">
              <w:rPr>
                <w:rFonts w:ascii="Arial" w:hAnsi="Arial" w:cs="Arial"/>
                <w:b/>
                <w:sz w:val="21"/>
                <w:szCs w:val="21"/>
              </w:rPr>
              <w:t>18</w:t>
            </w:r>
            <w:r w:rsidRPr="00826530">
              <w:rPr>
                <w:rFonts w:ascii="Arial" w:hAnsi="Arial" w:cs="Arial"/>
                <w:b/>
                <w:sz w:val="21"/>
                <w:szCs w:val="21"/>
              </w:rPr>
              <w:t>, 1.</w:t>
            </w:r>
            <w:r w:rsidR="00786DE9" w:rsidRPr="00826530">
              <w:rPr>
                <w:rFonts w:ascii="Arial" w:hAnsi="Arial" w:cs="Arial"/>
                <w:b/>
                <w:sz w:val="21"/>
                <w:szCs w:val="21"/>
              </w:rPr>
              <w:t>47</w:t>
            </w:r>
          </w:p>
        </w:tc>
      </w:tr>
      <w:tr w:rsidR="00851673" w:rsidRPr="00826530" w14:paraId="46F86679" w14:textId="77777777" w:rsidTr="00FE3A65">
        <w:trPr>
          <w:trHeight w:val="227"/>
        </w:trPr>
        <w:tc>
          <w:tcPr>
            <w:tcW w:w="3450" w:type="dxa"/>
            <w:gridSpan w:val="5"/>
            <w:tcBorders>
              <w:top w:val="nil"/>
              <w:left w:val="nil"/>
              <w:bottom w:val="nil"/>
              <w:right w:val="nil"/>
            </w:tcBorders>
            <w:vAlign w:val="center"/>
          </w:tcPr>
          <w:p w14:paraId="627BA865" w14:textId="0AAAE5D2" w:rsidR="00851673" w:rsidRPr="00826530" w:rsidRDefault="00851673" w:rsidP="00836582">
            <w:pPr>
              <w:rPr>
                <w:rFonts w:ascii="Arial" w:hAnsi="Arial" w:cs="Arial"/>
                <w:sz w:val="21"/>
                <w:szCs w:val="21"/>
              </w:rPr>
            </w:pPr>
            <w:r w:rsidRPr="00826530">
              <w:rPr>
                <w:rFonts w:ascii="Arial" w:hAnsi="Arial" w:cs="Arial"/>
                <w:sz w:val="21"/>
                <w:szCs w:val="21"/>
              </w:rPr>
              <w:t>HADS Anxiety (</w:t>
            </w:r>
            <w:r w:rsidRPr="00826530">
              <w:rPr>
                <w:rFonts w:ascii="Arial" w:hAnsi="Arial" w:cs="Arial"/>
                <w:sz w:val="21"/>
                <w:szCs w:val="21"/>
              </w:rPr>
              <w:sym w:font="Symbol" w:char="F061"/>
            </w:r>
            <w:r w:rsidRPr="00826530">
              <w:rPr>
                <w:rFonts w:ascii="Arial" w:hAnsi="Arial" w:cs="Arial"/>
                <w:sz w:val="21"/>
                <w:szCs w:val="21"/>
              </w:rPr>
              <w:t>=0.</w:t>
            </w:r>
            <w:r w:rsidR="009B0A97" w:rsidRPr="00826530">
              <w:rPr>
                <w:rFonts w:ascii="Arial" w:hAnsi="Arial" w:cs="Arial"/>
                <w:sz w:val="21"/>
                <w:szCs w:val="21"/>
              </w:rPr>
              <w:t>84</w:t>
            </w:r>
            <w:r w:rsidRPr="00826530">
              <w:rPr>
                <w:rFonts w:ascii="Arial" w:hAnsi="Arial" w:cs="Arial"/>
                <w:sz w:val="21"/>
                <w:szCs w:val="21"/>
              </w:rPr>
              <w:t>)</w:t>
            </w:r>
          </w:p>
        </w:tc>
        <w:tc>
          <w:tcPr>
            <w:tcW w:w="1007" w:type="dxa"/>
            <w:tcBorders>
              <w:top w:val="nil"/>
              <w:left w:val="nil"/>
              <w:bottom w:val="nil"/>
              <w:right w:val="nil"/>
            </w:tcBorders>
            <w:vAlign w:val="center"/>
          </w:tcPr>
          <w:p w14:paraId="3CF81A5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9</w:t>
            </w:r>
          </w:p>
        </w:tc>
        <w:tc>
          <w:tcPr>
            <w:tcW w:w="1009" w:type="dxa"/>
            <w:tcBorders>
              <w:top w:val="nil"/>
              <w:left w:val="nil"/>
              <w:bottom w:val="nil"/>
              <w:right w:val="nil"/>
            </w:tcBorders>
            <w:vAlign w:val="center"/>
          </w:tcPr>
          <w:p w14:paraId="15172172"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7-11</w:t>
            </w:r>
          </w:p>
        </w:tc>
        <w:tc>
          <w:tcPr>
            <w:tcW w:w="935" w:type="dxa"/>
            <w:tcBorders>
              <w:top w:val="nil"/>
              <w:left w:val="nil"/>
              <w:bottom w:val="nil"/>
              <w:right w:val="nil"/>
            </w:tcBorders>
            <w:vAlign w:val="center"/>
          </w:tcPr>
          <w:p w14:paraId="336AE1D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7</w:t>
            </w:r>
          </w:p>
        </w:tc>
        <w:tc>
          <w:tcPr>
            <w:tcW w:w="936" w:type="dxa"/>
            <w:tcBorders>
              <w:top w:val="nil"/>
              <w:left w:val="nil"/>
              <w:bottom w:val="nil"/>
              <w:right w:val="nil"/>
            </w:tcBorders>
            <w:vAlign w:val="center"/>
          </w:tcPr>
          <w:p w14:paraId="2666BD4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5-10</w:t>
            </w:r>
          </w:p>
        </w:tc>
        <w:tc>
          <w:tcPr>
            <w:tcW w:w="743" w:type="dxa"/>
            <w:tcBorders>
              <w:top w:val="nil"/>
              <w:left w:val="nil"/>
              <w:bottom w:val="nil"/>
              <w:right w:val="nil"/>
            </w:tcBorders>
            <w:vAlign w:val="center"/>
          </w:tcPr>
          <w:p w14:paraId="4E778A1B" w14:textId="2DB9398E" w:rsidR="00851673" w:rsidRPr="00826530" w:rsidRDefault="00851673" w:rsidP="00836582">
            <w:pPr>
              <w:jc w:val="center"/>
              <w:rPr>
                <w:rFonts w:ascii="Arial" w:hAnsi="Arial" w:cs="Arial"/>
                <w:bCs/>
                <w:sz w:val="21"/>
                <w:szCs w:val="21"/>
              </w:rPr>
            </w:pPr>
            <w:r w:rsidRPr="00826530">
              <w:rPr>
                <w:rFonts w:ascii="Arial" w:hAnsi="Arial" w:cs="Arial"/>
                <w:bCs/>
                <w:sz w:val="21"/>
                <w:szCs w:val="21"/>
              </w:rPr>
              <w:t>1.1</w:t>
            </w:r>
            <w:r w:rsidR="00786DE9" w:rsidRPr="00826530">
              <w:rPr>
                <w:rFonts w:ascii="Arial" w:hAnsi="Arial" w:cs="Arial"/>
                <w:bCs/>
                <w:sz w:val="21"/>
                <w:szCs w:val="21"/>
              </w:rPr>
              <w:t>4</w:t>
            </w:r>
          </w:p>
        </w:tc>
        <w:tc>
          <w:tcPr>
            <w:tcW w:w="1420" w:type="dxa"/>
            <w:tcBorders>
              <w:top w:val="nil"/>
              <w:left w:val="nil"/>
              <w:bottom w:val="nil"/>
              <w:right w:val="nil"/>
            </w:tcBorders>
            <w:vAlign w:val="center"/>
          </w:tcPr>
          <w:p w14:paraId="5AFA14AF" w14:textId="4C8DEDAA" w:rsidR="00851673" w:rsidRPr="00826530" w:rsidRDefault="00851673" w:rsidP="00836582">
            <w:pPr>
              <w:jc w:val="center"/>
              <w:rPr>
                <w:rFonts w:ascii="Arial" w:hAnsi="Arial" w:cs="Arial"/>
                <w:b/>
                <w:sz w:val="21"/>
                <w:szCs w:val="21"/>
              </w:rPr>
            </w:pPr>
            <w:r w:rsidRPr="00826530">
              <w:rPr>
                <w:rFonts w:ascii="Arial" w:hAnsi="Arial" w:cs="Arial"/>
                <w:b/>
                <w:sz w:val="21"/>
                <w:szCs w:val="21"/>
              </w:rPr>
              <w:t>1.0</w:t>
            </w:r>
            <w:r w:rsidR="00786DE9" w:rsidRPr="00826530">
              <w:rPr>
                <w:rFonts w:ascii="Arial" w:hAnsi="Arial" w:cs="Arial"/>
                <w:b/>
                <w:sz w:val="21"/>
                <w:szCs w:val="21"/>
              </w:rPr>
              <w:t>9</w:t>
            </w:r>
            <w:r w:rsidRPr="00826530">
              <w:rPr>
                <w:rFonts w:ascii="Arial" w:hAnsi="Arial" w:cs="Arial"/>
                <w:b/>
                <w:sz w:val="21"/>
                <w:szCs w:val="21"/>
              </w:rPr>
              <w:t>, 1.2</w:t>
            </w:r>
            <w:r w:rsidR="00786DE9" w:rsidRPr="00826530">
              <w:rPr>
                <w:rFonts w:ascii="Arial" w:hAnsi="Arial" w:cs="Arial"/>
                <w:b/>
                <w:sz w:val="21"/>
                <w:szCs w:val="21"/>
              </w:rPr>
              <w:t>1</w:t>
            </w:r>
          </w:p>
        </w:tc>
      </w:tr>
      <w:tr w:rsidR="00851673" w:rsidRPr="00826530" w14:paraId="74C59B73" w14:textId="77777777" w:rsidTr="00AF3875">
        <w:trPr>
          <w:trHeight w:val="227"/>
        </w:trPr>
        <w:tc>
          <w:tcPr>
            <w:tcW w:w="3450" w:type="dxa"/>
            <w:gridSpan w:val="5"/>
            <w:tcBorders>
              <w:top w:val="nil"/>
              <w:left w:val="nil"/>
              <w:bottom w:val="single" w:sz="4" w:space="0" w:color="auto"/>
              <w:right w:val="nil"/>
            </w:tcBorders>
            <w:vAlign w:val="center"/>
          </w:tcPr>
          <w:p w14:paraId="4280152F" w14:textId="593F62E8" w:rsidR="00851673" w:rsidRPr="00826530" w:rsidRDefault="00851673" w:rsidP="00836582">
            <w:pPr>
              <w:rPr>
                <w:rFonts w:ascii="Arial" w:hAnsi="Arial" w:cs="Arial"/>
                <w:sz w:val="21"/>
                <w:szCs w:val="21"/>
              </w:rPr>
            </w:pPr>
            <w:r w:rsidRPr="00826530">
              <w:rPr>
                <w:rFonts w:ascii="Arial" w:hAnsi="Arial" w:cs="Arial"/>
                <w:sz w:val="21"/>
                <w:szCs w:val="21"/>
              </w:rPr>
              <w:t>HADS Depression (</w:t>
            </w:r>
            <w:r w:rsidRPr="00826530">
              <w:rPr>
                <w:rFonts w:ascii="Arial" w:hAnsi="Arial" w:cs="Arial"/>
                <w:sz w:val="21"/>
                <w:szCs w:val="21"/>
              </w:rPr>
              <w:sym w:font="Symbol" w:char="F061"/>
            </w:r>
            <w:r w:rsidRPr="00826530">
              <w:rPr>
                <w:rFonts w:ascii="Arial" w:hAnsi="Arial" w:cs="Arial"/>
                <w:sz w:val="21"/>
                <w:szCs w:val="21"/>
              </w:rPr>
              <w:t>=0.</w:t>
            </w:r>
            <w:r w:rsidR="009B0A97" w:rsidRPr="00826530">
              <w:rPr>
                <w:rFonts w:ascii="Arial" w:hAnsi="Arial" w:cs="Arial"/>
                <w:sz w:val="21"/>
                <w:szCs w:val="21"/>
              </w:rPr>
              <w:t>78</w:t>
            </w:r>
            <w:r w:rsidRPr="00826530">
              <w:rPr>
                <w:rFonts w:ascii="Arial" w:hAnsi="Arial" w:cs="Arial"/>
                <w:sz w:val="21"/>
                <w:szCs w:val="21"/>
              </w:rPr>
              <w:t>)</w:t>
            </w:r>
          </w:p>
        </w:tc>
        <w:tc>
          <w:tcPr>
            <w:tcW w:w="1007" w:type="dxa"/>
            <w:tcBorders>
              <w:top w:val="nil"/>
              <w:left w:val="nil"/>
              <w:bottom w:val="single" w:sz="4" w:space="0" w:color="auto"/>
              <w:right w:val="nil"/>
            </w:tcBorders>
            <w:vAlign w:val="center"/>
          </w:tcPr>
          <w:p w14:paraId="46B9952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w:t>
            </w:r>
          </w:p>
        </w:tc>
        <w:tc>
          <w:tcPr>
            <w:tcW w:w="1009" w:type="dxa"/>
            <w:tcBorders>
              <w:top w:val="nil"/>
              <w:left w:val="nil"/>
              <w:bottom w:val="single" w:sz="4" w:space="0" w:color="auto"/>
              <w:right w:val="nil"/>
            </w:tcBorders>
            <w:vAlign w:val="center"/>
          </w:tcPr>
          <w:p w14:paraId="589AB96D"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3-8</w:t>
            </w:r>
          </w:p>
        </w:tc>
        <w:tc>
          <w:tcPr>
            <w:tcW w:w="935" w:type="dxa"/>
            <w:tcBorders>
              <w:top w:val="nil"/>
              <w:left w:val="nil"/>
              <w:bottom w:val="single" w:sz="4" w:space="0" w:color="auto"/>
              <w:right w:val="nil"/>
            </w:tcBorders>
            <w:vAlign w:val="center"/>
          </w:tcPr>
          <w:p w14:paraId="42C86B68"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3</w:t>
            </w:r>
          </w:p>
        </w:tc>
        <w:tc>
          <w:tcPr>
            <w:tcW w:w="936" w:type="dxa"/>
            <w:tcBorders>
              <w:top w:val="nil"/>
              <w:left w:val="nil"/>
              <w:bottom w:val="single" w:sz="4" w:space="0" w:color="auto"/>
              <w:right w:val="nil"/>
            </w:tcBorders>
            <w:vAlign w:val="center"/>
          </w:tcPr>
          <w:p w14:paraId="1DCD425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1-6</w:t>
            </w:r>
          </w:p>
        </w:tc>
        <w:tc>
          <w:tcPr>
            <w:tcW w:w="743" w:type="dxa"/>
            <w:tcBorders>
              <w:top w:val="nil"/>
              <w:left w:val="nil"/>
              <w:bottom w:val="single" w:sz="4" w:space="0" w:color="auto"/>
              <w:right w:val="nil"/>
            </w:tcBorders>
            <w:vAlign w:val="center"/>
          </w:tcPr>
          <w:p w14:paraId="667690A4" w14:textId="00256074" w:rsidR="00851673" w:rsidRPr="00826530" w:rsidRDefault="00851673" w:rsidP="00836582">
            <w:pPr>
              <w:jc w:val="center"/>
              <w:rPr>
                <w:rFonts w:ascii="Arial" w:hAnsi="Arial" w:cs="Arial"/>
                <w:bCs/>
                <w:sz w:val="21"/>
                <w:szCs w:val="21"/>
              </w:rPr>
            </w:pPr>
            <w:r w:rsidRPr="00826530">
              <w:rPr>
                <w:rFonts w:ascii="Arial" w:hAnsi="Arial" w:cs="Arial"/>
                <w:bCs/>
                <w:sz w:val="21"/>
                <w:szCs w:val="21"/>
              </w:rPr>
              <w:t>1.</w:t>
            </w:r>
            <w:r w:rsidR="00786DE9" w:rsidRPr="00826530">
              <w:rPr>
                <w:rFonts w:ascii="Arial" w:hAnsi="Arial" w:cs="Arial"/>
                <w:bCs/>
                <w:sz w:val="21"/>
                <w:szCs w:val="21"/>
              </w:rPr>
              <w:t>10</w:t>
            </w:r>
          </w:p>
        </w:tc>
        <w:tc>
          <w:tcPr>
            <w:tcW w:w="1420" w:type="dxa"/>
            <w:tcBorders>
              <w:top w:val="nil"/>
              <w:left w:val="nil"/>
              <w:bottom w:val="single" w:sz="4" w:space="0" w:color="auto"/>
              <w:right w:val="nil"/>
            </w:tcBorders>
            <w:vAlign w:val="center"/>
          </w:tcPr>
          <w:p w14:paraId="6D97D4A4" w14:textId="2A490AA8" w:rsidR="00851673" w:rsidRPr="00826530" w:rsidRDefault="00786DE9" w:rsidP="00836582">
            <w:pPr>
              <w:jc w:val="center"/>
              <w:rPr>
                <w:rFonts w:ascii="Arial" w:hAnsi="Arial" w:cs="Arial"/>
                <w:b/>
                <w:bCs/>
                <w:sz w:val="21"/>
                <w:szCs w:val="21"/>
              </w:rPr>
            </w:pPr>
            <w:r w:rsidRPr="00826530">
              <w:rPr>
                <w:rFonts w:ascii="Arial" w:hAnsi="Arial" w:cs="Arial"/>
                <w:b/>
                <w:bCs/>
                <w:sz w:val="21"/>
                <w:szCs w:val="21"/>
              </w:rPr>
              <w:t>1.03</w:t>
            </w:r>
            <w:r w:rsidR="00851673" w:rsidRPr="00826530">
              <w:rPr>
                <w:rFonts w:ascii="Arial" w:hAnsi="Arial" w:cs="Arial"/>
                <w:b/>
                <w:bCs/>
                <w:sz w:val="21"/>
                <w:szCs w:val="21"/>
              </w:rPr>
              <w:t>, 1.1</w:t>
            </w:r>
            <w:r w:rsidRPr="00826530">
              <w:rPr>
                <w:rFonts w:ascii="Arial" w:hAnsi="Arial" w:cs="Arial"/>
                <w:b/>
                <w:bCs/>
                <w:sz w:val="21"/>
                <w:szCs w:val="21"/>
              </w:rPr>
              <w:t>7</w:t>
            </w:r>
          </w:p>
        </w:tc>
      </w:tr>
      <w:tr w:rsidR="00AF3875" w:rsidRPr="00826530" w14:paraId="0453393E" w14:textId="77777777" w:rsidTr="00AF3875">
        <w:trPr>
          <w:trHeight w:val="227"/>
        </w:trPr>
        <w:tc>
          <w:tcPr>
            <w:tcW w:w="3450" w:type="dxa"/>
            <w:gridSpan w:val="5"/>
            <w:tcBorders>
              <w:top w:val="single" w:sz="4" w:space="0" w:color="auto"/>
              <w:left w:val="nil"/>
              <w:bottom w:val="single" w:sz="4" w:space="0" w:color="auto"/>
              <w:right w:val="nil"/>
            </w:tcBorders>
            <w:vAlign w:val="center"/>
          </w:tcPr>
          <w:p w14:paraId="44D0631A" w14:textId="11752ECD" w:rsidR="00AF3875" w:rsidRPr="00826530" w:rsidRDefault="00AF3875" w:rsidP="00836582">
            <w:pPr>
              <w:rPr>
                <w:rFonts w:ascii="Arial" w:hAnsi="Arial" w:cs="Arial"/>
                <w:b/>
                <w:sz w:val="21"/>
                <w:szCs w:val="21"/>
              </w:rPr>
            </w:pPr>
            <w:r w:rsidRPr="00826530">
              <w:rPr>
                <w:rFonts w:ascii="Arial" w:hAnsi="Arial" w:cs="Arial"/>
                <w:b/>
                <w:sz w:val="21"/>
                <w:szCs w:val="21"/>
              </w:rPr>
              <w:t xml:space="preserve">Continuous </w:t>
            </w:r>
            <w:r w:rsidR="00E401E4" w:rsidRPr="00826530">
              <w:rPr>
                <w:rFonts w:ascii="Arial" w:hAnsi="Arial" w:cs="Arial"/>
                <w:b/>
                <w:sz w:val="21"/>
                <w:szCs w:val="21"/>
              </w:rPr>
              <w:t>s</w:t>
            </w:r>
            <w:r w:rsidRPr="00826530">
              <w:rPr>
                <w:rFonts w:ascii="Arial" w:hAnsi="Arial" w:cs="Arial"/>
                <w:b/>
                <w:sz w:val="21"/>
                <w:szCs w:val="21"/>
              </w:rPr>
              <w:t xml:space="preserve">exual </w:t>
            </w:r>
            <w:r w:rsidR="00E401E4" w:rsidRPr="00826530">
              <w:rPr>
                <w:rFonts w:ascii="Arial" w:hAnsi="Arial" w:cs="Arial"/>
                <w:b/>
                <w:sz w:val="21"/>
                <w:szCs w:val="21"/>
              </w:rPr>
              <w:t>b</w:t>
            </w:r>
            <w:r w:rsidRPr="00826530">
              <w:rPr>
                <w:rFonts w:ascii="Arial" w:hAnsi="Arial" w:cs="Arial"/>
                <w:b/>
                <w:sz w:val="21"/>
                <w:szCs w:val="21"/>
              </w:rPr>
              <w:t xml:space="preserve">ehaviour </w:t>
            </w:r>
            <w:r w:rsidR="00E401E4" w:rsidRPr="00826530">
              <w:rPr>
                <w:rFonts w:ascii="Arial" w:hAnsi="Arial" w:cs="Arial"/>
                <w:b/>
                <w:sz w:val="21"/>
                <w:szCs w:val="21"/>
              </w:rPr>
              <w:t>v</w:t>
            </w:r>
            <w:r w:rsidRPr="00826530">
              <w:rPr>
                <w:rFonts w:ascii="Arial" w:hAnsi="Arial" w:cs="Arial"/>
                <w:b/>
                <w:sz w:val="21"/>
                <w:szCs w:val="21"/>
              </w:rPr>
              <w:t>ariables</w:t>
            </w:r>
          </w:p>
        </w:tc>
        <w:tc>
          <w:tcPr>
            <w:tcW w:w="1007" w:type="dxa"/>
            <w:tcBorders>
              <w:top w:val="single" w:sz="4" w:space="0" w:color="auto"/>
              <w:left w:val="nil"/>
              <w:bottom w:val="single" w:sz="4" w:space="0" w:color="auto"/>
              <w:right w:val="nil"/>
            </w:tcBorders>
            <w:vAlign w:val="center"/>
          </w:tcPr>
          <w:p w14:paraId="0976C3A0" w14:textId="77777777" w:rsidR="00AF3875" w:rsidRPr="00826530" w:rsidRDefault="00AF3875" w:rsidP="00836582">
            <w:pPr>
              <w:jc w:val="center"/>
              <w:rPr>
                <w:rFonts w:ascii="Arial" w:hAnsi="Arial" w:cs="Arial"/>
                <w:bCs/>
                <w:sz w:val="21"/>
                <w:szCs w:val="21"/>
              </w:rPr>
            </w:pPr>
          </w:p>
        </w:tc>
        <w:tc>
          <w:tcPr>
            <w:tcW w:w="1009" w:type="dxa"/>
            <w:tcBorders>
              <w:top w:val="single" w:sz="4" w:space="0" w:color="auto"/>
              <w:left w:val="nil"/>
              <w:bottom w:val="single" w:sz="4" w:space="0" w:color="auto"/>
              <w:right w:val="nil"/>
            </w:tcBorders>
            <w:vAlign w:val="center"/>
          </w:tcPr>
          <w:p w14:paraId="2C3B892C" w14:textId="77777777" w:rsidR="00AF3875" w:rsidRPr="00826530" w:rsidRDefault="00AF3875" w:rsidP="00836582">
            <w:pPr>
              <w:jc w:val="center"/>
              <w:rPr>
                <w:rFonts w:ascii="Arial" w:hAnsi="Arial" w:cs="Arial"/>
                <w:bCs/>
                <w:sz w:val="21"/>
                <w:szCs w:val="21"/>
              </w:rPr>
            </w:pPr>
          </w:p>
        </w:tc>
        <w:tc>
          <w:tcPr>
            <w:tcW w:w="935" w:type="dxa"/>
            <w:tcBorders>
              <w:top w:val="single" w:sz="4" w:space="0" w:color="auto"/>
              <w:left w:val="nil"/>
              <w:bottom w:val="single" w:sz="4" w:space="0" w:color="auto"/>
              <w:right w:val="nil"/>
            </w:tcBorders>
            <w:vAlign w:val="center"/>
          </w:tcPr>
          <w:p w14:paraId="030A31BB" w14:textId="77777777" w:rsidR="00AF3875" w:rsidRPr="00826530" w:rsidRDefault="00AF3875" w:rsidP="00836582">
            <w:pPr>
              <w:jc w:val="center"/>
              <w:rPr>
                <w:rFonts w:ascii="Arial" w:hAnsi="Arial" w:cs="Arial"/>
                <w:bCs/>
                <w:sz w:val="21"/>
                <w:szCs w:val="21"/>
              </w:rPr>
            </w:pPr>
          </w:p>
        </w:tc>
        <w:tc>
          <w:tcPr>
            <w:tcW w:w="936" w:type="dxa"/>
            <w:tcBorders>
              <w:top w:val="single" w:sz="4" w:space="0" w:color="auto"/>
              <w:left w:val="nil"/>
              <w:bottom w:val="single" w:sz="4" w:space="0" w:color="auto"/>
              <w:right w:val="nil"/>
            </w:tcBorders>
            <w:vAlign w:val="center"/>
          </w:tcPr>
          <w:p w14:paraId="3922971E" w14:textId="77777777" w:rsidR="00AF3875" w:rsidRPr="00826530" w:rsidRDefault="00AF3875" w:rsidP="00836582">
            <w:pPr>
              <w:jc w:val="center"/>
              <w:rPr>
                <w:rFonts w:ascii="Arial" w:hAnsi="Arial" w:cs="Arial"/>
                <w:bCs/>
                <w:sz w:val="21"/>
                <w:szCs w:val="21"/>
              </w:rPr>
            </w:pPr>
          </w:p>
        </w:tc>
        <w:tc>
          <w:tcPr>
            <w:tcW w:w="743" w:type="dxa"/>
            <w:tcBorders>
              <w:top w:val="single" w:sz="4" w:space="0" w:color="auto"/>
              <w:left w:val="nil"/>
              <w:bottom w:val="single" w:sz="4" w:space="0" w:color="auto"/>
              <w:right w:val="nil"/>
            </w:tcBorders>
            <w:vAlign w:val="center"/>
          </w:tcPr>
          <w:p w14:paraId="7F0C3EFA" w14:textId="77777777" w:rsidR="00AF3875" w:rsidRPr="00826530" w:rsidRDefault="00AF3875" w:rsidP="00836582">
            <w:pPr>
              <w:jc w:val="center"/>
              <w:rPr>
                <w:rFonts w:ascii="Arial" w:hAnsi="Arial" w:cs="Arial"/>
                <w:bCs/>
                <w:sz w:val="21"/>
                <w:szCs w:val="21"/>
              </w:rPr>
            </w:pPr>
          </w:p>
        </w:tc>
        <w:tc>
          <w:tcPr>
            <w:tcW w:w="1420" w:type="dxa"/>
            <w:tcBorders>
              <w:top w:val="single" w:sz="4" w:space="0" w:color="auto"/>
              <w:left w:val="nil"/>
              <w:bottom w:val="single" w:sz="4" w:space="0" w:color="auto"/>
              <w:right w:val="nil"/>
            </w:tcBorders>
            <w:vAlign w:val="center"/>
          </w:tcPr>
          <w:p w14:paraId="13D8EEF0" w14:textId="77777777" w:rsidR="00AF3875" w:rsidRPr="00826530" w:rsidRDefault="00AF3875" w:rsidP="00836582">
            <w:pPr>
              <w:jc w:val="center"/>
              <w:rPr>
                <w:rFonts w:ascii="Arial" w:hAnsi="Arial" w:cs="Arial"/>
                <w:b/>
                <w:bCs/>
                <w:sz w:val="21"/>
                <w:szCs w:val="21"/>
              </w:rPr>
            </w:pPr>
          </w:p>
        </w:tc>
      </w:tr>
      <w:tr w:rsidR="00851673" w:rsidRPr="00826530" w14:paraId="37C4B59B" w14:textId="77777777" w:rsidTr="00AF3875">
        <w:trPr>
          <w:trHeight w:val="227"/>
        </w:trPr>
        <w:tc>
          <w:tcPr>
            <w:tcW w:w="3450" w:type="dxa"/>
            <w:gridSpan w:val="5"/>
            <w:tcBorders>
              <w:top w:val="single" w:sz="4" w:space="0" w:color="auto"/>
              <w:left w:val="nil"/>
              <w:bottom w:val="nil"/>
              <w:right w:val="nil"/>
            </w:tcBorders>
            <w:vAlign w:val="center"/>
          </w:tcPr>
          <w:p w14:paraId="5BE97EFD" w14:textId="77777777" w:rsidR="00851673" w:rsidRPr="00826530" w:rsidRDefault="00851673" w:rsidP="00836582">
            <w:pPr>
              <w:rPr>
                <w:rFonts w:ascii="Arial" w:hAnsi="Arial" w:cs="Arial"/>
                <w:sz w:val="21"/>
                <w:szCs w:val="21"/>
              </w:rPr>
            </w:pPr>
            <w:r w:rsidRPr="00826530">
              <w:rPr>
                <w:rFonts w:ascii="Arial" w:hAnsi="Arial" w:cs="Arial"/>
                <w:sz w:val="21"/>
                <w:szCs w:val="21"/>
              </w:rPr>
              <w:t># Male Sex Partners (p6m)</w:t>
            </w:r>
          </w:p>
        </w:tc>
        <w:tc>
          <w:tcPr>
            <w:tcW w:w="1007" w:type="dxa"/>
            <w:tcBorders>
              <w:top w:val="single" w:sz="4" w:space="0" w:color="auto"/>
              <w:left w:val="nil"/>
              <w:bottom w:val="nil"/>
              <w:right w:val="nil"/>
            </w:tcBorders>
            <w:vAlign w:val="center"/>
          </w:tcPr>
          <w:p w14:paraId="27B9A5A0"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15</w:t>
            </w:r>
          </w:p>
        </w:tc>
        <w:tc>
          <w:tcPr>
            <w:tcW w:w="1009" w:type="dxa"/>
            <w:tcBorders>
              <w:top w:val="single" w:sz="4" w:space="0" w:color="auto"/>
              <w:left w:val="nil"/>
              <w:bottom w:val="nil"/>
              <w:right w:val="nil"/>
            </w:tcBorders>
            <w:vAlign w:val="center"/>
          </w:tcPr>
          <w:p w14:paraId="1813AC51"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4-30</w:t>
            </w:r>
          </w:p>
        </w:tc>
        <w:tc>
          <w:tcPr>
            <w:tcW w:w="935" w:type="dxa"/>
            <w:tcBorders>
              <w:top w:val="single" w:sz="4" w:space="0" w:color="auto"/>
              <w:left w:val="nil"/>
              <w:bottom w:val="nil"/>
              <w:right w:val="nil"/>
            </w:tcBorders>
            <w:vAlign w:val="center"/>
          </w:tcPr>
          <w:p w14:paraId="45C653F3"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5</w:t>
            </w:r>
          </w:p>
        </w:tc>
        <w:tc>
          <w:tcPr>
            <w:tcW w:w="936" w:type="dxa"/>
            <w:tcBorders>
              <w:top w:val="single" w:sz="4" w:space="0" w:color="auto"/>
              <w:left w:val="nil"/>
              <w:bottom w:val="nil"/>
              <w:right w:val="nil"/>
            </w:tcBorders>
            <w:vAlign w:val="center"/>
          </w:tcPr>
          <w:p w14:paraId="648F77C7"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2-10</w:t>
            </w:r>
          </w:p>
        </w:tc>
        <w:tc>
          <w:tcPr>
            <w:tcW w:w="743" w:type="dxa"/>
            <w:tcBorders>
              <w:top w:val="single" w:sz="4" w:space="0" w:color="auto"/>
              <w:left w:val="nil"/>
              <w:bottom w:val="nil"/>
              <w:right w:val="nil"/>
            </w:tcBorders>
            <w:vAlign w:val="center"/>
          </w:tcPr>
          <w:p w14:paraId="6EF2F9B6" w14:textId="77777777" w:rsidR="00851673" w:rsidRPr="00826530" w:rsidRDefault="00851673" w:rsidP="00836582">
            <w:pPr>
              <w:jc w:val="center"/>
              <w:rPr>
                <w:rFonts w:ascii="Arial" w:hAnsi="Arial" w:cs="Arial"/>
                <w:bCs/>
                <w:sz w:val="21"/>
                <w:szCs w:val="21"/>
              </w:rPr>
            </w:pPr>
            <w:r w:rsidRPr="00826530">
              <w:rPr>
                <w:rFonts w:ascii="Arial" w:hAnsi="Arial" w:cs="Arial"/>
                <w:bCs/>
                <w:sz w:val="21"/>
                <w:szCs w:val="21"/>
              </w:rPr>
              <w:t>1.03</w:t>
            </w:r>
          </w:p>
        </w:tc>
        <w:tc>
          <w:tcPr>
            <w:tcW w:w="1420" w:type="dxa"/>
            <w:tcBorders>
              <w:top w:val="single" w:sz="4" w:space="0" w:color="auto"/>
              <w:left w:val="nil"/>
              <w:bottom w:val="nil"/>
              <w:right w:val="nil"/>
            </w:tcBorders>
            <w:vAlign w:val="center"/>
          </w:tcPr>
          <w:p w14:paraId="7A62B4F3" w14:textId="7F1B6352" w:rsidR="00851673" w:rsidRPr="00826530" w:rsidRDefault="00851673" w:rsidP="00836582">
            <w:pPr>
              <w:jc w:val="center"/>
              <w:rPr>
                <w:rFonts w:ascii="Arial" w:hAnsi="Arial" w:cs="Arial"/>
                <w:b/>
                <w:sz w:val="21"/>
                <w:szCs w:val="21"/>
              </w:rPr>
            </w:pPr>
            <w:r w:rsidRPr="00826530">
              <w:rPr>
                <w:rFonts w:ascii="Arial" w:hAnsi="Arial" w:cs="Arial"/>
                <w:b/>
                <w:sz w:val="21"/>
                <w:szCs w:val="21"/>
              </w:rPr>
              <w:t>1.0</w:t>
            </w:r>
            <w:r w:rsidR="00786DE9" w:rsidRPr="00826530">
              <w:rPr>
                <w:rFonts w:ascii="Arial" w:hAnsi="Arial" w:cs="Arial"/>
                <w:b/>
                <w:sz w:val="21"/>
                <w:szCs w:val="21"/>
              </w:rPr>
              <w:t>2</w:t>
            </w:r>
            <w:r w:rsidRPr="00826530">
              <w:rPr>
                <w:rFonts w:ascii="Arial" w:hAnsi="Arial" w:cs="Arial"/>
                <w:b/>
                <w:sz w:val="21"/>
                <w:szCs w:val="21"/>
              </w:rPr>
              <w:t>, 1.0</w:t>
            </w:r>
            <w:r w:rsidR="00786DE9" w:rsidRPr="00826530">
              <w:rPr>
                <w:rFonts w:ascii="Arial" w:hAnsi="Arial" w:cs="Arial"/>
                <w:b/>
                <w:sz w:val="21"/>
                <w:szCs w:val="21"/>
              </w:rPr>
              <w:t>4</w:t>
            </w:r>
          </w:p>
        </w:tc>
      </w:tr>
      <w:tr w:rsidR="00786DE9" w:rsidRPr="00826530" w14:paraId="28471E87" w14:textId="77777777" w:rsidTr="00FE3A65">
        <w:trPr>
          <w:trHeight w:val="227"/>
        </w:trPr>
        <w:tc>
          <w:tcPr>
            <w:tcW w:w="3450" w:type="dxa"/>
            <w:gridSpan w:val="5"/>
            <w:tcBorders>
              <w:top w:val="nil"/>
              <w:left w:val="nil"/>
              <w:right w:val="nil"/>
            </w:tcBorders>
            <w:vAlign w:val="center"/>
          </w:tcPr>
          <w:p w14:paraId="0F127C9C" w14:textId="7B672749" w:rsidR="00786DE9" w:rsidRPr="00826530" w:rsidRDefault="00786DE9" w:rsidP="00836582">
            <w:pPr>
              <w:rPr>
                <w:rFonts w:ascii="Arial" w:hAnsi="Arial" w:cs="Arial"/>
                <w:sz w:val="21"/>
                <w:szCs w:val="21"/>
              </w:rPr>
            </w:pPr>
            <w:r w:rsidRPr="00826530">
              <w:rPr>
                <w:rFonts w:ascii="Arial" w:hAnsi="Arial" w:cs="Arial"/>
                <w:sz w:val="21"/>
                <w:szCs w:val="21"/>
              </w:rPr>
              <w:t># Female Sex Partners (p6m)</w:t>
            </w:r>
          </w:p>
        </w:tc>
        <w:tc>
          <w:tcPr>
            <w:tcW w:w="1007" w:type="dxa"/>
            <w:tcBorders>
              <w:top w:val="nil"/>
              <w:left w:val="nil"/>
              <w:right w:val="nil"/>
            </w:tcBorders>
            <w:vAlign w:val="center"/>
          </w:tcPr>
          <w:p w14:paraId="534314D5" w14:textId="3F5B1F52" w:rsidR="00786DE9" w:rsidRPr="00826530" w:rsidRDefault="00786DE9" w:rsidP="00836582">
            <w:pPr>
              <w:jc w:val="center"/>
              <w:rPr>
                <w:rFonts w:ascii="Arial" w:hAnsi="Arial" w:cs="Arial"/>
                <w:bCs/>
                <w:sz w:val="21"/>
                <w:szCs w:val="21"/>
              </w:rPr>
            </w:pPr>
            <w:r w:rsidRPr="00826530">
              <w:rPr>
                <w:rFonts w:ascii="Arial" w:hAnsi="Arial" w:cs="Arial"/>
                <w:bCs/>
                <w:sz w:val="21"/>
                <w:szCs w:val="21"/>
              </w:rPr>
              <w:t>0</w:t>
            </w:r>
          </w:p>
        </w:tc>
        <w:tc>
          <w:tcPr>
            <w:tcW w:w="1009" w:type="dxa"/>
            <w:tcBorders>
              <w:top w:val="nil"/>
              <w:left w:val="nil"/>
              <w:right w:val="nil"/>
            </w:tcBorders>
            <w:vAlign w:val="center"/>
          </w:tcPr>
          <w:p w14:paraId="4F831701" w14:textId="52ADC1D6" w:rsidR="00786DE9" w:rsidRPr="00826530" w:rsidRDefault="00786DE9" w:rsidP="00836582">
            <w:pPr>
              <w:jc w:val="center"/>
              <w:rPr>
                <w:rFonts w:ascii="Arial" w:hAnsi="Arial" w:cs="Arial"/>
                <w:bCs/>
                <w:sz w:val="21"/>
                <w:szCs w:val="21"/>
              </w:rPr>
            </w:pPr>
            <w:r w:rsidRPr="00826530">
              <w:rPr>
                <w:rFonts w:ascii="Arial" w:hAnsi="Arial" w:cs="Arial"/>
                <w:bCs/>
                <w:sz w:val="21"/>
                <w:szCs w:val="21"/>
              </w:rPr>
              <w:t>0-0</w:t>
            </w:r>
          </w:p>
        </w:tc>
        <w:tc>
          <w:tcPr>
            <w:tcW w:w="935" w:type="dxa"/>
            <w:tcBorders>
              <w:top w:val="nil"/>
              <w:left w:val="nil"/>
              <w:right w:val="nil"/>
            </w:tcBorders>
            <w:vAlign w:val="center"/>
          </w:tcPr>
          <w:p w14:paraId="73166338" w14:textId="6EF211A5" w:rsidR="00786DE9" w:rsidRPr="00826530" w:rsidRDefault="00786DE9" w:rsidP="00836582">
            <w:pPr>
              <w:jc w:val="center"/>
              <w:rPr>
                <w:rFonts w:ascii="Arial" w:hAnsi="Arial" w:cs="Arial"/>
                <w:bCs/>
                <w:sz w:val="21"/>
                <w:szCs w:val="21"/>
              </w:rPr>
            </w:pPr>
            <w:r w:rsidRPr="00826530">
              <w:rPr>
                <w:rFonts w:ascii="Arial" w:hAnsi="Arial" w:cs="Arial"/>
                <w:bCs/>
                <w:sz w:val="21"/>
                <w:szCs w:val="21"/>
              </w:rPr>
              <w:t>0</w:t>
            </w:r>
          </w:p>
        </w:tc>
        <w:tc>
          <w:tcPr>
            <w:tcW w:w="936" w:type="dxa"/>
            <w:tcBorders>
              <w:top w:val="nil"/>
              <w:left w:val="nil"/>
              <w:right w:val="nil"/>
            </w:tcBorders>
            <w:vAlign w:val="center"/>
          </w:tcPr>
          <w:p w14:paraId="3CE93DBA" w14:textId="357F96EB" w:rsidR="00786DE9" w:rsidRPr="00826530" w:rsidRDefault="00786DE9" w:rsidP="00836582">
            <w:pPr>
              <w:jc w:val="center"/>
              <w:rPr>
                <w:rFonts w:ascii="Arial" w:hAnsi="Arial" w:cs="Arial"/>
                <w:bCs/>
                <w:sz w:val="21"/>
                <w:szCs w:val="21"/>
              </w:rPr>
            </w:pPr>
            <w:r w:rsidRPr="00826530">
              <w:rPr>
                <w:rFonts w:ascii="Arial" w:hAnsi="Arial" w:cs="Arial"/>
                <w:bCs/>
                <w:sz w:val="21"/>
                <w:szCs w:val="21"/>
              </w:rPr>
              <w:t>0-0</w:t>
            </w:r>
          </w:p>
        </w:tc>
        <w:tc>
          <w:tcPr>
            <w:tcW w:w="743" w:type="dxa"/>
            <w:tcBorders>
              <w:top w:val="nil"/>
              <w:left w:val="nil"/>
              <w:right w:val="nil"/>
            </w:tcBorders>
            <w:vAlign w:val="center"/>
          </w:tcPr>
          <w:p w14:paraId="5AF1CF14" w14:textId="2AE3D906" w:rsidR="00786DE9" w:rsidRPr="00826530" w:rsidRDefault="00786DE9" w:rsidP="00836582">
            <w:pPr>
              <w:jc w:val="center"/>
              <w:rPr>
                <w:rFonts w:ascii="Arial" w:hAnsi="Arial" w:cs="Arial"/>
                <w:bCs/>
                <w:sz w:val="21"/>
                <w:szCs w:val="21"/>
              </w:rPr>
            </w:pPr>
            <w:r w:rsidRPr="00826530">
              <w:rPr>
                <w:rFonts w:ascii="Arial" w:hAnsi="Arial" w:cs="Arial"/>
                <w:bCs/>
                <w:sz w:val="21"/>
                <w:szCs w:val="21"/>
              </w:rPr>
              <w:t>1.92</w:t>
            </w:r>
          </w:p>
        </w:tc>
        <w:tc>
          <w:tcPr>
            <w:tcW w:w="1420" w:type="dxa"/>
            <w:tcBorders>
              <w:top w:val="nil"/>
              <w:left w:val="nil"/>
              <w:right w:val="nil"/>
            </w:tcBorders>
            <w:vAlign w:val="center"/>
          </w:tcPr>
          <w:p w14:paraId="09A20930" w14:textId="6480E67F" w:rsidR="00786DE9" w:rsidRPr="00826530" w:rsidRDefault="00786DE9" w:rsidP="00836582">
            <w:pPr>
              <w:jc w:val="center"/>
              <w:rPr>
                <w:rFonts w:ascii="Arial" w:hAnsi="Arial" w:cs="Arial"/>
                <w:b/>
                <w:sz w:val="21"/>
                <w:szCs w:val="21"/>
              </w:rPr>
            </w:pPr>
            <w:r w:rsidRPr="00826530">
              <w:rPr>
                <w:rFonts w:ascii="Arial" w:hAnsi="Arial" w:cs="Arial"/>
                <w:b/>
                <w:sz w:val="21"/>
                <w:szCs w:val="21"/>
              </w:rPr>
              <w:t>1.26, 2.93</w:t>
            </w:r>
          </w:p>
        </w:tc>
      </w:tr>
    </w:tbl>
    <w:p w14:paraId="01F171AF" w14:textId="379940B0" w:rsidR="00F9220D" w:rsidRPr="00826530" w:rsidRDefault="00851673" w:rsidP="00F22BCF">
      <w:pPr>
        <w:spacing w:line="480" w:lineRule="auto"/>
        <w:rPr>
          <w:rFonts w:ascii="Arial" w:hAnsi="Arial" w:cs="Arial"/>
          <w:i/>
          <w:iCs/>
        </w:rPr>
      </w:pPr>
      <w:r w:rsidRPr="00826530">
        <w:rPr>
          <w:rFonts w:ascii="Arial" w:hAnsi="Arial" w:cs="Arial"/>
          <w:i/>
          <w:iCs/>
        </w:rPr>
        <w:t xml:space="preserve">Note: p6m=past 6 months; </w:t>
      </w:r>
      <w:r w:rsidR="00EC061C" w:rsidRPr="00826530">
        <w:rPr>
          <w:rFonts w:ascii="Arial" w:hAnsi="Arial" w:cs="Arial"/>
          <w:i/>
          <w:iCs/>
        </w:rPr>
        <w:t xml:space="preserve">CAS= condomless anal sex; </w:t>
      </w:r>
      <w:r w:rsidRPr="00826530">
        <w:rPr>
          <w:rFonts w:ascii="Arial" w:hAnsi="Arial" w:cs="Arial"/>
          <w:i/>
          <w:iCs/>
        </w:rPr>
        <w:t>EDD=erectile dysfunction</w:t>
      </w:r>
      <w:r w:rsidR="00A07EC3" w:rsidRPr="00826530">
        <w:rPr>
          <w:rFonts w:ascii="Arial" w:hAnsi="Arial" w:cs="Arial"/>
          <w:i/>
          <w:iCs/>
        </w:rPr>
        <w:t xml:space="preserve"> </w:t>
      </w:r>
      <w:r w:rsidRPr="00826530">
        <w:rPr>
          <w:rFonts w:ascii="Arial" w:hAnsi="Arial" w:cs="Arial"/>
          <w:i/>
          <w:iCs/>
        </w:rPr>
        <w:t>drugs</w:t>
      </w:r>
    </w:p>
    <w:p w14:paraId="1077C15F" w14:textId="5560E9AD" w:rsidR="00851673" w:rsidRPr="00826530" w:rsidRDefault="00F9220D" w:rsidP="00F22BCF">
      <w:pPr>
        <w:spacing w:line="480" w:lineRule="auto"/>
        <w:rPr>
          <w:rFonts w:ascii="Arial" w:hAnsi="Arial" w:cs="Arial"/>
          <w:i/>
          <w:iCs/>
        </w:rPr>
      </w:pPr>
      <w:r w:rsidRPr="00826530">
        <w:rPr>
          <w:rFonts w:ascii="Arial" w:hAnsi="Arial" w:cs="Arial"/>
          <w:i/>
          <w:iCs/>
        </w:rPr>
        <w:t xml:space="preserve"> </w:t>
      </w:r>
      <w:r w:rsidRPr="00826530">
        <w:rPr>
          <w:rFonts w:ascii="Arial" w:hAnsi="Arial" w:cs="Arial"/>
          <w:i/>
          <w:iCs/>
          <w:vertAlign w:val="superscript"/>
        </w:rPr>
        <w:t>1</w:t>
      </w:r>
      <w:r w:rsidR="00A07EC3" w:rsidRPr="00826530">
        <w:rPr>
          <w:rFonts w:ascii="Arial" w:hAnsi="Arial" w:cs="Arial"/>
          <w:i/>
          <w:iCs/>
          <w:vertAlign w:val="superscript"/>
        </w:rPr>
        <w:t xml:space="preserve"> </w:t>
      </w:r>
      <w:r w:rsidR="00851673" w:rsidRPr="00826530">
        <w:rPr>
          <w:rFonts w:ascii="Arial" w:hAnsi="Arial" w:cs="Arial"/>
          <w:i/>
          <w:iCs/>
        </w:rPr>
        <w:t>dichotomous yes/no variable</w:t>
      </w:r>
    </w:p>
    <w:p w14:paraId="7E1BD97F" w14:textId="77777777" w:rsidR="0022007F" w:rsidRPr="00826530" w:rsidRDefault="00851673" w:rsidP="00F22BCF">
      <w:pPr>
        <w:spacing w:line="480" w:lineRule="auto"/>
        <w:rPr>
          <w:rFonts w:ascii="Arial" w:hAnsi="Arial" w:cs="Arial"/>
        </w:rPr>
        <w:sectPr w:rsidR="0022007F" w:rsidRPr="00826530">
          <w:pgSz w:w="12240" w:h="15840"/>
          <w:pgMar w:top="1440" w:right="1440" w:bottom="1440" w:left="1440" w:header="720" w:footer="720" w:gutter="0"/>
          <w:cols w:space="720"/>
          <w:docGrid w:linePitch="360"/>
        </w:sectPr>
      </w:pPr>
      <w:r w:rsidRPr="00826530">
        <w:rPr>
          <w:rFonts w:ascii="Arial" w:hAnsi="Arial" w:cs="Arial"/>
        </w:rPr>
        <w:br w:type="page"/>
      </w:r>
    </w:p>
    <w:p w14:paraId="4904C293" w14:textId="4C3E0F86" w:rsidR="00851673" w:rsidRPr="00826530" w:rsidRDefault="00851673" w:rsidP="00836582">
      <w:pPr>
        <w:rPr>
          <w:rFonts w:ascii="Arial" w:hAnsi="Arial" w:cs="Arial"/>
          <w:b/>
          <w:bCs/>
        </w:rPr>
      </w:pPr>
      <w:r w:rsidRPr="00826530">
        <w:rPr>
          <w:rFonts w:ascii="Arial" w:hAnsi="Arial" w:cs="Arial"/>
          <w:b/>
          <w:bCs/>
          <w:color w:val="000000" w:themeColor="text1"/>
        </w:rPr>
        <w:lastRenderedPageBreak/>
        <w:t xml:space="preserve">Table </w:t>
      </w:r>
      <w:r w:rsidR="007F7686" w:rsidRPr="00826530">
        <w:rPr>
          <w:rFonts w:ascii="Arial" w:hAnsi="Arial" w:cs="Arial"/>
          <w:b/>
          <w:bCs/>
          <w:color w:val="000000" w:themeColor="text1"/>
        </w:rPr>
        <w:t>2</w:t>
      </w:r>
      <w:r w:rsidR="002356D8" w:rsidRPr="00826530">
        <w:rPr>
          <w:rFonts w:ascii="Arial" w:hAnsi="Arial" w:cs="Arial"/>
          <w:b/>
          <w:bCs/>
          <w:color w:val="000000" w:themeColor="text1"/>
        </w:rPr>
        <w:t>:</w:t>
      </w:r>
      <w:r w:rsidRPr="00826530">
        <w:rPr>
          <w:rFonts w:ascii="Arial" w:hAnsi="Arial" w:cs="Arial"/>
          <w:b/>
          <w:bCs/>
          <w:color w:val="000000" w:themeColor="text1"/>
        </w:rPr>
        <w:t xml:space="preserve"> </w:t>
      </w:r>
      <w:r w:rsidRPr="00826530">
        <w:rPr>
          <w:rFonts w:ascii="Arial" w:hAnsi="Arial" w:cs="Arial"/>
          <w:b/>
          <w:bCs/>
        </w:rPr>
        <w:t xml:space="preserve">Multivariable </w:t>
      </w:r>
      <w:r w:rsidR="009D38C3" w:rsidRPr="00826530">
        <w:rPr>
          <w:rFonts w:ascii="Arial" w:hAnsi="Arial" w:cs="Arial"/>
          <w:b/>
          <w:bCs/>
        </w:rPr>
        <w:t>Generalized Linear Mixed Model</w:t>
      </w:r>
      <w:r w:rsidRPr="00826530">
        <w:rPr>
          <w:rFonts w:ascii="Arial" w:hAnsi="Arial" w:cs="Arial"/>
          <w:b/>
          <w:bCs/>
        </w:rPr>
        <w:t xml:space="preserve"> for </w:t>
      </w:r>
      <w:r w:rsidR="009D38C3" w:rsidRPr="00826530">
        <w:rPr>
          <w:rFonts w:ascii="Arial" w:hAnsi="Arial" w:cs="Arial"/>
          <w:b/>
          <w:bCs/>
        </w:rPr>
        <w:t>Engaging in Transactional Sex (p</w:t>
      </w:r>
      <w:r w:rsidR="00CE3062">
        <w:rPr>
          <w:rFonts w:ascii="Arial" w:hAnsi="Arial" w:cs="Arial"/>
          <w:b/>
          <w:bCs/>
        </w:rPr>
        <w:t xml:space="preserve">ast </w:t>
      </w:r>
      <w:r w:rsidR="009D38C3" w:rsidRPr="00826530">
        <w:rPr>
          <w:rFonts w:ascii="Arial" w:hAnsi="Arial" w:cs="Arial"/>
          <w:b/>
          <w:bCs/>
        </w:rPr>
        <w:t>6</w:t>
      </w:r>
      <w:r w:rsidR="00CE3062">
        <w:rPr>
          <w:rFonts w:ascii="Arial" w:hAnsi="Arial" w:cs="Arial"/>
          <w:b/>
          <w:bCs/>
        </w:rPr>
        <w:t xml:space="preserve"> </w:t>
      </w:r>
      <w:r w:rsidR="009D38C3" w:rsidRPr="00826530">
        <w:rPr>
          <w:rFonts w:ascii="Arial" w:hAnsi="Arial" w:cs="Arial"/>
          <w:b/>
          <w:bCs/>
        </w:rPr>
        <w:t>m</w:t>
      </w:r>
      <w:r w:rsidR="00CE3062">
        <w:rPr>
          <w:rFonts w:ascii="Arial" w:hAnsi="Arial" w:cs="Arial"/>
          <w:b/>
          <w:bCs/>
        </w:rPr>
        <w:t>onths</w:t>
      </w:r>
      <w:r w:rsidR="009D38C3" w:rsidRPr="00826530">
        <w:rPr>
          <w:rFonts w:ascii="Arial" w:hAnsi="Arial" w:cs="Arial"/>
          <w:b/>
          <w:bCs/>
        </w:rPr>
        <w:t>)</w:t>
      </w:r>
      <w:r w:rsidRPr="00826530">
        <w:rPr>
          <w:rFonts w:ascii="Arial" w:hAnsi="Arial" w:cs="Arial"/>
          <w:b/>
          <w:bCs/>
        </w:rPr>
        <w:t xml:space="preserve">. </w:t>
      </w:r>
    </w:p>
    <w:tbl>
      <w:tblPr>
        <w:tblStyle w:val="TableGrid"/>
        <w:tblW w:w="7338" w:type="dxa"/>
        <w:tblBorders>
          <w:left w:val="none" w:sz="0" w:space="0" w:color="auto"/>
          <w:right w:val="none" w:sz="0" w:space="0" w:color="auto"/>
        </w:tblBorders>
        <w:tblLayout w:type="fixed"/>
        <w:tblLook w:val="04A0" w:firstRow="1" w:lastRow="0" w:firstColumn="1" w:lastColumn="0" w:noHBand="0" w:noVBand="1"/>
      </w:tblPr>
      <w:tblGrid>
        <w:gridCol w:w="3119"/>
        <w:gridCol w:w="1831"/>
        <w:gridCol w:w="876"/>
        <w:gridCol w:w="756"/>
        <w:gridCol w:w="756"/>
      </w:tblGrid>
      <w:tr w:rsidR="00EF5FDB" w:rsidRPr="00826530" w14:paraId="2A9E9A80" w14:textId="74EA04AA" w:rsidTr="001106F2">
        <w:trPr>
          <w:trHeight w:val="233"/>
        </w:trPr>
        <w:tc>
          <w:tcPr>
            <w:tcW w:w="7338" w:type="dxa"/>
            <w:gridSpan w:val="5"/>
            <w:tcBorders>
              <w:bottom w:val="single" w:sz="4" w:space="0" w:color="auto"/>
            </w:tcBorders>
          </w:tcPr>
          <w:p w14:paraId="50C1E87D" w14:textId="5CE00F6B" w:rsidR="00EF5FDB" w:rsidRPr="00826530" w:rsidRDefault="00EF5FDB" w:rsidP="00836582">
            <w:pPr>
              <w:jc w:val="center"/>
              <w:rPr>
                <w:rFonts w:ascii="Arial" w:hAnsi="Arial" w:cs="Arial"/>
                <w:b/>
                <w:bCs/>
                <w:sz w:val="21"/>
                <w:szCs w:val="21"/>
              </w:rPr>
            </w:pPr>
            <w:r w:rsidRPr="00826530">
              <w:rPr>
                <w:rFonts w:ascii="Arial" w:hAnsi="Arial" w:cs="Arial"/>
                <w:b/>
                <w:bCs/>
                <w:sz w:val="21"/>
                <w:szCs w:val="21"/>
              </w:rPr>
              <w:t xml:space="preserve">Transactional </w:t>
            </w:r>
            <w:r w:rsidR="00B742DC" w:rsidRPr="00826530">
              <w:rPr>
                <w:rFonts w:ascii="Arial" w:hAnsi="Arial" w:cs="Arial"/>
                <w:b/>
                <w:bCs/>
                <w:sz w:val="21"/>
                <w:szCs w:val="21"/>
              </w:rPr>
              <w:t>S</w:t>
            </w:r>
            <w:r w:rsidRPr="00826530">
              <w:rPr>
                <w:rFonts w:ascii="Arial" w:hAnsi="Arial" w:cs="Arial"/>
                <w:b/>
                <w:bCs/>
                <w:sz w:val="21"/>
                <w:szCs w:val="21"/>
              </w:rPr>
              <w:t xml:space="preserve">ex vs. No Transactional Sex </w:t>
            </w:r>
          </w:p>
        </w:tc>
      </w:tr>
      <w:tr w:rsidR="007D37AA" w:rsidRPr="00826530" w14:paraId="2C055015" w14:textId="3A00F1A1" w:rsidTr="00BB1937">
        <w:trPr>
          <w:trHeight w:val="233"/>
        </w:trPr>
        <w:tc>
          <w:tcPr>
            <w:tcW w:w="3119" w:type="dxa"/>
            <w:tcBorders>
              <w:bottom w:val="single" w:sz="4" w:space="0" w:color="auto"/>
              <w:right w:val="nil"/>
            </w:tcBorders>
          </w:tcPr>
          <w:p w14:paraId="3C0D902E" w14:textId="5E20E208" w:rsidR="00EF5FDB" w:rsidRPr="00826530" w:rsidRDefault="00AF3875" w:rsidP="00836582">
            <w:pPr>
              <w:jc w:val="both"/>
              <w:rPr>
                <w:rFonts w:ascii="Arial" w:hAnsi="Arial" w:cs="Arial"/>
                <w:b/>
                <w:bCs/>
                <w:sz w:val="21"/>
                <w:szCs w:val="21"/>
              </w:rPr>
            </w:pPr>
            <w:r w:rsidRPr="00826530">
              <w:rPr>
                <w:rFonts w:ascii="Arial" w:hAnsi="Arial" w:cs="Arial"/>
                <w:b/>
                <w:bCs/>
                <w:sz w:val="21"/>
                <w:szCs w:val="21"/>
              </w:rPr>
              <w:t>Demographic v</w:t>
            </w:r>
            <w:r w:rsidR="00EF5FDB" w:rsidRPr="00826530">
              <w:rPr>
                <w:rFonts w:ascii="Arial" w:hAnsi="Arial" w:cs="Arial"/>
                <w:b/>
                <w:bCs/>
                <w:sz w:val="21"/>
                <w:szCs w:val="21"/>
              </w:rPr>
              <w:t>ariable</w:t>
            </w:r>
            <w:r w:rsidRPr="00826530">
              <w:rPr>
                <w:rFonts w:ascii="Arial" w:hAnsi="Arial" w:cs="Arial"/>
                <w:b/>
                <w:bCs/>
                <w:sz w:val="21"/>
                <w:szCs w:val="21"/>
              </w:rPr>
              <w:t>s</w:t>
            </w:r>
            <w:r w:rsidR="00EF5FDB" w:rsidRPr="00826530">
              <w:rPr>
                <w:rFonts w:ascii="Arial" w:hAnsi="Arial" w:cs="Arial"/>
                <w:b/>
                <w:bCs/>
                <w:sz w:val="21"/>
                <w:szCs w:val="21"/>
              </w:rPr>
              <w:t xml:space="preserve"> </w:t>
            </w:r>
          </w:p>
        </w:tc>
        <w:tc>
          <w:tcPr>
            <w:tcW w:w="1831" w:type="dxa"/>
            <w:tcBorders>
              <w:left w:val="nil"/>
              <w:bottom w:val="single" w:sz="4" w:space="0" w:color="auto"/>
              <w:right w:val="nil"/>
            </w:tcBorders>
          </w:tcPr>
          <w:p w14:paraId="6F610FE5" w14:textId="77777777" w:rsidR="00EF5FDB" w:rsidRPr="00826530" w:rsidRDefault="00EF5FDB" w:rsidP="00836582">
            <w:pPr>
              <w:jc w:val="right"/>
              <w:rPr>
                <w:rFonts w:ascii="Arial" w:hAnsi="Arial" w:cs="Arial"/>
                <w:b/>
                <w:bCs/>
                <w:sz w:val="21"/>
                <w:szCs w:val="21"/>
              </w:rPr>
            </w:pPr>
          </w:p>
        </w:tc>
        <w:tc>
          <w:tcPr>
            <w:tcW w:w="876" w:type="dxa"/>
            <w:tcBorders>
              <w:left w:val="nil"/>
              <w:bottom w:val="single" w:sz="4" w:space="0" w:color="auto"/>
              <w:right w:val="nil"/>
            </w:tcBorders>
          </w:tcPr>
          <w:p w14:paraId="79ABC690" w14:textId="77777777" w:rsidR="00EF5FDB" w:rsidRPr="00826530" w:rsidRDefault="00EF5FDB" w:rsidP="00836582">
            <w:pPr>
              <w:jc w:val="center"/>
              <w:rPr>
                <w:rFonts w:ascii="Arial" w:hAnsi="Arial" w:cs="Arial"/>
                <w:b/>
                <w:bCs/>
                <w:sz w:val="21"/>
                <w:szCs w:val="21"/>
              </w:rPr>
            </w:pPr>
            <w:proofErr w:type="spellStart"/>
            <w:r w:rsidRPr="00826530">
              <w:rPr>
                <w:rFonts w:ascii="Arial" w:hAnsi="Arial" w:cs="Arial"/>
                <w:b/>
                <w:bCs/>
                <w:sz w:val="21"/>
                <w:szCs w:val="21"/>
              </w:rPr>
              <w:t>aOR</w:t>
            </w:r>
            <w:proofErr w:type="spellEnd"/>
          </w:p>
        </w:tc>
        <w:tc>
          <w:tcPr>
            <w:tcW w:w="1512" w:type="dxa"/>
            <w:gridSpan w:val="2"/>
            <w:tcBorders>
              <w:left w:val="nil"/>
              <w:bottom w:val="single" w:sz="4" w:space="0" w:color="auto"/>
            </w:tcBorders>
          </w:tcPr>
          <w:p w14:paraId="51428EBF" w14:textId="30ED1D08" w:rsidR="00EF5FDB" w:rsidRPr="00826530" w:rsidRDefault="00EF5FDB" w:rsidP="00836582">
            <w:pPr>
              <w:jc w:val="center"/>
              <w:rPr>
                <w:rFonts w:ascii="Arial" w:hAnsi="Arial" w:cs="Arial"/>
                <w:b/>
                <w:bCs/>
                <w:sz w:val="21"/>
                <w:szCs w:val="21"/>
              </w:rPr>
            </w:pPr>
            <w:r w:rsidRPr="00826530">
              <w:rPr>
                <w:rFonts w:ascii="Arial" w:hAnsi="Arial" w:cs="Arial"/>
                <w:b/>
                <w:bCs/>
                <w:sz w:val="21"/>
                <w:szCs w:val="21"/>
              </w:rPr>
              <w:t>95% CI</w:t>
            </w:r>
          </w:p>
        </w:tc>
      </w:tr>
      <w:tr w:rsidR="007D37AA" w:rsidRPr="00826530" w14:paraId="7F4F4E70" w14:textId="016B0663" w:rsidTr="00BB1937">
        <w:trPr>
          <w:trHeight w:val="233"/>
        </w:trPr>
        <w:tc>
          <w:tcPr>
            <w:tcW w:w="3119" w:type="dxa"/>
            <w:tcBorders>
              <w:bottom w:val="nil"/>
              <w:right w:val="nil"/>
            </w:tcBorders>
          </w:tcPr>
          <w:p w14:paraId="62DDEF52" w14:textId="77777777" w:rsidR="00EF5FDB" w:rsidRPr="00826530" w:rsidRDefault="00EF5FDB" w:rsidP="00836582">
            <w:pPr>
              <w:jc w:val="both"/>
              <w:rPr>
                <w:rFonts w:ascii="Arial" w:hAnsi="Arial" w:cs="Arial"/>
                <w:sz w:val="21"/>
                <w:szCs w:val="21"/>
              </w:rPr>
            </w:pPr>
            <w:r w:rsidRPr="00826530">
              <w:rPr>
                <w:rFonts w:ascii="Arial" w:hAnsi="Arial" w:cs="Arial"/>
                <w:sz w:val="21"/>
                <w:szCs w:val="21"/>
              </w:rPr>
              <w:t>Age</w:t>
            </w:r>
          </w:p>
        </w:tc>
        <w:tc>
          <w:tcPr>
            <w:tcW w:w="1831" w:type="dxa"/>
            <w:tcBorders>
              <w:left w:val="nil"/>
              <w:bottom w:val="nil"/>
              <w:right w:val="nil"/>
            </w:tcBorders>
          </w:tcPr>
          <w:p w14:paraId="773317BE"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&lt;30</w:t>
            </w:r>
          </w:p>
        </w:tc>
        <w:tc>
          <w:tcPr>
            <w:tcW w:w="876" w:type="dxa"/>
            <w:tcBorders>
              <w:left w:val="nil"/>
              <w:bottom w:val="nil"/>
              <w:right w:val="nil"/>
            </w:tcBorders>
          </w:tcPr>
          <w:p w14:paraId="7E22D6FF" w14:textId="5C953ADA" w:rsidR="00EF5FDB" w:rsidRPr="00826530" w:rsidRDefault="007D37AA" w:rsidP="00836582">
            <w:pPr>
              <w:jc w:val="center"/>
              <w:rPr>
                <w:rFonts w:ascii="Arial" w:hAnsi="Arial" w:cs="Arial"/>
                <w:bCs/>
                <w:sz w:val="21"/>
                <w:szCs w:val="21"/>
              </w:rPr>
            </w:pPr>
            <w:r w:rsidRPr="00826530">
              <w:rPr>
                <w:rFonts w:ascii="Arial" w:hAnsi="Arial" w:cs="Arial"/>
                <w:bCs/>
                <w:sz w:val="21"/>
                <w:szCs w:val="21"/>
              </w:rPr>
              <w:t>Ref</w:t>
            </w:r>
          </w:p>
        </w:tc>
        <w:tc>
          <w:tcPr>
            <w:tcW w:w="756" w:type="dxa"/>
            <w:tcBorders>
              <w:left w:val="nil"/>
              <w:bottom w:val="nil"/>
              <w:right w:val="nil"/>
            </w:tcBorders>
          </w:tcPr>
          <w:p w14:paraId="199EE1F6" w14:textId="4632B527" w:rsidR="00EF5FDB" w:rsidRPr="00826530" w:rsidRDefault="00EF5FDB" w:rsidP="00836582">
            <w:pPr>
              <w:jc w:val="center"/>
              <w:rPr>
                <w:rFonts w:ascii="Arial" w:hAnsi="Arial" w:cs="Arial"/>
                <w:b/>
                <w:sz w:val="21"/>
                <w:szCs w:val="21"/>
              </w:rPr>
            </w:pPr>
          </w:p>
        </w:tc>
        <w:tc>
          <w:tcPr>
            <w:tcW w:w="756" w:type="dxa"/>
            <w:tcBorders>
              <w:left w:val="nil"/>
              <w:bottom w:val="nil"/>
            </w:tcBorders>
          </w:tcPr>
          <w:p w14:paraId="01E0C502" w14:textId="0A85F0C3" w:rsidR="00EF5FDB" w:rsidRPr="00826530" w:rsidRDefault="00EF5FDB" w:rsidP="00836582">
            <w:pPr>
              <w:jc w:val="center"/>
              <w:rPr>
                <w:rFonts w:ascii="Arial" w:hAnsi="Arial" w:cs="Arial"/>
                <w:b/>
                <w:sz w:val="21"/>
                <w:szCs w:val="21"/>
              </w:rPr>
            </w:pPr>
          </w:p>
        </w:tc>
      </w:tr>
      <w:tr w:rsidR="007D37AA" w:rsidRPr="00826530" w14:paraId="018C5DA2" w14:textId="26F28451" w:rsidTr="00BB1937">
        <w:trPr>
          <w:trHeight w:val="233"/>
        </w:trPr>
        <w:tc>
          <w:tcPr>
            <w:tcW w:w="3119" w:type="dxa"/>
            <w:tcBorders>
              <w:top w:val="nil"/>
              <w:bottom w:val="nil"/>
              <w:right w:val="nil"/>
            </w:tcBorders>
          </w:tcPr>
          <w:p w14:paraId="2081281C" w14:textId="77777777" w:rsidR="00EF5FDB" w:rsidRPr="00826530" w:rsidRDefault="00EF5FDB" w:rsidP="00836582">
            <w:pPr>
              <w:jc w:val="both"/>
              <w:rPr>
                <w:rFonts w:ascii="Arial" w:hAnsi="Arial" w:cs="Arial"/>
                <w:sz w:val="21"/>
                <w:szCs w:val="21"/>
              </w:rPr>
            </w:pPr>
          </w:p>
        </w:tc>
        <w:tc>
          <w:tcPr>
            <w:tcW w:w="1831" w:type="dxa"/>
            <w:tcBorders>
              <w:top w:val="nil"/>
              <w:left w:val="nil"/>
              <w:bottom w:val="nil"/>
              <w:right w:val="nil"/>
            </w:tcBorders>
          </w:tcPr>
          <w:p w14:paraId="15EC72BF"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30-44</w:t>
            </w:r>
          </w:p>
        </w:tc>
        <w:tc>
          <w:tcPr>
            <w:tcW w:w="876" w:type="dxa"/>
            <w:tcBorders>
              <w:top w:val="nil"/>
              <w:left w:val="nil"/>
              <w:bottom w:val="nil"/>
              <w:right w:val="nil"/>
            </w:tcBorders>
          </w:tcPr>
          <w:p w14:paraId="2AFAC22F" w14:textId="05BEA3C9" w:rsidR="00EF5FDB" w:rsidRPr="00826530" w:rsidRDefault="007D37AA" w:rsidP="00836582">
            <w:pPr>
              <w:jc w:val="center"/>
              <w:rPr>
                <w:rFonts w:ascii="Arial" w:hAnsi="Arial" w:cs="Arial"/>
                <w:bCs/>
                <w:sz w:val="21"/>
                <w:szCs w:val="21"/>
              </w:rPr>
            </w:pPr>
            <w:r w:rsidRPr="00826530">
              <w:rPr>
                <w:rFonts w:ascii="Arial" w:hAnsi="Arial" w:cs="Arial"/>
                <w:bCs/>
                <w:sz w:val="21"/>
                <w:szCs w:val="21"/>
              </w:rPr>
              <w:t>0.</w:t>
            </w:r>
            <w:r w:rsidR="001106F2" w:rsidRPr="00826530">
              <w:rPr>
                <w:rFonts w:ascii="Arial" w:hAnsi="Arial" w:cs="Arial"/>
                <w:bCs/>
                <w:sz w:val="21"/>
                <w:szCs w:val="21"/>
              </w:rPr>
              <w:t>27</w:t>
            </w:r>
          </w:p>
        </w:tc>
        <w:tc>
          <w:tcPr>
            <w:tcW w:w="756" w:type="dxa"/>
            <w:tcBorders>
              <w:top w:val="nil"/>
              <w:left w:val="nil"/>
              <w:bottom w:val="nil"/>
              <w:right w:val="nil"/>
            </w:tcBorders>
          </w:tcPr>
          <w:p w14:paraId="70F852C6" w14:textId="307DBA3A" w:rsidR="00EF5FDB" w:rsidRPr="00826530" w:rsidRDefault="007D37AA" w:rsidP="00836582">
            <w:pPr>
              <w:jc w:val="center"/>
              <w:rPr>
                <w:rFonts w:ascii="Arial" w:hAnsi="Arial" w:cs="Arial"/>
                <w:b/>
                <w:bCs/>
                <w:sz w:val="21"/>
                <w:szCs w:val="21"/>
              </w:rPr>
            </w:pPr>
            <w:r w:rsidRPr="00826530">
              <w:rPr>
                <w:rFonts w:ascii="Arial" w:hAnsi="Arial" w:cs="Arial"/>
                <w:b/>
                <w:bCs/>
                <w:sz w:val="21"/>
                <w:szCs w:val="21"/>
              </w:rPr>
              <w:t>0.1</w:t>
            </w:r>
            <w:r w:rsidR="001106F2" w:rsidRPr="00826530">
              <w:rPr>
                <w:rFonts w:ascii="Arial" w:hAnsi="Arial" w:cs="Arial"/>
                <w:b/>
                <w:bCs/>
                <w:sz w:val="21"/>
                <w:szCs w:val="21"/>
              </w:rPr>
              <w:t>3</w:t>
            </w:r>
          </w:p>
        </w:tc>
        <w:tc>
          <w:tcPr>
            <w:tcW w:w="756" w:type="dxa"/>
            <w:tcBorders>
              <w:top w:val="nil"/>
              <w:left w:val="nil"/>
              <w:bottom w:val="nil"/>
            </w:tcBorders>
          </w:tcPr>
          <w:p w14:paraId="40CAEB4E" w14:textId="6B267803" w:rsidR="00EF5FDB" w:rsidRPr="00826530" w:rsidRDefault="007D37AA" w:rsidP="00836582">
            <w:pPr>
              <w:jc w:val="center"/>
              <w:rPr>
                <w:rFonts w:ascii="Arial" w:hAnsi="Arial" w:cs="Arial"/>
                <w:b/>
                <w:bCs/>
                <w:sz w:val="21"/>
                <w:szCs w:val="21"/>
              </w:rPr>
            </w:pPr>
            <w:r w:rsidRPr="00826530">
              <w:rPr>
                <w:rFonts w:ascii="Arial" w:hAnsi="Arial" w:cs="Arial"/>
                <w:b/>
                <w:bCs/>
                <w:sz w:val="21"/>
                <w:szCs w:val="21"/>
              </w:rPr>
              <w:t>0.</w:t>
            </w:r>
            <w:r w:rsidR="001106F2" w:rsidRPr="00826530">
              <w:rPr>
                <w:rFonts w:ascii="Arial" w:hAnsi="Arial" w:cs="Arial"/>
                <w:b/>
                <w:bCs/>
                <w:sz w:val="21"/>
                <w:szCs w:val="21"/>
              </w:rPr>
              <w:t>54</w:t>
            </w:r>
          </w:p>
        </w:tc>
      </w:tr>
      <w:tr w:rsidR="007D37AA" w:rsidRPr="00826530" w14:paraId="0168DA09" w14:textId="43B1F2A7" w:rsidTr="00BB1937">
        <w:trPr>
          <w:trHeight w:val="233"/>
        </w:trPr>
        <w:tc>
          <w:tcPr>
            <w:tcW w:w="3119" w:type="dxa"/>
            <w:tcBorders>
              <w:top w:val="nil"/>
              <w:bottom w:val="nil"/>
              <w:right w:val="nil"/>
            </w:tcBorders>
          </w:tcPr>
          <w:p w14:paraId="00F0D251" w14:textId="77777777" w:rsidR="00EF5FDB" w:rsidRPr="00826530" w:rsidRDefault="00EF5FDB" w:rsidP="00836582">
            <w:pPr>
              <w:jc w:val="both"/>
              <w:rPr>
                <w:rFonts w:ascii="Arial" w:hAnsi="Arial" w:cs="Arial"/>
                <w:sz w:val="21"/>
                <w:szCs w:val="21"/>
              </w:rPr>
            </w:pPr>
          </w:p>
        </w:tc>
        <w:tc>
          <w:tcPr>
            <w:tcW w:w="1831" w:type="dxa"/>
            <w:tcBorders>
              <w:top w:val="nil"/>
              <w:left w:val="nil"/>
              <w:bottom w:val="nil"/>
              <w:right w:val="nil"/>
            </w:tcBorders>
          </w:tcPr>
          <w:p w14:paraId="31C12553"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sym w:font="Symbol" w:char="F0B3"/>
            </w:r>
            <w:r w:rsidRPr="00826530">
              <w:rPr>
                <w:rFonts w:ascii="Arial" w:hAnsi="Arial" w:cs="Arial"/>
                <w:bCs/>
                <w:sz w:val="21"/>
                <w:szCs w:val="21"/>
              </w:rPr>
              <w:t>45</w:t>
            </w:r>
          </w:p>
        </w:tc>
        <w:tc>
          <w:tcPr>
            <w:tcW w:w="876" w:type="dxa"/>
            <w:tcBorders>
              <w:top w:val="nil"/>
              <w:left w:val="nil"/>
              <w:bottom w:val="nil"/>
              <w:right w:val="nil"/>
            </w:tcBorders>
          </w:tcPr>
          <w:p w14:paraId="59C1B375" w14:textId="79259CB1" w:rsidR="00EF5FDB" w:rsidRPr="00826530" w:rsidRDefault="00EF5FDB" w:rsidP="00836582">
            <w:pPr>
              <w:jc w:val="center"/>
              <w:rPr>
                <w:rFonts w:ascii="Arial" w:hAnsi="Arial" w:cs="Arial"/>
                <w:bCs/>
                <w:sz w:val="21"/>
                <w:szCs w:val="21"/>
              </w:rPr>
            </w:pPr>
            <w:r w:rsidRPr="00826530">
              <w:rPr>
                <w:rFonts w:ascii="Arial" w:hAnsi="Arial" w:cs="Arial"/>
                <w:bCs/>
                <w:sz w:val="21"/>
                <w:szCs w:val="21"/>
              </w:rPr>
              <w:t>0.</w:t>
            </w:r>
            <w:r w:rsidR="001106F2" w:rsidRPr="00826530">
              <w:rPr>
                <w:rFonts w:ascii="Arial" w:hAnsi="Arial" w:cs="Arial"/>
                <w:bCs/>
                <w:sz w:val="21"/>
                <w:szCs w:val="21"/>
              </w:rPr>
              <w:t>09</w:t>
            </w:r>
          </w:p>
        </w:tc>
        <w:tc>
          <w:tcPr>
            <w:tcW w:w="756" w:type="dxa"/>
            <w:tcBorders>
              <w:top w:val="nil"/>
              <w:left w:val="nil"/>
              <w:bottom w:val="nil"/>
              <w:right w:val="nil"/>
            </w:tcBorders>
          </w:tcPr>
          <w:p w14:paraId="770E79F0" w14:textId="1E74E0C8" w:rsidR="00EF5FDB" w:rsidRPr="00826530" w:rsidRDefault="00EF5FDB" w:rsidP="00836582">
            <w:pPr>
              <w:jc w:val="center"/>
              <w:rPr>
                <w:rFonts w:ascii="Arial" w:hAnsi="Arial" w:cs="Arial"/>
                <w:b/>
                <w:sz w:val="21"/>
                <w:szCs w:val="21"/>
              </w:rPr>
            </w:pPr>
            <w:r w:rsidRPr="00826530">
              <w:rPr>
                <w:rFonts w:ascii="Arial" w:hAnsi="Arial" w:cs="Arial"/>
                <w:b/>
                <w:sz w:val="21"/>
                <w:szCs w:val="21"/>
              </w:rPr>
              <w:t>0.0</w:t>
            </w:r>
            <w:r w:rsidR="001106F2" w:rsidRPr="00826530">
              <w:rPr>
                <w:rFonts w:ascii="Arial" w:hAnsi="Arial" w:cs="Arial"/>
                <w:b/>
                <w:sz w:val="21"/>
                <w:szCs w:val="21"/>
              </w:rPr>
              <w:t>3</w:t>
            </w:r>
          </w:p>
        </w:tc>
        <w:tc>
          <w:tcPr>
            <w:tcW w:w="756" w:type="dxa"/>
            <w:tcBorders>
              <w:top w:val="nil"/>
              <w:left w:val="nil"/>
              <w:bottom w:val="nil"/>
            </w:tcBorders>
          </w:tcPr>
          <w:p w14:paraId="1CB6D4A0" w14:textId="230A5CD8"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7D37AA" w:rsidRPr="00826530">
              <w:rPr>
                <w:rFonts w:ascii="Arial" w:hAnsi="Arial" w:cs="Arial"/>
                <w:b/>
                <w:sz w:val="21"/>
                <w:szCs w:val="21"/>
              </w:rPr>
              <w:t>2</w:t>
            </w:r>
            <w:r w:rsidR="001106F2" w:rsidRPr="00826530">
              <w:rPr>
                <w:rFonts w:ascii="Arial" w:hAnsi="Arial" w:cs="Arial"/>
                <w:b/>
                <w:sz w:val="21"/>
                <w:szCs w:val="21"/>
              </w:rPr>
              <w:t>2</w:t>
            </w:r>
          </w:p>
        </w:tc>
      </w:tr>
      <w:tr w:rsidR="007D37AA" w:rsidRPr="00826530" w14:paraId="51621427" w14:textId="77777777" w:rsidTr="00BB1937">
        <w:trPr>
          <w:trHeight w:val="233"/>
        </w:trPr>
        <w:tc>
          <w:tcPr>
            <w:tcW w:w="3119" w:type="dxa"/>
            <w:tcBorders>
              <w:top w:val="nil"/>
              <w:bottom w:val="nil"/>
              <w:right w:val="nil"/>
            </w:tcBorders>
          </w:tcPr>
          <w:p w14:paraId="6571F7A9" w14:textId="2CF41523" w:rsidR="007D37AA" w:rsidRPr="00826530" w:rsidRDefault="007D37AA" w:rsidP="00836582">
            <w:pPr>
              <w:jc w:val="both"/>
              <w:rPr>
                <w:rFonts w:ascii="Arial" w:hAnsi="Arial" w:cs="Arial"/>
                <w:sz w:val="21"/>
                <w:szCs w:val="21"/>
              </w:rPr>
            </w:pPr>
            <w:r w:rsidRPr="00826530">
              <w:rPr>
                <w:rFonts w:ascii="Arial" w:hAnsi="Arial" w:cs="Arial"/>
                <w:sz w:val="21"/>
                <w:szCs w:val="21"/>
              </w:rPr>
              <w:t>Annual Income</w:t>
            </w:r>
          </w:p>
        </w:tc>
        <w:tc>
          <w:tcPr>
            <w:tcW w:w="1831" w:type="dxa"/>
            <w:tcBorders>
              <w:top w:val="nil"/>
              <w:left w:val="nil"/>
              <w:bottom w:val="nil"/>
              <w:right w:val="nil"/>
            </w:tcBorders>
          </w:tcPr>
          <w:p w14:paraId="6036EED3" w14:textId="48A3FA8F" w:rsidR="007D37AA" w:rsidRPr="00826530" w:rsidRDefault="007D37AA" w:rsidP="00836582">
            <w:pPr>
              <w:jc w:val="right"/>
              <w:rPr>
                <w:rFonts w:ascii="Arial" w:hAnsi="Arial" w:cs="Arial"/>
                <w:bCs/>
                <w:sz w:val="21"/>
                <w:szCs w:val="21"/>
              </w:rPr>
            </w:pPr>
            <w:r w:rsidRPr="00826530">
              <w:rPr>
                <w:rFonts w:ascii="Arial" w:hAnsi="Arial" w:cs="Arial"/>
                <w:bCs/>
                <w:sz w:val="21"/>
                <w:szCs w:val="21"/>
              </w:rPr>
              <w:t>&lt;$30,000</w:t>
            </w:r>
          </w:p>
        </w:tc>
        <w:tc>
          <w:tcPr>
            <w:tcW w:w="876" w:type="dxa"/>
            <w:tcBorders>
              <w:top w:val="nil"/>
              <w:left w:val="nil"/>
              <w:bottom w:val="nil"/>
              <w:right w:val="nil"/>
            </w:tcBorders>
          </w:tcPr>
          <w:p w14:paraId="36750C17" w14:textId="47F51180" w:rsidR="007D37AA" w:rsidRPr="00826530" w:rsidRDefault="007D37AA" w:rsidP="00836582">
            <w:pPr>
              <w:jc w:val="center"/>
              <w:rPr>
                <w:rFonts w:ascii="Arial" w:hAnsi="Arial" w:cs="Arial"/>
                <w:bCs/>
                <w:sz w:val="21"/>
                <w:szCs w:val="21"/>
              </w:rPr>
            </w:pPr>
            <w:r w:rsidRPr="00826530">
              <w:rPr>
                <w:rFonts w:ascii="Arial" w:hAnsi="Arial" w:cs="Arial"/>
                <w:bCs/>
                <w:sz w:val="21"/>
                <w:szCs w:val="21"/>
              </w:rPr>
              <w:t>Ref</w:t>
            </w:r>
          </w:p>
        </w:tc>
        <w:tc>
          <w:tcPr>
            <w:tcW w:w="756" w:type="dxa"/>
            <w:tcBorders>
              <w:top w:val="nil"/>
              <w:left w:val="nil"/>
              <w:bottom w:val="nil"/>
              <w:right w:val="nil"/>
            </w:tcBorders>
          </w:tcPr>
          <w:p w14:paraId="435D965D" w14:textId="77777777" w:rsidR="007D37AA" w:rsidRPr="00826530" w:rsidRDefault="007D37AA" w:rsidP="00836582">
            <w:pPr>
              <w:jc w:val="center"/>
              <w:rPr>
                <w:rFonts w:ascii="Arial" w:hAnsi="Arial" w:cs="Arial"/>
                <w:b/>
                <w:sz w:val="21"/>
                <w:szCs w:val="21"/>
              </w:rPr>
            </w:pPr>
          </w:p>
        </w:tc>
        <w:tc>
          <w:tcPr>
            <w:tcW w:w="756" w:type="dxa"/>
            <w:tcBorders>
              <w:top w:val="nil"/>
              <w:left w:val="nil"/>
              <w:bottom w:val="nil"/>
            </w:tcBorders>
          </w:tcPr>
          <w:p w14:paraId="785E369D" w14:textId="77777777" w:rsidR="007D37AA" w:rsidRPr="00826530" w:rsidRDefault="007D37AA" w:rsidP="00836582">
            <w:pPr>
              <w:jc w:val="center"/>
              <w:rPr>
                <w:rFonts w:ascii="Arial" w:hAnsi="Arial" w:cs="Arial"/>
                <w:b/>
                <w:sz w:val="21"/>
                <w:szCs w:val="21"/>
              </w:rPr>
            </w:pPr>
          </w:p>
        </w:tc>
      </w:tr>
      <w:tr w:rsidR="007D37AA" w:rsidRPr="00826530" w14:paraId="587185C2" w14:textId="77777777" w:rsidTr="00BB1937">
        <w:trPr>
          <w:trHeight w:val="233"/>
        </w:trPr>
        <w:tc>
          <w:tcPr>
            <w:tcW w:w="3119" w:type="dxa"/>
            <w:tcBorders>
              <w:top w:val="nil"/>
              <w:bottom w:val="nil"/>
              <w:right w:val="nil"/>
            </w:tcBorders>
          </w:tcPr>
          <w:p w14:paraId="698CC4C8" w14:textId="77777777" w:rsidR="007D37AA" w:rsidRPr="00826530" w:rsidRDefault="007D37AA" w:rsidP="00836582">
            <w:pPr>
              <w:jc w:val="both"/>
              <w:rPr>
                <w:rFonts w:ascii="Arial" w:hAnsi="Arial" w:cs="Arial"/>
                <w:sz w:val="21"/>
                <w:szCs w:val="21"/>
              </w:rPr>
            </w:pPr>
          </w:p>
        </w:tc>
        <w:tc>
          <w:tcPr>
            <w:tcW w:w="1831" w:type="dxa"/>
            <w:tcBorders>
              <w:top w:val="nil"/>
              <w:left w:val="nil"/>
              <w:bottom w:val="nil"/>
              <w:right w:val="nil"/>
            </w:tcBorders>
          </w:tcPr>
          <w:p w14:paraId="58661C4C" w14:textId="3C45AAD1" w:rsidR="007D37AA" w:rsidRPr="00826530" w:rsidRDefault="007D37AA" w:rsidP="00836582">
            <w:pPr>
              <w:jc w:val="right"/>
              <w:rPr>
                <w:rFonts w:ascii="Arial" w:hAnsi="Arial" w:cs="Arial"/>
                <w:bCs/>
                <w:sz w:val="21"/>
                <w:szCs w:val="21"/>
              </w:rPr>
            </w:pPr>
            <w:r w:rsidRPr="00826530">
              <w:rPr>
                <w:rFonts w:ascii="Arial" w:hAnsi="Arial" w:cs="Arial"/>
                <w:bCs/>
                <w:sz w:val="21"/>
                <w:szCs w:val="21"/>
              </w:rPr>
              <w:t>$30,000+</w:t>
            </w:r>
          </w:p>
        </w:tc>
        <w:tc>
          <w:tcPr>
            <w:tcW w:w="876" w:type="dxa"/>
            <w:tcBorders>
              <w:top w:val="nil"/>
              <w:left w:val="nil"/>
              <w:bottom w:val="nil"/>
              <w:right w:val="nil"/>
            </w:tcBorders>
          </w:tcPr>
          <w:p w14:paraId="6058822C" w14:textId="7A3846A8" w:rsidR="007D37AA" w:rsidRPr="00826530" w:rsidRDefault="007D37AA" w:rsidP="00836582">
            <w:pPr>
              <w:jc w:val="center"/>
              <w:rPr>
                <w:rFonts w:ascii="Arial" w:hAnsi="Arial" w:cs="Arial"/>
                <w:bCs/>
                <w:sz w:val="21"/>
                <w:szCs w:val="21"/>
              </w:rPr>
            </w:pPr>
            <w:r w:rsidRPr="00826530">
              <w:rPr>
                <w:rFonts w:ascii="Arial" w:hAnsi="Arial" w:cs="Arial"/>
                <w:bCs/>
                <w:sz w:val="21"/>
                <w:szCs w:val="21"/>
              </w:rPr>
              <w:t>0.</w:t>
            </w:r>
            <w:r w:rsidR="001106F2" w:rsidRPr="00826530">
              <w:rPr>
                <w:rFonts w:ascii="Arial" w:hAnsi="Arial" w:cs="Arial"/>
                <w:bCs/>
                <w:sz w:val="21"/>
                <w:szCs w:val="21"/>
              </w:rPr>
              <w:t>5</w:t>
            </w:r>
            <w:r w:rsidRPr="00826530">
              <w:rPr>
                <w:rFonts w:ascii="Arial" w:hAnsi="Arial" w:cs="Arial"/>
                <w:bCs/>
                <w:sz w:val="21"/>
                <w:szCs w:val="21"/>
              </w:rPr>
              <w:t>6</w:t>
            </w:r>
          </w:p>
        </w:tc>
        <w:tc>
          <w:tcPr>
            <w:tcW w:w="756" w:type="dxa"/>
            <w:tcBorders>
              <w:top w:val="nil"/>
              <w:left w:val="nil"/>
              <w:bottom w:val="nil"/>
              <w:right w:val="nil"/>
            </w:tcBorders>
          </w:tcPr>
          <w:p w14:paraId="3E86C7C6" w14:textId="14F57385" w:rsidR="007D37AA" w:rsidRPr="00826530" w:rsidRDefault="007D37AA" w:rsidP="00836582">
            <w:pPr>
              <w:jc w:val="center"/>
              <w:rPr>
                <w:rFonts w:ascii="Arial" w:hAnsi="Arial" w:cs="Arial"/>
                <w:b/>
                <w:sz w:val="21"/>
                <w:szCs w:val="21"/>
              </w:rPr>
            </w:pPr>
            <w:r w:rsidRPr="00826530">
              <w:rPr>
                <w:rFonts w:ascii="Arial" w:hAnsi="Arial" w:cs="Arial"/>
                <w:b/>
                <w:sz w:val="21"/>
                <w:szCs w:val="21"/>
              </w:rPr>
              <w:t>0.</w:t>
            </w:r>
            <w:r w:rsidR="001106F2" w:rsidRPr="00826530">
              <w:rPr>
                <w:rFonts w:ascii="Arial" w:hAnsi="Arial" w:cs="Arial"/>
                <w:b/>
                <w:sz w:val="21"/>
                <w:szCs w:val="21"/>
              </w:rPr>
              <w:t>32</w:t>
            </w:r>
          </w:p>
        </w:tc>
        <w:tc>
          <w:tcPr>
            <w:tcW w:w="756" w:type="dxa"/>
            <w:tcBorders>
              <w:top w:val="nil"/>
              <w:left w:val="nil"/>
              <w:bottom w:val="nil"/>
            </w:tcBorders>
          </w:tcPr>
          <w:p w14:paraId="53AABF16" w14:textId="0741C81A" w:rsidR="007D37AA" w:rsidRPr="00826530" w:rsidRDefault="007D37AA" w:rsidP="00836582">
            <w:pPr>
              <w:jc w:val="center"/>
              <w:rPr>
                <w:rFonts w:ascii="Arial" w:hAnsi="Arial" w:cs="Arial"/>
                <w:b/>
                <w:sz w:val="21"/>
                <w:szCs w:val="21"/>
              </w:rPr>
            </w:pPr>
            <w:r w:rsidRPr="00826530">
              <w:rPr>
                <w:rFonts w:ascii="Arial" w:hAnsi="Arial" w:cs="Arial"/>
                <w:b/>
                <w:sz w:val="21"/>
                <w:szCs w:val="21"/>
              </w:rPr>
              <w:t>0.</w:t>
            </w:r>
            <w:r w:rsidR="001106F2" w:rsidRPr="00826530">
              <w:rPr>
                <w:rFonts w:ascii="Arial" w:hAnsi="Arial" w:cs="Arial"/>
                <w:b/>
                <w:sz w:val="21"/>
                <w:szCs w:val="21"/>
              </w:rPr>
              <w:t>99</w:t>
            </w:r>
          </w:p>
        </w:tc>
      </w:tr>
      <w:tr w:rsidR="007D37AA" w:rsidRPr="00826530" w14:paraId="2BAC6276" w14:textId="2D07BD71" w:rsidTr="00BB1937">
        <w:trPr>
          <w:trHeight w:val="233"/>
        </w:trPr>
        <w:tc>
          <w:tcPr>
            <w:tcW w:w="3119" w:type="dxa"/>
            <w:tcBorders>
              <w:top w:val="nil"/>
              <w:bottom w:val="nil"/>
              <w:right w:val="nil"/>
            </w:tcBorders>
          </w:tcPr>
          <w:p w14:paraId="2E8149D6" w14:textId="77777777" w:rsidR="00EF5FDB" w:rsidRPr="00826530" w:rsidRDefault="00EF5FDB" w:rsidP="00836582">
            <w:pPr>
              <w:jc w:val="both"/>
              <w:rPr>
                <w:rFonts w:ascii="Arial" w:hAnsi="Arial" w:cs="Arial"/>
                <w:sz w:val="21"/>
                <w:szCs w:val="21"/>
              </w:rPr>
            </w:pPr>
            <w:r w:rsidRPr="00826530">
              <w:rPr>
                <w:rFonts w:ascii="Arial" w:hAnsi="Arial" w:cs="Arial"/>
                <w:sz w:val="21"/>
                <w:szCs w:val="21"/>
              </w:rPr>
              <w:t>Education</w:t>
            </w:r>
          </w:p>
        </w:tc>
        <w:tc>
          <w:tcPr>
            <w:tcW w:w="1831" w:type="dxa"/>
            <w:tcBorders>
              <w:top w:val="nil"/>
              <w:left w:val="nil"/>
              <w:bottom w:val="nil"/>
              <w:right w:val="nil"/>
            </w:tcBorders>
          </w:tcPr>
          <w:p w14:paraId="30FA63EC"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≤High school</w:t>
            </w:r>
          </w:p>
        </w:tc>
        <w:tc>
          <w:tcPr>
            <w:tcW w:w="876" w:type="dxa"/>
            <w:tcBorders>
              <w:top w:val="nil"/>
              <w:left w:val="nil"/>
              <w:bottom w:val="nil"/>
              <w:right w:val="nil"/>
            </w:tcBorders>
          </w:tcPr>
          <w:p w14:paraId="10D81729" w14:textId="77777777" w:rsidR="00EF5FDB" w:rsidRPr="00826530" w:rsidRDefault="00EF5FDB" w:rsidP="00836582">
            <w:pPr>
              <w:jc w:val="center"/>
              <w:rPr>
                <w:rFonts w:ascii="Arial" w:hAnsi="Arial" w:cs="Arial"/>
                <w:bCs/>
                <w:sz w:val="21"/>
                <w:szCs w:val="21"/>
              </w:rPr>
            </w:pPr>
            <w:r w:rsidRPr="00826530">
              <w:rPr>
                <w:rFonts w:ascii="Arial" w:hAnsi="Arial" w:cs="Arial"/>
                <w:bCs/>
                <w:sz w:val="21"/>
                <w:szCs w:val="21"/>
              </w:rPr>
              <w:t>Ref</w:t>
            </w:r>
          </w:p>
        </w:tc>
        <w:tc>
          <w:tcPr>
            <w:tcW w:w="756" w:type="dxa"/>
            <w:tcBorders>
              <w:top w:val="nil"/>
              <w:left w:val="nil"/>
              <w:bottom w:val="nil"/>
              <w:right w:val="nil"/>
            </w:tcBorders>
          </w:tcPr>
          <w:p w14:paraId="4CFD477D" w14:textId="77777777" w:rsidR="00EF5FDB" w:rsidRPr="00826530" w:rsidRDefault="00EF5FDB" w:rsidP="00836582">
            <w:pPr>
              <w:jc w:val="center"/>
              <w:rPr>
                <w:rFonts w:ascii="Arial" w:hAnsi="Arial" w:cs="Arial"/>
                <w:sz w:val="21"/>
                <w:szCs w:val="21"/>
              </w:rPr>
            </w:pPr>
          </w:p>
        </w:tc>
        <w:tc>
          <w:tcPr>
            <w:tcW w:w="756" w:type="dxa"/>
            <w:tcBorders>
              <w:top w:val="nil"/>
              <w:left w:val="nil"/>
              <w:bottom w:val="nil"/>
            </w:tcBorders>
          </w:tcPr>
          <w:p w14:paraId="1CFB5E30" w14:textId="77777777" w:rsidR="00EF5FDB" w:rsidRPr="00826530" w:rsidRDefault="00EF5FDB" w:rsidP="00836582">
            <w:pPr>
              <w:jc w:val="center"/>
              <w:rPr>
                <w:rFonts w:ascii="Arial" w:hAnsi="Arial" w:cs="Arial"/>
                <w:sz w:val="21"/>
                <w:szCs w:val="21"/>
              </w:rPr>
            </w:pPr>
          </w:p>
        </w:tc>
      </w:tr>
      <w:tr w:rsidR="007D37AA" w:rsidRPr="00826530" w14:paraId="693931AD" w14:textId="72590B83" w:rsidTr="00BB1937">
        <w:trPr>
          <w:trHeight w:val="233"/>
        </w:trPr>
        <w:tc>
          <w:tcPr>
            <w:tcW w:w="3119" w:type="dxa"/>
            <w:tcBorders>
              <w:top w:val="nil"/>
              <w:bottom w:val="nil"/>
              <w:right w:val="nil"/>
            </w:tcBorders>
          </w:tcPr>
          <w:p w14:paraId="0F4A1526" w14:textId="77777777" w:rsidR="00EF5FDB" w:rsidRPr="00826530" w:rsidRDefault="00EF5FDB" w:rsidP="00836582">
            <w:pPr>
              <w:jc w:val="both"/>
              <w:rPr>
                <w:rFonts w:ascii="Arial" w:hAnsi="Arial" w:cs="Arial"/>
                <w:sz w:val="21"/>
                <w:szCs w:val="21"/>
              </w:rPr>
            </w:pPr>
          </w:p>
        </w:tc>
        <w:tc>
          <w:tcPr>
            <w:tcW w:w="1831" w:type="dxa"/>
            <w:tcBorders>
              <w:top w:val="nil"/>
              <w:left w:val="nil"/>
              <w:bottom w:val="nil"/>
              <w:right w:val="nil"/>
            </w:tcBorders>
          </w:tcPr>
          <w:p w14:paraId="281A02D6"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&gt;High school</w:t>
            </w:r>
          </w:p>
        </w:tc>
        <w:tc>
          <w:tcPr>
            <w:tcW w:w="876" w:type="dxa"/>
            <w:tcBorders>
              <w:top w:val="nil"/>
              <w:left w:val="nil"/>
              <w:bottom w:val="nil"/>
              <w:right w:val="nil"/>
            </w:tcBorders>
          </w:tcPr>
          <w:p w14:paraId="08EB8FC8" w14:textId="3D0BF6B4" w:rsidR="00EF5FDB" w:rsidRPr="00826530" w:rsidRDefault="00EF5FDB" w:rsidP="00836582">
            <w:pPr>
              <w:jc w:val="center"/>
              <w:rPr>
                <w:rFonts w:ascii="Arial" w:hAnsi="Arial" w:cs="Arial"/>
                <w:bCs/>
                <w:sz w:val="21"/>
                <w:szCs w:val="21"/>
              </w:rPr>
            </w:pPr>
            <w:r w:rsidRPr="00826530">
              <w:rPr>
                <w:rFonts w:ascii="Arial" w:hAnsi="Arial" w:cs="Arial"/>
                <w:bCs/>
                <w:sz w:val="21"/>
                <w:szCs w:val="21"/>
              </w:rPr>
              <w:t>0.</w:t>
            </w:r>
            <w:r w:rsidR="001106F2" w:rsidRPr="00826530">
              <w:rPr>
                <w:rFonts w:ascii="Arial" w:hAnsi="Arial" w:cs="Arial"/>
                <w:bCs/>
                <w:sz w:val="21"/>
                <w:szCs w:val="21"/>
              </w:rPr>
              <w:t>30</w:t>
            </w:r>
          </w:p>
        </w:tc>
        <w:tc>
          <w:tcPr>
            <w:tcW w:w="756" w:type="dxa"/>
            <w:tcBorders>
              <w:top w:val="nil"/>
              <w:left w:val="nil"/>
              <w:bottom w:val="nil"/>
              <w:right w:val="nil"/>
            </w:tcBorders>
          </w:tcPr>
          <w:p w14:paraId="4FF79C6F" w14:textId="6DB0E541"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7D37AA" w:rsidRPr="00826530">
              <w:rPr>
                <w:rFonts w:ascii="Arial" w:hAnsi="Arial" w:cs="Arial"/>
                <w:b/>
                <w:sz w:val="21"/>
                <w:szCs w:val="21"/>
              </w:rPr>
              <w:t>1</w:t>
            </w:r>
            <w:r w:rsidR="001106F2" w:rsidRPr="00826530">
              <w:rPr>
                <w:rFonts w:ascii="Arial" w:hAnsi="Arial" w:cs="Arial"/>
                <w:b/>
                <w:sz w:val="21"/>
                <w:szCs w:val="21"/>
              </w:rPr>
              <w:t>3</w:t>
            </w:r>
          </w:p>
        </w:tc>
        <w:tc>
          <w:tcPr>
            <w:tcW w:w="756" w:type="dxa"/>
            <w:tcBorders>
              <w:top w:val="nil"/>
              <w:left w:val="nil"/>
              <w:bottom w:val="nil"/>
            </w:tcBorders>
          </w:tcPr>
          <w:p w14:paraId="5D1B83A5" w14:textId="6197D18A"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7D37AA" w:rsidRPr="00826530">
              <w:rPr>
                <w:rFonts w:ascii="Arial" w:hAnsi="Arial" w:cs="Arial"/>
                <w:b/>
                <w:sz w:val="21"/>
                <w:szCs w:val="21"/>
              </w:rPr>
              <w:t>7</w:t>
            </w:r>
            <w:r w:rsidR="001106F2" w:rsidRPr="00826530">
              <w:rPr>
                <w:rFonts w:ascii="Arial" w:hAnsi="Arial" w:cs="Arial"/>
                <w:b/>
                <w:sz w:val="21"/>
                <w:szCs w:val="21"/>
              </w:rPr>
              <w:t>0</w:t>
            </w:r>
          </w:p>
        </w:tc>
      </w:tr>
      <w:tr w:rsidR="007D37AA" w:rsidRPr="00826530" w14:paraId="220C2D02" w14:textId="03962FE1" w:rsidTr="00BB1937">
        <w:trPr>
          <w:trHeight w:val="233"/>
        </w:trPr>
        <w:tc>
          <w:tcPr>
            <w:tcW w:w="3119" w:type="dxa"/>
            <w:tcBorders>
              <w:top w:val="nil"/>
              <w:bottom w:val="nil"/>
              <w:right w:val="nil"/>
            </w:tcBorders>
          </w:tcPr>
          <w:p w14:paraId="5233B481" w14:textId="77777777" w:rsidR="00EF5FDB" w:rsidRPr="00826530" w:rsidRDefault="00EF5FDB" w:rsidP="00836582">
            <w:pPr>
              <w:tabs>
                <w:tab w:val="left" w:pos="784"/>
              </w:tabs>
              <w:jc w:val="both"/>
              <w:rPr>
                <w:rFonts w:ascii="Arial" w:hAnsi="Arial" w:cs="Arial"/>
                <w:sz w:val="21"/>
                <w:szCs w:val="21"/>
              </w:rPr>
            </w:pPr>
            <w:r w:rsidRPr="00826530">
              <w:rPr>
                <w:rFonts w:ascii="Arial" w:hAnsi="Arial" w:cs="Arial"/>
                <w:sz w:val="21"/>
                <w:szCs w:val="21"/>
              </w:rPr>
              <w:t>Sexual Identity</w:t>
            </w:r>
          </w:p>
        </w:tc>
        <w:tc>
          <w:tcPr>
            <w:tcW w:w="1831" w:type="dxa"/>
            <w:tcBorders>
              <w:top w:val="nil"/>
              <w:left w:val="nil"/>
              <w:bottom w:val="nil"/>
              <w:right w:val="nil"/>
            </w:tcBorders>
          </w:tcPr>
          <w:p w14:paraId="24A09FF7"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Gay</w:t>
            </w:r>
          </w:p>
        </w:tc>
        <w:tc>
          <w:tcPr>
            <w:tcW w:w="876" w:type="dxa"/>
            <w:tcBorders>
              <w:top w:val="nil"/>
              <w:left w:val="nil"/>
              <w:bottom w:val="nil"/>
              <w:right w:val="nil"/>
            </w:tcBorders>
          </w:tcPr>
          <w:p w14:paraId="41259E2C" w14:textId="77777777" w:rsidR="00EF5FDB" w:rsidRPr="00826530" w:rsidRDefault="00EF5FDB" w:rsidP="00836582">
            <w:pPr>
              <w:jc w:val="center"/>
              <w:rPr>
                <w:rFonts w:ascii="Arial" w:hAnsi="Arial" w:cs="Arial"/>
                <w:bCs/>
                <w:sz w:val="21"/>
                <w:szCs w:val="21"/>
              </w:rPr>
            </w:pPr>
            <w:r w:rsidRPr="00826530">
              <w:rPr>
                <w:rFonts w:ascii="Arial" w:hAnsi="Arial" w:cs="Arial"/>
                <w:bCs/>
                <w:sz w:val="21"/>
                <w:szCs w:val="21"/>
              </w:rPr>
              <w:t>Ref</w:t>
            </w:r>
          </w:p>
        </w:tc>
        <w:tc>
          <w:tcPr>
            <w:tcW w:w="756" w:type="dxa"/>
            <w:tcBorders>
              <w:top w:val="nil"/>
              <w:left w:val="nil"/>
              <w:bottom w:val="nil"/>
              <w:right w:val="nil"/>
            </w:tcBorders>
          </w:tcPr>
          <w:p w14:paraId="5B31D6D9" w14:textId="77777777" w:rsidR="00EF5FDB" w:rsidRPr="00826530" w:rsidRDefault="00EF5FDB" w:rsidP="00836582">
            <w:pPr>
              <w:jc w:val="center"/>
              <w:rPr>
                <w:rFonts w:ascii="Arial" w:hAnsi="Arial" w:cs="Arial"/>
                <w:sz w:val="21"/>
                <w:szCs w:val="21"/>
              </w:rPr>
            </w:pPr>
          </w:p>
        </w:tc>
        <w:tc>
          <w:tcPr>
            <w:tcW w:w="756" w:type="dxa"/>
            <w:tcBorders>
              <w:top w:val="nil"/>
              <w:left w:val="nil"/>
              <w:bottom w:val="nil"/>
            </w:tcBorders>
          </w:tcPr>
          <w:p w14:paraId="33B78389" w14:textId="77777777" w:rsidR="00EF5FDB" w:rsidRPr="00826530" w:rsidRDefault="00EF5FDB" w:rsidP="00836582">
            <w:pPr>
              <w:jc w:val="center"/>
              <w:rPr>
                <w:rFonts w:ascii="Arial" w:hAnsi="Arial" w:cs="Arial"/>
                <w:sz w:val="21"/>
                <w:szCs w:val="21"/>
              </w:rPr>
            </w:pPr>
          </w:p>
        </w:tc>
      </w:tr>
      <w:tr w:rsidR="007D37AA" w:rsidRPr="00826530" w14:paraId="179DC9EC" w14:textId="223DEC79" w:rsidTr="00BB1937">
        <w:trPr>
          <w:trHeight w:val="233"/>
        </w:trPr>
        <w:tc>
          <w:tcPr>
            <w:tcW w:w="3119" w:type="dxa"/>
            <w:tcBorders>
              <w:top w:val="nil"/>
              <w:bottom w:val="nil"/>
              <w:right w:val="nil"/>
            </w:tcBorders>
          </w:tcPr>
          <w:p w14:paraId="482767F7" w14:textId="77777777" w:rsidR="00EF5FDB" w:rsidRPr="00826530" w:rsidRDefault="00EF5FDB" w:rsidP="00836582">
            <w:pPr>
              <w:jc w:val="both"/>
              <w:rPr>
                <w:rFonts w:ascii="Arial" w:hAnsi="Arial" w:cs="Arial"/>
                <w:sz w:val="21"/>
                <w:szCs w:val="21"/>
              </w:rPr>
            </w:pPr>
          </w:p>
        </w:tc>
        <w:tc>
          <w:tcPr>
            <w:tcW w:w="1831" w:type="dxa"/>
            <w:tcBorders>
              <w:top w:val="nil"/>
              <w:left w:val="nil"/>
              <w:bottom w:val="nil"/>
              <w:right w:val="nil"/>
            </w:tcBorders>
          </w:tcPr>
          <w:p w14:paraId="2ACC3816" w14:textId="77777777" w:rsidR="00EF5FDB" w:rsidRPr="00826530" w:rsidRDefault="00EF5FDB" w:rsidP="00836582">
            <w:pPr>
              <w:jc w:val="right"/>
              <w:rPr>
                <w:rFonts w:ascii="Arial" w:hAnsi="Arial" w:cs="Arial"/>
                <w:bCs/>
                <w:sz w:val="21"/>
                <w:szCs w:val="21"/>
              </w:rPr>
            </w:pPr>
            <w:r w:rsidRPr="00826530">
              <w:rPr>
                <w:rFonts w:ascii="Arial" w:hAnsi="Arial" w:cs="Arial"/>
                <w:bCs/>
                <w:sz w:val="21"/>
                <w:szCs w:val="21"/>
              </w:rPr>
              <w:t>Bisexual/Other</w:t>
            </w:r>
          </w:p>
        </w:tc>
        <w:tc>
          <w:tcPr>
            <w:tcW w:w="876" w:type="dxa"/>
            <w:tcBorders>
              <w:top w:val="nil"/>
              <w:left w:val="nil"/>
              <w:bottom w:val="nil"/>
              <w:right w:val="nil"/>
            </w:tcBorders>
          </w:tcPr>
          <w:p w14:paraId="77907729" w14:textId="7D437847" w:rsidR="00EF5FDB" w:rsidRPr="00826530" w:rsidRDefault="00EF5FDB" w:rsidP="00836582">
            <w:pPr>
              <w:jc w:val="center"/>
              <w:rPr>
                <w:rFonts w:ascii="Arial" w:hAnsi="Arial" w:cs="Arial"/>
                <w:bCs/>
                <w:sz w:val="21"/>
                <w:szCs w:val="21"/>
              </w:rPr>
            </w:pPr>
            <w:r w:rsidRPr="00826530">
              <w:rPr>
                <w:rFonts w:ascii="Arial" w:hAnsi="Arial" w:cs="Arial"/>
                <w:bCs/>
                <w:sz w:val="21"/>
                <w:szCs w:val="21"/>
              </w:rPr>
              <w:t>2.</w:t>
            </w:r>
            <w:r w:rsidR="001106F2" w:rsidRPr="00826530">
              <w:rPr>
                <w:rFonts w:ascii="Arial" w:hAnsi="Arial" w:cs="Arial"/>
                <w:bCs/>
                <w:sz w:val="21"/>
                <w:szCs w:val="21"/>
              </w:rPr>
              <w:t>38</w:t>
            </w:r>
          </w:p>
        </w:tc>
        <w:tc>
          <w:tcPr>
            <w:tcW w:w="756" w:type="dxa"/>
            <w:tcBorders>
              <w:top w:val="nil"/>
              <w:left w:val="nil"/>
              <w:bottom w:val="nil"/>
              <w:right w:val="nil"/>
            </w:tcBorders>
          </w:tcPr>
          <w:p w14:paraId="7C38518F" w14:textId="4795B4EE" w:rsidR="00EF5FDB" w:rsidRPr="00826530" w:rsidRDefault="007D37AA" w:rsidP="00836582">
            <w:pPr>
              <w:jc w:val="center"/>
              <w:rPr>
                <w:rFonts w:ascii="Arial" w:hAnsi="Arial" w:cs="Arial"/>
                <w:b/>
                <w:bCs/>
                <w:sz w:val="21"/>
                <w:szCs w:val="21"/>
              </w:rPr>
            </w:pPr>
            <w:r w:rsidRPr="00826530">
              <w:rPr>
                <w:rFonts w:ascii="Arial" w:hAnsi="Arial" w:cs="Arial"/>
                <w:b/>
                <w:bCs/>
                <w:sz w:val="21"/>
                <w:szCs w:val="21"/>
              </w:rPr>
              <w:t>1.</w:t>
            </w:r>
            <w:r w:rsidR="001106F2" w:rsidRPr="00826530">
              <w:rPr>
                <w:rFonts w:ascii="Arial" w:hAnsi="Arial" w:cs="Arial"/>
                <w:b/>
                <w:bCs/>
                <w:sz w:val="21"/>
                <w:szCs w:val="21"/>
              </w:rPr>
              <w:t>21</w:t>
            </w:r>
          </w:p>
        </w:tc>
        <w:tc>
          <w:tcPr>
            <w:tcW w:w="756" w:type="dxa"/>
            <w:tcBorders>
              <w:top w:val="nil"/>
              <w:left w:val="nil"/>
              <w:bottom w:val="nil"/>
            </w:tcBorders>
          </w:tcPr>
          <w:p w14:paraId="3CA59F4C" w14:textId="72CE9B3D" w:rsidR="00EF5FDB" w:rsidRPr="00826530" w:rsidRDefault="001106F2" w:rsidP="00836582">
            <w:pPr>
              <w:jc w:val="center"/>
              <w:rPr>
                <w:rFonts w:ascii="Arial" w:hAnsi="Arial" w:cs="Arial"/>
                <w:b/>
                <w:bCs/>
                <w:sz w:val="21"/>
                <w:szCs w:val="21"/>
              </w:rPr>
            </w:pPr>
            <w:r w:rsidRPr="00826530">
              <w:rPr>
                <w:rFonts w:ascii="Arial" w:hAnsi="Arial" w:cs="Arial"/>
                <w:b/>
                <w:bCs/>
                <w:sz w:val="21"/>
                <w:szCs w:val="21"/>
              </w:rPr>
              <w:t>4</w:t>
            </w:r>
            <w:r w:rsidR="00EF5FDB" w:rsidRPr="00826530">
              <w:rPr>
                <w:rFonts w:ascii="Arial" w:hAnsi="Arial" w:cs="Arial"/>
                <w:b/>
                <w:bCs/>
                <w:sz w:val="21"/>
                <w:szCs w:val="21"/>
              </w:rPr>
              <w:t>.</w:t>
            </w:r>
            <w:r w:rsidR="007D37AA" w:rsidRPr="00826530">
              <w:rPr>
                <w:rFonts w:ascii="Arial" w:hAnsi="Arial" w:cs="Arial"/>
                <w:b/>
                <w:bCs/>
                <w:sz w:val="21"/>
                <w:szCs w:val="21"/>
              </w:rPr>
              <w:t>6</w:t>
            </w:r>
            <w:r w:rsidRPr="00826530">
              <w:rPr>
                <w:rFonts w:ascii="Arial" w:hAnsi="Arial" w:cs="Arial"/>
                <w:b/>
                <w:bCs/>
                <w:sz w:val="21"/>
                <w:szCs w:val="21"/>
              </w:rPr>
              <w:t>9</w:t>
            </w:r>
          </w:p>
        </w:tc>
      </w:tr>
      <w:tr w:rsidR="001106F2" w:rsidRPr="00826530" w14:paraId="3C60926B" w14:textId="77777777" w:rsidTr="00BB1937">
        <w:trPr>
          <w:trHeight w:val="233"/>
        </w:trPr>
        <w:tc>
          <w:tcPr>
            <w:tcW w:w="3119" w:type="dxa"/>
            <w:tcBorders>
              <w:top w:val="nil"/>
              <w:bottom w:val="nil"/>
              <w:right w:val="nil"/>
            </w:tcBorders>
          </w:tcPr>
          <w:p w14:paraId="4C4B3980" w14:textId="5E043A54" w:rsidR="001106F2" w:rsidRPr="00826530" w:rsidRDefault="001106F2" w:rsidP="00836582">
            <w:pPr>
              <w:jc w:val="both"/>
              <w:rPr>
                <w:rFonts w:ascii="Arial" w:hAnsi="Arial" w:cs="Arial"/>
                <w:sz w:val="21"/>
                <w:szCs w:val="21"/>
              </w:rPr>
            </w:pPr>
            <w:r w:rsidRPr="00826530">
              <w:rPr>
                <w:rFonts w:ascii="Arial" w:hAnsi="Arial" w:cs="Arial"/>
                <w:sz w:val="21"/>
                <w:szCs w:val="21"/>
              </w:rPr>
              <w:t>Race/Ethnicity</w:t>
            </w:r>
          </w:p>
        </w:tc>
        <w:tc>
          <w:tcPr>
            <w:tcW w:w="1831" w:type="dxa"/>
            <w:tcBorders>
              <w:top w:val="nil"/>
              <w:left w:val="nil"/>
              <w:bottom w:val="nil"/>
              <w:right w:val="nil"/>
            </w:tcBorders>
          </w:tcPr>
          <w:p w14:paraId="7CE9B804" w14:textId="2BD0614F" w:rsidR="001106F2" w:rsidRPr="00826530" w:rsidRDefault="001106F2" w:rsidP="00836582">
            <w:pPr>
              <w:jc w:val="right"/>
              <w:rPr>
                <w:rFonts w:ascii="Arial" w:hAnsi="Arial" w:cs="Arial"/>
                <w:bCs/>
                <w:sz w:val="21"/>
                <w:szCs w:val="21"/>
              </w:rPr>
            </w:pPr>
            <w:r w:rsidRPr="00826530">
              <w:rPr>
                <w:rFonts w:ascii="Arial" w:hAnsi="Arial" w:cs="Arial"/>
                <w:bCs/>
                <w:sz w:val="21"/>
                <w:szCs w:val="21"/>
              </w:rPr>
              <w:t>White</w:t>
            </w:r>
          </w:p>
        </w:tc>
        <w:tc>
          <w:tcPr>
            <w:tcW w:w="876" w:type="dxa"/>
            <w:tcBorders>
              <w:top w:val="nil"/>
              <w:left w:val="nil"/>
              <w:bottom w:val="nil"/>
              <w:right w:val="nil"/>
            </w:tcBorders>
          </w:tcPr>
          <w:p w14:paraId="2D456D76" w14:textId="323B1910" w:rsidR="001106F2" w:rsidRPr="00826530" w:rsidRDefault="001106F2" w:rsidP="00836582">
            <w:pPr>
              <w:jc w:val="center"/>
              <w:rPr>
                <w:rFonts w:ascii="Arial" w:hAnsi="Arial" w:cs="Arial"/>
                <w:bCs/>
                <w:sz w:val="21"/>
                <w:szCs w:val="21"/>
              </w:rPr>
            </w:pPr>
            <w:r w:rsidRPr="00826530">
              <w:rPr>
                <w:rFonts w:ascii="Arial" w:hAnsi="Arial" w:cs="Arial"/>
                <w:bCs/>
                <w:sz w:val="21"/>
                <w:szCs w:val="21"/>
              </w:rPr>
              <w:t>Ref</w:t>
            </w:r>
          </w:p>
        </w:tc>
        <w:tc>
          <w:tcPr>
            <w:tcW w:w="756" w:type="dxa"/>
            <w:tcBorders>
              <w:top w:val="nil"/>
              <w:left w:val="nil"/>
              <w:bottom w:val="nil"/>
              <w:right w:val="nil"/>
            </w:tcBorders>
          </w:tcPr>
          <w:p w14:paraId="5B851305" w14:textId="77777777" w:rsidR="001106F2" w:rsidRPr="00826530" w:rsidRDefault="001106F2" w:rsidP="00836582">
            <w:pPr>
              <w:jc w:val="center"/>
              <w:rPr>
                <w:rFonts w:ascii="Arial" w:hAnsi="Arial" w:cs="Arial"/>
                <w:b/>
                <w:bCs/>
                <w:sz w:val="21"/>
                <w:szCs w:val="21"/>
              </w:rPr>
            </w:pPr>
          </w:p>
        </w:tc>
        <w:tc>
          <w:tcPr>
            <w:tcW w:w="756" w:type="dxa"/>
            <w:tcBorders>
              <w:top w:val="nil"/>
              <w:left w:val="nil"/>
              <w:bottom w:val="nil"/>
            </w:tcBorders>
          </w:tcPr>
          <w:p w14:paraId="1B3787C7" w14:textId="77777777" w:rsidR="001106F2" w:rsidRPr="00826530" w:rsidRDefault="001106F2" w:rsidP="00836582">
            <w:pPr>
              <w:jc w:val="center"/>
              <w:rPr>
                <w:rFonts w:ascii="Arial" w:hAnsi="Arial" w:cs="Arial"/>
                <w:b/>
                <w:bCs/>
                <w:sz w:val="21"/>
                <w:szCs w:val="21"/>
              </w:rPr>
            </w:pPr>
          </w:p>
        </w:tc>
      </w:tr>
      <w:tr w:rsidR="001106F2" w:rsidRPr="00826530" w14:paraId="664FFEC2" w14:textId="77777777" w:rsidTr="00BB1937">
        <w:trPr>
          <w:trHeight w:val="233"/>
        </w:trPr>
        <w:tc>
          <w:tcPr>
            <w:tcW w:w="3119" w:type="dxa"/>
            <w:tcBorders>
              <w:top w:val="nil"/>
              <w:bottom w:val="nil"/>
              <w:right w:val="nil"/>
            </w:tcBorders>
          </w:tcPr>
          <w:p w14:paraId="54D4AF5A" w14:textId="77777777" w:rsidR="001106F2" w:rsidRPr="00826530" w:rsidRDefault="001106F2" w:rsidP="00836582">
            <w:pPr>
              <w:jc w:val="both"/>
              <w:rPr>
                <w:rFonts w:ascii="Arial" w:hAnsi="Arial" w:cs="Arial"/>
                <w:sz w:val="21"/>
                <w:szCs w:val="21"/>
              </w:rPr>
            </w:pPr>
          </w:p>
        </w:tc>
        <w:tc>
          <w:tcPr>
            <w:tcW w:w="1831" w:type="dxa"/>
            <w:tcBorders>
              <w:top w:val="nil"/>
              <w:left w:val="nil"/>
              <w:bottom w:val="nil"/>
              <w:right w:val="nil"/>
            </w:tcBorders>
          </w:tcPr>
          <w:p w14:paraId="7E57F213" w14:textId="4B054895" w:rsidR="001106F2" w:rsidRPr="00826530" w:rsidRDefault="001106F2" w:rsidP="00836582">
            <w:pPr>
              <w:jc w:val="right"/>
              <w:rPr>
                <w:rFonts w:ascii="Arial" w:hAnsi="Arial" w:cs="Arial"/>
                <w:bCs/>
                <w:sz w:val="21"/>
                <w:szCs w:val="21"/>
              </w:rPr>
            </w:pPr>
            <w:r w:rsidRPr="00826530">
              <w:rPr>
                <w:rFonts w:ascii="Arial" w:hAnsi="Arial" w:cs="Arial"/>
                <w:bCs/>
                <w:sz w:val="21"/>
                <w:szCs w:val="21"/>
              </w:rPr>
              <w:t>Asian</w:t>
            </w:r>
          </w:p>
        </w:tc>
        <w:tc>
          <w:tcPr>
            <w:tcW w:w="876" w:type="dxa"/>
            <w:tcBorders>
              <w:top w:val="nil"/>
              <w:left w:val="nil"/>
              <w:bottom w:val="nil"/>
              <w:right w:val="nil"/>
            </w:tcBorders>
          </w:tcPr>
          <w:p w14:paraId="0EEEAFB4" w14:textId="6535AB01" w:rsidR="001106F2" w:rsidRPr="00826530" w:rsidRDefault="001106F2" w:rsidP="00836582">
            <w:pPr>
              <w:jc w:val="center"/>
              <w:rPr>
                <w:rFonts w:ascii="Arial" w:hAnsi="Arial" w:cs="Arial"/>
                <w:bCs/>
                <w:sz w:val="21"/>
                <w:szCs w:val="21"/>
              </w:rPr>
            </w:pPr>
            <w:r w:rsidRPr="00826530">
              <w:rPr>
                <w:rFonts w:ascii="Arial" w:hAnsi="Arial" w:cs="Arial"/>
                <w:bCs/>
                <w:sz w:val="21"/>
                <w:szCs w:val="21"/>
              </w:rPr>
              <w:t>0.54</w:t>
            </w:r>
          </w:p>
        </w:tc>
        <w:tc>
          <w:tcPr>
            <w:tcW w:w="756" w:type="dxa"/>
            <w:tcBorders>
              <w:top w:val="nil"/>
              <w:left w:val="nil"/>
              <w:bottom w:val="nil"/>
              <w:right w:val="nil"/>
            </w:tcBorders>
          </w:tcPr>
          <w:p w14:paraId="75D735F9" w14:textId="22A728AD" w:rsidR="001106F2" w:rsidRPr="00826530" w:rsidRDefault="001106F2" w:rsidP="00836582">
            <w:pPr>
              <w:jc w:val="center"/>
              <w:rPr>
                <w:rFonts w:ascii="Arial" w:hAnsi="Arial" w:cs="Arial"/>
                <w:sz w:val="21"/>
                <w:szCs w:val="21"/>
              </w:rPr>
            </w:pPr>
            <w:r w:rsidRPr="00826530">
              <w:rPr>
                <w:rFonts w:ascii="Arial" w:hAnsi="Arial" w:cs="Arial"/>
                <w:sz w:val="21"/>
                <w:szCs w:val="21"/>
              </w:rPr>
              <w:t>0.18</w:t>
            </w:r>
          </w:p>
        </w:tc>
        <w:tc>
          <w:tcPr>
            <w:tcW w:w="756" w:type="dxa"/>
            <w:tcBorders>
              <w:top w:val="nil"/>
              <w:left w:val="nil"/>
              <w:bottom w:val="nil"/>
            </w:tcBorders>
          </w:tcPr>
          <w:p w14:paraId="5C3E8A64" w14:textId="5B6F965D" w:rsidR="001106F2" w:rsidRPr="00826530" w:rsidRDefault="001106F2" w:rsidP="00836582">
            <w:pPr>
              <w:jc w:val="center"/>
              <w:rPr>
                <w:rFonts w:ascii="Arial" w:hAnsi="Arial" w:cs="Arial"/>
                <w:sz w:val="21"/>
                <w:szCs w:val="21"/>
              </w:rPr>
            </w:pPr>
            <w:r w:rsidRPr="00826530">
              <w:rPr>
                <w:rFonts w:ascii="Arial" w:hAnsi="Arial" w:cs="Arial"/>
                <w:sz w:val="21"/>
                <w:szCs w:val="21"/>
              </w:rPr>
              <w:t>1.67</w:t>
            </w:r>
          </w:p>
        </w:tc>
      </w:tr>
      <w:tr w:rsidR="001106F2" w:rsidRPr="00826530" w14:paraId="2206CE82" w14:textId="77777777" w:rsidTr="00BB1937">
        <w:trPr>
          <w:trHeight w:val="233"/>
        </w:trPr>
        <w:tc>
          <w:tcPr>
            <w:tcW w:w="3119" w:type="dxa"/>
            <w:tcBorders>
              <w:top w:val="nil"/>
              <w:bottom w:val="nil"/>
              <w:right w:val="nil"/>
            </w:tcBorders>
          </w:tcPr>
          <w:p w14:paraId="0E86002A" w14:textId="77777777" w:rsidR="001106F2" w:rsidRPr="00826530" w:rsidRDefault="001106F2" w:rsidP="00836582">
            <w:pPr>
              <w:jc w:val="both"/>
              <w:rPr>
                <w:rFonts w:ascii="Arial" w:hAnsi="Arial" w:cs="Arial"/>
                <w:sz w:val="21"/>
                <w:szCs w:val="21"/>
              </w:rPr>
            </w:pPr>
          </w:p>
        </w:tc>
        <w:tc>
          <w:tcPr>
            <w:tcW w:w="1831" w:type="dxa"/>
            <w:tcBorders>
              <w:top w:val="nil"/>
              <w:left w:val="nil"/>
              <w:bottom w:val="nil"/>
              <w:right w:val="nil"/>
            </w:tcBorders>
          </w:tcPr>
          <w:p w14:paraId="45C10D6B" w14:textId="22A20358" w:rsidR="001106F2" w:rsidRPr="00826530" w:rsidRDefault="001106F2" w:rsidP="00836582">
            <w:pPr>
              <w:jc w:val="right"/>
              <w:rPr>
                <w:rFonts w:ascii="Arial" w:hAnsi="Arial" w:cs="Arial"/>
                <w:bCs/>
                <w:sz w:val="21"/>
                <w:szCs w:val="21"/>
              </w:rPr>
            </w:pPr>
            <w:r w:rsidRPr="00826530">
              <w:rPr>
                <w:rFonts w:ascii="Arial" w:hAnsi="Arial" w:cs="Arial"/>
                <w:bCs/>
                <w:sz w:val="21"/>
                <w:szCs w:val="21"/>
              </w:rPr>
              <w:t>Indigenous</w:t>
            </w:r>
          </w:p>
        </w:tc>
        <w:tc>
          <w:tcPr>
            <w:tcW w:w="876" w:type="dxa"/>
            <w:tcBorders>
              <w:top w:val="nil"/>
              <w:left w:val="nil"/>
              <w:bottom w:val="nil"/>
              <w:right w:val="nil"/>
            </w:tcBorders>
          </w:tcPr>
          <w:p w14:paraId="1A2CAAA0" w14:textId="0D7A4E48" w:rsidR="001106F2" w:rsidRPr="00826530" w:rsidRDefault="001106F2" w:rsidP="00836582">
            <w:pPr>
              <w:jc w:val="center"/>
              <w:rPr>
                <w:rFonts w:ascii="Arial" w:hAnsi="Arial" w:cs="Arial"/>
                <w:bCs/>
                <w:sz w:val="21"/>
                <w:szCs w:val="21"/>
              </w:rPr>
            </w:pPr>
            <w:r w:rsidRPr="00826530">
              <w:rPr>
                <w:rFonts w:ascii="Arial" w:hAnsi="Arial" w:cs="Arial"/>
                <w:bCs/>
                <w:sz w:val="21"/>
                <w:szCs w:val="21"/>
              </w:rPr>
              <w:t>5.27</w:t>
            </w:r>
          </w:p>
        </w:tc>
        <w:tc>
          <w:tcPr>
            <w:tcW w:w="756" w:type="dxa"/>
            <w:tcBorders>
              <w:top w:val="nil"/>
              <w:left w:val="nil"/>
              <w:bottom w:val="nil"/>
              <w:right w:val="nil"/>
            </w:tcBorders>
          </w:tcPr>
          <w:p w14:paraId="3E9A6D0E" w14:textId="190DF1D8" w:rsidR="001106F2" w:rsidRPr="00826530" w:rsidRDefault="001106F2" w:rsidP="00836582">
            <w:pPr>
              <w:jc w:val="center"/>
              <w:rPr>
                <w:rFonts w:ascii="Arial" w:hAnsi="Arial" w:cs="Arial"/>
                <w:b/>
                <w:bCs/>
                <w:sz w:val="21"/>
                <w:szCs w:val="21"/>
              </w:rPr>
            </w:pPr>
            <w:r w:rsidRPr="00826530">
              <w:rPr>
                <w:rFonts w:ascii="Arial" w:hAnsi="Arial" w:cs="Arial"/>
                <w:b/>
                <w:bCs/>
                <w:sz w:val="21"/>
                <w:szCs w:val="21"/>
              </w:rPr>
              <w:t>1.34</w:t>
            </w:r>
          </w:p>
        </w:tc>
        <w:tc>
          <w:tcPr>
            <w:tcW w:w="756" w:type="dxa"/>
            <w:tcBorders>
              <w:top w:val="nil"/>
              <w:left w:val="nil"/>
              <w:bottom w:val="nil"/>
            </w:tcBorders>
          </w:tcPr>
          <w:p w14:paraId="45567D04" w14:textId="00FD9186" w:rsidR="001106F2" w:rsidRPr="00826530" w:rsidRDefault="001106F2" w:rsidP="00836582">
            <w:pPr>
              <w:jc w:val="center"/>
              <w:rPr>
                <w:rFonts w:ascii="Arial" w:hAnsi="Arial" w:cs="Arial"/>
                <w:b/>
                <w:bCs/>
                <w:sz w:val="21"/>
                <w:szCs w:val="21"/>
              </w:rPr>
            </w:pPr>
            <w:r w:rsidRPr="00826530">
              <w:rPr>
                <w:rFonts w:ascii="Arial" w:hAnsi="Arial" w:cs="Arial"/>
                <w:b/>
                <w:bCs/>
                <w:sz w:val="21"/>
                <w:szCs w:val="21"/>
              </w:rPr>
              <w:t>20.80</w:t>
            </w:r>
          </w:p>
        </w:tc>
      </w:tr>
      <w:tr w:rsidR="001106F2" w:rsidRPr="00826530" w14:paraId="78410E1A" w14:textId="77777777" w:rsidTr="00BB1937">
        <w:trPr>
          <w:trHeight w:val="233"/>
        </w:trPr>
        <w:tc>
          <w:tcPr>
            <w:tcW w:w="3119" w:type="dxa"/>
            <w:tcBorders>
              <w:top w:val="nil"/>
              <w:bottom w:val="nil"/>
              <w:right w:val="nil"/>
            </w:tcBorders>
          </w:tcPr>
          <w:p w14:paraId="0EF20989" w14:textId="77777777" w:rsidR="001106F2" w:rsidRPr="00826530" w:rsidRDefault="001106F2" w:rsidP="00836582">
            <w:pPr>
              <w:jc w:val="both"/>
              <w:rPr>
                <w:rFonts w:ascii="Arial" w:hAnsi="Arial" w:cs="Arial"/>
                <w:sz w:val="21"/>
                <w:szCs w:val="21"/>
              </w:rPr>
            </w:pPr>
          </w:p>
        </w:tc>
        <w:tc>
          <w:tcPr>
            <w:tcW w:w="1831" w:type="dxa"/>
            <w:tcBorders>
              <w:top w:val="nil"/>
              <w:left w:val="nil"/>
              <w:bottom w:val="nil"/>
              <w:right w:val="nil"/>
            </w:tcBorders>
          </w:tcPr>
          <w:p w14:paraId="766483B0" w14:textId="676E0E80" w:rsidR="001106F2" w:rsidRPr="00826530" w:rsidRDefault="001106F2" w:rsidP="00836582">
            <w:pPr>
              <w:jc w:val="right"/>
              <w:rPr>
                <w:rFonts w:ascii="Arial" w:hAnsi="Arial" w:cs="Arial"/>
                <w:bCs/>
                <w:sz w:val="21"/>
                <w:szCs w:val="21"/>
              </w:rPr>
            </w:pPr>
            <w:r w:rsidRPr="00826530">
              <w:rPr>
                <w:rFonts w:ascii="Arial" w:hAnsi="Arial" w:cs="Arial"/>
                <w:bCs/>
                <w:sz w:val="21"/>
                <w:szCs w:val="21"/>
              </w:rPr>
              <w:t>Latino/Other</w:t>
            </w:r>
          </w:p>
        </w:tc>
        <w:tc>
          <w:tcPr>
            <w:tcW w:w="876" w:type="dxa"/>
            <w:tcBorders>
              <w:top w:val="nil"/>
              <w:left w:val="nil"/>
              <w:bottom w:val="nil"/>
              <w:right w:val="nil"/>
            </w:tcBorders>
          </w:tcPr>
          <w:p w14:paraId="091CFC9D" w14:textId="112AAE20" w:rsidR="001106F2" w:rsidRPr="00826530" w:rsidRDefault="001106F2" w:rsidP="00836582">
            <w:pPr>
              <w:jc w:val="center"/>
              <w:rPr>
                <w:rFonts w:ascii="Arial" w:hAnsi="Arial" w:cs="Arial"/>
                <w:bCs/>
                <w:sz w:val="21"/>
                <w:szCs w:val="21"/>
              </w:rPr>
            </w:pPr>
            <w:r w:rsidRPr="00826530">
              <w:rPr>
                <w:rFonts w:ascii="Arial" w:hAnsi="Arial" w:cs="Arial"/>
                <w:bCs/>
                <w:sz w:val="21"/>
                <w:szCs w:val="21"/>
              </w:rPr>
              <w:t>0.89</w:t>
            </w:r>
          </w:p>
        </w:tc>
        <w:tc>
          <w:tcPr>
            <w:tcW w:w="756" w:type="dxa"/>
            <w:tcBorders>
              <w:top w:val="nil"/>
              <w:left w:val="nil"/>
              <w:bottom w:val="nil"/>
              <w:right w:val="nil"/>
            </w:tcBorders>
          </w:tcPr>
          <w:p w14:paraId="3813C84F" w14:textId="18CC2FD2" w:rsidR="001106F2" w:rsidRPr="00826530" w:rsidRDefault="001106F2" w:rsidP="00836582">
            <w:pPr>
              <w:jc w:val="center"/>
              <w:rPr>
                <w:rFonts w:ascii="Arial" w:hAnsi="Arial" w:cs="Arial"/>
                <w:sz w:val="21"/>
                <w:szCs w:val="21"/>
              </w:rPr>
            </w:pPr>
            <w:r w:rsidRPr="00826530">
              <w:rPr>
                <w:rFonts w:ascii="Arial" w:hAnsi="Arial" w:cs="Arial"/>
                <w:sz w:val="21"/>
                <w:szCs w:val="21"/>
              </w:rPr>
              <w:t>0.25</w:t>
            </w:r>
          </w:p>
        </w:tc>
        <w:tc>
          <w:tcPr>
            <w:tcW w:w="756" w:type="dxa"/>
            <w:tcBorders>
              <w:top w:val="nil"/>
              <w:left w:val="nil"/>
              <w:bottom w:val="nil"/>
            </w:tcBorders>
          </w:tcPr>
          <w:p w14:paraId="69F85E28" w14:textId="32D5017C" w:rsidR="001106F2" w:rsidRPr="00826530" w:rsidRDefault="001106F2" w:rsidP="00836582">
            <w:pPr>
              <w:jc w:val="center"/>
              <w:rPr>
                <w:rFonts w:ascii="Arial" w:hAnsi="Arial" w:cs="Arial"/>
                <w:sz w:val="21"/>
                <w:szCs w:val="21"/>
              </w:rPr>
            </w:pPr>
            <w:r w:rsidRPr="00826530">
              <w:rPr>
                <w:rFonts w:ascii="Arial" w:hAnsi="Arial" w:cs="Arial"/>
                <w:sz w:val="21"/>
                <w:szCs w:val="21"/>
              </w:rPr>
              <w:t>3.21</w:t>
            </w:r>
          </w:p>
        </w:tc>
      </w:tr>
      <w:tr w:rsidR="007D37AA" w:rsidRPr="00826530" w14:paraId="13381783" w14:textId="73C97674" w:rsidTr="00BB1937">
        <w:trPr>
          <w:trHeight w:val="233"/>
        </w:trPr>
        <w:tc>
          <w:tcPr>
            <w:tcW w:w="3119" w:type="dxa"/>
            <w:tcBorders>
              <w:top w:val="nil"/>
              <w:bottom w:val="nil"/>
              <w:right w:val="nil"/>
            </w:tcBorders>
          </w:tcPr>
          <w:p w14:paraId="661DBF05" w14:textId="39C29CA0" w:rsidR="00EF5FDB" w:rsidRPr="00826530" w:rsidRDefault="00EF5FDB" w:rsidP="00836582">
            <w:pPr>
              <w:jc w:val="both"/>
              <w:rPr>
                <w:rFonts w:ascii="Arial" w:hAnsi="Arial" w:cs="Arial"/>
                <w:sz w:val="21"/>
                <w:szCs w:val="21"/>
                <w:vertAlign w:val="superscript"/>
              </w:rPr>
            </w:pPr>
            <w:r w:rsidRPr="00826530">
              <w:rPr>
                <w:rFonts w:ascii="Arial" w:hAnsi="Arial" w:cs="Arial"/>
                <w:sz w:val="21"/>
                <w:szCs w:val="21"/>
              </w:rPr>
              <w:t xml:space="preserve">Stable Housing </w:t>
            </w:r>
            <w:r w:rsidR="00F9220D" w:rsidRPr="00826530">
              <w:rPr>
                <w:rFonts w:ascii="Arial" w:hAnsi="Arial" w:cs="Arial"/>
                <w:sz w:val="21"/>
                <w:szCs w:val="21"/>
                <w:vertAlign w:val="superscript"/>
              </w:rPr>
              <w:t>1</w:t>
            </w:r>
          </w:p>
        </w:tc>
        <w:tc>
          <w:tcPr>
            <w:tcW w:w="1831" w:type="dxa"/>
            <w:tcBorders>
              <w:top w:val="nil"/>
              <w:left w:val="nil"/>
              <w:bottom w:val="nil"/>
              <w:right w:val="nil"/>
            </w:tcBorders>
          </w:tcPr>
          <w:p w14:paraId="1E361310" w14:textId="77777777" w:rsidR="00EF5FDB" w:rsidRPr="00826530" w:rsidRDefault="00EF5FDB" w:rsidP="00836582">
            <w:pPr>
              <w:jc w:val="right"/>
              <w:rPr>
                <w:rFonts w:ascii="Arial" w:hAnsi="Arial" w:cs="Arial"/>
                <w:bCs/>
                <w:sz w:val="21"/>
                <w:szCs w:val="21"/>
              </w:rPr>
            </w:pPr>
          </w:p>
        </w:tc>
        <w:tc>
          <w:tcPr>
            <w:tcW w:w="876" w:type="dxa"/>
            <w:tcBorders>
              <w:top w:val="nil"/>
              <w:left w:val="nil"/>
              <w:bottom w:val="nil"/>
              <w:right w:val="nil"/>
            </w:tcBorders>
          </w:tcPr>
          <w:p w14:paraId="1B86040A" w14:textId="0CF0CADD" w:rsidR="00EF5FDB" w:rsidRPr="00826530" w:rsidRDefault="00EF5FDB" w:rsidP="00836582">
            <w:pPr>
              <w:jc w:val="center"/>
              <w:rPr>
                <w:rFonts w:ascii="Arial" w:hAnsi="Arial" w:cs="Arial"/>
                <w:bCs/>
                <w:sz w:val="21"/>
                <w:szCs w:val="21"/>
              </w:rPr>
            </w:pPr>
            <w:r w:rsidRPr="00826530">
              <w:rPr>
                <w:rFonts w:ascii="Arial" w:hAnsi="Arial" w:cs="Arial"/>
                <w:bCs/>
                <w:sz w:val="21"/>
                <w:szCs w:val="21"/>
              </w:rPr>
              <w:t>0.</w:t>
            </w:r>
            <w:r w:rsidR="007D37AA" w:rsidRPr="00826530">
              <w:rPr>
                <w:rFonts w:ascii="Arial" w:hAnsi="Arial" w:cs="Arial"/>
                <w:bCs/>
                <w:sz w:val="21"/>
                <w:szCs w:val="21"/>
              </w:rPr>
              <w:t>3</w:t>
            </w:r>
            <w:r w:rsidR="001106F2" w:rsidRPr="00826530">
              <w:rPr>
                <w:rFonts w:ascii="Arial" w:hAnsi="Arial" w:cs="Arial"/>
                <w:bCs/>
                <w:sz w:val="21"/>
                <w:szCs w:val="21"/>
              </w:rPr>
              <w:t>9</w:t>
            </w:r>
          </w:p>
        </w:tc>
        <w:tc>
          <w:tcPr>
            <w:tcW w:w="756" w:type="dxa"/>
            <w:tcBorders>
              <w:top w:val="nil"/>
              <w:left w:val="nil"/>
              <w:bottom w:val="nil"/>
              <w:right w:val="nil"/>
            </w:tcBorders>
          </w:tcPr>
          <w:p w14:paraId="7F55A216" w14:textId="6CA0CA87"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7D37AA" w:rsidRPr="00826530">
              <w:rPr>
                <w:rFonts w:ascii="Arial" w:hAnsi="Arial" w:cs="Arial"/>
                <w:b/>
                <w:sz w:val="21"/>
                <w:szCs w:val="21"/>
              </w:rPr>
              <w:t>1</w:t>
            </w:r>
            <w:r w:rsidR="001106F2" w:rsidRPr="00826530">
              <w:rPr>
                <w:rFonts w:ascii="Arial" w:hAnsi="Arial" w:cs="Arial"/>
                <w:b/>
                <w:sz w:val="21"/>
                <w:szCs w:val="21"/>
              </w:rPr>
              <w:t>9</w:t>
            </w:r>
          </w:p>
        </w:tc>
        <w:tc>
          <w:tcPr>
            <w:tcW w:w="756" w:type="dxa"/>
            <w:tcBorders>
              <w:top w:val="nil"/>
              <w:left w:val="nil"/>
              <w:bottom w:val="nil"/>
            </w:tcBorders>
          </w:tcPr>
          <w:p w14:paraId="12D248AA" w14:textId="3C083AD2"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1106F2" w:rsidRPr="00826530">
              <w:rPr>
                <w:rFonts w:ascii="Arial" w:hAnsi="Arial" w:cs="Arial"/>
                <w:b/>
                <w:sz w:val="21"/>
                <w:szCs w:val="21"/>
              </w:rPr>
              <w:t>.82</w:t>
            </w:r>
          </w:p>
        </w:tc>
      </w:tr>
      <w:tr w:rsidR="007D37AA" w:rsidRPr="00826530" w14:paraId="3F57469D" w14:textId="69B8D79B" w:rsidTr="001106F2">
        <w:trPr>
          <w:trHeight w:val="233"/>
        </w:trPr>
        <w:tc>
          <w:tcPr>
            <w:tcW w:w="4950" w:type="dxa"/>
            <w:gridSpan w:val="2"/>
            <w:tcBorders>
              <w:bottom w:val="single" w:sz="4" w:space="0" w:color="auto"/>
              <w:right w:val="nil"/>
            </w:tcBorders>
            <w:vAlign w:val="center"/>
          </w:tcPr>
          <w:p w14:paraId="561AF1A7" w14:textId="77777777" w:rsidR="00EF5FDB" w:rsidRPr="00826530" w:rsidRDefault="00EF5FDB" w:rsidP="00836582">
            <w:pPr>
              <w:rPr>
                <w:rFonts w:ascii="Arial" w:hAnsi="Arial" w:cs="Arial"/>
                <w:sz w:val="21"/>
                <w:szCs w:val="21"/>
              </w:rPr>
            </w:pPr>
            <w:r w:rsidRPr="00826530">
              <w:rPr>
                <w:rFonts w:ascii="Arial" w:hAnsi="Arial" w:cs="Arial"/>
                <w:b/>
                <w:sz w:val="21"/>
                <w:szCs w:val="21"/>
              </w:rPr>
              <w:t>Sexual behaviours (p6m)</w:t>
            </w:r>
          </w:p>
        </w:tc>
        <w:tc>
          <w:tcPr>
            <w:tcW w:w="876" w:type="dxa"/>
            <w:tcBorders>
              <w:left w:val="nil"/>
              <w:bottom w:val="single" w:sz="4" w:space="0" w:color="auto"/>
              <w:right w:val="nil"/>
            </w:tcBorders>
          </w:tcPr>
          <w:p w14:paraId="62B568EF"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right w:val="nil"/>
            </w:tcBorders>
          </w:tcPr>
          <w:p w14:paraId="64878DC9"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tcBorders>
          </w:tcPr>
          <w:p w14:paraId="733440E7" w14:textId="77777777" w:rsidR="00EF5FDB" w:rsidRPr="00826530" w:rsidRDefault="00EF5FDB" w:rsidP="00836582">
            <w:pPr>
              <w:jc w:val="center"/>
              <w:rPr>
                <w:rFonts w:ascii="Arial" w:hAnsi="Arial" w:cs="Arial"/>
                <w:sz w:val="21"/>
                <w:szCs w:val="21"/>
              </w:rPr>
            </w:pPr>
          </w:p>
        </w:tc>
      </w:tr>
      <w:tr w:rsidR="007D37AA" w:rsidRPr="00826530" w14:paraId="2BF365C9" w14:textId="0D02F746" w:rsidTr="001106F2">
        <w:trPr>
          <w:trHeight w:val="233"/>
        </w:trPr>
        <w:tc>
          <w:tcPr>
            <w:tcW w:w="4950" w:type="dxa"/>
            <w:gridSpan w:val="2"/>
            <w:tcBorders>
              <w:top w:val="nil"/>
              <w:bottom w:val="nil"/>
              <w:right w:val="nil"/>
            </w:tcBorders>
          </w:tcPr>
          <w:p w14:paraId="1FE112C3" w14:textId="391E8199" w:rsidR="00EF5FDB" w:rsidRPr="00826530" w:rsidRDefault="00EF5FDB" w:rsidP="00836582">
            <w:pPr>
              <w:rPr>
                <w:rFonts w:ascii="Arial" w:hAnsi="Arial" w:cs="Arial"/>
                <w:sz w:val="21"/>
                <w:szCs w:val="21"/>
              </w:rPr>
            </w:pPr>
            <w:r w:rsidRPr="00826530">
              <w:rPr>
                <w:rFonts w:ascii="Arial" w:hAnsi="Arial" w:cs="Arial"/>
                <w:sz w:val="21"/>
                <w:szCs w:val="21"/>
              </w:rPr>
              <w:t xml:space="preserve">Use Internet Sites to Seek Sex </w:t>
            </w:r>
            <w:r w:rsidR="00F9220D" w:rsidRPr="00826530">
              <w:rPr>
                <w:rFonts w:ascii="Arial" w:hAnsi="Arial" w:cs="Arial"/>
                <w:sz w:val="21"/>
                <w:szCs w:val="21"/>
                <w:vertAlign w:val="superscript"/>
              </w:rPr>
              <w:t>1</w:t>
            </w:r>
            <w:r w:rsidRPr="00826530">
              <w:rPr>
                <w:rFonts w:ascii="Arial" w:hAnsi="Arial" w:cs="Arial"/>
                <w:sz w:val="21"/>
                <w:szCs w:val="21"/>
              </w:rPr>
              <w:t xml:space="preserve"> </w:t>
            </w:r>
          </w:p>
        </w:tc>
        <w:tc>
          <w:tcPr>
            <w:tcW w:w="876" w:type="dxa"/>
            <w:tcBorders>
              <w:top w:val="nil"/>
              <w:left w:val="nil"/>
              <w:bottom w:val="nil"/>
              <w:right w:val="nil"/>
            </w:tcBorders>
          </w:tcPr>
          <w:p w14:paraId="18999184" w14:textId="352188CD" w:rsidR="00EF5FDB" w:rsidRPr="00826530" w:rsidRDefault="00EF5FDB" w:rsidP="00836582">
            <w:pPr>
              <w:jc w:val="center"/>
              <w:rPr>
                <w:rFonts w:ascii="Arial" w:hAnsi="Arial" w:cs="Arial"/>
                <w:sz w:val="21"/>
                <w:szCs w:val="21"/>
              </w:rPr>
            </w:pPr>
            <w:r w:rsidRPr="00826530">
              <w:rPr>
                <w:rFonts w:ascii="Arial" w:hAnsi="Arial" w:cs="Arial"/>
                <w:sz w:val="21"/>
                <w:szCs w:val="21"/>
              </w:rPr>
              <w:t>3.</w:t>
            </w:r>
            <w:r w:rsidR="007D37AA" w:rsidRPr="00826530">
              <w:rPr>
                <w:rFonts w:ascii="Arial" w:hAnsi="Arial" w:cs="Arial"/>
                <w:sz w:val="21"/>
                <w:szCs w:val="21"/>
              </w:rPr>
              <w:t>3</w:t>
            </w:r>
            <w:r w:rsidR="001106F2" w:rsidRPr="00826530">
              <w:rPr>
                <w:rFonts w:ascii="Arial" w:hAnsi="Arial" w:cs="Arial"/>
                <w:sz w:val="21"/>
                <w:szCs w:val="21"/>
              </w:rPr>
              <w:t>6</w:t>
            </w:r>
          </w:p>
        </w:tc>
        <w:tc>
          <w:tcPr>
            <w:tcW w:w="756" w:type="dxa"/>
            <w:tcBorders>
              <w:top w:val="nil"/>
              <w:left w:val="nil"/>
              <w:bottom w:val="nil"/>
              <w:right w:val="nil"/>
            </w:tcBorders>
          </w:tcPr>
          <w:p w14:paraId="56704427" w14:textId="39F5BC5D" w:rsidR="00EF5FDB" w:rsidRPr="00826530" w:rsidRDefault="00EF5FDB" w:rsidP="00836582">
            <w:pPr>
              <w:jc w:val="center"/>
              <w:rPr>
                <w:rFonts w:ascii="Arial" w:hAnsi="Arial" w:cs="Arial"/>
                <w:b/>
                <w:sz w:val="21"/>
                <w:szCs w:val="21"/>
              </w:rPr>
            </w:pPr>
            <w:r w:rsidRPr="00826530">
              <w:rPr>
                <w:rFonts w:ascii="Arial" w:hAnsi="Arial" w:cs="Arial"/>
                <w:b/>
                <w:sz w:val="21"/>
                <w:szCs w:val="21"/>
              </w:rPr>
              <w:t>1.</w:t>
            </w:r>
            <w:r w:rsidR="007D37AA" w:rsidRPr="00826530">
              <w:rPr>
                <w:rFonts w:ascii="Arial" w:hAnsi="Arial" w:cs="Arial"/>
                <w:b/>
                <w:sz w:val="21"/>
                <w:szCs w:val="21"/>
              </w:rPr>
              <w:t>77</w:t>
            </w:r>
          </w:p>
        </w:tc>
        <w:tc>
          <w:tcPr>
            <w:tcW w:w="756" w:type="dxa"/>
            <w:tcBorders>
              <w:top w:val="nil"/>
              <w:left w:val="nil"/>
              <w:bottom w:val="nil"/>
            </w:tcBorders>
          </w:tcPr>
          <w:p w14:paraId="45D4E310" w14:textId="443BF289" w:rsidR="00EF5FDB" w:rsidRPr="00826530" w:rsidRDefault="007D37AA" w:rsidP="00836582">
            <w:pPr>
              <w:jc w:val="center"/>
              <w:rPr>
                <w:rFonts w:ascii="Arial" w:hAnsi="Arial" w:cs="Arial"/>
                <w:b/>
                <w:sz w:val="21"/>
                <w:szCs w:val="21"/>
              </w:rPr>
            </w:pPr>
            <w:r w:rsidRPr="00826530">
              <w:rPr>
                <w:rFonts w:ascii="Arial" w:hAnsi="Arial" w:cs="Arial"/>
                <w:b/>
                <w:sz w:val="21"/>
                <w:szCs w:val="21"/>
              </w:rPr>
              <w:t>6</w:t>
            </w:r>
            <w:r w:rsidR="00EF5FDB" w:rsidRPr="00826530">
              <w:rPr>
                <w:rFonts w:ascii="Arial" w:hAnsi="Arial" w:cs="Arial"/>
                <w:b/>
                <w:sz w:val="21"/>
                <w:szCs w:val="21"/>
              </w:rPr>
              <w:t>.</w:t>
            </w:r>
            <w:r w:rsidR="001106F2" w:rsidRPr="00826530">
              <w:rPr>
                <w:rFonts w:ascii="Arial" w:hAnsi="Arial" w:cs="Arial"/>
                <w:b/>
                <w:sz w:val="21"/>
                <w:szCs w:val="21"/>
              </w:rPr>
              <w:t>00</w:t>
            </w:r>
          </w:p>
        </w:tc>
      </w:tr>
      <w:tr w:rsidR="001106F2" w:rsidRPr="00826530" w14:paraId="7422E41B" w14:textId="77777777" w:rsidTr="001106F2">
        <w:trPr>
          <w:trHeight w:val="233"/>
        </w:trPr>
        <w:tc>
          <w:tcPr>
            <w:tcW w:w="4950" w:type="dxa"/>
            <w:gridSpan w:val="2"/>
            <w:tcBorders>
              <w:top w:val="nil"/>
              <w:bottom w:val="nil"/>
              <w:right w:val="nil"/>
            </w:tcBorders>
          </w:tcPr>
          <w:p w14:paraId="514CA665" w14:textId="15DDDAFE" w:rsidR="001106F2" w:rsidRPr="00826530" w:rsidRDefault="001106F2" w:rsidP="001106F2">
            <w:pPr>
              <w:rPr>
                <w:rFonts w:ascii="Arial" w:hAnsi="Arial" w:cs="Arial"/>
                <w:sz w:val="21"/>
                <w:szCs w:val="21"/>
              </w:rPr>
            </w:pPr>
            <w:r w:rsidRPr="00826530">
              <w:rPr>
                <w:rFonts w:ascii="Arial" w:hAnsi="Arial" w:cs="Arial"/>
                <w:sz w:val="21"/>
                <w:szCs w:val="21"/>
              </w:rPr>
              <w:t xml:space="preserve">Use Chat Lines to Seek Sex </w:t>
            </w:r>
            <w:r w:rsidRPr="00826530">
              <w:rPr>
                <w:rFonts w:ascii="Arial" w:hAnsi="Arial" w:cs="Arial"/>
                <w:sz w:val="21"/>
                <w:szCs w:val="21"/>
                <w:vertAlign w:val="superscript"/>
              </w:rPr>
              <w:t>1</w:t>
            </w:r>
            <w:r w:rsidRPr="00826530">
              <w:rPr>
                <w:rFonts w:ascii="Arial" w:hAnsi="Arial" w:cs="Arial"/>
                <w:sz w:val="21"/>
                <w:szCs w:val="21"/>
              </w:rPr>
              <w:t xml:space="preserve"> </w:t>
            </w:r>
          </w:p>
        </w:tc>
        <w:tc>
          <w:tcPr>
            <w:tcW w:w="876" w:type="dxa"/>
            <w:tcBorders>
              <w:top w:val="nil"/>
              <w:left w:val="nil"/>
              <w:bottom w:val="nil"/>
              <w:right w:val="nil"/>
            </w:tcBorders>
          </w:tcPr>
          <w:p w14:paraId="04984BF5" w14:textId="6F9759A3" w:rsidR="001106F2" w:rsidRPr="00826530" w:rsidRDefault="001106F2" w:rsidP="001106F2">
            <w:pPr>
              <w:jc w:val="center"/>
              <w:rPr>
                <w:rFonts w:ascii="Arial" w:hAnsi="Arial" w:cs="Arial"/>
                <w:sz w:val="21"/>
                <w:szCs w:val="21"/>
              </w:rPr>
            </w:pPr>
            <w:r w:rsidRPr="00826530">
              <w:rPr>
                <w:rFonts w:ascii="Arial" w:hAnsi="Arial" w:cs="Arial"/>
                <w:sz w:val="21"/>
                <w:szCs w:val="21"/>
              </w:rPr>
              <w:t>2.61</w:t>
            </w:r>
          </w:p>
        </w:tc>
        <w:tc>
          <w:tcPr>
            <w:tcW w:w="756" w:type="dxa"/>
            <w:tcBorders>
              <w:top w:val="nil"/>
              <w:left w:val="nil"/>
              <w:bottom w:val="nil"/>
              <w:right w:val="nil"/>
            </w:tcBorders>
          </w:tcPr>
          <w:p w14:paraId="61A6B29F" w14:textId="779CB41B" w:rsidR="001106F2" w:rsidRPr="00826530" w:rsidRDefault="001106F2" w:rsidP="001106F2">
            <w:pPr>
              <w:jc w:val="center"/>
              <w:rPr>
                <w:rFonts w:ascii="Arial" w:hAnsi="Arial" w:cs="Arial"/>
                <w:sz w:val="21"/>
                <w:szCs w:val="21"/>
              </w:rPr>
            </w:pPr>
            <w:r w:rsidRPr="00826530">
              <w:rPr>
                <w:rFonts w:ascii="Arial" w:hAnsi="Arial" w:cs="Arial"/>
                <w:sz w:val="21"/>
                <w:szCs w:val="21"/>
              </w:rPr>
              <w:t>0.95</w:t>
            </w:r>
          </w:p>
        </w:tc>
        <w:tc>
          <w:tcPr>
            <w:tcW w:w="756" w:type="dxa"/>
            <w:tcBorders>
              <w:top w:val="nil"/>
              <w:left w:val="nil"/>
              <w:bottom w:val="nil"/>
            </w:tcBorders>
          </w:tcPr>
          <w:p w14:paraId="531F5594" w14:textId="1CB3FC83" w:rsidR="001106F2" w:rsidRPr="00826530" w:rsidRDefault="001106F2" w:rsidP="001106F2">
            <w:pPr>
              <w:jc w:val="center"/>
              <w:rPr>
                <w:rFonts w:ascii="Arial" w:hAnsi="Arial" w:cs="Arial"/>
                <w:sz w:val="21"/>
                <w:szCs w:val="21"/>
              </w:rPr>
            </w:pPr>
            <w:r w:rsidRPr="00826530">
              <w:rPr>
                <w:rFonts w:ascii="Arial" w:hAnsi="Arial" w:cs="Arial"/>
                <w:sz w:val="21"/>
                <w:szCs w:val="21"/>
              </w:rPr>
              <w:t>7.18</w:t>
            </w:r>
          </w:p>
        </w:tc>
      </w:tr>
      <w:tr w:rsidR="007D37AA" w:rsidRPr="00826530" w14:paraId="4D72DE39" w14:textId="1317C437" w:rsidTr="001106F2">
        <w:trPr>
          <w:trHeight w:val="233"/>
        </w:trPr>
        <w:tc>
          <w:tcPr>
            <w:tcW w:w="4950" w:type="dxa"/>
            <w:gridSpan w:val="2"/>
            <w:tcBorders>
              <w:top w:val="nil"/>
              <w:bottom w:val="nil"/>
              <w:right w:val="nil"/>
            </w:tcBorders>
          </w:tcPr>
          <w:p w14:paraId="33948CCA" w14:textId="3DF3991D" w:rsidR="00EF5FDB" w:rsidRPr="00826530" w:rsidRDefault="00EF5FDB" w:rsidP="00836582">
            <w:pPr>
              <w:rPr>
                <w:rFonts w:ascii="Arial" w:hAnsi="Arial" w:cs="Arial"/>
                <w:sz w:val="21"/>
                <w:szCs w:val="21"/>
              </w:rPr>
            </w:pPr>
            <w:r w:rsidRPr="00826530">
              <w:rPr>
                <w:rFonts w:ascii="Arial" w:hAnsi="Arial" w:cs="Arial"/>
                <w:sz w:val="21"/>
                <w:szCs w:val="21"/>
              </w:rPr>
              <w:t xml:space="preserve">Attended </w:t>
            </w:r>
            <w:r w:rsidR="007D37AA" w:rsidRPr="00826530">
              <w:rPr>
                <w:rFonts w:ascii="Arial" w:hAnsi="Arial" w:cs="Arial"/>
                <w:sz w:val="21"/>
                <w:szCs w:val="21"/>
              </w:rPr>
              <w:t>S</w:t>
            </w:r>
            <w:r w:rsidRPr="00826530">
              <w:rPr>
                <w:rFonts w:ascii="Arial" w:hAnsi="Arial" w:cs="Arial"/>
                <w:sz w:val="21"/>
                <w:szCs w:val="21"/>
              </w:rPr>
              <w:t xml:space="preserve">ex </w:t>
            </w:r>
            <w:r w:rsidR="007D37AA" w:rsidRPr="00826530">
              <w:rPr>
                <w:rFonts w:ascii="Arial" w:hAnsi="Arial" w:cs="Arial"/>
                <w:sz w:val="21"/>
                <w:szCs w:val="21"/>
              </w:rPr>
              <w:t>P</w:t>
            </w:r>
            <w:r w:rsidRPr="00826530">
              <w:rPr>
                <w:rFonts w:ascii="Arial" w:hAnsi="Arial" w:cs="Arial"/>
                <w:sz w:val="21"/>
                <w:szCs w:val="21"/>
              </w:rPr>
              <w:t xml:space="preserve">arties </w:t>
            </w:r>
            <w:r w:rsidR="00F9220D" w:rsidRPr="00826530">
              <w:rPr>
                <w:rFonts w:ascii="Arial" w:hAnsi="Arial" w:cs="Arial"/>
                <w:sz w:val="21"/>
                <w:szCs w:val="21"/>
                <w:vertAlign w:val="superscript"/>
              </w:rPr>
              <w:t>1</w:t>
            </w:r>
          </w:p>
        </w:tc>
        <w:tc>
          <w:tcPr>
            <w:tcW w:w="876" w:type="dxa"/>
            <w:tcBorders>
              <w:top w:val="nil"/>
              <w:left w:val="nil"/>
              <w:bottom w:val="nil"/>
              <w:right w:val="nil"/>
            </w:tcBorders>
          </w:tcPr>
          <w:p w14:paraId="64E9E0C5" w14:textId="50316DF6" w:rsidR="00EF5FDB" w:rsidRPr="00826530" w:rsidRDefault="007D37AA" w:rsidP="00836582">
            <w:pPr>
              <w:jc w:val="center"/>
              <w:rPr>
                <w:rFonts w:ascii="Arial" w:hAnsi="Arial" w:cs="Arial"/>
                <w:sz w:val="21"/>
                <w:szCs w:val="21"/>
              </w:rPr>
            </w:pPr>
            <w:r w:rsidRPr="00826530">
              <w:rPr>
                <w:rFonts w:ascii="Arial" w:hAnsi="Arial" w:cs="Arial"/>
                <w:sz w:val="21"/>
                <w:szCs w:val="21"/>
              </w:rPr>
              <w:t>3.</w:t>
            </w:r>
            <w:r w:rsidR="001106F2" w:rsidRPr="00826530">
              <w:rPr>
                <w:rFonts w:ascii="Arial" w:hAnsi="Arial" w:cs="Arial"/>
                <w:sz w:val="21"/>
                <w:szCs w:val="21"/>
              </w:rPr>
              <w:t>65</w:t>
            </w:r>
          </w:p>
        </w:tc>
        <w:tc>
          <w:tcPr>
            <w:tcW w:w="756" w:type="dxa"/>
            <w:tcBorders>
              <w:top w:val="nil"/>
              <w:left w:val="nil"/>
              <w:bottom w:val="nil"/>
              <w:right w:val="nil"/>
            </w:tcBorders>
          </w:tcPr>
          <w:p w14:paraId="7B60D907" w14:textId="7BF9E23E" w:rsidR="00EF5FDB" w:rsidRPr="00826530" w:rsidRDefault="001106F2" w:rsidP="00836582">
            <w:pPr>
              <w:jc w:val="center"/>
              <w:rPr>
                <w:rFonts w:ascii="Arial" w:hAnsi="Arial" w:cs="Arial"/>
                <w:b/>
                <w:sz w:val="21"/>
                <w:szCs w:val="21"/>
              </w:rPr>
            </w:pPr>
            <w:r w:rsidRPr="00826530">
              <w:rPr>
                <w:rFonts w:ascii="Arial" w:hAnsi="Arial" w:cs="Arial"/>
                <w:b/>
                <w:sz w:val="21"/>
                <w:szCs w:val="21"/>
              </w:rPr>
              <w:t>2</w:t>
            </w:r>
            <w:r w:rsidR="00EF5FDB" w:rsidRPr="00826530">
              <w:rPr>
                <w:rFonts w:ascii="Arial" w:hAnsi="Arial" w:cs="Arial"/>
                <w:b/>
                <w:sz w:val="21"/>
                <w:szCs w:val="21"/>
              </w:rPr>
              <w:t>.</w:t>
            </w:r>
            <w:r w:rsidRPr="00826530">
              <w:rPr>
                <w:rFonts w:ascii="Arial" w:hAnsi="Arial" w:cs="Arial"/>
                <w:b/>
                <w:sz w:val="21"/>
                <w:szCs w:val="21"/>
              </w:rPr>
              <w:t>14</w:t>
            </w:r>
          </w:p>
        </w:tc>
        <w:tc>
          <w:tcPr>
            <w:tcW w:w="756" w:type="dxa"/>
            <w:tcBorders>
              <w:top w:val="nil"/>
              <w:left w:val="nil"/>
              <w:bottom w:val="nil"/>
            </w:tcBorders>
          </w:tcPr>
          <w:p w14:paraId="11CF3EEF" w14:textId="3FF66A71" w:rsidR="00EF5FDB" w:rsidRPr="00826530" w:rsidRDefault="001106F2" w:rsidP="00836582">
            <w:pPr>
              <w:jc w:val="center"/>
              <w:rPr>
                <w:rFonts w:ascii="Arial" w:hAnsi="Arial" w:cs="Arial"/>
                <w:b/>
                <w:sz w:val="21"/>
                <w:szCs w:val="21"/>
              </w:rPr>
            </w:pPr>
            <w:r w:rsidRPr="00826530">
              <w:rPr>
                <w:rFonts w:ascii="Arial" w:hAnsi="Arial" w:cs="Arial"/>
                <w:b/>
                <w:sz w:val="21"/>
                <w:szCs w:val="21"/>
              </w:rPr>
              <w:t>6</w:t>
            </w:r>
            <w:r w:rsidR="00EF5FDB" w:rsidRPr="00826530">
              <w:rPr>
                <w:rFonts w:ascii="Arial" w:hAnsi="Arial" w:cs="Arial"/>
                <w:b/>
                <w:sz w:val="21"/>
                <w:szCs w:val="21"/>
              </w:rPr>
              <w:t>.</w:t>
            </w:r>
            <w:r w:rsidRPr="00826530">
              <w:rPr>
                <w:rFonts w:ascii="Arial" w:hAnsi="Arial" w:cs="Arial"/>
                <w:b/>
                <w:sz w:val="21"/>
                <w:szCs w:val="21"/>
              </w:rPr>
              <w:t>22</w:t>
            </w:r>
          </w:p>
        </w:tc>
      </w:tr>
      <w:tr w:rsidR="007D37AA" w:rsidRPr="00826530" w14:paraId="128AEE3B" w14:textId="56AE1F34" w:rsidTr="00BB1937">
        <w:trPr>
          <w:trHeight w:val="233"/>
        </w:trPr>
        <w:tc>
          <w:tcPr>
            <w:tcW w:w="3119" w:type="dxa"/>
            <w:tcBorders>
              <w:top w:val="nil"/>
              <w:bottom w:val="nil"/>
              <w:right w:val="nil"/>
            </w:tcBorders>
          </w:tcPr>
          <w:p w14:paraId="4AC41423" w14:textId="54A54C38" w:rsidR="00EF5FDB" w:rsidRPr="00826530" w:rsidRDefault="007D37AA" w:rsidP="00836582">
            <w:pPr>
              <w:rPr>
                <w:rFonts w:ascii="Arial" w:hAnsi="Arial" w:cs="Arial"/>
                <w:sz w:val="21"/>
                <w:szCs w:val="21"/>
              </w:rPr>
            </w:pPr>
            <w:r w:rsidRPr="00826530">
              <w:rPr>
                <w:rFonts w:ascii="Arial" w:hAnsi="Arial" w:cs="Arial"/>
                <w:sz w:val="21"/>
                <w:szCs w:val="21"/>
              </w:rPr>
              <w:t xml:space="preserve">CAS with </w:t>
            </w:r>
            <w:r w:rsidR="001106F2" w:rsidRPr="00826530">
              <w:rPr>
                <w:rFonts w:ascii="Arial" w:hAnsi="Arial" w:cs="Arial"/>
                <w:sz w:val="21"/>
                <w:szCs w:val="21"/>
              </w:rPr>
              <w:t>S</w:t>
            </w:r>
            <w:r w:rsidRPr="00826530">
              <w:rPr>
                <w:rFonts w:ascii="Arial" w:hAnsi="Arial" w:cs="Arial"/>
                <w:sz w:val="21"/>
                <w:szCs w:val="21"/>
              </w:rPr>
              <w:t>erodifferent/</w:t>
            </w:r>
            <w:r w:rsidR="001106F2" w:rsidRPr="00826530">
              <w:rPr>
                <w:rFonts w:ascii="Arial" w:hAnsi="Arial" w:cs="Arial"/>
                <w:sz w:val="21"/>
                <w:szCs w:val="21"/>
              </w:rPr>
              <w:t>U</w:t>
            </w:r>
            <w:r w:rsidRPr="00826530">
              <w:rPr>
                <w:rFonts w:ascii="Arial" w:hAnsi="Arial" w:cs="Arial"/>
                <w:sz w:val="21"/>
                <w:szCs w:val="21"/>
              </w:rPr>
              <w:t xml:space="preserve">nknown </w:t>
            </w:r>
            <w:r w:rsidR="001106F2" w:rsidRPr="00826530">
              <w:rPr>
                <w:rFonts w:ascii="Arial" w:hAnsi="Arial" w:cs="Arial"/>
                <w:sz w:val="21"/>
                <w:szCs w:val="21"/>
              </w:rPr>
              <w:t>P</w:t>
            </w:r>
            <w:r w:rsidRPr="00826530">
              <w:rPr>
                <w:rFonts w:ascii="Arial" w:hAnsi="Arial" w:cs="Arial"/>
                <w:sz w:val="21"/>
                <w:szCs w:val="21"/>
              </w:rPr>
              <w:t>artner</w:t>
            </w:r>
            <w:r w:rsidR="005C1D35" w:rsidRPr="00826530">
              <w:rPr>
                <w:rFonts w:ascii="Arial" w:hAnsi="Arial" w:cs="Arial"/>
                <w:sz w:val="21"/>
                <w:szCs w:val="21"/>
              </w:rPr>
              <w:t xml:space="preserve"> </w:t>
            </w:r>
            <w:r w:rsidR="005C1D35" w:rsidRPr="00826530">
              <w:rPr>
                <w:rFonts w:ascii="Arial" w:hAnsi="Arial" w:cs="Arial"/>
                <w:sz w:val="21"/>
                <w:szCs w:val="21"/>
                <w:vertAlign w:val="superscript"/>
              </w:rPr>
              <w:t>1</w:t>
            </w:r>
          </w:p>
        </w:tc>
        <w:tc>
          <w:tcPr>
            <w:tcW w:w="1831" w:type="dxa"/>
            <w:tcBorders>
              <w:top w:val="nil"/>
              <w:left w:val="nil"/>
              <w:bottom w:val="nil"/>
              <w:right w:val="nil"/>
            </w:tcBorders>
          </w:tcPr>
          <w:p w14:paraId="5F455DFA" w14:textId="4FBB6F1E" w:rsidR="00EF5FDB" w:rsidRPr="00826530" w:rsidRDefault="00EF5FDB" w:rsidP="00836582">
            <w:pPr>
              <w:jc w:val="right"/>
              <w:rPr>
                <w:rFonts w:ascii="Arial" w:hAnsi="Arial" w:cs="Arial"/>
                <w:sz w:val="21"/>
                <w:szCs w:val="21"/>
              </w:rPr>
            </w:pPr>
          </w:p>
        </w:tc>
        <w:tc>
          <w:tcPr>
            <w:tcW w:w="876" w:type="dxa"/>
            <w:tcBorders>
              <w:top w:val="nil"/>
              <w:left w:val="nil"/>
              <w:bottom w:val="nil"/>
              <w:right w:val="nil"/>
            </w:tcBorders>
          </w:tcPr>
          <w:p w14:paraId="033322CE" w14:textId="72DB88C0" w:rsidR="00EF5FDB" w:rsidRPr="00826530" w:rsidRDefault="001106F2" w:rsidP="00836582">
            <w:pPr>
              <w:jc w:val="center"/>
              <w:rPr>
                <w:rFonts w:ascii="Arial" w:hAnsi="Arial" w:cs="Arial"/>
                <w:sz w:val="21"/>
                <w:szCs w:val="21"/>
              </w:rPr>
            </w:pPr>
            <w:r w:rsidRPr="00826530">
              <w:rPr>
                <w:rFonts w:ascii="Arial" w:hAnsi="Arial" w:cs="Arial"/>
                <w:sz w:val="21"/>
                <w:szCs w:val="21"/>
              </w:rPr>
              <w:t>1.83</w:t>
            </w:r>
          </w:p>
        </w:tc>
        <w:tc>
          <w:tcPr>
            <w:tcW w:w="756" w:type="dxa"/>
            <w:tcBorders>
              <w:top w:val="nil"/>
              <w:left w:val="nil"/>
              <w:bottom w:val="nil"/>
              <w:right w:val="nil"/>
            </w:tcBorders>
          </w:tcPr>
          <w:p w14:paraId="5BCAEA4A" w14:textId="63FA9710" w:rsidR="00EF5FDB" w:rsidRPr="00826530" w:rsidRDefault="007D37AA" w:rsidP="00836582">
            <w:pPr>
              <w:jc w:val="center"/>
              <w:rPr>
                <w:rFonts w:ascii="Arial" w:hAnsi="Arial" w:cs="Arial"/>
                <w:b/>
                <w:bCs/>
                <w:sz w:val="21"/>
                <w:szCs w:val="21"/>
              </w:rPr>
            </w:pPr>
            <w:r w:rsidRPr="00826530">
              <w:rPr>
                <w:rFonts w:ascii="Arial" w:hAnsi="Arial" w:cs="Arial"/>
                <w:b/>
                <w:bCs/>
                <w:sz w:val="21"/>
                <w:szCs w:val="21"/>
              </w:rPr>
              <w:t>1.</w:t>
            </w:r>
            <w:r w:rsidR="001106F2" w:rsidRPr="00826530">
              <w:rPr>
                <w:rFonts w:ascii="Arial" w:hAnsi="Arial" w:cs="Arial"/>
                <w:b/>
                <w:bCs/>
                <w:sz w:val="21"/>
                <w:szCs w:val="21"/>
              </w:rPr>
              <w:t>0</w:t>
            </w:r>
            <w:r w:rsidRPr="00826530">
              <w:rPr>
                <w:rFonts w:ascii="Arial" w:hAnsi="Arial" w:cs="Arial"/>
                <w:b/>
                <w:bCs/>
                <w:sz w:val="21"/>
                <w:szCs w:val="21"/>
              </w:rPr>
              <w:t>3</w:t>
            </w:r>
          </w:p>
        </w:tc>
        <w:tc>
          <w:tcPr>
            <w:tcW w:w="756" w:type="dxa"/>
            <w:tcBorders>
              <w:top w:val="nil"/>
              <w:left w:val="nil"/>
              <w:bottom w:val="nil"/>
            </w:tcBorders>
          </w:tcPr>
          <w:p w14:paraId="70EFF98F" w14:textId="49A4B403" w:rsidR="00EF5FDB" w:rsidRPr="00826530" w:rsidRDefault="001106F2" w:rsidP="00836582">
            <w:pPr>
              <w:jc w:val="center"/>
              <w:rPr>
                <w:rFonts w:ascii="Arial" w:hAnsi="Arial" w:cs="Arial"/>
                <w:b/>
                <w:bCs/>
                <w:sz w:val="21"/>
                <w:szCs w:val="21"/>
              </w:rPr>
            </w:pPr>
            <w:r w:rsidRPr="00826530">
              <w:rPr>
                <w:rFonts w:ascii="Arial" w:hAnsi="Arial" w:cs="Arial"/>
                <w:b/>
                <w:bCs/>
                <w:sz w:val="21"/>
                <w:szCs w:val="21"/>
              </w:rPr>
              <w:t>3</w:t>
            </w:r>
            <w:r w:rsidR="007D37AA" w:rsidRPr="00826530">
              <w:rPr>
                <w:rFonts w:ascii="Arial" w:hAnsi="Arial" w:cs="Arial"/>
                <w:b/>
                <w:bCs/>
                <w:sz w:val="21"/>
                <w:szCs w:val="21"/>
              </w:rPr>
              <w:t>.</w:t>
            </w:r>
            <w:r w:rsidRPr="00826530">
              <w:rPr>
                <w:rFonts w:ascii="Arial" w:hAnsi="Arial" w:cs="Arial"/>
                <w:b/>
                <w:bCs/>
                <w:sz w:val="21"/>
                <w:szCs w:val="21"/>
              </w:rPr>
              <w:t>26</w:t>
            </w:r>
          </w:p>
        </w:tc>
      </w:tr>
      <w:tr w:rsidR="001106F2" w:rsidRPr="00826530" w14:paraId="7E86E680" w14:textId="77777777" w:rsidTr="00BB1937">
        <w:trPr>
          <w:trHeight w:val="233"/>
        </w:trPr>
        <w:tc>
          <w:tcPr>
            <w:tcW w:w="3119" w:type="dxa"/>
            <w:tcBorders>
              <w:top w:val="nil"/>
              <w:bottom w:val="nil"/>
              <w:right w:val="nil"/>
            </w:tcBorders>
          </w:tcPr>
          <w:p w14:paraId="5FC3EEA8" w14:textId="756EB720" w:rsidR="001106F2" w:rsidRPr="00826530" w:rsidRDefault="001106F2" w:rsidP="00836582">
            <w:pPr>
              <w:rPr>
                <w:rFonts w:ascii="Arial" w:hAnsi="Arial" w:cs="Arial"/>
                <w:sz w:val="21"/>
                <w:szCs w:val="21"/>
              </w:rPr>
            </w:pPr>
            <w:r w:rsidRPr="00826530">
              <w:rPr>
                <w:rFonts w:ascii="Arial" w:hAnsi="Arial" w:cs="Arial"/>
                <w:sz w:val="21"/>
                <w:szCs w:val="21"/>
              </w:rPr>
              <w:t>Anal Sex Role Preference</w:t>
            </w:r>
          </w:p>
        </w:tc>
        <w:tc>
          <w:tcPr>
            <w:tcW w:w="1831" w:type="dxa"/>
            <w:tcBorders>
              <w:top w:val="nil"/>
              <w:left w:val="nil"/>
              <w:bottom w:val="nil"/>
              <w:right w:val="nil"/>
            </w:tcBorders>
          </w:tcPr>
          <w:p w14:paraId="7AA78CAD" w14:textId="2F5FC6A4" w:rsidR="001106F2" w:rsidRPr="00826530" w:rsidRDefault="001106F2" w:rsidP="00836582">
            <w:pPr>
              <w:jc w:val="right"/>
              <w:rPr>
                <w:rFonts w:ascii="Arial" w:hAnsi="Arial" w:cs="Arial"/>
                <w:sz w:val="21"/>
                <w:szCs w:val="21"/>
              </w:rPr>
            </w:pPr>
            <w:r w:rsidRPr="00826530">
              <w:rPr>
                <w:rFonts w:ascii="Arial" w:hAnsi="Arial" w:cs="Arial"/>
                <w:sz w:val="21"/>
                <w:szCs w:val="21"/>
              </w:rPr>
              <w:t>Bottom</w:t>
            </w:r>
          </w:p>
        </w:tc>
        <w:tc>
          <w:tcPr>
            <w:tcW w:w="876" w:type="dxa"/>
            <w:tcBorders>
              <w:top w:val="nil"/>
              <w:left w:val="nil"/>
              <w:bottom w:val="nil"/>
              <w:right w:val="nil"/>
            </w:tcBorders>
          </w:tcPr>
          <w:p w14:paraId="08CCCD66" w14:textId="014F20DF" w:rsidR="001106F2" w:rsidRPr="00826530" w:rsidRDefault="001106F2" w:rsidP="00836582">
            <w:pPr>
              <w:jc w:val="center"/>
              <w:rPr>
                <w:rFonts w:ascii="Arial" w:hAnsi="Arial" w:cs="Arial"/>
                <w:sz w:val="21"/>
                <w:szCs w:val="21"/>
              </w:rPr>
            </w:pPr>
            <w:r w:rsidRPr="00826530">
              <w:rPr>
                <w:rFonts w:ascii="Arial" w:hAnsi="Arial" w:cs="Arial"/>
                <w:sz w:val="21"/>
                <w:szCs w:val="21"/>
              </w:rPr>
              <w:t>Ref</w:t>
            </w:r>
          </w:p>
        </w:tc>
        <w:tc>
          <w:tcPr>
            <w:tcW w:w="756" w:type="dxa"/>
            <w:tcBorders>
              <w:top w:val="nil"/>
              <w:left w:val="nil"/>
              <w:bottom w:val="nil"/>
              <w:right w:val="nil"/>
            </w:tcBorders>
          </w:tcPr>
          <w:p w14:paraId="33F081F8" w14:textId="77777777" w:rsidR="001106F2" w:rsidRPr="00826530" w:rsidRDefault="001106F2" w:rsidP="00836582">
            <w:pPr>
              <w:jc w:val="center"/>
              <w:rPr>
                <w:rFonts w:ascii="Arial" w:hAnsi="Arial" w:cs="Arial"/>
                <w:b/>
                <w:bCs/>
                <w:sz w:val="21"/>
                <w:szCs w:val="21"/>
              </w:rPr>
            </w:pPr>
          </w:p>
        </w:tc>
        <w:tc>
          <w:tcPr>
            <w:tcW w:w="756" w:type="dxa"/>
            <w:tcBorders>
              <w:top w:val="nil"/>
              <w:left w:val="nil"/>
              <w:bottom w:val="nil"/>
            </w:tcBorders>
          </w:tcPr>
          <w:p w14:paraId="2CB6DE9D" w14:textId="77777777" w:rsidR="001106F2" w:rsidRPr="00826530" w:rsidRDefault="001106F2" w:rsidP="00836582">
            <w:pPr>
              <w:jc w:val="center"/>
              <w:rPr>
                <w:rFonts w:ascii="Arial" w:hAnsi="Arial" w:cs="Arial"/>
                <w:b/>
                <w:bCs/>
                <w:sz w:val="21"/>
                <w:szCs w:val="21"/>
              </w:rPr>
            </w:pPr>
          </w:p>
        </w:tc>
      </w:tr>
      <w:tr w:rsidR="001106F2" w:rsidRPr="00826530" w14:paraId="5D1DE1DF" w14:textId="77777777" w:rsidTr="00BB1937">
        <w:trPr>
          <w:trHeight w:val="233"/>
        </w:trPr>
        <w:tc>
          <w:tcPr>
            <w:tcW w:w="3119" w:type="dxa"/>
            <w:tcBorders>
              <w:top w:val="nil"/>
              <w:bottom w:val="nil"/>
              <w:right w:val="nil"/>
            </w:tcBorders>
          </w:tcPr>
          <w:p w14:paraId="33DFDA9F" w14:textId="77777777" w:rsidR="001106F2" w:rsidRPr="00826530" w:rsidRDefault="001106F2" w:rsidP="00836582">
            <w:pPr>
              <w:rPr>
                <w:rFonts w:ascii="Arial" w:hAnsi="Arial" w:cs="Arial"/>
                <w:sz w:val="21"/>
                <w:szCs w:val="21"/>
              </w:rPr>
            </w:pPr>
          </w:p>
        </w:tc>
        <w:tc>
          <w:tcPr>
            <w:tcW w:w="1831" w:type="dxa"/>
            <w:tcBorders>
              <w:top w:val="nil"/>
              <w:left w:val="nil"/>
              <w:bottom w:val="nil"/>
              <w:right w:val="nil"/>
            </w:tcBorders>
          </w:tcPr>
          <w:p w14:paraId="2DD2E359" w14:textId="2FB8D375" w:rsidR="001106F2" w:rsidRPr="00826530" w:rsidRDefault="001106F2" w:rsidP="00836582">
            <w:pPr>
              <w:jc w:val="right"/>
              <w:rPr>
                <w:rFonts w:ascii="Arial" w:hAnsi="Arial" w:cs="Arial"/>
                <w:sz w:val="21"/>
                <w:szCs w:val="21"/>
              </w:rPr>
            </w:pPr>
            <w:r w:rsidRPr="00826530">
              <w:rPr>
                <w:rFonts w:ascii="Arial" w:hAnsi="Arial" w:cs="Arial"/>
                <w:sz w:val="21"/>
                <w:szCs w:val="21"/>
              </w:rPr>
              <w:t>Versatile</w:t>
            </w:r>
          </w:p>
        </w:tc>
        <w:tc>
          <w:tcPr>
            <w:tcW w:w="876" w:type="dxa"/>
            <w:tcBorders>
              <w:top w:val="nil"/>
              <w:left w:val="nil"/>
              <w:bottom w:val="nil"/>
              <w:right w:val="nil"/>
            </w:tcBorders>
          </w:tcPr>
          <w:p w14:paraId="0E68A227" w14:textId="6028A8D1" w:rsidR="001106F2" w:rsidRPr="00826530" w:rsidRDefault="001106F2" w:rsidP="00836582">
            <w:pPr>
              <w:jc w:val="center"/>
              <w:rPr>
                <w:rFonts w:ascii="Arial" w:hAnsi="Arial" w:cs="Arial"/>
                <w:sz w:val="21"/>
                <w:szCs w:val="21"/>
              </w:rPr>
            </w:pPr>
            <w:r w:rsidRPr="00826530">
              <w:rPr>
                <w:rFonts w:ascii="Arial" w:hAnsi="Arial" w:cs="Arial"/>
                <w:sz w:val="21"/>
                <w:szCs w:val="21"/>
              </w:rPr>
              <w:t>1.91</w:t>
            </w:r>
          </w:p>
        </w:tc>
        <w:tc>
          <w:tcPr>
            <w:tcW w:w="756" w:type="dxa"/>
            <w:tcBorders>
              <w:top w:val="nil"/>
              <w:left w:val="nil"/>
              <w:bottom w:val="nil"/>
              <w:right w:val="nil"/>
            </w:tcBorders>
          </w:tcPr>
          <w:p w14:paraId="5F217D52" w14:textId="50F1DEEB" w:rsidR="001106F2" w:rsidRPr="00826530" w:rsidRDefault="001106F2" w:rsidP="00836582">
            <w:pPr>
              <w:jc w:val="center"/>
              <w:rPr>
                <w:rFonts w:ascii="Arial" w:hAnsi="Arial" w:cs="Arial"/>
                <w:sz w:val="21"/>
                <w:szCs w:val="21"/>
              </w:rPr>
            </w:pPr>
            <w:r w:rsidRPr="00826530">
              <w:rPr>
                <w:rFonts w:ascii="Arial" w:hAnsi="Arial" w:cs="Arial"/>
                <w:sz w:val="21"/>
                <w:szCs w:val="21"/>
              </w:rPr>
              <w:t>0.95</w:t>
            </w:r>
          </w:p>
        </w:tc>
        <w:tc>
          <w:tcPr>
            <w:tcW w:w="756" w:type="dxa"/>
            <w:tcBorders>
              <w:top w:val="nil"/>
              <w:left w:val="nil"/>
              <w:bottom w:val="nil"/>
            </w:tcBorders>
          </w:tcPr>
          <w:p w14:paraId="22D193C0" w14:textId="7DC862E4" w:rsidR="001106F2" w:rsidRPr="00826530" w:rsidRDefault="001106F2" w:rsidP="00836582">
            <w:pPr>
              <w:jc w:val="center"/>
              <w:rPr>
                <w:rFonts w:ascii="Arial" w:hAnsi="Arial" w:cs="Arial"/>
                <w:sz w:val="21"/>
                <w:szCs w:val="21"/>
              </w:rPr>
            </w:pPr>
            <w:r w:rsidRPr="00826530">
              <w:rPr>
                <w:rFonts w:ascii="Arial" w:hAnsi="Arial" w:cs="Arial"/>
                <w:sz w:val="21"/>
                <w:szCs w:val="21"/>
              </w:rPr>
              <w:t>3.83</w:t>
            </w:r>
          </w:p>
        </w:tc>
      </w:tr>
      <w:tr w:rsidR="001106F2" w:rsidRPr="00826530" w14:paraId="7270A232" w14:textId="77777777" w:rsidTr="00BB1937">
        <w:trPr>
          <w:trHeight w:val="233"/>
        </w:trPr>
        <w:tc>
          <w:tcPr>
            <w:tcW w:w="3119" w:type="dxa"/>
            <w:tcBorders>
              <w:top w:val="nil"/>
              <w:bottom w:val="nil"/>
              <w:right w:val="nil"/>
            </w:tcBorders>
          </w:tcPr>
          <w:p w14:paraId="1B8BF280" w14:textId="77777777" w:rsidR="001106F2" w:rsidRPr="00826530" w:rsidRDefault="001106F2" w:rsidP="00836582">
            <w:pPr>
              <w:rPr>
                <w:rFonts w:ascii="Arial" w:hAnsi="Arial" w:cs="Arial"/>
                <w:sz w:val="21"/>
                <w:szCs w:val="21"/>
              </w:rPr>
            </w:pPr>
          </w:p>
        </w:tc>
        <w:tc>
          <w:tcPr>
            <w:tcW w:w="1831" w:type="dxa"/>
            <w:tcBorders>
              <w:top w:val="nil"/>
              <w:left w:val="nil"/>
              <w:bottom w:val="nil"/>
              <w:right w:val="nil"/>
            </w:tcBorders>
          </w:tcPr>
          <w:p w14:paraId="62E2E8AC" w14:textId="70964B88" w:rsidR="001106F2" w:rsidRPr="00826530" w:rsidRDefault="001106F2" w:rsidP="00836582">
            <w:pPr>
              <w:jc w:val="right"/>
              <w:rPr>
                <w:rFonts w:ascii="Arial" w:hAnsi="Arial" w:cs="Arial"/>
                <w:sz w:val="21"/>
                <w:szCs w:val="21"/>
              </w:rPr>
            </w:pPr>
            <w:r w:rsidRPr="00826530">
              <w:rPr>
                <w:rFonts w:ascii="Arial" w:hAnsi="Arial" w:cs="Arial"/>
                <w:sz w:val="21"/>
                <w:szCs w:val="21"/>
              </w:rPr>
              <w:t>Top</w:t>
            </w:r>
          </w:p>
        </w:tc>
        <w:tc>
          <w:tcPr>
            <w:tcW w:w="876" w:type="dxa"/>
            <w:tcBorders>
              <w:top w:val="nil"/>
              <w:left w:val="nil"/>
              <w:bottom w:val="nil"/>
              <w:right w:val="nil"/>
            </w:tcBorders>
          </w:tcPr>
          <w:p w14:paraId="3604F5F6" w14:textId="2B10A8F9" w:rsidR="001106F2" w:rsidRPr="00826530" w:rsidRDefault="001106F2" w:rsidP="00836582">
            <w:pPr>
              <w:jc w:val="center"/>
              <w:rPr>
                <w:rFonts w:ascii="Arial" w:hAnsi="Arial" w:cs="Arial"/>
                <w:sz w:val="21"/>
                <w:szCs w:val="21"/>
              </w:rPr>
            </w:pPr>
            <w:r w:rsidRPr="00826530">
              <w:rPr>
                <w:rFonts w:ascii="Arial" w:hAnsi="Arial" w:cs="Arial"/>
                <w:sz w:val="21"/>
                <w:szCs w:val="21"/>
              </w:rPr>
              <w:t>1.23</w:t>
            </w:r>
          </w:p>
        </w:tc>
        <w:tc>
          <w:tcPr>
            <w:tcW w:w="756" w:type="dxa"/>
            <w:tcBorders>
              <w:top w:val="nil"/>
              <w:left w:val="nil"/>
              <w:bottom w:val="nil"/>
              <w:right w:val="nil"/>
            </w:tcBorders>
          </w:tcPr>
          <w:p w14:paraId="775CB249" w14:textId="1762EE51" w:rsidR="001106F2" w:rsidRPr="00826530" w:rsidRDefault="001106F2" w:rsidP="00836582">
            <w:pPr>
              <w:jc w:val="center"/>
              <w:rPr>
                <w:rFonts w:ascii="Arial" w:hAnsi="Arial" w:cs="Arial"/>
                <w:sz w:val="21"/>
                <w:szCs w:val="21"/>
              </w:rPr>
            </w:pPr>
            <w:r w:rsidRPr="00826530">
              <w:rPr>
                <w:rFonts w:ascii="Arial" w:hAnsi="Arial" w:cs="Arial"/>
                <w:sz w:val="21"/>
                <w:szCs w:val="21"/>
              </w:rPr>
              <w:t>0.58</w:t>
            </w:r>
          </w:p>
        </w:tc>
        <w:tc>
          <w:tcPr>
            <w:tcW w:w="756" w:type="dxa"/>
            <w:tcBorders>
              <w:top w:val="nil"/>
              <w:left w:val="nil"/>
              <w:bottom w:val="nil"/>
            </w:tcBorders>
          </w:tcPr>
          <w:p w14:paraId="3A308525" w14:textId="3E7439C8" w:rsidR="001106F2" w:rsidRPr="00826530" w:rsidRDefault="001106F2" w:rsidP="00836582">
            <w:pPr>
              <w:jc w:val="center"/>
              <w:rPr>
                <w:rFonts w:ascii="Arial" w:hAnsi="Arial" w:cs="Arial"/>
                <w:sz w:val="21"/>
                <w:szCs w:val="21"/>
              </w:rPr>
            </w:pPr>
            <w:r w:rsidRPr="00826530">
              <w:rPr>
                <w:rFonts w:ascii="Arial" w:hAnsi="Arial" w:cs="Arial"/>
                <w:sz w:val="21"/>
                <w:szCs w:val="21"/>
              </w:rPr>
              <w:t>2.58</w:t>
            </w:r>
          </w:p>
        </w:tc>
      </w:tr>
      <w:tr w:rsidR="001106F2" w:rsidRPr="00826530" w14:paraId="7B50F6D7" w14:textId="77777777" w:rsidTr="00BB1937">
        <w:trPr>
          <w:trHeight w:val="233"/>
        </w:trPr>
        <w:tc>
          <w:tcPr>
            <w:tcW w:w="3119" w:type="dxa"/>
            <w:tcBorders>
              <w:top w:val="nil"/>
              <w:bottom w:val="nil"/>
              <w:right w:val="nil"/>
            </w:tcBorders>
          </w:tcPr>
          <w:p w14:paraId="0E13A74E" w14:textId="77777777" w:rsidR="001106F2" w:rsidRPr="00826530" w:rsidRDefault="001106F2" w:rsidP="00836582">
            <w:pPr>
              <w:rPr>
                <w:rFonts w:ascii="Arial" w:hAnsi="Arial" w:cs="Arial"/>
                <w:sz w:val="21"/>
                <w:szCs w:val="21"/>
              </w:rPr>
            </w:pPr>
          </w:p>
        </w:tc>
        <w:tc>
          <w:tcPr>
            <w:tcW w:w="1831" w:type="dxa"/>
            <w:tcBorders>
              <w:top w:val="nil"/>
              <w:left w:val="nil"/>
              <w:bottom w:val="nil"/>
              <w:right w:val="nil"/>
            </w:tcBorders>
          </w:tcPr>
          <w:p w14:paraId="23061EEC" w14:textId="447E254E" w:rsidR="001106F2" w:rsidRPr="00826530" w:rsidRDefault="001106F2" w:rsidP="00836582">
            <w:pPr>
              <w:jc w:val="right"/>
              <w:rPr>
                <w:rFonts w:ascii="Arial" w:hAnsi="Arial" w:cs="Arial"/>
                <w:sz w:val="21"/>
                <w:szCs w:val="21"/>
              </w:rPr>
            </w:pPr>
            <w:r w:rsidRPr="00826530">
              <w:rPr>
                <w:rFonts w:ascii="Arial" w:hAnsi="Arial" w:cs="Arial"/>
                <w:sz w:val="21"/>
                <w:szCs w:val="21"/>
              </w:rPr>
              <w:t>No anal</w:t>
            </w:r>
          </w:p>
        </w:tc>
        <w:tc>
          <w:tcPr>
            <w:tcW w:w="876" w:type="dxa"/>
            <w:tcBorders>
              <w:top w:val="nil"/>
              <w:left w:val="nil"/>
              <w:bottom w:val="nil"/>
              <w:right w:val="nil"/>
            </w:tcBorders>
          </w:tcPr>
          <w:p w14:paraId="3CDD176E" w14:textId="6A92087C" w:rsidR="001106F2" w:rsidRPr="00826530" w:rsidRDefault="001106F2" w:rsidP="00836582">
            <w:pPr>
              <w:jc w:val="center"/>
              <w:rPr>
                <w:rFonts w:ascii="Arial" w:hAnsi="Arial" w:cs="Arial"/>
                <w:sz w:val="21"/>
                <w:szCs w:val="21"/>
              </w:rPr>
            </w:pPr>
            <w:r w:rsidRPr="00826530">
              <w:rPr>
                <w:rFonts w:ascii="Arial" w:hAnsi="Arial" w:cs="Arial"/>
                <w:sz w:val="21"/>
                <w:szCs w:val="21"/>
              </w:rPr>
              <w:t>0.36</w:t>
            </w:r>
          </w:p>
        </w:tc>
        <w:tc>
          <w:tcPr>
            <w:tcW w:w="756" w:type="dxa"/>
            <w:tcBorders>
              <w:top w:val="nil"/>
              <w:left w:val="nil"/>
              <w:bottom w:val="nil"/>
              <w:right w:val="nil"/>
            </w:tcBorders>
          </w:tcPr>
          <w:p w14:paraId="08D8ACAF" w14:textId="49033A9A" w:rsidR="001106F2" w:rsidRPr="00826530" w:rsidRDefault="001106F2" w:rsidP="00836582">
            <w:pPr>
              <w:jc w:val="center"/>
              <w:rPr>
                <w:rFonts w:ascii="Arial" w:hAnsi="Arial" w:cs="Arial"/>
                <w:sz w:val="21"/>
                <w:szCs w:val="21"/>
              </w:rPr>
            </w:pPr>
            <w:r w:rsidRPr="00826530">
              <w:rPr>
                <w:rFonts w:ascii="Arial" w:hAnsi="Arial" w:cs="Arial"/>
                <w:sz w:val="21"/>
                <w:szCs w:val="21"/>
              </w:rPr>
              <w:t>0.09</w:t>
            </w:r>
          </w:p>
        </w:tc>
        <w:tc>
          <w:tcPr>
            <w:tcW w:w="756" w:type="dxa"/>
            <w:tcBorders>
              <w:top w:val="nil"/>
              <w:left w:val="nil"/>
              <w:bottom w:val="nil"/>
            </w:tcBorders>
          </w:tcPr>
          <w:p w14:paraId="7B656141" w14:textId="150303F9" w:rsidR="001106F2" w:rsidRPr="00826530" w:rsidRDefault="001106F2" w:rsidP="00836582">
            <w:pPr>
              <w:jc w:val="center"/>
              <w:rPr>
                <w:rFonts w:ascii="Arial" w:hAnsi="Arial" w:cs="Arial"/>
                <w:sz w:val="21"/>
                <w:szCs w:val="21"/>
              </w:rPr>
            </w:pPr>
            <w:r w:rsidRPr="00826530">
              <w:rPr>
                <w:rFonts w:ascii="Arial" w:hAnsi="Arial" w:cs="Arial"/>
                <w:sz w:val="21"/>
                <w:szCs w:val="21"/>
              </w:rPr>
              <w:t>1.42</w:t>
            </w:r>
          </w:p>
        </w:tc>
      </w:tr>
      <w:tr w:rsidR="007D37AA" w:rsidRPr="00826530" w14:paraId="6F484487" w14:textId="3F33A872" w:rsidTr="001106F2">
        <w:trPr>
          <w:trHeight w:val="233"/>
        </w:trPr>
        <w:tc>
          <w:tcPr>
            <w:tcW w:w="4950" w:type="dxa"/>
            <w:gridSpan w:val="2"/>
            <w:tcBorders>
              <w:bottom w:val="single" w:sz="4" w:space="0" w:color="auto"/>
              <w:right w:val="nil"/>
            </w:tcBorders>
          </w:tcPr>
          <w:p w14:paraId="4EA543FB" w14:textId="77777777" w:rsidR="00EF5FDB" w:rsidRPr="00826530" w:rsidRDefault="00EF5FDB" w:rsidP="00836582">
            <w:pPr>
              <w:rPr>
                <w:rFonts w:ascii="Arial" w:hAnsi="Arial" w:cs="Arial"/>
                <w:sz w:val="21"/>
                <w:szCs w:val="21"/>
              </w:rPr>
            </w:pPr>
            <w:r w:rsidRPr="00826530">
              <w:rPr>
                <w:rFonts w:ascii="Arial" w:hAnsi="Arial" w:cs="Arial"/>
                <w:b/>
                <w:sz w:val="21"/>
                <w:szCs w:val="21"/>
              </w:rPr>
              <w:t>HIV prevention strategies (p6m)</w:t>
            </w:r>
          </w:p>
        </w:tc>
        <w:tc>
          <w:tcPr>
            <w:tcW w:w="876" w:type="dxa"/>
            <w:tcBorders>
              <w:left w:val="nil"/>
              <w:bottom w:val="single" w:sz="4" w:space="0" w:color="auto"/>
              <w:right w:val="nil"/>
            </w:tcBorders>
          </w:tcPr>
          <w:p w14:paraId="352DD9B6"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right w:val="nil"/>
            </w:tcBorders>
          </w:tcPr>
          <w:p w14:paraId="3B05F9AD"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tcBorders>
          </w:tcPr>
          <w:p w14:paraId="3BD1ED10" w14:textId="77777777" w:rsidR="00EF5FDB" w:rsidRPr="00826530" w:rsidRDefault="00EF5FDB" w:rsidP="00836582">
            <w:pPr>
              <w:jc w:val="center"/>
              <w:rPr>
                <w:rFonts w:ascii="Arial" w:hAnsi="Arial" w:cs="Arial"/>
                <w:sz w:val="21"/>
                <w:szCs w:val="21"/>
              </w:rPr>
            </w:pPr>
          </w:p>
        </w:tc>
      </w:tr>
      <w:tr w:rsidR="007D37AA" w:rsidRPr="00826530" w14:paraId="66741EED" w14:textId="7F805BDF" w:rsidTr="001106F2">
        <w:trPr>
          <w:trHeight w:val="233"/>
        </w:trPr>
        <w:tc>
          <w:tcPr>
            <w:tcW w:w="4950" w:type="dxa"/>
            <w:gridSpan w:val="2"/>
            <w:tcBorders>
              <w:bottom w:val="single" w:sz="4" w:space="0" w:color="auto"/>
              <w:right w:val="nil"/>
            </w:tcBorders>
          </w:tcPr>
          <w:p w14:paraId="4279D159" w14:textId="58E30DB1" w:rsidR="00EF5FDB" w:rsidRPr="00826530" w:rsidRDefault="00EC061C" w:rsidP="00836582">
            <w:pPr>
              <w:rPr>
                <w:rFonts w:ascii="Arial" w:hAnsi="Arial" w:cs="Arial"/>
                <w:sz w:val="21"/>
                <w:szCs w:val="21"/>
              </w:rPr>
            </w:pPr>
            <w:r w:rsidRPr="00826530">
              <w:rPr>
                <w:rFonts w:ascii="Arial" w:hAnsi="Arial" w:cs="Arial"/>
                <w:sz w:val="21"/>
                <w:szCs w:val="21"/>
              </w:rPr>
              <w:t>Withdrawal</w:t>
            </w:r>
            <w:r w:rsidR="00EF5FDB" w:rsidRPr="00826530">
              <w:rPr>
                <w:rFonts w:ascii="Arial" w:hAnsi="Arial" w:cs="Arial"/>
                <w:sz w:val="21"/>
                <w:szCs w:val="21"/>
              </w:rPr>
              <w:t xml:space="preserve"> </w:t>
            </w:r>
            <w:r w:rsidR="00F9220D" w:rsidRPr="00826530">
              <w:rPr>
                <w:rFonts w:ascii="Arial" w:hAnsi="Arial" w:cs="Arial"/>
                <w:sz w:val="21"/>
                <w:szCs w:val="21"/>
                <w:vertAlign w:val="superscript"/>
              </w:rPr>
              <w:t>1</w:t>
            </w:r>
          </w:p>
        </w:tc>
        <w:tc>
          <w:tcPr>
            <w:tcW w:w="876" w:type="dxa"/>
            <w:tcBorders>
              <w:left w:val="nil"/>
              <w:bottom w:val="single" w:sz="4" w:space="0" w:color="auto"/>
              <w:right w:val="nil"/>
            </w:tcBorders>
          </w:tcPr>
          <w:p w14:paraId="56612929" w14:textId="370ACD2B" w:rsidR="00EF5FDB" w:rsidRPr="00826530" w:rsidRDefault="00C52345" w:rsidP="00836582">
            <w:pPr>
              <w:jc w:val="center"/>
              <w:rPr>
                <w:rFonts w:ascii="Arial" w:hAnsi="Arial" w:cs="Arial"/>
                <w:sz w:val="21"/>
                <w:szCs w:val="21"/>
              </w:rPr>
            </w:pPr>
            <w:r w:rsidRPr="00826530">
              <w:rPr>
                <w:rFonts w:ascii="Arial" w:hAnsi="Arial" w:cs="Arial"/>
                <w:sz w:val="21"/>
                <w:szCs w:val="21"/>
              </w:rPr>
              <w:t>1.</w:t>
            </w:r>
            <w:r w:rsidR="00A747A9" w:rsidRPr="00826530">
              <w:rPr>
                <w:rFonts w:ascii="Arial" w:hAnsi="Arial" w:cs="Arial"/>
                <w:sz w:val="21"/>
                <w:szCs w:val="21"/>
              </w:rPr>
              <w:t>79</w:t>
            </w:r>
          </w:p>
        </w:tc>
        <w:tc>
          <w:tcPr>
            <w:tcW w:w="756" w:type="dxa"/>
            <w:tcBorders>
              <w:left w:val="nil"/>
              <w:bottom w:val="single" w:sz="4" w:space="0" w:color="auto"/>
              <w:right w:val="nil"/>
            </w:tcBorders>
          </w:tcPr>
          <w:p w14:paraId="6874DDF6" w14:textId="67C243E3" w:rsidR="00EF5FDB" w:rsidRPr="00826530" w:rsidRDefault="00C52345" w:rsidP="00836582">
            <w:pPr>
              <w:jc w:val="center"/>
              <w:rPr>
                <w:rFonts w:ascii="Arial" w:hAnsi="Arial" w:cs="Arial"/>
                <w:b/>
                <w:sz w:val="21"/>
                <w:szCs w:val="21"/>
              </w:rPr>
            </w:pPr>
            <w:r w:rsidRPr="00826530">
              <w:rPr>
                <w:rFonts w:ascii="Arial" w:hAnsi="Arial" w:cs="Arial"/>
                <w:b/>
                <w:sz w:val="21"/>
                <w:szCs w:val="21"/>
              </w:rPr>
              <w:t>1.</w:t>
            </w:r>
            <w:r w:rsidR="00A747A9" w:rsidRPr="00826530">
              <w:rPr>
                <w:rFonts w:ascii="Arial" w:hAnsi="Arial" w:cs="Arial"/>
                <w:b/>
                <w:sz w:val="21"/>
                <w:szCs w:val="21"/>
              </w:rPr>
              <w:t>003</w:t>
            </w:r>
          </w:p>
        </w:tc>
        <w:tc>
          <w:tcPr>
            <w:tcW w:w="756" w:type="dxa"/>
            <w:tcBorders>
              <w:left w:val="nil"/>
              <w:bottom w:val="single" w:sz="4" w:space="0" w:color="auto"/>
            </w:tcBorders>
          </w:tcPr>
          <w:p w14:paraId="7A516AC7" w14:textId="5A4F80BE" w:rsidR="00EF5FDB" w:rsidRPr="00826530" w:rsidRDefault="00C52345" w:rsidP="00836582">
            <w:pPr>
              <w:jc w:val="center"/>
              <w:rPr>
                <w:rFonts w:ascii="Arial" w:hAnsi="Arial" w:cs="Arial"/>
                <w:b/>
                <w:sz w:val="21"/>
                <w:szCs w:val="21"/>
              </w:rPr>
            </w:pPr>
            <w:r w:rsidRPr="00826530">
              <w:rPr>
                <w:rFonts w:ascii="Arial" w:hAnsi="Arial" w:cs="Arial"/>
                <w:b/>
                <w:sz w:val="21"/>
                <w:szCs w:val="21"/>
              </w:rPr>
              <w:t>3.</w:t>
            </w:r>
            <w:r w:rsidR="00A747A9" w:rsidRPr="00826530">
              <w:rPr>
                <w:rFonts w:ascii="Arial" w:hAnsi="Arial" w:cs="Arial"/>
                <w:b/>
                <w:sz w:val="21"/>
                <w:szCs w:val="21"/>
              </w:rPr>
              <w:t>20</w:t>
            </w:r>
          </w:p>
        </w:tc>
      </w:tr>
      <w:tr w:rsidR="007D37AA" w:rsidRPr="00826530" w14:paraId="27D6BA42" w14:textId="207A3C5F" w:rsidTr="001106F2">
        <w:trPr>
          <w:trHeight w:val="233"/>
        </w:trPr>
        <w:tc>
          <w:tcPr>
            <w:tcW w:w="4950" w:type="dxa"/>
            <w:gridSpan w:val="2"/>
            <w:tcBorders>
              <w:bottom w:val="single" w:sz="4" w:space="0" w:color="auto"/>
              <w:right w:val="nil"/>
            </w:tcBorders>
          </w:tcPr>
          <w:p w14:paraId="0FD34DE8" w14:textId="77777777" w:rsidR="00EF5FDB" w:rsidRPr="00826530" w:rsidRDefault="00EF5FDB" w:rsidP="00836582">
            <w:pPr>
              <w:rPr>
                <w:rFonts w:ascii="Arial" w:hAnsi="Arial" w:cs="Arial"/>
                <w:sz w:val="21"/>
                <w:szCs w:val="21"/>
              </w:rPr>
            </w:pPr>
            <w:r w:rsidRPr="00826530">
              <w:rPr>
                <w:rFonts w:ascii="Arial" w:hAnsi="Arial" w:cs="Arial"/>
                <w:b/>
                <w:sz w:val="21"/>
                <w:szCs w:val="21"/>
              </w:rPr>
              <w:t>Substance use (p6m)</w:t>
            </w:r>
          </w:p>
        </w:tc>
        <w:tc>
          <w:tcPr>
            <w:tcW w:w="876" w:type="dxa"/>
            <w:tcBorders>
              <w:left w:val="nil"/>
              <w:bottom w:val="single" w:sz="4" w:space="0" w:color="auto"/>
              <w:right w:val="nil"/>
            </w:tcBorders>
          </w:tcPr>
          <w:p w14:paraId="38606EA9"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right w:val="nil"/>
            </w:tcBorders>
          </w:tcPr>
          <w:p w14:paraId="668217C4" w14:textId="77777777" w:rsidR="00EF5FDB" w:rsidRPr="00826530" w:rsidRDefault="00EF5FDB" w:rsidP="00836582">
            <w:pPr>
              <w:jc w:val="center"/>
              <w:rPr>
                <w:rFonts w:ascii="Arial" w:hAnsi="Arial" w:cs="Arial"/>
                <w:sz w:val="21"/>
                <w:szCs w:val="21"/>
              </w:rPr>
            </w:pPr>
          </w:p>
        </w:tc>
        <w:tc>
          <w:tcPr>
            <w:tcW w:w="756" w:type="dxa"/>
            <w:tcBorders>
              <w:left w:val="nil"/>
              <w:bottom w:val="single" w:sz="4" w:space="0" w:color="auto"/>
            </w:tcBorders>
          </w:tcPr>
          <w:p w14:paraId="0C6AC788" w14:textId="77777777" w:rsidR="00EF5FDB" w:rsidRPr="00826530" w:rsidRDefault="00EF5FDB" w:rsidP="00836582">
            <w:pPr>
              <w:jc w:val="center"/>
              <w:rPr>
                <w:rFonts w:ascii="Arial" w:hAnsi="Arial" w:cs="Arial"/>
                <w:sz w:val="21"/>
                <w:szCs w:val="21"/>
              </w:rPr>
            </w:pPr>
          </w:p>
        </w:tc>
      </w:tr>
      <w:tr w:rsidR="007D37AA" w:rsidRPr="00826530" w14:paraId="4C7A40A9" w14:textId="408FCED8" w:rsidTr="001106F2">
        <w:trPr>
          <w:trHeight w:val="233"/>
        </w:trPr>
        <w:tc>
          <w:tcPr>
            <w:tcW w:w="4950" w:type="dxa"/>
            <w:gridSpan w:val="2"/>
            <w:tcBorders>
              <w:top w:val="nil"/>
              <w:bottom w:val="nil"/>
              <w:right w:val="nil"/>
            </w:tcBorders>
          </w:tcPr>
          <w:p w14:paraId="4C6A8C4C" w14:textId="42FB29D2" w:rsidR="00EF5FDB" w:rsidRPr="00826530" w:rsidRDefault="00EF5FDB" w:rsidP="00836582">
            <w:pPr>
              <w:rPr>
                <w:rFonts w:ascii="Arial" w:hAnsi="Arial" w:cs="Arial"/>
                <w:sz w:val="21"/>
                <w:szCs w:val="21"/>
                <w:vertAlign w:val="superscript"/>
              </w:rPr>
            </w:pPr>
            <w:r w:rsidRPr="00826530">
              <w:rPr>
                <w:rFonts w:ascii="Arial" w:hAnsi="Arial" w:cs="Arial"/>
                <w:sz w:val="21"/>
                <w:szCs w:val="21"/>
              </w:rPr>
              <w:t xml:space="preserve">Crystal methamphetamine </w:t>
            </w:r>
            <w:r w:rsidR="00F9220D" w:rsidRPr="00826530">
              <w:rPr>
                <w:rFonts w:ascii="Arial" w:hAnsi="Arial" w:cs="Arial"/>
                <w:sz w:val="21"/>
                <w:szCs w:val="21"/>
                <w:vertAlign w:val="superscript"/>
              </w:rPr>
              <w:t>1</w:t>
            </w:r>
          </w:p>
        </w:tc>
        <w:tc>
          <w:tcPr>
            <w:tcW w:w="876" w:type="dxa"/>
            <w:tcBorders>
              <w:top w:val="nil"/>
              <w:left w:val="nil"/>
              <w:bottom w:val="nil"/>
              <w:right w:val="nil"/>
            </w:tcBorders>
          </w:tcPr>
          <w:p w14:paraId="2E950D76" w14:textId="75DD243C" w:rsidR="00EF5FDB" w:rsidRPr="00826530" w:rsidRDefault="00C52345" w:rsidP="00836582">
            <w:pPr>
              <w:jc w:val="center"/>
              <w:rPr>
                <w:rFonts w:ascii="Arial" w:hAnsi="Arial" w:cs="Arial"/>
                <w:sz w:val="21"/>
                <w:szCs w:val="21"/>
              </w:rPr>
            </w:pPr>
            <w:r w:rsidRPr="00826530">
              <w:rPr>
                <w:rFonts w:ascii="Arial" w:hAnsi="Arial" w:cs="Arial"/>
                <w:sz w:val="21"/>
                <w:szCs w:val="21"/>
              </w:rPr>
              <w:t>4</w:t>
            </w:r>
            <w:r w:rsidR="00EF5FDB" w:rsidRPr="00826530">
              <w:rPr>
                <w:rFonts w:ascii="Arial" w:hAnsi="Arial" w:cs="Arial"/>
                <w:sz w:val="21"/>
                <w:szCs w:val="21"/>
              </w:rPr>
              <w:t>.</w:t>
            </w:r>
            <w:r w:rsidR="00A747A9" w:rsidRPr="00826530">
              <w:rPr>
                <w:rFonts w:ascii="Arial" w:hAnsi="Arial" w:cs="Arial"/>
                <w:sz w:val="21"/>
                <w:szCs w:val="21"/>
              </w:rPr>
              <w:t>57</w:t>
            </w:r>
          </w:p>
        </w:tc>
        <w:tc>
          <w:tcPr>
            <w:tcW w:w="756" w:type="dxa"/>
            <w:tcBorders>
              <w:top w:val="nil"/>
              <w:left w:val="nil"/>
              <w:bottom w:val="nil"/>
              <w:right w:val="nil"/>
            </w:tcBorders>
          </w:tcPr>
          <w:p w14:paraId="27323725" w14:textId="2B03A489" w:rsidR="00EF5FDB" w:rsidRPr="00826530" w:rsidRDefault="00EF5FDB" w:rsidP="00836582">
            <w:pPr>
              <w:jc w:val="center"/>
              <w:rPr>
                <w:rFonts w:ascii="Arial" w:hAnsi="Arial" w:cs="Arial"/>
                <w:b/>
                <w:sz w:val="21"/>
                <w:szCs w:val="21"/>
              </w:rPr>
            </w:pPr>
            <w:r w:rsidRPr="00826530">
              <w:rPr>
                <w:rFonts w:ascii="Arial" w:hAnsi="Arial" w:cs="Arial"/>
                <w:b/>
                <w:sz w:val="21"/>
                <w:szCs w:val="21"/>
              </w:rPr>
              <w:t>2.</w:t>
            </w:r>
            <w:r w:rsidR="00A747A9" w:rsidRPr="00826530">
              <w:rPr>
                <w:rFonts w:ascii="Arial" w:hAnsi="Arial" w:cs="Arial"/>
                <w:b/>
                <w:sz w:val="21"/>
                <w:szCs w:val="21"/>
              </w:rPr>
              <w:t>23</w:t>
            </w:r>
          </w:p>
        </w:tc>
        <w:tc>
          <w:tcPr>
            <w:tcW w:w="756" w:type="dxa"/>
            <w:tcBorders>
              <w:top w:val="nil"/>
              <w:left w:val="nil"/>
              <w:bottom w:val="nil"/>
            </w:tcBorders>
          </w:tcPr>
          <w:p w14:paraId="67FF0204" w14:textId="667DD86B" w:rsidR="00EF5FDB" w:rsidRPr="00826530" w:rsidRDefault="00A747A9" w:rsidP="00836582">
            <w:pPr>
              <w:jc w:val="center"/>
              <w:rPr>
                <w:rFonts w:ascii="Arial" w:hAnsi="Arial" w:cs="Arial"/>
                <w:b/>
                <w:sz w:val="21"/>
                <w:szCs w:val="21"/>
              </w:rPr>
            </w:pPr>
            <w:r w:rsidRPr="00826530">
              <w:rPr>
                <w:rFonts w:ascii="Arial" w:hAnsi="Arial" w:cs="Arial"/>
                <w:b/>
                <w:sz w:val="21"/>
                <w:szCs w:val="21"/>
              </w:rPr>
              <w:t>9</w:t>
            </w:r>
            <w:r w:rsidR="00EF5FDB" w:rsidRPr="00826530">
              <w:rPr>
                <w:rFonts w:ascii="Arial" w:hAnsi="Arial" w:cs="Arial"/>
                <w:b/>
                <w:sz w:val="21"/>
                <w:szCs w:val="21"/>
              </w:rPr>
              <w:t>.</w:t>
            </w:r>
            <w:r w:rsidRPr="00826530">
              <w:rPr>
                <w:rFonts w:ascii="Arial" w:hAnsi="Arial" w:cs="Arial"/>
                <w:b/>
                <w:sz w:val="21"/>
                <w:szCs w:val="21"/>
              </w:rPr>
              <w:t>39</w:t>
            </w:r>
          </w:p>
        </w:tc>
      </w:tr>
      <w:tr w:rsidR="007D37AA" w:rsidRPr="00826530" w14:paraId="69B9AD24" w14:textId="3CFD5395" w:rsidTr="00BB1937">
        <w:trPr>
          <w:trHeight w:val="233"/>
        </w:trPr>
        <w:tc>
          <w:tcPr>
            <w:tcW w:w="3119" w:type="dxa"/>
            <w:tcBorders>
              <w:top w:val="nil"/>
              <w:bottom w:val="nil"/>
              <w:right w:val="nil"/>
            </w:tcBorders>
          </w:tcPr>
          <w:p w14:paraId="090F7268" w14:textId="2AEF31BB" w:rsidR="00EF5FDB" w:rsidRPr="00826530" w:rsidRDefault="00EF5FDB" w:rsidP="00836582">
            <w:pPr>
              <w:rPr>
                <w:rFonts w:ascii="Arial" w:hAnsi="Arial" w:cs="Arial"/>
                <w:sz w:val="21"/>
                <w:szCs w:val="21"/>
              </w:rPr>
            </w:pPr>
            <w:r w:rsidRPr="00826530">
              <w:rPr>
                <w:rFonts w:ascii="Arial" w:hAnsi="Arial" w:cs="Arial"/>
                <w:sz w:val="21"/>
                <w:szCs w:val="21"/>
              </w:rPr>
              <w:t xml:space="preserve">Poppers </w:t>
            </w:r>
            <w:r w:rsidR="00F9220D" w:rsidRPr="00826530">
              <w:rPr>
                <w:rFonts w:ascii="Arial" w:hAnsi="Arial" w:cs="Arial"/>
                <w:sz w:val="21"/>
                <w:szCs w:val="21"/>
                <w:vertAlign w:val="superscript"/>
              </w:rPr>
              <w:t>1</w:t>
            </w:r>
          </w:p>
        </w:tc>
        <w:tc>
          <w:tcPr>
            <w:tcW w:w="1831" w:type="dxa"/>
            <w:tcBorders>
              <w:top w:val="nil"/>
              <w:left w:val="nil"/>
              <w:bottom w:val="nil"/>
              <w:right w:val="nil"/>
            </w:tcBorders>
          </w:tcPr>
          <w:p w14:paraId="30A4BF8C" w14:textId="77777777" w:rsidR="00EF5FDB" w:rsidRPr="00826530" w:rsidRDefault="00EF5FDB" w:rsidP="00836582">
            <w:pPr>
              <w:jc w:val="right"/>
              <w:rPr>
                <w:rFonts w:ascii="Arial" w:hAnsi="Arial" w:cs="Arial"/>
                <w:sz w:val="21"/>
                <w:szCs w:val="21"/>
              </w:rPr>
            </w:pPr>
          </w:p>
        </w:tc>
        <w:tc>
          <w:tcPr>
            <w:tcW w:w="876" w:type="dxa"/>
            <w:tcBorders>
              <w:top w:val="nil"/>
              <w:left w:val="nil"/>
              <w:bottom w:val="nil"/>
              <w:right w:val="nil"/>
            </w:tcBorders>
          </w:tcPr>
          <w:p w14:paraId="3B552771" w14:textId="6BF2BD56" w:rsidR="00EF5FDB" w:rsidRPr="00826530" w:rsidRDefault="00C52345" w:rsidP="00836582">
            <w:pPr>
              <w:jc w:val="center"/>
              <w:rPr>
                <w:rFonts w:ascii="Arial" w:hAnsi="Arial" w:cs="Arial"/>
                <w:sz w:val="21"/>
                <w:szCs w:val="21"/>
              </w:rPr>
            </w:pPr>
            <w:r w:rsidRPr="00826530">
              <w:rPr>
                <w:rFonts w:ascii="Arial" w:hAnsi="Arial" w:cs="Arial"/>
                <w:sz w:val="21"/>
                <w:szCs w:val="21"/>
              </w:rPr>
              <w:t>2.</w:t>
            </w:r>
            <w:r w:rsidR="00A747A9" w:rsidRPr="00826530">
              <w:rPr>
                <w:rFonts w:ascii="Arial" w:hAnsi="Arial" w:cs="Arial"/>
                <w:sz w:val="21"/>
                <w:szCs w:val="21"/>
              </w:rPr>
              <w:t>53</w:t>
            </w:r>
          </w:p>
        </w:tc>
        <w:tc>
          <w:tcPr>
            <w:tcW w:w="756" w:type="dxa"/>
            <w:tcBorders>
              <w:top w:val="nil"/>
              <w:left w:val="nil"/>
              <w:bottom w:val="nil"/>
              <w:right w:val="nil"/>
            </w:tcBorders>
          </w:tcPr>
          <w:p w14:paraId="4CD6DBC3" w14:textId="0CA34C48" w:rsidR="00EF5FDB" w:rsidRPr="00826530" w:rsidRDefault="00EF5FDB" w:rsidP="00836582">
            <w:pPr>
              <w:jc w:val="center"/>
              <w:rPr>
                <w:rFonts w:ascii="Arial" w:hAnsi="Arial" w:cs="Arial"/>
                <w:b/>
                <w:sz w:val="21"/>
                <w:szCs w:val="21"/>
              </w:rPr>
            </w:pPr>
            <w:r w:rsidRPr="00826530">
              <w:rPr>
                <w:rFonts w:ascii="Arial" w:hAnsi="Arial" w:cs="Arial"/>
                <w:b/>
                <w:sz w:val="21"/>
                <w:szCs w:val="21"/>
              </w:rPr>
              <w:t>1.</w:t>
            </w:r>
            <w:r w:rsidR="00C52345" w:rsidRPr="00826530">
              <w:rPr>
                <w:rFonts w:ascii="Arial" w:hAnsi="Arial" w:cs="Arial"/>
                <w:b/>
                <w:sz w:val="21"/>
                <w:szCs w:val="21"/>
              </w:rPr>
              <w:t>39</w:t>
            </w:r>
          </w:p>
        </w:tc>
        <w:tc>
          <w:tcPr>
            <w:tcW w:w="756" w:type="dxa"/>
            <w:tcBorders>
              <w:top w:val="nil"/>
              <w:left w:val="nil"/>
              <w:bottom w:val="nil"/>
            </w:tcBorders>
          </w:tcPr>
          <w:p w14:paraId="5D7C45D5" w14:textId="57B9806D" w:rsidR="00EF5FDB" w:rsidRPr="00826530" w:rsidRDefault="00C52345" w:rsidP="00836582">
            <w:pPr>
              <w:jc w:val="center"/>
              <w:rPr>
                <w:rFonts w:ascii="Arial" w:hAnsi="Arial" w:cs="Arial"/>
                <w:b/>
                <w:sz w:val="21"/>
                <w:szCs w:val="21"/>
              </w:rPr>
            </w:pPr>
            <w:r w:rsidRPr="00826530">
              <w:rPr>
                <w:rFonts w:ascii="Arial" w:hAnsi="Arial" w:cs="Arial"/>
                <w:b/>
                <w:sz w:val="21"/>
                <w:szCs w:val="21"/>
              </w:rPr>
              <w:t>4.</w:t>
            </w:r>
            <w:r w:rsidR="00A747A9" w:rsidRPr="00826530">
              <w:rPr>
                <w:rFonts w:ascii="Arial" w:hAnsi="Arial" w:cs="Arial"/>
                <w:b/>
                <w:sz w:val="21"/>
                <w:szCs w:val="21"/>
              </w:rPr>
              <w:t>60</w:t>
            </w:r>
          </w:p>
        </w:tc>
      </w:tr>
      <w:tr w:rsidR="007D37AA" w:rsidRPr="00826530" w14:paraId="73CF0735" w14:textId="038FD9E5" w:rsidTr="001106F2">
        <w:trPr>
          <w:trHeight w:val="233"/>
        </w:trPr>
        <w:tc>
          <w:tcPr>
            <w:tcW w:w="4950" w:type="dxa"/>
            <w:gridSpan w:val="2"/>
            <w:tcBorders>
              <w:top w:val="nil"/>
              <w:bottom w:val="nil"/>
              <w:right w:val="nil"/>
            </w:tcBorders>
          </w:tcPr>
          <w:p w14:paraId="13342E19" w14:textId="61C26B85" w:rsidR="00EF5FDB" w:rsidRPr="00826530" w:rsidRDefault="00EF5FDB" w:rsidP="00836582">
            <w:pPr>
              <w:rPr>
                <w:rFonts w:ascii="Arial" w:hAnsi="Arial" w:cs="Arial"/>
                <w:sz w:val="21"/>
                <w:szCs w:val="21"/>
              </w:rPr>
            </w:pPr>
            <w:r w:rsidRPr="00826530">
              <w:rPr>
                <w:rFonts w:ascii="Arial" w:hAnsi="Arial" w:cs="Arial"/>
                <w:sz w:val="21"/>
                <w:szCs w:val="21"/>
              </w:rPr>
              <w:t xml:space="preserve">Gamma-hydroxybutyric acid </w:t>
            </w:r>
            <w:r w:rsidR="00F9220D" w:rsidRPr="00826530">
              <w:rPr>
                <w:rFonts w:ascii="Arial" w:hAnsi="Arial" w:cs="Arial"/>
                <w:sz w:val="21"/>
                <w:szCs w:val="21"/>
                <w:vertAlign w:val="superscript"/>
              </w:rPr>
              <w:t>1</w:t>
            </w:r>
          </w:p>
        </w:tc>
        <w:tc>
          <w:tcPr>
            <w:tcW w:w="876" w:type="dxa"/>
            <w:tcBorders>
              <w:top w:val="nil"/>
              <w:left w:val="nil"/>
              <w:bottom w:val="nil"/>
              <w:right w:val="nil"/>
            </w:tcBorders>
          </w:tcPr>
          <w:p w14:paraId="53D93DC3" w14:textId="5A8F9011" w:rsidR="00EF5FDB" w:rsidRPr="00826530" w:rsidRDefault="00EF5FDB" w:rsidP="00836582">
            <w:pPr>
              <w:jc w:val="center"/>
              <w:rPr>
                <w:rFonts w:ascii="Arial" w:hAnsi="Arial" w:cs="Arial"/>
                <w:sz w:val="21"/>
                <w:szCs w:val="21"/>
              </w:rPr>
            </w:pPr>
            <w:r w:rsidRPr="00826530">
              <w:rPr>
                <w:rFonts w:ascii="Arial" w:hAnsi="Arial" w:cs="Arial"/>
                <w:sz w:val="21"/>
                <w:szCs w:val="21"/>
              </w:rPr>
              <w:t>2.</w:t>
            </w:r>
            <w:r w:rsidR="00A747A9" w:rsidRPr="00826530">
              <w:rPr>
                <w:rFonts w:ascii="Arial" w:hAnsi="Arial" w:cs="Arial"/>
                <w:sz w:val="21"/>
                <w:szCs w:val="21"/>
              </w:rPr>
              <w:t>14</w:t>
            </w:r>
          </w:p>
        </w:tc>
        <w:tc>
          <w:tcPr>
            <w:tcW w:w="756" w:type="dxa"/>
            <w:tcBorders>
              <w:top w:val="nil"/>
              <w:left w:val="nil"/>
              <w:bottom w:val="nil"/>
              <w:right w:val="nil"/>
            </w:tcBorders>
          </w:tcPr>
          <w:p w14:paraId="50234305" w14:textId="51ED887F" w:rsidR="00EF5FDB" w:rsidRPr="00826530" w:rsidRDefault="00EF5FDB" w:rsidP="00836582">
            <w:pPr>
              <w:jc w:val="center"/>
              <w:rPr>
                <w:rFonts w:ascii="Arial" w:hAnsi="Arial" w:cs="Arial"/>
                <w:b/>
                <w:sz w:val="21"/>
                <w:szCs w:val="21"/>
              </w:rPr>
            </w:pPr>
            <w:r w:rsidRPr="00826530">
              <w:rPr>
                <w:rFonts w:ascii="Arial" w:hAnsi="Arial" w:cs="Arial"/>
                <w:b/>
                <w:sz w:val="21"/>
                <w:szCs w:val="21"/>
              </w:rPr>
              <w:t>1.</w:t>
            </w:r>
            <w:r w:rsidR="00A747A9" w:rsidRPr="00826530">
              <w:rPr>
                <w:rFonts w:ascii="Arial" w:hAnsi="Arial" w:cs="Arial"/>
                <w:b/>
                <w:sz w:val="21"/>
                <w:szCs w:val="21"/>
              </w:rPr>
              <w:t>15</w:t>
            </w:r>
          </w:p>
        </w:tc>
        <w:tc>
          <w:tcPr>
            <w:tcW w:w="756" w:type="dxa"/>
            <w:tcBorders>
              <w:top w:val="nil"/>
              <w:left w:val="nil"/>
              <w:bottom w:val="nil"/>
            </w:tcBorders>
          </w:tcPr>
          <w:p w14:paraId="40A6CDAE" w14:textId="2FC7040C" w:rsidR="00EF5FDB" w:rsidRPr="00826530" w:rsidRDefault="00C52345" w:rsidP="00836582">
            <w:pPr>
              <w:jc w:val="center"/>
              <w:rPr>
                <w:rFonts w:ascii="Arial" w:hAnsi="Arial" w:cs="Arial"/>
                <w:b/>
                <w:sz w:val="21"/>
                <w:szCs w:val="21"/>
              </w:rPr>
            </w:pPr>
            <w:r w:rsidRPr="00826530">
              <w:rPr>
                <w:rFonts w:ascii="Arial" w:hAnsi="Arial" w:cs="Arial"/>
                <w:b/>
                <w:sz w:val="21"/>
                <w:szCs w:val="21"/>
              </w:rPr>
              <w:t>4</w:t>
            </w:r>
            <w:r w:rsidR="00EF5FDB" w:rsidRPr="00826530">
              <w:rPr>
                <w:rFonts w:ascii="Arial" w:hAnsi="Arial" w:cs="Arial"/>
                <w:b/>
                <w:sz w:val="21"/>
                <w:szCs w:val="21"/>
              </w:rPr>
              <w:t>.</w:t>
            </w:r>
            <w:r w:rsidR="00A747A9" w:rsidRPr="00826530">
              <w:rPr>
                <w:rFonts w:ascii="Arial" w:hAnsi="Arial" w:cs="Arial"/>
                <w:b/>
                <w:sz w:val="21"/>
                <w:szCs w:val="21"/>
              </w:rPr>
              <w:t>00</w:t>
            </w:r>
          </w:p>
        </w:tc>
      </w:tr>
      <w:tr w:rsidR="007D37AA" w:rsidRPr="00826530" w14:paraId="517E03D0" w14:textId="5A2D5B7C" w:rsidTr="001106F2">
        <w:trPr>
          <w:trHeight w:val="233"/>
        </w:trPr>
        <w:tc>
          <w:tcPr>
            <w:tcW w:w="4950" w:type="dxa"/>
            <w:gridSpan w:val="2"/>
            <w:tcBorders>
              <w:top w:val="nil"/>
              <w:bottom w:val="single" w:sz="4" w:space="0" w:color="auto"/>
              <w:right w:val="nil"/>
            </w:tcBorders>
          </w:tcPr>
          <w:p w14:paraId="685467C6" w14:textId="75EB5D32" w:rsidR="00EF5FDB" w:rsidRPr="00826530" w:rsidRDefault="00EF5FDB" w:rsidP="00836582">
            <w:pPr>
              <w:rPr>
                <w:rFonts w:ascii="Arial" w:hAnsi="Arial" w:cs="Arial"/>
                <w:sz w:val="21"/>
                <w:szCs w:val="21"/>
              </w:rPr>
            </w:pPr>
            <w:r w:rsidRPr="00826530">
              <w:rPr>
                <w:rFonts w:ascii="Arial" w:hAnsi="Arial" w:cs="Arial"/>
                <w:sz w:val="21"/>
                <w:szCs w:val="21"/>
              </w:rPr>
              <w:t xml:space="preserve">Non-steroid injection drug use </w:t>
            </w:r>
            <w:r w:rsidR="00F9220D" w:rsidRPr="00826530">
              <w:rPr>
                <w:rFonts w:ascii="Arial" w:hAnsi="Arial" w:cs="Arial"/>
                <w:sz w:val="21"/>
                <w:szCs w:val="21"/>
                <w:vertAlign w:val="superscript"/>
              </w:rPr>
              <w:t>1</w:t>
            </w:r>
          </w:p>
        </w:tc>
        <w:tc>
          <w:tcPr>
            <w:tcW w:w="876" w:type="dxa"/>
            <w:tcBorders>
              <w:top w:val="nil"/>
              <w:left w:val="nil"/>
              <w:bottom w:val="single" w:sz="4" w:space="0" w:color="auto"/>
              <w:right w:val="nil"/>
            </w:tcBorders>
          </w:tcPr>
          <w:p w14:paraId="091E09F3" w14:textId="33BB81A8" w:rsidR="00EF5FDB" w:rsidRPr="00826530" w:rsidRDefault="00C52345" w:rsidP="00836582">
            <w:pPr>
              <w:jc w:val="center"/>
              <w:rPr>
                <w:rFonts w:ascii="Arial" w:hAnsi="Arial" w:cs="Arial"/>
                <w:sz w:val="21"/>
                <w:szCs w:val="21"/>
              </w:rPr>
            </w:pPr>
            <w:r w:rsidRPr="00826530">
              <w:rPr>
                <w:rFonts w:ascii="Arial" w:hAnsi="Arial" w:cs="Arial"/>
                <w:sz w:val="21"/>
                <w:szCs w:val="21"/>
              </w:rPr>
              <w:t>3</w:t>
            </w:r>
            <w:r w:rsidR="00EF5FDB" w:rsidRPr="00826530">
              <w:rPr>
                <w:rFonts w:ascii="Arial" w:hAnsi="Arial" w:cs="Arial"/>
                <w:sz w:val="21"/>
                <w:szCs w:val="21"/>
              </w:rPr>
              <w:t>.</w:t>
            </w:r>
            <w:r w:rsidR="00A747A9" w:rsidRPr="00826530">
              <w:rPr>
                <w:rFonts w:ascii="Arial" w:hAnsi="Arial" w:cs="Arial"/>
                <w:sz w:val="21"/>
                <w:szCs w:val="21"/>
              </w:rPr>
              <w:t>26</w:t>
            </w:r>
          </w:p>
        </w:tc>
        <w:tc>
          <w:tcPr>
            <w:tcW w:w="756" w:type="dxa"/>
            <w:tcBorders>
              <w:top w:val="nil"/>
              <w:left w:val="nil"/>
              <w:bottom w:val="single" w:sz="4" w:space="0" w:color="auto"/>
              <w:right w:val="nil"/>
            </w:tcBorders>
          </w:tcPr>
          <w:p w14:paraId="60705BC8" w14:textId="66A15767" w:rsidR="00EF5FDB" w:rsidRPr="00826530" w:rsidRDefault="00EF5FDB" w:rsidP="00836582">
            <w:pPr>
              <w:jc w:val="center"/>
              <w:rPr>
                <w:rFonts w:ascii="Arial" w:hAnsi="Arial" w:cs="Arial"/>
                <w:b/>
                <w:sz w:val="21"/>
                <w:szCs w:val="21"/>
              </w:rPr>
            </w:pPr>
            <w:r w:rsidRPr="00826530">
              <w:rPr>
                <w:rFonts w:ascii="Arial" w:hAnsi="Arial" w:cs="Arial"/>
                <w:b/>
                <w:sz w:val="21"/>
                <w:szCs w:val="21"/>
              </w:rPr>
              <w:t>1.1</w:t>
            </w:r>
            <w:r w:rsidR="00A747A9" w:rsidRPr="00826530">
              <w:rPr>
                <w:rFonts w:ascii="Arial" w:hAnsi="Arial" w:cs="Arial"/>
                <w:b/>
                <w:sz w:val="21"/>
                <w:szCs w:val="21"/>
              </w:rPr>
              <w:t>5</w:t>
            </w:r>
          </w:p>
        </w:tc>
        <w:tc>
          <w:tcPr>
            <w:tcW w:w="756" w:type="dxa"/>
            <w:tcBorders>
              <w:top w:val="nil"/>
              <w:left w:val="nil"/>
              <w:bottom w:val="single" w:sz="4" w:space="0" w:color="auto"/>
            </w:tcBorders>
          </w:tcPr>
          <w:p w14:paraId="191B84A2" w14:textId="43FD95C9" w:rsidR="00EF5FDB" w:rsidRPr="00826530" w:rsidRDefault="00A747A9" w:rsidP="00836582">
            <w:pPr>
              <w:jc w:val="center"/>
              <w:rPr>
                <w:rFonts w:ascii="Arial" w:hAnsi="Arial" w:cs="Arial"/>
                <w:b/>
                <w:sz w:val="21"/>
                <w:szCs w:val="21"/>
              </w:rPr>
            </w:pPr>
            <w:r w:rsidRPr="00826530">
              <w:rPr>
                <w:rFonts w:ascii="Arial" w:hAnsi="Arial" w:cs="Arial"/>
                <w:b/>
                <w:sz w:val="21"/>
                <w:szCs w:val="21"/>
              </w:rPr>
              <w:t>9</w:t>
            </w:r>
            <w:r w:rsidR="00EF5FDB" w:rsidRPr="00826530">
              <w:rPr>
                <w:rFonts w:ascii="Arial" w:hAnsi="Arial" w:cs="Arial"/>
                <w:b/>
                <w:sz w:val="21"/>
                <w:szCs w:val="21"/>
              </w:rPr>
              <w:t>.</w:t>
            </w:r>
            <w:r w:rsidR="00C52345" w:rsidRPr="00826530">
              <w:rPr>
                <w:rFonts w:ascii="Arial" w:hAnsi="Arial" w:cs="Arial"/>
                <w:b/>
                <w:sz w:val="21"/>
                <w:szCs w:val="21"/>
              </w:rPr>
              <w:t>2</w:t>
            </w:r>
            <w:r w:rsidRPr="00826530">
              <w:rPr>
                <w:rFonts w:ascii="Arial" w:hAnsi="Arial" w:cs="Arial"/>
                <w:b/>
                <w:sz w:val="21"/>
                <w:szCs w:val="21"/>
              </w:rPr>
              <w:t>9</w:t>
            </w:r>
          </w:p>
        </w:tc>
      </w:tr>
      <w:tr w:rsidR="007D37AA" w:rsidRPr="00826530" w14:paraId="00F4CF63" w14:textId="4FBBF37F" w:rsidTr="001106F2">
        <w:trPr>
          <w:trHeight w:val="233"/>
        </w:trPr>
        <w:tc>
          <w:tcPr>
            <w:tcW w:w="4950" w:type="dxa"/>
            <w:gridSpan w:val="2"/>
            <w:tcBorders>
              <w:bottom w:val="single" w:sz="4" w:space="0" w:color="auto"/>
              <w:right w:val="nil"/>
            </w:tcBorders>
          </w:tcPr>
          <w:p w14:paraId="6A651B93" w14:textId="6CB6234F" w:rsidR="00EF5FDB" w:rsidRPr="00826530" w:rsidRDefault="00EF5FDB" w:rsidP="00836582">
            <w:pPr>
              <w:rPr>
                <w:rFonts w:ascii="Arial" w:hAnsi="Arial" w:cs="Arial"/>
                <w:b/>
                <w:sz w:val="21"/>
                <w:szCs w:val="21"/>
              </w:rPr>
            </w:pPr>
            <w:r w:rsidRPr="00826530">
              <w:rPr>
                <w:rFonts w:ascii="Arial" w:hAnsi="Arial" w:cs="Arial"/>
                <w:b/>
                <w:sz w:val="21"/>
                <w:szCs w:val="21"/>
              </w:rPr>
              <w:t xml:space="preserve">Continuous </w:t>
            </w:r>
            <w:r w:rsidR="00AF3875" w:rsidRPr="00826530">
              <w:rPr>
                <w:rFonts w:ascii="Arial" w:hAnsi="Arial" w:cs="Arial"/>
                <w:b/>
                <w:sz w:val="21"/>
                <w:szCs w:val="21"/>
              </w:rPr>
              <w:t>psychosocial v</w:t>
            </w:r>
            <w:r w:rsidRPr="00826530">
              <w:rPr>
                <w:rFonts w:ascii="Arial" w:hAnsi="Arial" w:cs="Arial"/>
                <w:b/>
                <w:sz w:val="21"/>
                <w:szCs w:val="21"/>
              </w:rPr>
              <w:t xml:space="preserve">ariables </w:t>
            </w:r>
          </w:p>
        </w:tc>
        <w:tc>
          <w:tcPr>
            <w:tcW w:w="876" w:type="dxa"/>
            <w:tcBorders>
              <w:left w:val="nil"/>
              <w:bottom w:val="single" w:sz="4" w:space="0" w:color="auto"/>
              <w:right w:val="nil"/>
            </w:tcBorders>
          </w:tcPr>
          <w:p w14:paraId="43DFCE83" w14:textId="77777777" w:rsidR="00EF5FDB" w:rsidRPr="00826530" w:rsidRDefault="00EF5FDB" w:rsidP="00836582">
            <w:pPr>
              <w:jc w:val="center"/>
              <w:rPr>
                <w:rFonts w:ascii="Arial" w:hAnsi="Arial" w:cs="Arial"/>
                <w:b/>
                <w:sz w:val="21"/>
                <w:szCs w:val="21"/>
              </w:rPr>
            </w:pPr>
          </w:p>
        </w:tc>
        <w:tc>
          <w:tcPr>
            <w:tcW w:w="756" w:type="dxa"/>
            <w:tcBorders>
              <w:left w:val="nil"/>
              <w:bottom w:val="single" w:sz="4" w:space="0" w:color="auto"/>
              <w:right w:val="nil"/>
            </w:tcBorders>
          </w:tcPr>
          <w:p w14:paraId="7C0257F2" w14:textId="77777777" w:rsidR="00EF5FDB" w:rsidRPr="00826530" w:rsidRDefault="00EF5FDB" w:rsidP="00836582">
            <w:pPr>
              <w:jc w:val="center"/>
              <w:rPr>
                <w:rFonts w:ascii="Arial" w:hAnsi="Arial" w:cs="Arial"/>
                <w:b/>
                <w:sz w:val="21"/>
                <w:szCs w:val="21"/>
              </w:rPr>
            </w:pPr>
          </w:p>
        </w:tc>
        <w:tc>
          <w:tcPr>
            <w:tcW w:w="756" w:type="dxa"/>
            <w:tcBorders>
              <w:left w:val="nil"/>
              <w:bottom w:val="single" w:sz="4" w:space="0" w:color="auto"/>
            </w:tcBorders>
          </w:tcPr>
          <w:p w14:paraId="78793543" w14:textId="77777777" w:rsidR="00EF5FDB" w:rsidRPr="00826530" w:rsidRDefault="00EF5FDB" w:rsidP="00836582">
            <w:pPr>
              <w:jc w:val="center"/>
              <w:rPr>
                <w:rFonts w:ascii="Arial" w:hAnsi="Arial" w:cs="Arial"/>
                <w:b/>
                <w:sz w:val="21"/>
                <w:szCs w:val="21"/>
              </w:rPr>
            </w:pPr>
          </w:p>
        </w:tc>
      </w:tr>
      <w:tr w:rsidR="007D37AA" w:rsidRPr="00826530" w14:paraId="45D6F91E" w14:textId="5CFD3B48" w:rsidTr="001106F2">
        <w:trPr>
          <w:trHeight w:val="233"/>
        </w:trPr>
        <w:tc>
          <w:tcPr>
            <w:tcW w:w="4950" w:type="dxa"/>
            <w:gridSpan w:val="2"/>
            <w:tcBorders>
              <w:bottom w:val="nil"/>
              <w:right w:val="nil"/>
            </w:tcBorders>
          </w:tcPr>
          <w:p w14:paraId="4AC4AECE" w14:textId="77777777" w:rsidR="00EF5FDB" w:rsidRPr="00826530" w:rsidRDefault="00EF5FDB" w:rsidP="00836582">
            <w:pPr>
              <w:rPr>
                <w:rFonts w:ascii="Arial" w:hAnsi="Arial" w:cs="Arial"/>
                <w:sz w:val="21"/>
                <w:szCs w:val="21"/>
              </w:rPr>
            </w:pPr>
            <w:r w:rsidRPr="00826530">
              <w:rPr>
                <w:rFonts w:ascii="Arial" w:hAnsi="Arial" w:cs="Arial"/>
                <w:sz w:val="21"/>
                <w:szCs w:val="21"/>
              </w:rPr>
              <w:t>Cognitive Escape Scale</w:t>
            </w:r>
          </w:p>
        </w:tc>
        <w:tc>
          <w:tcPr>
            <w:tcW w:w="876" w:type="dxa"/>
            <w:tcBorders>
              <w:left w:val="nil"/>
              <w:bottom w:val="nil"/>
              <w:right w:val="nil"/>
            </w:tcBorders>
          </w:tcPr>
          <w:p w14:paraId="7672E442" w14:textId="1C8CF76D" w:rsidR="00EF5FDB" w:rsidRPr="00826530" w:rsidRDefault="00EF5FDB" w:rsidP="00836582">
            <w:pPr>
              <w:jc w:val="center"/>
              <w:rPr>
                <w:rFonts w:ascii="Arial" w:hAnsi="Arial" w:cs="Arial"/>
                <w:bCs/>
                <w:sz w:val="21"/>
                <w:szCs w:val="21"/>
              </w:rPr>
            </w:pPr>
            <w:r w:rsidRPr="00826530">
              <w:rPr>
                <w:rFonts w:ascii="Arial" w:hAnsi="Arial" w:cs="Arial"/>
                <w:bCs/>
                <w:sz w:val="21"/>
                <w:szCs w:val="21"/>
              </w:rPr>
              <w:t>1.0</w:t>
            </w:r>
            <w:r w:rsidR="00A747A9" w:rsidRPr="00826530">
              <w:rPr>
                <w:rFonts w:ascii="Arial" w:hAnsi="Arial" w:cs="Arial"/>
                <w:bCs/>
                <w:sz w:val="21"/>
                <w:szCs w:val="21"/>
              </w:rPr>
              <w:t>6</w:t>
            </w:r>
          </w:p>
        </w:tc>
        <w:tc>
          <w:tcPr>
            <w:tcW w:w="756" w:type="dxa"/>
            <w:tcBorders>
              <w:left w:val="nil"/>
              <w:bottom w:val="nil"/>
              <w:right w:val="nil"/>
            </w:tcBorders>
          </w:tcPr>
          <w:p w14:paraId="30ABB1F6" w14:textId="43FC9FBC" w:rsidR="00EF5FDB" w:rsidRPr="00826530" w:rsidRDefault="00EF5FDB" w:rsidP="00836582">
            <w:pPr>
              <w:jc w:val="center"/>
              <w:rPr>
                <w:rFonts w:ascii="Arial" w:hAnsi="Arial" w:cs="Arial"/>
                <w:b/>
                <w:sz w:val="21"/>
                <w:szCs w:val="21"/>
              </w:rPr>
            </w:pPr>
            <w:r w:rsidRPr="00826530">
              <w:rPr>
                <w:rFonts w:ascii="Arial" w:hAnsi="Arial" w:cs="Arial"/>
                <w:b/>
                <w:sz w:val="21"/>
                <w:szCs w:val="21"/>
              </w:rPr>
              <w:t>1.0</w:t>
            </w:r>
            <w:r w:rsidR="00C52345" w:rsidRPr="00826530">
              <w:rPr>
                <w:rFonts w:ascii="Arial" w:hAnsi="Arial" w:cs="Arial"/>
                <w:b/>
                <w:sz w:val="21"/>
                <w:szCs w:val="21"/>
              </w:rPr>
              <w:t>1</w:t>
            </w:r>
          </w:p>
        </w:tc>
        <w:tc>
          <w:tcPr>
            <w:tcW w:w="756" w:type="dxa"/>
            <w:tcBorders>
              <w:left w:val="nil"/>
              <w:bottom w:val="nil"/>
            </w:tcBorders>
          </w:tcPr>
          <w:p w14:paraId="79D82161" w14:textId="133D1987" w:rsidR="00EF5FDB" w:rsidRPr="00826530" w:rsidRDefault="00EF5FDB" w:rsidP="00836582">
            <w:pPr>
              <w:jc w:val="center"/>
              <w:rPr>
                <w:rFonts w:ascii="Arial" w:hAnsi="Arial" w:cs="Arial"/>
                <w:b/>
                <w:sz w:val="21"/>
                <w:szCs w:val="21"/>
              </w:rPr>
            </w:pPr>
            <w:r w:rsidRPr="00826530">
              <w:rPr>
                <w:rFonts w:ascii="Arial" w:hAnsi="Arial" w:cs="Arial"/>
                <w:b/>
                <w:sz w:val="21"/>
                <w:szCs w:val="21"/>
              </w:rPr>
              <w:t>1.1</w:t>
            </w:r>
            <w:r w:rsidR="00C52345" w:rsidRPr="00826530">
              <w:rPr>
                <w:rFonts w:ascii="Arial" w:hAnsi="Arial" w:cs="Arial"/>
                <w:b/>
                <w:sz w:val="21"/>
                <w:szCs w:val="21"/>
              </w:rPr>
              <w:t>0</w:t>
            </w:r>
          </w:p>
        </w:tc>
      </w:tr>
      <w:tr w:rsidR="007D37AA" w:rsidRPr="00826530" w14:paraId="626917EB" w14:textId="7385797A" w:rsidTr="00BB1937">
        <w:trPr>
          <w:trHeight w:val="233"/>
        </w:trPr>
        <w:tc>
          <w:tcPr>
            <w:tcW w:w="3119" w:type="dxa"/>
            <w:tcBorders>
              <w:top w:val="nil"/>
              <w:bottom w:val="nil"/>
              <w:right w:val="nil"/>
            </w:tcBorders>
          </w:tcPr>
          <w:p w14:paraId="631FCA10" w14:textId="77777777" w:rsidR="00EF5FDB" w:rsidRPr="00826530" w:rsidRDefault="00EF5FDB" w:rsidP="00836582">
            <w:pPr>
              <w:rPr>
                <w:rFonts w:ascii="Arial" w:hAnsi="Arial" w:cs="Arial"/>
                <w:sz w:val="21"/>
                <w:szCs w:val="21"/>
              </w:rPr>
            </w:pPr>
            <w:r w:rsidRPr="00826530">
              <w:rPr>
                <w:rFonts w:ascii="Arial" w:hAnsi="Arial" w:cs="Arial"/>
                <w:sz w:val="21"/>
                <w:szCs w:val="21"/>
              </w:rPr>
              <w:t>Loneliness Scale</w:t>
            </w:r>
          </w:p>
        </w:tc>
        <w:tc>
          <w:tcPr>
            <w:tcW w:w="1831" w:type="dxa"/>
            <w:tcBorders>
              <w:top w:val="nil"/>
              <w:left w:val="nil"/>
              <w:bottom w:val="nil"/>
              <w:right w:val="nil"/>
            </w:tcBorders>
          </w:tcPr>
          <w:p w14:paraId="5597C3AB" w14:textId="77777777" w:rsidR="00EF5FDB" w:rsidRPr="00826530" w:rsidRDefault="00EF5FDB" w:rsidP="00836582">
            <w:pPr>
              <w:rPr>
                <w:rFonts w:ascii="Arial" w:hAnsi="Arial" w:cs="Arial"/>
                <w:sz w:val="21"/>
                <w:szCs w:val="21"/>
              </w:rPr>
            </w:pPr>
          </w:p>
        </w:tc>
        <w:tc>
          <w:tcPr>
            <w:tcW w:w="876" w:type="dxa"/>
            <w:tcBorders>
              <w:top w:val="nil"/>
              <w:left w:val="nil"/>
              <w:bottom w:val="nil"/>
              <w:right w:val="nil"/>
            </w:tcBorders>
          </w:tcPr>
          <w:p w14:paraId="3A3A5AA0" w14:textId="0D8735B6" w:rsidR="00EF5FDB" w:rsidRPr="00826530" w:rsidRDefault="00EF5FDB" w:rsidP="00836582">
            <w:pPr>
              <w:jc w:val="center"/>
              <w:rPr>
                <w:rFonts w:ascii="Arial" w:hAnsi="Arial" w:cs="Arial"/>
                <w:bCs/>
                <w:sz w:val="21"/>
                <w:szCs w:val="21"/>
              </w:rPr>
            </w:pPr>
            <w:r w:rsidRPr="00826530">
              <w:rPr>
                <w:rFonts w:ascii="Arial" w:hAnsi="Arial" w:cs="Arial"/>
                <w:bCs/>
                <w:sz w:val="21"/>
                <w:szCs w:val="21"/>
              </w:rPr>
              <w:t>1.</w:t>
            </w:r>
            <w:r w:rsidR="00C52345" w:rsidRPr="00826530">
              <w:rPr>
                <w:rFonts w:ascii="Arial" w:hAnsi="Arial" w:cs="Arial"/>
                <w:bCs/>
                <w:sz w:val="21"/>
                <w:szCs w:val="21"/>
              </w:rPr>
              <w:t>1</w:t>
            </w:r>
            <w:r w:rsidR="00A747A9" w:rsidRPr="00826530">
              <w:rPr>
                <w:rFonts w:ascii="Arial" w:hAnsi="Arial" w:cs="Arial"/>
                <w:bCs/>
                <w:sz w:val="21"/>
                <w:szCs w:val="21"/>
              </w:rPr>
              <w:t>9</w:t>
            </w:r>
          </w:p>
        </w:tc>
        <w:tc>
          <w:tcPr>
            <w:tcW w:w="756" w:type="dxa"/>
            <w:tcBorders>
              <w:top w:val="nil"/>
              <w:left w:val="nil"/>
              <w:bottom w:val="nil"/>
              <w:right w:val="nil"/>
            </w:tcBorders>
          </w:tcPr>
          <w:p w14:paraId="6BB38E5B" w14:textId="6104DA58" w:rsidR="00EF5FDB" w:rsidRPr="00826530" w:rsidRDefault="00EF5FDB" w:rsidP="00836582">
            <w:pPr>
              <w:jc w:val="center"/>
              <w:rPr>
                <w:rFonts w:ascii="Arial" w:hAnsi="Arial" w:cs="Arial"/>
                <w:b/>
                <w:sz w:val="21"/>
                <w:szCs w:val="21"/>
              </w:rPr>
            </w:pPr>
            <w:r w:rsidRPr="00826530">
              <w:rPr>
                <w:rFonts w:ascii="Arial" w:hAnsi="Arial" w:cs="Arial"/>
                <w:b/>
                <w:sz w:val="21"/>
                <w:szCs w:val="21"/>
              </w:rPr>
              <w:t>1.0</w:t>
            </w:r>
            <w:r w:rsidR="00A747A9" w:rsidRPr="00826530">
              <w:rPr>
                <w:rFonts w:ascii="Arial" w:hAnsi="Arial" w:cs="Arial"/>
                <w:b/>
                <w:sz w:val="21"/>
                <w:szCs w:val="21"/>
              </w:rPr>
              <w:t>2</w:t>
            </w:r>
          </w:p>
        </w:tc>
        <w:tc>
          <w:tcPr>
            <w:tcW w:w="756" w:type="dxa"/>
            <w:tcBorders>
              <w:top w:val="nil"/>
              <w:left w:val="nil"/>
              <w:bottom w:val="nil"/>
            </w:tcBorders>
          </w:tcPr>
          <w:p w14:paraId="6292253E" w14:textId="7F3F2441" w:rsidR="00EF5FDB" w:rsidRPr="00826530" w:rsidRDefault="00EF5FDB" w:rsidP="00836582">
            <w:pPr>
              <w:jc w:val="center"/>
              <w:rPr>
                <w:rFonts w:ascii="Arial" w:hAnsi="Arial" w:cs="Arial"/>
                <w:b/>
                <w:sz w:val="21"/>
                <w:szCs w:val="21"/>
              </w:rPr>
            </w:pPr>
            <w:r w:rsidRPr="00826530">
              <w:rPr>
                <w:rFonts w:ascii="Arial" w:hAnsi="Arial" w:cs="Arial"/>
                <w:b/>
                <w:sz w:val="21"/>
                <w:szCs w:val="21"/>
              </w:rPr>
              <w:t>1.</w:t>
            </w:r>
            <w:r w:rsidR="00C52345" w:rsidRPr="00826530">
              <w:rPr>
                <w:rFonts w:ascii="Arial" w:hAnsi="Arial" w:cs="Arial"/>
                <w:b/>
                <w:sz w:val="21"/>
                <w:szCs w:val="21"/>
              </w:rPr>
              <w:t>39</w:t>
            </w:r>
          </w:p>
        </w:tc>
      </w:tr>
      <w:tr w:rsidR="007D37AA" w:rsidRPr="00826530" w14:paraId="3D696156" w14:textId="1BABB955" w:rsidTr="00BB1937">
        <w:trPr>
          <w:trHeight w:val="233"/>
        </w:trPr>
        <w:tc>
          <w:tcPr>
            <w:tcW w:w="3119" w:type="dxa"/>
            <w:tcBorders>
              <w:top w:val="nil"/>
              <w:bottom w:val="nil"/>
              <w:right w:val="nil"/>
            </w:tcBorders>
          </w:tcPr>
          <w:p w14:paraId="74C76AB5" w14:textId="77777777" w:rsidR="00EF5FDB" w:rsidRPr="00826530" w:rsidRDefault="00EF5FDB" w:rsidP="00836582">
            <w:pPr>
              <w:rPr>
                <w:rFonts w:ascii="Arial" w:hAnsi="Arial" w:cs="Arial"/>
                <w:sz w:val="21"/>
                <w:szCs w:val="21"/>
              </w:rPr>
            </w:pPr>
            <w:r w:rsidRPr="00826530">
              <w:rPr>
                <w:rFonts w:ascii="Arial" w:hAnsi="Arial" w:cs="Arial"/>
                <w:sz w:val="21"/>
                <w:szCs w:val="21"/>
              </w:rPr>
              <w:t>HADS Anxiety</w:t>
            </w:r>
          </w:p>
        </w:tc>
        <w:tc>
          <w:tcPr>
            <w:tcW w:w="1831" w:type="dxa"/>
            <w:tcBorders>
              <w:top w:val="nil"/>
              <w:left w:val="nil"/>
              <w:bottom w:val="nil"/>
              <w:right w:val="nil"/>
            </w:tcBorders>
          </w:tcPr>
          <w:p w14:paraId="2155A7E1" w14:textId="77777777" w:rsidR="00EF5FDB" w:rsidRPr="00826530" w:rsidRDefault="00EF5FDB" w:rsidP="00836582">
            <w:pPr>
              <w:rPr>
                <w:rFonts w:ascii="Arial" w:hAnsi="Arial" w:cs="Arial"/>
                <w:sz w:val="21"/>
                <w:szCs w:val="21"/>
              </w:rPr>
            </w:pPr>
          </w:p>
        </w:tc>
        <w:tc>
          <w:tcPr>
            <w:tcW w:w="876" w:type="dxa"/>
            <w:tcBorders>
              <w:top w:val="nil"/>
              <w:left w:val="nil"/>
              <w:bottom w:val="nil"/>
              <w:right w:val="nil"/>
            </w:tcBorders>
          </w:tcPr>
          <w:p w14:paraId="6E161B9B" w14:textId="32FAA3D0" w:rsidR="00EF5FDB" w:rsidRPr="00826530" w:rsidRDefault="00EF5FDB" w:rsidP="00836582">
            <w:pPr>
              <w:jc w:val="center"/>
              <w:rPr>
                <w:rFonts w:ascii="Arial" w:hAnsi="Arial" w:cs="Arial"/>
                <w:bCs/>
                <w:sz w:val="21"/>
                <w:szCs w:val="21"/>
              </w:rPr>
            </w:pPr>
            <w:r w:rsidRPr="00826530">
              <w:rPr>
                <w:rFonts w:ascii="Arial" w:hAnsi="Arial" w:cs="Arial"/>
                <w:bCs/>
                <w:sz w:val="21"/>
                <w:szCs w:val="21"/>
              </w:rPr>
              <w:t>1.0</w:t>
            </w:r>
            <w:r w:rsidR="00C52345" w:rsidRPr="00826530">
              <w:rPr>
                <w:rFonts w:ascii="Arial" w:hAnsi="Arial" w:cs="Arial"/>
                <w:bCs/>
                <w:sz w:val="21"/>
                <w:szCs w:val="21"/>
              </w:rPr>
              <w:t>8</w:t>
            </w:r>
          </w:p>
        </w:tc>
        <w:tc>
          <w:tcPr>
            <w:tcW w:w="756" w:type="dxa"/>
            <w:tcBorders>
              <w:top w:val="nil"/>
              <w:left w:val="nil"/>
              <w:bottom w:val="nil"/>
              <w:right w:val="nil"/>
            </w:tcBorders>
          </w:tcPr>
          <w:p w14:paraId="612E0457" w14:textId="0E7CC63B" w:rsidR="00EF5FDB" w:rsidRPr="00826530" w:rsidRDefault="00A747A9" w:rsidP="00836582">
            <w:pPr>
              <w:jc w:val="center"/>
              <w:rPr>
                <w:rFonts w:ascii="Arial" w:hAnsi="Arial" w:cs="Arial"/>
                <w:b/>
                <w:bCs/>
                <w:sz w:val="21"/>
                <w:szCs w:val="21"/>
              </w:rPr>
            </w:pPr>
            <w:r w:rsidRPr="00826530">
              <w:rPr>
                <w:rFonts w:ascii="Arial" w:hAnsi="Arial" w:cs="Arial"/>
                <w:b/>
                <w:bCs/>
                <w:sz w:val="21"/>
                <w:szCs w:val="21"/>
              </w:rPr>
              <w:t>1.001</w:t>
            </w:r>
          </w:p>
        </w:tc>
        <w:tc>
          <w:tcPr>
            <w:tcW w:w="756" w:type="dxa"/>
            <w:tcBorders>
              <w:top w:val="nil"/>
              <w:left w:val="nil"/>
              <w:bottom w:val="nil"/>
            </w:tcBorders>
          </w:tcPr>
          <w:p w14:paraId="25F1A462" w14:textId="2FF38F4E" w:rsidR="00EF5FDB" w:rsidRPr="00826530" w:rsidRDefault="00EF5FDB" w:rsidP="00836582">
            <w:pPr>
              <w:jc w:val="center"/>
              <w:rPr>
                <w:rFonts w:ascii="Arial" w:hAnsi="Arial" w:cs="Arial"/>
                <w:b/>
                <w:bCs/>
                <w:sz w:val="21"/>
                <w:szCs w:val="21"/>
              </w:rPr>
            </w:pPr>
            <w:r w:rsidRPr="00826530">
              <w:rPr>
                <w:rFonts w:ascii="Arial" w:hAnsi="Arial" w:cs="Arial"/>
                <w:b/>
                <w:bCs/>
                <w:sz w:val="21"/>
                <w:szCs w:val="21"/>
              </w:rPr>
              <w:t>1.</w:t>
            </w:r>
            <w:r w:rsidR="00C52345" w:rsidRPr="00826530">
              <w:rPr>
                <w:rFonts w:ascii="Arial" w:hAnsi="Arial" w:cs="Arial"/>
                <w:b/>
                <w:bCs/>
                <w:sz w:val="21"/>
                <w:szCs w:val="21"/>
              </w:rPr>
              <w:t>1</w:t>
            </w:r>
            <w:r w:rsidR="00A747A9" w:rsidRPr="00826530">
              <w:rPr>
                <w:rFonts w:ascii="Arial" w:hAnsi="Arial" w:cs="Arial"/>
                <w:b/>
                <w:bCs/>
                <w:sz w:val="21"/>
                <w:szCs w:val="21"/>
              </w:rPr>
              <w:t>7</w:t>
            </w:r>
          </w:p>
        </w:tc>
      </w:tr>
      <w:tr w:rsidR="007D37AA" w:rsidRPr="00826530" w14:paraId="4A502145" w14:textId="423C0769" w:rsidTr="00BB1937">
        <w:trPr>
          <w:trHeight w:val="233"/>
        </w:trPr>
        <w:tc>
          <w:tcPr>
            <w:tcW w:w="3119" w:type="dxa"/>
            <w:tcBorders>
              <w:top w:val="nil"/>
              <w:bottom w:val="single" w:sz="4" w:space="0" w:color="auto"/>
              <w:right w:val="nil"/>
            </w:tcBorders>
          </w:tcPr>
          <w:p w14:paraId="0EC7F105" w14:textId="77777777" w:rsidR="00EF5FDB" w:rsidRPr="00826530" w:rsidRDefault="00EF5FDB" w:rsidP="00836582">
            <w:pPr>
              <w:rPr>
                <w:rFonts w:ascii="Arial" w:hAnsi="Arial" w:cs="Arial"/>
                <w:sz w:val="21"/>
                <w:szCs w:val="21"/>
              </w:rPr>
            </w:pPr>
            <w:r w:rsidRPr="00826530">
              <w:rPr>
                <w:rFonts w:ascii="Arial" w:hAnsi="Arial" w:cs="Arial"/>
                <w:sz w:val="21"/>
                <w:szCs w:val="21"/>
              </w:rPr>
              <w:t>HADS Depression</w:t>
            </w:r>
          </w:p>
        </w:tc>
        <w:tc>
          <w:tcPr>
            <w:tcW w:w="1831" w:type="dxa"/>
            <w:tcBorders>
              <w:top w:val="nil"/>
              <w:left w:val="nil"/>
              <w:bottom w:val="single" w:sz="4" w:space="0" w:color="auto"/>
              <w:right w:val="nil"/>
            </w:tcBorders>
          </w:tcPr>
          <w:p w14:paraId="2775F8F3" w14:textId="77777777" w:rsidR="00EF5FDB" w:rsidRPr="00826530" w:rsidRDefault="00EF5FDB" w:rsidP="00836582">
            <w:pPr>
              <w:rPr>
                <w:rFonts w:ascii="Arial" w:hAnsi="Arial" w:cs="Arial"/>
                <w:sz w:val="21"/>
                <w:szCs w:val="21"/>
              </w:rPr>
            </w:pPr>
          </w:p>
        </w:tc>
        <w:tc>
          <w:tcPr>
            <w:tcW w:w="876" w:type="dxa"/>
            <w:tcBorders>
              <w:top w:val="nil"/>
              <w:left w:val="nil"/>
              <w:bottom w:val="single" w:sz="4" w:space="0" w:color="auto"/>
              <w:right w:val="nil"/>
            </w:tcBorders>
          </w:tcPr>
          <w:p w14:paraId="73DC5B97" w14:textId="5750EAD4" w:rsidR="00EF5FDB" w:rsidRPr="00826530" w:rsidRDefault="00EF5FDB" w:rsidP="00836582">
            <w:pPr>
              <w:jc w:val="center"/>
              <w:rPr>
                <w:rFonts w:ascii="Arial" w:hAnsi="Arial" w:cs="Arial"/>
                <w:bCs/>
                <w:sz w:val="21"/>
                <w:szCs w:val="21"/>
              </w:rPr>
            </w:pPr>
            <w:r w:rsidRPr="00826530">
              <w:rPr>
                <w:rFonts w:ascii="Arial" w:hAnsi="Arial" w:cs="Arial"/>
                <w:bCs/>
                <w:sz w:val="21"/>
                <w:szCs w:val="21"/>
              </w:rPr>
              <w:t>0.8</w:t>
            </w:r>
            <w:r w:rsidR="00C52345" w:rsidRPr="00826530">
              <w:rPr>
                <w:rFonts w:ascii="Arial" w:hAnsi="Arial" w:cs="Arial"/>
                <w:bCs/>
                <w:sz w:val="21"/>
                <w:szCs w:val="21"/>
              </w:rPr>
              <w:t>9</w:t>
            </w:r>
          </w:p>
        </w:tc>
        <w:tc>
          <w:tcPr>
            <w:tcW w:w="756" w:type="dxa"/>
            <w:tcBorders>
              <w:top w:val="nil"/>
              <w:left w:val="nil"/>
              <w:bottom w:val="single" w:sz="4" w:space="0" w:color="auto"/>
              <w:right w:val="nil"/>
            </w:tcBorders>
          </w:tcPr>
          <w:p w14:paraId="67B29D79" w14:textId="71C905DE" w:rsidR="00EF5FDB" w:rsidRPr="00826530" w:rsidRDefault="00EF5FDB" w:rsidP="00836582">
            <w:pPr>
              <w:jc w:val="center"/>
              <w:rPr>
                <w:rFonts w:ascii="Arial" w:hAnsi="Arial" w:cs="Arial"/>
                <w:b/>
                <w:sz w:val="21"/>
                <w:szCs w:val="21"/>
              </w:rPr>
            </w:pPr>
            <w:r w:rsidRPr="00826530">
              <w:rPr>
                <w:rFonts w:ascii="Arial" w:hAnsi="Arial" w:cs="Arial"/>
                <w:b/>
                <w:sz w:val="21"/>
                <w:szCs w:val="21"/>
              </w:rPr>
              <w:t>0.</w:t>
            </w:r>
            <w:r w:rsidR="00C52345" w:rsidRPr="00826530">
              <w:rPr>
                <w:rFonts w:ascii="Arial" w:hAnsi="Arial" w:cs="Arial"/>
                <w:b/>
                <w:sz w:val="21"/>
                <w:szCs w:val="21"/>
              </w:rPr>
              <w:t>81</w:t>
            </w:r>
          </w:p>
        </w:tc>
        <w:tc>
          <w:tcPr>
            <w:tcW w:w="756" w:type="dxa"/>
            <w:tcBorders>
              <w:top w:val="nil"/>
              <w:left w:val="nil"/>
              <w:bottom w:val="single" w:sz="4" w:space="0" w:color="auto"/>
            </w:tcBorders>
          </w:tcPr>
          <w:p w14:paraId="13F52FBF" w14:textId="53973E25" w:rsidR="00EF5FDB" w:rsidRPr="00826530" w:rsidRDefault="00EF5FDB" w:rsidP="00836582">
            <w:pPr>
              <w:jc w:val="center"/>
              <w:rPr>
                <w:rFonts w:ascii="Arial" w:hAnsi="Arial" w:cs="Arial"/>
                <w:b/>
                <w:sz w:val="21"/>
                <w:szCs w:val="21"/>
              </w:rPr>
            </w:pPr>
            <w:r w:rsidRPr="00826530">
              <w:rPr>
                <w:rFonts w:ascii="Arial" w:hAnsi="Arial" w:cs="Arial"/>
                <w:b/>
                <w:sz w:val="21"/>
                <w:szCs w:val="21"/>
              </w:rPr>
              <w:t>0.9</w:t>
            </w:r>
            <w:r w:rsidR="00C52345" w:rsidRPr="00826530">
              <w:rPr>
                <w:rFonts w:ascii="Arial" w:hAnsi="Arial" w:cs="Arial"/>
                <w:b/>
                <w:sz w:val="21"/>
                <w:szCs w:val="21"/>
              </w:rPr>
              <w:t>7</w:t>
            </w:r>
          </w:p>
        </w:tc>
      </w:tr>
      <w:tr w:rsidR="00BB1937" w:rsidRPr="00826530" w14:paraId="1C08C19E" w14:textId="77777777" w:rsidTr="00C14EAA">
        <w:trPr>
          <w:trHeight w:val="233"/>
        </w:trPr>
        <w:tc>
          <w:tcPr>
            <w:tcW w:w="6582" w:type="dxa"/>
            <w:gridSpan w:val="4"/>
            <w:tcBorders>
              <w:top w:val="single" w:sz="4" w:space="0" w:color="auto"/>
              <w:bottom w:val="single" w:sz="4" w:space="0" w:color="auto"/>
              <w:right w:val="nil"/>
            </w:tcBorders>
          </w:tcPr>
          <w:p w14:paraId="550A68D2" w14:textId="33248748" w:rsidR="00BB1937" w:rsidRPr="00826530" w:rsidRDefault="00BB1937" w:rsidP="00BB1937">
            <w:pPr>
              <w:rPr>
                <w:rFonts w:ascii="Arial" w:hAnsi="Arial" w:cs="Arial"/>
                <w:b/>
                <w:sz w:val="21"/>
                <w:szCs w:val="21"/>
              </w:rPr>
            </w:pPr>
            <w:r w:rsidRPr="00826530">
              <w:rPr>
                <w:rFonts w:ascii="Arial" w:hAnsi="Arial" w:cs="Arial"/>
                <w:b/>
                <w:sz w:val="21"/>
                <w:szCs w:val="21"/>
              </w:rPr>
              <w:t>Continuous sexual behaviour variables</w:t>
            </w:r>
          </w:p>
        </w:tc>
        <w:tc>
          <w:tcPr>
            <w:tcW w:w="756" w:type="dxa"/>
            <w:tcBorders>
              <w:top w:val="single" w:sz="4" w:space="0" w:color="auto"/>
              <w:left w:val="nil"/>
              <w:bottom w:val="single" w:sz="4" w:space="0" w:color="auto"/>
            </w:tcBorders>
          </w:tcPr>
          <w:p w14:paraId="0B6425BF" w14:textId="77777777" w:rsidR="00BB1937" w:rsidRPr="00826530" w:rsidRDefault="00BB1937" w:rsidP="00836582">
            <w:pPr>
              <w:jc w:val="center"/>
              <w:rPr>
                <w:rFonts w:ascii="Arial" w:hAnsi="Arial" w:cs="Arial"/>
                <w:b/>
                <w:sz w:val="21"/>
                <w:szCs w:val="21"/>
              </w:rPr>
            </w:pPr>
          </w:p>
        </w:tc>
      </w:tr>
      <w:tr w:rsidR="00BB1937" w:rsidRPr="00826530" w14:paraId="21D16C14" w14:textId="77777777" w:rsidTr="00BB1937">
        <w:trPr>
          <w:trHeight w:val="233"/>
        </w:trPr>
        <w:tc>
          <w:tcPr>
            <w:tcW w:w="3119" w:type="dxa"/>
            <w:tcBorders>
              <w:top w:val="single" w:sz="4" w:space="0" w:color="auto"/>
              <w:bottom w:val="nil"/>
              <w:right w:val="nil"/>
            </w:tcBorders>
          </w:tcPr>
          <w:p w14:paraId="5E182032" w14:textId="3A4F21E3" w:rsidR="00BB1937" w:rsidRPr="00826530" w:rsidRDefault="00BB1937" w:rsidP="00BB1937">
            <w:pPr>
              <w:rPr>
                <w:rFonts w:ascii="Arial" w:hAnsi="Arial" w:cs="Arial"/>
                <w:sz w:val="21"/>
                <w:szCs w:val="21"/>
              </w:rPr>
            </w:pPr>
            <w:r w:rsidRPr="00826530">
              <w:rPr>
                <w:rFonts w:ascii="Arial" w:hAnsi="Arial" w:cs="Arial"/>
                <w:sz w:val="21"/>
                <w:szCs w:val="21"/>
              </w:rPr>
              <w:t># Male Sex Number</w:t>
            </w:r>
          </w:p>
        </w:tc>
        <w:tc>
          <w:tcPr>
            <w:tcW w:w="1831" w:type="dxa"/>
            <w:tcBorders>
              <w:top w:val="single" w:sz="4" w:space="0" w:color="auto"/>
              <w:left w:val="nil"/>
              <w:bottom w:val="nil"/>
              <w:right w:val="nil"/>
            </w:tcBorders>
          </w:tcPr>
          <w:p w14:paraId="5E9803B1" w14:textId="77777777" w:rsidR="00BB1937" w:rsidRPr="00826530" w:rsidRDefault="00BB1937" w:rsidP="00BB1937">
            <w:pPr>
              <w:rPr>
                <w:rFonts w:ascii="Arial" w:hAnsi="Arial" w:cs="Arial"/>
                <w:sz w:val="21"/>
                <w:szCs w:val="21"/>
              </w:rPr>
            </w:pPr>
          </w:p>
        </w:tc>
        <w:tc>
          <w:tcPr>
            <w:tcW w:w="876" w:type="dxa"/>
            <w:tcBorders>
              <w:top w:val="single" w:sz="4" w:space="0" w:color="auto"/>
              <w:left w:val="nil"/>
              <w:bottom w:val="nil"/>
              <w:right w:val="nil"/>
            </w:tcBorders>
          </w:tcPr>
          <w:p w14:paraId="08D27BDD" w14:textId="68A14237" w:rsidR="00BB1937" w:rsidRPr="00826530" w:rsidRDefault="00BB1937" w:rsidP="00BB1937">
            <w:pPr>
              <w:jc w:val="center"/>
              <w:rPr>
                <w:rFonts w:ascii="Arial" w:hAnsi="Arial" w:cs="Arial"/>
                <w:bCs/>
                <w:sz w:val="21"/>
                <w:szCs w:val="21"/>
              </w:rPr>
            </w:pPr>
            <w:r w:rsidRPr="00826530">
              <w:rPr>
                <w:rFonts w:ascii="Arial" w:hAnsi="Arial" w:cs="Arial"/>
                <w:bCs/>
                <w:sz w:val="21"/>
                <w:szCs w:val="21"/>
              </w:rPr>
              <w:t>1.01</w:t>
            </w:r>
          </w:p>
        </w:tc>
        <w:tc>
          <w:tcPr>
            <w:tcW w:w="756" w:type="dxa"/>
            <w:tcBorders>
              <w:top w:val="single" w:sz="4" w:space="0" w:color="auto"/>
              <w:left w:val="nil"/>
              <w:bottom w:val="nil"/>
              <w:right w:val="nil"/>
            </w:tcBorders>
          </w:tcPr>
          <w:p w14:paraId="0DE6899B" w14:textId="0D762980" w:rsidR="00BB1937" w:rsidRPr="00826530" w:rsidRDefault="00BB1937" w:rsidP="00BB1937">
            <w:pPr>
              <w:jc w:val="center"/>
              <w:rPr>
                <w:rFonts w:ascii="Arial" w:hAnsi="Arial" w:cs="Arial"/>
                <w:b/>
                <w:sz w:val="21"/>
                <w:szCs w:val="21"/>
              </w:rPr>
            </w:pPr>
            <w:r w:rsidRPr="00826530">
              <w:rPr>
                <w:rFonts w:ascii="Arial" w:hAnsi="Arial" w:cs="Arial"/>
                <w:b/>
                <w:sz w:val="21"/>
                <w:szCs w:val="21"/>
              </w:rPr>
              <w:t>1.005</w:t>
            </w:r>
          </w:p>
        </w:tc>
        <w:tc>
          <w:tcPr>
            <w:tcW w:w="756" w:type="dxa"/>
            <w:tcBorders>
              <w:top w:val="single" w:sz="4" w:space="0" w:color="auto"/>
              <w:left w:val="nil"/>
              <w:bottom w:val="nil"/>
            </w:tcBorders>
          </w:tcPr>
          <w:p w14:paraId="6039BB40" w14:textId="0922CE19" w:rsidR="00BB1937" w:rsidRPr="00826530" w:rsidRDefault="00BB1937" w:rsidP="00BB1937">
            <w:pPr>
              <w:jc w:val="center"/>
              <w:rPr>
                <w:rFonts w:ascii="Arial" w:hAnsi="Arial" w:cs="Arial"/>
                <w:b/>
                <w:sz w:val="21"/>
                <w:szCs w:val="21"/>
              </w:rPr>
            </w:pPr>
            <w:r w:rsidRPr="00826530">
              <w:rPr>
                <w:rFonts w:ascii="Arial" w:hAnsi="Arial" w:cs="Arial"/>
                <w:b/>
                <w:sz w:val="21"/>
                <w:szCs w:val="21"/>
              </w:rPr>
              <w:t>1.02</w:t>
            </w:r>
          </w:p>
        </w:tc>
      </w:tr>
      <w:tr w:rsidR="00BB1937" w:rsidRPr="00826530" w14:paraId="015A2779" w14:textId="77777777" w:rsidTr="00BB1937">
        <w:trPr>
          <w:trHeight w:val="233"/>
        </w:trPr>
        <w:tc>
          <w:tcPr>
            <w:tcW w:w="3119" w:type="dxa"/>
            <w:tcBorders>
              <w:top w:val="nil"/>
              <w:bottom w:val="single" w:sz="4" w:space="0" w:color="auto"/>
              <w:right w:val="nil"/>
            </w:tcBorders>
          </w:tcPr>
          <w:p w14:paraId="09115FA0" w14:textId="41B97AB5" w:rsidR="00BB1937" w:rsidRPr="00826530" w:rsidRDefault="00BB1937" w:rsidP="00BB1937">
            <w:pPr>
              <w:rPr>
                <w:rFonts w:ascii="Arial" w:hAnsi="Arial" w:cs="Arial"/>
                <w:sz w:val="21"/>
                <w:szCs w:val="21"/>
              </w:rPr>
            </w:pPr>
            <w:r w:rsidRPr="00826530">
              <w:rPr>
                <w:rFonts w:ascii="Arial" w:hAnsi="Arial" w:cs="Arial"/>
                <w:sz w:val="21"/>
                <w:szCs w:val="21"/>
              </w:rPr>
              <w:t># Female Sex Number</w:t>
            </w:r>
          </w:p>
        </w:tc>
        <w:tc>
          <w:tcPr>
            <w:tcW w:w="1831" w:type="dxa"/>
            <w:tcBorders>
              <w:top w:val="nil"/>
              <w:left w:val="nil"/>
              <w:bottom w:val="single" w:sz="4" w:space="0" w:color="auto"/>
              <w:right w:val="nil"/>
            </w:tcBorders>
          </w:tcPr>
          <w:p w14:paraId="7A8E3039" w14:textId="77777777" w:rsidR="00BB1937" w:rsidRPr="00826530" w:rsidRDefault="00BB1937" w:rsidP="00BB1937">
            <w:pPr>
              <w:rPr>
                <w:rFonts w:ascii="Arial" w:hAnsi="Arial" w:cs="Arial"/>
                <w:sz w:val="21"/>
                <w:szCs w:val="21"/>
              </w:rPr>
            </w:pPr>
          </w:p>
        </w:tc>
        <w:tc>
          <w:tcPr>
            <w:tcW w:w="876" w:type="dxa"/>
            <w:tcBorders>
              <w:top w:val="nil"/>
              <w:left w:val="nil"/>
              <w:bottom w:val="single" w:sz="4" w:space="0" w:color="auto"/>
              <w:right w:val="nil"/>
            </w:tcBorders>
          </w:tcPr>
          <w:p w14:paraId="3BDCF644" w14:textId="71B0A4C6" w:rsidR="00BB1937" w:rsidRPr="00826530" w:rsidRDefault="00BB1937" w:rsidP="00BB1937">
            <w:pPr>
              <w:jc w:val="center"/>
              <w:rPr>
                <w:rFonts w:ascii="Arial" w:hAnsi="Arial" w:cs="Arial"/>
                <w:bCs/>
                <w:sz w:val="21"/>
                <w:szCs w:val="21"/>
              </w:rPr>
            </w:pPr>
            <w:r w:rsidRPr="00826530">
              <w:rPr>
                <w:rFonts w:ascii="Arial" w:hAnsi="Arial" w:cs="Arial"/>
                <w:bCs/>
                <w:sz w:val="21"/>
                <w:szCs w:val="21"/>
              </w:rPr>
              <w:t>1.95</w:t>
            </w:r>
          </w:p>
        </w:tc>
        <w:tc>
          <w:tcPr>
            <w:tcW w:w="756" w:type="dxa"/>
            <w:tcBorders>
              <w:top w:val="nil"/>
              <w:left w:val="nil"/>
              <w:bottom w:val="single" w:sz="4" w:space="0" w:color="auto"/>
              <w:right w:val="nil"/>
            </w:tcBorders>
          </w:tcPr>
          <w:p w14:paraId="26E05669" w14:textId="20AE31BF" w:rsidR="00BB1937" w:rsidRPr="00826530" w:rsidRDefault="00BB1937" w:rsidP="00BB1937">
            <w:pPr>
              <w:jc w:val="center"/>
              <w:rPr>
                <w:rFonts w:ascii="Arial" w:hAnsi="Arial" w:cs="Arial"/>
                <w:b/>
                <w:sz w:val="21"/>
                <w:szCs w:val="21"/>
              </w:rPr>
            </w:pPr>
            <w:r w:rsidRPr="00826530">
              <w:rPr>
                <w:rFonts w:ascii="Arial" w:hAnsi="Arial" w:cs="Arial"/>
                <w:b/>
                <w:sz w:val="21"/>
                <w:szCs w:val="21"/>
              </w:rPr>
              <w:t>1.35</w:t>
            </w:r>
          </w:p>
        </w:tc>
        <w:tc>
          <w:tcPr>
            <w:tcW w:w="756" w:type="dxa"/>
            <w:tcBorders>
              <w:top w:val="nil"/>
              <w:left w:val="nil"/>
              <w:bottom w:val="single" w:sz="4" w:space="0" w:color="auto"/>
            </w:tcBorders>
          </w:tcPr>
          <w:p w14:paraId="075FCD78" w14:textId="55B742EE" w:rsidR="00BB1937" w:rsidRPr="00826530" w:rsidRDefault="00BB1937" w:rsidP="00BB1937">
            <w:pPr>
              <w:jc w:val="center"/>
              <w:rPr>
                <w:rFonts w:ascii="Arial" w:hAnsi="Arial" w:cs="Arial"/>
                <w:b/>
                <w:sz w:val="21"/>
                <w:szCs w:val="21"/>
              </w:rPr>
            </w:pPr>
            <w:r w:rsidRPr="00826530">
              <w:rPr>
                <w:rFonts w:ascii="Arial" w:hAnsi="Arial" w:cs="Arial"/>
                <w:b/>
                <w:sz w:val="21"/>
                <w:szCs w:val="21"/>
              </w:rPr>
              <w:t>2.85</w:t>
            </w:r>
          </w:p>
        </w:tc>
      </w:tr>
    </w:tbl>
    <w:p w14:paraId="79365059" w14:textId="2C00CB38" w:rsidR="00F22BCF" w:rsidRPr="00826530" w:rsidRDefault="00851673">
      <w:pPr>
        <w:spacing w:line="480" w:lineRule="auto"/>
        <w:rPr>
          <w:rFonts w:ascii="Arial" w:hAnsi="Arial" w:cs="Arial"/>
          <w:i/>
          <w:iCs/>
        </w:rPr>
      </w:pPr>
      <w:bookmarkStart w:id="2" w:name="_Hlk511420254"/>
      <w:r w:rsidRPr="00826530">
        <w:rPr>
          <w:rFonts w:ascii="Arial" w:hAnsi="Arial" w:cs="Arial"/>
          <w:i/>
          <w:iCs/>
        </w:rPr>
        <w:t xml:space="preserve">Note: p6m=past 6 months; </w:t>
      </w:r>
      <w:r w:rsidR="007D37AA" w:rsidRPr="00826530">
        <w:rPr>
          <w:rFonts w:ascii="Arial" w:hAnsi="Arial" w:cs="Arial"/>
          <w:i/>
          <w:iCs/>
        </w:rPr>
        <w:t xml:space="preserve">CAS= condomless anal </w:t>
      </w:r>
      <w:proofErr w:type="gramStart"/>
      <w:r w:rsidR="007D37AA" w:rsidRPr="00826530">
        <w:rPr>
          <w:rFonts w:ascii="Arial" w:hAnsi="Arial" w:cs="Arial"/>
          <w:i/>
          <w:iCs/>
        </w:rPr>
        <w:t>sex</w:t>
      </w:r>
      <w:r w:rsidR="00BB1937" w:rsidRPr="00826530">
        <w:rPr>
          <w:rFonts w:ascii="Arial" w:hAnsi="Arial" w:cs="Arial"/>
          <w:i/>
          <w:iCs/>
        </w:rPr>
        <w:t xml:space="preserve">; </w:t>
      </w:r>
      <w:r w:rsidRPr="00826530">
        <w:rPr>
          <w:rFonts w:ascii="Arial" w:hAnsi="Arial" w:cs="Arial"/>
          <w:i/>
          <w:iCs/>
        </w:rPr>
        <w:t xml:space="preserve"> </w:t>
      </w:r>
      <w:r w:rsidR="00F9220D" w:rsidRPr="00826530">
        <w:rPr>
          <w:rFonts w:ascii="Arial" w:hAnsi="Arial" w:cs="Arial"/>
          <w:i/>
          <w:iCs/>
          <w:vertAlign w:val="superscript"/>
        </w:rPr>
        <w:t>1</w:t>
      </w:r>
      <w:proofErr w:type="gramEnd"/>
      <w:r w:rsidR="00995243" w:rsidRPr="00826530">
        <w:rPr>
          <w:rFonts w:ascii="Arial" w:hAnsi="Arial" w:cs="Arial"/>
          <w:i/>
          <w:iCs/>
          <w:vertAlign w:val="superscript"/>
        </w:rPr>
        <w:t xml:space="preserve"> </w:t>
      </w:r>
      <w:r w:rsidR="00995243" w:rsidRPr="00826530">
        <w:rPr>
          <w:rFonts w:ascii="Arial" w:hAnsi="Arial" w:cs="Arial"/>
          <w:i/>
          <w:iCs/>
        </w:rPr>
        <w:t>dichotomous yes/no variable</w:t>
      </w:r>
      <w:bookmarkEnd w:id="0"/>
      <w:bookmarkEnd w:id="1"/>
      <w:bookmarkEnd w:id="2"/>
    </w:p>
    <w:sectPr w:rsidR="00F22BCF" w:rsidRPr="008265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5066" w14:textId="77777777" w:rsidR="00C20A75" w:rsidRDefault="00C20A75" w:rsidP="00B72E0A">
      <w:r>
        <w:separator/>
      </w:r>
    </w:p>
  </w:endnote>
  <w:endnote w:type="continuationSeparator" w:id="0">
    <w:p w14:paraId="641EA814" w14:textId="77777777" w:rsidR="00C20A75" w:rsidRDefault="00C20A75" w:rsidP="00B7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6677" w14:textId="77777777" w:rsidR="00C20A75" w:rsidRDefault="00C20A75" w:rsidP="00B72E0A">
      <w:r>
        <w:separator/>
      </w:r>
    </w:p>
  </w:footnote>
  <w:footnote w:type="continuationSeparator" w:id="0">
    <w:p w14:paraId="4D870B03" w14:textId="77777777" w:rsidR="00C20A75" w:rsidRDefault="00C20A75" w:rsidP="00B7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138910"/>
      <w:docPartObj>
        <w:docPartGallery w:val="Page Numbers (Top of Page)"/>
        <w:docPartUnique/>
      </w:docPartObj>
    </w:sdtPr>
    <w:sdtEndPr>
      <w:rPr>
        <w:rStyle w:val="PageNumber"/>
      </w:rPr>
    </w:sdtEndPr>
    <w:sdtContent>
      <w:p w14:paraId="18C0BE0B" w14:textId="0D3DA11C" w:rsidR="00197111" w:rsidRDefault="00197111" w:rsidP="00961C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12FE4" w14:textId="77777777" w:rsidR="00197111" w:rsidRDefault="00197111" w:rsidP="00B72E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rPr>
      <w:id w:val="-2138399303"/>
      <w:docPartObj>
        <w:docPartGallery w:val="Page Numbers (Top of Page)"/>
        <w:docPartUnique/>
      </w:docPartObj>
    </w:sdtPr>
    <w:sdtEndPr>
      <w:rPr>
        <w:rStyle w:val="PageNumber"/>
      </w:rPr>
    </w:sdtEndPr>
    <w:sdtContent>
      <w:p w14:paraId="75F41C97" w14:textId="74259A40" w:rsidR="00197111" w:rsidRPr="00F4416D" w:rsidRDefault="00197111" w:rsidP="00961C0D">
        <w:pPr>
          <w:pStyle w:val="Header"/>
          <w:framePr w:wrap="none" w:vAnchor="text" w:hAnchor="margin" w:xAlign="right" w:y="1"/>
          <w:rPr>
            <w:rStyle w:val="PageNumber"/>
            <w:rFonts w:ascii="Times" w:hAnsi="Times"/>
          </w:rPr>
        </w:pPr>
        <w:r w:rsidRPr="00F4416D">
          <w:rPr>
            <w:rStyle w:val="PageNumber"/>
            <w:rFonts w:ascii="Times" w:hAnsi="Times"/>
          </w:rPr>
          <w:fldChar w:fldCharType="begin"/>
        </w:r>
        <w:r w:rsidRPr="00F4416D">
          <w:rPr>
            <w:rStyle w:val="PageNumber"/>
            <w:rFonts w:ascii="Times" w:hAnsi="Times"/>
          </w:rPr>
          <w:instrText xml:space="preserve"> PAGE </w:instrText>
        </w:r>
        <w:r w:rsidRPr="00F4416D">
          <w:rPr>
            <w:rStyle w:val="PageNumber"/>
            <w:rFonts w:ascii="Times" w:hAnsi="Times"/>
          </w:rPr>
          <w:fldChar w:fldCharType="separate"/>
        </w:r>
        <w:r w:rsidR="003209EC">
          <w:rPr>
            <w:rStyle w:val="PageNumber"/>
            <w:rFonts w:ascii="Times" w:hAnsi="Times"/>
            <w:noProof/>
          </w:rPr>
          <w:t>21</w:t>
        </w:r>
        <w:r w:rsidRPr="00F4416D">
          <w:rPr>
            <w:rStyle w:val="PageNumber"/>
            <w:rFonts w:ascii="Times" w:hAnsi="Times"/>
          </w:rPr>
          <w:fldChar w:fldCharType="end"/>
        </w:r>
      </w:p>
    </w:sdtContent>
  </w:sdt>
  <w:p w14:paraId="1E2A2E46" w14:textId="4A81D0D6" w:rsidR="00197111" w:rsidRPr="00A1437F" w:rsidRDefault="00197111" w:rsidP="00B72E0A">
    <w:pPr>
      <w:pStyle w:val="Header"/>
      <w:ind w:right="360"/>
      <w:rPr>
        <w:rFonts w:ascii="Times" w:hAnsi="Times"/>
      </w:rPr>
    </w:pPr>
    <w:r>
      <w:rPr>
        <w:rFonts w:ascii="Times" w:hAnsi="Times"/>
      </w:rPr>
      <w:t>TRANSACTIONAL SEX AMONG GBM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202"/>
    <w:multiLevelType w:val="hybridMultilevel"/>
    <w:tmpl w:val="ED7659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EF55C1A"/>
    <w:multiLevelType w:val="hybridMultilevel"/>
    <w:tmpl w:val="9DD6AB16"/>
    <w:lvl w:ilvl="0" w:tplc="E9DE99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2575B"/>
    <w:multiLevelType w:val="hybridMultilevel"/>
    <w:tmpl w:val="238AC14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start w:val="1"/>
      <w:numFmt w:val="bullet"/>
      <w:lvlText w:val="o"/>
      <w:lvlJc w:val="left"/>
      <w:pPr>
        <w:ind w:left="3808" w:hanging="360"/>
      </w:pPr>
      <w:rPr>
        <w:rFonts w:ascii="Courier New" w:hAnsi="Courier New" w:cs="Courier New" w:hint="default"/>
      </w:rPr>
    </w:lvl>
    <w:lvl w:ilvl="5" w:tplc="10090005">
      <w:start w:val="1"/>
      <w:numFmt w:val="bullet"/>
      <w:lvlText w:val=""/>
      <w:lvlJc w:val="left"/>
      <w:pPr>
        <w:ind w:left="4528" w:hanging="360"/>
      </w:pPr>
      <w:rPr>
        <w:rFonts w:ascii="Wingdings" w:hAnsi="Wingdings" w:hint="default"/>
      </w:rPr>
    </w:lvl>
    <w:lvl w:ilvl="6" w:tplc="10090001">
      <w:start w:val="1"/>
      <w:numFmt w:val="bullet"/>
      <w:lvlText w:val=""/>
      <w:lvlJc w:val="left"/>
      <w:pPr>
        <w:ind w:left="5248" w:hanging="360"/>
      </w:pPr>
      <w:rPr>
        <w:rFonts w:ascii="Symbol" w:hAnsi="Symbol" w:hint="default"/>
      </w:rPr>
    </w:lvl>
    <w:lvl w:ilvl="7" w:tplc="10090003">
      <w:start w:val="1"/>
      <w:numFmt w:val="bullet"/>
      <w:lvlText w:val="o"/>
      <w:lvlJc w:val="left"/>
      <w:pPr>
        <w:ind w:left="5968" w:hanging="360"/>
      </w:pPr>
      <w:rPr>
        <w:rFonts w:ascii="Courier New" w:hAnsi="Courier New" w:cs="Courier New" w:hint="default"/>
      </w:rPr>
    </w:lvl>
    <w:lvl w:ilvl="8" w:tplc="10090005">
      <w:start w:val="1"/>
      <w:numFmt w:val="bullet"/>
      <w:lvlText w:val=""/>
      <w:lvlJc w:val="left"/>
      <w:pPr>
        <w:ind w:left="6688" w:hanging="360"/>
      </w:pPr>
      <w:rPr>
        <w:rFonts w:ascii="Wingdings" w:hAnsi="Wingdings" w:hint="default"/>
      </w:rPr>
    </w:lvl>
  </w:abstractNum>
  <w:abstractNum w:abstractNumId="3" w15:restartNumberingAfterBreak="0">
    <w:nsid w:val="528A5037"/>
    <w:multiLevelType w:val="hybridMultilevel"/>
    <w:tmpl w:val="0860C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D65D13"/>
    <w:multiLevelType w:val="hybridMultilevel"/>
    <w:tmpl w:val="A5564F7A"/>
    <w:lvl w:ilvl="0" w:tplc="45342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B3386"/>
    <w:multiLevelType w:val="hybridMultilevel"/>
    <w:tmpl w:val="FE0A701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22E3A"/>
    <w:multiLevelType w:val="hybridMultilevel"/>
    <w:tmpl w:val="E350F74E"/>
    <w:lvl w:ilvl="0" w:tplc="058080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1NDMyNzc0NTUGQiUdpeDU4uLM/DyQAsNaAAbc8lss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0fzets4z59rseedrppwfdud0252reszapx&quot;&gt;Transactional SEx&lt;record-ids&gt;&lt;item&gt;1&lt;/item&gt;&lt;item&gt;3&lt;/item&gt;&lt;item&gt;4&lt;/item&gt;&lt;item&gt;5&lt;/item&gt;&lt;item&gt;6&lt;/item&gt;&lt;item&gt;7&lt;/item&gt;&lt;item&gt;8&lt;/item&gt;&lt;item&gt;9&lt;/item&gt;&lt;item&gt;10&lt;/item&gt;&lt;item&gt;11&lt;/item&gt;&lt;item&gt;12&lt;/item&gt;&lt;item&gt;14&lt;/item&gt;&lt;item&gt;16&lt;/item&gt;&lt;item&gt;17&lt;/item&gt;&lt;item&gt;18&lt;/item&gt;&lt;item&gt;21&lt;/item&gt;&lt;item&gt;23&lt;/item&gt;&lt;item&gt;24&lt;/item&gt;&lt;item&gt;25&lt;/item&gt;&lt;item&gt;26&lt;/item&gt;&lt;item&gt;27&lt;/item&gt;&lt;item&gt;31&lt;/item&gt;&lt;item&gt;32&lt;/item&gt;&lt;item&gt;33&lt;/item&gt;&lt;item&gt;34&lt;/item&gt;&lt;item&gt;35&lt;/item&gt;&lt;item&gt;37&lt;/item&gt;&lt;item&gt;38&lt;/item&gt;&lt;item&gt;39&lt;/item&gt;&lt;item&gt;40&lt;/item&gt;&lt;item&gt;41&lt;/item&gt;&lt;/record-ids&gt;&lt;/item&gt;&lt;/Libraries&gt;"/>
  </w:docVars>
  <w:rsids>
    <w:rsidRoot w:val="00851673"/>
    <w:rsid w:val="00007903"/>
    <w:rsid w:val="000175DF"/>
    <w:rsid w:val="00022376"/>
    <w:rsid w:val="00024926"/>
    <w:rsid w:val="000303C4"/>
    <w:rsid w:val="000339AF"/>
    <w:rsid w:val="00047C0D"/>
    <w:rsid w:val="00073FAF"/>
    <w:rsid w:val="00081B65"/>
    <w:rsid w:val="00082FE4"/>
    <w:rsid w:val="000868DC"/>
    <w:rsid w:val="000B2312"/>
    <w:rsid w:val="000B2E20"/>
    <w:rsid w:val="000B68AC"/>
    <w:rsid w:val="000B7C7E"/>
    <w:rsid w:val="000D1517"/>
    <w:rsid w:val="000D6E35"/>
    <w:rsid w:val="000E05F6"/>
    <w:rsid w:val="000E20C5"/>
    <w:rsid w:val="000F3915"/>
    <w:rsid w:val="00101BD3"/>
    <w:rsid w:val="00105225"/>
    <w:rsid w:val="001106F2"/>
    <w:rsid w:val="00116F67"/>
    <w:rsid w:val="00131DE3"/>
    <w:rsid w:val="00135C2B"/>
    <w:rsid w:val="0015210C"/>
    <w:rsid w:val="00153221"/>
    <w:rsid w:val="00170393"/>
    <w:rsid w:val="00184FE7"/>
    <w:rsid w:val="001850C4"/>
    <w:rsid w:val="001912D1"/>
    <w:rsid w:val="00197111"/>
    <w:rsid w:val="001A30CA"/>
    <w:rsid w:val="001C2040"/>
    <w:rsid w:val="001D3795"/>
    <w:rsid w:val="001D3DEA"/>
    <w:rsid w:val="001E76A3"/>
    <w:rsid w:val="00217692"/>
    <w:rsid w:val="0022007F"/>
    <w:rsid w:val="00221BC4"/>
    <w:rsid w:val="00226457"/>
    <w:rsid w:val="0023312E"/>
    <w:rsid w:val="002356D8"/>
    <w:rsid w:val="00236A83"/>
    <w:rsid w:val="0023706D"/>
    <w:rsid w:val="002471E6"/>
    <w:rsid w:val="00261ACE"/>
    <w:rsid w:val="00265747"/>
    <w:rsid w:val="002707FE"/>
    <w:rsid w:val="002935BB"/>
    <w:rsid w:val="002964EB"/>
    <w:rsid w:val="00296810"/>
    <w:rsid w:val="00296B1C"/>
    <w:rsid w:val="002A3D39"/>
    <w:rsid w:val="002A4429"/>
    <w:rsid w:val="002A5635"/>
    <w:rsid w:val="002B0750"/>
    <w:rsid w:val="002B3B91"/>
    <w:rsid w:val="002C25CD"/>
    <w:rsid w:val="002C756C"/>
    <w:rsid w:val="002E17DA"/>
    <w:rsid w:val="002E5228"/>
    <w:rsid w:val="003000F5"/>
    <w:rsid w:val="003057A9"/>
    <w:rsid w:val="00315271"/>
    <w:rsid w:val="003209EC"/>
    <w:rsid w:val="003255B2"/>
    <w:rsid w:val="00332256"/>
    <w:rsid w:val="0034467F"/>
    <w:rsid w:val="003570B7"/>
    <w:rsid w:val="003621EB"/>
    <w:rsid w:val="00364726"/>
    <w:rsid w:val="00371D04"/>
    <w:rsid w:val="00390F34"/>
    <w:rsid w:val="003C3D05"/>
    <w:rsid w:val="003E779B"/>
    <w:rsid w:val="003F0D89"/>
    <w:rsid w:val="004009AB"/>
    <w:rsid w:val="00400E40"/>
    <w:rsid w:val="00401C8C"/>
    <w:rsid w:val="0040494B"/>
    <w:rsid w:val="00406A00"/>
    <w:rsid w:val="00420C58"/>
    <w:rsid w:val="00440259"/>
    <w:rsid w:val="00442F52"/>
    <w:rsid w:val="00447CF3"/>
    <w:rsid w:val="00456594"/>
    <w:rsid w:val="00457C4E"/>
    <w:rsid w:val="00461573"/>
    <w:rsid w:val="0047086E"/>
    <w:rsid w:val="00470FEB"/>
    <w:rsid w:val="00472D8B"/>
    <w:rsid w:val="00480B3E"/>
    <w:rsid w:val="00493D0F"/>
    <w:rsid w:val="004B25D9"/>
    <w:rsid w:val="004B528C"/>
    <w:rsid w:val="004B67E2"/>
    <w:rsid w:val="004C4999"/>
    <w:rsid w:val="004C6CB7"/>
    <w:rsid w:val="004D4C43"/>
    <w:rsid w:val="004E23C1"/>
    <w:rsid w:val="004E4A55"/>
    <w:rsid w:val="004E53C9"/>
    <w:rsid w:val="004F1753"/>
    <w:rsid w:val="004F2AA8"/>
    <w:rsid w:val="005025E6"/>
    <w:rsid w:val="00503200"/>
    <w:rsid w:val="00503CE1"/>
    <w:rsid w:val="0051604C"/>
    <w:rsid w:val="00526C30"/>
    <w:rsid w:val="005337F2"/>
    <w:rsid w:val="0053742F"/>
    <w:rsid w:val="00551F98"/>
    <w:rsid w:val="005573E7"/>
    <w:rsid w:val="005668E2"/>
    <w:rsid w:val="00566DF8"/>
    <w:rsid w:val="00570EB3"/>
    <w:rsid w:val="00573383"/>
    <w:rsid w:val="005733B2"/>
    <w:rsid w:val="00573F46"/>
    <w:rsid w:val="00580E1E"/>
    <w:rsid w:val="005812DB"/>
    <w:rsid w:val="00582D02"/>
    <w:rsid w:val="0059240D"/>
    <w:rsid w:val="00594C22"/>
    <w:rsid w:val="005B12E9"/>
    <w:rsid w:val="005C1D35"/>
    <w:rsid w:val="005C6947"/>
    <w:rsid w:val="005D1EEE"/>
    <w:rsid w:val="005E12EB"/>
    <w:rsid w:val="005E1495"/>
    <w:rsid w:val="005E478A"/>
    <w:rsid w:val="005F31F9"/>
    <w:rsid w:val="005F6D12"/>
    <w:rsid w:val="00602C4C"/>
    <w:rsid w:val="00611BA2"/>
    <w:rsid w:val="006259BC"/>
    <w:rsid w:val="00632C36"/>
    <w:rsid w:val="00633B77"/>
    <w:rsid w:val="00636330"/>
    <w:rsid w:val="006369CB"/>
    <w:rsid w:val="00643285"/>
    <w:rsid w:val="00643800"/>
    <w:rsid w:val="00645C65"/>
    <w:rsid w:val="00657520"/>
    <w:rsid w:val="00660294"/>
    <w:rsid w:val="00677E12"/>
    <w:rsid w:val="006A7E87"/>
    <w:rsid w:val="006B0DFF"/>
    <w:rsid w:val="006B187F"/>
    <w:rsid w:val="006B2EC2"/>
    <w:rsid w:val="006B63E6"/>
    <w:rsid w:val="006B7D4B"/>
    <w:rsid w:val="006C1537"/>
    <w:rsid w:val="006D49DA"/>
    <w:rsid w:val="006D6823"/>
    <w:rsid w:val="006E2F58"/>
    <w:rsid w:val="006E7175"/>
    <w:rsid w:val="006E7518"/>
    <w:rsid w:val="00700E9C"/>
    <w:rsid w:val="0070148D"/>
    <w:rsid w:val="00706AAD"/>
    <w:rsid w:val="00722415"/>
    <w:rsid w:val="00723194"/>
    <w:rsid w:val="007275FE"/>
    <w:rsid w:val="00740A51"/>
    <w:rsid w:val="00743398"/>
    <w:rsid w:val="00745AD6"/>
    <w:rsid w:val="00760CE3"/>
    <w:rsid w:val="00765955"/>
    <w:rsid w:val="00770708"/>
    <w:rsid w:val="007732C4"/>
    <w:rsid w:val="0078264D"/>
    <w:rsid w:val="00786DE9"/>
    <w:rsid w:val="00787466"/>
    <w:rsid w:val="00791856"/>
    <w:rsid w:val="007A3EFF"/>
    <w:rsid w:val="007A7738"/>
    <w:rsid w:val="007B519E"/>
    <w:rsid w:val="007D2AF7"/>
    <w:rsid w:val="007D37AA"/>
    <w:rsid w:val="007F0DD0"/>
    <w:rsid w:val="007F1146"/>
    <w:rsid w:val="007F23FB"/>
    <w:rsid w:val="007F7686"/>
    <w:rsid w:val="008173FC"/>
    <w:rsid w:val="00817CEA"/>
    <w:rsid w:val="0082067A"/>
    <w:rsid w:val="008264A2"/>
    <w:rsid w:val="00826530"/>
    <w:rsid w:val="00836582"/>
    <w:rsid w:val="0083686A"/>
    <w:rsid w:val="0084028F"/>
    <w:rsid w:val="00841093"/>
    <w:rsid w:val="00841ECA"/>
    <w:rsid w:val="00851673"/>
    <w:rsid w:val="008572E2"/>
    <w:rsid w:val="00857F65"/>
    <w:rsid w:val="0086728F"/>
    <w:rsid w:val="008743A1"/>
    <w:rsid w:val="00896FE4"/>
    <w:rsid w:val="008A39BF"/>
    <w:rsid w:val="008A4227"/>
    <w:rsid w:val="008B5B12"/>
    <w:rsid w:val="008C4C81"/>
    <w:rsid w:val="008D1FF0"/>
    <w:rsid w:val="008D2105"/>
    <w:rsid w:val="008D6E6A"/>
    <w:rsid w:val="008E4DE5"/>
    <w:rsid w:val="008F439F"/>
    <w:rsid w:val="008F5F95"/>
    <w:rsid w:val="00904F59"/>
    <w:rsid w:val="009054CE"/>
    <w:rsid w:val="009071CA"/>
    <w:rsid w:val="00925641"/>
    <w:rsid w:val="00937F1A"/>
    <w:rsid w:val="0094119B"/>
    <w:rsid w:val="00952341"/>
    <w:rsid w:val="00954AA3"/>
    <w:rsid w:val="009565F3"/>
    <w:rsid w:val="00961C0D"/>
    <w:rsid w:val="0096449E"/>
    <w:rsid w:val="009656A2"/>
    <w:rsid w:val="00971B04"/>
    <w:rsid w:val="009743CE"/>
    <w:rsid w:val="0098210D"/>
    <w:rsid w:val="00984466"/>
    <w:rsid w:val="00984559"/>
    <w:rsid w:val="009900BF"/>
    <w:rsid w:val="00995243"/>
    <w:rsid w:val="00995251"/>
    <w:rsid w:val="00996E42"/>
    <w:rsid w:val="009A663A"/>
    <w:rsid w:val="009A67AC"/>
    <w:rsid w:val="009B0128"/>
    <w:rsid w:val="009B0A97"/>
    <w:rsid w:val="009C3264"/>
    <w:rsid w:val="009D0F4D"/>
    <w:rsid w:val="009D38C3"/>
    <w:rsid w:val="009D6392"/>
    <w:rsid w:val="009D6836"/>
    <w:rsid w:val="009D6FDA"/>
    <w:rsid w:val="00A04283"/>
    <w:rsid w:val="00A07EC3"/>
    <w:rsid w:val="00A1437F"/>
    <w:rsid w:val="00A2414D"/>
    <w:rsid w:val="00A24968"/>
    <w:rsid w:val="00A26692"/>
    <w:rsid w:val="00A44C71"/>
    <w:rsid w:val="00A50B73"/>
    <w:rsid w:val="00A519B3"/>
    <w:rsid w:val="00A5539E"/>
    <w:rsid w:val="00A6252F"/>
    <w:rsid w:val="00A67255"/>
    <w:rsid w:val="00A72456"/>
    <w:rsid w:val="00A747A9"/>
    <w:rsid w:val="00A74894"/>
    <w:rsid w:val="00A822E9"/>
    <w:rsid w:val="00A829F6"/>
    <w:rsid w:val="00A83368"/>
    <w:rsid w:val="00A9183A"/>
    <w:rsid w:val="00A97B86"/>
    <w:rsid w:val="00AB0F98"/>
    <w:rsid w:val="00AB1ADA"/>
    <w:rsid w:val="00AC15E1"/>
    <w:rsid w:val="00AC5AE8"/>
    <w:rsid w:val="00AD70EB"/>
    <w:rsid w:val="00AE67FB"/>
    <w:rsid w:val="00AF3875"/>
    <w:rsid w:val="00AF5A39"/>
    <w:rsid w:val="00B00875"/>
    <w:rsid w:val="00B27805"/>
    <w:rsid w:val="00B4102C"/>
    <w:rsid w:val="00B528D7"/>
    <w:rsid w:val="00B62545"/>
    <w:rsid w:val="00B625D9"/>
    <w:rsid w:val="00B64602"/>
    <w:rsid w:val="00B72E0A"/>
    <w:rsid w:val="00B73628"/>
    <w:rsid w:val="00B742DC"/>
    <w:rsid w:val="00B77B67"/>
    <w:rsid w:val="00BA2208"/>
    <w:rsid w:val="00BA2F71"/>
    <w:rsid w:val="00BA4425"/>
    <w:rsid w:val="00BB1937"/>
    <w:rsid w:val="00BC73DD"/>
    <w:rsid w:val="00BD21B6"/>
    <w:rsid w:val="00BD2C42"/>
    <w:rsid w:val="00BE3504"/>
    <w:rsid w:val="00BE4FB7"/>
    <w:rsid w:val="00BF35A2"/>
    <w:rsid w:val="00BF4AD0"/>
    <w:rsid w:val="00BF4F70"/>
    <w:rsid w:val="00C13294"/>
    <w:rsid w:val="00C14EAA"/>
    <w:rsid w:val="00C154B3"/>
    <w:rsid w:val="00C20A75"/>
    <w:rsid w:val="00C2145C"/>
    <w:rsid w:val="00C3297B"/>
    <w:rsid w:val="00C43D43"/>
    <w:rsid w:val="00C43EED"/>
    <w:rsid w:val="00C4459D"/>
    <w:rsid w:val="00C52345"/>
    <w:rsid w:val="00C54FF3"/>
    <w:rsid w:val="00C62EE6"/>
    <w:rsid w:val="00C6457B"/>
    <w:rsid w:val="00C65316"/>
    <w:rsid w:val="00C84C50"/>
    <w:rsid w:val="00C95B47"/>
    <w:rsid w:val="00CA14B3"/>
    <w:rsid w:val="00CC79F5"/>
    <w:rsid w:val="00CD2D3C"/>
    <w:rsid w:val="00CD3388"/>
    <w:rsid w:val="00CD3D25"/>
    <w:rsid w:val="00CE086D"/>
    <w:rsid w:val="00CE3062"/>
    <w:rsid w:val="00CE3369"/>
    <w:rsid w:val="00CF665F"/>
    <w:rsid w:val="00CF79EA"/>
    <w:rsid w:val="00D06B6F"/>
    <w:rsid w:val="00D07606"/>
    <w:rsid w:val="00D140D0"/>
    <w:rsid w:val="00D326B6"/>
    <w:rsid w:val="00D34E12"/>
    <w:rsid w:val="00D40731"/>
    <w:rsid w:val="00D4502F"/>
    <w:rsid w:val="00D47169"/>
    <w:rsid w:val="00D51009"/>
    <w:rsid w:val="00D55772"/>
    <w:rsid w:val="00D55C24"/>
    <w:rsid w:val="00D57993"/>
    <w:rsid w:val="00D65E20"/>
    <w:rsid w:val="00D7062E"/>
    <w:rsid w:val="00D72FB4"/>
    <w:rsid w:val="00D77F82"/>
    <w:rsid w:val="00D92DA4"/>
    <w:rsid w:val="00DB4CBD"/>
    <w:rsid w:val="00DB768E"/>
    <w:rsid w:val="00DC01AA"/>
    <w:rsid w:val="00DD3815"/>
    <w:rsid w:val="00DD5346"/>
    <w:rsid w:val="00DD5484"/>
    <w:rsid w:val="00DE7B59"/>
    <w:rsid w:val="00DF4331"/>
    <w:rsid w:val="00DF7874"/>
    <w:rsid w:val="00E00531"/>
    <w:rsid w:val="00E03791"/>
    <w:rsid w:val="00E06CA5"/>
    <w:rsid w:val="00E07822"/>
    <w:rsid w:val="00E1192E"/>
    <w:rsid w:val="00E22A52"/>
    <w:rsid w:val="00E23BDB"/>
    <w:rsid w:val="00E401E4"/>
    <w:rsid w:val="00E659E5"/>
    <w:rsid w:val="00E67CA5"/>
    <w:rsid w:val="00E71EBC"/>
    <w:rsid w:val="00E74853"/>
    <w:rsid w:val="00E84CBC"/>
    <w:rsid w:val="00E8626A"/>
    <w:rsid w:val="00E9232E"/>
    <w:rsid w:val="00EA02A2"/>
    <w:rsid w:val="00EA08DB"/>
    <w:rsid w:val="00EA3669"/>
    <w:rsid w:val="00EB0A53"/>
    <w:rsid w:val="00EB6791"/>
    <w:rsid w:val="00EC0463"/>
    <w:rsid w:val="00EC061C"/>
    <w:rsid w:val="00ED360E"/>
    <w:rsid w:val="00ED5885"/>
    <w:rsid w:val="00EF5FDB"/>
    <w:rsid w:val="00F06AC6"/>
    <w:rsid w:val="00F101AD"/>
    <w:rsid w:val="00F12E51"/>
    <w:rsid w:val="00F14B03"/>
    <w:rsid w:val="00F1569B"/>
    <w:rsid w:val="00F1687F"/>
    <w:rsid w:val="00F17C40"/>
    <w:rsid w:val="00F208E1"/>
    <w:rsid w:val="00F22BCF"/>
    <w:rsid w:val="00F22FCC"/>
    <w:rsid w:val="00F236F7"/>
    <w:rsid w:val="00F2590B"/>
    <w:rsid w:val="00F26C8A"/>
    <w:rsid w:val="00F27731"/>
    <w:rsid w:val="00F31142"/>
    <w:rsid w:val="00F35E4C"/>
    <w:rsid w:val="00F37A82"/>
    <w:rsid w:val="00F4416D"/>
    <w:rsid w:val="00F46B01"/>
    <w:rsid w:val="00F47044"/>
    <w:rsid w:val="00F54837"/>
    <w:rsid w:val="00F620FE"/>
    <w:rsid w:val="00F65202"/>
    <w:rsid w:val="00F80492"/>
    <w:rsid w:val="00F815D6"/>
    <w:rsid w:val="00F90A52"/>
    <w:rsid w:val="00F9220D"/>
    <w:rsid w:val="00F9504B"/>
    <w:rsid w:val="00F97EEB"/>
    <w:rsid w:val="00FA028A"/>
    <w:rsid w:val="00FB40C6"/>
    <w:rsid w:val="00FB4954"/>
    <w:rsid w:val="00FB6300"/>
    <w:rsid w:val="00FB77FB"/>
    <w:rsid w:val="00FD70EF"/>
    <w:rsid w:val="00FE2276"/>
    <w:rsid w:val="00FE3A65"/>
    <w:rsid w:val="00FF0C5E"/>
    <w:rsid w:val="00FF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BF91"/>
  <w15:chartTrackingRefBased/>
  <w15:docId w15:val="{144DF98B-C555-4A23-9F55-8A68DEFB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B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1673"/>
  </w:style>
  <w:style w:type="paragraph" w:styleId="ListParagraph">
    <w:name w:val="List Paragraph"/>
    <w:basedOn w:val="Normal"/>
    <w:uiPriority w:val="34"/>
    <w:qFormat/>
    <w:rsid w:val="00851673"/>
    <w:pPr>
      <w:spacing w:after="160" w:line="259" w:lineRule="auto"/>
      <w:ind w:left="720"/>
      <w:contextualSpacing/>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851673"/>
    <w:rPr>
      <w:rFonts w:eastAsiaTheme="minorEastAsia"/>
      <w:sz w:val="26"/>
      <w:szCs w:val="26"/>
      <w:lang w:val="en-US" w:eastAsia="en-US"/>
    </w:rPr>
  </w:style>
  <w:style w:type="character" w:customStyle="1" w:styleId="BalloonTextChar">
    <w:name w:val="Balloon Text Char"/>
    <w:basedOn w:val="DefaultParagraphFont"/>
    <w:link w:val="BalloonText"/>
    <w:uiPriority w:val="99"/>
    <w:semiHidden/>
    <w:rsid w:val="00851673"/>
    <w:rPr>
      <w:rFonts w:ascii="Times New Roman" w:hAnsi="Times New Roman" w:cs="Times New Roman"/>
      <w:sz w:val="26"/>
      <w:szCs w:val="26"/>
    </w:rPr>
  </w:style>
  <w:style w:type="table" w:styleId="TableGrid">
    <w:name w:val="Table Grid"/>
    <w:basedOn w:val="TableNormal"/>
    <w:uiPriority w:val="39"/>
    <w:rsid w:val="0085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1673"/>
    <w:rPr>
      <w:sz w:val="16"/>
      <w:szCs w:val="16"/>
    </w:rPr>
  </w:style>
  <w:style w:type="paragraph" w:styleId="CommentText">
    <w:name w:val="annotation text"/>
    <w:basedOn w:val="Normal"/>
    <w:link w:val="CommentTextChar"/>
    <w:uiPriority w:val="99"/>
    <w:unhideWhenUsed/>
    <w:rsid w:val="00851673"/>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851673"/>
    <w:rPr>
      <w:sz w:val="20"/>
      <w:szCs w:val="20"/>
    </w:rPr>
  </w:style>
  <w:style w:type="paragraph" w:styleId="CommentSubject">
    <w:name w:val="annotation subject"/>
    <w:basedOn w:val="CommentText"/>
    <w:next w:val="CommentText"/>
    <w:link w:val="CommentSubjectChar"/>
    <w:uiPriority w:val="99"/>
    <w:semiHidden/>
    <w:unhideWhenUsed/>
    <w:rsid w:val="00851673"/>
    <w:rPr>
      <w:b/>
      <w:bCs/>
    </w:rPr>
  </w:style>
  <w:style w:type="character" w:customStyle="1" w:styleId="CommentSubjectChar">
    <w:name w:val="Comment Subject Char"/>
    <w:basedOn w:val="CommentTextChar"/>
    <w:link w:val="CommentSubject"/>
    <w:uiPriority w:val="99"/>
    <w:semiHidden/>
    <w:rsid w:val="00851673"/>
    <w:rPr>
      <w:b/>
      <w:bCs/>
      <w:sz w:val="20"/>
      <w:szCs w:val="20"/>
    </w:rPr>
  </w:style>
  <w:style w:type="character" w:styleId="Strong">
    <w:name w:val="Strong"/>
    <w:basedOn w:val="DefaultParagraphFont"/>
    <w:uiPriority w:val="22"/>
    <w:qFormat/>
    <w:rsid w:val="00851673"/>
    <w:rPr>
      <w:b/>
      <w:bCs/>
    </w:rPr>
  </w:style>
  <w:style w:type="paragraph" w:styleId="Header">
    <w:name w:val="header"/>
    <w:basedOn w:val="Normal"/>
    <w:link w:val="HeaderChar"/>
    <w:uiPriority w:val="99"/>
    <w:unhideWhenUsed/>
    <w:rsid w:val="00B72E0A"/>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B72E0A"/>
  </w:style>
  <w:style w:type="paragraph" w:styleId="Footer">
    <w:name w:val="footer"/>
    <w:basedOn w:val="Normal"/>
    <w:link w:val="FooterChar"/>
    <w:uiPriority w:val="99"/>
    <w:unhideWhenUsed/>
    <w:rsid w:val="00B72E0A"/>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B72E0A"/>
  </w:style>
  <w:style w:type="character" w:styleId="PageNumber">
    <w:name w:val="page number"/>
    <w:basedOn w:val="DefaultParagraphFont"/>
    <w:uiPriority w:val="99"/>
    <w:semiHidden/>
    <w:unhideWhenUsed/>
    <w:rsid w:val="00B72E0A"/>
  </w:style>
  <w:style w:type="paragraph" w:customStyle="1" w:styleId="EndNoteBibliographyTitle">
    <w:name w:val="EndNote Bibliography Title"/>
    <w:basedOn w:val="Normal"/>
    <w:link w:val="EndNoteBibliographyTitleChar"/>
    <w:rsid w:val="008173FC"/>
    <w:pPr>
      <w:spacing w:line="259" w:lineRule="auto"/>
      <w:jc w:val="center"/>
    </w:pPr>
    <w:rPr>
      <w:rFonts w:ascii="Calibri" w:eastAsiaTheme="minorEastAsia" w:hAnsi="Calibri" w:cs="Calibri"/>
      <w:sz w:val="22"/>
      <w:szCs w:val="22"/>
      <w:lang w:val="en-US" w:eastAsia="en-US"/>
    </w:rPr>
  </w:style>
  <w:style w:type="character" w:customStyle="1" w:styleId="EndNoteBibliographyTitleChar">
    <w:name w:val="EndNote Bibliography Title Char"/>
    <w:basedOn w:val="DefaultParagraphFont"/>
    <w:link w:val="EndNoteBibliographyTitle"/>
    <w:rsid w:val="008173FC"/>
    <w:rPr>
      <w:rFonts w:ascii="Calibri" w:hAnsi="Calibri" w:cs="Calibri"/>
    </w:rPr>
  </w:style>
  <w:style w:type="paragraph" w:customStyle="1" w:styleId="EndNoteBibliography">
    <w:name w:val="EndNote Bibliography"/>
    <w:basedOn w:val="Normal"/>
    <w:link w:val="EndNoteBibliographyChar"/>
    <w:rsid w:val="008173FC"/>
    <w:pPr>
      <w:spacing w:after="160"/>
    </w:pPr>
    <w:rPr>
      <w:rFonts w:ascii="Calibri" w:eastAsiaTheme="minorEastAsia" w:hAnsi="Calibri" w:cs="Calibri"/>
      <w:sz w:val="22"/>
      <w:szCs w:val="22"/>
      <w:lang w:val="en-US" w:eastAsia="en-US"/>
    </w:rPr>
  </w:style>
  <w:style w:type="character" w:customStyle="1" w:styleId="EndNoteBibliographyChar">
    <w:name w:val="EndNote Bibliography Char"/>
    <w:basedOn w:val="DefaultParagraphFont"/>
    <w:link w:val="EndNoteBibliography"/>
    <w:rsid w:val="008173FC"/>
    <w:rPr>
      <w:rFonts w:ascii="Calibri" w:hAnsi="Calibri" w:cs="Calibri"/>
    </w:rPr>
  </w:style>
  <w:style w:type="paragraph" w:styleId="NoSpacing">
    <w:name w:val="No Spacing"/>
    <w:uiPriority w:val="1"/>
    <w:qFormat/>
    <w:rsid w:val="00F80492"/>
    <w:pPr>
      <w:spacing w:after="0" w:line="240" w:lineRule="auto"/>
    </w:pPr>
    <w:rPr>
      <w:lang w:val="en-CA"/>
    </w:rPr>
  </w:style>
  <w:style w:type="paragraph" w:styleId="Revision">
    <w:name w:val="Revision"/>
    <w:hidden/>
    <w:uiPriority w:val="99"/>
    <w:semiHidden/>
    <w:rsid w:val="00F35E4C"/>
    <w:pPr>
      <w:spacing w:after="0" w:line="240" w:lineRule="auto"/>
    </w:pPr>
  </w:style>
  <w:style w:type="character" w:customStyle="1" w:styleId="apple-converted-space">
    <w:name w:val="apple-converted-space"/>
    <w:basedOn w:val="DefaultParagraphFont"/>
    <w:rsid w:val="006B0DFF"/>
  </w:style>
  <w:style w:type="character" w:styleId="Hyperlink">
    <w:name w:val="Hyperlink"/>
    <w:basedOn w:val="DefaultParagraphFont"/>
    <w:uiPriority w:val="99"/>
    <w:semiHidden/>
    <w:unhideWhenUsed/>
    <w:rsid w:val="000B2312"/>
    <w:rPr>
      <w:color w:val="0000FF"/>
      <w:u w:val="single"/>
    </w:rPr>
  </w:style>
  <w:style w:type="character" w:styleId="LineNumber">
    <w:name w:val="line number"/>
    <w:basedOn w:val="DefaultParagraphFont"/>
    <w:uiPriority w:val="99"/>
    <w:semiHidden/>
    <w:unhideWhenUsed/>
    <w:rsid w:val="00AB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791">
      <w:bodyDiv w:val="1"/>
      <w:marLeft w:val="0"/>
      <w:marRight w:val="0"/>
      <w:marTop w:val="0"/>
      <w:marBottom w:val="0"/>
      <w:divBdr>
        <w:top w:val="none" w:sz="0" w:space="0" w:color="auto"/>
        <w:left w:val="none" w:sz="0" w:space="0" w:color="auto"/>
        <w:bottom w:val="none" w:sz="0" w:space="0" w:color="auto"/>
        <w:right w:val="none" w:sz="0" w:space="0" w:color="auto"/>
      </w:divBdr>
    </w:div>
    <w:div w:id="36592669">
      <w:bodyDiv w:val="1"/>
      <w:marLeft w:val="0"/>
      <w:marRight w:val="0"/>
      <w:marTop w:val="0"/>
      <w:marBottom w:val="0"/>
      <w:divBdr>
        <w:top w:val="none" w:sz="0" w:space="0" w:color="auto"/>
        <w:left w:val="none" w:sz="0" w:space="0" w:color="auto"/>
        <w:bottom w:val="none" w:sz="0" w:space="0" w:color="auto"/>
        <w:right w:val="none" w:sz="0" w:space="0" w:color="auto"/>
      </w:divBdr>
    </w:div>
    <w:div w:id="37290421">
      <w:bodyDiv w:val="1"/>
      <w:marLeft w:val="0"/>
      <w:marRight w:val="0"/>
      <w:marTop w:val="0"/>
      <w:marBottom w:val="0"/>
      <w:divBdr>
        <w:top w:val="none" w:sz="0" w:space="0" w:color="auto"/>
        <w:left w:val="none" w:sz="0" w:space="0" w:color="auto"/>
        <w:bottom w:val="none" w:sz="0" w:space="0" w:color="auto"/>
        <w:right w:val="none" w:sz="0" w:space="0" w:color="auto"/>
      </w:divBdr>
    </w:div>
    <w:div w:id="96484133">
      <w:bodyDiv w:val="1"/>
      <w:marLeft w:val="0"/>
      <w:marRight w:val="0"/>
      <w:marTop w:val="0"/>
      <w:marBottom w:val="0"/>
      <w:divBdr>
        <w:top w:val="none" w:sz="0" w:space="0" w:color="auto"/>
        <w:left w:val="none" w:sz="0" w:space="0" w:color="auto"/>
        <w:bottom w:val="none" w:sz="0" w:space="0" w:color="auto"/>
        <w:right w:val="none" w:sz="0" w:space="0" w:color="auto"/>
      </w:divBdr>
    </w:div>
    <w:div w:id="104737241">
      <w:bodyDiv w:val="1"/>
      <w:marLeft w:val="0"/>
      <w:marRight w:val="0"/>
      <w:marTop w:val="0"/>
      <w:marBottom w:val="0"/>
      <w:divBdr>
        <w:top w:val="none" w:sz="0" w:space="0" w:color="auto"/>
        <w:left w:val="none" w:sz="0" w:space="0" w:color="auto"/>
        <w:bottom w:val="none" w:sz="0" w:space="0" w:color="auto"/>
        <w:right w:val="none" w:sz="0" w:space="0" w:color="auto"/>
      </w:divBdr>
    </w:div>
    <w:div w:id="117574435">
      <w:bodyDiv w:val="1"/>
      <w:marLeft w:val="0"/>
      <w:marRight w:val="0"/>
      <w:marTop w:val="0"/>
      <w:marBottom w:val="0"/>
      <w:divBdr>
        <w:top w:val="none" w:sz="0" w:space="0" w:color="auto"/>
        <w:left w:val="none" w:sz="0" w:space="0" w:color="auto"/>
        <w:bottom w:val="none" w:sz="0" w:space="0" w:color="auto"/>
        <w:right w:val="none" w:sz="0" w:space="0" w:color="auto"/>
      </w:divBdr>
    </w:div>
    <w:div w:id="167331653">
      <w:bodyDiv w:val="1"/>
      <w:marLeft w:val="0"/>
      <w:marRight w:val="0"/>
      <w:marTop w:val="0"/>
      <w:marBottom w:val="0"/>
      <w:divBdr>
        <w:top w:val="none" w:sz="0" w:space="0" w:color="auto"/>
        <w:left w:val="none" w:sz="0" w:space="0" w:color="auto"/>
        <w:bottom w:val="none" w:sz="0" w:space="0" w:color="auto"/>
        <w:right w:val="none" w:sz="0" w:space="0" w:color="auto"/>
      </w:divBdr>
    </w:div>
    <w:div w:id="179973835">
      <w:bodyDiv w:val="1"/>
      <w:marLeft w:val="0"/>
      <w:marRight w:val="0"/>
      <w:marTop w:val="0"/>
      <w:marBottom w:val="0"/>
      <w:divBdr>
        <w:top w:val="none" w:sz="0" w:space="0" w:color="auto"/>
        <w:left w:val="none" w:sz="0" w:space="0" w:color="auto"/>
        <w:bottom w:val="none" w:sz="0" w:space="0" w:color="auto"/>
        <w:right w:val="none" w:sz="0" w:space="0" w:color="auto"/>
      </w:divBdr>
    </w:div>
    <w:div w:id="195890262">
      <w:bodyDiv w:val="1"/>
      <w:marLeft w:val="0"/>
      <w:marRight w:val="0"/>
      <w:marTop w:val="0"/>
      <w:marBottom w:val="0"/>
      <w:divBdr>
        <w:top w:val="none" w:sz="0" w:space="0" w:color="auto"/>
        <w:left w:val="none" w:sz="0" w:space="0" w:color="auto"/>
        <w:bottom w:val="none" w:sz="0" w:space="0" w:color="auto"/>
        <w:right w:val="none" w:sz="0" w:space="0" w:color="auto"/>
      </w:divBdr>
    </w:div>
    <w:div w:id="260530509">
      <w:bodyDiv w:val="1"/>
      <w:marLeft w:val="0"/>
      <w:marRight w:val="0"/>
      <w:marTop w:val="0"/>
      <w:marBottom w:val="0"/>
      <w:divBdr>
        <w:top w:val="none" w:sz="0" w:space="0" w:color="auto"/>
        <w:left w:val="none" w:sz="0" w:space="0" w:color="auto"/>
        <w:bottom w:val="none" w:sz="0" w:space="0" w:color="auto"/>
        <w:right w:val="none" w:sz="0" w:space="0" w:color="auto"/>
      </w:divBdr>
    </w:div>
    <w:div w:id="268002775">
      <w:bodyDiv w:val="1"/>
      <w:marLeft w:val="0"/>
      <w:marRight w:val="0"/>
      <w:marTop w:val="0"/>
      <w:marBottom w:val="0"/>
      <w:divBdr>
        <w:top w:val="none" w:sz="0" w:space="0" w:color="auto"/>
        <w:left w:val="none" w:sz="0" w:space="0" w:color="auto"/>
        <w:bottom w:val="none" w:sz="0" w:space="0" w:color="auto"/>
        <w:right w:val="none" w:sz="0" w:space="0" w:color="auto"/>
      </w:divBdr>
    </w:div>
    <w:div w:id="275065590">
      <w:bodyDiv w:val="1"/>
      <w:marLeft w:val="0"/>
      <w:marRight w:val="0"/>
      <w:marTop w:val="0"/>
      <w:marBottom w:val="0"/>
      <w:divBdr>
        <w:top w:val="none" w:sz="0" w:space="0" w:color="auto"/>
        <w:left w:val="none" w:sz="0" w:space="0" w:color="auto"/>
        <w:bottom w:val="none" w:sz="0" w:space="0" w:color="auto"/>
        <w:right w:val="none" w:sz="0" w:space="0" w:color="auto"/>
      </w:divBdr>
    </w:div>
    <w:div w:id="315496393">
      <w:bodyDiv w:val="1"/>
      <w:marLeft w:val="0"/>
      <w:marRight w:val="0"/>
      <w:marTop w:val="0"/>
      <w:marBottom w:val="0"/>
      <w:divBdr>
        <w:top w:val="none" w:sz="0" w:space="0" w:color="auto"/>
        <w:left w:val="none" w:sz="0" w:space="0" w:color="auto"/>
        <w:bottom w:val="none" w:sz="0" w:space="0" w:color="auto"/>
        <w:right w:val="none" w:sz="0" w:space="0" w:color="auto"/>
      </w:divBdr>
    </w:div>
    <w:div w:id="336494325">
      <w:bodyDiv w:val="1"/>
      <w:marLeft w:val="0"/>
      <w:marRight w:val="0"/>
      <w:marTop w:val="0"/>
      <w:marBottom w:val="0"/>
      <w:divBdr>
        <w:top w:val="none" w:sz="0" w:space="0" w:color="auto"/>
        <w:left w:val="none" w:sz="0" w:space="0" w:color="auto"/>
        <w:bottom w:val="none" w:sz="0" w:space="0" w:color="auto"/>
        <w:right w:val="none" w:sz="0" w:space="0" w:color="auto"/>
      </w:divBdr>
    </w:div>
    <w:div w:id="349528358">
      <w:bodyDiv w:val="1"/>
      <w:marLeft w:val="0"/>
      <w:marRight w:val="0"/>
      <w:marTop w:val="0"/>
      <w:marBottom w:val="0"/>
      <w:divBdr>
        <w:top w:val="none" w:sz="0" w:space="0" w:color="auto"/>
        <w:left w:val="none" w:sz="0" w:space="0" w:color="auto"/>
        <w:bottom w:val="none" w:sz="0" w:space="0" w:color="auto"/>
        <w:right w:val="none" w:sz="0" w:space="0" w:color="auto"/>
      </w:divBdr>
    </w:div>
    <w:div w:id="421878486">
      <w:bodyDiv w:val="1"/>
      <w:marLeft w:val="0"/>
      <w:marRight w:val="0"/>
      <w:marTop w:val="0"/>
      <w:marBottom w:val="0"/>
      <w:divBdr>
        <w:top w:val="none" w:sz="0" w:space="0" w:color="auto"/>
        <w:left w:val="none" w:sz="0" w:space="0" w:color="auto"/>
        <w:bottom w:val="none" w:sz="0" w:space="0" w:color="auto"/>
        <w:right w:val="none" w:sz="0" w:space="0" w:color="auto"/>
      </w:divBdr>
    </w:div>
    <w:div w:id="453715002">
      <w:bodyDiv w:val="1"/>
      <w:marLeft w:val="0"/>
      <w:marRight w:val="0"/>
      <w:marTop w:val="0"/>
      <w:marBottom w:val="0"/>
      <w:divBdr>
        <w:top w:val="none" w:sz="0" w:space="0" w:color="auto"/>
        <w:left w:val="none" w:sz="0" w:space="0" w:color="auto"/>
        <w:bottom w:val="none" w:sz="0" w:space="0" w:color="auto"/>
        <w:right w:val="none" w:sz="0" w:space="0" w:color="auto"/>
      </w:divBdr>
    </w:div>
    <w:div w:id="468745680">
      <w:bodyDiv w:val="1"/>
      <w:marLeft w:val="0"/>
      <w:marRight w:val="0"/>
      <w:marTop w:val="0"/>
      <w:marBottom w:val="0"/>
      <w:divBdr>
        <w:top w:val="none" w:sz="0" w:space="0" w:color="auto"/>
        <w:left w:val="none" w:sz="0" w:space="0" w:color="auto"/>
        <w:bottom w:val="none" w:sz="0" w:space="0" w:color="auto"/>
        <w:right w:val="none" w:sz="0" w:space="0" w:color="auto"/>
      </w:divBdr>
    </w:div>
    <w:div w:id="489710530">
      <w:bodyDiv w:val="1"/>
      <w:marLeft w:val="0"/>
      <w:marRight w:val="0"/>
      <w:marTop w:val="0"/>
      <w:marBottom w:val="0"/>
      <w:divBdr>
        <w:top w:val="none" w:sz="0" w:space="0" w:color="auto"/>
        <w:left w:val="none" w:sz="0" w:space="0" w:color="auto"/>
        <w:bottom w:val="none" w:sz="0" w:space="0" w:color="auto"/>
        <w:right w:val="none" w:sz="0" w:space="0" w:color="auto"/>
      </w:divBdr>
    </w:div>
    <w:div w:id="522288399">
      <w:bodyDiv w:val="1"/>
      <w:marLeft w:val="0"/>
      <w:marRight w:val="0"/>
      <w:marTop w:val="0"/>
      <w:marBottom w:val="0"/>
      <w:divBdr>
        <w:top w:val="none" w:sz="0" w:space="0" w:color="auto"/>
        <w:left w:val="none" w:sz="0" w:space="0" w:color="auto"/>
        <w:bottom w:val="none" w:sz="0" w:space="0" w:color="auto"/>
        <w:right w:val="none" w:sz="0" w:space="0" w:color="auto"/>
      </w:divBdr>
    </w:div>
    <w:div w:id="529224521">
      <w:bodyDiv w:val="1"/>
      <w:marLeft w:val="0"/>
      <w:marRight w:val="0"/>
      <w:marTop w:val="0"/>
      <w:marBottom w:val="0"/>
      <w:divBdr>
        <w:top w:val="none" w:sz="0" w:space="0" w:color="auto"/>
        <w:left w:val="none" w:sz="0" w:space="0" w:color="auto"/>
        <w:bottom w:val="none" w:sz="0" w:space="0" w:color="auto"/>
        <w:right w:val="none" w:sz="0" w:space="0" w:color="auto"/>
      </w:divBdr>
    </w:div>
    <w:div w:id="531697193">
      <w:bodyDiv w:val="1"/>
      <w:marLeft w:val="0"/>
      <w:marRight w:val="0"/>
      <w:marTop w:val="0"/>
      <w:marBottom w:val="0"/>
      <w:divBdr>
        <w:top w:val="none" w:sz="0" w:space="0" w:color="auto"/>
        <w:left w:val="none" w:sz="0" w:space="0" w:color="auto"/>
        <w:bottom w:val="none" w:sz="0" w:space="0" w:color="auto"/>
        <w:right w:val="none" w:sz="0" w:space="0" w:color="auto"/>
      </w:divBdr>
    </w:div>
    <w:div w:id="587540312">
      <w:bodyDiv w:val="1"/>
      <w:marLeft w:val="0"/>
      <w:marRight w:val="0"/>
      <w:marTop w:val="0"/>
      <w:marBottom w:val="0"/>
      <w:divBdr>
        <w:top w:val="none" w:sz="0" w:space="0" w:color="auto"/>
        <w:left w:val="none" w:sz="0" w:space="0" w:color="auto"/>
        <w:bottom w:val="none" w:sz="0" w:space="0" w:color="auto"/>
        <w:right w:val="none" w:sz="0" w:space="0" w:color="auto"/>
      </w:divBdr>
    </w:div>
    <w:div w:id="628978236">
      <w:bodyDiv w:val="1"/>
      <w:marLeft w:val="0"/>
      <w:marRight w:val="0"/>
      <w:marTop w:val="0"/>
      <w:marBottom w:val="0"/>
      <w:divBdr>
        <w:top w:val="none" w:sz="0" w:space="0" w:color="auto"/>
        <w:left w:val="none" w:sz="0" w:space="0" w:color="auto"/>
        <w:bottom w:val="none" w:sz="0" w:space="0" w:color="auto"/>
        <w:right w:val="none" w:sz="0" w:space="0" w:color="auto"/>
      </w:divBdr>
    </w:div>
    <w:div w:id="642736829">
      <w:bodyDiv w:val="1"/>
      <w:marLeft w:val="0"/>
      <w:marRight w:val="0"/>
      <w:marTop w:val="0"/>
      <w:marBottom w:val="0"/>
      <w:divBdr>
        <w:top w:val="none" w:sz="0" w:space="0" w:color="auto"/>
        <w:left w:val="none" w:sz="0" w:space="0" w:color="auto"/>
        <w:bottom w:val="none" w:sz="0" w:space="0" w:color="auto"/>
        <w:right w:val="none" w:sz="0" w:space="0" w:color="auto"/>
      </w:divBdr>
    </w:div>
    <w:div w:id="684096447">
      <w:bodyDiv w:val="1"/>
      <w:marLeft w:val="0"/>
      <w:marRight w:val="0"/>
      <w:marTop w:val="0"/>
      <w:marBottom w:val="0"/>
      <w:divBdr>
        <w:top w:val="none" w:sz="0" w:space="0" w:color="auto"/>
        <w:left w:val="none" w:sz="0" w:space="0" w:color="auto"/>
        <w:bottom w:val="none" w:sz="0" w:space="0" w:color="auto"/>
        <w:right w:val="none" w:sz="0" w:space="0" w:color="auto"/>
      </w:divBdr>
    </w:div>
    <w:div w:id="733429773">
      <w:bodyDiv w:val="1"/>
      <w:marLeft w:val="0"/>
      <w:marRight w:val="0"/>
      <w:marTop w:val="0"/>
      <w:marBottom w:val="0"/>
      <w:divBdr>
        <w:top w:val="none" w:sz="0" w:space="0" w:color="auto"/>
        <w:left w:val="none" w:sz="0" w:space="0" w:color="auto"/>
        <w:bottom w:val="none" w:sz="0" w:space="0" w:color="auto"/>
        <w:right w:val="none" w:sz="0" w:space="0" w:color="auto"/>
      </w:divBdr>
    </w:div>
    <w:div w:id="857083505">
      <w:bodyDiv w:val="1"/>
      <w:marLeft w:val="0"/>
      <w:marRight w:val="0"/>
      <w:marTop w:val="0"/>
      <w:marBottom w:val="0"/>
      <w:divBdr>
        <w:top w:val="none" w:sz="0" w:space="0" w:color="auto"/>
        <w:left w:val="none" w:sz="0" w:space="0" w:color="auto"/>
        <w:bottom w:val="none" w:sz="0" w:space="0" w:color="auto"/>
        <w:right w:val="none" w:sz="0" w:space="0" w:color="auto"/>
      </w:divBdr>
    </w:div>
    <w:div w:id="862790435">
      <w:bodyDiv w:val="1"/>
      <w:marLeft w:val="0"/>
      <w:marRight w:val="0"/>
      <w:marTop w:val="0"/>
      <w:marBottom w:val="0"/>
      <w:divBdr>
        <w:top w:val="none" w:sz="0" w:space="0" w:color="auto"/>
        <w:left w:val="none" w:sz="0" w:space="0" w:color="auto"/>
        <w:bottom w:val="none" w:sz="0" w:space="0" w:color="auto"/>
        <w:right w:val="none" w:sz="0" w:space="0" w:color="auto"/>
      </w:divBdr>
    </w:div>
    <w:div w:id="868756899">
      <w:bodyDiv w:val="1"/>
      <w:marLeft w:val="0"/>
      <w:marRight w:val="0"/>
      <w:marTop w:val="0"/>
      <w:marBottom w:val="0"/>
      <w:divBdr>
        <w:top w:val="none" w:sz="0" w:space="0" w:color="auto"/>
        <w:left w:val="none" w:sz="0" w:space="0" w:color="auto"/>
        <w:bottom w:val="none" w:sz="0" w:space="0" w:color="auto"/>
        <w:right w:val="none" w:sz="0" w:space="0" w:color="auto"/>
      </w:divBdr>
    </w:div>
    <w:div w:id="943154625">
      <w:bodyDiv w:val="1"/>
      <w:marLeft w:val="0"/>
      <w:marRight w:val="0"/>
      <w:marTop w:val="0"/>
      <w:marBottom w:val="0"/>
      <w:divBdr>
        <w:top w:val="none" w:sz="0" w:space="0" w:color="auto"/>
        <w:left w:val="none" w:sz="0" w:space="0" w:color="auto"/>
        <w:bottom w:val="none" w:sz="0" w:space="0" w:color="auto"/>
        <w:right w:val="none" w:sz="0" w:space="0" w:color="auto"/>
      </w:divBdr>
    </w:div>
    <w:div w:id="956914854">
      <w:bodyDiv w:val="1"/>
      <w:marLeft w:val="0"/>
      <w:marRight w:val="0"/>
      <w:marTop w:val="0"/>
      <w:marBottom w:val="0"/>
      <w:divBdr>
        <w:top w:val="none" w:sz="0" w:space="0" w:color="auto"/>
        <w:left w:val="none" w:sz="0" w:space="0" w:color="auto"/>
        <w:bottom w:val="none" w:sz="0" w:space="0" w:color="auto"/>
        <w:right w:val="none" w:sz="0" w:space="0" w:color="auto"/>
      </w:divBdr>
    </w:div>
    <w:div w:id="964307651">
      <w:bodyDiv w:val="1"/>
      <w:marLeft w:val="0"/>
      <w:marRight w:val="0"/>
      <w:marTop w:val="0"/>
      <w:marBottom w:val="0"/>
      <w:divBdr>
        <w:top w:val="none" w:sz="0" w:space="0" w:color="auto"/>
        <w:left w:val="none" w:sz="0" w:space="0" w:color="auto"/>
        <w:bottom w:val="none" w:sz="0" w:space="0" w:color="auto"/>
        <w:right w:val="none" w:sz="0" w:space="0" w:color="auto"/>
      </w:divBdr>
    </w:div>
    <w:div w:id="982848931">
      <w:bodyDiv w:val="1"/>
      <w:marLeft w:val="0"/>
      <w:marRight w:val="0"/>
      <w:marTop w:val="0"/>
      <w:marBottom w:val="0"/>
      <w:divBdr>
        <w:top w:val="none" w:sz="0" w:space="0" w:color="auto"/>
        <w:left w:val="none" w:sz="0" w:space="0" w:color="auto"/>
        <w:bottom w:val="none" w:sz="0" w:space="0" w:color="auto"/>
        <w:right w:val="none" w:sz="0" w:space="0" w:color="auto"/>
      </w:divBdr>
    </w:div>
    <w:div w:id="994332886">
      <w:bodyDiv w:val="1"/>
      <w:marLeft w:val="0"/>
      <w:marRight w:val="0"/>
      <w:marTop w:val="0"/>
      <w:marBottom w:val="0"/>
      <w:divBdr>
        <w:top w:val="none" w:sz="0" w:space="0" w:color="auto"/>
        <w:left w:val="none" w:sz="0" w:space="0" w:color="auto"/>
        <w:bottom w:val="none" w:sz="0" w:space="0" w:color="auto"/>
        <w:right w:val="none" w:sz="0" w:space="0" w:color="auto"/>
      </w:divBdr>
    </w:div>
    <w:div w:id="995571191">
      <w:bodyDiv w:val="1"/>
      <w:marLeft w:val="0"/>
      <w:marRight w:val="0"/>
      <w:marTop w:val="0"/>
      <w:marBottom w:val="0"/>
      <w:divBdr>
        <w:top w:val="none" w:sz="0" w:space="0" w:color="auto"/>
        <w:left w:val="none" w:sz="0" w:space="0" w:color="auto"/>
        <w:bottom w:val="none" w:sz="0" w:space="0" w:color="auto"/>
        <w:right w:val="none" w:sz="0" w:space="0" w:color="auto"/>
      </w:divBdr>
    </w:div>
    <w:div w:id="1091394549">
      <w:bodyDiv w:val="1"/>
      <w:marLeft w:val="0"/>
      <w:marRight w:val="0"/>
      <w:marTop w:val="0"/>
      <w:marBottom w:val="0"/>
      <w:divBdr>
        <w:top w:val="none" w:sz="0" w:space="0" w:color="auto"/>
        <w:left w:val="none" w:sz="0" w:space="0" w:color="auto"/>
        <w:bottom w:val="none" w:sz="0" w:space="0" w:color="auto"/>
        <w:right w:val="none" w:sz="0" w:space="0" w:color="auto"/>
      </w:divBdr>
    </w:div>
    <w:div w:id="1127507808">
      <w:bodyDiv w:val="1"/>
      <w:marLeft w:val="0"/>
      <w:marRight w:val="0"/>
      <w:marTop w:val="0"/>
      <w:marBottom w:val="0"/>
      <w:divBdr>
        <w:top w:val="none" w:sz="0" w:space="0" w:color="auto"/>
        <w:left w:val="none" w:sz="0" w:space="0" w:color="auto"/>
        <w:bottom w:val="none" w:sz="0" w:space="0" w:color="auto"/>
        <w:right w:val="none" w:sz="0" w:space="0" w:color="auto"/>
      </w:divBdr>
    </w:div>
    <w:div w:id="1171410188">
      <w:bodyDiv w:val="1"/>
      <w:marLeft w:val="0"/>
      <w:marRight w:val="0"/>
      <w:marTop w:val="0"/>
      <w:marBottom w:val="0"/>
      <w:divBdr>
        <w:top w:val="none" w:sz="0" w:space="0" w:color="auto"/>
        <w:left w:val="none" w:sz="0" w:space="0" w:color="auto"/>
        <w:bottom w:val="none" w:sz="0" w:space="0" w:color="auto"/>
        <w:right w:val="none" w:sz="0" w:space="0" w:color="auto"/>
      </w:divBdr>
    </w:div>
    <w:div w:id="1190796847">
      <w:bodyDiv w:val="1"/>
      <w:marLeft w:val="0"/>
      <w:marRight w:val="0"/>
      <w:marTop w:val="0"/>
      <w:marBottom w:val="0"/>
      <w:divBdr>
        <w:top w:val="none" w:sz="0" w:space="0" w:color="auto"/>
        <w:left w:val="none" w:sz="0" w:space="0" w:color="auto"/>
        <w:bottom w:val="none" w:sz="0" w:space="0" w:color="auto"/>
        <w:right w:val="none" w:sz="0" w:space="0" w:color="auto"/>
      </w:divBdr>
    </w:div>
    <w:div w:id="1222015197">
      <w:bodyDiv w:val="1"/>
      <w:marLeft w:val="0"/>
      <w:marRight w:val="0"/>
      <w:marTop w:val="0"/>
      <w:marBottom w:val="0"/>
      <w:divBdr>
        <w:top w:val="none" w:sz="0" w:space="0" w:color="auto"/>
        <w:left w:val="none" w:sz="0" w:space="0" w:color="auto"/>
        <w:bottom w:val="none" w:sz="0" w:space="0" w:color="auto"/>
        <w:right w:val="none" w:sz="0" w:space="0" w:color="auto"/>
      </w:divBdr>
    </w:div>
    <w:div w:id="1323966609">
      <w:bodyDiv w:val="1"/>
      <w:marLeft w:val="0"/>
      <w:marRight w:val="0"/>
      <w:marTop w:val="0"/>
      <w:marBottom w:val="0"/>
      <w:divBdr>
        <w:top w:val="none" w:sz="0" w:space="0" w:color="auto"/>
        <w:left w:val="none" w:sz="0" w:space="0" w:color="auto"/>
        <w:bottom w:val="none" w:sz="0" w:space="0" w:color="auto"/>
        <w:right w:val="none" w:sz="0" w:space="0" w:color="auto"/>
      </w:divBdr>
    </w:div>
    <w:div w:id="1469931557">
      <w:bodyDiv w:val="1"/>
      <w:marLeft w:val="0"/>
      <w:marRight w:val="0"/>
      <w:marTop w:val="0"/>
      <w:marBottom w:val="0"/>
      <w:divBdr>
        <w:top w:val="none" w:sz="0" w:space="0" w:color="auto"/>
        <w:left w:val="none" w:sz="0" w:space="0" w:color="auto"/>
        <w:bottom w:val="none" w:sz="0" w:space="0" w:color="auto"/>
        <w:right w:val="none" w:sz="0" w:space="0" w:color="auto"/>
      </w:divBdr>
    </w:div>
    <w:div w:id="1564098682">
      <w:bodyDiv w:val="1"/>
      <w:marLeft w:val="0"/>
      <w:marRight w:val="0"/>
      <w:marTop w:val="0"/>
      <w:marBottom w:val="0"/>
      <w:divBdr>
        <w:top w:val="none" w:sz="0" w:space="0" w:color="auto"/>
        <w:left w:val="none" w:sz="0" w:space="0" w:color="auto"/>
        <w:bottom w:val="none" w:sz="0" w:space="0" w:color="auto"/>
        <w:right w:val="none" w:sz="0" w:space="0" w:color="auto"/>
      </w:divBdr>
    </w:div>
    <w:div w:id="1583181364">
      <w:bodyDiv w:val="1"/>
      <w:marLeft w:val="0"/>
      <w:marRight w:val="0"/>
      <w:marTop w:val="0"/>
      <w:marBottom w:val="0"/>
      <w:divBdr>
        <w:top w:val="none" w:sz="0" w:space="0" w:color="auto"/>
        <w:left w:val="none" w:sz="0" w:space="0" w:color="auto"/>
        <w:bottom w:val="none" w:sz="0" w:space="0" w:color="auto"/>
        <w:right w:val="none" w:sz="0" w:space="0" w:color="auto"/>
      </w:divBdr>
    </w:div>
    <w:div w:id="1636527023">
      <w:bodyDiv w:val="1"/>
      <w:marLeft w:val="0"/>
      <w:marRight w:val="0"/>
      <w:marTop w:val="0"/>
      <w:marBottom w:val="0"/>
      <w:divBdr>
        <w:top w:val="none" w:sz="0" w:space="0" w:color="auto"/>
        <w:left w:val="none" w:sz="0" w:space="0" w:color="auto"/>
        <w:bottom w:val="none" w:sz="0" w:space="0" w:color="auto"/>
        <w:right w:val="none" w:sz="0" w:space="0" w:color="auto"/>
      </w:divBdr>
    </w:div>
    <w:div w:id="1640332223">
      <w:bodyDiv w:val="1"/>
      <w:marLeft w:val="0"/>
      <w:marRight w:val="0"/>
      <w:marTop w:val="0"/>
      <w:marBottom w:val="0"/>
      <w:divBdr>
        <w:top w:val="none" w:sz="0" w:space="0" w:color="auto"/>
        <w:left w:val="none" w:sz="0" w:space="0" w:color="auto"/>
        <w:bottom w:val="none" w:sz="0" w:space="0" w:color="auto"/>
        <w:right w:val="none" w:sz="0" w:space="0" w:color="auto"/>
      </w:divBdr>
    </w:div>
    <w:div w:id="1659184753">
      <w:bodyDiv w:val="1"/>
      <w:marLeft w:val="0"/>
      <w:marRight w:val="0"/>
      <w:marTop w:val="0"/>
      <w:marBottom w:val="0"/>
      <w:divBdr>
        <w:top w:val="none" w:sz="0" w:space="0" w:color="auto"/>
        <w:left w:val="none" w:sz="0" w:space="0" w:color="auto"/>
        <w:bottom w:val="none" w:sz="0" w:space="0" w:color="auto"/>
        <w:right w:val="none" w:sz="0" w:space="0" w:color="auto"/>
      </w:divBdr>
    </w:div>
    <w:div w:id="1661545368">
      <w:bodyDiv w:val="1"/>
      <w:marLeft w:val="0"/>
      <w:marRight w:val="0"/>
      <w:marTop w:val="0"/>
      <w:marBottom w:val="0"/>
      <w:divBdr>
        <w:top w:val="none" w:sz="0" w:space="0" w:color="auto"/>
        <w:left w:val="none" w:sz="0" w:space="0" w:color="auto"/>
        <w:bottom w:val="none" w:sz="0" w:space="0" w:color="auto"/>
        <w:right w:val="none" w:sz="0" w:space="0" w:color="auto"/>
      </w:divBdr>
    </w:div>
    <w:div w:id="1677031141">
      <w:bodyDiv w:val="1"/>
      <w:marLeft w:val="0"/>
      <w:marRight w:val="0"/>
      <w:marTop w:val="0"/>
      <w:marBottom w:val="0"/>
      <w:divBdr>
        <w:top w:val="none" w:sz="0" w:space="0" w:color="auto"/>
        <w:left w:val="none" w:sz="0" w:space="0" w:color="auto"/>
        <w:bottom w:val="none" w:sz="0" w:space="0" w:color="auto"/>
        <w:right w:val="none" w:sz="0" w:space="0" w:color="auto"/>
      </w:divBdr>
    </w:div>
    <w:div w:id="1757559164">
      <w:bodyDiv w:val="1"/>
      <w:marLeft w:val="0"/>
      <w:marRight w:val="0"/>
      <w:marTop w:val="0"/>
      <w:marBottom w:val="0"/>
      <w:divBdr>
        <w:top w:val="none" w:sz="0" w:space="0" w:color="auto"/>
        <w:left w:val="none" w:sz="0" w:space="0" w:color="auto"/>
        <w:bottom w:val="none" w:sz="0" w:space="0" w:color="auto"/>
        <w:right w:val="none" w:sz="0" w:space="0" w:color="auto"/>
      </w:divBdr>
    </w:div>
    <w:div w:id="1765884764">
      <w:bodyDiv w:val="1"/>
      <w:marLeft w:val="0"/>
      <w:marRight w:val="0"/>
      <w:marTop w:val="0"/>
      <w:marBottom w:val="0"/>
      <w:divBdr>
        <w:top w:val="none" w:sz="0" w:space="0" w:color="auto"/>
        <w:left w:val="none" w:sz="0" w:space="0" w:color="auto"/>
        <w:bottom w:val="none" w:sz="0" w:space="0" w:color="auto"/>
        <w:right w:val="none" w:sz="0" w:space="0" w:color="auto"/>
      </w:divBdr>
    </w:div>
    <w:div w:id="1821579290">
      <w:bodyDiv w:val="1"/>
      <w:marLeft w:val="0"/>
      <w:marRight w:val="0"/>
      <w:marTop w:val="0"/>
      <w:marBottom w:val="0"/>
      <w:divBdr>
        <w:top w:val="none" w:sz="0" w:space="0" w:color="auto"/>
        <w:left w:val="none" w:sz="0" w:space="0" w:color="auto"/>
        <w:bottom w:val="none" w:sz="0" w:space="0" w:color="auto"/>
        <w:right w:val="none" w:sz="0" w:space="0" w:color="auto"/>
      </w:divBdr>
    </w:div>
    <w:div w:id="1880511149">
      <w:bodyDiv w:val="1"/>
      <w:marLeft w:val="0"/>
      <w:marRight w:val="0"/>
      <w:marTop w:val="0"/>
      <w:marBottom w:val="0"/>
      <w:divBdr>
        <w:top w:val="none" w:sz="0" w:space="0" w:color="auto"/>
        <w:left w:val="none" w:sz="0" w:space="0" w:color="auto"/>
        <w:bottom w:val="none" w:sz="0" w:space="0" w:color="auto"/>
        <w:right w:val="none" w:sz="0" w:space="0" w:color="auto"/>
      </w:divBdr>
    </w:div>
    <w:div w:id="1913852311">
      <w:bodyDiv w:val="1"/>
      <w:marLeft w:val="0"/>
      <w:marRight w:val="0"/>
      <w:marTop w:val="0"/>
      <w:marBottom w:val="0"/>
      <w:divBdr>
        <w:top w:val="none" w:sz="0" w:space="0" w:color="auto"/>
        <w:left w:val="none" w:sz="0" w:space="0" w:color="auto"/>
        <w:bottom w:val="none" w:sz="0" w:space="0" w:color="auto"/>
        <w:right w:val="none" w:sz="0" w:space="0" w:color="auto"/>
      </w:divBdr>
    </w:div>
    <w:div w:id="1937640250">
      <w:bodyDiv w:val="1"/>
      <w:marLeft w:val="0"/>
      <w:marRight w:val="0"/>
      <w:marTop w:val="0"/>
      <w:marBottom w:val="0"/>
      <w:divBdr>
        <w:top w:val="none" w:sz="0" w:space="0" w:color="auto"/>
        <w:left w:val="none" w:sz="0" w:space="0" w:color="auto"/>
        <w:bottom w:val="none" w:sz="0" w:space="0" w:color="auto"/>
        <w:right w:val="none" w:sz="0" w:space="0" w:color="auto"/>
      </w:divBdr>
    </w:div>
    <w:div w:id="1968968598">
      <w:bodyDiv w:val="1"/>
      <w:marLeft w:val="0"/>
      <w:marRight w:val="0"/>
      <w:marTop w:val="0"/>
      <w:marBottom w:val="0"/>
      <w:divBdr>
        <w:top w:val="none" w:sz="0" w:space="0" w:color="auto"/>
        <w:left w:val="none" w:sz="0" w:space="0" w:color="auto"/>
        <w:bottom w:val="none" w:sz="0" w:space="0" w:color="auto"/>
        <w:right w:val="none" w:sz="0" w:space="0" w:color="auto"/>
      </w:divBdr>
    </w:div>
    <w:div w:id="1993555723">
      <w:bodyDiv w:val="1"/>
      <w:marLeft w:val="0"/>
      <w:marRight w:val="0"/>
      <w:marTop w:val="0"/>
      <w:marBottom w:val="0"/>
      <w:divBdr>
        <w:top w:val="none" w:sz="0" w:space="0" w:color="auto"/>
        <w:left w:val="none" w:sz="0" w:space="0" w:color="auto"/>
        <w:bottom w:val="none" w:sz="0" w:space="0" w:color="auto"/>
        <w:right w:val="none" w:sz="0" w:space="0" w:color="auto"/>
      </w:divBdr>
    </w:div>
    <w:div w:id="1998262813">
      <w:bodyDiv w:val="1"/>
      <w:marLeft w:val="0"/>
      <w:marRight w:val="0"/>
      <w:marTop w:val="0"/>
      <w:marBottom w:val="0"/>
      <w:divBdr>
        <w:top w:val="none" w:sz="0" w:space="0" w:color="auto"/>
        <w:left w:val="none" w:sz="0" w:space="0" w:color="auto"/>
        <w:bottom w:val="none" w:sz="0" w:space="0" w:color="auto"/>
        <w:right w:val="none" w:sz="0" w:space="0" w:color="auto"/>
      </w:divBdr>
    </w:div>
    <w:div w:id="20564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99BB-CCE1-4C04-92F6-5232983D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7098</Words>
  <Characters>40459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 Skala</dc:creator>
  <cp:keywords/>
  <dc:description/>
  <cp:lastModifiedBy>Reviewer</cp:lastModifiedBy>
  <cp:revision>2</cp:revision>
  <dcterms:created xsi:type="dcterms:W3CDTF">2021-10-18T09:45:00Z</dcterms:created>
  <dcterms:modified xsi:type="dcterms:W3CDTF">2021-10-18T09:45:00Z</dcterms:modified>
</cp:coreProperties>
</file>