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4BEB" w:rsidRDefault="00DD3B20">
      <w:pPr>
        <w:pStyle w:val="Title"/>
      </w:pPr>
      <w:bookmarkStart w:id="0" w:name="_4aagl8r7eqfy" w:colFirst="0" w:colLast="0"/>
      <w:bookmarkEnd w:id="0"/>
      <w:r>
        <w:t>Prevalence of overweight and obesity in people with severe mental illness: systematic review and meta-analysis</w:t>
      </w:r>
    </w:p>
    <w:p w14:paraId="00000002" w14:textId="609CCCD6" w:rsidR="00D54BEB" w:rsidRDefault="00DD3B20">
      <w:pPr>
        <w:widowControl w:val="0"/>
      </w:pPr>
      <w:r w:rsidRPr="001350F8">
        <w:t>Medhia Afzal</w:t>
      </w:r>
      <w:r w:rsidRPr="001350F8">
        <w:rPr>
          <w:vertAlign w:val="superscript"/>
        </w:rPr>
        <w:t>1</w:t>
      </w:r>
      <w:r>
        <w:rPr>
          <w:vertAlign w:val="superscript"/>
        </w:rPr>
        <w:t>,2</w:t>
      </w:r>
      <w:r>
        <w:t xml:space="preserve">, </w:t>
      </w:r>
      <w:r w:rsidRPr="001350F8">
        <w:t>Najma Siddiqi1</w:t>
      </w:r>
      <w:r>
        <w:rPr>
          <w:vertAlign w:val="superscript"/>
        </w:rPr>
        <w:t>,2</w:t>
      </w:r>
      <w:r>
        <w:t>, Bilal Ahmad</w:t>
      </w:r>
      <w:r>
        <w:rPr>
          <w:vertAlign w:val="superscript"/>
        </w:rPr>
        <w:t>3</w:t>
      </w:r>
      <w:r>
        <w:t>,Nida Afsheen</w:t>
      </w:r>
      <w:r>
        <w:rPr>
          <w:vertAlign w:val="superscript"/>
        </w:rPr>
        <w:t>3</w:t>
      </w:r>
      <w:r>
        <w:t>, Faiza Aslam</w:t>
      </w:r>
      <w:r>
        <w:rPr>
          <w:vertAlign w:val="superscript"/>
        </w:rPr>
        <w:t>3</w:t>
      </w:r>
      <w:r>
        <w:t>, Ayaz Ali</w:t>
      </w:r>
      <w:r>
        <w:rPr>
          <w:vertAlign w:val="superscript"/>
        </w:rPr>
        <w:t>3</w:t>
      </w:r>
      <w:r>
        <w:t>, Rubab Ayesha</w:t>
      </w:r>
      <w:r>
        <w:rPr>
          <w:vertAlign w:val="superscript"/>
        </w:rPr>
        <w:t>3</w:t>
      </w:r>
      <w:r>
        <w:t>, Maria Bryant</w:t>
      </w:r>
      <w:r>
        <w:rPr>
          <w:vertAlign w:val="superscript"/>
        </w:rPr>
        <w:t>1,2</w:t>
      </w:r>
      <w:r>
        <w:t>, Richard Holt</w:t>
      </w:r>
      <w:r>
        <w:rPr>
          <w:vertAlign w:val="superscript"/>
        </w:rPr>
        <w:t>4,5</w:t>
      </w:r>
      <w:r>
        <w:t>, Humaira Khalid</w:t>
      </w:r>
      <w:r>
        <w:rPr>
          <w:vertAlign w:val="superscript"/>
        </w:rPr>
        <w:t>3</w:t>
      </w:r>
      <w:r>
        <w:t>, Kousar Ishaq</w:t>
      </w:r>
      <w:r>
        <w:rPr>
          <w:vertAlign w:val="superscript"/>
        </w:rPr>
        <w:t>3</w:t>
      </w:r>
      <w:r>
        <w:t>, Kamrun Nahar Koly</w:t>
      </w:r>
      <w:r>
        <w:rPr>
          <w:vertAlign w:val="superscript"/>
        </w:rPr>
        <w:t>6</w:t>
      </w:r>
      <w:r>
        <w:t>, Sukanya Rajan</w:t>
      </w:r>
      <w:r>
        <w:rPr>
          <w:vertAlign w:val="superscript"/>
        </w:rPr>
        <w:t>7</w:t>
      </w:r>
      <w:r>
        <w:t>, Jobaida Saba</w:t>
      </w:r>
      <w:r>
        <w:rPr>
          <w:vertAlign w:val="superscript"/>
        </w:rPr>
        <w:t>6</w:t>
      </w:r>
      <w:r>
        <w:t>,</w:t>
      </w:r>
      <w:r>
        <w:rPr>
          <w:sz w:val="16"/>
          <w:szCs w:val="16"/>
        </w:rPr>
        <w:t xml:space="preserve"> </w:t>
      </w:r>
      <w:r>
        <w:t>Nilesh Tirbhowan</w:t>
      </w:r>
      <w:r>
        <w:rPr>
          <w:vertAlign w:val="superscript"/>
        </w:rPr>
        <w:t>2</w:t>
      </w:r>
      <w:r>
        <w:t>, Gerardo A Zavala*</w:t>
      </w:r>
      <w:r>
        <w:rPr>
          <w:vertAlign w:val="superscript"/>
        </w:rPr>
        <w:t>1</w:t>
      </w:r>
    </w:p>
    <w:p w14:paraId="00000003" w14:textId="77777777" w:rsidR="00D54BEB" w:rsidRDefault="00D54BEB"/>
    <w:p w14:paraId="00000004" w14:textId="77777777" w:rsidR="00D54BEB" w:rsidRDefault="00DD3B20">
      <w:pPr>
        <w:rPr>
          <w:b/>
        </w:rPr>
      </w:pPr>
      <w:r>
        <w:rPr>
          <w:b/>
        </w:rPr>
        <w:t>Affiliations</w:t>
      </w:r>
    </w:p>
    <w:p w14:paraId="00000005" w14:textId="77777777" w:rsidR="00D54BEB" w:rsidRDefault="00DD3B20">
      <w:pPr>
        <w:widowControl w:val="0"/>
      </w:pPr>
      <w:r>
        <w:rPr>
          <w:vertAlign w:val="superscript"/>
        </w:rPr>
        <w:t xml:space="preserve">1 </w:t>
      </w:r>
      <w:r>
        <w:t xml:space="preserve">Department of Health Sciences, University of York, UK </w:t>
      </w:r>
    </w:p>
    <w:p w14:paraId="00000006" w14:textId="77777777" w:rsidR="00D54BEB" w:rsidRDefault="00DD3B20">
      <w:pPr>
        <w:widowControl w:val="0"/>
      </w:pPr>
      <w:r>
        <w:rPr>
          <w:vertAlign w:val="superscript"/>
        </w:rPr>
        <w:t xml:space="preserve">2 </w:t>
      </w:r>
      <w:r>
        <w:t>Hull York Medical School, UK</w:t>
      </w:r>
    </w:p>
    <w:p w14:paraId="00000007" w14:textId="77777777" w:rsidR="00D54BEB" w:rsidRDefault="00DD3B20">
      <w:pPr>
        <w:widowControl w:val="0"/>
      </w:pPr>
      <w:r>
        <w:rPr>
          <w:vertAlign w:val="superscript"/>
        </w:rPr>
        <w:t xml:space="preserve">3 </w:t>
      </w:r>
      <w:r>
        <w:t>Institute of Psychiatry, Rawalpindi Medical University, Pakistan</w:t>
      </w:r>
    </w:p>
    <w:p w14:paraId="00000008" w14:textId="77777777" w:rsidR="00D54BEB" w:rsidRDefault="00DD3B20">
      <w:pPr>
        <w:widowControl w:val="0"/>
        <w:rPr>
          <w:vertAlign w:val="superscript"/>
        </w:rPr>
      </w:pPr>
      <w:r>
        <w:rPr>
          <w:vertAlign w:val="superscript"/>
        </w:rPr>
        <w:t xml:space="preserve">4 </w:t>
      </w:r>
      <w:r>
        <w:t xml:space="preserve">Human Development and Health, Faculty of Medicine, University of Southampton, UK </w:t>
      </w:r>
    </w:p>
    <w:p w14:paraId="00000009" w14:textId="77777777" w:rsidR="00D54BEB" w:rsidRDefault="00DD3B20">
      <w:pPr>
        <w:widowControl w:val="0"/>
      </w:pPr>
      <w:r>
        <w:rPr>
          <w:vertAlign w:val="superscript"/>
        </w:rPr>
        <w:t xml:space="preserve">5 </w:t>
      </w:r>
      <w:r>
        <w:t>Southampton National Institute for Health Research Biomedical Research Centre, University Hospital Southampton NHS Foundation Trust, Southampton, UK</w:t>
      </w:r>
    </w:p>
    <w:p w14:paraId="0000000A" w14:textId="77777777" w:rsidR="00D54BEB" w:rsidRDefault="00DD3B20">
      <w:pPr>
        <w:widowControl w:val="0"/>
      </w:pPr>
      <w:r>
        <w:rPr>
          <w:vertAlign w:val="superscript"/>
        </w:rPr>
        <w:t xml:space="preserve">6 </w:t>
      </w:r>
      <w:r>
        <w:t>International Centre for Diarrhoeal Disease Research, Bangladesh</w:t>
      </w:r>
    </w:p>
    <w:p w14:paraId="0000000B" w14:textId="77777777" w:rsidR="00D54BEB" w:rsidRDefault="00DD3B20">
      <w:pPr>
        <w:widowControl w:val="0"/>
      </w:pPr>
      <w:r>
        <w:rPr>
          <w:vertAlign w:val="superscript"/>
        </w:rPr>
        <w:t xml:space="preserve">7 </w:t>
      </w:r>
      <w:r>
        <w:t>Department of Psychiatry, National Institute of Mental Health and Neurosciences, Banglore, India</w:t>
      </w:r>
    </w:p>
    <w:p w14:paraId="0000000C" w14:textId="77777777" w:rsidR="00D54BEB" w:rsidRDefault="00DD3B20">
      <w:r>
        <w:t xml:space="preserve"> </w:t>
      </w:r>
    </w:p>
    <w:p w14:paraId="0000000D" w14:textId="77777777" w:rsidR="00D54BEB" w:rsidRDefault="00DD3B20">
      <w:pPr>
        <w:rPr>
          <w:b/>
          <w:u w:val="single"/>
        </w:rPr>
      </w:pPr>
      <w:r>
        <w:rPr>
          <w:b/>
        </w:rPr>
        <w:t>Corresponding author:</w:t>
      </w:r>
      <w:r>
        <w:rPr>
          <w:b/>
          <w:u w:val="single"/>
        </w:rPr>
        <w:t xml:space="preserve"> </w:t>
      </w:r>
      <w:hyperlink r:id="rId6">
        <w:r>
          <w:rPr>
            <w:b/>
            <w:color w:val="1155CC"/>
            <w:u w:val="single"/>
          </w:rPr>
          <w:t>g.zavala@york.ac.uk</w:t>
        </w:r>
      </w:hyperlink>
      <w:r>
        <w:rPr>
          <w:b/>
          <w:u w:val="single"/>
        </w:rPr>
        <w:t xml:space="preserve"> </w:t>
      </w:r>
    </w:p>
    <w:p w14:paraId="0000000E" w14:textId="77777777" w:rsidR="00D54BEB" w:rsidRDefault="00D54BEB">
      <w:pPr>
        <w:rPr>
          <w:b/>
          <w:u w:val="single"/>
        </w:rPr>
      </w:pPr>
    </w:p>
    <w:p w14:paraId="0000000F" w14:textId="6E842925" w:rsidR="00D54BEB" w:rsidRDefault="00DD3B20">
      <w:r>
        <w:rPr>
          <w:b/>
        </w:rPr>
        <w:t>Number of words:</w:t>
      </w:r>
      <w:r>
        <w:t xml:space="preserve"> </w:t>
      </w:r>
      <w:r w:rsidR="001350F8">
        <w:t>4315</w:t>
      </w:r>
    </w:p>
    <w:p w14:paraId="00000010" w14:textId="77777777" w:rsidR="00D54BEB" w:rsidRDefault="00DD3B20">
      <w:r>
        <w:rPr>
          <w:b/>
        </w:rPr>
        <w:t>Number of tables:</w:t>
      </w:r>
      <w:r>
        <w:t xml:space="preserve"> 3</w:t>
      </w:r>
    </w:p>
    <w:p w14:paraId="00000011" w14:textId="77777777" w:rsidR="00D54BEB" w:rsidRDefault="00DD3B20">
      <w:r>
        <w:rPr>
          <w:b/>
        </w:rPr>
        <w:t xml:space="preserve">Number of figures: </w:t>
      </w:r>
      <w:r>
        <w:t>6</w:t>
      </w:r>
    </w:p>
    <w:p w14:paraId="00000012" w14:textId="77777777" w:rsidR="00D54BEB" w:rsidRDefault="00D54BEB">
      <w:pPr>
        <w:rPr>
          <w:b/>
          <w:u w:val="single"/>
        </w:rPr>
      </w:pPr>
    </w:p>
    <w:p w14:paraId="00000013" w14:textId="77777777" w:rsidR="00D54BEB" w:rsidRDefault="00DD3B20">
      <w:pPr>
        <w:rPr>
          <w:b/>
          <w:u w:val="single"/>
        </w:rPr>
      </w:pPr>
      <w:r>
        <w:rPr>
          <w:b/>
          <w:u w:val="single"/>
        </w:rPr>
        <w:t>This manuscript was written using British spelling</w:t>
      </w:r>
    </w:p>
    <w:p w14:paraId="00000014" w14:textId="77777777" w:rsidR="00D54BEB" w:rsidRDefault="00D54BEB">
      <w:pPr>
        <w:rPr>
          <w:b/>
          <w:u w:val="single"/>
        </w:rPr>
      </w:pPr>
    </w:p>
    <w:p w14:paraId="00000015" w14:textId="77777777" w:rsidR="00D54BEB" w:rsidRDefault="00D54BEB">
      <w:pPr>
        <w:rPr>
          <w:b/>
          <w:u w:val="single"/>
        </w:rPr>
      </w:pPr>
    </w:p>
    <w:p w14:paraId="00000016" w14:textId="77777777" w:rsidR="00D54BEB" w:rsidRDefault="00D54BEB">
      <w:pPr>
        <w:rPr>
          <w:b/>
          <w:u w:val="single"/>
        </w:rPr>
      </w:pPr>
    </w:p>
    <w:p w14:paraId="00000017" w14:textId="77777777" w:rsidR="00D54BEB" w:rsidRDefault="00D54BEB">
      <w:pPr>
        <w:rPr>
          <w:b/>
          <w:u w:val="single"/>
        </w:rPr>
      </w:pPr>
    </w:p>
    <w:p w14:paraId="00000018" w14:textId="77777777" w:rsidR="00D54BEB" w:rsidRDefault="00D54BEB">
      <w:pPr>
        <w:rPr>
          <w:b/>
          <w:u w:val="single"/>
        </w:rPr>
      </w:pPr>
    </w:p>
    <w:p w14:paraId="00000019" w14:textId="77777777" w:rsidR="00D54BEB" w:rsidRDefault="00D54BEB">
      <w:pPr>
        <w:rPr>
          <w:b/>
          <w:u w:val="single"/>
        </w:rPr>
      </w:pPr>
    </w:p>
    <w:p w14:paraId="0000001A" w14:textId="77777777" w:rsidR="00D54BEB" w:rsidRDefault="00D54BEB">
      <w:pPr>
        <w:rPr>
          <w:b/>
          <w:u w:val="single"/>
        </w:rPr>
      </w:pPr>
    </w:p>
    <w:p w14:paraId="0000001B" w14:textId="77777777" w:rsidR="00D54BEB" w:rsidRDefault="00D54BEB">
      <w:pPr>
        <w:pStyle w:val="Heading1"/>
      </w:pPr>
      <w:bookmarkStart w:id="1" w:name="_4o5jsfp5qcfx" w:colFirst="0" w:colLast="0"/>
      <w:bookmarkEnd w:id="1"/>
    </w:p>
    <w:p w14:paraId="0000001C" w14:textId="77777777" w:rsidR="00D54BEB" w:rsidRDefault="00D54BEB"/>
    <w:p w14:paraId="0000001D" w14:textId="77777777" w:rsidR="00D54BEB" w:rsidRDefault="00D54BEB"/>
    <w:p w14:paraId="0000001E" w14:textId="77777777" w:rsidR="00D54BEB" w:rsidRDefault="00D54BEB">
      <w:pPr>
        <w:pStyle w:val="Heading1"/>
      </w:pPr>
      <w:bookmarkStart w:id="2" w:name="_r1rt9ryz3v9r" w:colFirst="0" w:colLast="0"/>
      <w:bookmarkEnd w:id="2"/>
    </w:p>
    <w:p w14:paraId="0000001F" w14:textId="77777777" w:rsidR="00D54BEB" w:rsidRDefault="00D54BEB"/>
    <w:p w14:paraId="00000020" w14:textId="77777777" w:rsidR="00D54BEB" w:rsidRDefault="00D54BEB"/>
    <w:p w14:paraId="00000021" w14:textId="77777777" w:rsidR="00D54BEB" w:rsidRDefault="00D54BEB">
      <w:pPr>
        <w:pStyle w:val="Heading1"/>
      </w:pPr>
      <w:bookmarkStart w:id="3" w:name="_2y6n4chpg0yu" w:colFirst="0" w:colLast="0"/>
      <w:bookmarkEnd w:id="3"/>
    </w:p>
    <w:p w14:paraId="00000022" w14:textId="77777777" w:rsidR="00D54BEB" w:rsidRDefault="00D54BEB"/>
    <w:p w14:paraId="19E7D889" w14:textId="77777777" w:rsidR="001350F8" w:rsidRDefault="001350F8">
      <w:pPr>
        <w:pStyle w:val="Heading1"/>
      </w:pPr>
      <w:bookmarkStart w:id="4" w:name="_7t1cq685gtqr" w:colFirst="0" w:colLast="0"/>
      <w:bookmarkEnd w:id="4"/>
    </w:p>
    <w:p w14:paraId="00000023" w14:textId="714C5F10" w:rsidR="00D54BEB" w:rsidRDefault="00DD3B20">
      <w:pPr>
        <w:pStyle w:val="Heading1"/>
      </w:pPr>
      <w:r>
        <w:t>Abstract</w:t>
      </w:r>
    </w:p>
    <w:p w14:paraId="00000024" w14:textId="77777777" w:rsidR="00D54BEB" w:rsidRDefault="00DD3B20">
      <w:r>
        <w:rPr>
          <w:b/>
        </w:rPr>
        <w:t xml:space="preserve">Aims: </w:t>
      </w:r>
      <w:r>
        <w:t xml:space="preserve">1) To determine the pooled prevalence of overweight and obesity in people with severe mental illness (SMI), overall and by type of SMI, geographical region, and year of data collection; and 2) to assess the likelihood of overweight and obesity, in people with SMI compared with the general population. </w:t>
      </w:r>
    </w:p>
    <w:p w14:paraId="00000025" w14:textId="5492A314" w:rsidR="00D54BEB" w:rsidRDefault="00DD3B20">
      <w:r>
        <w:rPr>
          <w:b/>
        </w:rPr>
        <w:t xml:space="preserve">Methods: </w:t>
      </w:r>
      <w:r>
        <w:t xml:space="preserve">PubMed, Medline, EMBASE, and PsycINFO databases were searched to identify observational studies assessing the prevalence of obesity in adults with SMI. Screening, data extraction and risk of bias assessments were performed independently by two co-authors. Random effect estimates for the pooled prevalence of overweight and obesity and the pooled odds of obesity in people with SMI compared with the general population were calculated. Subgroup </w:t>
      </w:r>
      <w:r>
        <w:rPr>
          <w:highlight w:val="white"/>
        </w:rPr>
        <w:t>analyses</w:t>
      </w:r>
      <w:r>
        <w:t xml:space="preserve"> were conducted for types of SMI, </w:t>
      </w:r>
      <w:r w:rsidR="001350F8">
        <w:t>setting, antipsychotic</w:t>
      </w:r>
      <w:r>
        <w:t xml:space="preserve"> medication, region of the world, country income classification, date of data collection and sex. We assessed publication bias and performed a series of sensitivity analyses, excluding studies with high risk of bias, with low sample size and those not reporting obesity according to WHO classification. </w:t>
      </w:r>
    </w:p>
    <w:p w14:paraId="00000026" w14:textId="71FABC25" w:rsidR="00D54BEB" w:rsidRDefault="00DD3B20">
      <w:r>
        <w:rPr>
          <w:b/>
        </w:rPr>
        <w:t xml:space="preserve">Result: </w:t>
      </w:r>
      <w:r>
        <w:t xml:space="preserve">120 studies from 43 countries were included, the majority were from high income countries. The pooled prevalence of obesity in people with SMI was 25.9% </w:t>
      </w:r>
      <w:r>
        <w:rPr>
          <w:highlight w:val="white"/>
        </w:rPr>
        <w:t>(95% C.I.=23.3-29.1)</w:t>
      </w:r>
      <w:r>
        <w:t xml:space="preserve"> and the combined pooled prevalence of overweight and obesity was </w:t>
      </w:r>
      <w:r>
        <w:rPr>
          <w:highlight w:val="white"/>
        </w:rPr>
        <w:t>60.1% (95% C.I. = 55.8-63.1)</w:t>
      </w:r>
      <w:r>
        <w:t xml:space="preserve">. Sub-Saharan Africa (13.0%, 95%C.I.= 6.7-25.1) and South Asia (17.7%, 95%C.I.=10.5-28.5) had the lowest prevalence of obesity whilst North Africa and the Middle East (35.8%, 95%C.I.=23.8-44.8) reported the highest prevalence. People with SMI were 3.04 more likely (95% C.I.=2.42-3.82) to have obesity than the general population, but there was no difference in the prevalence of overweight. Women with schizophrenia were 1.44 (95% C.I.=1.25-1.67) times more likely than men with schizophrenia to live with obesity; however, no gender differences were found among those with bipolar disorder. </w:t>
      </w:r>
    </w:p>
    <w:p w14:paraId="00000027" w14:textId="77777777" w:rsidR="00D54BEB" w:rsidRDefault="00DD3B20">
      <w:r>
        <w:rPr>
          <w:b/>
        </w:rPr>
        <w:t xml:space="preserve">Conclusion: </w:t>
      </w:r>
      <w:r>
        <w:t xml:space="preserve">People with SMI have a markedly high prevalence and higher odds of obesity than the general population. This may contribute to the very high prevalence of physical health conditions and mortality in this group. People with SMI around the world would likely benefit from interventions to reduce and prevent obesity.  </w:t>
      </w:r>
    </w:p>
    <w:p w14:paraId="00000028" w14:textId="77777777" w:rsidR="00D54BEB" w:rsidRDefault="00D54BEB"/>
    <w:p w14:paraId="00000029" w14:textId="77777777" w:rsidR="00D54BEB" w:rsidRDefault="00DD3B20">
      <w:r>
        <w:rPr>
          <w:b/>
        </w:rPr>
        <w:t xml:space="preserve">Key words: </w:t>
      </w:r>
      <w:r>
        <w:t>Severe mental illness; schizophrenia; bipolar disorder; obesity; overweight</w:t>
      </w:r>
    </w:p>
    <w:p w14:paraId="0000002A" w14:textId="77777777" w:rsidR="00D54BEB" w:rsidRDefault="00DD3B20">
      <w:pPr>
        <w:pStyle w:val="Heading1"/>
      </w:pPr>
      <w:bookmarkStart w:id="5" w:name="_mhmuyzby3kyc" w:colFirst="0" w:colLast="0"/>
      <w:bookmarkEnd w:id="5"/>
      <w:r>
        <w:t xml:space="preserve">Contribution to the Field Statement </w:t>
      </w:r>
    </w:p>
    <w:p w14:paraId="0000002B" w14:textId="77777777" w:rsidR="00D54BEB" w:rsidRDefault="00DD3B20">
      <w:r>
        <w:t>The prevalence of obesity in people with severe mental illness (SMI) has been estimated to be between 10 to 60% by a large number of studies from around the world; however, to date no synthesis of these studies exists. In the current review, we summarise the prevalence and trends for obesity from 120 studies across 43 countries, overall, and by type of SMI (e.g. schizophrenia and bipolar disorder), setting, region of the world, country income classification, sex and year of data collection. We report a pooled prevalence of obesity of just over 30%; people with SMI are three times more likely to have obesity compared with the general population. There were differences in the prevalence of obesity according to the geographical region, country income classification and sex. There was a disproportionately low number of studies from low- to middle- income countries (LMICs), particularly from Africa, the Middle East and Latin America regions. This is the first study to systematically estimate the pooled prevalence and patterns of obesity in people with SMI, and to report  regional differences in this population.</w:t>
      </w:r>
    </w:p>
    <w:p w14:paraId="0000002C" w14:textId="77777777" w:rsidR="00D54BEB" w:rsidRDefault="00D54BEB"/>
    <w:p w14:paraId="0000002D" w14:textId="77777777" w:rsidR="00D54BEB" w:rsidRDefault="00D54BEB"/>
    <w:p w14:paraId="0000002E" w14:textId="77777777" w:rsidR="00D54BEB" w:rsidRDefault="00D54BEB">
      <w:pPr>
        <w:pStyle w:val="Heading1"/>
      </w:pPr>
      <w:bookmarkStart w:id="6" w:name="_cet6ecbzcf3o" w:colFirst="0" w:colLast="0"/>
      <w:bookmarkEnd w:id="6"/>
    </w:p>
    <w:p w14:paraId="0000002F" w14:textId="77777777" w:rsidR="00D54BEB" w:rsidRDefault="00D54BEB"/>
    <w:p w14:paraId="00000030" w14:textId="77777777" w:rsidR="00D54BEB" w:rsidRDefault="00DD3B20">
      <w:pPr>
        <w:pStyle w:val="Heading1"/>
      </w:pPr>
      <w:bookmarkStart w:id="7" w:name="_n89iw6wj2avs" w:colFirst="0" w:colLast="0"/>
      <w:bookmarkEnd w:id="7"/>
      <w:r>
        <w:lastRenderedPageBreak/>
        <w:t xml:space="preserve">Introduction </w:t>
      </w:r>
    </w:p>
    <w:p w14:paraId="00000031" w14:textId="77777777" w:rsidR="00D54BEB" w:rsidRDefault="00DD3B20">
      <w:r>
        <w:t xml:space="preserve">Obesity is a major global public health challenge </w:t>
      </w:r>
      <w:hyperlink r:id="rId7">
        <w:r>
          <w:rPr>
            <w:color w:val="000000"/>
          </w:rPr>
          <w:t>(1)</w:t>
        </w:r>
      </w:hyperlink>
      <w:r>
        <w:t xml:space="preserve">. The prevalence has steadily risen over recent decades, with rates tripling since 1975 to the point where 30% of the world’s population has either overweight or living with obesity </w:t>
      </w:r>
      <w:hyperlink r:id="rId8">
        <w:r>
          <w:rPr>
            <w:color w:val="000000"/>
          </w:rPr>
          <w:t>(1)</w:t>
        </w:r>
      </w:hyperlink>
      <w:r>
        <w:t xml:space="preserve">. According to the World Health Organization (WHO), the body mass index (BMI) provides the most useful, albeit crude, measure of population-level obesity </w:t>
      </w:r>
      <w:hyperlink r:id="rId9">
        <w:r>
          <w:rPr>
            <w:color w:val="000000"/>
          </w:rPr>
          <w:t>(2)</w:t>
        </w:r>
      </w:hyperlink>
      <w:r>
        <w:t xml:space="preserve">. People with severe mental illness (SMI), (defined as those with schizophrenia and psychotic disorders, bipolar disorder and major depressive disorder with psychotic features), have been reported to be disproportionately affected by the obesity epidemic </w:t>
      </w:r>
      <w:hyperlink r:id="rId10">
        <w:r>
          <w:rPr>
            <w:color w:val="000000"/>
          </w:rPr>
          <w:t>(3,4)</w:t>
        </w:r>
      </w:hyperlink>
      <w:r>
        <w:t xml:space="preserve">. Studies from different countries and settings (inpatient, outpatient and community) around the world have reported prevalence of obesity ranging from 10% to 60%, suggesting the risk and prevalence of obesity in this population might vary by setting, country and region of the world </w:t>
      </w:r>
      <w:hyperlink r:id="rId11">
        <w:r>
          <w:rPr>
            <w:color w:val="000000"/>
          </w:rPr>
          <w:t>(5,6)</w:t>
        </w:r>
      </w:hyperlink>
      <w:r>
        <w:t xml:space="preserve">. Current data suggest that the prevalence of obesity among people with SMI is increasing at a faster rate than the general population </w:t>
      </w:r>
      <w:hyperlink r:id="rId12">
        <w:r>
          <w:rPr>
            <w:color w:val="000000"/>
          </w:rPr>
          <w:t>(7)</w:t>
        </w:r>
      </w:hyperlink>
      <w:r>
        <w:t xml:space="preserve">. The high prevalence of obesity has been attributed to a combination of side effects and increased appetite associated with psychotropic medication, clustering of health risk behaviours such as poor diet with a high content of saturated fats </w:t>
      </w:r>
      <w:hyperlink r:id="rId13">
        <w:r>
          <w:rPr>
            <w:color w:val="000000"/>
          </w:rPr>
          <w:t>(8)</w:t>
        </w:r>
      </w:hyperlink>
      <w:r>
        <w:t xml:space="preserve">, low engagement with physical activity </w:t>
      </w:r>
      <w:hyperlink r:id="rId14">
        <w:r>
          <w:rPr>
            <w:color w:val="000000"/>
          </w:rPr>
          <w:t>(9)</w:t>
        </w:r>
      </w:hyperlink>
      <w:r>
        <w:t xml:space="preserve">, and social determinants of poor health such as stigma and poverty </w:t>
      </w:r>
      <w:hyperlink r:id="rId15">
        <w:r>
          <w:rPr>
            <w:color w:val="000000"/>
          </w:rPr>
          <w:t>(10)</w:t>
        </w:r>
      </w:hyperlink>
      <w:r>
        <w:t xml:space="preserve">.  </w:t>
      </w:r>
    </w:p>
    <w:p w14:paraId="00000032" w14:textId="77777777" w:rsidR="00D54BEB" w:rsidRDefault="00D54BEB"/>
    <w:p w14:paraId="00000033" w14:textId="77777777" w:rsidR="00D54BEB" w:rsidRDefault="00DD3B20">
      <w:r>
        <w:t xml:space="preserve">People with SMI have nearly twice the risk of dying from cardiovascular disease and die on average 10 to 20 years earlier than the general population </w:t>
      </w:r>
      <w:hyperlink r:id="rId16">
        <w:r>
          <w:rPr>
            <w:color w:val="000000"/>
          </w:rPr>
          <w:t>(11)</w:t>
        </w:r>
      </w:hyperlink>
      <w:r>
        <w:t xml:space="preserve">. Concerningly, this mortality gap appears to have widened in recent decades </w:t>
      </w:r>
      <w:hyperlink r:id="rId17">
        <w:r>
          <w:rPr>
            <w:color w:val="000000"/>
          </w:rPr>
          <w:t>(12,13)</w:t>
        </w:r>
      </w:hyperlink>
      <w:r>
        <w:t xml:space="preserve">. It is estimated that 33% of the excess mortality in SMI is attributable to obesity and its comorbidities </w:t>
      </w:r>
      <w:hyperlink r:id="rId18">
        <w:r>
          <w:rPr>
            <w:color w:val="000000"/>
          </w:rPr>
          <w:t>(14,15)</w:t>
        </w:r>
      </w:hyperlink>
      <w:r>
        <w:t xml:space="preserve">. Obesity leads to metabolic disorders such as diabetes and cardiovascular disease, musculoskeletal disorders, cancers and premature death </w:t>
      </w:r>
      <w:hyperlink r:id="rId19">
        <w:r>
          <w:rPr>
            <w:color w:val="000000"/>
          </w:rPr>
          <w:t>(16)</w:t>
        </w:r>
      </w:hyperlink>
      <w:r>
        <w:t xml:space="preserve">.  </w:t>
      </w:r>
    </w:p>
    <w:p w14:paraId="00000034" w14:textId="77777777" w:rsidR="00D54BEB" w:rsidRDefault="00D54BEB"/>
    <w:p w14:paraId="00000035" w14:textId="77777777" w:rsidR="00D54BEB" w:rsidRDefault="00DD3B20">
      <w:r>
        <w:t xml:space="preserve">Currently there are no systematic reviews reporting the prevalence and trends of obesity in people with SMI. Previous reviews have focused predominantly on the metabolic syndrome in this population </w:t>
      </w:r>
      <w:hyperlink r:id="rId20">
        <w:r>
          <w:rPr>
            <w:color w:val="000000"/>
          </w:rPr>
          <w:t>(11,12,17)</w:t>
        </w:r>
      </w:hyperlink>
      <w:r>
        <w:t xml:space="preserve">. One review included data for all types of SMI and two reviews focused solely on people with schizophrenia. In all these studies, only abdominal obesity based on waist circumference was reported as a component of metabolic syndrome or as a secondary outcome, which means that studies that measured obesity using body mass index (BMI) may have been missed. This is an important gap as overweight and obesity are found to be earlier on the causal pathway that leads to metabolic syndrome, and thus deserve to be explored independently (9). Moreover, separately from the metabolic pathway, they are associated with additional adverse outcomes (e.g. osteoarthritis, mental disorders and sleep apnoea). </w:t>
      </w:r>
    </w:p>
    <w:p w14:paraId="00000036" w14:textId="77777777" w:rsidR="00D54BEB" w:rsidRDefault="00D54BEB"/>
    <w:p w14:paraId="00000037" w14:textId="77777777" w:rsidR="00D54BEB" w:rsidRDefault="00DD3B20">
      <w:r>
        <w:t xml:space="preserve">An up-to-date synthesis examining the prevalence of overweight and obesity is needed to raise awareness amongst stakeholders and policymakers about the extent of the obesity epidemic in people with SMI. This can inform strategies and interventions to address the problem and help reduce health inequalities for this population. The aims of this study were: 1) to determine the overall pooled prevalence of overweight and obesity and prevalence by type of SMI, setting, geographical region, country economy classification, year of data collection and sex; and 2) to assess the likelihood of obesity in people with SMI compared with matched controls from the general population. </w:t>
      </w:r>
    </w:p>
    <w:p w14:paraId="00000038" w14:textId="77777777" w:rsidR="00D54BEB" w:rsidRDefault="00DD3B20">
      <w:pPr>
        <w:pStyle w:val="Heading1"/>
      </w:pPr>
      <w:bookmarkStart w:id="8" w:name="_s9h09rqh98sz" w:colFirst="0" w:colLast="0"/>
      <w:bookmarkEnd w:id="8"/>
      <w:r>
        <w:t>Materials and Methods</w:t>
      </w:r>
    </w:p>
    <w:p w14:paraId="00000039" w14:textId="77777777" w:rsidR="00D54BEB" w:rsidRDefault="00DD3B20">
      <w:pPr>
        <w:tabs>
          <w:tab w:val="left" w:pos="2160"/>
        </w:tabs>
      </w:pPr>
      <w:r>
        <w:t>This systematic review was conducted in accordance with the Preferred Reporting Items for Systematic Reviews and Meta-Analyses (PRISMA)</w:t>
      </w:r>
      <w:hyperlink r:id="rId21">
        <w:r>
          <w:rPr>
            <w:color w:val="000000"/>
          </w:rPr>
          <w:t>(18)</w:t>
        </w:r>
      </w:hyperlink>
      <w:r>
        <w:t xml:space="preserve"> and Meta-analysis Of Observational Studies in Epidemiology (MOOSE) guidelines </w:t>
      </w:r>
      <w:hyperlink r:id="rId22">
        <w:r>
          <w:rPr>
            <w:color w:val="000000"/>
          </w:rPr>
          <w:t>(19)</w:t>
        </w:r>
      </w:hyperlink>
      <w:r>
        <w:t xml:space="preserve">. The protocol has been registered and published in the International prospective register of systematic reviews (PROSPERO) </w:t>
      </w:r>
      <w:hyperlink r:id="rId23">
        <w:r>
          <w:t>CRD-42020200380</w:t>
        </w:r>
      </w:hyperlink>
      <w:r>
        <w:t xml:space="preserve"> </w:t>
      </w:r>
      <w:hyperlink r:id="rId24">
        <w:r>
          <w:rPr>
            <w:color w:val="000000"/>
          </w:rPr>
          <w:t>(20)</w:t>
        </w:r>
      </w:hyperlink>
      <w:r>
        <w:t xml:space="preserve">. </w:t>
      </w:r>
    </w:p>
    <w:p w14:paraId="0000003A" w14:textId="77777777" w:rsidR="00D54BEB" w:rsidRDefault="00DD3B20">
      <w:pPr>
        <w:pStyle w:val="Heading2"/>
      </w:pPr>
      <w:bookmarkStart w:id="9" w:name="_7709y2h8dfxl" w:colFirst="0" w:colLast="0"/>
      <w:bookmarkEnd w:id="9"/>
      <w:r>
        <w:t>Search strategy</w:t>
      </w:r>
    </w:p>
    <w:p w14:paraId="0000003B" w14:textId="77777777" w:rsidR="00D54BEB" w:rsidRDefault="00DD3B20">
      <w:pPr>
        <w:tabs>
          <w:tab w:val="left" w:pos="2160"/>
        </w:tabs>
      </w:pPr>
      <w:r>
        <w:t xml:space="preserve">We conducted a systematic search of PubMed, Medline, EMBASE, and PsycINFO databases with the help of an information specialist. Studies published from the date of inception up to July 2020 were included. </w:t>
      </w:r>
      <w:r>
        <w:rPr>
          <w:highlight w:val="white"/>
        </w:rPr>
        <w:t xml:space="preserve">Combining </w:t>
      </w:r>
      <w:r>
        <w:rPr>
          <w:highlight w:val="white"/>
        </w:rPr>
        <w:lastRenderedPageBreak/>
        <w:t xml:space="preserve">the following key words, </w:t>
      </w:r>
      <w:r>
        <w:t>the search terms used were</w:t>
      </w:r>
      <w:r>
        <w:rPr>
          <w:highlight w:val="white"/>
        </w:rPr>
        <w:t>: 1) Population (</w:t>
      </w:r>
      <w:r>
        <w:rPr>
          <w:i/>
          <w:highlight w:val="white"/>
        </w:rPr>
        <w:t>“severe mental illness” OR “serious mental illness” OR “schizophrenia” OR “psychosis” OR “psychotic” OR “psychotic disorder*” OR “psychosis” OR “schizoaffective” OR “schizo-affective” OR “bipolar disorder*” OR “mania” OR “manic” OR “bipolar” OR “depression” OR “major depressive disorder” or “antipsychotic” )</w:t>
      </w:r>
      <w:r>
        <w:rPr>
          <w:highlight w:val="white"/>
        </w:rPr>
        <w:t>; 2) Outcome</w:t>
      </w:r>
      <w:r>
        <w:rPr>
          <w:i/>
          <w:highlight w:val="white"/>
        </w:rPr>
        <w:t xml:space="preserve"> </w:t>
      </w:r>
      <w:r>
        <w:rPr>
          <w:b/>
          <w:i/>
          <w:highlight w:val="white"/>
        </w:rPr>
        <w:t>(</w:t>
      </w:r>
      <w:r>
        <w:rPr>
          <w:i/>
          <w:highlight w:val="white"/>
        </w:rPr>
        <w:t xml:space="preserve">BMI OR “Body Mass Index” OR weight OR “waist circumference” OR “waist to hip ratio” OR “percentage body fat” OR  obesity OR overweight OR underweight OR thinness OR undernourished* OR malnutrition * OR </w:t>
      </w:r>
      <w:r>
        <w:rPr>
          <w:highlight w:val="white"/>
        </w:rPr>
        <w:t>undernutrition * OR adiposity); 3) study design</w:t>
      </w:r>
      <w:r>
        <w:rPr>
          <w:b/>
          <w:highlight w:val="white"/>
        </w:rPr>
        <w:t xml:space="preserve"> (</w:t>
      </w:r>
      <w:r>
        <w:rPr>
          <w:i/>
          <w:highlight w:val="white"/>
        </w:rPr>
        <w:t>epidemiology* OR prevalence OR cross-sectional OR “ cohort” OR longitudinal OR observant OR observational OR case-control OR survey).</w:t>
      </w:r>
      <w:r>
        <w:rPr>
          <w:highlight w:val="white"/>
        </w:rPr>
        <w:t xml:space="preserve"> In</w:t>
      </w:r>
      <w:r>
        <w:t xml:space="preserve"> addition, we conducted citation searches for included studies and relevant systematic reviews to identify any relevant additional studies. </w:t>
      </w:r>
    </w:p>
    <w:p w14:paraId="0000003C" w14:textId="77777777" w:rsidR="00D54BEB" w:rsidRDefault="00DD3B20">
      <w:pPr>
        <w:pStyle w:val="Heading2"/>
      </w:pPr>
      <w:bookmarkStart w:id="10" w:name="_h60mk7phukls" w:colFirst="0" w:colLast="0"/>
      <w:bookmarkEnd w:id="10"/>
      <w:r>
        <w:t xml:space="preserve">Study selection </w:t>
      </w:r>
    </w:p>
    <w:p w14:paraId="0000003D" w14:textId="77777777" w:rsidR="00D54BEB" w:rsidRDefault="00DD3B20">
      <w:pPr>
        <w:pStyle w:val="Heading3"/>
        <w:rPr>
          <w:i w:val="0"/>
          <w:highlight w:val="white"/>
        </w:rPr>
      </w:pPr>
      <w:bookmarkStart w:id="11" w:name="_mp3vu8lf3u83" w:colFirst="0" w:colLast="0"/>
      <w:bookmarkEnd w:id="11"/>
      <w:r>
        <w:rPr>
          <w:i w:val="0"/>
        </w:rPr>
        <w:t>For the systematic review and the meta-analysis we included studie</w:t>
      </w:r>
      <w:r>
        <w:rPr>
          <w:i w:val="0"/>
          <w:highlight w:val="white"/>
        </w:rPr>
        <w:t xml:space="preserve">s according to the following criteria: </w:t>
      </w:r>
    </w:p>
    <w:p w14:paraId="0000003E" w14:textId="77777777" w:rsidR="00D54BEB" w:rsidRDefault="00DD3B20">
      <w:pPr>
        <w:pStyle w:val="Heading3"/>
        <w:rPr>
          <w:i w:val="0"/>
        </w:rPr>
      </w:pPr>
      <w:bookmarkStart w:id="12" w:name="_l3ncwzmtiga9" w:colFirst="0" w:colLast="0"/>
      <w:bookmarkEnd w:id="12"/>
      <w:r>
        <w:rPr>
          <w:i w:val="0"/>
          <w:highlight w:val="white"/>
        </w:rPr>
        <w:t>1) Studies including adult populations (aged ≥18 years) with a diagnosis of a SMI (schizophrenia spectrum disorders, bipolar affective disorder and major depression with psychosis), using defini</w:t>
      </w:r>
      <w:r>
        <w:rPr>
          <w:i w:val="0"/>
        </w:rPr>
        <w:t>tions of any standardised tool such as the International Classification of Diseases (ICD)</w:t>
      </w:r>
      <w:hyperlink r:id="rId25">
        <w:r>
          <w:rPr>
            <w:i w:val="0"/>
            <w:color w:val="000000"/>
          </w:rPr>
          <w:t>(3)</w:t>
        </w:r>
      </w:hyperlink>
      <w:r>
        <w:rPr>
          <w:i w:val="0"/>
        </w:rPr>
        <w:t>, or the Diagnostic and Statistical Manual of Mental Disorders (DSM)</w:t>
      </w:r>
      <w:hyperlink r:id="rId26">
        <w:r>
          <w:rPr>
            <w:i w:val="0"/>
            <w:color w:val="000000"/>
          </w:rPr>
          <w:t>(21)</w:t>
        </w:r>
      </w:hyperlink>
      <w:r>
        <w:rPr>
          <w:i w:val="0"/>
        </w:rPr>
        <w:t xml:space="preserve">; </w:t>
      </w:r>
    </w:p>
    <w:p w14:paraId="0000003F" w14:textId="77777777" w:rsidR="00D54BEB" w:rsidRDefault="00DD3B20">
      <w:pPr>
        <w:pStyle w:val="Heading3"/>
        <w:rPr>
          <w:i w:val="0"/>
        </w:rPr>
      </w:pPr>
      <w:bookmarkStart w:id="13" w:name="_wiyac02rpdre" w:colFirst="0" w:colLast="0"/>
      <w:bookmarkEnd w:id="13"/>
      <w:r>
        <w:rPr>
          <w:i w:val="0"/>
        </w:rPr>
        <w:t xml:space="preserve">2) Studies reporting the prevalence of obesity using body mass index (BMI) using any established standardised definition, such as the WHO </w:t>
      </w:r>
      <w:hyperlink r:id="rId27">
        <w:r>
          <w:rPr>
            <w:i w:val="0"/>
            <w:color w:val="000000"/>
          </w:rPr>
          <w:t>(22,23)</w:t>
        </w:r>
      </w:hyperlink>
      <w:r>
        <w:rPr>
          <w:i w:val="0"/>
        </w:rPr>
        <w:t xml:space="preserve">; </w:t>
      </w:r>
    </w:p>
    <w:p w14:paraId="00000040" w14:textId="77777777" w:rsidR="00D54BEB" w:rsidRDefault="00DD3B20">
      <w:pPr>
        <w:pStyle w:val="Heading3"/>
      </w:pPr>
      <w:bookmarkStart w:id="14" w:name="_z4uvx0dlfuyc" w:colFirst="0" w:colLast="0"/>
      <w:bookmarkEnd w:id="14"/>
      <w:r>
        <w:rPr>
          <w:i w:val="0"/>
        </w:rPr>
        <w:t xml:space="preserve">3) Observational studies (e.g., cross-sectional, prospective or retrospective cohort studies, and case-control or studies). </w:t>
      </w:r>
    </w:p>
    <w:p w14:paraId="00000041" w14:textId="77777777" w:rsidR="00D54BEB" w:rsidRDefault="00DD3B20">
      <w:pPr>
        <w:pStyle w:val="Heading3"/>
        <w:rPr>
          <w:i w:val="0"/>
        </w:rPr>
      </w:pPr>
      <w:bookmarkStart w:id="15" w:name="_gel01ax6z97" w:colFirst="0" w:colLast="0"/>
      <w:bookmarkEnd w:id="15"/>
      <w:r>
        <w:rPr>
          <w:i w:val="0"/>
        </w:rPr>
        <w:t xml:space="preserve">Qualitative studies,  studies with a sample size below 30, case reports, and studies where the majority of the population were under 18 years of age were excluded. We originally intended to include papers in any language, however due to time and resource restrictions,  we excluded papers in a language other than English.  </w:t>
      </w:r>
    </w:p>
    <w:p w14:paraId="00000042" w14:textId="77777777" w:rsidR="00D54BEB" w:rsidRDefault="00DD3B20">
      <w:pPr>
        <w:pStyle w:val="Heading2"/>
      </w:pPr>
      <w:bookmarkStart w:id="16" w:name="_8idw3ktoyvgo" w:colFirst="0" w:colLast="0"/>
      <w:bookmarkEnd w:id="16"/>
      <w:r>
        <w:t xml:space="preserve">Outcomes </w:t>
      </w:r>
    </w:p>
    <w:p w14:paraId="00000043" w14:textId="77777777" w:rsidR="00D54BEB" w:rsidRDefault="00DD3B20">
      <w:pPr>
        <w:rPr>
          <w:vertAlign w:val="superscript"/>
        </w:rPr>
      </w:pPr>
      <w:r>
        <w:t>Primary: prevalence of obesity among people with SMI. Secondary: Prevalence of overweight and combined prevalence of overweight and obesity among people with SMI; and prevalence of overweight, obesity and combined prevalence of overweight and obesity in matched controls from the general population (when available). Overweight (25-29.9 Kg/m</w:t>
      </w:r>
      <w:r>
        <w:rPr>
          <w:vertAlign w:val="superscript"/>
        </w:rPr>
        <w:t>2</w:t>
      </w:r>
      <w:r>
        <w:t>) and obesity (≥30 Kg/m</w:t>
      </w:r>
      <w:r>
        <w:rPr>
          <w:vertAlign w:val="superscript"/>
        </w:rPr>
        <w:t>2</w:t>
      </w:r>
      <w:r>
        <w:t>) were defined according to the WHO BMI cut-off points for most populations</w:t>
      </w:r>
      <w:hyperlink r:id="rId28">
        <w:r>
          <w:rPr>
            <w:color w:val="000000"/>
          </w:rPr>
          <w:t>(22)</w:t>
        </w:r>
      </w:hyperlink>
      <w:r>
        <w:t>. However, we also included studies presenting ethnicity adjusted classifications which usually have a lower cutoff score for overweight (23–27.4 kg/m</w:t>
      </w:r>
      <w:r>
        <w:rPr>
          <w:vertAlign w:val="superscript"/>
        </w:rPr>
        <w:t>2</w:t>
      </w:r>
      <w:r>
        <w:t>) and obesity (≥27.5 Kg/m</w:t>
      </w:r>
      <w:r>
        <w:rPr>
          <w:vertAlign w:val="superscript"/>
        </w:rPr>
        <w:t>2</w:t>
      </w:r>
      <w:r>
        <w:t>)</w:t>
      </w:r>
      <w:hyperlink r:id="rId29">
        <w:r>
          <w:rPr>
            <w:color w:val="000000"/>
          </w:rPr>
          <w:t>(23)</w:t>
        </w:r>
      </w:hyperlink>
      <w:r>
        <w:t>.</w:t>
      </w:r>
    </w:p>
    <w:p w14:paraId="00000044" w14:textId="77777777" w:rsidR="00D54BEB" w:rsidRDefault="00DD3B20">
      <w:pPr>
        <w:pStyle w:val="Heading2"/>
      </w:pPr>
      <w:bookmarkStart w:id="17" w:name="_v7h6iklqggyv" w:colFirst="0" w:colLast="0"/>
      <w:bookmarkEnd w:id="17"/>
      <w:r>
        <w:t>Data Extraction (selection and coding)</w:t>
      </w:r>
    </w:p>
    <w:p w14:paraId="00000045" w14:textId="77777777" w:rsidR="00D54BEB" w:rsidRDefault="00DD3B20">
      <w:r>
        <w:t>Data screening and selection were completed using Covidence (Melbourne, Australia)</w:t>
      </w:r>
      <w:hyperlink r:id="rId30">
        <w:r>
          <w:rPr>
            <w:color w:val="000000"/>
          </w:rPr>
          <w:t>(24)</w:t>
        </w:r>
      </w:hyperlink>
      <w:r>
        <w:t xml:space="preserve">. Two of four independent co-authors (AA, HK, MA, NT) completed screening of records (titles and abstracts); disagreements were resolved by consensus or in consultation with a third independent author (KK, GZ). Full texts were retrieved for those records considered eligible and for those where there was insufficient information from the abstract. For each included study data were extracted and reviewed by two of four independent authors using a pre-designed data extraction form (BA, JS, KK, RA). The extracted information included: title, authors, year of data </w:t>
      </w:r>
      <w:r>
        <w:rPr>
          <w:highlight w:val="white"/>
        </w:rPr>
        <w:t>collection, study design, study setting (inpatient, outpatient, and community-based), sample size, geographical region based in the World Bank region classification</w:t>
      </w:r>
      <w:hyperlink r:id="rId31">
        <w:r>
          <w:rPr>
            <w:color w:val="000000"/>
            <w:highlight w:val="white"/>
          </w:rPr>
          <w:t>(25)</w:t>
        </w:r>
      </w:hyperlink>
      <w:r>
        <w:rPr>
          <w:highlight w:val="white"/>
        </w:rPr>
        <w:t>, World Bank country income classification (Low and middle income countries (LMIC) or High income countries (HIC))</w:t>
      </w:r>
      <w:hyperlink r:id="rId32">
        <w:r>
          <w:rPr>
            <w:color w:val="000000"/>
            <w:highlight w:val="white"/>
          </w:rPr>
          <w:t>(25)</w:t>
        </w:r>
      </w:hyperlink>
      <w:r>
        <w:rPr>
          <w:highlight w:val="white"/>
        </w:rPr>
        <w:t>, antipsychotic medication use (antipsychotic-naive cohort versus antipsychotic exposed and mixed SMI population), SMI diagnosis criteria, BMI classification criteria and prevalence estimates of overweight and obesity. When available in the studies we also extracted the prevalence of overweight and obesity by sex and for matched controls from the general population</w:t>
      </w:r>
      <w:r>
        <w:t xml:space="preserve"> independently. Where there was more than one paper for the same study we selected the paper with the largest sample size or most recent date of publication (if the sample size was the same). In papers where the estimates of obesity were reported independently by country or type of SMI, they were separated and considered as independent studies. </w:t>
      </w:r>
    </w:p>
    <w:p w14:paraId="00000046" w14:textId="77777777" w:rsidR="00D54BEB" w:rsidRDefault="00DD3B20">
      <w:pPr>
        <w:pStyle w:val="Heading2"/>
      </w:pPr>
      <w:bookmarkStart w:id="18" w:name="_8kxva4c6ia5d" w:colFirst="0" w:colLast="0"/>
      <w:bookmarkEnd w:id="18"/>
      <w:r>
        <w:lastRenderedPageBreak/>
        <w:t>Risk of bias</w:t>
      </w:r>
    </w:p>
    <w:p w14:paraId="00000047" w14:textId="77777777" w:rsidR="00D54BEB" w:rsidRDefault="00DD3B20">
      <w:r>
        <w:t>The quality of included studies was evaluated by two independent co-authors (KI, SR) according to criteria from the Joanna Briggs Institute (</w:t>
      </w:r>
      <w:r>
        <w:rPr>
          <w:i/>
        </w:rPr>
        <w:t xml:space="preserve">JBI) Critical Appraisal Checklist </w:t>
      </w:r>
      <w:hyperlink r:id="rId33">
        <w:r>
          <w:rPr>
            <w:i/>
            <w:color w:val="000000"/>
          </w:rPr>
          <w:t>(26)</w:t>
        </w:r>
      </w:hyperlink>
      <w:r>
        <w:rPr>
          <w:b/>
        </w:rPr>
        <w:t xml:space="preserve">. </w:t>
      </w:r>
      <w:r>
        <w:t xml:space="preserve">An overall risk of bias assessment was conducted for each study following the procedure suggested by the Cochrane RoB tool </w:t>
      </w:r>
      <w:hyperlink r:id="rId34">
        <w:r>
          <w:rPr>
            <w:color w:val="000000"/>
          </w:rPr>
          <w:t>(27)</w:t>
        </w:r>
      </w:hyperlink>
      <w:r>
        <w:t>. If all domains of the tool were scored as “yes” or only one of the domains was assessed as “unclear” the study was classified as “low risk of bias”; if two or three domains were assessed as “unclear” the study was classified as “medium risk of bias”; and if four or more were assessed as “unclear” or at least one was assessed as “no” the study was classified as “high risk of bias”</w:t>
      </w:r>
      <w:hyperlink r:id="rId35">
        <w:r>
          <w:rPr>
            <w:color w:val="000000"/>
          </w:rPr>
          <w:t>(28)</w:t>
        </w:r>
      </w:hyperlink>
      <w:r>
        <w:t xml:space="preserve">. </w:t>
      </w:r>
    </w:p>
    <w:p w14:paraId="00000048" w14:textId="77777777" w:rsidR="00D54BEB" w:rsidRDefault="00DD3B20">
      <w:pPr>
        <w:pStyle w:val="Heading2"/>
      </w:pPr>
      <w:bookmarkStart w:id="19" w:name="_yjy6yisalctx" w:colFirst="0" w:colLast="0"/>
      <w:bookmarkEnd w:id="19"/>
      <w:r>
        <w:t>Data analysis</w:t>
      </w:r>
    </w:p>
    <w:p w14:paraId="00000049" w14:textId="77777777" w:rsidR="00D54BEB" w:rsidRDefault="00DD3B20">
      <w:pPr>
        <w:pStyle w:val="Heading3"/>
        <w:widowControl w:val="0"/>
      </w:pPr>
      <w:bookmarkStart w:id="20" w:name="_bpw9yrs9s6q5" w:colFirst="0" w:colLast="0"/>
      <w:bookmarkEnd w:id="20"/>
      <w:r>
        <w:t xml:space="preserve">Descriptive analysis </w:t>
      </w:r>
    </w:p>
    <w:p w14:paraId="0000004A" w14:textId="77777777" w:rsidR="00D54BEB" w:rsidRDefault="00DD3B20">
      <w:pPr>
        <w:widowControl w:val="0"/>
      </w:pPr>
      <w:r>
        <w:t xml:space="preserve">Data from eligible studies were summarised providing information on the number and frequency of studies according to the World Bank income classification, the World Bank geographical region, type of SMI (schizophrenia, bipolar disorders, or a combination of SMI operationalized as “any”), the diagnostic tool to define the SMI, the study design, year of data collection, BMI classification, sex and overall risk of bias. Using standard procedures, we imputed the year of data collection, whenever this information was not available  </w:t>
      </w:r>
      <w:hyperlink r:id="rId36">
        <w:r>
          <w:rPr>
            <w:color w:val="000000"/>
          </w:rPr>
          <w:t>(29)</w:t>
        </w:r>
      </w:hyperlink>
      <w:r>
        <w:t xml:space="preserve">. </w:t>
      </w:r>
    </w:p>
    <w:p w14:paraId="0000004B" w14:textId="77777777" w:rsidR="00D54BEB" w:rsidRDefault="00D54BEB">
      <w:pPr>
        <w:widowControl w:val="0"/>
      </w:pPr>
    </w:p>
    <w:p w14:paraId="0000004C" w14:textId="77777777" w:rsidR="00D54BEB" w:rsidRDefault="00DD3B20">
      <w:pPr>
        <w:pStyle w:val="Heading3"/>
      </w:pPr>
      <w:bookmarkStart w:id="21" w:name="_19hy7s2o05c8" w:colFirst="0" w:colLast="0"/>
      <w:bookmarkEnd w:id="21"/>
      <w:r>
        <w:t>Meta-analysis</w:t>
      </w:r>
    </w:p>
    <w:p w14:paraId="0000004D" w14:textId="77777777" w:rsidR="00D54BEB" w:rsidRDefault="00DD3B20">
      <w:r>
        <w:t xml:space="preserve">We conducted three separate meta-analyses using random effect models to account for the high heterogeneity expected between the studies. The first determined the pooled prevalence of overweight, prevalence of obesity and combined prevalence of overweight and obesity. The second calculated the odds of overweight or obesity in people with SMI compared with the general population. The third estimated the odds of women with SMI having overweight and obesity compared to men with SMI. For the second and third meta-analysis, we used only the studies with available data on overweight and obesity for matched controls from the general population or men and women independently. Results are presented as odds ratios with 95% CI. We generated forest plots calculating the pooled prevalence and pooled odds ratios according to the type of SMI, setting, medication use, World Bank region, World Bank country income classification, and date of data collection.   </w:t>
      </w:r>
    </w:p>
    <w:p w14:paraId="0000004E" w14:textId="77777777" w:rsidR="00D54BEB" w:rsidRDefault="00D54BEB"/>
    <w:p w14:paraId="0000004F" w14:textId="77777777" w:rsidR="00D54BEB" w:rsidRDefault="00DD3B20">
      <w:pPr>
        <w:rPr>
          <w:highlight w:val="white"/>
        </w:rPr>
      </w:pPr>
      <w:r>
        <w:t>Heterogeneity</w:t>
      </w:r>
      <w:r>
        <w:rPr>
          <w:highlight w:val="white"/>
        </w:rPr>
        <w:t xml:space="preserve"> of studies was determined by inspecting forest plots and using the chi-square test for heterogeneity with a 10% level of statistical significance, and the </w:t>
      </w:r>
      <w:r>
        <w:rPr>
          <w:smallCaps/>
          <w:highlight w:val="white"/>
        </w:rPr>
        <w:t>I</w:t>
      </w:r>
      <w:r>
        <w:rPr>
          <w:smallCaps/>
          <w:highlight w:val="white"/>
          <w:vertAlign w:val="superscript"/>
        </w:rPr>
        <w:t>2</w:t>
      </w:r>
      <w:r>
        <w:rPr>
          <w:highlight w:val="white"/>
        </w:rPr>
        <w:t> statistic. All analyses were performed using the metafor package in R V4.1.1 (Vienna, Austria)</w:t>
      </w:r>
      <w:hyperlink r:id="rId37">
        <w:r>
          <w:rPr>
            <w:color w:val="000000"/>
            <w:highlight w:val="white"/>
          </w:rPr>
          <w:t>(30)</w:t>
        </w:r>
      </w:hyperlink>
      <w:r>
        <w:rPr>
          <w:highlight w:val="white"/>
        </w:rPr>
        <w:t xml:space="preserve">. We assessed publication bias by a visual inspection of a funnel plot of the log transformed proportion versus the standard error. </w:t>
      </w:r>
    </w:p>
    <w:p w14:paraId="00000050" w14:textId="77777777" w:rsidR="00D54BEB" w:rsidRDefault="00D54BEB">
      <w:pPr>
        <w:rPr>
          <w:highlight w:val="white"/>
        </w:rPr>
      </w:pPr>
    </w:p>
    <w:p w14:paraId="00000051" w14:textId="77777777" w:rsidR="00D54BEB" w:rsidRDefault="00DD3B20">
      <w:pPr>
        <w:pStyle w:val="Heading3"/>
      </w:pPr>
      <w:bookmarkStart w:id="22" w:name="_6bzvfj6jzbe1" w:colFirst="0" w:colLast="0"/>
      <w:bookmarkEnd w:id="22"/>
      <w:r>
        <w:t xml:space="preserve">Sensitivity analyses </w:t>
      </w:r>
    </w:p>
    <w:p w14:paraId="00000052" w14:textId="77777777" w:rsidR="00D54BEB" w:rsidRDefault="00DD3B20">
      <w:pPr>
        <w:rPr>
          <w:highlight w:val="white"/>
        </w:rPr>
      </w:pPr>
      <w:r>
        <w:rPr>
          <w:highlight w:val="white"/>
        </w:rPr>
        <w:t xml:space="preserve">To evaluate the robustness of the results we performed a series of sensitivity analyses. In the first analysis, we removed the studies assessed as “high risk of bias”. In the second, we removed studies that had an obesity cut-off point that differed from the WHO classification. In the third, we excluded studies with a sample size smaller than 323 (because this is the sample size needed to estimate the prevalence of obesity with a precision of 0.05 and confidence of 0.95, assuming a prevalence of 30%). We conducted the same set of analyses and compared the pooled estimate of obesity and heterogeneity with the data which included all studies </w:t>
      </w:r>
      <w:hyperlink r:id="rId38">
        <w:r>
          <w:rPr>
            <w:color w:val="000000"/>
            <w:highlight w:val="white"/>
          </w:rPr>
          <w:t>(31)</w:t>
        </w:r>
      </w:hyperlink>
      <w:r>
        <w:rPr>
          <w:highlight w:val="white"/>
        </w:rPr>
        <w:t xml:space="preserve">. </w:t>
      </w:r>
    </w:p>
    <w:p w14:paraId="00000053" w14:textId="77777777" w:rsidR="00D54BEB" w:rsidRDefault="00D54BEB">
      <w:pPr>
        <w:pStyle w:val="Heading3"/>
      </w:pPr>
      <w:bookmarkStart w:id="23" w:name="_cq7ra9ix8yr" w:colFirst="0" w:colLast="0"/>
      <w:bookmarkEnd w:id="23"/>
    </w:p>
    <w:p w14:paraId="00000054" w14:textId="77777777" w:rsidR="00D54BEB" w:rsidRDefault="00DD3B20">
      <w:pPr>
        <w:rPr>
          <w:b/>
        </w:rPr>
      </w:pPr>
      <w:r>
        <w:rPr>
          <w:highlight w:val="white"/>
        </w:rPr>
        <w:t>We mapped the pooled prevalence of obesity by country in a world map. For countries with more than one study we calculated a weighted mean using data from all available studies. The maps were generated using the Rworldmap library in R V4.1.1 (Vienna, Austria)</w:t>
      </w:r>
      <w:hyperlink r:id="rId39">
        <w:r>
          <w:rPr>
            <w:color w:val="000000"/>
            <w:highlight w:val="white"/>
          </w:rPr>
          <w:t>(30)</w:t>
        </w:r>
      </w:hyperlink>
      <w:r>
        <w:rPr>
          <w:highlight w:val="white"/>
        </w:rPr>
        <w:t xml:space="preserve">. </w:t>
      </w:r>
    </w:p>
    <w:p w14:paraId="00000055" w14:textId="77777777" w:rsidR="00D54BEB" w:rsidRDefault="00DD3B20">
      <w:pPr>
        <w:pStyle w:val="Heading1"/>
      </w:pPr>
      <w:bookmarkStart w:id="24" w:name="_epal7smpi3rh" w:colFirst="0" w:colLast="0"/>
      <w:bookmarkEnd w:id="24"/>
      <w:r>
        <w:t>Results</w:t>
      </w:r>
    </w:p>
    <w:p w14:paraId="00000056" w14:textId="77777777" w:rsidR="00D54BEB" w:rsidRDefault="00DD3B20">
      <w:r>
        <w:t xml:space="preserve">As shown in the PRISMA chart (Figure 1) we screened 12,653 reports, identified 725 that fulfilled the inclusion criteria (one could not be retrieved </w:t>
      </w:r>
      <w:hyperlink r:id="rId40">
        <w:r>
          <w:rPr>
            <w:color w:val="000000"/>
          </w:rPr>
          <w:t>(32)</w:t>
        </w:r>
      </w:hyperlink>
      <w:r>
        <w:t xml:space="preserve">), and extracted data from 107 reports. Eight reports had duplicated data from the same cohort of people with SMI, we only kept the four reports with the most recent date of publication. </w:t>
      </w:r>
      <w:r>
        <w:lastRenderedPageBreak/>
        <w:t xml:space="preserve">We separated the prevalence of obesity for each country from a report that provided obesity estimates in 10 European countries and one from six Asian countries. We also separated the prevalence of obesity for each SMI condition in three reports that provided estimates separately for people with schizophrenia and bipolar disorders. We extracted 120 estimates of obesity, 108 estimates of overweight, 24 estimates of the prevalence of obesity in the general population and 30 estimates of obesity for men and women separately. The complete list of the papers is provided in the supplementary material. </w:t>
      </w:r>
    </w:p>
    <w:p w14:paraId="00000057" w14:textId="77777777" w:rsidR="00D54BEB" w:rsidRDefault="00D54BEB"/>
    <w:p w14:paraId="00000058" w14:textId="77777777" w:rsidR="00D54BEB" w:rsidRDefault="00DD3B20">
      <w:r>
        <w:rPr>
          <w:b/>
        </w:rPr>
        <w:t>Figure 1.</w:t>
      </w:r>
      <w:r>
        <w:t xml:space="preserve"> PRISMA chart </w:t>
      </w:r>
    </w:p>
    <w:p w14:paraId="00000059" w14:textId="77777777" w:rsidR="00D54BEB" w:rsidRDefault="00D54BEB"/>
    <w:p w14:paraId="0000005A" w14:textId="77777777" w:rsidR="00D54BEB" w:rsidRDefault="00DD3B20">
      <w:r>
        <w:t xml:space="preserve">Table 1 summarises characteristics of the 107 papers providing 120 estimates of obesity (called studies hereafter), including 139,282 people with SMI. The sample size of the studies ranged from 30 to 43,093 with a mean of 267. The sample ages ranged from 21.3 years to 70.4 years with a mean of 41.3 years. We found 95 studies (79.1%) from HICs and 25 (20.1%) from LMICs, including data from 43 countries; more than 50% of the studies were conducted in the regions of Europe and North America, whilst the percentage of studies from the regions of Sub-Saharan Africa (2.4%), South Asia (4.0%), Middle East and North Africa (1.6%), and Latin America and the Caribbean (4.8%) were low. More than 80% of the studies classified SMI according to DSM and ICD criteria and 90% of the studies used the WHO classification of overweight and obesity.  </w:t>
      </w:r>
    </w:p>
    <w:p w14:paraId="0000005B" w14:textId="77777777" w:rsidR="00D54BEB" w:rsidRDefault="00DD3B20">
      <w:pPr>
        <w:pStyle w:val="Heading2"/>
      </w:pPr>
      <w:bookmarkStart w:id="25" w:name="_9c35nsav97fi" w:colFirst="0" w:colLast="0"/>
      <w:bookmarkEnd w:id="25"/>
      <w:r>
        <w:t xml:space="preserve">Risk of bias </w:t>
      </w:r>
    </w:p>
    <w:p w14:paraId="0000005C" w14:textId="77777777" w:rsidR="00D54BEB" w:rsidRDefault="00DD3B20">
      <w:r>
        <w:t xml:space="preserve">Fifty eight percent of the studies were classified as having “low” risk of bias, 22.5% as “medium” risk of bias and almost 20% were classified as having “high” risk of bias (Table 1 and appendix). </w:t>
      </w:r>
    </w:p>
    <w:p w14:paraId="0000005D" w14:textId="77777777" w:rsidR="00D54BEB" w:rsidRDefault="00DD3B20">
      <w:pPr>
        <w:pStyle w:val="Heading2"/>
      </w:pPr>
      <w:bookmarkStart w:id="26" w:name="_gbiu9cms615f" w:colFirst="0" w:colLast="0"/>
      <w:bookmarkEnd w:id="26"/>
      <w:r>
        <w:t>Prevalence of overweight and obesity in people with SMI</w:t>
      </w:r>
    </w:p>
    <w:p w14:paraId="0000005E" w14:textId="77777777" w:rsidR="00D54BEB" w:rsidRDefault="00DD3B20">
      <w:r>
        <w:t xml:space="preserve">As shown in Figure 2 and Table 2, the pooled prevalence of obesity in this population was 25.9% </w:t>
      </w:r>
      <w:r>
        <w:rPr>
          <w:highlight w:val="white"/>
        </w:rPr>
        <w:t xml:space="preserve">(95% C.I. = 23.3-29.1) and the combined prevalence of overweight and obesity was 60.1% (95% C.I.=55.8-63.1). </w:t>
      </w:r>
      <w:r>
        <w:t>The pooled prevalence of obesity was 22.4% (95% C.I.=17.2-27.3) in LMICs and 27.1% (95% C.I.=24.1-29.9) in HICs, and the combined prevalence of overweight and obesity was 55.7% (95% C.I.=49.5-61.7) in LMICs and 60.7% (95% C.I.= 56.9-64.2) in HICs. The region with the lowest prevalence of obesity was Sub-Saharan Africa with a pooled prevalence of 13.3% (95% C.I.=6.7-25.1), followed by South Asia with a pooled prevalence of 17.7% (95% C.I. = 10.5-28.5). The regions with the highest prevalence of obesity were the Middle East and North Africa with obesity prevalence of 35.8% (95% C.I. = 23.8-44.8) and a combined overweight and obesity prevalence of 71.4% (95% C.I. = 67.8-74.7). There were no differences in the prevalence of obesity between studies performed in antipsychotic-naive populations (33.7% (95% C.I. =24.8-43.8)) and those in people prescribed antipsychotics (30.6% (95% C.I. = 29.4-32.1)). There were no substantial differences in the prevalence of overweight and obesity between the types of SMI and between inpatient, outpatient, or community settings. We found substantial heterogeneity ( I</w:t>
      </w:r>
      <w:r>
        <w:rPr>
          <w:vertAlign w:val="superscript"/>
        </w:rPr>
        <w:t>2</w:t>
      </w:r>
      <w:r>
        <w:t xml:space="preserve"> =88-98%, p&lt;0.01) in overall estimates, which was not reduced in the subgroup estimates ( I</w:t>
      </w:r>
      <w:r>
        <w:rPr>
          <w:vertAlign w:val="superscript"/>
        </w:rPr>
        <w:t>2</w:t>
      </w:r>
      <w:r>
        <w:t xml:space="preserve"> =97-98%, p&lt;0.01). </w:t>
      </w:r>
    </w:p>
    <w:p w14:paraId="0000005F" w14:textId="77777777" w:rsidR="00D54BEB" w:rsidRDefault="00D54BEB"/>
    <w:p w14:paraId="00000060" w14:textId="77777777" w:rsidR="00D54BEB" w:rsidRDefault="00DD3B20">
      <w:r>
        <w:rPr>
          <w:b/>
        </w:rPr>
        <w:t>Figure 2.</w:t>
      </w:r>
      <w:r>
        <w:t xml:space="preserve"> Prevalence of obesity in people with SMI according to type of SMI, region, World Bank classification and year of data collection</w:t>
      </w:r>
    </w:p>
    <w:p w14:paraId="00000061" w14:textId="77777777" w:rsidR="00D54BEB" w:rsidRDefault="00D54BEB"/>
    <w:p w14:paraId="00000062" w14:textId="77777777" w:rsidR="00D54BEB" w:rsidRDefault="00DD3B20">
      <w:r>
        <w:t xml:space="preserve">As shown in Figure 3, the countries with the highest prevalence of obesity (over 40%) were Germany, Italy and the UK. While the countries with the lowest reported prevalence were Ethiopia and Uganda. There were no available estimates in most of the countries in the regions of Africa, the Middle East and Latin America. </w:t>
      </w:r>
    </w:p>
    <w:p w14:paraId="00000063" w14:textId="77777777" w:rsidR="00D54BEB" w:rsidRDefault="00D54BEB">
      <w:pPr>
        <w:rPr>
          <w:b/>
        </w:rPr>
      </w:pPr>
    </w:p>
    <w:p w14:paraId="00000064" w14:textId="77777777" w:rsidR="00D54BEB" w:rsidRDefault="00DD3B20">
      <w:r>
        <w:rPr>
          <w:b/>
        </w:rPr>
        <w:t xml:space="preserve">Figure 3. </w:t>
      </w:r>
      <w:r>
        <w:t xml:space="preserve">Geographical variation in the prevalence of obesity in people with SMI </w:t>
      </w:r>
    </w:p>
    <w:p w14:paraId="00000065" w14:textId="77777777" w:rsidR="00D54BEB" w:rsidRDefault="00D54BEB"/>
    <w:p w14:paraId="00000066" w14:textId="77777777" w:rsidR="00D54BEB" w:rsidRDefault="00DD3B20">
      <w:r>
        <w:t>Figure 4 shows trend lines of the prevalence of obesity in each geographical World</w:t>
      </w:r>
      <w:r>
        <w:rPr>
          <w:b/>
          <w:i/>
        </w:rPr>
        <w:t xml:space="preserve"> </w:t>
      </w:r>
      <w:r>
        <w:t xml:space="preserve">Bank region over time. There was a decreasing trend in the prevalence of obesity in the region of Europe and Central Asia; in contrast there </w:t>
      </w:r>
      <w:r>
        <w:lastRenderedPageBreak/>
        <w:t xml:space="preserve">was an increasing trend in the regions of Latin America and the Caribbean,  Middle East and North Africa, North America, South Asia and Sub-Saharan Africa. </w:t>
      </w:r>
    </w:p>
    <w:p w14:paraId="00000067" w14:textId="77777777" w:rsidR="00D54BEB" w:rsidRDefault="00D54BEB"/>
    <w:p w14:paraId="00000068" w14:textId="77777777" w:rsidR="00D54BEB" w:rsidRDefault="00DD3B20">
      <w:r>
        <w:rPr>
          <w:b/>
        </w:rPr>
        <w:t>Figure 4.</w:t>
      </w:r>
      <w:r>
        <w:t xml:space="preserve"> Weighted linear regression models between the prevalence of obesity and time according to World Bank region. </w:t>
      </w:r>
    </w:p>
    <w:p w14:paraId="00000069" w14:textId="77777777" w:rsidR="00D54BEB" w:rsidRDefault="00DD3B20">
      <w:pPr>
        <w:ind w:left="283" w:right="100"/>
        <w:rPr>
          <w:i/>
          <w:sz w:val="18"/>
          <w:szCs w:val="18"/>
        </w:rPr>
      </w:pPr>
      <w:r>
        <w:rPr>
          <w:i/>
          <w:sz w:val="18"/>
          <w:szCs w:val="18"/>
        </w:rPr>
        <w:t xml:space="preserve">Footnote figure 4. Data on global trends in the prevalence of obesity in people with SMI from 1995 to 2020 from the World Bank regions of the world show differences in the trend of the prevalence of obesity. The area of the dots corresponds to the sample size of each study. WB: World Bank; SMI: Severe mental illness. </w:t>
      </w:r>
    </w:p>
    <w:p w14:paraId="0000006A" w14:textId="77777777" w:rsidR="00D54BEB" w:rsidRDefault="00DD3B20">
      <w:pPr>
        <w:pStyle w:val="Heading2"/>
      </w:pPr>
      <w:bookmarkStart w:id="27" w:name="_mo5r632t808x" w:colFirst="0" w:colLast="0"/>
      <w:bookmarkEnd w:id="27"/>
      <w:r>
        <w:t xml:space="preserve">Obesity in people with SMI compared with the general population </w:t>
      </w:r>
    </w:p>
    <w:p w14:paraId="0000006B" w14:textId="77777777" w:rsidR="00D54BEB" w:rsidRDefault="00DD3B20">
      <w:r>
        <w:t xml:space="preserve">Twenty four studies reported the prevalence of obesity in the general population by using matched controls. As seen in Table 3, people with SMI were 3.04 (95% C.I. = 2.42 - 3.82) times more likely to have obesity and 2.03 (95% C.I. = 1.60 - 2.59) times more likely to have either overweight or obesity compared with the general population. People with SMI in the East Asia and Pacific region were 4.84 (95% C.I. = 2.80 - 7.00) times more likely to have obesity than people in the general population, while people with SMI from Europe and Central Asia had 2.21 (95% C.I. = 1.52 - 3.22) higher odds (figure 5). There were no differences in the odds of people with SMI being overweight compared with the general population. We found high heterogeneity between the studies both in the overall (88%) and subgroup estimates (88-93%). </w:t>
      </w:r>
    </w:p>
    <w:p w14:paraId="0000006C" w14:textId="77777777" w:rsidR="00D54BEB" w:rsidRDefault="00D54BEB">
      <w:pPr>
        <w:rPr>
          <w:b/>
        </w:rPr>
      </w:pPr>
    </w:p>
    <w:p w14:paraId="0000006D" w14:textId="77777777" w:rsidR="00D54BEB" w:rsidRDefault="00DD3B20">
      <w:r>
        <w:rPr>
          <w:b/>
        </w:rPr>
        <w:t>Figure 5.</w:t>
      </w:r>
      <w:r>
        <w:t xml:space="preserve"> Odds of people with SMI of having obesity as compared to the general population </w:t>
      </w:r>
    </w:p>
    <w:p w14:paraId="0000006E" w14:textId="77777777" w:rsidR="00D54BEB" w:rsidRDefault="00D54BEB">
      <w:pPr>
        <w:rPr>
          <w:b/>
        </w:rPr>
      </w:pPr>
    </w:p>
    <w:p w14:paraId="0000006F" w14:textId="77777777" w:rsidR="00D54BEB" w:rsidRDefault="00DD3B20">
      <w:pPr>
        <w:rPr>
          <w:b/>
        </w:rPr>
      </w:pPr>
      <w:r>
        <w:rPr>
          <w:b/>
        </w:rPr>
        <w:t xml:space="preserve">Sex differences in the prevalence of obesity in people with SMI  </w:t>
      </w:r>
    </w:p>
    <w:p w14:paraId="00000070" w14:textId="77777777" w:rsidR="00D54BEB" w:rsidRDefault="00DD3B20">
      <w:r>
        <w:t xml:space="preserve">As shown in figure 6, twenty four studies reported obesity outcomes independently for men and women; the meta-analysis from these studies showed that women with schizophrenia were 1.46 (95% C.I. = 1.23-1.72) times more likely to have obesity and 1.27 (95% C.I. = 1.16-1.39) more likely to be overweight compared with men with schizophrenia. There were no differences in the odds of obesity between men and women with bipolar disorder or any SMI. </w:t>
      </w:r>
    </w:p>
    <w:p w14:paraId="00000071" w14:textId="77777777" w:rsidR="00D54BEB" w:rsidRDefault="00D54BEB"/>
    <w:p w14:paraId="00000072" w14:textId="77777777" w:rsidR="00D54BEB" w:rsidRDefault="00DD3B20">
      <w:r>
        <w:rPr>
          <w:b/>
        </w:rPr>
        <w:t xml:space="preserve">Figure 6. </w:t>
      </w:r>
      <w:r>
        <w:t>Association between sex and obesity in people with SMI</w:t>
      </w:r>
    </w:p>
    <w:p w14:paraId="00000073" w14:textId="77777777" w:rsidR="00D54BEB" w:rsidRDefault="00D54BEB"/>
    <w:p w14:paraId="00000074" w14:textId="77777777" w:rsidR="00D54BEB" w:rsidRDefault="00DD3B20">
      <w:pPr>
        <w:pStyle w:val="Heading2"/>
      </w:pPr>
      <w:bookmarkStart w:id="28" w:name="_f2bd4b3trdz8" w:colFirst="0" w:colLast="0"/>
      <w:bookmarkEnd w:id="28"/>
      <w:r>
        <w:t>Sensitivity analysis and publication bias</w:t>
      </w:r>
    </w:p>
    <w:p w14:paraId="00000075" w14:textId="4C5C1D7D" w:rsidR="00D54BEB" w:rsidRDefault="00DD3B20">
      <w:r>
        <w:t>The pool</w:t>
      </w:r>
      <w:r>
        <w:rPr>
          <w:highlight w:val="white"/>
        </w:rPr>
        <w:t>ed prevalence of obes</w:t>
      </w:r>
      <w:r>
        <w:t>ity did not change substantially (more than 1.2%) when studies with high risk of bias, BMI classification other than WHO, and small sample sizes were removed. The model excluding studies with high risk of bias (n= 95) had a pooled estimate of obesity of 25.6% (95% C.I. = 22.8-28.7%;I</w:t>
      </w:r>
      <w:r>
        <w:rPr>
          <w:vertAlign w:val="superscript"/>
        </w:rPr>
        <w:t>2</w:t>
      </w:r>
      <w:r>
        <w:t>=98.2, t</w:t>
      </w:r>
      <w:r>
        <w:rPr>
          <w:vertAlign w:val="superscript"/>
        </w:rPr>
        <w:t>2</w:t>
      </w:r>
      <w:r>
        <w:t xml:space="preserve">=0.57); the model excluding studies (n=109) with </w:t>
      </w:r>
      <w:r w:rsidR="001350F8">
        <w:t>cut-off</w:t>
      </w:r>
      <w:r>
        <w:t xml:space="preserve"> values different from the WHO gave a pooled prevalence of 25.3% (22.7 - 28.2%; I</w:t>
      </w:r>
      <w:r>
        <w:rPr>
          <w:vertAlign w:val="superscript"/>
        </w:rPr>
        <w:t>2</w:t>
      </w:r>
      <w:r>
        <w:t>=97.9, t</w:t>
      </w:r>
      <w:r>
        <w:rPr>
          <w:vertAlign w:val="superscript"/>
        </w:rPr>
        <w:t>2</w:t>
      </w:r>
      <w:r>
        <w:t>=0.56); and the model excluding studies with small sample sizes (n=43) showed a pooled prevalence of 27.1% (22.8=38.1%; I</w:t>
      </w:r>
      <w:r>
        <w:rPr>
          <w:vertAlign w:val="superscript"/>
        </w:rPr>
        <w:t>2</w:t>
      </w:r>
      <w:r>
        <w:t>=99.1, t</w:t>
      </w:r>
      <w:r>
        <w:rPr>
          <w:vertAlign w:val="superscript"/>
        </w:rPr>
        <w:t>2</w:t>
      </w:r>
      <w:r>
        <w:t>=0.58). As shown in the funnel plot (see supplementary material), there was no evidence of publication bias.</w:t>
      </w:r>
    </w:p>
    <w:p w14:paraId="00000076" w14:textId="77777777" w:rsidR="00D54BEB" w:rsidRDefault="00DD3B20">
      <w:pPr>
        <w:pStyle w:val="Heading1"/>
      </w:pPr>
      <w:bookmarkStart w:id="29" w:name="_b6icq3f4sm37" w:colFirst="0" w:colLast="0"/>
      <w:bookmarkEnd w:id="29"/>
      <w:r>
        <w:t>Discussion</w:t>
      </w:r>
    </w:p>
    <w:p w14:paraId="00000077" w14:textId="77777777" w:rsidR="00D54BEB" w:rsidRDefault="00DD3B20">
      <w:pPr>
        <w:pStyle w:val="Heading2"/>
      </w:pPr>
      <w:bookmarkStart w:id="30" w:name="_gg2u93aer9z" w:colFirst="0" w:colLast="0"/>
      <w:bookmarkEnd w:id="30"/>
      <w:r>
        <w:t>Main findings</w:t>
      </w:r>
    </w:p>
    <w:p w14:paraId="00000078" w14:textId="3D0A9EB3" w:rsidR="00D54BEB" w:rsidRDefault="00DD3B20">
      <w:r>
        <w:t xml:space="preserve">This review provides the first comprehensive overview of the prevalence of overweight and obesity among people with SMI, with data from 43 countries from all regions of the world. We found a high prevalence of overweight and obesity and higher odds of people with SMI living with obesity than the general population in all regions. There were differences in the prevalence of obesity according to the geographical region, country income classification and sex. We also found regional differences in the trend of obesity in this population. There was a disproportionately low number of studies from LMICs, particularly from Sub-Saharan Africa, the Middle East and Latin American regions.   </w:t>
      </w:r>
    </w:p>
    <w:p w14:paraId="00000079" w14:textId="77777777" w:rsidR="00D54BEB" w:rsidRDefault="00DD3B20">
      <w:pPr>
        <w:pStyle w:val="Heading2"/>
      </w:pPr>
      <w:bookmarkStart w:id="31" w:name="_be4otxcfn2h8" w:colFirst="0" w:colLast="0"/>
      <w:bookmarkEnd w:id="31"/>
      <w:r>
        <w:lastRenderedPageBreak/>
        <w:t xml:space="preserve">Prevalence of overweight and obesity </w:t>
      </w:r>
    </w:p>
    <w:p w14:paraId="0000007A" w14:textId="77777777" w:rsidR="00D54BEB" w:rsidRDefault="00DD3B20">
      <w:r>
        <w:t>The high prevalence of overweight and obesity found in this SMI population and the higher odds of obesity compared with the general population is consistent with epidemiological data, where the prevalence of obesity in the general population was lower than the prevalence found in people with SMI across all regions of the world such as Africa (12.7%), Americas (27%), Europe (22.5%), and West Pacific and East asia (5.4%)</w:t>
      </w:r>
      <w:hyperlink r:id="rId41">
        <w:r>
          <w:rPr>
            <w:color w:val="000000"/>
          </w:rPr>
          <w:t>(33)</w:t>
        </w:r>
      </w:hyperlink>
      <w:r>
        <w:t>. The high prevalence of obesity found in people with SMI is likely to be linked to the use of antipsychotic medications and unhealthy lifestyle behaviours which are more common in SMI</w:t>
      </w:r>
      <w:hyperlink r:id="rId42">
        <w:r>
          <w:rPr>
            <w:color w:val="000000"/>
          </w:rPr>
          <w:t>(34–36)</w:t>
        </w:r>
      </w:hyperlink>
      <w:r>
        <w:t>. Despite the high prevalence of obesity and the excess mortality, studies have consistently shown that this population has poorer access to health risk modification advice and lifestyle interventions to prevent and treat obesity compared with the general population</w:t>
      </w:r>
      <w:hyperlink r:id="rId43">
        <w:r>
          <w:rPr>
            <w:color w:val="000000"/>
          </w:rPr>
          <w:t>(37)</w:t>
        </w:r>
      </w:hyperlink>
      <w:r>
        <w:t xml:space="preserve">. These disparities are even greater in LMICs, where access to healthcare is even more limited, and where evidence of availability and effectiveness of lifestyle intervention among people with SMI is nearly non-existent </w:t>
      </w:r>
      <w:hyperlink r:id="rId44">
        <w:r>
          <w:rPr>
            <w:color w:val="000000"/>
          </w:rPr>
          <w:t>(38,39)</w:t>
        </w:r>
      </w:hyperlink>
      <w:r>
        <w:t xml:space="preserve">. Implementation of screening programmes assessing overweight and obesity might be useful to identify people at higher risk, and referral to lifestyle interventions and collaborative care as suggested by the WHO guidelines for management of physical conditions in adults with SMI </w:t>
      </w:r>
      <w:hyperlink r:id="rId45">
        <w:r>
          <w:rPr>
            <w:color w:val="000000"/>
          </w:rPr>
          <w:t>(8)</w:t>
        </w:r>
      </w:hyperlink>
      <w:r>
        <w:t xml:space="preserve">. Despite the multiple barriers faced by this population such as stigma, illness symptoms and low motivation, the few pharmacological and lifestyle interventions available to prevent and treat obesity in this population have proven to be effective to maintain and reduce body weight </w:t>
      </w:r>
      <w:hyperlink r:id="rId46">
        <w:r>
          <w:rPr>
            <w:color w:val="000000"/>
          </w:rPr>
          <w:t>(39–42)</w:t>
        </w:r>
      </w:hyperlink>
      <w:r>
        <w:t xml:space="preserve">. In addition, they have shown benefits in other parameters such as fasting blood glucose, hypertension and dyslipidemia </w:t>
      </w:r>
      <w:hyperlink r:id="rId47">
        <w:r>
          <w:rPr>
            <w:color w:val="000000"/>
          </w:rPr>
          <w:t>(43)</w:t>
        </w:r>
      </w:hyperlink>
      <w:r>
        <w:t xml:space="preserve">. Thus, lifestyle and pharmacological interventions could provide a feasible and cost-effective solution to reduce obesity, prevent non-communicable diseases (NCDs) and contribute to reduction of the mortality gap seen in this population </w:t>
      </w:r>
      <w:hyperlink r:id="rId48">
        <w:r>
          <w:rPr>
            <w:color w:val="000000"/>
          </w:rPr>
          <w:t>(44)</w:t>
        </w:r>
      </w:hyperlink>
      <w:r>
        <w:t xml:space="preserve">. </w:t>
      </w:r>
    </w:p>
    <w:p w14:paraId="0000007B" w14:textId="77777777" w:rsidR="00D54BEB" w:rsidRDefault="00D54BEB"/>
    <w:p w14:paraId="0000007C" w14:textId="77777777" w:rsidR="00D54BEB" w:rsidRDefault="00DD3B20">
      <w:r>
        <w:t xml:space="preserve">The geographical differences in the prevalence and trends of obesity are also found in the general population </w:t>
      </w:r>
      <w:hyperlink r:id="rId49">
        <w:r>
          <w:rPr>
            <w:color w:val="000000"/>
          </w:rPr>
          <w:t>(33)</w:t>
        </w:r>
      </w:hyperlink>
      <w:r>
        <w:t xml:space="preserve">, and may be associated with socio-economic inequalities, lifestyle, food availability and other environmental and genetic factors in each region </w:t>
      </w:r>
      <w:hyperlink r:id="rId50">
        <w:r>
          <w:rPr>
            <w:color w:val="000000"/>
          </w:rPr>
          <w:t>(45)</w:t>
        </w:r>
      </w:hyperlink>
      <w:r>
        <w:t xml:space="preserve">. These differences should be taken into consideration in developing tailored interventions and programmes to prevent and treat obesity in each country or region </w:t>
      </w:r>
      <w:hyperlink r:id="rId51">
        <w:r>
          <w:rPr>
            <w:color w:val="000000"/>
          </w:rPr>
          <w:t>(46)</w:t>
        </w:r>
      </w:hyperlink>
      <w:r>
        <w:t>. Special attention should be placed in countries and regions where the prevalence of obesity is high and where there is an increasing trend in the prevalence. An unexpected finding of the review was the higher prevalence of obesity (although not statistically significant) in studies conducted in an antipsychotic naive population compared with studies where the participants were on psychotropic medication. These findings should be interpreted with caution since the estimate of obesity for antipsychotic naive populations comes from only seven studies conducted in Europe and North America, which reported a high prevalence of obesity.</w:t>
      </w:r>
    </w:p>
    <w:p w14:paraId="0000007D" w14:textId="77777777" w:rsidR="00D54BEB" w:rsidRDefault="00D54BEB"/>
    <w:p w14:paraId="0000007E" w14:textId="77777777" w:rsidR="00D54BEB" w:rsidRDefault="00DD3B20">
      <w:r>
        <w:t xml:space="preserve">The sex differences concerning the burden of overweight and obesity are also seen in the general population </w:t>
      </w:r>
      <w:hyperlink r:id="rId52">
        <w:r>
          <w:rPr>
            <w:color w:val="000000"/>
          </w:rPr>
          <w:t>(47)</w:t>
        </w:r>
      </w:hyperlink>
      <w:r>
        <w:t xml:space="preserve">, where the prevalence of overweight and obesity is higher among women especially in LMICs </w:t>
      </w:r>
      <w:hyperlink r:id="rId53">
        <w:r>
          <w:rPr>
            <w:color w:val="000000"/>
          </w:rPr>
          <w:t>(36,48)</w:t>
        </w:r>
      </w:hyperlink>
      <w:r>
        <w:t xml:space="preserve">. Studies looking specifically into gender differences have found fewer gender differences in health outcomes in people with bipolar disorder </w:t>
      </w:r>
      <w:hyperlink r:id="rId54">
        <w:r>
          <w:rPr>
            <w:color w:val="000000"/>
          </w:rPr>
          <w:t>(49)</w:t>
        </w:r>
      </w:hyperlink>
      <w:r>
        <w:t xml:space="preserve"> than those with schizophrenia </w:t>
      </w:r>
      <w:hyperlink r:id="rId55">
        <w:r>
          <w:rPr>
            <w:color w:val="000000"/>
          </w:rPr>
          <w:t>(50,51)</w:t>
        </w:r>
      </w:hyperlink>
      <w:r>
        <w:t xml:space="preserve">. It has been suggested that interventions to prevent and treat obesity should be tailored to the sex of the participant to increase their acceptability and effectiveness </w:t>
      </w:r>
      <w:hyperlink r:id="rId56">
        <w:r>
          <w:rPr>
            <w:color w:val="000000"/>
          </w:rPr>
          <w:t>(52)</w:t>
        </w:r>
      </w:hyperlink>
      <w:r>
        <w:t xml:space="preserve">. </w:t>
      </w:r>
    </w:p>
    <w:p w14:paraId="0000007F" w14:textId="77777777" w:rsidR="00D54BEB" w:rsidRDefault="00DD3B20">
      <w:pPr>
        <w:pStyle w:val="Heading2"/>
      </w:pPr>
      <w:bookmarkStart w:id="32" w:name="_e9d0ufchndwo" w:colFirst="0" w:colLast="0"/>
      <w:bookmarkEnd w:id="32"/>
      <w:r>
        <w:t>Disparities between HICS and LMICs</w:t>
      </w:r>
    </w:p>
    <w:p w14:paraId="00000080" w14:textId="77777777" w:rsidR="00D54BEB" w:rsidRDefault="00DD3B20">
      <w:r>
        <w:t xml:space="preserve">We found a disproportionately low number of studies from LMICs and, in particular, a big gap in the evidence available from Sub-Saharan Africa and Latin American regions. These disparities in the contribution of LMICs in health research have been highlighted in other health disciplines </w:t>
      </w:r>
      <w:hyperlink r:id="rId57">
        <w:r>
          <w:rPr>
            <w:color w:val="000000"/>
          </w:rPr>
          <w:t>(53,54)</w:t>
        </w:r>
      </w:hyperlink>
      <w:r>
        <w:t xml:space="preserve">. Possible explanations could include challenges such as stigmatized health conditions, inadequate health care infrastructure, lack of national budget designated to the mental health sector and research budget </w:t>
      </w:r>
      <w:hyperlink r:id="rId58">
        <w:r>
          <w:rPr>
            <w:color w:val="000000"/>
          </w:rPr>
          <w:t>(55)</w:t>
        </w:r>
      </w:hyperlink>
      <w:r>
        <w:t xml:space="preserve">. Collecting information on the prevalence of obesity and other physical conditions is needed in these regions to develop health policy and tailored programmes and interventions that might improve health and reduce inequalities in this population. Approaches such as the “Investigating Mental and Physical Health Together” (IMPACT) SMI survey could be used to collect </w:t>
      </w:r>
      <w:r>
        <w:lastRenderedPageBreak/>
        <w:t xml:space="preserve">and analyse data on obesity, NCDs and health risk behaviours in this population in a cost-effective manner in a budget restricted setting </w:t>
      </w:r>
      <w:hyperlink r:id="rId59">
        <w:r>
          <w:rPr>
            <w:color w:val="000000"/>
          </w:rPr>
          <w:t>(56)</w:t>
        </w:r>
      </w:hyperlink>
      <w:r>
        <w:t xml:space="preserve">. </w:t>
      </w:r>
    </w:p>
    <w:p w14:paraId="00000081" w14:textId="77777777" w:rsidR="00D54BEB" w:rsidRDefault="00DD3B20">
      <w:pPr>
        <w:pStyle w:val="Heading2"/>
      </w:pPr>
      <w:bookmarkStart w:id="33" w:name="_ocpwdhv4xuyf" w:colFirst="0" w:colLast="0"/>
      <w:bookmarkEnd w:id="33"/>
      <w:r>
        <w:t>Strengths and limitations</w:t>
      </w:r>
    </w:p>
    <w:p w14:paraId="00000082" w14:textId="77777777" w:rsidR="00D54BEB" w:rsidRDefault="00DD3B20">
      <w:r>
        <w:t>There are some limitations that require acknowledgment. First, because of the diversity in the regions, type of SMI and setting, there was substantial heterogeneity between the studies, which could not be reduced by stratifying the sample. However, we did not find evidence of publication bias and performed sensitivity analyses that supported the robustness of our results. Second, there was not a consistent definition of obesity across studies conducted in Asia which may have led to the overestimation of the prevalence of obesity, to address this we conducted sensitivity analysis excluding these studies and providing the data of the prevalence of obesity using only these studies. Third, there were also minor deviations from the protocol, such as the inclusion of papers written in all languages , which was not possible due to resources and time constraints (a list of these is provided in the supplementary material);  the use of any validated definition of obesity rather than only the WHO, which was changed to be more inclusive particularly studies conducted in Asia;  we stated we would only conduct a meta-analysis if the heterogeneity between the studies was low, however after inspection of the data we decided to provide an estimate acknowledging this limitation. Fourth, we could not account for unmeasured confounders such as diet and physical activity that could have affected the prevalence of obesity in each study. Despite these limitations this is the first study to examine the prevalence of obesity and overweight in people with SMI from a global perspective estimating the prevalence and trend of obesity in every region of the world.</w:t>
      </w:r>
    </w:p>
    <w:p w14:paraId="00000083" w14:textId="77777777" w:rsidR="00D54BEB" w:rsidRDefault="00DD3B20">
      <w:pPr>
        <w:pStyle w:val="Heading1"/>
      </w:pPr>
      <w:bookmarkStart w:id="34" w:name="_pybvxxarqcv0" w:colFirst="0" w:colLast="0"/>
      <w:bookmarkEnd w:id="34"/>
      <w:r>
        <w:t xml:space="preserve">Conclusion </w:t>
      </w:r>
    </w:p>
    <w:p w14:paraId="00000084" w14:textId="77777777" w:rsidR="00D54BEB" w:rsidRDefault="00DD3B20">
      <w:r>
        <w:t>People with SMI have a high prevalence of obesity and higher odds of having obesity than the general population. This may be contributing to the higher morbidity and mortality seen in this population. This study demonstrated regional and sex differences in the prevalence and trends of obesity. The progression from obesity to metabolic diseases and premature mortality in this population should be assessed in more detail. People with SMI around the world could benefit from screening programs and tailored interventions to reduce and prevent obesity.</w:t>
      </w:r>
    </w:p>
    <w:p w14:paraId="00000085" w14:textId="77777777" w:rsidR="00D54BEB" w:rsidRDefault="00DD3B20">
      <w:pPr>
        <w:pStyle w:val="Heading1"/>
      </w:pPr>
      <w:bookmarkStart w:id="35" w:name="_3mk4qzelof83" w:colFirst="0" w:colLast="0"/>
      <w:bookmarkEnd w:id="35"/>
      <w:r>
        <w:t>Conflict of interests</w:t>
      </w:r>
    </w:p>
    <w:p w14:paraId="00000086" w14:textId="77777777" w:rsidR="00D54BEB" w:rsidRDefault="00DD3B20">
      <w:pPr>
        <w:spacing w:before="240" w:after="240"/>
      </w:pPr>
      <w:r>
        <w:rPr>
          <w:i/>
        </w:rPr>
        <w:t>The authors declare that the research was conducted in the absence of any commercial or financial relationships that could be construed as a potential conflict of interest</w:t>
      </w:r>
      <w:r>
        <w:t>.</w:t>
      </w:r>
    </w:p>
    <w:p w14:paraId="00000087" w14:textId="77777777" w:rsidR="00D54BEB" w:rsidRDefault="00DD3B20">
      <w:pPr>
        <w:pStyle w:val="Heading1"/>
      </w:pPr>
      <w:bookmarkStart w:id="36" w:name="_ggrg4nrs4t1k" w:colFirst="0" w:colLast="0"/>
      <w:bookmarkEnd w:id="36"/>
      <w:r>
        <w:t xml:space="preserve">Author contributions </w:t>
      </w:r>
    </w:p>
    <w:p w14:paraId="00000088" w14:textId="1E6FC959" w:rsidR="00D54BEB" w:rsidRDefault="00DD3B20">
      <w:r>
        <w:t>GZ, MA, NS and RH designed the study, GZ and MA drafted the manuscript, MB, NS and RH made substantial contributions to conception of the manuscript and interpretation of data, AA, BA, FA, HK, JS, KI, KK, NT, RA</w:t>
      </w:r>
      <w:r w:rsidR="00AF291E">
        <w:t xml:space="preserve"> and SR</w:t>
      </w:r>
      <w:r>
        <w:t xml:space="preserve"> made substantial contributions to </w:t>
      </w:r>
      <w:r w:rsidR="00AF291E">
        <w:t>screening and data extraction</w:t>
      </w:r>
      <w:r>
        <w:t xml:space="preserve"> and BA, GZ and RA conducted the analysis, MB, NS, and RH critically revised the manuscript. All authors read and approved the final manuscript.</w:t>
      </w:r>
    </w:p>
    <w:p w14:paraId="00000089" w14:textId="77777777" w:rsidR="00D54BEB" w:rsidRDefault="00DD3B20">
      <w:pPr>
        <w:pStyle w:val="Heading1"/>
      </w:pPr>
      <w:bookmarkStart w:id="37" w:name="_kwv80drxpcy3" w:colFirst="0" w:colLast="0"/>
      <w:bookmarkEnd w:id="37"/>
      <w:r>
        <w:t xml:space="preserve">Funding </w:t>
      </w:r>
    </w:p>
    <w:p w14:paraId="0000008A" w14:textId="77777777" w:rsidR="00D54BEB" w:rsidRDefault="00DD3B20">
      <w:pPr>
        <w:rPr>
          <w:b/>
        </w:rPr>
      </w:pPr>
      <w:r>
        <w:t>This research was funded by the National Institute for Health Research (NIHR) (Grant: GHRG 17/63/130:) using UK aid from the UK Government to support global health research. The views expressed in this publication are those of the author(s) and not necessarily those of the NIHR or the UK Department of Health and Social Care.</w:t>
      </w:r>
    </w:p>
    <w:p w14:paraId="0000008B" w14:textId="77777777" w:rsidR="00D54BEB" w:rsidRDefault="00DD3B20">
      <w:pPr>
        <w:pStyle w:val="Heading1"/>
      </w:pPr>
      <w:bookmarkStart w:id="38" w:name="_qq6wckgmoibp" w:colFirst="0" w:colLast="0"/>
      <w:bookmarkEnd w:id="38"/>
      <w:r>
        <w:t>References</w:t>
      </w:r>
    </w:p>
    <w:p w14:paraId="0000008C" w14:textId="77777777" w:rsidR="00D54BEB" w:rsidRDefault="00DD3B20">
      <w:pPr>
        <w:widowControl w:val="0"/>
        <w:pBdr>
          <w:top w:val="nil"/>
          <w:left w:val="nil"/>
          <w:bottom w:val="nil"/>
          <w:right w:val="nil"/>
          <w:between w:val="nil"/>
        </w:pBdr>
        <w:spacing w:before="220" w:after="220" w:line="240" w:lineRule="auto"/>
        <w:ind w:left="440" w:hanging="440"/>
        <w:jc w:val="left"/>
        <w:rPr>
          <w:color w:val="000000"/>
          <w:sz w:val="22"/>
          <w:szCs w:val="22"/>
        </w:rPr>
      </w:pPr>
      <w:r>
        <w:rPr>
          <w:color w:val="000000"/>
          <w:sz w:val="22"/>
          <w:szCs w:val="22"/>
        </w:rPr>
        <w:t xml:space="preserve">1. </w:t>
      </w:r>
      <w:r>
        <w:rPr>
          <w:color w:val="000000"/>
          <w:sz w:val="22"/>
          <w:szCs w:val="22"/>
        </w:rPr>
        <w:tab/>
      </w:r>
      <w:hyperlink r:id="rId60">
        <w:r>
          <w:rPr>
            <w:color w:val="000000"/>
            <w:sz w:val="22"/>
            <w:szCs w:val="22"/>
          </w:rPr>
          <w:t xml:space="preserve">Organization WH, Others. Obesity and overweight.[Online]. 2020. URL: https://www who </w:t>
        </w:r>
        <w:r>
          <w:rPr>
            <w:color w:val="000000"/>
            <w:sz w:val="22"/>
            <w:szCs w:val="22"/>
          </w:rPr>
          <w:lastRenderedPageBreak/>
          <w:t>int/news-room/fact-sheets/detail/obesity-and-overweight. 27.</w:t>
        </w:r>
      </w:hyperlink>
    </w:p>
    <w:p w14:paraId="0000008D"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 </w:t>
      </w:r>
      <w:r>
        <w:rPr>
          <w:color w:val="000000"/>
          <w:sz w:val="22"/>
          <w:szCs w:val="22"/>
        </w:rPr>
        <w:tab/>
      </w:r>
      <w:hyperlink r:id="rId61">
        <w:r>
          <w:rPr>
            <w:color w:val="000000"/>
            <w:sz w:val="22"/>
            <w:szCs w:val="22"/>
          </w:rPr>
          <w:t>World Health Organization. Obesity: Preventing and Managing the Global Epidemic. World Health Organization; 2000. 253 p.</w:t>
        </w:r>
      </w:hyperlink>
    </w:p>
    <w:p w14:paraId="0000008E"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 </w:t>
      </w:r>
      <w:r>
        <w:rPr>
          <w:color w:val="000000"/>
          <w:sz w:val="22"/>
          <w:szCs w:val="22"/>
        </w:rPr>
        <w:tab/>
      </w:r>
      <w:hyperlink r:id="rId62">
        <w:r>
          <w:rPr>
            <w:color w:val="000000"/>
            <w:sz w:val="22"/>
            <w:szCs w:val="22"/>
          </w:rPr>
          <w:t>World Health Organization, WHO Staff, WHO. The ICD-10 Classification of Mental and Behavioural Disorders: Clinical Descriptions and Diagnostic Guidelines. World Health Organization; 1992. 362 p.</w:t>
        </w:r>
      </w:hyperlink>
    </w:p>
    <w:p w14:paraId="0000008F"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 </w:t>
      </w:r>
      <w:r>
        <w:rPr>
          <w:color w:val="000000"/>
          <w:sz w:val="22"/>
          <w:szCs w:val="22"/>
        </w:rPr>
        <w:tab/>
      </w:r>
      <w:hyperlink r:id="rId63">
        <w:r>
          <w:rPr>
            <w:color w:val="000000"/>
            <w:sz w:val="22"/>
            <w:szCs w:val="22"/>
          </w:rPr>
          <w:t>Scott D, Happell B. The high prevalence of poor physical health and unhealthy lifestyle behaviours in individuals with severe mental illness. Issues Ment Health Nurs. 2011;32(9):589–97.</w:t>
        </w:r>
      </w:hyperlink>
    </w:p>
    <w:p w14:paraId="00000090"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5. </w:t>
      </w:r>
      <w:r>
        <w:rPr>
          <w:color w:val="000000"/>
          <w:sz w:val="22"/>
          <w:szCs w:val="22"/>
        </w:rPr>
        <w:tab/>
      </w:r>
      <w:hyperlink r:id="rId64">
        <w:r>
          <w:rPr>
            <w:color w:val="000000"/>
            <w:sz w:val="22"/>
            <w:szCs w:val="22"/>
          </w:rPr>
          <w:t>McCarron RM, Xiong GL, Keenan CR, Nasrallah HA. Preventive Medical Care in Psychiatry: A Practical Guide for Clinicians. American Psychiatric Pub; 2015. 482 p.</w:t>
        </w:r>
      </w:hyperlink>
    </w:p>
    <w:p w14:paraId="00000091"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6. </w:t>
      </w:r>
      <w:r>
        <w:rPr>
          <w:color w:val="000000"/>
          <w:sz w:val="22"/>
          <w:szCs w:val="22"/>
        </w:rPr>
        <w:tab/>
      </w:r>
      <w:hyperlink r:id="rId65">
        <w:r>
          <w:rPr>
            <w:color w:val="000000"/>
            <w:sz w:val="22"/>
            <w:szCs w:val="22"/>
          </w:rPr>
          <w:t>Naslund JA, Aschbrenner KA, Scherer EA, Pratt SI, Wolfe RS, Bartels SJ. Lifestyle Intervention for People With Severe Obesity and Serious Mental Illness. Am J Prev Med. 2016 Feb;50(2):145–53.</w:t>
        </w:r>
      </w:hyperlink>
    </w:p>
    <w:p w14:paraId="00000092"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7. </w:t>
      </w:r>
      <w:r>
        <w:rPr>
          <w:color w:val="000000"/>
          <w:sz w:val="22"/>
          <w:szCs w:val="22"/>
        </w:rPr>
        <w:tab/>
      </w:r>
      <w:hyperlink r:id="rId66">
        <w:r>
          <w:rPr>
            <w:color w:val="000000"/>
            <w:sz w:val="22"/>
            <w:szCs w:val="22"/>
          </w:rPr>
          <w:t>Allison DB, Newcomer JW, Dunn AL, Blumenthal JA, Fabricatore AN, Daumit GL, et al. Obesity among those with mental disorders: a National Institute of Mental Health meeting report. Am J Prev Med. 2009 Apr;36(4):341–50.</w:t>
        </w:r>
      </w:hyperlink>
    </w:p>
    <w:p w14:paraId="00000093"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8. </w:t>
      </w:r>
      <w:r>
        <w:rPr>
          <w:color w:val="000000"/>
          <w:sz w:val="22"/>
          <w:szCs w:val="22"/>
        </w:rPr>
        <w:tab/>
      </w:r>
      <w:hyperlink r:id="rId67">
        <w:r>
          <w:rPr>
            <w:color w:val="000000"/>
            <w:sz w:val="22"/>
            <w:szCs w:val="22"/>
          </w:rPr>
          <w:t xml:space="preserve">Organization WH, Others. Management of physical health conditions in adults with severe mental disorders: WHO guidelines. 2018; Available from: </w:t>
        </w:r>
      </w:hyperlink>
      <w:hyperlink r:id="rId68">
        <w:r>
          <w:rPr>
            <w:color w:val="000000"/>
            <w:sz w:val="22"/>
            <w:szCs w:val="22"/>
          </w:rPr>
          <w:t>https://apps.who.int/iris/bitstream/handle/10665/275718/9789241550383-eng.pdf</w:t>
        </w:r>
      </w:hyperlink>
    </w:p>
    <w:p w14:paraId="00000094"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9. </w:t>
      </w:r>
      <w:r>
        <w:rPr>
          <w:color w:val="000000"/>
          <w:sz w:val="22"/>
          <w:szCs w:val="22"/>
        </w:rPr>
        <w:tab/>
      </w:r>
      <w:hyperlink r:id="rId69">
        <w:r>
          <w:rPr>
            <w:color w:val="000000"/>
            <w:sz w:val="22"/>
            <w:szCs w:val="22"/>
          </w:rPr>
          <w:t>Osborn DPJ, Nazareth I, King MB. Physical activity, dietary habits and Coronary Heart Disease risk factor knowledge amongst people with severe mental illness: a cross sectional comparative study in primary care. Soc Psychiatry Psychiatr Epidemiol. 2007 Oct;42(10):787–93.</w:t>
        </w:r>
      </w:hyperlink>
    </w:p>
    <w:p w14:paraId="00000095"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10. </w:t>
      </w:r>
      <w:r>
        <w:rPr>
          <w:color w:val="000000"/>
          <w:sz w:val="22"/>
          <w:szCs w:val="22"/>
        </w:rPr>
        <w:tab/>
      </w:r>
      <w:hyperlink r:id="rId70">
        <w:r>
          <w:rPr>
            <w:color w:val="000000"/>
            <w:sz w:val="22"/>
            <w:szCs w:val="22"/>
          </w:rPr>
          <w:t>Mai Q, Holman CD, Sanfilippo FM, Emery JD. The impact of mental illness on potentially preventable hospitalisations: a population-based cohort study. BMC Psychiatry. 2011;11:163.</w:t>
        </w:r>
      </w:hyperlink>
    </w:p>
    <w:p w14:paraId="00000096"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11. </w:t>
      </w:r>
      <w:r>
        <w:rPr>
          <w:color w:val="000000"/>
          <w:sz w:val="22"/>
          <w:szCs w:val="22"/>
        </w:rPr>
        <w:tab/>
      </w:r>
      <w:hyperlink r:id="rId71">
        <w:r>
          <w:rPr>
            <w:color w:val="000000"/>
            <w:sz w:val="22"/>
            <w:szCs w:val="22"/>
          </w:rPr>
          <w:t>DE Hert M, Schreurs V, Vancampfort D, VAN Winkel R. Metabolic syndrome in people with schizophrenia: a review. World Psychiatry. 2009 Feb;8(1):15–22.</w:t>
        </w:r>
      </w:hyperlink>
    </w:p>
    <w:p w14:paraId="00000097"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12. </w:t>
      </w:r>
      <w:r>
        <w:rPr>
          <w:color w:val="000000"/>
          <w:sz w:val="22"/>
          <w:szCs w:val="22"/>
        </w:rPr>
        <w:tab/>
      </w:r>
      <w:hyperlink r:id="rId72">
        <w:r>
          <w:rPr>
            <w:color w:val="000000"/>
            <w:sz w:val="22"/>
            <w:szCs w:val="22"/>
          </w:rPr>
          <w:t>Vancampfort D, Stubbs B, Mitchell AJ, De Hert M, Wampers M, Ward PB, et al. Risk of metabolic syndrome and its components in people with schizophrenia and related psychotic disorders, bipolar disorder and major depressive disorder: a systematic review and meta-analysis. World Psychiatry. 2015 Oct;14(3):339–47.</w:t>
        </w:r>
      </w:hyperlink>
    </w:p>
    <w:p w14:paraId="00000098"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13. </w:t>
      </w:r>
      <w:r>
        <w:rPr>
          <w:color w:val="000000"/>
          <w:sz w:val="22"/>
          <w:szCs w:val="22"/>
        </w:rPr>
        <w:tab/>
      </w:r>
      <w:hyperlink r:id="rId73">
        <w:r>
          <w:rPr>
            <w:color w:val="000000"/>
            <w:sz w:val="22"/>
            <w:szCs w:val="22"/>
          </w:rPr>
          <w:t>Liu NH, Daumit GL, Dua T, Aquila R, Charlson F, Cuijpers P, et al. Excess mortality in persons with severe mental disorders: a multilevel intervention framework and priorities for clinical practice, policy and research agendas. World Psychiatry. 2017 Feb;16(1):30–40.</w:t>
        </w:r>
      </w:hyperlink>
    </w:p>
    <w:p w14:paraId="00000099"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14. </w:t>
      </w:r>
      <w:r>
        <w:rPr>
          <w:color w:val="000000"/>
          <w:sz w:val="22"/>
          <w:szCs w:val="22"/>
        </w:rPr>
        <w:tab/>
      </w:r>
      <w:hyperlink r:id="rId74">
        <w:r>
          <w:rPr>
            <w:color w:val="000000"/>
            <w:sz w:val="22"/>
            <w:szCs w:val="22"/>
          </w:rPr>
          <w:t>Tiihonen J, Lönnqvist J, Wahlbeck K, Klaukka T, Niskanen L, Tanskanen A, et al. 11-year follow-up of mortality in patients with schizophrenia: a population-based cohort study (FIN11 study). Lancet. 2009 Aug 22;374(9690):620–7.</w:t>
        </w:r>
      </w:hyperlink>
    </w:p>
    <w:p w14:paraId="0000009A"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15. </w:t>
      </w:r>
      <w:r>
        <w:rPr>
          <w:color w:val="000000"/>
          <w:sz w:val="22"/>
          <w:szCs w:val="22"/>
        </w:rPr>
        <w:tab/>
      </w:r>
      <w:hyperlink r:id="rId75">
        <w:r>
          <w:rPr>
            <w:color w:val="000000"/>
            <w:sz w:val="22"/>
            <w:szCs w:val="22"/>
          </w:rPr>
          <w:t>Brown S, Kim M, Mitchell C, Inskip H. Twenty-five year mortality of a community cohort with schizophrenia. Br J Psychiatry. 2010 Feb;196(2):116–21.</w:t>
        </w:r>
      </w:hyperlink>
    </w:p>
    <w:p w14:paraId="0000009B"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16. </w:t>
      </w:r>
      <w:r>
        <w:rPr>
          <w:color w:val="000000"/>
          <w:sz w:val="22"/>
          <w:szCs w:val="22"/>
        </w:rPr>
        <w:tab/>
      </w:r>
      <w:hyperlink r:id="rId76">
        <w:r>
          <w:rPr>
            <w:color w:val="000000"/>
            <w:sz w:val="22"/>
            <w:szCs w:val="22"/>
          </w:rPr>
          <w:t>Schelbert KB. Comorbidities of obesity. Prim Care. 2009 Jun;36(2):271–85.</w:t>
        </w:r>
      </w:hyperlink>
    </w:p>
    <w:p w14:paraId="0000009C"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lastRenderedPageBreak/>
        <w:t xml:space="preserve">17. </w:t>
      </w:r>
      <w:r>
        <w:rPr>
          <w:color w:val="000000"/>
          <w:sz w:val="22"/>
          <w:szCs w:val="22"/>
        </w:rPr>
        <w:tab/>
      </w:r>
      <w:hyperlink r:id="rId77">
        <w:r>
          <w:rPr>
            <w:color w:val="000000"/>
            <w:sz w:val="22"/>
            <w:szCs w:val="22"/>
          </w:rPr>
          <w:t xml:space="preserve">Mitchell AJ, Vancampfort D, Sweers K. Prevalence of metabolic syndrome and metabolic abnormalities in schizophrenia and related disorders—a systematic review and meta-analysis. Schizophrenia [Internet]. 2013; Available from: </w:t>
        </w:r>
      </w:hyperlink>
      <w:hyperlink r:id="rId78">
        <w:r>
          <w:rPr>
            <w:color w:val="000000"/>
            <w:sz w:val="22"/>
            <w:szCs w:val="22"/>
          </w:rPr>
          <w:t>https://academic.oup.com/schizophreniabulletin/article-abstract/39/2/306/1823895</w:t>
        </w:r>
      </w:hyperlink>
    </w:p>
    <w:p w14:paraId="0000009D"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18. </w:t>
      </w:r>
      <w:r>
        <w:rPr>
          <w:color w:val="000000"/>
          <w:sz w:val="22"/>
          <w:szCs w:val="22"/>
        </w:rPr>
        <w:tab/>
      </w:r>
      <w:hyperlink r:id="rId79">
        <w:r>
          <w:rPr>
            <w:color w:val="000000"/>
            <w:sz w:val="22"/>
            <w:szCs w:val="22"/>
          </w:rPr>
          <w:t xml:space="preserve">Moher D, Liberati A, Tetzlaff J, Altman DG, The PRISMA Group. Preferred Reporting Items for Systematic Reviews and Meta-Analyses: The PRISMA Statement [Internet]. Vol. 6, PLoS Medicine. 2009. p. e1000097. Available from: </w:t>
        </w:r>
      </w:hyperlink>
      <w:hyperlink r:id="rId80">
        <w:r>
          <w:rPr>
            <w:color w:val="000000"/>
            <w:sz w:val="22"/>
            <w:szCs w:val="22"/>
          </w:rPr>
          <w:t>http://dx.doi.org/10.1371/journal.pmed.1000097</w:t>
        </w:r>
      </w:hyperlink>
    </w:p>
    <w:p w14:paraId="0000009E"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19. </w:t>
      </w:r>
      <w:r>
        <w:rPr>
          <w:color w:val="000000"/>
          <w:sz w:val="22"/>
          <w:szCs w:val="22"/>
        </w:rPr>
        <w:tab/>
      </w:r>
      <w:hyperlink r:id="rId81">
        <w:r>
          <w:rPr>
            <w:color w:val="000000"/>
            <w:sz w:val="22"/>
            <w:szCs w:val="22"/>
          </w:rPr>
          <w:t>Stroup DF, Berlin JA, Morton SC, Olkin I, David Williamson G, Rennie D, et al. Meta-analysis of Observational Studies in Epidemiology: A Proposal for Reporting. JAMA. 2000 Apr 19;283(15):2008–12.</w:t>
        </w:r>
      </w:hyperlink>
    </w:p>
    <w:p w14:paraId="0000009F"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20. </w:t>
      </w:r>
      <w:r>
        <w:rPr>
          <w:color w:val="000000"/>
          <w:sz w:val="22"/>
          <w:szCs w:val="22"/>
        </w:rPr>
        <w:tab/>
      </w:r>
      <w:hyperlink r:id="rId82">
        <w:r>
          <w:rPr>
            <w:color w:val="000000"/>
            <w:sz w:val="22"/>
            <w:szCs w:val="22"/>
          </w:rPr>
          <w:t xml:space="preserve">Afzal M, Siddiqi N, Zavala G. Prevalence of obesity, overweight and underweight in people with severe mental illness: systematic review. International prospective register of systematic reviews [Internet]. 2020; Available from: </w:t>
        </w:r>
      </w:hyperlink>
      <w:hyperlink r:id="rId83">
        <w:r>
          <w:rPr>
            <w:color w:val="000000"/>
            <w:sz w:val="22"/>
            <w:szCs w:val="22"/>
          </w:rPr>
          <w:t>https://www.crd.york.ac.uk/prospero/display_record.php?ID=CRD42020200380</w:t>
        </w:r>
      </w:hyperlink>
    </w:p>
    <w:p w14:paraId="000000A0"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21. </w:t>
      </w:r>
      <w:r>
        <w:rPr>
          <w:color w:val="000000"/>
          <w:sz w:val="22"/>
          <w:szCs w:val="22"/>
        </w:rPr>
        <w:tab/>
      </w:r>
      <w:hyperlink r:id="rId84">
        <w:r>
          <w:rPr>
            <w:color w:val="000000"/>
            <w:sz w:val="22"/>
            <w:szCs w:val="22"/>
          </w:rPr>
          <w:t xml:space="preserve">Frances A, First M, Pincus HA, Widiger T, Davis W. An Introduction to DSM-IV [Internet]. Vol. 41, Psychiatric Services. 1990. p. 493–4. Available from: </w:t>
        </w:r>
      </w:hyperlink>
      <w:hyperlink r:id="rId85">
        <w:r>
          <w:rPr>
            <w:color w:val="000000"/>
            <w:sz w:val="22"/>
            <w:szCs w:val="22"/>
          </w:rPr>
          <w:t>http://dx.doi.org/10.1176/ps.41.5.493</w:t>
        </w:r>
      </w:hyperlink>
    </w:p>
    <w:p w14:paraId="000000A1"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22. </w:t>
      </w:r>
      <w:r>
        <w:rPr>
          <w:color w:val="000000"/>
          <w:sz w:val="22"/>
          <w:szCs w:val="22"/>
        </w:rPr>
        <w:tab/>
      </w:r>
      <w:hyperlink r:id="rId86">
        <w:r>
          <w:rPr>
            <w:color w:val="000000"/>
            <w:sz w:val="22"/>
            <w:szCs w:val="22"/>
          </w:rPr>
          <w:t xml:space="preserve">Organization WH, Others. Overweight and obesity. 2020; Available from: </w:t>
        </w:r>
      </w:hyperlink>
      <w:hyperlink r:id="rId87">
        <w:r>
          <w:rPr>
            <w:color w:val="000000"/>
            <w:sz w:val="22"/>
            <w:szCs w:val="22"/>
          </w:rPr>
          <w:t>https://www.oecd-ilibrary.org/social-issues-migration-health/health-at-a-glance-asia-pacific-2020_a47d0cd2-en</w:t>
        </w:r>
      </w:hyperlink>
    </w:p>
    <w:p w14:paraId="000000A2"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23. </w:t>
      </w:r>
      <w:r>
        <w:rPr>
          <w:color w:val="000000"/>
          <w:sz w:val="22"/>
          <w:szCs w:val="22"/>
        </w:rPr>
        <w:tab/>
      </w:r>
      <w:hyperlink r:id="rId88">
        <w:r>
          <w:rPr>
            <w:color w:val="000000"/>
            <w:sz w:val="22"/>
            <w:szCs w:val="22"/>
          </w:rPr>
          <w:t>WHO Expert Consultation. Appropriate body-mass index for Asian populations and its implications for policy and intervention strategies. Lancet. 2004 Jan 10;363(9403):157–63.</w:t>
        </w:r>
      </w:hyperlink>
    </w:p>
    <w:p w14:paraId="000000A3"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24. </w:t>
      </w:r>
      <w:r>
        <w:rPr>
          <w:color w:val="000000"/>
          <w:sz w:val="22"/>
          <w:szCs w:val="22"/>
        </w:rPr>
        <w:tab/>
      </w:r>
      <w:hyperlink r:id="rId89">
        <w:r>
          <w:rPr>
            <w:color w:val="000000"/>
            <w:sz w:val="22"/>
            <w:szCs w:val="22"/>
          </w:rPr>
          <w:t>Covidence. Covidence. 2016;</w:t>
        </w:r>
      </w:hyperlink>
    </w:p>
    <w:p w14:paraId="000000A4"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25. </w:t>
      </w:r>
      <w:r>
        <w:rPr>
          <w:color w:val="000000"/>
          <w:sz w:val="22"/>
          <w:szCs w:val="22"/>
        </w:rPr>
        <w:tab/>
      </w:r>
      <w:hyperlink r:id="rId90">
        <w:r>
          <w:rPr>
            <w:color w:val="000000"/>
            <w:sz w:val="22"/>
            <w:szCs w:val="22"/>
          </w:rPr>
          <w:t xml:space="preserve">Fantom, Neil James, Serajuddin U. The World Bank’s Classification of Countries by Income [Internet]. 2016 [cited 2021 Aug 11]. Available from: </w:t>
        </w:r>
      </w:hyperlink>
      <w:hyperlink r:id="rId91">
        <w:r>
          <w:rPr>
            <w:color w:val="000000"/>
            <w:sz w:val="22"/>
            <w:szCs w:val="22"/>
          </w:rPr>
          <w:t>https://papers.ssrn.com/abstract=2741183</w:t>
        </w:r>
      </w:hyperlink>
    </w:p>
    <w:p w14:paraId="000000A5"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26. </w:t>
      </w:r>
      <w:r>
        <w:rPr>
          <w:color w:val="000000"/>
          <w:sz w:val="22"/>
          <w:szCs w:val="22"/>
        </w:rPr>
        <w:tab/>
      </w:r>
      <w:hyperlink r:id="rId92">
        <w:r>
          <w:rPr>
            <w:color w:val="000000"/>
            <w:sz w:val="22"/>
            <w:szCs w:val="22"/>
          </w:rPr>
          <w:t>Munn Z, Barker TH, Moola S, Tufanaru C, Stern C, McArthur A, et al. Methodological quality of case series studies: an introduction to the JBI critical appraisal tool. JBI Evid Synth. 2020 Oct;18(10):2127–33.</w:t>
        </w:r>
      </w:hyperlink>
    </w:p>
    <w:p w14:paraId="000000A6"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27. </w:t>
      </w:r>
      <w:r>
        <w:rPr>
          <w:color w:val="000000"/>
          <w:sz w:val="22"/>
          <w:szCs w:val="22"/>
        </w:rPr>
        <w:tab/>
      </w:r>
      <w:hyperlink r:id="rId93">
        <w:r>
          <w:rPr>
            <w:color w:val="000000"/>
            <w:sz w:val="22"/>
            <w:szCs w:val="22"/>
          </w:rPr>
          <w:t>Higgins JPT, Thomas J, Chandler J, Cumpston M, Li T, Page MJ, et al. Cochrane Handbook for Systematic Reviews of Interventions. John Wiley &amp; Sons; 2019. 728 p.</w:t>
        </w:r>
      </w:hyperlink>
    </w:p>
    <w:p w14:paraId="000000A7"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28. </w:t>
      </w:r>
      <w:r>
        <w:rPr>
          <w:color w:val="000000"/>
          <w:sz w:val="22"/>
          <w:szCs w:val="22"/>
        </w:rPr>
        <w:tab/>
      </w:r>
      <w:hyperlink r:id="rId94">
        <w:r>
          <w:rPr>
            <w:color w:val="000000"/>
            <w:sz w:val="22"/>
            <w:szCs w:val="22"/>
          </w:rPr>
          <w:t>Lundh A, Gøtzsche PC. Recommendations by Cochrane Review Groups for assessment of the risk of bias in studies. BMC Med Res Methodol. 2008 Apr 21;8:22.</w:t>
        </w:r>
      </w:hyperlink>
    </w:p>
    <w:p w14:paraId="000000A8"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29. </w:t>
      </w:r>
      <w:r>
        <w:rPr>
          <w:color w:val="000000"/>
          <w:sz w:val="22"/>
          <w:szCs w:val="22"/>
        </w:rPr>
        <w:tab/>
      </w:r>
      <w:hyperlink r:id="rId95">
        <w:r>
          <w:rPr>
            <w:color w:val="000000"/>
            <w:sz w:val="22"/>
            <w:szCs w:val="22"/>
          </w:rPr>
          <w:t>Spineli LM, Pandis N, Salanti G. Reporting and handling missing outcome data in mental health: a systematic review of Cochrane systematic reviews and meta-analyses. Res Synth Methods. 2015 Jun;6(2):175–87.</w:t>
        </w:r>
      </w:hyperlink>
    </w:p>
    <w:p w14:paraId="000000A9"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30. </w:t>
      </w:r>
      <w:r>
        <w:rPr>
          <w:color w:val="000000"/>
          <w:sz w:val="22"/>
          <w:szCs w:val="22"/>
        </w:rPr>
        <w:tab/>
      </w:r>
      <w:hyperlink r:id="rId96">
        <w:r>
          <w:rPr>
            <w:color w:val="000000"/>
            <w:sz w:val="22"/>
            <w:szCs w:val="22"/>
          </w:rPr>
          <w:t xml:space="preserve">R Core Team. R: A language and environment for statistical ## computing. R Foundation for Statistical Computing, Vienna, Austria [Internet]. 2020. Available from: </w:t>
        </w:r>
      </w:hyperlink>
      <w:hyperlink r:id="rId97">
        <w:r>
          <w:rPr>
            <w:color w:val="000000"/>
            <w:sz w:val="22"/>
            <w:szCs w:val="22"/>
          </w:rPr>
          <w:t>https://www.R-project.org/</w:t>
        </w:r>
      </w:hyperlink>
    </w:p>
    <w:p w14:paraId="000000AA"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31. </w:t>
      </w:r>
      <w:r>
        <w:rPr>
          <w:color w:val="000000"/>
          <w:sz w:val="22"/>
          <w:szCs w:val="22"/>
        </w:rPr>
        <w:tab/>
      </w:r>
      <w:hyperlink r:id="rId98">
        <w:r>
          <w:rPr>
            <w:color w:val="000000"/>
            <w:sz w:val="22"/>
            <w:szCs w:val="22"/>
          </w:rPr>
          <w:t xml:space="preserve">Moutinho L. Sample Size for Proportions [Internet]. The SAGE Dictionary of Quantitative Management Research. p. 279–81. Available from: </w:t>
        </w:r>
      </w:hyperlink>
      <w:hyperlink r:id="rId99">
        <w:r>
          <w:rPr>
            <w:color w:val="000000"/>
            <w:sz w:val="22"/>
            <w:szCs w:val="22"/>
          </w:rPr>
          <w:t>http://dx.doi.org/10.4135/9781446251119.n83</w:t>
        </w:r>
      </w:hyperlink>
    </w:p>
    <w:p w14:paraId="000000AB"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lastRenderedPageBreak/>
        <w:t xml:space="preserve">32. </w:t>
      </w:r>
      <w:r>
        <w:rPr>
          <w:color w:val="000000"/>
          <w:sz w:val="22"/>
          <w:szCs w:val="22"/>
        </w:rPr>
        <w:tab/>
      </w:r>
      <w:hyperlink r:id="rId100">
        <w:r>
          <w:rPr>
            <w:color w:val="000000"/>
            <w:sz w:val="22"/>
            <w:szCs w:val="22"/>
          </w:rPr>
          <w:t>Susce MT, Villanueva N, Diaz FJ, de Leon J. Obesity and associated complications in patients with severe mental illnesses: a cross-sectional survey. J Clin Psychiatry. 2005 Feb;66(2):167–73.</w:t>
        </w:r>
      </w:hyperlink>
    </w:p>
    <w:p w14:paraId="000000AC"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33. </w:t>
      </w:r>
      <w:r>
        <w:rPr>
          <w:color w:val="000000"/>
          <w:sz w:val="22"/>
          <w:szCs w:val="22"/>
        </w:rPr>
        <w:tab/>
      </w:r>
      <w:hyperlink r:id="rId101">
        <w:r>
          <w:rPr>
            <w:color w:val="000000"/>
            <w:sz w:val="22"/>
            <w:szCs w:val="22"/>
          </w:rPr>
          <w:t>Chooi YC, Ding C, Magkos F. The epidemiology of obesity. Metabolism. 2019 Mar;92:6–10.</w:t>
        </w:r>
      </w:hyperlink>
    </w:p>
    <w:p w14:paraId="000000AD"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34. </w:t>
      </w:r>
      <w:r>
        <w:rPr>
          <w:color w:val="000000"/>
          <w:sz w:val="22"/>
          <w:szCs w:val="22"/>
        </w:rPr>
        <w:tab/>
      </w:r>
      <w:hyperlink r:id="rId102">
        <w:r>
          <w:rPr>
            <w:color w:val="000000"/>
            <w:sz w:val="22"/>
            <w:szCs w:val="22"/>
          </w:rPr>
          <w:t>McCloughen A, Foster K. Weight gain associated with taking psychotropic medication: an integrative review. Int J Ment Health Nurs. 2011 Jun;20(3):202–22.</w:t>
        </w:r>
      </w:hyperlink>
    </w:p>
    <w:p w14:paraId="000000AE"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35. </w:t>
      </w:r>
      <w:r>
        <w:rPr>
          <w:color w:val="000000"/>
          <w:sz w:val="22"/>
          <w:szCs w:val="22"/>
        </w:rPr>
        <w:tab/>
      </w:r>
      <w:hyperlink r:id="rId103">
        <w:r>
          <w:rPr>
            <w:color w:val="000000"/>
            <w:sz w:val="22"/>
            <w:szCs w:val="22"/>
          </w:rPr>
          <w:t>Álvarez-Jiménez M, González-Blanch C, Crespo-Facorro B, Hetrick S, Rodriguez-Sánchez JM, Pérez-Iglesias R, et al. Antipsychotic-Induced Weight Gain in Chronic and First-Episode Psychotic Disorders. CNS Drugs. 2008 Jul 1;22(7):547–62.</w:t>
        </w:r>
      </w:hyperlink>
    </w:p>
    <w:p w14:paraId="000000AF"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36. </w:t>
      </w:r>
      <w:r>
        <w:rPr>
          <w:color w:val="000000"/>
          <w:sz w:val="22"/>
          <w:szCs w:val="22"/>
        </w:rPr>
        <w:tab/>
      </w:r>
      <w:hyperlink r:id="rId104">
        <w:r>
          <w:rPr>
            <w:color w:val="000000"/>
            <w:sz w:val="22"/>
            <w:szCs w:val="22"/>
          </w:rPr>
          <w:t>Bradshaw T, Mairs H. Obesity and Serious Mental Ill Health: A Critical Review of the Literature. Healthcare (Basel). 2014 Apr 1;2(2):166–82.</w:t>
        </w:r>
      </w:hyperlink>
    </w:p>
    <w:p w14:paraId="000000B0"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37. </w:t>
      </w:r>
      <w:r>
        <w:rPr>
          <w:color w:val="000000"/>
          <w:sz w:val="22"/>
          <w:szCs w:val="22"/>
        </w:rPr>
        <w:tab/>
      </w:r>
      <w:hyperlink r:id="rId105">
        <w:r>
          <w:rPr>
            <w:color w:val="000000"/>
            <w:sz w:val="22"/>
            <w:szCs w:val="22"/>
          </w:rPr>
          <w:t>Maj M. Physical health care in persons with severe mental illness: a public health and ethical priority. World Psychiatry. 2009 Feb;8(1):1–2.</w:t>
        </w:r>
      </w:hyperlink>
    </w:p>
    <w:p w14:paraId="000000B1"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38. </w:t>
      </w:r>
      <w:r>
        <w:rPr>
          <w:color w:val="000000"/>
          <w:sz w:val="22"/>
          <w:szCs w:val="22"/>
        </w:rPr>
        <w:tab/>
      </w:r>
      <w:hyperlink r:id="rId106">
        <w:r>
          <w:rPr>
            <w:color w:val="000000"/>
            <w:sz w:val="22"/>
            <w:szCs w:val="22"/>
          </w:rPr>
          <w:t>Naslund JA, Whiteman KL, McHugo GJ, Aschbrenner KA, Marsch LA, Bartels SJ. Lifestyle interventions for weight loss among overweight and obese adults with serious mental illness: A systematic review and meta-analysis. Gen Hosp Psychiatry. 2017 Jul;47:83–102.</w:t>
        </w:r>
      </w:hyperlink>
    </w:p>
    <w:p w14:paraId="000000B2"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39. </w:t>
      </w:r>
      <w:r>
        <w:rPr>
          <w:color w:val="000000"/>
          <w:sz w:val="22"/>
          <w:szCs w:val="22"/>
        </w:rPr>
        <w:tab/>
      </w:r>
      <w:hyperlink r:id="rId107">
        <w:r>
          <w:rPr>
            <w:color w:val="000000"/>
            <w:sz w:val="22"/>
            <w:szCs w:val="22"/>
          </w:rPr>
          <w:t>Verhaeghe N, De Maeseneer J, Maes L, Van Heeringen C, Annemans L. Effectiveness and cost-effectiveness of lifestyle interventions on physical activity and eating habits in persons with severe mental disorders: a systematic review. Int J Behav Nutr Phys Act. 2011 Apr 11;8:28.</w:t>
        </w:r>
      </w:hyperlink>
    </w:p>
    <w:p w14:paraId="000000B3"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40. </w:t>
      </w:r>
      <w:r>
        <w:rPr>
          <w:color w:val="000000"/>
          <w:sz w:val="22"/>
          <w:szCs w:val="22"/>
        </w:rPr>
        <w:tab/>
      </w:r>
      <w:hyperlink r:id="rId108">
        <w:r>
          <w:rPr>
            <w:color w:val="000000"/>
            <w:sz w:val="22"/>
            <w:szCs w:val="22"/>
          </w:rPr>
          <w:t>Teasdale SB, Ward PB, Rosenbaum S, Samaras K, Stubbs B. Solving a weighty problem: systematic review and meta-analysis of nutrition interventions in severe mental illness. Br J Psychiatry. 2017 Feb;210(2):110–8.</w:t>
        </w:r>
      </w:hyperlink>
    </w:p>
    <w:p w14:paraId="000000B4"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41. </w:t>
      </w:r>
      <w:r>
        <w:rPr>
          <w:color w:val="000000"/>
          <w:sz w:val="22"/>
          <w:szCs w:val="22"/>
        </w:rPr>
        <w:tab/>
      </w:r>
      <w:hyperlink r:id="rId109">
        <w:r>
          <w:rPr>
            <w:color w:val="000000"/>
            <w:sz w:val="22"/>
            <w:szCs w:val="22"/>
          </w:rPr>
          <w:t xml:space="preserve">Hiluy JC, Nazar BP, Gonçalves WS, Coutinho W, Appolinario JC. Effectiveness of Pharmacologic Interventions in the Management of Weight Gain in Patients With Severe Mental Illness: A Systematic Review and Meta-Analysis. Prim Care Companion CNS Disord [Internet]. 2019 Dec 19;21(6). Available from: </w:t>
        </w:r>
      </w:hyperlink>
      <w:hyperlink r:id="rId110">
        <w:r>
          <w:rPr>
            <w:color w:val="000000"/>
            <w:sz w:val="22"/>
            <w:szCs w:val="22"/>
          </w:rPr>
          <w:t>http://dx.doi.org/10.4088/PCC.19r02483</w:t>
        </w:r>
      </w:hyperlink>
    </w:p>
    <w:p w14:paraId="000000B5"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42. </w:t>
      </w:r>
      <w:r>
        <w:rPr>
          <w:color w:val="000000"/>
          <w:sz w:val="22"/>
          <w:szCs w:val="22"/>
        </w:rPr>
        <w:tab/>
      </w:r>
      <w:hyperlink r:id="rId111">
        <w:r>
          <w:rPr>
            <w:color w:val="000000"/>
            <w:sz w:val="22"/>
            <w:szCs w:val="22"/>
          </w:rPr>
          <w:t>Brown C, Geiszler LC, Lewis KJ, Arbesman M. Effectiveness of Interventions for Weight Loss for People With Serious Mental Illness: A Systematic Review and Meta-Analysis. Am J Occup Ther. 2018 Sep 1;72(5):7205190030p1–7205190030p9.</w:t>
        </w:r>
      </w:hyperlink>
    </w:p>
    <w:p w14:paraId="000000B6"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43. </w:t>
      </w:r>
      <w:r>
        <w:rPr>
          <w:color w:val="000000"/>
          <w:sz w:val="22"/>
          <w:szCs w:val="22"/>
        </w:rPr>
        <w:tab/>
      </w:r>
      <w:hyperlink r:id="rId112">
        <w:r>
          <w:rPr>
            <w:color w:val="000000"/>
            <w:sz w:val="22"/>
            <w:szCs w:val="22"/>
          </w:rPr>
          <w:t>Chacón F, Mora F, Gervás-Ríos A, Gilaberte I. Efficacy of lifestyle interventions in physical health management of patients with severe mental illness. Ann Gen Psychiatry. 2011 Sep 19;10(1):1–10.</w:t>
        </w:r>
      </w:hyperlink>
    </w:p>
    <w:p w14:paraId="000000B7"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44. </w:t>
      </w:r>
      <w:r>
        <w:rPr>
          <w:color w:val="000000"/>
          <w:sz w:val="22"/>
          <w:szCs w:val="22"/>
        </w:rPr>
        <w:tab/>
      </w:r>
      <w:hyperlink r:id="rId113">
        <w:r>
          <w:rPr>
            <w:color w:val="000000"/>
            <w:sz w:val="22"/>
            <w:szCs w:val="22"/>
          </w:rPr>
          <w:t>Henry FJ. Obesity prevention: the key to non-communicable disease control. West Indian Med J. 2011 Jul;60(4):446–51.</w:t>
        </w:r>
      </w:hyperlink>
    </w:p>
    <w:p w14:paraId="000000B8"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45. </w:t>
      </w:r>
      <w:r>
        <w:rPr>
          <w:color w:val="000000"/>
          <w:sz w:val="22"/>
          <w:szCs w:val="22"/>
        </w:rPr>
        <w:tab/>
      </w:r>
      <w:hyperlink r:id="rId114">
        <w:r>
          <w:rPr>
            <w:color w:val="000000"/>
            <w:sz w:val="22"/>
            <w:szCs w:val="22"/>
          </w:rPr>
          <w:t>Ogden CL, Yanovski SZ, Carroll MD, Flegal KM. The epidemiology of obesity. Gastroenterology. 2007 May;132(6):2087–102.</w:t>
        </w:r>
      </w:hyperlink>
    </w:p>
    <w:p w14:paraId="000000B9"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46. </w:t>
      </w:r>
      <w:r>
        <w:rPr>
          <w:color w:val="000000"/>
          <w:sz w:val="22"/>
          <w:szCs w:val="22"/>
        </w:rPr>
        <w:tab/>
      </w:r>
      <w:hyperlink r:id="rId115">
        <w:r>
          <w:rPr>
            <w:color w:val="000000"/>
            <w:sz w:val="22"/>
            <w:szCs w:val="22"/>
          </w:rPr>
          <w:t>Vincze L, Barnes K, Somerville M, Littlewood R, Atkins H, Rogany A, et al. Cultural adaptation of health interventions including a nutrition component in Indigenous peoples: a systematic scoping review. Int J Equity Health. 2021 May 22;20(1):125.</w:t>
        </w:r>
      </w:hyperlink>
    </w:p>
    <w:p w14:paraId="000000BA"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47. </w:t>
      </w:r>
      <w:r>
        <w:rPr>
          <w:color w:val="000000"/>
          <w:sz w:val="22"/>
          <w:szCs w:val="22"/>
        </w:rPr>
        <w:tab/>
      </w:r>
      <w:hyperlink r:id="rId116">
        <w:r>
          <w:rPr>
            <w:color w:val="000000"/>
            <w:sz w:val="22"/>
            <w:szCs w:val="22"/>
          </w:rPr>
          <w:t xml:space="preserve">Malik VS, Willet WC, Hu FB. Nearly a decade on — trends, risk factors and policy implications in </w:t>
        </w:r>
        <w:r>
          <w:rPr>
            <w:color w:val="000000"/>
            <w:sz w:val="22"/>
            <w:szCs w:val="22"/>
          </w:rPr>
          <w:lastRenderedPageBreak/>
          <w:t xml:space="preserve">global obesity [Internet]. Vol. 16, Nature Reviews Endocrinology. 2020. p. 615–6. Available from: </w:t>
        </w:r>
      </w:hyperlink>
      <w:hyperlink r:id="rId117">
        <w:r>
          <w:rPr>
            <w:color w:val="000000"/>
            <w:sz w:val="22"/>
            <w:szCs w:val="22"/>
          </w:rPr>
          <w:t>http://dx.doi.org/10.1038/s41574-020-00411-y</w:t>
        </w:r>
      </w:hyperlink>
    </w:p>
    <w:p w14:paraId="000000BB"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48. </w:t>
      </w:r>
      <w:r>
        <w:rPr>
          <w:color w:val="000000"/>
          <w:sz w:val="22"/>
          <w:szCs w:val="22"/>
        </w:rPr>
        <w:tab/>
      </w:r>
      <w:hyperlink r:id="rId118">
        <w:r>
          <w:rPr>
            <w:color w:val="000000"/>
            <w:sz w:val="22"/>
            <w:szCs w:val="22"/>
          </w:rPr>
          <w:t>Ford ND, Patel SA, Narayan KMV. Obesity in Low- and Middle-Income Countries: Burden, Drivers, and Emerging Challenges. Annu Rev Public Health. 2017 Mar 20;38:145–64.</w:t>
        </w:r>
      </w:hyperlink>
    </w:p>
    <w:p w14:paraId="000000BC"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49. </w:t>
      </w:r>
      <w:r>
        <w:rPr>
          <w:color w:val="000000"/>
          <w:sz w:val="22"/>
          <w:szCs w:val="22"/>
        </w:rPr>
        <w:tab/>
      </w:r>
      <w:hyperlink r:id="rId119">
        <w:r>
          <w:rPr>
            <w:color w:val="000000"/>
            <w:sz w:val="22"/>
            <w:szCs w:val="22"/>
          </w:rPr>
          <w:t xml:space="preserve">Chandel RK, Resident S, Postgraduate Department of psychiatry, Institute of Mental Health and Neuroscience, Mushtaq R, Shoib S. Prevalence of metabolic syndrome in drug naïve bipolar affective disorders- A study from South East Asia (Kashmir) [Internet]. Vol. 2, International Journal of Scientific Research. 2012. p. 395–8. Available from: </w:t>
        </w:r>
      </w:hyperlink>
      <w:hyperlink r:id="rId120">
        <w:r>
          <w:rPr>
            <w:color w:val="000000"/>
            <w:sz w:val="22"/>
            <w:szCs w:val="22"/>
          </w:rPr>
          <w:t>http://dx.doi.org/10.15373/22778179/dec2013/119</w:t>
        </w:r>
      </w:hyperlink>
    </w:p>
    <w:p w14:paraId="000000BD"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50. </w:t>
      </w:r>
      <w:r>
        <w:rPr>
          <w:color w:val="000000"/>
          <w:sz w:val="22"/>
          <w:szCs w:val="22"/>
        </w:rPr>
        <w:tab/>
      </w:r>
      <w:hyperlink r:id="rId121">
        <w:r>
          <w:rPr>
            <w:color w:val="000000"/>
            <w:sz w:val="22"/>
            <w:szCs w:val="22"/>
          </w:rPr>
          <w:t>Kessing LV. Gender differences in the phenomenology of bipolar disorder. Bipolar Disord. 2004 Oct;6(5):421–5.</w:t>
        </w:r>
      </w:hyperlink>
    </w:p>
    <w:p w14:paraId="000000BE"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51. </w:t>
      </w:r>
      <w:r>
        <w:rPr>
          <w:color w:val="000000"/>
          <w:sz w:val="22"/>
          <w:szCs w:val="22"/>
        </w:rPr>
        <w:tab/>
      </w:r>
      <w:hyperlink r:id="rId122">
        <w:r>
          <w:rPr>
            <w:color w:val="000000"/>
            <w:sz w:val="22"/>
            <w:szCs w:val="22"/>
          </w:rPr>
          <w:t>Li Q, Chen D, Liu T, Walss-Bass C, de Quevedo JL, Soares JC, et al. Sex Differences in Body Mass Index and Obesity in Chinese Patients With Chronic Schizophrenia. J Clin Psychopharmacol. 2016 Dec;36(6):643–8.</w:t>
        </w:r>
      </w:hyperlink>
    </w:p>
    <w:p w14:paraId="000000BF"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52. </w:t>
      </w:r>
      <w:r>
        <w:rPr>
          <w:color w:val="000000"/>
          <w:sz w:val="22"/>
          <w:szCs w:val="22"/>
        </w:rPr>
        <w:tab/>
      </w:r>
      <w:hyperlink r:id="rId123">
        <w:r>
          <w:rPr>
            <w:color w:val="000000"/>
            <w:sz w:val="22"/>
            <w:szCs w:val="22"/>
          </w:rPr>
          <w:t>Richardson CR, Faulkner G, McDevitt J, Skrinar GS, Hutchinson DS, Piette JD. Integrating physical activity into mental health services for persons with serious mental illness. Psychiatr Serv. 2005 Mar;56(3):324–31.</w:t>
        </w:r>
      </w:hyperlink>
    </w:p>
    <w:p w14:paraId="000000C0"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53. </w:t>
      </w:r>
      <w:r>
        <w:rPr>
          <w:color w:val="000000"/>
          <w:sz w:val="22"/>
          <w:szCs w:val="22"/>
        </w:rPr>
        <w:tab/>
      </w:r>
      <w:hyperlink r:id="rId124">
        <w:r>
          <w:rPr>
            <w:color w:val="000000"/>
            <w:sz w:val="22"/>
            <w:szCs w:val="22"/>
          </w:rPr>
          <w:t>Pastrana T, Vallath N, Mastrojohn J, Namukwaya E, Kumar S, Radbruch L, et al. Disparities in the contribution of low- and middle-income countries to palliative care research. J Pain Symptom Manage. 2010 Jan;39(1):54–68.</w:t>
        </w:r>
      </w:hyperlink>
    </w:p>
    <w:p w14:paraId="000000C1"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54. </w:t>
      </w:r>
      <w:r>
        <w:rPr>
          <w:color w:val="000000"/>
          <w:sz w:val="22"/>
          <w:szCs w:val="22"/>
        </w:rPr>
        <w:tab/>
      </w:r>
      <w:hyperlink r:id="rId125">
        <w:r>
          <w:rPr>
            <w:color w:val="000000"/>
            <w:sz w:val="22"/>
            <w:szCs w:val="22"/>
          </w:rPr>
          <w:t>Keating EM, Haq H, Rees CA, Dearden KA, Luboga SA, Schutze GE, et al. Global Disparities Between Pediatric Publications and Disease Burden From 2006 to 2015. Glob Pediatr Health. 2019 Feb 25;6:2333794X19831298.</w:t>
        </w:r>
      </w:hyperlink>
    </w:p>
    <w:p w14:paraId="000000C2"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Pr>
          <w:color w:val="000000"/>
          <w:sz w:val="22"/>
          <w:szCs w:val="22"/>
        </w:rPr>
        <w:t xml:space="preserve">55. </w:t>
      </w:r>
      <w:r>
        <w:rPr>
          <w:color w:val="000000"/>
          <w:sz w:val="22"/>
          <w:szCs w:val="22"/>
        </w:rPr>
        <w:tab/>
      </w:r>
      <w:hyperlink r:id="rId126">
        <w:r>
          <w:rPr>
            <w:color w:val="000000"/>
            <w:sz w:val="22"/>
            <w:szCs w:val="22"/>
          </w:rPr>
          <w:t>Rathod S, Pinninti N, Irfan M, Gorczynski P, Rathod P, Gega L, et al. Mental Health Service Provision in Low- and Middle-Income Countries. Health Serv Insights. 2017 Mar 28;10:1178632917694350.</w:t>
        </w:r>
      </w:hyperlink>
    </w:p>
    <w:p w14:paraId="000000C3" w14:textId="77777777" w:rsidR="00D54BEB" w:rsidRDefault="00DD3B20">
      <w:pPr>
        <w:widowControl w:val="0"/>
        <w:pBdr>
          <w:top w:val="nil"/>
          <w:left w:val="nil"/>
          <w:bottom w:val="nil"/>
          <w:right w:val="nil"/>
          <w:between w:val="nil"/>
        </w:pBdr>
        <w:spacing w:after="220" w:line="240" w:lineRule="auto"/>
        <w:ind w:left="440" w:hanging="440"/>
        <w:jc w:val="left"/>
        <w:rPr>
          <w:color w:val="000000"/>
          <w:sz w:val="22"/>
          <w:szCs w:val="22"/>
        </w:rPr>
      </w:pPr>
      <w:r w:rsidRPr="00D66FD5">
        <w:rPr>
          <w:color w:val="000000"/>
          <w:sz w:val="22"/>
          <w:szCs w:val="22"/>
          <w:lang w:val="es-MX"/>
        </w:rPr>
        <w:t xml:space="preserve">56. </w:t>
      </w:r>
      <w:r w:rsidRPr="00D66FD5">
        <w:rPr>
          <w:color w:val="000000"/>
          <w:sz w:val="22"/>
          <w:szCs w:val="22"/>
          <w:lang w:val="es-MX"/>
        </w:rPr>
        <w:tab/>
      </w:r>
      <w:hyperlink r:id="rId127">
        <w:r w:rsidRPr="00D66FD5">
          <w:rPr>
            <w:color w:val="000000"/>
            <w:sz w:val="22"/>
            <w:szCs w:val="22"/>
            <w:lang w:val="es-MX"/>
          </w:rPr>
          <w:t xml:space="preserve">Zavala GA, Haidar A, Prasad-Muliyala K, Aslam F, Huque R, Khalid H, et al. </w:t>
        </w:r>
        <w:r>
          <w:rPr>
            <w:color w:val="000000"/>
            <w:sz w:val="22"/>
            <w:szCs w:val="22"/>
          </w:rPr>
          <w:t xml:space="preserve">The physical health of people with severe mental illness in Bangladesh and Pakistan: A cross-sectional survey [Internet]. Research Square; 2021. Available from: </w:t>
        </w:r>
      </w:hyperlink>
      <w:hyperlink r:id="rId128">
        <w:r>
          <w:rPr>
            <w:color w:val="000000"/>
            <w:sz w:val="22"/>
            <w:szCs w:val="22"/>
          </w:rPr>
          <w:t>https://www.researchsquare.com/article/rs-429162/latest.pdf</w:t>
        </w:r>
      </w:hyperlink>
    </w:p>
    <w:p w14:paraId="26161DEF" w14:textId="77777777" w:rsidR="001350F8" w:rsidRDefault="001350F8">
      <w:pPr>
        <w:rPr>
          <w:b/>
          <w:sz w:val="28"/>
          <w:szCs w:val="28"/>
        </w:rPr>
      </w:pPr>
      <w:bookmarkStart w:id="39" w:name="_bs51xgbk2kgl" w:colFirst="0" w:colLast="0"/>
      <w:bookmarkEnd w:id="39"/>
      <w:r>
        <w:br w:type="page"/>
      </w:r>
    </w:p>
    <w:p w14:paraId="000000C4" w14:textId="02A59A1E" w:rsidR="00D54BEB" w:rsidRDefault="00DD3B20">
      <w:pPr>
        <w:pStyle w:val="Heading1"/>
        <w:widowControl w:val="0"/>
        <w:jc w:val="left"/>
      </w:pPr>
      <w:r>
        <w:lastRenderedPageBreak/>
        <w:t xml:space="preserve">Tables </w:t>
      </w:r>
    </w:p>
    <w:p w14:paraId="000000C5" w14:textId="77777777" w:rsidR="00D54BEB" w:rsidRDefault="00DD3B20">
      <w:r>
        <w:rPr>
          <w:b/>
        </w:rPr>
        <w:t>Table 1.</w:t>
      </w:r>
      <w:r>
        <w:t xml:space="preserve"> Summary of the studies </w:t>
      </w:r>
    </w:p>
    <w:tbl>
      <w:tblPr>
        <w:tblStyle w:val="a"/>
        <w:tblW w:w="706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95"/>
        <w:gridCol w:w="1545"/>
        <w:gridCol w:w="1725"/>
      </w:tblGrid>
      <w:tr w:rsidR="00D54BEB" w14:paraId="3E812EB1" w14:textId="77777777">
        <w:trPr>
          <w:trHeight w:val="113"/>
        </w:trPr>
        <w:tc>
          <w:tcPr>
            <w:tcW w:w="3795" w:type="dxa"/>
            <w:shd w:val="clear" w:color="auto" w:fill="auto"/>
            <w:tcMar>
              <w:top w:w="100" w:type="dxa"/>
              <w:left w:w="100" w:type="dxa"/>
              <w:bottom w:w="100" w:type="dxa"/>
              <w:right w:w="100" w:type="dxa"/>
            </w:tcMar>
          </w:tcPr>
          <w:p w14:paraId="000000C6" w14:textId="77777777" w:rsidR="00D54BEB" w:rsidRDefault="00DD3B20">
            <w:pPr>
              <w:spacing w:line="240" w:lineRule="auto"/>
              <w:rPr>
                <w:b/>
              </w:rPr>
            </w:pPr>
            <w:r>
              <w:rPr>
                <w:b/>
              </w:rPr>
              <w:t xml:space="preserve">Variable </w:t>
            </w:r>
          </w:p>
        </w:tc>
        <w:tc>
          <w:tcPr>
            <w:tcW w:w="1545" w:type="dxa"/>
            <w:shd w:val="clear" w:color="auto" w:fill="auto"/>
            <w:tcMar>
              <w:top w:w="100" w:type="dxa"/>
              <w:left w:w="100" w:type="dxa"/>
              <w:bottom w:w="100" w:type="dxa"/>
              <w:right w:w="100" w:type="dxa"/>
            </w:tcMar>
          </w:tcPr>
          <w:p w14:paraId="000000C7" w14:textId="77777777" w:rsidR="00D54BEB" w:rsidRDefault="00DD3B20">
            <w:pPr>
              <w:spacing w:line="240" w:lineRule="auto"/>
              <w:jc w:val="center"/>
              <w:rPr>
                <w:b/>
              </w:rPr>
            </w:pPr>
            <w:r>
              <w:rPr>
                <w:b/>
              </w:rPr>
              <w:t xml:space="preserve">N  (120) </w:t>
            </w:r>
          </w:p>
        </w:tc>
        <w:tc>
          <w:tcPr>
            <w:tcW w:w="1725" w:type="dxa"/>
            <w:shd w:val="clear" w:color="auto" w:fill="auto"/>
            <w:tcMar>
              <w:top w:w="100" w:type="dxa"/>
              <w:left w:w="100" w:type="dxa"/>
              <w:bottom w:w="100" w:type="dxa"/>
              <w:right w:w="100" w:type="dxa"/>
            </w:tcMar>
          </w:tcPr>
          <w:p w14:paraId="000000C8" w14:textId="77777777" w:rsidR="00D54BEB" w:rsidRDefault="00DD3B20">
            <w:pPr>
              <w:spacing w:line="240" w:lineRule="auto"/>
              <w:jc w:val="center"/>
              <w:rPr>
                <w:b/>
              </w:rPr>
            </w:pPr>
            <w:r>
              <w:rPr>
                <w:b/>
              </w:rPr>
              <w:t>Percentage</w:t>
            </w:r>
          </w:p>
        </w:tc>
      </w:tr>
      <w:tr w:rsidR="00D54BEB" w14:paraId="7CE90D12" w14:textId="77777777">
        <w:trPr>
          <w:trHeight w:val="240"/>
        </w:trPr>
        <w:tc>
          <w:tcPr>
            <w:tcW w:w="3795" w:type="dxa"/>
            <w:shd w:val="clear" w:color="auto" w:fill="auto"/>
            <w:tcMar>
              <w:top w:w="100" w:type="dxa"/>
              <w:left w:w="100" w:type="dxa"/>
              <w:bottom w:w="100" w:type="dxa"/>
              <w:right w:w="100" w:type="dxa"/>
            </w:tcMar>
          </w:tcPr>
          <w:p w14:paraId="000000C9" w14:textId="77777777" w:rsidR="00D54BEB" w:rsidRDefault="00DD3B20">
            <w:pPr>
              <w:spacing w:line="240" w:lineRule="auto"/>
              <w:rPr>
                <w:b/>
              </w:rPr>
            </w:pPr>
            <w:r>
              <w:rPr>
                <w:b/>
              </w:rPr>
              <w:t xml:space="preserve">World Bank classification </w:t>
            </w:r>
          </w:p>
        </w:tc>
        <w:tc>
          <w:tcPr>
            <w:tcW w:w="1545" w:type="dxa"/>
            <w:shd w:val="clear" w:color="auto" w:fill="auto"/>
            <w:tcMar>
              <w:top w:w="100" w:type="dxa"/>
              <w:left w:w="100" w:type="dxa"/>
              <w:bottom w:w="100" w:type="dxa"/>
              <w:right w:w="100" w:type="dxa"/>
            </w:tcMar>
          </w:tcPr>
          <w:p w14:paraId="000000CA" w14:textId="77777777" w:rsidR="00D54BEB" w:rsidRDefault="00D54BEB">
            <w:pPr>
              <w:spacing w:line="240" w:lineRule="auto"/>
              <w:jc w:val="center"/>
            </w:pPr>
          </w:p>
        </w:tc>
        <w:tc>
          <w:tcPr>
            <w:tcW w:w="1725" w:type="dxa"/>
            <w:shd w:val="clear" w:color="auto" w:fill="auto"/>
            <w:tcMar>
              <w:top w:w="100" w:type="dxa"/>
              <w:left w:w="100" w:type="dxa"/>
              <w:bottom w:w="100" w:type="dxa"/>
              <w:right w:w="100" w:type="dxa"/>
            </w:tcMar>
          </w:tcPr>
          <w:p w14:paraId="000000CB" w14:textId="77777777" w:rsidR="00D54BEB" w:rsidRDefault="00D54BEB">
            <w:pPr>
              <w:spacing w:line="240" w:lineRule="auto"/>
              <w:jc w:val="center"/>
            </w:pPr>
          </w:p>
        </w:tc>
      </w:tr>
      <w:tr w:rsidR="00D54BEB" w14:paraId="13A76467" w14:textId="77777777">
        <w:trPr>
          <w:trHeight w:val="4"/>
        </w:trPr>
        <w:tc>
          <w:tcPr>
            <w:tcW w:w="3795" w:type="dxa"/>
            <w:shd w:val="clear" w:color="auto" w:fill="auto"/>
            <w:tcMar>
              <w:top w:w="100" w:type="dxa"/>
              <w:left w:w="100" w:type="dxa"/>
              <w:bottom w:w="100" w:type="dxa"/>
              <w:right w:w="100" w:type="dxa"/>
            </w:tcMar>
          </w:tcPr>
          <w:p w14:paraId="000000CC" w14:textId="77777777" w:rsidR="00D54BEB" w:rsidRDefault="00DD3B20">
            <w:pPr>
              <w:spacing w:line="240" w:lineRule="auto"/>
            </w:pPr>
            <w:r>
              <w:t xml:space="preserve">  HICs</w:t>
            </w:r>
          </w:p>
        </w:tc>
        <w:tc>
          <w:tcPr>
            <w:tcW w:w="1545" w:type="dxa"/>
            <w:shd w:val="clear" w:color="auto" w:fill="auto"/>
            <w:tcMar>
              <w:top w:w="100" w:type="dxa"/>
              <w:left w:w="100" w:type="dxa"/>
              <w:bottom w:w="100" w:type="dxa"/>
              <w:right w:w="100" w:type="dxa"/>
            </w:tcMar>
          </w:tcPr>
          <w:p w14:paraId="000000CD" w14:textId="77777777" w:rsidR="00D54BEB" w:rsidRDefault="00DD3B20">
            <w:pPr>
              <w:spacing w:line="240" w:lineRule="auto"/>
              <w:jc w:val="center"/>
            </w:pPr>
            <w:r>
              <w:t>95</w:t>
            </w:r>
          </w:p>
        </w:tc>
        <w:tc>
          <w:tcPr>
            <w:tcW w:w="1725" w:type="dxa"/>
            <w:shd w:val="clear" w:color="auto" w:fill="auto"/>
            <w:tcMar>
              <w:top w:w="100" w:type="dxa"/>
              <w:left w:w="100" w:type="dxa"/>
              <w:bottom w:w="100" w:type="dxa"/>
              <w:right w:w="100" w:type="dxa"/>
            </w:tcMar>
          </w:tcPr>
          <w:p w14:paraId="000000CE" w14:textId="77777777" w:rsidR="00D54BEB" w:rsidRDefault="00DD3B20">
            <w:pPr>
              <w:spacing w:line="240" w:lineRule="auto"/>
              <w:jc w:val="center"/>
            </w:pPr>
            <w:r>
              <w:t>79.1%</w:t>
            </w:r>
          </w:p>
        </w:tc>
      </w:tr>
      <w:tr w:rsidR="00D54BEB" w14:paraId="17C37672" w14:textId="77777777">
        <w:trPr>
          <w:trHeight w:val="4"/>
        </w:trPr>
        <w:tc>
          <w:tcPr>
            <w:tcW w:w="3795" w:type="dxa"/>
            <w:shd w:val="clear" w:color="auto" w:fill="auto"/>
            <w:tcMar>
              <w:top w:w="100" w:type="dxa"/>
              <w:left w:w="100" w:type="dxa"/>
              <w:bottom w:w="100" w:type="dxa"/>
              <w:right w:w="100" w:type="dxa"/>
            </w:tcMar>
          </w:tcPr>
          <w:p w14:paraId="000000CF" w14:textId="77777777" w:rsidR="00D54BEB" w:rsidRDefault="00DD3B20">
            <w:pPr>
              <w:spacing w:line="240" w:lineRule="auto"/>
            </w:pPr>
            <w:r>
              <w:t xml:space="preserve">  LMICs</w:t>
            </w:r>
          </w:p>
        </w:tc>
        <w:tc>
          <w:tcPr>
            <w:tcW w:w="1545" w:type="dxa"/>
            <w:shd w:val="clear" w:color="auto" w:fill="auto"/>
            <w:tcMar>
              <w:top w:w="100" w:type="dxa"/>
              <w:left w:w="100" w:type="dxa"/>
              <w:bottom w:w="100" w:type="dxa"/>
              <w:right w:w="100" w:type="dxa"/>
            </w:tcMar>
          </w:tcPr>
          <w:p w14:paraId="000000D0" w14:textId="77777777" w:rsidR="00D54BEB" w:rsidRDefault="00DD3B20">
            <w:pPr>
              <w:spacing w:line="240" w:lineRule="auto"/>
              <w:jc w:val="center"/>
            </w:pPr>
            <w:r>
              <w:t xml:space="preserve">25 </w:t>
            </w:r>
          </w:p>
        </w:tc>
        <w:tc>
          <w:tcPr>
            <w:tcW w:w="1725" w:type="dxa"/>
            <w:shd w:val="clear" w:color="auto" w:fill="auto"/>
            <w:tcMar>
              <w:top w:w="100" w:type="dxa"/>
              <w:left w:w="100" w:type="dxa"/>
              <w:bottom w:w="100" w:type="dxa"/>
              <w:right w:w="100" w:type="dxa"/>
            </w:tcMar>
          </w:tcPr>
          <w:p w14:paraId="000000D1" w14:textId="77777777" w:rsidR="00D54BEB" w:rsidRDefault="00DD3B20">
            <w:pPr>
              <w:spacing w:line="240" w:lineRule="auto"/>
              <w:jc w:val="center"/>
            </w:pPr>
            <w:r>
              <w:t>20.1%</w:t>
            </w:r>
          </w:p>
        </w:tc>
      </w:tr>
      <w:tr w:rsidR="00D54BEB" w14:paraId="40A3C1A4" w14:textId="77777777">
        <w:trPr>
          <w:trHeight w:val="113"/>
        </w:trPr>
        <w:tc>
          <w:tcPr>
            <w:tcW w:w="3795" w:type="dxa"/>
            <w:shd w:val="clear" w:color="auto" w:fill="auto"/>
            <w:tcMar>
              <w:top w:w="100" w:type="dxa"/>
              <w:left w:w="100" w:type="dxa"/>
              <w:bottom w:w="100" w:type="dxa"/>
              <w:right w:w="100" w:type="dxa"/>
            </w:tcMar>
          </w:tcPr>
          <w:p w14:paraId="000000D2" w14:textId="77777777" w:rsidR="00D54BEB" w:rsidRDefault="00DD3B20">
            <w:pPr>
              <w:spacing w:line="240" w:lineRule="auto"/>
              <w:rPr>
                <w:b/>
              </w:rPr>
            </w:pPr>
            <w:r>
              <w:rPr>
                <w:b/>
              </w:rPr>
              <w:t xml:space="preserve">World Bank region </w:t>
            </w:r>
          </w:p>
        </w:tc>
        <w:tc>
          <w:tcPr>
            <w:tcW w:w="1545" w:type="dxa"/>
            <w:shd w:val="clear" w:color="auto" w:fill="auto"/>
            <w:tcMar>
              <w:top w:w="100" w:type="dxa"/>
              <w:left w:w="100" w:type="dxa"/>
              <w:bottom w:w="100" w:type="dxa"/>
              <w:right w:w="100" w:type="dxa"/>
            </w:tcMar>
          </w:tcPr>
          <w:p w14:paraId="000000D3" w14:textId="77777777" w:rsidR="00D54BEB" w:rsidRDefault="00D54BEB">
            <w:pPr>
              <w:spacing w:line="240" w:lineRule="auto"/>
              <w:jc w:val="center"/>
            </w:pPr>
          </w:p>
        </w:tc>
        <w:tc>
          <w:tcPr>
            <w:tcW w:w="1725" w:type="dxa"/>
            <w:shd w:val="clear" w:color="auto" w:fill="auto"/>
            <w:tcMar>
              <w:top w:w="100" w:type="dxa"/>
              <w:left w:w="100" w:type="dxa"/>
              <w:bottom w:w="100" w:type="dxa"/>
              <w:right w:w="100" w:type="dxa"/>
            </w:tcMar>
          </w:tcPr>
          <w:p w14:paraId="000000D4" w14:textId="77777777" w:rsidR="00D54BEB" w:rsidRDefault="00D54BEB">
            <w:pPr>
              <w:spacing w:line="240" w:lineRule="auto"/>
              <w:jc w:val="center"/>
            </w:pPr>
          </w:p>
        </w:tc>
      </w:tr>
      <w:tr w:rsidR="00D54BEB" w14:paraId="65487C54" w14:textId="77777777">
        <w:trPr>
          <w:trHeight w:val="113"/>
        </w:trPr>
        <w:tc>
          <w:tcPr>
            <w:tcW w:w="3795" w:type="dxa"/>
            <w:shd w:val="clear" w:color="auto" w:fill="auto"/>
            <w:tcMar>
              <w:top w:w="100" w:type="dxa"/>
              <w:left w:w="100" w:type="dxa"/>
              <w:bottom w:w="100" w:type="dxa"/>
              <w:right w:w="100" w:type="dxa"/>
            </w:tcMar>
          </w:tcPr>
          <w:p w14:paraId="000000D5" w14:textId="77777777" w:rsidR="00D54BEB" w:rsidRDefault="00DD3B20">
            <w:pPr>
              <w:spacing w:line="240" w:lineRule="auto"/>
            </w:pPr>
            <w:r>
              <w:t xml:space="preserve"> Sub Saharan Africa </w:t>
            </w:r>
          </w:p>
        </w:tc>
        <w:tc>
          <w:tcPr>
            <w:tcW w:w="1545" w:type="dxa"/>
            <w:shd w:val="clear" w:color="auto" w:fill="auto"/>
            <w:tcMar>
              <w:top w:w="100" w:type="dxa"/>
              <w:left w:w="100" w:type="dxa"/>
              <w:bottom w:w="100" w:type="dxa"/>
              <w:right w:w="100" w:type="dxa"/>
            </w:tcMar>
          </w:tcPr>
          <w:p w14:paraId="000000D6" w14:textId="77777777" w:rsidR="00D54BEB" w:rsidRDefault="00DD3B20">
            <w:pPr>
              <w:spacing w:line="240" w:lineRule="auto"/>
              <w:jc w:val="center"/>
            </w:pPr>
            <w:r>
              <w:t xml:space="preserve">3 </w:t>
            </w:r>
          </w:p>
        </w:tc>
        <w:tc>
          <w:tcPr>
            <w:tcW w:w="1725" w:type="dxa"/>
            <w:shd w:val="clear" w:color="auto" w:fill="auto"/>
            <w:tcMar>
              <w:top w:w="100" w:type="dxa"/>
              <w:left w:w="100" w:type="dxa"/>
              <w:bottom w:w="100" w:type="dxa"/>
              <w:right w:w="100" w:type="dxa"/>
            </w:tcMar>
          </w:tcPr>
          <w:p w14:paraId="000000D7" w14:textId="77777777" w:rsidR="00D54BEB" w:rsidRDefault="00DD3B20">
            <w:pPr>
              <w:spacing w:line="240" w:lineRule="auto"/>
              <w:jc w:val="center"/>
            </w:pPr>
            <w:r>
              <w:t>2.4%</w:t>
            </w:r>
          </w:p>
        </w:tc>
      </w:tr>
      <w:tr w:rsidR="00D54BEB" w14:paraId="28D694DC" w14:textId="77777777">
        <w:tc>
          <w:tcPr>
            <w:tcW w:w="3795" w:type="dxa"/>
            <w:shd w:val="clear" w:color="auto" w:fill="auto"/>
            <w:tcMar>
              <w:top w:w="100" w:type="dxa"/>
              <w:left w:w="100" w:type="dxa"/>
              <w:bottom w:w="100" w:type="dxa"/>
              <w:right w:w="100" w:type="dxa"/>
            </w:tcMar>
          </w:tcPr>
          <w:p w14:paraId="000000D8" w14:textId="77777777" w:rsidR="00D54BEB" w:rsidRDefault="00DD3B20">
            <w:pPr>
              <w:spacing w:line="240" w:lineRule="auto"/>
            </w:pPr>
            <w:r>
              <w:t xml:space="preserve">  East Asia and Pacific</w:t>
            </w:r>
          </w:p>
        </w:tc>
        <w:tc>
          <w:tcPr>
            <w:tcW w:w="1545" w:type="dxa"/>
            <w:shd w:val="clear" w:color="auto" w:fill="auto"/>
            <w:tcMar>
              <w:top w:w="100" w:type="dxa"/>
              <w:left w:w="100" w:type="dxa"/>
              <w:bottom w:w="100" w:type="dxa"/>
              <w:right w:w="100" w:type="dxa"/>
            </w:tcMar>
          </w:tcPr>
          <w:p w14:paraId="000000D9" w14:textId="77777777" w:rsidR="00D54BEB" w:rsidRDefault="00DD3B20">
            <w:pPr>
              <w:spacing w:line="240" w:lineRule="auto"/>
              <w:jc w:val="center"/>
            </w:pPr>
            <w:r>
              <w:t xml:space="preserve">32 </w:t>
            </w:r>
          </w:p>
        </w:tc>
        <w:tc>
          <w:tcPr>
            <w:tcW w:w="1725" w:type="dxa"/>
            <w:shd w:val="clear" w:color="auto" w:fill="auto"/>
            <w:tcMar>
              <w:top w:w="100" w:type="dxa"/>
              <w:left w:w="100" w:type="dxa"/>
              <w:bottom w:w="100" w:type="dxa"/>
              <w:right w:w="100" w:type="dxa"/>
            </w:tcMar>
          </w:tcPr>
          <w:p w14:paraId="000000DA" w14:textId="77777777" w:rsidR="00D54BEB" w:rsidRDefault="00DD3B20">
            <w:pPr>
              <w:spacing w:line="240" w:lineRule="auto"/>
              <w:jc w:val="center"/>
            </w:pPr>
            <w:r>
              <w:t>25.8%</w:t>
            </w:r>
          </w:p>
        </w:tc>
      </w:tr>
      <w:tr w:rsidR="00D54BEB" w14:paraId="4B197671" w14:textId="77777777">
        <w:trPr>
          <w:trHeight w:val="113"/>
        </w:trPr>
        <w:tc>
          <w:tcPr>
            <w:tcW w:w="3795" w:type="dxa"/>
            <w:shd w:val="clear" w:color="auto" w:fill="auto"/>
            <w:tcMar>
              <w:top w:w="100" w:type="dxa"/>
              <w:left w:w="100" w:type="dxa"/>
              <w:bottom w:w="100" w:type="dxa"/>
              <w:right w:w="100" w:type="dxa"/>
            </w:tcMar>
          </w:tcPr>
          <w:p w14:paraId="000000DB" w14:textId="77777777" w:rsidR="00D54BEB" w:rsidRDefault="00DD3B20">
            <w:pPr>
              <w:spacing w:line="240" w:lineRule="auto"/>
            </w:pPr>
            <w:r>
              <w:t xml:space="preserve">  North America</w:t>
            </w:r>
          </w:p>
        </w:tc>
        <w:tc>
          <w:tcPr>
            <w:tcW w:w="1545" w:type="dxa"/>
            <w:shd w:val="clear" w:color="auto" w:fill="auto"/>
            <w:tcMar>
              <w:top w:w="100" w:type="dxa"/>
              <w:left w:w="100" w:type="dxa"/>
              <w:bottom w:w="100" w:type="dxa"/>
              <w:right w:w="100" w:type="dxa"/>
            </w:tcMar>
          </w:tcPr>
          <w:p w14:paraId="000000DC" w14:textId="77777777" w:rsidR="00D54BEB" w:rsidRDefault="00DD3B20">
            <w:pPr>
              <w:spacing w:line="240" w:lineRule="auto"/>
              <w:jc w:val="center"/>
            </w:pPr>
            <w:r>
              <w:t>31</w:t>
            </w:r>
          </w:p>
        </w:tc>
        <w:tc>
          <w:tcPr>
            <w:tcW w:w="1725" w:type="dxa"/>
            <w:shd w:val="clear" w:color="auto" w:fill="auto"/>
            <w:tcMar>
              <w:top w:w="100" w:type="dxa"/>
              <w:left w:w="100" w:type="dxa"/>
              <w:bottom w:w="100" w:type="dxa"/>
              <w:right w:w="100" w:type="dxa"/>
            </w:tcMar>
          </w:tcPr>
          <w:p w14:paraId="000000DD" w14:textId="77777777" w:rsidR="00D54BEB" w:rsidRDefault="00DD3B20">
            <w:pPr>
              <w:spacing w:line="240" w:lineRule="auto"/>
              <w:jc w:val="center"/>
            </w:pPr>
            <w:r>
              <w:t>25%</w:t>
            </w:r>
          </w:p>
        </w:tc>
      </w:tr>
      <w:tr w:rsidR="00D54BEB" w14:paraId="2AE1A192" w14:textId="77777777">
        <w:trPr>
          <w:trHeight w:val="113"/>
        </w:trPr>
        <w:tc>
          <w:tcPr>
            <w:tcW w:w="3795" w:type="dxa"/>
            <w:shd w:val="clear" w:color="auto" w:fill="auto"/>
            <w:tcMar>
              <w:top w:w="100" w:type="dxa"/>
              <w:left w:w="100" w:type="dxa"/>
              <w:bottom w:w="100" w:type="dxa"/>
              <w:right w:w="100" w:type="dxa"/>
            </w:tcMar>
          </w:tcPr>
          <w:p w14:paraId="000000DE" w14:textId="77777777" w:rsidR="00D54BEB" w:rsidRDefault="00DD3B20">
            <w:pPr>
              <w:spacing w:line="240" w:lineRule="auto"/>
            </w:pPr>
            <w:r>
              <w:t xml:space="preserve">  Europe and Central Asia</w:t>
            </w:r>
          </w:p>
        </w:tc>
        <w:tc>
          <w:tcPr>
            <w:tcW w:w="1545" w:type="dxa"/>
            <w:shd w:val="clear" w:color="auto" w:fill="auto"/>
            <w:tcMar>
              <w:top w:w="100" w:type="dxa"/>
              <w:left w:w="100" w:type="dxa"/>
              <w:bottom w:w="100" w:type="dxa"/>
              <w:right w:w="100" w:type="dxa"/>
            </w:tcMar>
          </w:tcPr>
          <w:p w14:paraId="000000DF" w14:textId="77777777" w:rsidR="00D54BEB" w:rsidRDefault="00DD3B20">
            <w:pPr>
              <w:spacing w:line="240" w:lineRule="auto"/>
              <w:jc w:val="center"/>
            </w:pPr>
            <w:r>
              <w:t>45</w:t>
            </w:r>
          </w:p>
        </w:tc>
        <w:tc>
          <w:tcPr>
            <w:tcW w:w="1725" w:type="dxa"/>
            <w:shd w:val="clear" w:color="auto" w:fill="auto"/>
            <w:tcMar>
              <w:top w:w="100" w:type="dxa"/>
              <w:left w:w="100" w:type="dxa"/>
              <w:bottom w:w="100" w:type="dxa"/>
              <w:right w:w="100" w:type="dxa"/>
            </w:tcMar>
          </w:tcPr>
          <w:p w14:paraId="000000E0" w14:textId="77777777" w:rsidR="00D54BEB" w:rsidRDefault="00DD3B20">
            <w:pPr>
              <w:spacing w:line="240" w:lineRule="auto"/>
              <w:jc w:val="center"/>
            </w:pPr>
            <w:r>
              <w:t>36.3%</w:t>
            </w:r>
          </w:p>
        </w:tc>
      </w:tr>
      <w:tr w:rsidR="00D54BEB" w14:paraId="2D0033AF" w14:textId="77777777">
        <w:trPr>
          <w:trHeight w:val="113"/>
        </w:trPr>
        <w:tc>
          <w:tcPr>
            <w:tcW w:w="3795" w:type="dxa"/>
            <w:shd w:val="clear" w:color="auto" w:fill="auto"/>
            <w:tcMar>
              <w:top w:w="100" w:type="dxa"/>
              <w:left w:w="100" w:type="dxa"/>
              <w:bottom w:w="100" w:type="dxa"/>
              <w:right w:w="100" w:type="dxa"/>
            </w:tcMar>
          </w:tcPr>
          <w:p w14:paraId="000000E1" w14:textId="77777777" w:rsidR="00D54BEB" w:rsidRDefault="00DD3B20">
            <w:pPr>
              <w:spacing w:line="240" w:lineRule="auto"/>
            </w:pPr>
            <w:r>
              <w:t xml:space="preserve">  South Asia</w:t>
            </w:r>
          </w:p>
        </w:tc>
        <w:tc>
          <w:tcPr>
            <w:tcW w:w="1545" w:type="dxa"/>
            <w:shd w:val="clear" w:color="auto" w:fill="auto"/>
            <w:tcMar>
              <w:top w:w="100" w:type="dxa"/>
              <w:left w:w="100" w:type="dxa"/>
              <w:bottom w:w="100" w:type="dxa"/>
              <w:right w:w="100" w:type="dxa"/>
            </w:tcMar>
          </w:tcPr>
          <w:p w14:paraId="000000E2" w14:textId="77777777" w:rsidR="00D54BEB" w:rsidRDefault="00DD3B20">
            <w:pPr>
              <w:spacing w:line="240" w:lineRule="auto"/>
              <w:jc w:val="center"/>
            </w:pPr>
            <w:r>
              <w:t xml:space="preserve">5 </w:t>
            </w:r>
          </w:p>
        </w:tc>
        <w:tc>
          <w:tcPr>
            <w:tcW w:w="1725" w:type="dxa"/>
            <w:shd w:val="clear" w:color="auto" w:fill="auto"/>
            <w:tcMar>
              <w:top w:w="100" w:type="dxa"/>
              <w:left w:w="100" w:type="dxa"/>
              <w:bottom w:w="100" w:type="dxa"/>
              <w:right w:w="100" w:type="dxa"/>
            </w:tcMar>
          </w:tcPr>
          <w:p w14:paraId="000000E3" w14:textId="77777777" w:rsidR="00D54BEB" w:rsidRDefault="00DD3B20">
            <w:pPr>
              <w:spacing w:line="240" w:lineRule="auto"/>
              <w:jc w:val="center"/>
            </w:pPr>
            <w:r>
              <w:t>4.0%</w:t>
            </w:r>
          </w:p>
        </w:tc>
      </w:tr>
      <w:tr w:rsidR="00D54BEB" w14:paraId="7BCB8BA6" w14:textId="77777777">
        <w:trPr>
          <w:trHeight w:val="113"/>
        </w:trPr>
        <w:tc>
          <w:tcPr>
            <w:tcW w:w="3795" w:type="dxa"/>
            <w:shd w:val="clear" w:color="auto" w:fill="auto"/>
            <w:tcMar>
              <w:top w:w="100" w:type="dxa"/>
              <w:left w:w="100" w:type="dxa"/>
              <w:bottom w:w="100" w:type="dxa"/>
              <w:right w:w="100" w:type="dxa"/>
            </w:tcMar>
          </w:tcPr>
          <w:p w14:paraId="000000E4" w14:textId="77777777" w:rsidR="00D54BEB" w:rsidRDefault="00DD3B20">
            <w:pPr>
              <w:spacing w:line="240" w:lineRule="auto"/>
            </w:pPr>
            <w:r>
              <w:t xml:space="preserve">  Middle East and North Africa</w:t>
            </w:r>
          </w:p>
        </w:tc>
        <w:tc>
          <w:tcPr>
            <w:tcW w:w="1545" w:type="dxa"/>
            <w:shd w:val="clear" w:color="auto" w:fill="auto"/>
            <w:tcMar>
              <w:top w:w="100" w:type="dxa"/>
              <w:left w:w="100" w:type="dxa"/>
              <w:bottom w:w="100" w:type="dxa"/>
              <w:right w:w="100" w:type="dxa"/>
            </w:tcMar>
          </w:tcPr>
          <w:p w14:paraId="000000E5" w14:textId="77777777" w:rsidR="00D54BEB" w:rsidRDefault="00DD3B20">
            <w:pPr>
              <w:spacing w:line="240" w:lineRule="auto"/>
              <w:jc w:val="center"/>
            </w:pPr>
            <w:r>
              <w:t xml:space="preserve">2 </w:t>
            </w:r>
          </w:p>
        </w:tc>
        <w:tc>
          <w:tcPr>
            <w:tcW w:w="1725" w:type="dxa"/>
            <w:shd w:val="clear" w:color="auto" w:fill="auto"/>
            <w:tcMar>
              <w:top w:w="100" w:type="dxa"/>
              <w:left w:w="100" w:type="dxa"/>
              <w:bottom w:w="100" w:type="dxa"/>
              <w:right w:w="100" w:type="dxa"/>
            </w:tcMar>
          </w:tcPr>
          <w:p w14:paraId="000000E6" w14:textId="77777777" w:rsidR="00D54BEB" w:rsidRDefault="00DD3B20">
            <w:pPr>
              <w:spacing w:line="240" w:lineRule="auto"/>
              <w:jc w:val="center"/>
            </w:pPr>
            <w:r>
              <w:t>1.6%</w:t>
            </w:r>
          </w:p>
        </w:tc>
      </w:tr>
      <w:tr w:rsidR="00D54BEB" w14:paraId="4AB95FA8" w14:textId="77777777">
        <w:trPr>
          <w:trHeight w:val="113"/>
        </w:trPr>
        <w:tc>
          <w:tcPr>
            <w:tcW w:w="3795" w:type="dxa"/>
            <w:shd w:val="clear" w:color="auto" w:fill="auto"/>
            <w:tcMar>
              <w:top w:w="100" w:type="dxa"/>
              <w:left w:w="100" w:type="dxa"/>
              <w:bottom w:w="100" w:type="dxa"/>
              <w:right w:w="100" w:type="dxa"/>
            </w:tcMar>
          </w:tcPr>
          <w:p w14:paraId="000000E7" w14:textId="77777777" w:rsidR="00D54BEB" w:rsidRDefault="00DD3B20">
            <w:pPr>
              <w:spacing w:line="240" w:lineRule="auto"/>
            </w:pPr>
            <w:r>
              <w:t xml:space="preserve">  Latin America and Caribbean</w:t>
            </w:r>
          </w:p>
        </w:tc>
        <w:tc>
          <w:tcPr>
            <w:tcW w:w="1545" w:type="dxa"/>
            <w:shd w:val="clear" w:color="auto" w:fill="auto"/>
            <w:tcMar>
              <w:top w:w="100" w:type="dxa"/>
              <w:left w:w="100" w:type="dxa"/>
              <w:bottom w:w="100" w:type="dxa"/>
              <w:right w:w="100" w:type="dxa"/>
            </w:tcMar>
          </w:tcPr>
          <w:p w14:paraId="000000E8" w14:textId="77777777" w:rsidR="00D54BEB" w:rsidRDefault="00DD3B20">
            <w:pPr>
              <w:spacing w:line="240" w:lineRule="auto"/>
              <w:jc w:val="center"/>
            </w:pPr>
            <w:r>
              <w:t>6</w:t>
            </w:r>
          </w:p>
        </w:tc>
        <w:tc>
          <w:tcPr>
            <w:tcW w:w="1725" w:type="dxa"/>
            <w:shd w:val="clear" w:color="auto" w:fill="auto"/>
            <w:tcMar>
              <w:top w:w="100" w:type="dxa"/>
              <w:left w:w="100" w:type="dxa"/>
              <w:bottom w:w="100" w:type="dxa"/>
              <w:right w:w="100" w:type="dxa"/>
            </w:tcMar>
          </w:tcPr>
          <w:p w14:paraId="000000E9" w14:textId="77777777" w:rsidR="00D54BEB" w:rsidRDefault="00DD3B20">
            <w:pPr>
              <w:spacing w:line="240" w:lineRule="auto"/>
              <w:jc w:val="center"/>
            </w:pPr>
            <w:r>
              <w:t>4.8%</w:t>
            </w:r>
          </w:p>
        </w:tc>
      </w:tr>
      <w:tr w:rsidR="00D54BEB" w14:paraId="44978FB7" w14:textId="77777777">
        <w:trPr>
          <w:trHeight w:val="113"/>
        </w:trPr>
        <w:tc>
          <w:tcPr>
            <w:tcW w:w="3795" w:type="dxa"/>
            <w:shd w:val="clear" w:color="auto" w:fill="auto"/>
            <w:tcMar>
              <w:top w:w="100" w:type="dxa"/>
              <w:left w:w="100" w:type="dxa"/>
              <w:bottom w:w="100" w:type="dxa"/>
              <w:right w:w="100" w:type="dxa"/>
            </w:tcMar>
          </w:tcPr>
          <w:p w14:paraId="000000EA" w14:textId="77777777" w:rsidR="00D54BEB" w:rsidRDefault="00DD3B20">
            <w:pPr>
              <w:spacing w:line="240" w:lineRule="auto"/>
              <w:rPr>
                <w:b/>
              </w:rPr>
            </w:pPr>
            <w:r>
              <w:rPr>
                <w:b/>
              </w:rPr>
              <w:t>Type of SMI</w:t>
            </w:r>
          </w:p>
        </w:tc>
        <w:tc>
          <w:tcPr>
            <w:tcW w:w="1545" w:type="dxa"/>
            <w:shd w:val="clear" w:color="auto" w:fill="auto"/>
            <w:tcMar>
              <w:top w:w="100" w:type="dxa"/>
              <w:left w:w="100" w:type="dxa"/>
              <w:bottom w:w="100" w:type="dxa"/>
              <w:right w:w="100" w:type="dxa"/>
            </w:tcMar>
          </w:tcPr>
          <w:p w14:paraId="000000EB" w14:textId="77777777" w:rsidR="00D54BEB" w:rsidRDefault="00D54BEB">
            <w:pPr>
              <w:spacing w:line="240" w:lineRule="auto"/>
              <w:jc w:val="center"/>
            </w:pPr>
          </w:p>
        </w:tc>
        <w:tc>
          <w:tcPr>
            <w:tcW w:w="1725" w:type="dxa"/>
            <w:shd w:val="clear" w:color="auto" w:fill="auto"/>
            <w:tcMar>
              <w:top w:w="100" w:type="dxa"/>
              <w:left w:w="100" w:type="dxa"/>
              <w:bottom w:w="100" w:type="dxa"/>
              <w:right w:w="100" w:type="dxa"/>
            </w:tcMar>
          </w:tcPr>
          <w:p w14:paraId="000000EC" w14:textId="77777777" w:rsidR="00D54BEB" w:rsidRDefault="00D54BEB">
            <w:pPr>
              <w:spacing w:line="240" w:lineRule="auto"/>
              <w:jc w:val="center"/>
            </w:pPr>
          </w:p>
        </w:tc>
      </w:tr>
      <w:tr w:rsidR="00D54BEB" w14:paraId="0571379A" w14:textId="77777777">
        <w:trPr>
          <w:trHeight w:val="113"/>
        </w:trPr>
        <w:tc>
          <w:tcPr>
            <w:tcW w:w="3795" w:type="dxa"/>
            <w:shd w:val="clear" w:color="auto" w:fill="auto"/>
            <w:tcMar>
              <w:top w:w="100" w:type="dxa"/>
              <w:left w:w="100" w:type="dxa"/>
              <w:bottom w:w="100" w:type="dxa"/>
              <w:right w:w="100" w:type="dxa"/>
            </w:tcMar>
          </w:tcPr>
          <w:p w14:paraId="000000ED" w14:textId="77777777" w:rsidR="00D54BEB" w:rsidRDefault="00DD3B20">
            <w:pPr>
              <w:spacing w:line="240" w:lineRule="auto"/>
              <w:rPr>
                <w:b/>
              </w:rPr>
            </w:pPr>
            <w:r>
              <w:t xml:space="preserve">  Any SMI</w:t>
            </w:r>
            <w:r>
              <w:rPr>
                <w:b/>
                <w:vertAlign w:val="superscript"/>
              </w:rPr>
              <w:t>1</w:t>
            </w:r>
            <w:r>
              <w:t xml:space="preserve"> </w:t>
            </w:r>
          </w:p>
        </w:tc>
        <w:tc>
          <w:tcPr>
            <w:tcW w:w="1545" w:type="dxa"/>
            <w:shd w:val="clear" w:color="auto" w:fill="auto"/>
            <w:tcMar>
              <w:top w:w="100" w:type="dxa"/>
              <w:left w:w="100" w:type="dxa"/>
              <w:bottom w:w="100" w:type="dxa"/>
              <w:right w:w="100" w:type="dxa"/>
            </w:tcMar>
          </w:tcPr>
          <w:p w14:paraId="000000EE" w14:textId="77777777" w:rsidR="00D54BEB" w:rsidRDefault="00DD3B20">
            <w:pPr>
              <w:spacing w:line="240" w:lineRule="auto"/>
              <w:jc w:val="center"/>
            </w:pPr>
            <w:r>
              <w:t>27</w:t>
            </w:r>
          </w:p>
        </w:tc>
        <w:tc>
          <w:tcPr>
            <w:tcW w:w="1725" w:type="dxa"/>
            <w:shd w:val="clear" w:color="auto" w:fill="auto"/>
            <w:tcMar>
              <w:top w:w="100" w:type="dxa"/>
              <w:left w:w="100" w:type="dxa"/>
              <w:bottom w:w="100" w:type="dxa"/>
              <w:right w:w="100" w:type="dxa"/>
            </w:tcMar>
          </w:tcPr>
          <w:p w14:paraId="000000EF" w14:textId="77777777" w:rsidR="00D54BEB" w:rsidRDefault="00DD3B20">
            <w:pPr>
              <w:spacing w:line="240" w:lineRule="auto"/>
              <w:jc w:val="center"/>
            </w:pPr>
            <w:r>
              <w:t>22.5%</w:t>
            </w:r>
          </w:p>
        </w:tc>
      </w:tr>
      <w:tr w:rsidR="00D54BEB" w14:paraId="636EB36F" w14:textId="77777777">
        <w:trPr>
          <w:trHeight w:val="113"/>
        </w:trPr>
        <w:tc>
          <w:tcPr>
            <w:tcW w:w="3795" w:type="dxa"/>
            <w:shd w:val="clear" w:color="auto" w:fill="auto"/>
            <w:tcMar>
              <w:top w:w="100" w:type="dxa"/>
              <w:left w:w="100" w:type="dxa"/>
              <w:bottom w:w="100" w:type="dxa"/>
              <w:right w:w="100" w:type="dxa"/>
            </w:tcMar>
          </w:tcPr>
          <w:p w14:paraId="000000F0" w14:textId="77777777" w:rsidR="00D54BEB" w:rsidRDefault="00DD3B20">
            <w:pPr>
              <w:spacing w:line="240" w:lineRule="auto"/>
            </w:pPr>
            <w:r>
              <w:t xml:space="preserve">  Schizophrenia</w:t>
            </w:r>
            <w:r>
              <w:rPr>
                <w:b/>
                <w:vertAlign w:val="superscript"/>
              </w:rPr>
              <w:t>2</w:t>
            </w:r>
            <w:r>
              <w:t xml:space="preserve"> </w:t>
            </w:r>
          </w:p>
        </w:tc>
        <w:tc>
          <w:tcPr>
            <w:tcW w:w="1545" w:type="dxa"/>
            <w:shd w:val="clear" w:color="auto" w:fill="auto"/>
            <w:tcMar>
              <w:top w:w="100" w:type="dxa"/>
              <w:left w:w="100" w:type="dxa"/>
              <w:bottom w:w="100" w:type="dxa"/>
              <w:right w:w="100" w:type="dxa"/>
            </w:tcMar>
          </w:tcPr>
          <w:p w14:paraId="000000F1" w14:textId="77777777" w:rsidR="00D54BEB" w:rsidRDefault="00DD3B20">
            <w:pPr>
              <w:spacing w:line="240" w:lineRule="auto"/>
              <w:jc w:val="center"/>
            </w:pPr>
            <w:r>
              <w:t>71</w:t>
            </w:r>
          </w:p>
        </w:tc>
        <w:tc>
          <w:tcPr>
            <w:tcW w:w="1725" w:type="dxa"/>
            <w:shd w:val="clear" w:color="auto" w:fill="auto"/>
            <w:tcMar>
              <w:top w:w="100" w:type="dxa"/>
              <w:left w:w="100" w:type="dxa"/>
              <w:bottom w:w="100" w:type="dxa"/>
              <w:right w:w="100" w:type="dxa"/>
            </w:tcMar>
          </w:tcPr>
          <w:p w14:paraId="000000F2" w14:textId="77777777" w:rsidR="00D54BEB" w:rsidRDefault="00DD3B20">
            <w:pPr>
              <w:spacing w:line="240" w:lineRule="auto"/>
              <w:jc w:val="center"/>
            </w:pPr>
            <w:r>
              <w:t>59.1%</w:t>
            </w:r>
          </w:p>
        </w:tc>
      </w:tr>
      <w:tr w:rsidR="00D54BEB" w14:paraId="28E694C6" w14:textId="77777777">
        <w:trPr>
          <w:trHeight w:val="113"/>
        </w:trPr>
        <w:tc>
          <w:tcPr>
            <w:tcW w:w="3795" w:type="dxa"/>
            <w:shd w:val="clear" w:color="auto" w:fill="auto"/>
            <w:tcMar>
              <w:top w:w="100" w:type="dxa"/>
              <w:left w:w="100" w:type="dxa"/>
              <w:bottom w:w="100" w:type="dxa"/>
              <w:right w:w="100" w:type="dxa"/>
            </w:tcMar>
          </w:tcPr>
          <w:p w14:paraId="000000F3" w14:textId="77777777" w:rsidR="00D54BEB" w:rsidRDefault="00DD3B20">
            <w:pPr>
              <w:spacing w:line="240" w:lineRule="auto"/>
            </w:pPr>
            <w:r>
              <w:t xml:space="preserve">  Bipolar Disorder </w:t>
            </w:r>
          </w:p>
        </w:tc>
        <w:tc>
          <w:tcPr>
            <w:tcW w:w="1545" w:type="dxa"/>
            <w:shd w:val="clear" w:color="auto" w:fill="auto"/>
            <w:tcMar>
              <w:top w:w="100" w:type="dxa"/>
              <w:left w:w="100" w:type="dxa"/>
              <w:bottom w:w="100" w:type="dxa"/>
              <w:right w:w="100" w:type="dxa"/>
            </w:tcMar>
          </w:tcPr>
          <w:p w14:paraId="000000F4" w14:textId="77777777" w:rsidR="00D54BEB" w:rsidRDefault="00DD3B20">
            <w:pPr>
              <w:spacing w:line="240" w:lineRule="auto"/>
              <w:jc w:val="center"/>
            </w:pPr>
            <w:r>
              <w:t>22</w:t>
            </w:r>
          </w:p>
        </w:tc>
        <w:tc>
          <w:tcPr>
            <w:tcW w:w="1725" w:type="dxa"/>
            <w:shd w:val="clear" w:color="auto" w:fill="auto"/>
            <w:tcMar>
              <w:top w:w="100" w:type="dxa"/>
              <w:left w:w="100" w:type="dxa"/>
              <w:bottom w:w="100" w:type="dxa"/>
              <w:right w:w="100" w:type="dxa"/>
            </w:tcMar>
          </w:tcPr>
          <w:p w14:paraId="000000F5" w14:textId="77777777" w:rsidR="00D54BEB" w:rsidRDefault="00DD3B20">
            <w:pPr>
              <w:spacing w:line="240" w:lineRule="auto"/>
              <w:jc w:val="center"/>
            </w:pPr>
            <w:r>
              <w:t>18.3%</w:t>
            </w:r>
          </w:p>
        </w:tc>
      </w:tr>
      <w:tr w:rsidR="00D54BEB" w14:paraId="30E6358A" w14:textId="77777777">
        <w:trPr>
          <w:trHeight w:val="113"/>
        </w:trPr>
        <w:tc>
          <w:tcPr>
            <w:tcW w:w="3795" w:type="dxa"/>
            <w:shd w:val="clear" w:color="auto" w:fill="auto"/>
            <w:tcMar>
              <w:top w:w="100" w:type="dxa"/>
              <w:left w:w="100" w:type="dxa"/>
              <w:bottom w:w="100" w:type="dxa"/>
              <w:right w:w="100" w:type="dxa"/>
            </w:tcMar>
          </w:tcPr>
          <w:p w14:paraId="000000F6" w14:textId="77777777" w:rsidR="00D54BEB" w:rsidRDefault="00DD3B20">
            <w:pPr>
              <w:spacing w:line="240" w:lineRule="auto"/>
              <w:rPr>
                <w:b/>
                <w:vertAlign w:val="superscript"/>
              </w:rPr>
            </w:pPr>
            <w:r>
              <w:rPr>
                <w:b/>
              </w:rPr>
              <w:t>Setting</w:t>
            </w:r>
          </w:p>
        </w:tc>
        <w:tc>
          <w:tcPr>
            <w:tcW w:w="1545" w:type="dxa"/>
            <w:shd w:val="clear" w:color="auto" w:fill="auto"/>
            <w:tcMar>
              <w:top w:w="100" w:type="dxa"/>
              <w:left w:w="100" w:type="dxa"/>
              <w:bottom w:w="100" w:type="dxa"/>
              <w:right w:w="100" w:type="dxa"/>
            </w:tcMar>
          </w:tcPr>
          <w:p w14:paraId="000000F7" w14:textId="77777777" w:rsidR="00D54BEB" w:rsidRDefault="00D54BEB">
            <w:pPr>
              <w:spacing w:line="240" w:lineRule="auto"/>
              <w:jc w:val="center"/>
            </w:pPr>
          </w:p>
        </w:tc>
        <w:tc>
          <w:tcPr>
            <w:tcW w:w="1725" w:type="dxa"/>
            <w:shd w:val="clear" w:color="auto" w:fill="auto"/>
            <w:tcMar>
              <w:top w:w="100" w:type="dxa"/>
              <w:left w:w="100" w:type="dxa"/>
              <w:bottom w:w="100" w:type="dxa"/>
              <w:right w:w="100" w:type="dxa"/>
            </w:tcMar>
          </w:tcPr>
          <w:p w14:paraId="000000F8" w14:textId="77777777" w:rsidR="00D54BEB" w:rsidRDefault="00D54BEB">
            <w:pPr>
              <w:spacing w:line="240" w:lineRule="auto"/>
              <w:jc w:val="center"/>
            </w:pPr>
          </w:p>
        </w:tc>
      </w:tr>
      <w:tr w:rsidR="00D54BEB" w14:paraId="0AA0BF29" w14:textId="77777777">
        <w:trPr>
          <w:trHeight w:val="113"/>
        </w:trPr>
        <w:tc>
          <w:tcPr>
            <w:tcW w:w="3795" w:type="dxa"/>
            <w:shd w:val="clear" w:color="auto" w:fill="auto"/>
            <w:tcMar>
              <w:top w:w="100" w:type="dxa"/>
              <w:left w:w="100" w:type="dxa"/>
              <w:bottom w:w="100" w:type="dxa"/>
              <w:right w:w="100" w:type="dxa"/>
            </w:tcMar>
          </w:tcPr>
          <w:p w14:paraId="000000F9" w14:textId="77777777" w:rsidR="00D54BEB" w:rsidRDefault="00DD3B20">
            <w:pPr>
              <w:spacing w:line="240" w:lineRule="auto"/>
            </w:pPr>
            <w:r>
              <w:t xml:space="preserve">  Inpatient </w:t>
            </w:r>
          </w:p>
        </w:tc>
        <w:tc>
          <w:tcPr>
            <w:tcW w:w="1545" w:type="dxa"/>
            <w:shd w:val="clear" w:color="auto" w:fill="auto"/>
            <w:tcMar>
              <w:top w:w="100" w:type="dxa"/>
              <w:left w:w="100" w:type="dxa"/>
              <w:bottom w:w="100" w:type="dxa"/>
              <w:right w:w="100" w:type="dxa"/>
            </w:tcMar>
          </w:tcPr>
          <w:p w14:paraId="000000FA" w14:textId="77777777" w:rsidR="00D54BEB" w:rsidRDefault="00DD3B20">
            <w:pPr>
              <w:spacing w:line="240" w:lineRule="auto"/>
              <w:jc w:val="center"/>
            </w:pPr>
            <w:r>
              <w:t>33</w:t>
            </w:r>
          </w:p>
        </w:tc>
        <w:tc>
          <w:tcPr>
            <w:tcW w:w="1725" w:type="dxa"/>
            <w:shd w:val="clear" w:color="auto" w:fill="auto"/>
            <w:tcMar>
              <w:top w:w="100" w:type="dxa"/>
              <w:left w:w="100" w:type="dxa"/>
              <w:bottom w:w="100" w:type="dxa"/>
              <w:right w:w="100" w:type="dxa"/>
            </w:tcMar>
          </w:tcPr>
          <w:p w14:paraId="000000FB" w14:textId="77777777" w:rsidR="00D54BEB" w:rsidRDefault="00DD3B20">
            <w:pPr>
              <w:spacing w:line="240" w:lineRule="auto"/>
              <w:jc w:val="center"/>
            </w:pPr>
            <w:r>
              <w:t>26.6%</w:t>
            </w:r>
          </w:p>
        </w:tc>
      </w:tr>
      <w:tr w:rsidR="00D54BEB" w14:paraId="53D23B12" w14:textId="77777777">
        <w:trPr>
          <w:trHeight w:val="113"/>
        </w:trPr>
        <w:tc>
          <w:tcPr>
            <w:tcW w:w="3795" w:type="dxa"/>
            <w:shd w:val="clear" w:color="auto" w:fill="auto"/>
            <w:tcMar>
              <w:top w:w="100" w:type="dxa"/>
              <w:left w:w="100" w:type="dxa"/>
              <w:bottom w:w="100" w:type="dxa"/>
              <w:right w:w="100" w:type="dxa"/>
            </w:tcMar>
          </w:tcPr>
          <w:p w14:paraId="000000FC" w14:textId="77777777" w:rsidR="00D54BEB" w:rsidRDefault="00DD3B20">
            <w:pPr>
              <w:spacing w:line="240" w:lineRule="auto"/>
            </w:pPr>
            <w:r>
              <w:t xml:space="preserve">  Outpatient </w:t>
            </w:r>
          </w:p>
        </w:tc>
        <w:tc>
          <w:tcPr>
            <w:tcW w:w="1545" w:type="dxa"/>
            <w:shd w:val="clear" w:color="auto" w:fill="auto"/>
            <w:tcMar>
              <w:top w:w="100" w:type="dxa"/>
              <w:left w:w="100" w:type="dxa"/>
              <w:bottom w:w="100" w:type="dxa"/>
              <w:right w:w="100" w:type="dxa"/>
            </w:tcMar>
          </w:tcPr>
          <w:p w14:paraId="000000FD" w14:textId="77777777" w:rsidR="00D54BEB" w:rsidRDefault="00DD3B20">
            <w:pPr>
              <w:spacing w:line="240" w:lineRule="auto"/>
              <w:jc w:val="center"/>
            </w:pPr>
            <w:r>
              <w:t>61</w:t>
            </w:r>
          </w:p>
        </w:tc>
        <w:tc>
          <w:tcPr>
            <w:tcW w:w="1725" w:type="dxa"/>
            <w:shd w:val="clear" w:color="auto" w:fill="auto"/>
            <w:tcMar>
              <w:top w:w="100" w:type="dxa"/>
              <w:left w:w="100" w:type="dxa"/>
              <w:bottom w:w="100" w:type="dxa"/>
              <w:right w:w="100" w:type="dxa"/>
            </w:tcMar>
          </w:tcPr>
          <w:p w14:paraId="000000FE" w14:textId="77777777" w:rsidR="00D54BEB" w:rsidRDefault="00DD3B20">
            <w:pPr>
              <w:spacing w:line="240" w:lineRule="auto"/>
              <w:jc w:val="center"/>
            </w:pPr>
            <w:r>
              <w:t>49.2%</w:t>
            </w:r>
          </w:p>
        </w:tc>
      </w:tr>
      <w:tr w:rsidR="00D54BEB" w14:paraId="4330FDB3" w14:textId="77777777">
        <w:trPr>
          <w:trHeight w:val="113"/>
        </w:trPr>
        <w:tc>
          <w:tcPr>
            <w:tcW w:w="3795" w:type="dxa"/>
            <w:shd w:val="clear" w:color="auto" w:fill="auto"/>
            <w:tcMar>
              <w:top w:w="100" w:type="dxa"/>
              <w:left w:w="100" w:type="dxa"/>
              <w:bottom w:w="100" w:type="dxa"/>
              <w:right w:w="100" w:type="dxa"/>
            </w:tcMar>
          </w:tcPr>
          <w:p w14:paraId="000000FF" w14:textId="77777777" w:rsidR="00D54BEB" w:rsidRDefault="00DD3B20">
            <w:pPr>
              <w:spacing w:line="240" w:lineRule="auto"/>
            </w:pPr>
            <w:r>
              <w:t xml:space="preserve">  In- and Outpatient </w:t>
            </w:r>
          </w:p>
        </w:tc>
        <w:tc>
          <w:tcPr>
            <w:tcW w:w="1545" w:type="dxa"/>
            <w:shd w:val="clear" w:color="auto" w:fill="auto"/>
            <w:tcMar>
              <w:top w:w="100" w:type="dxa"/>
              <w:left w:w="100" w:type="dxa"/>
              <w:bottom w:w="100" w:type="dxa"/>
              <w:right w:w="100" w:type="dxa"/>
            </w:tcMar>
          </w:tcPr>
          <w:p w14:paraId="00000100" w14:textId="77777777" w:rsidR="00D54BEB" w:rsidRDefault="00DD3B20">
            <w:pPr>
              <w:spacing w:line="240" w:lineRule="auto"/>
              <w:jc w:val="center"/>
            </w:pPr>
            <w:r>
              <w:t>24</w:t>
            </w:r>
          </w:p>
        </w:tc>
        <w:tc>
          <w:tcPr>
            <w:tcW w:w="1725" w:type="dxa"/>
            <w:shd w:val="clear" w:color="auto" w:fill="auto"/>
            <w:tcMar>
              <w:top w:w="100" w:type="dxa"/>
              <w:left w:w="100" w:type="dxa"/>
              <w:bottom w:w="100" w:type="dxa"/>
              <w:right w:w="100" w:type="dxa"/>
            </w:tcMar>
          </w:tcPr>
          <w:p w14:paraId="00000101" w14:textId="77777777" w:rsidR="00D54BEB" w:rsidRDefault="00DD3B20">
            <w:pPr>
              <w:spacing w:line="240" w:lineRule="auto"/>
              <w:jc w:val="center"/>
            </w:pPr>
            <w:r>
              <w:t>19.4%</w:t>
            </w:r>
          </w:p>
        </w:tc>
      </w:tr>
      <w:tr w:rsidR="00D54BEB" w14:paraId="4981A5E7" w14:textId="77777777">
        <w:trPr>
          <w:trHeight w:val="113"/>
        </w:trPr>
        <w:tc>
          <w:tcPr>
            <w:tcW w:w="3795" w:type="dxa"/>
            <w:shd w:val="clear" w:color="auto" w:fill="auto"/>
            <w:tcMar>
              <w:top w:w="100" w:type="dxa"/>
              <w:left w:w="100" w:type="dxa"/>
              <w:bottom w:w="100" w:type="dxa"/>
              <w:right w:w="100" w:type="dxa"/>
            </w:tcMar>
          </w:tcPr>
          <w:p w14:paraId="00000102" w14:textId="77777777" w:rsidR="00D54BEB" w:rsidRDefault="00DD3B20">
            <w:pPr>
              <w:spacing w:line="240" w:lineRule="auto"/>
            </w:pPr>
            <w:r>
              <w:t xml:space="preserve">  Community</w:t>
            </w:r>
          </w:p>
        </w:tc>
        <w:tc>
          <w:tcPr>
            <w:tcW w:w="1545" w:type="dxa"/>
            <w:shd w:val="clear" w:color="auto" w:fill="auto"/>
            <w:tcMar>
              <w:top w:w="100" w:type="dxa"/>
              <w:left w:w="100" w:type="dxa"/>
              <w:bottom w:w="100" w:type="dxa"/>
              <w:right w:w="100" w:type="dxa"/>
            </w:tcMar>
          </w:tcPr>
          <w:p w14:paraId="00000103" w14:textId="77777777" w:rsidR="00D54BEB" w:rsidRDefault="00DD3B20">
            <w:pPr>
              <w:spacing w:line="240" w:lineRule="auto"/>
              <w:jc w:val="center"/>
            </w:pPr>
            <w:r>
              <w:t>6</w:t>
            </w:r>
          </w:p>
        </w:tc>
        <w:tc>
          <w:tcPr>
            <w:tcW w:w="1725" w:type="dxa"/>
            <w:shd w:val="clear" w:color="auto" w:fill="auto"/>
            <w:tcMar>
              <w:top w:w="100" w:type="dxa"/>
              <w:left w:w="100" w:type="dxa"/>
              <w:bottom w:w="100" w:type="dxa"/>
              <w:right w:w="100" w:type="dxa"/>
            </w:tcMar>
          </w:tcPr>
          <w:p w14:paraId="00000104" w14:textId="77777777" w:rsidR="00D54BEB" w:rsidRDefault="00DD3B20">
            <w:pPr>
              <w:spacing w:line="240" w:lineRule="auto"/>
              <w:jc w:val="center"/>
            </w:pPr>
            <w:r>
              <w:t>4.8%</w:t>
            </w:r>
          </w:p>
        </w:tc>
      </w:tr>
      <w:tr w:rsidR="00D54BEB" w14:paraId="0DC65BA6" w14:textId="77777777">
        <w:trPr>
          <w:trHeight w:val="113"/>
        </w:trPr>
        <w:tc>
          <w:tcPr>
            <w:tcW w:w="3795" w:type="dxa"/>
            <w:shd w:val="clear" w:color="auto" w:fill="auto"/>
            <w:tcMar>
              <w:top w:w="100" w:type="dxa"/>
              <w:left w:w="100" w:type="dxa"/>
              <w:bottom w:w="100" w:type="dxa"/>
              <w:right w:w="100" w:type="dxa"/>
            </w:tcMar>
          </w:tcPr>
          <w:p w14:paraId="00000105" w14:textId="77777777" w:rsidR="00D54BEB" w:rsidRDefault="00DD3B20">
            <w:pPr>
              <w:spacing w:line="240" w:lineRule="auto"/>
            </w:pPr>
            <w:r>
              <w:rPr>
                <w:b/>
              </w:rPr>
              <w:t>Antipsychotic medication</w:t>
            </w:r>
            <w:r>
              <w:t xml:space="preserve"> </w:t>
            </w:r>
          </w:p>
        </w:tc>
        <w:tc>
          <w:tcPr>
            <w:tcW w:w="1545" w:type="dxa"/>
            <w:shd w:val="clear" w:color="auto" w:fill="auto"/>
            <w:tcMar>
              <w:top w:w="100" w:type="dxa"/>
              <w:left w:w="100" w:type="dxa"/>
              <w:bottom w:w="100" w:type="dxa"/>
              <w:right w:w="100" w:type="dxa"/>
            </w:tcMar>
          </w:tcPr>
          <w:p w14:paraId="00000106" w14:textId="77777777" w:rsidR="00D54BEB" w:rsidRDefault="00D54BEB">
            <w:pPr>
              <w:spacing w:line="240" w:lineRule="auto"/>
              <w:jc w:val="center"/>
            </w:pPr>
          </w:p>
        </w:tc>
        <w:tc>
          <w:tcPr>
            <w:tcW w:w="1725" w:type="dxa"/>
            <w:shd w:val="clear" w:color="auto" w:fill="auto"/>
            <w:tcMar>
              <w:top w:w="100" w:type="dxa"/>
              <w:left w:w="100" w:type="dxa"/>
              <w:bottom w:w="100" w:type="dxa"/>
              <w:right w:w="100" w:type="dxa"/>
            </w:tcMar>
          </w:tcPr>
          <w:p w14:paraId="00000107" w14:textId="77777777" w:rsidR="00D54BEB" w:rsidRDefault="00D54BEB">
            <w:pPr>
              <w:spacing w:line="240" w:lineRule="auto"/>
              <w:jc w:val="center"/>
            </w:pPr>
          </w:p>
        </w:tc>
      </w:tr>
      <w:tr w:rsidR="00D54BEB" w14:paraId="0DB6A2C9" w14:textId="77777777">
        <w:trPr>
          <w:trHeight w:val="113"/>
        </w:trPr>
        <w:tc>
          <w:tcPr>
            <w:tcW w:w="3795" w:type="dxa"/>
            <w:shd w:val="clear" w:color="auto" w:fill="auto"/>
            <w:tcMar>
              <w:top w:w="100" w:type="dxa"/>
              <w:left w:w="100" w:type="dxa"/>
              <w:bottom w:w="100" w:type="dxa"/>
              <w:right w:w="100" w:type="dxa"/>
            </w:tcMar>
          </w:tcPr>
          <w:p w14:paraId="00000108" w14:textId="77777777" w:rsidR="00D54BEB" w:rsidRDefault="00DD3B20">
            <w:pPr>
              <w:spacing w:line="240" w:lineRule="auto"/>
            </w:pPr>
            <w:r>
              <w:t xml:space="preserve">  Prescribed antipsychotic medication </w:t>
            </w:r>
            <w:r>
              <w:rPr>
                <w:vertAlign w:val="superscript"/>
              </w:rPr>
              <w:t>3</w:t>
            </w:r>
            <w:r>
              <w:t xml:space="preserve"> </w:t>
            </w:r>
          </w:p>
        </w:tc>
        <w:tc>
          <w:tcPr>
            <w:tcW w:w="1545" w:type="dxa"/>
            <w:shd w:val="clear" w:color="auto" w:fill="auto"/>
            <w:tcMar>
              <w:top w:w="100" w:type="dxa"/>
              <w:left w:w="100" w:type="dxa"/>
              <w:bottom w:w="100" w:type="dxa"/>
              <w:right w:w="100" w:type="dxa"/>
            </w:tcMar>
          </w:tcPr>
          <w:p w14:paraId="00000109" w14:textId="77777777" w:rsidR="00D54BEB" w:rsidRDefault="00DD3B20">
            <w:pPr>
              <w:spacing w:line="240" w:lineRule="auto"/>
              <w:jc w:val="center"/>
            </w:pPr>
            <w:r>
              <w:t>111</w:t>
            </w:r>
          </w:p>
        </w:tc>
        <w:tc>
          <w:tcPr>
            <w:tcW w:w="1725" w:type="dxa"/>
            <w:shd w:val="clear" w:color="auto" w:fill="auto"/>
            <w:tcMar>
              <w:top w:w="100" w:type="dxa"/>
              <w:left w:w="100" w:type="dxa"/>
              <w:bottom w:w="100" w:type="dxa"/>
              <w:right w:w="100" w:type="dxa"/>
            </w:tcMar>
          </w:tcPr>
          <w:p w14:paraId="0000010A" w14:textId="77777777" w:rsidR="00D54BEB" w:rsidRDefault="00DD3B20">
            <w:pPr>
              <w:spacing w:line="240" w:lineRule="auto"/>
              <w:jc w:val="center"/>
            </w:pPr>
            <w:r>
              <w:t>89.5%</w:t>
            </w:r>
          </w:p>
        </w:tc>
      </w:tr>
      <w:tr w:rsidR="00D54BEB" w14:paraId="328FA454" w14:textId="77777777">
        <w:trPr>
          <w:trHeight w:val="113"/>
        </w:trPr>
        <w:tc>
          <w:tcPr>
            <w:tcW w:w="3795" w:type="dxa"/>
            <w:shd w:val="clear" w:color="auto" w:fill="auto"/>
            <w:tcMar>
              <w:top w:w="100" w:type="dxa"/>
              <w:left w:w="100" w:type="dxa"/>
              <w:bottom w:w="100" w:type="dxa"/>
              <w:right w:w="100" w:type="dxa"/>
            </w:tcMar>
          </w:tcPr>
          <w:p w14:paraId="0000010B" w14:textId="77777777" w:rsidR="00D54BEB" w:rsidRDefault="00DD3B20">
            <w:pPr>
              <w:spacing w:line="240" w:lineRule="auto"/>
            </w:pPr>
            <w:r>
              <w:t xml:space="preserve">  Antipsychotic-naive population </w:t>
            </w:r>
          </w:p>
        </w:tc>
        <w:tc>
          <w:tcPr>
            <w:tcW w:w="1545" w:type="dxa"/>
            <w:shd w:val="clear" w:color="auto" w:fill="auto"/>
            <w:tcMar>
              <w:top w:w="100" w:type="dxa"/>
              <w:left w:w="100" w:type="dxa"/>
              <w:bottom w:w="100" w:type="dxa"/>
              <w:right w:w="100" w:type="dxa"/>
            </w:tcMar>
          </w:tcPr>
          <w:p w14:paraId="0000010C" w14:textId="77777777" w:rsidR="00D54BEB" w:rsidRDefault="00DD3B20">
            <w:pPr>
              <w:spacing w:line="240" w:lineRule="auto"/>
              <w:jc w:val="center"/>
            </w:pPr>
            <w:r>
              <w:t>7</w:t>
            </w:r>
          </w:p>
        </w:tc>
        <w:tc>
          <w:tcPr>
            <w:tcW w:w="1725" w:type="dxa"/>
            <w:shd w:val="clear" w:color="auto" w:fill="auto"/>
            <w:tcMar>
              <w:top w:w="100" w:type="dxa"/>
              <w:left w:w="100" w:type="dxa"/>
              <w:bottom w:w="100" w:type="dxa"/>
              <w:right w:w="100" w:type="dxa"/>
            </w:tcMar>
          </w:tcPr>
          <w:p w14:paraId="0000010D" w14:textId="77777777" w:rsidR="00D54BEB" w:rsidRDefault="00DD3B20">
            <w:pPr>
              <w:spacing w:line="240" w:lineRule="auto"/>
              <w:jc w:val="center"/>
            </w:pPr>
            <w:r>
              <w:t>5.6%</w:t>
            </w:r>
          </w:p>
        </w:tc>
      </w:tr>
      <w:tr w:rsidR="00D54BEB" w14:paraId="4BA003E8" w14:textId="77777777">
        <w:trPr>
          <w:trHeight w:val="113"/>
        </w:trPr>
        <w:tc>
          <w:tcPr>
            <w:tcW w:w="3795" w:type="dxa"/>
            <w:shd w:val="clear" w:color="auto" w:fill="auto"/>
            <w:tcMar>
              <w:top w:w="100" w:type="dxa"/>
              <w:left w:w="100" w:type="dxa"/>
              <w:bottom w:w="100" w:type="dxa"/>
              <w:right w:w="100" w:type="dxa"/>
            </w:tcMar>
          </w:tcPr>
          <w:p w14:paraId="0000010E" w14:textId="77777777" w:rsidR="00D54BEB" w:rsidRDefault="00DD3B20">
            <w:pPr>
              <w:spacing w:line="240" w:lineRule="auto"/>
            </w:pPr>
            <w:r>
              <w:t xml:space="preserve">  Not reported</w:t>
            </w:r>
          </w:p>
        </w:tc>
        <w:tc>
          <w:tcPr>
            <w:tcW w:w="1545" w:type="dxa"/>
            <w:shd w:val="clear" w:color="auto" w:fill="auto"/>
            <w:tcMar>
              <w:top w:w="100" w:type="dxa"/>
              <w:left w:w="100" w:type="dxa"/>
              <w:bottom w:w="100" w:type="dxa"/>
              <w:right w:w="100" w:type="dxa"/>
            </w:tcMar>
          </w:tcPr>
          <w:p w14:paraId="0000010F" w14:textId="77777777" w:rsidR="00D54BEB" w:rsidRDefault="00DD3B20">
            <w:pPr>
              <w:spacing w:line="240" w:lineRule="auto"/>
              <w:jc w:val="center"/>
            </w:pPr>
            <w:r>
              <w:t>6</w:t>
            </w:r>
          </w:p>
        </w:tc>
        <w:tc>
          <w:tcPr>
            <w:tcW w:w="1725" w:type="dxa"/>
            <w:shd w:val="clear" w:color="auto" w:fill="auto"/>
            <w:tcMar>
              <w:top w:w="100" w:type="dxa"/>
              <w:left w:w="100" w:type="dxa"/>
              <w:bottom w:w="100" w:type="dxa"/>
              <w:right w:w="100" w:type="dxa"/>
            </w:tcMar>
          </w:tcPr>
          <w:p w14:paraId="00000110" w14:textId="77777777" w:rsidR="00D54BEB" w:rsidRDefault="00DD3B20">
            <w:pPr>
              <w:spacing w:line="240" w:lineRule="auto"/>
              <w:jc w:val="center"/>
            </w:pPr>
            <w:r>
              <w:t>4.8%</w:t>
            </w:r>
          </w:p>
        </w:tc>
      </w:tr>
      <w:tr w:rsidR="00D54BEB" w14:paraId="54C2A981" w14:textId="77777777">
        <w:trPr>
          <w:trHeight w:val="113"/>
        </w:trPr>
        <w:tc>
          <w:tcPr>
            <w:tcW w:w="3795" w:type="dxa"/>
            <w:shd w:val="clear" w:color="auto" w:fill="auto"/>
            <w:tcMar>
              <w:top w:w="100" w:type="dxa"/>
              <w:left w:w="100" w:type="dxa"/>
              <w:bottom w:w="100" w:type="dxa"/>
              <w:right w:w="100" w:type="dxa"/>
            </w:tcMar>
          </w:tcPr>
          <w:p w14:paraId="00000111" w14:textId="77777777" w:rsidR="00D54BEB" w:rsidRDefault="00DD3B20">
            <w:pPr>
              <w:spacing w:line="240" w:lineRule="auto"/>
              <w:rPr>
                <w:b/>
              </w:rPr>
            </w:pPr>
            <w:r>
              <w:rPr>
                <w:b/>
              </w:rPr>
              <w:t xml:space="preserve">SMI diagnostic tool </w:t>
            </w:r>
          </w:p>
        </w:tc>
        <w:tc>
          <w:tcPr>
            <w:tcW w:w="1545" w:type="dxa"/>
            <w:shd w:val="clear" w:color="auto" w:fill="auto"/>
            <w:tcMar>
              <w:top w:w="100" w:type="dxa"/>
              <w:left w:w="100" w:type="dxa"/>
              <w:bottom w:w="100" w:type="dxa"/>
              <w:right w:w="100" w:type="dxa"/>
            </w:tcMar>
          </w:tcPr>
          <w:p w14:paraId="00000112" w14:textId="77777777" w:rsidR="00D54BEB" w:rsidRDefault="00D54BEB">
            <w:pPr>
              <w:spacing w:line="240" w:lineRule="auto"/>
              <w:jc w:val="center"/>
            </w:pPr>
          </w:p>
        </w:tc>
        <w:tc>
          <w:tcPr>
            <w:tcW w:w="1725" w:type="dxa"/>
            <w:shd w:val="clear" w:color="auto" w:fill="auto"/>
            <w:tcMar>
              <w:top w:w="100" w:type="dxa"/>
              <w:left w:w="100" w:type="dxa"/>
              <w:bottom w:w="100" w:type="dxa"/>
              <w:right w:w="100" w:type="dxa"/>
            </w:tcMar>
          </w:tcPr>
          <w:p w14:paraId="00000113" w14:textId="77777777" w:rsidR="00D54BEB" w:rsidRDefault="00D54BEB">
            <w:pPr>
              <w:spacing w:line="240" w:lineRule="auto"/>
              <w:jc w:val="center"/>
            </w:pPr>
          </w:p>
        </w:tc>
      </w:tr>
      <w:tr w:rsidR="00D54BEB" w14:paraId="4AEDABFB" w14:textId="77777777">
        <w:trPr>
          <w:trHeight w:val="113"/>
        </w:trPr>
        <w:tc>
          <w:tcPr>
            <w:tcW w:w="3795" w:type="dxa"/>
            <w:shd w:val="clear" w:color="auto" w:fill="auto"/>
            <w:tcMar>
              <w:top w:w="100" w:type="dxa"/>
              <w:left w:w="100" w:type="dxa"/>
              <w:bottom w:w="100" w:type="dxa"/>
              <w:right w:w="100" w:type="dxa"/>
            </w:tcMar>
          </w:tcPr>
          <w:p w14:paraId="00000114" w14:textId="77777777" w:rsidR="00D54BEB" w:rsidRDefault="00DD3B20">
            <w:pPr>
              <w:spacing w:line="240" w:lineRule="auto"/>
            </w:pPr>
            <w:r>
              <w:t xml:space="preserve">  DSM </w:t>
            </w:r>
          </w:p>
        </w:tc>
        <w:tc>
          <w:tcPr>
            <w:tcW w:w="1545" w:type="dxa"/>
            <w:shd w:val="clear" w:color="auto" w:fill="auto"/>
            <w:tcMar>
              <w:top w:w="100" w:type="dxa"/>
              <w:left w:w="100" w:type="dxa"/>
              <w:bottom w:w="100" w:type="dxa"/>
              <w:right w:w="100" w:type="dxa"/>
            </w:tcMar>
          </w:tcPr>
          <w:p w14:paraId="00000115" w14:textId="77777777" w:rsidR="00D54BEB" w:rsidRDefault="00DD3B20">
            <w:pPr>
              <w:spacing w:line="240" w:lineRule="auto"/>
              <w:jc w:val="center"/>
            </w:pPr>
            <w:r>
              <w:t xml:space="preserve">78 </w:t>
            </w:r>
          </w:p>
        </w:tc>
        <w:tc>
          <w:tcPr>
            <w:tcW w:w="1725" w:type="dxa"/>
            <w:shd w:val="clear" w:color="auto" w:fill="auto"/>
            <w:tcMar>
              <w:top w:w="100" w:type="dxa"/>
              <w:left w:w="100" w:type="dxa"/>
              <w:bottom w:w="100" w:type="dxa"/>
              <w:right w:w="100" w:type="dxa"/>
            </w:tcMar>
          </w:tcPr>
          <w:p w14:paraId="00000116" w14:textId="77777777" w:rsidR="00D54BEB" w:rsidRDefault="00DD3B20">
            <w:pPr>
              <w:spacing w:line="240" w:lineRule="auto"/>
              <w:jc w:val="center"/>
            </w:pPr>
            <w:r>
              <w:t>65.0%</w:t>
            </w:r>
          </w:p>
        </w:tc>
      </w:tr>
      <w:tr w:rsidR="00D54BEB" w14:paraId="1AEB882A" w14:textId="77777777">
        <w:trPr>
          <w:trHeight w:val="113"/>
        </w:trPr>
        <w:tc>
          <w:tcPr>
            <w:tcW w:w="3795" w:type="dxa"/>
            <w:shd w:val="clear" w:color="auto" w:fill="auto"/>
            <w:tcMar>
              <w:top w:w="100" w:type="dxa"/>
              <w:left w:w="100" w:type="dxa"/>
              <w:bottom w:w="100" w:type="dxa"/>
              <w:right w:w="100" w:type="dxa"/>
            </w:tcMar>
          </w:tcPr>
          <w:p w14:paraId="00000117" w14:textId="77777777" w:rsidR="00D54BEB" w:rsidRDefault="00DD3B20">
            <w:pPr>
              <w:spacing w:line="240" w:lineRule="auto"/>
            </w:pPr>
            <w:r>
              <w:t xml:space="preserve">  ICD </w:t>
            </w:r>
          </w:p>
        </w:tc>
        <w:tc>
          <w:tcPr>
            <w:tcW w:w="1545" w:type="dxa"/>
            <w:shd w:val="clear" w:color="auto" w:fill="auto"/>
            <w:tcMar>
              <w:top w:w="100" w:type="dxa"/>
              <w:left w:w="100" w:type="dxa"/>
              <w:bottom w:w="100" w:type="dxa"/>
              <w:right w:w="100" w:type="dxa"/>
            </w:tcMar>
          </w:tcPr>
          <w:p w14:paraId="00000118" w14:textId="77777777" w:rsidR="00D54BEB" w:rsidRDefault="00DD3B20">
            <w:pPr>
              <w:spacing w:line="240" w:lineRule="auto"/>
              <w:jc w:val="center"/>
            </w:pPr>
            <w:r>
              <w:t xml:space="preserve">18 </w:t>
            </w:r>
          </w:p>
        </w:tc>
        <w:tc>
          <w:tcPr>
            <w:tcW w:w="1725" w:type="dxa"/>
            <w:shd w:val="clear" w:color="auto" w:fill="auto"/>
            <w:tcMar>
              <w:top w:w="100" w:type="dxa"/>
              <w:left w:w="100" w:type="dxa"/>
              <w:bottom w:w="100" w:type="dxa"/>
              <w:right w:w="100" w:type="dxa"/>
            </w:tcMar>
          </w:tcPr>
          <w:p w14:paraId="00000119" w14:textId="77777777" w:rsidR="00D54BEB" w:rsidRDefault="00DD3B20">
            <w:pPr>
              <w:spacing w:line="240" w:lineRule="auto"/>
              <w:jc w:val="center"/>
            </w:pPr>
            <w:r>
              <w:t>15.0%</w:t>
            </w:r>
          </w:p>
        </w:tc>
      </w:tr>
      <w:tr w:rsidR="00D54BEB" w14:paraId="58D36DC7" w14:textId="77777777">
        <w:trPr>
          <w:trHeight w:val="64"/>
        </w:trPr>
        <w:tc>
          <w:tcPr>
            <w:tcW w:w="3795" w:type="dxa"/>
            <w:shd w:val="clear" w:color="auto" w:fill="auto"/>
            <w:tcMar>
              <w:top w:w="100" w:type="dxa"/>
              <w:left w:w="100" w:type="dxa"/>
              <w:bottom w:w="100" w:type="dxa"/>
              <w:right w:w="100" w:type="dxa"/>
            </w:tcMar>
          </w:tcPr>
          <w:p w14:paraId="0000011A" w14:textId="77777777" w:rsidR="00D54BEB" w:rsidRDefault="00DD3B20">
            <w:pPr>
              <w:spacing w:line="240" w:lineRule="auto"/>
            </w:pPr>
            <w:r>
              <w:lastRenderedPageBreak/>
              <w:t xml:space="preserve">  DSM and ICD</w:t>
            </w:r>
          </w:p>
        </w:tc>
        <w:tc>
          <w:tcPr>
            <w:tcW w:w="1545" w:type="dxa"/>
            <w:shd w:val="clear" w:color="auto" w:fill="auto"/>
            <w:tcMar>
              <w:top w:w="100" w:type="dxa"/>
              <w:left w:w="100" w:type="dxa"/>
              <w:bottom w:w="100" w:type="dxa"/>
              <w:right w:w="100" w:type="dxa"/>
            </w:tcMar>
          </w:tcPr>
          <w:p w14:paraId="0000011B" w14:textId="77777777" w:rsidR="00D54BEB" w:rsidRDefault="00DD3B20">
            <w:pPr>
              <w:spacing w:line="240" w:lineRule="auto"/>
              <w:jc w:val="center"/>
            </w:pPr>
            <w:r>
              <w:t xml:space="preserve">3 </w:t>
            </w:r>
          </w:p>
        </w:tc>
        <w:tc>
          <w:tcPr>
            <w:tcW w:w="1725" w:type="dxa"/>
            <w:shd w:val="clear" w:color="auto" w:fill="auto"/>
            <w:tcMar>
              <w:top w:w="100" w:type="dxa"/>
              <w:left w:w="100" w:type="dxa"/>
              <w:bottom w:w="100" w:type="dxa"/>
              <w:right w:w="100" w:type="dxa"/>
            </w:tcMar>
          </w:tcPr>
          <w:p w14:paraId="0000011C" w14:textId="77777777" w:rsidR="00D54BEB" w:rsidRDefault="00DD3B20">
            <w:pPr>
              <w:spacing w:line="240" w:lineRule="auto"/>
              <w:jc w:val="center"/>
            </w:pPr>
            <w:r>
              <w:t>2.5%</w:t>
            </w:r>
          </w:p>
        </w:tc>
      </w:tr>
      <w:tr w:rsidR="00D54BEB" w14:paraId="42273FD0" w14:textId="77777777">
        <w:trPr>
          <w:trHeight w:val="113"/>
        </w:trPr>
        <w:tc>
          <w:tcPr>
            <w:tcW w:w="3795" w:type="dxa"/>
            <w:shd w:val="clear" w:color="auto" w:fill="auto"/>
            <w:tcMar>
              <w:top w:w="100" w:type="dxa"/>
              <w:left w:w="100" w:type="dxa"/>
              <w:bottom w:w="100" w:type="dxa"/>
              <w:right w:w="100" w:type="dxa"/>
            </w:tcMar>
          </w:tcPr>
          <w:p w14:paraId="0000011D" w14:textId="77777777" w:rsidR="00D54BEB" w:rsidRDefault="00DD3B20">
            <w:pPr>
              <w:spacing w:line="240" w:lineRule="auto"/>
            </w:pPr>
            <w:r>
              <w:t xml:space="preserve">  Not specified </w:t>
            </w:r>
          </w:p>
        </w:tc>
        <w:tc>
          <w:tcPr>
            <w:tcW w:w="1545" w:type="dxa"/>
            <w:shd w:val="clear" w:color="auto" w:fill="auto"/>
            <w:tcMar>
              <w:top w:w="100" w:type="dxa"/>
              <w:left w:w="100" w:type="dxa"/>
              <w:bottom w:w="100" w:type="dxa"/>
              <w:right w:w="100" w:type="dxa"/>
            </w:tcMar>
          </w:tcPr>
          <w:p w14:paraId="0000011E" w14:textId="77777777" w:rsidR="00D54BEB" w:rsidRDefault="00DD3B20">
            <w:pPr>
              <w:spacing w:line="240" w:lineRule="auto"/>
              <w:jc w:val="center"/>
            </w:pPr>
            <w:r>
              <w:t xml:space="preserve">21 </w:t>
            </w:r>
          </w:p>
        </w:tc>
        <w:tc>
          <w:tcPr>
            <w:tcW w:w="1725" w:type="dxa"/>
            <w:shd w:val="clear" w:color="auto" w:fill="auto"/>
            <w:tcMar>
              <w:top w:w="100" w:type="dxa"/>
              <w:left w:w="100" w:type="dxa"/>
              <w:bottom w:w="100" w:type="dxa"/>
              <w:right w:w="100" w:type="dxa"/>
            </w:tcMar>
          </w:tcPr>
          <w:p w14:paraId="0000011F" w14:textId="77777777" w:rsidR="00D54BEB" w:rsidRDefault="00DD3B20">
            <w:pPr>
              <w:spacing w:line="240" w:lineRule="auto"/>
              <w:jc w:val="center"/>
            </w:pPr>
            <w:r>
              <w:t>17.5%</w:t>
            </w:r>
          </w:p>
        </w:tc>
      </w:tr>
      <w:tr w:rsidR="00D54BEB" w14:paraId="76C7E434" w14:textId="77777777">
        <w:trPr>
          <w:trHeight w:val="113"/>
        </w:trPr>
        <w:tc>
          <w:tcPr>
            <w:tcW w:w="3795" w:type="dxa"/>
            <w:shd w:val="clear" w:color="auto" w:fill="auto"/>
            <w:tcMar>
              <w:top w:w="100" w:type="dxa"/>
              <w:left w:w="100" w:type="dxa"/>
              <w:bottom w:w="100" w:type="dxa"/>
              <w:right w:w="100" w:type="dxa"/>
            </w:tcMar>
          </w:tcPr>
          <w:p w14:paraId="00000120" w14:textId="77777777" w:rsidR="00D54BEB" w:rsidRDefault="00DD3B20">
            <w:pPr>
              <w:spacing w:line="240" w:lineRule="auto"/>
              <w:rPr>
                <w:b/>
              </w:rPr>
            </w:pPr>
            <w:r>
              <w:rPr>
                <w:b/>
              </w:rPr>
              <w:t xml:space="preserve">Study design </w:t>
            </w:r>
          </w:p>
        </w:tc>
        <w:tc>
          <w:tcPr>
            <w:tcW w:w="1545" w:type="dxa"/>
            <w:shd w:val="clear" w:color="auto" w:fill="auto"/>
            <w:tcMar>
              <w:top w:w="100" w:type="dxa"/>
              <w:left w:w="100" w:type="dxa"/>
              <w:bottom w:w="100" w:type="dxa"/>
              <w:right w:w="100" w:type="dxa"/>
            </w:tcMar>
          </w:tcPr>
          <w:p w14:paraId="00000121" w14:textId="77777777" w:rsidR="00D54BEB" w:rsidRDefault="00D54BEB">
            <w:pPr>
              <w:spacing w:line="240" w:lineRule="auto"/>
              <w:jc w:val="center"/>
            </w:pPr>
          </w:p>
        </w:tc>
        <w:tc>
          <w:tcPr>
            <w:tcW w:w="1725" w:type="dxa"/>
            <w:shd w:val="clear" w:color="auto" w:fill="auto"/>
            <w:tcMar>
              <w:top w:w="100" w:type="dxa"/>
              <w:left w:w="100" w:type="dxa"/>
              <w:bottom w:w="100" w:type="dxa"/>
              <w:right w:w="100" w:type="dxa"/>
            </w:tcMar>
          </w:tcPr>
          <w:p w14:paraId="00000122" w14:textId="77777777" w:rsidR="00D54BEB" w:rsidRDefault="00D54BEB">
            <w:pPr>
              <w:spacing w:line="240" w:lineRule="auto"/>
              <w:jc w:val="center"/>
            </w:pPr>
          </w:p>
        </w:tc>
      </w:tr>
      <w:tr w:rsidR="00D54BEB" w14:paraId="6D8A9054" w14:textId="77777777">
        <w:trPr>
          <w:trHeight w:val="113"/>
        </w:trPr>
        <w:tc>
          <w:tcPr>
            <w:tcW w:w="3795" w:type="dxa"/>
            <w:shd w:val="clear" w:color="auto" w:fill="auto"/>
            <w:tcMar>
              <w:top w:w="100" w:type="dxa"/>
              <w:left w:w="100" w:type="dxa"/>
              <w:bottom w:w="100" w:type="dxa"/>
              <w:right w:w="100" w:type="dxa"/>
            </w:tcMar>
          </w:tcPr>
          <w:p w14:paraId="00000123" w14:textId="77777777" w:rsidR="00D54BEB" w:rsidRDefault="00DD3B20">
            <w:pPr>
              <w:spacing w:line="240" w:lineRule="auto"/>
            </w:pPr>
            <w:r>
              <w:t xml:space="preserve">  Cross-sectional </w:t>
            </w:r>
          </w:p>
        </w:tc>
        <w:tc>
          <w:tcPr>
            <w:tcW w:w="1545" w:type="dxa"/>
            <w:shd w:val="clear" w:color="auto" w:fill="auto"/>
            <w:tcMar>
              <w:top w:w="100" w:type="dxa"/>
              <w:left w:w="100" w:type="dxa"/>
              <w:bottom w:w="100" w:type="dxa"/>
              <w:right w:w="100" w:type="dxa"/>
            </w:tcMar>
          </w:tcPr>
          <w:p w14:paraId="00000124" w14:textId="77777777" w:rsidR="00D54BEB" w:rsidRDefault="00DD3B20">
            <w:pPr>
              <w:spacing w:line="240" w:lineRule="auto"/>
              <w:jc w:val="center"/>
            </w:pPr>
            <w:r>
              <w:t>110</w:t>
            </w:r>
          </w:p>
        </w:tc>
        <w:tc>
          <w:tcPr>
            <w:tcW w:w="1725" w:type="dxa"/>
            <w:shd w:val="clear" w:color="auto" w:fill="auto"/>
            <w:tcMar>
              <w:top w:w="100" w:type="dxa"/>
              <w:left w:w="100" w:type="dxa"/>
              <w:bottom w:w="100" w:type="dxa"/>
              <w:right w:w="100" w:type="dxa"/>
            </w:tcMar>
          </w:tcPr>
          <w:p w14:paraId="00000125" w14:textId="77777777" w:rsidR="00D54BEB" w:rsidRDefault="00DD3B20">
            <w:pPr>
              <w:spacing w:line="240" w:lineRule="auto"/>
              <w:jc w:val="center"/>
            </w:pPr>
            <w:r>
              <w:t>91.6%</w:t>
            </w:r>
          </w:p>
        </w:tc>
      </w:tr>
      <w:tr w:rsidR="00D54BEB" w14:paraId="77CFE704" w14:textId="77777777">
        <w:trPr>
          <w:trHeight w:val="113"/>
        </w:trPr>
        <w:tc>
          <w:tcPr>
            <w:tcW w:w="3795" w:type="dxa"/>
            <w:shd w:val="clear" w:color="auto" w:fill="auto"/>
            <w:tcMar>
              <w:top w:w="100" w:type="dxa"/>
              <w:left w:w="100" w:type="dxa"/>
              <w:bottom w:w="100" w:type="dxa"/>
              <w:right w:w="100" w:type="dxa"/>
            </w:tcMar>
          </w:tcPr>
          <w:p w14:paraId="00000126" w14:textId="77777777" w:rsidR="00D54BEB" w:rsidRDefault="00DD3B20">
            <w:pPr>
              <w:spacing w:line="240" w:lineRule="auto"/>
            </w:pPr>
            <w:r>
              <w:t xml:space="preserve">  Cohort</w:t>
            </w:r>
          </w:p>
        </w:tc>
        <w:tc>
          <w:tcPr>
            <w:tcW w:w="1545" w:type="dxa"/>
            <w:shd w:val="clear" w:color="auto" w:fill="auto"/>
            <w:tcMar>
              <w:top w:w="100" w:type="dxa"/>
              <w:left w:w="100" w:type="dxa"/>
              <w:bottom w:w="100" w:type="dxa"/>
              <w:right w:w="100" w:type="dxa"/>
            </w:tcMar>
          </w:tcPr>
          <w:p w14:paraId="00000127" w14:textId="77777777" w:rsidR="00D54BEB" w:rsidRDefault="00DD3B20">
            <w:pPr>
              <w:spacing w:line="240" w:lineRule="auto"/>
              <w:jc w:val="center"/>
            </w:pPr>
            <w:r>
              <w:t xml:space="preserve">6 </w:t>
            </w:r>
          </w:p>
        </w:tc>
        <w:tc>
          <w:tcPr>
            <w:tcW w:w="1725" w:type="dxa"/>
            <w:shd w:val="clear" w:color="auto" w:fill="auto"/>
            <w:tcMar>
              <w:top w:w="100" w:type="dxa"/>
              <w:left w:w="100" w:type="dxa"/>
              <w:bottom w:w="100" w:type="dxa"/>
              <w:right w:w="100" w:type="dxa"/>
            </w:tcMar>
          </w:tcPr>
          <w:p w14:paraId="00000128" w14:textId="77777777" w:rsidR="00D54BEB" w:rsidRDefault="00DD3B20">
            <w:pPr>
              <w:spacing w:line="240" w:lineRule="auto"/>
              <w:jc w:val="center"/>
            </w:pPr>
            <w:r>
              <w:t>5.0%</w:t>
            </w:r>
          </w:p>
        </w:tc>
      </w:tr>
      <w:tr w:rsidR="00D54BEB" w14:paraId="7DDE7212" w14:textId="77777777">
        <w:tc>
          <w:tcPr>
            <w:tcW w:w="3795" w:type="dxa"/>
            <w:shd w:val="clear" w:color="auto" w:fill="auto"/>
            <w:tcMar>
              <w:top w:w="100" w:type="dxa"/>
              <w:left w:w="100" w:type="dxa"/>
              <w:bottom w:w="100" w:type="dxa"/>
              <w:right w:w="100" w:type="dxa"/>
            </w:tcMar>
          </w:tcPr>
          <w:p w14:paraId="00000129" w14:textId="77777777" w:rsidR="00D54BEB" w:rsidRDefault="00DD3B20">
            <w:pPr>
              <w:spacing w:line="240" w:lineRule="auto"/>
            </w:pPr>
            <w:r>
              <w:t xml:space="preserve">  Prospective longitudinal </w:t>
            </w:r>
          </w:p>
        </w:tc>
        <w:tc>
          <w:tcPr>
            <w:tcW w:w="1545" w:type="dxa"/>
            <w:shd w:val="clear" w:color="auto" w:fill="auto"/>
            <w:tcMar>
              <w:top w:w="100" w:type="dxa"/>
              <w:left w:w="100" w:type="dxa"/>
              <w:bottom w:w="100" w:type="dxa"/>
              <w:right w:w="100" w:type="dxa"/>
            </w:tcMar>
          </w:tcPr>
          <w:p w14:paraId="0000012A" w14:textId="77777777" w:rsidR="00D54BEB" w:rsidRDefault="00DD3B20">
            <w:pPr>
              <w:spacing w:line="240" w:lineRule="auto"/>
              <w:jc w:val="center"/>
            </w:pPr>
            <w:r>
              <w:t>4</w:t>
            </w:r>
          </w:p>
        </w:tc>
        <w:tc>
          <w:tcPr>
            <w:tcW w:w="1725" w:type="dxa"/>
            <w:shd w:val="clear" w:color="auto" w:fill="auto"/>
            <w:tcMar>
              <w:top w:w="100" w:type="dxa"/>
              <w:left w:w="100" w:type="dxa"/>
              <w:bottom w:w="100" w:type="dxa"/>
              <w:right w:w="100" w:type="dxa"/>
            </w:tcMar>
          </w:tcPr>
          <w:p w14:paraId="0000012B" w14:textId="77777777" w:rsidR="00D54BEB" w:rsidRDefault="00DD3B20">
            <w:pPr>
              <w:spacing w:line="240" w:lineRule="auto"/>
              <w:jc w:val="center"/>
            </w:pPr>
            <w:r>
              <w:t>3.3%</w:t>
            </w:r>
          </w:p>
        </w:tc>
      </w:tr>
      <w:tr w:rsidR="00D54BEB" w14:paraId="59CB12D9" w14:textId="77777777">
        <w:trPr>
          <w:trHeight w:val="113"/>
        </w:trPr>
        <w:tc>
          <w:tcPr>
            <w:tcW w:w="3795" w:type="dxa"/>
            <w:shd w:val="clear" w:color="auto" w:fill="auto"/>
            <w:tcMar>
              <w:top w:w="100" w:type="dxa"/>
              <w:left w:w="100" w:type="dxa"/>
              <w:bottom w:w="100" w:type="dxa"/>
              <w:right w:w="100" w:type="dxa"/>
            </w:tcMar>
          </w:tcPr>
          <w:p w14:paraId="0000012C" w14:textId="77777777" w:rsidR="00D54BEB" w:rsidRDefault="00DD3B20">
            <w:pPr>
              <w:spacing w:line="240" w:lineRule="auto"/>
              <w:rPr>
                <w:b/>
              </w:rPr>
            </w:pPr>
            <w:r>
              <w:rPr>
                <w:b/>
              </w:rPr>
              <w:t xml:space="preserve">Year of data collection </w:t>
            </w:r>
          </w:p>
        </w:tc>
        <w:tc>
          <w:tcPr>
            <w:tcW w:w="1545" w:type="dxa"/>
            <w:shd w:val="clear" w:color="auto" w:fill="auto"/>
            <w:tcMar>
              <w:top w:w="100" w:type="dxa"/>
              <w:left w:w="100" w:type="dxa"/>
              <w:bottom w:w="100" w:type="dxa"/>
              <w:right w:w="100" w:type="dxa"/>
            </w:tcMar>
          </w:tcPr>
          <w:p w14:paraId="0000012D" w14:textId="77777777" w:rsidR="00D54BEB" w:rsidRDefault="00D54BEB">
            <w:pPr>
              <w:spacing w:line="240" w:lineRule="auto"/>
              <w:jc w:val="center"/>
            </w:pPr>
          </w:p>
        </w:tc>
        <w:tc>
          <w:tcPr>
            <w:tcW w:w="1725" w:type="dxa"/>
            <w:shd w:val="clear" w:color="auto" w:fill="auto"/>
            <w:tcMar>
              <w:top w:w="100" w:type="dxa"/>
              <w:left w:w="100" w:type="dxa"/>
              <w:bottom w:w="100" w:type="dxa"/>
              <w:right w:w="100" w:type="dxa"/>
            </w:tcMar>
          </w:tcPr>
          <w:p w14:paraId="0000012E" w14:textId="77777777" w:rsidR="00D54BEB" w:rsidRDefault="00D54BEB">
            <w:pPr>
              <w:spacing w:line="240" w:lineRule="auto"/>
              <w:jc w:val="center"/>
            </w:pPr>
          </w:p>
        </w:tc>
      </w:tr>
      <w:tr w:rsidR="00D54BEB" w14:paraId="5E9F07D7" w14:textId="77777777">
        <w:trPr>
          <w:trHeight w:val="113"/>
        </w:trPr>
        <w:tc>
          <w:tcPr>
            <w:tcW w:w="3795" w:type="dxa"/>
            <w:shd w:val="clear" w:color="auto" w:fill="auto"/>
            <w:tcMar>
              <w:top w:w="100" w:type="dxa"/>
              <w:left w:w="100" w:type="dxa"/>
              <w:bottom w:w="100" w:type="dxa"/>
              <w:right w:w="100" w:type="dxa"/>
            </w:tcMar>
          </w:tcPr>
          <w:p w14:paraId="0000012F" w14:textId="77777777" w:rsidR="00D54BEB" w:rsidRDefault="00DD3B20">
            <w:pPr>
              <w:spacing w:line="240" w:lineRule="auto"/>
            </w:pPr>
            <w:r>
              <w:t xml:space="preserve">  1990 - 1999</w:t>
            </w:r>
          </w:p>
        </w:tc>
        <w:tc>
          <w:tcPr>
            <w:tcW w:w="1545" w:type="dxa"/>
            <w:shd w:val="clear" w:color="auto" w:fill="auto"/>
            <w:tcMar>
              <w:top w:w="100" w:type="dxa"/>
              <w:left w:w="100" w:type="dxa"/>
              <w:bottom w:w="100" w:type="dxa"/>
              <w:right w:w="100" w:type="dxa"/>
            </w:tcMar>
          </w:tcPr>
          <w:p w14:paraId="00000130" w14:textId="77777777" w:rsidR="00D54BEB" w:rsidRDefault="00DD3B20">
            <w:pPr>
              <w:spacing w:line="240" w:lineRule="auto"/>
              <w:jc w:val="center"/>
            </w:pPr>
            <w:r>
              <w:t>1</w:t>
            </w:r>
          </w:p>
        </w:tc>
        <w:tc>
          <w:tcPr>
            <w:tcW w:w="1725" w:type="dxa"/>
            <w:shd w:val="clear" w:color="auto" w:fill="auto"/>
            <w:tcMar>
              <w:top w:w="100" w:type="dxa"/>
              <w:left w:w="100" w:type="dxa"/>
              <w:bottom w:w="100" w:type="dxa"/>
              <w:right w:w="100" w:type="dxa"/>
            </w:tcMar>
          </w:tcPr>
          <w:p w14:paraId="00000131" w14:textId="77777777" w:rsidR="00D54BEB" w:rsidRDefault="00DD3B20">
            <w:pPr>
              <w:spacing w:line="240" w:lineRule="auto"/>
              <w:jc w:val="center"/>
            </w:pPr>
            <w:r>
              <w:t>0.8%</w:t>
            </w:r>
          </w:p>
        </w:tc>
      </w:tr>
      <w:tr w:rsidR="00D54BEB" w14:paraId="15FCAA5C" w14:textId="77777777">
        <w:trPr>
          <w:trHeight w:val="514"/>
        </w:trPr>
        <w:tc>
          <w:tcPr>
            <w:tcW w:w="3795" w:type="dxa"/>
            <w:shd w:val="clear" w:color="auto" w:fill="auto"/>
            <w:tcMar>
              <w:top w:w="100" w:type="dxa"/>
              <w:left w:w="100" w:type="dxa"/>
              <w:bottom w:w="100" w:type="dxa"/>
              <w:right w:w="100" w:type="dxa"/>
            </w:tcMar>
          </w:tcPr>
          <w:p w14:paraId="00000132" w14:textId="77777777" w:rsidR="00D54BEB" w:rsidRDefault="00DD3B20">
            <w:pPr>
              <w:spacing w:line="240" w:lineRule="auto"/>
            </w:pPr>
            <w:r>
              <w:t xml:space="preserve">  2000 - 2009</w:t>
            </w:r>
          </w:p>
        </w:tc>
        <w:tc>
          <w:tcPr>
            <w:tcW w:w="1545" w:type="dxa"/>
            <w:shd w:val="clear" w:color="auto" w:fill="auto"/>
            <w:tcMar>
              <w:top w:w="100" w:type="dxa"/>
              <w:left w:w="100" w:type="dxa"/>
              <w:bottom w:w="100" w:type="dxa"/>
              <w:right w:w="100" w:type="dxa"/>
            </w:tcMar>
          </w:tcPr>
          <w:p w14:paraId="00000133" w14:textId="77777777" w:rsidR="00D54BEB" w:rsidRDefault="00DD3B20">
            <w:pPr>
              <w:spacing w:line="240" w:lineRule="auto"/>
              <w:jc w:val="center"/>
            </w:pPr>
            <w:r>
              <w:t>39</w:t>
            </w:r>
          </w:p>
        </w:tc>
        <w:tc>
          <w:tcPr>
            <w:tcW w:w="1725" w:type="dxa"/>
            <w:shd w:val="clear" w:color="auto" w:fill="auto"/>
            <w:tcMar>
              <w:top w:w="100" w:type="dxa"/>
              <w:left w:w="100" w:type="dxa"/>
              <w:bottom w:w="100" w:type="dxa"/>
              <w:right w:w="100" w:type="dxa"/>
            </w:tcMar>
          </w:tcPr>
          <w:p w14:paraId="00000134" w14:textId="77777777" w:rsidR="00D54BEB" w:rsidRDefault="00DD3B20">
            <w:pPr>
              <w:spacing w:line="240" w:lineRule="auto"/>
              <w:jc w:val="center"/>
            </w:pPr>
            <w:r>
              <w:t>32.5%</w:t>
            </w:r>
          </w:p>
        </w:tc>
      </w:tr>
      <w:tr w:rsidR="00D54BEB" w14:paraId="19204A70" w14:textId="77777777">
        <w:trPr>
          <w:trHeight w:val="113"/>
        </w:trPr>
        <w:tc>
          <w:tcPr>
            <w:tcW w:w="3795" w:type="dxa"/>
            <w:shd w:val="clear" w:color="auto" w:fill="auto"/>
            <w:tcMar>
              <w:top w:w="100" w:type="dxa"/>
              <w:left w:w="100" w:type="dxa"/>
              <w:bottom w:w="100" w:type="dxa"/>
              <w:right w:w="100" w:type="dxa"/>
            </w:tcMar>
          </w:tcPr>
          <w:p w14:paraId="00000135" w14:textId="77777777" w:rsidR="00D54BEB" w:rsidRDefault="00DD3B20">
            <w:pPr>
              <w:spacing w:line="240" w:lineRule="auto"/>
            </w:pPr>
            <w:r>
              <w:t xml:space="preserve">  2010 - Date</w:t>
            </w:r>
          </w:p>
        </w:tc>
        <w:tc>
          <w:tcPr>
            <w:tcW w:w="1545" w:type="dxa"/>
            <w:shd w:val="clear" w:color="auto" w:fill="auto"/>
            <w:tcMar>
              <w:top w:w="100" w:type="dxa"/>
              <w:left w:w="100" w:type="dxa"/>
              <w:bottom w:w="100" w:type="dxa"/>
              <w:right w:w="100" w:type="dxa"/>
            </w:tcMar>
          </w:tcPr>
          <w:p w14:paraId="00000136" w14:textId="77777777" w:rsidR="00D54BEB" w:rsidRDefault="00DD3B20">
            <w:pPr>
              <w:spacing w:line="240" w:lineRule="auto"/>
              <w:jc w:val="center"/>
            </w:pPr>
            <w:r>
              <w:t>80</w:t>
            </w:r>
          </w:p>
        </w:tc>
        <w:tc>
          <w:tcPr>
            <w:tcW w:w="1725" w:type="dxa"/>
            <w:shd w:val="clear" w:color="auto" w:fill="auto"/>
            <w:tcMar>
              <w:top w:w="100" w:type="dxa"/>
              <w:left w:w="100" w:type="dxa"/>
              <w:bottom w:w="100" w:type="dxa"/>
              <w:right w:w="100" w:type="dxa"/>
            </w:tcMar>
          </w:tcPr>
          <w:p w14:paraId="00000137" w14:textId="77777777" w:rsidR="00D54BEB" w:rsidRDefault="00DD3B20">
            <w:pPr>
              <w:spacing w:line="240" w:lineRule="auto"/>
              <w:jc w:val="center"/>
            </w:pPr>
            <w:r>
              <w:t>66.6%</w:t>
            </w:r>
          </w:p>
        </w:tc>
      </w:tr>
      <w:tr w:rsidR="00D54BEB" w14:paraId="06D47B50" w14:textId="77777777">
        <w:trPr>
          <w:trHeight w:val="495"/>
        </w:trPr>
        <w:tc>
          <w:tcPr>
            <w:tcW w:w="3795" w:type="dxa"/>
            <w:shd w:val="clear" w:color="auto" w:fill="auto"/>
            <w:tcMar>
              <w:top w:w="100" w:type="dxa"/>
              <w:left w:w="100" w:type="dxa"/>
              <w:bottom w:w="100" w:type="dxa"/>
              <w:right w:w="100" w:type="dxa"/>
            </w:tcMar>
          </w:tcPr>
          <w:p w14:paraId="00000138" w14:textId="77777777" w:rsidR="00D54BEB" w:rsidRDefault="00DD3B20">
            <w:pPr>
              <w:spacing w:line="240" w:lineRule="auto"/>
              <w:rPr>
                <w:b/>
              </w:rPr>
            </w:pPr>
            <w:r>
              <w:rPr>
                <w:b/>
              </w:rPr>
              <w:t xml:space="preserve">BMI classification </w:t>
            </w:r>
          </w:p>
        </w:tc>
        <w:tc>
          <w:tcPr>
            <w:tcW w:w="1545" w:type="dxa"/>
            <w:shd w:val="clear" w:color="auto" w:fill="auto"/>
            <w:tcMar>
              <w:top w:w="100" w:type="dxa"/>
              <w:left w:w="100" w:type="dxa"/>
              <w:bottom w:w="100" w:type="dxa"/>
              <w:right w:w="100" w:type="dxa"/>
            </w:tcMar>
          </w:tcPr>
          <w:p w14:paraId="00000139" w14:textId="77777777" w:rsidR="00D54BEB" w:rsidRDefault="00D54BEB">
            <w:pPr>
              <w:spacing w:line="240" w:lineRule="auto"/>
              <w:jc w:val="center"/>
            </w:pPr>
          </w:p>
        </w:tc>
        <w:tc>
          <w:tcPr>
            <w:tcW w:w="1725" w:type="dxa"/>
            <w:shd w:val="clear" w:color="auto" w:fill="auto"/>
            <w:tcMar>
              <w:top w:w="100" w:type="dxa"/>
              <w:left w:w="100" w:type="dxa"/>
              <w:bottom w:w="100" w:type="dxa"/>
              <w:right w:w="100" w:type="dxa"/>
            </w:tcMar>
          </w:tcPr>
          <w:p w14:paraId="0000013A" w14:textId="77777777" w:rsidR="00D54BEB" w:rsidRDefault="00D54BEB">
            <w:pPr>
              <w:spacing w:line="240" w:lineRule="auto"/>
              <w:jc w:val="center"/>
            </w:pPr>
          </w:p>
        </w:tc>
      </w:tr>
      <w:tr w:rsidR="00D54BEB" w14:paraId="208B70A0" w14:textId="77777777">
        <w:trPr>
          <w:trHeight w:val="113"/>
        </w:trPr>
        <w:tc>
          <w:tcPr>
            <w:tcW w:w="3795" w:type="dxa"/>
            <w:shd w:val="clear" w:color="auto" w:fill="auto"/>
            <w:tcMar>
              <w:top w:w="100" w:type="dxa"/>
              <w:left w:w="100" w:type="dxa"/>
              <w:bottom w:w="100" w:type="dxa"/>
              <w:right w:w="100" w:type="dxa"/>
            </w:tcMar>
          </w:tcPr>
          <w:p w14:paraId="0000013B" w14:textId="77777777" w:rsidR="00D54BEB" w:rsidRDefault="00DD3B20">
            <w:pPr>
              <w:spacing w:line="240" w:lineRule="auto"/>
            </w:pPr>
            <w:r>
              <w:t xml:space="preserve">  World Health Organization </w:t>
            </w:r>
          </w:p>
        </w:tc>
        <w:tc>
          <w:tcPr>
            <w:tcW w:w="1545" w:type="dxa"/>
            <w:shd w:val="clear" w:color="auto" w:fill="auto"/>
            <w:tcMar>
              <w:top w:w="100" w:type="dxa"/>
              <w:left w:w="100" w:type="dxa"/>
              <w:bottom w:w="100" w:type="dxa"/>
              <w:right w:w="100" w:type="dxa"/>
            </w:tcMar>
          </w:tcPr>
          <w:p w14:paraId="0000013C" w14:textId="77777777" w:rsidR="00D54BEB" w:rsidRDefault="00DD3B20">
            <w:pPr>
              <w:spacing w:line="240" w:lineRule="auto"/>
              <w:jc w:val="center"/>
            </w:pPr>
            <w:r>
              <w:t>109</w:t>
            </w:r>
          </w:p>
        </w:tc>
        <w:tc>
          <w:tcPr>
            <w:tcW w:w="1725" w:type="dxa"/>
            <w:shd w:val="clear" w:color="auto" w:fill="auto"/>
            <w:tcMar>
              <w:top w:w="100" w:type="dxa"/>
              <w:left w:w="100" w:type="dxa"/>
              <w:bottom w:w="100" w:type="dxa"/>
              <w:right w:w="100" w:type="dxa"/>
            </w:tcMar>
          </w:tcPr>
          <w:p w14:paraId="0000013D" w14:textId="77777777" w:rsidR="00D54BEB" w:rsidRDefault="00DD3B20">
            <w:pPr>
              <w:spacing w:line="240" w:lineRule="auto"/>
              <w:jc w:val="center"/>
            </w:pPr>
            <w:r>
              <w:t>90.8%</w:t>
            </w:r>
          </w:p>
        </w:tc>
      </w:tr>
      <w:tr w:rsidR="00D54BEB" w14:paraId="206C6552" w14:textId="77777777">
        <w:trPr>
          <w:trHeight w:val="113"/>
        </w:trPr>
        <w:tc>
          <w:tcPr>
            <w:tcW w:w="3795" w:type="dxa"/>
            <w:shd w:val="clear" w:color="auto" w:fill="auto"/>
            <w:tcMar>
              <w:top w:w="100" w:type="dxa"/>
              <w:left w:w="100" w:type="dxa"/>
              <w:bottom w:w="100" w:type="dxa"/>
              <w:right w:w="100" w:type="dxa"/>
            </w:tcMar>
          </w:tcPr>
          <w:p w14:paraId="0000013E" w14:textId="77777777" w:rsidR="00D54BEB" w:rsidRDefault="00DD3B20">
            <w:pPr>
              <w:spacing w:line="240" w:lineRule="auto"/>
            </w:pPr>
            <w:r>
              <w:t xml:space="preserve">  Taiwan standards </w:t>
            </w:r>
          </w:p>
        </w:tc>
        <w:tc>
          <w:tcPr>
            <w:tcW w:w="1545" w:type="dxa"/>
            <w:shd w:val="clear" w:color="auto" w:fill="auto"/>
            <w:tcMar>
              <w:top w:w="100" w:type="dxa"/>
              <w:left w:w="100" w:type="dxa"/>
              <w:bottom w:w="100" w:type="dxa"/>
              <w:right w:w="100" w:type="dxa"/>
            </w:tcMar>
          </w:tcPr>
          <w:p w14:paraId="0000013F" w14:textId="77777777" w:rsidR="00D54BEB" w:rsidRDefault="00DD3B20">
            <w:pPr>
              <w:spacing w:line="240" w:lineRule="auto"/>
              <w:jc w:val="center"/>
            </w:pPr>
            <w:r>
              <w:t xml:space="preserve">3 </w:t>
            </w:r>
          </w:p>
        </w:tc>
        <w:tc>
          <w:tcPr>
            <w:tcW w:w="1725" w:type="dxa"/>
            <w:shd w:val="clear" w:color="auto" w:fill="auto"/>
            <w:tcMar>
              <w:top w:w="100" w:type="dxa"/>
              <w:left w:w="100" w:type="dxa"/>
              <w:bottom w:w="100" w:type="dxa"/>
              <w:right w:w="100" w:type="dxa"/>
            </w:tcMar>
          </w:tcPr>
          <w:p w14:paraId="00000140" w14:textId="77777777" w:rsidR="00D54BEB" w:rsidRDefault="00DD3B20">
            <w:pPr>
              <w:spacing w:line="240" w:lineRule="auto"/>
              <w:jc w:val="center"/>
            </w:pPr>
            <w:r>
              <w:t>2.5%</w:t>
            </w:r>
          </w:p>
        </w:tc>
      </w:tr>
      <w:tr w:rsidR="00D54BEB" w14:paraId="7977C14B" w14:textId="77777777">
        <w:trPr>
          <w:trHeight w:val="113"/>
        </w:trPr>
        <w:tc>
          <w:tcPr>
            <w:tcW w:w="3795" w:type="dxa"/>
            <w:shd w:val="clear" w:color="auto" w:fill="auto"/>
            <w:tcMar>
              <w:top w:w="100" w:type="dxa"/>
              <w:left w:w="100" w:type="dxa"/>
              <w:bottom w:w="100" w:type="dxa"/>
              <w:right w:w="100" w:type="dxa"/>
            </w:tcMar>
          </w:tcPr>
          <w:p w14:paraId="00000141" w14:textId="77777777" w:rsidR="00D54BEB" w:rsidRDefault="00DD3B20">
            <w:pPr>
              <w:spacing w:line="240" w:lineRule="auto"/>
            </w:pPr>
            <w:r>
              <w:t xml:space="preserve">  Japanese Society for the Study of Obesity </w:t>
            </w:r>
          </w:p>
        </w:tc>
        <w:tc>
          <w:tcPr>
            <w:tcW w:w="1545" w:type="dxa"/>
            <w:shd w:val="clear" w:color="auto" w:fill="auto"/>
            <w:tcMar>
              <w:top w:w="100" w:type="dxa"/>
              <w:left w:w="100" w:type="dxa"/>
              <w:bottom w:w="100" w:type="dxa"/>
              <w:right w:w="100" w:type="dxa"/>
            </w:tcMar>
          </w:tcPr>
          <w:p w14:paraId="00000142" w14:textId="77777777" w:rsidR="00D54BEB" w:rsidRDefault="00DD3B20">
            <w:pPr>
              <w:spacing w:line="240" w:lineRule="auto"/>
              <w:jc w:val="center"/>
            </w:pPr>
            <w:r>
              <w:t xml:space="preserve">3 </w:t>
            </w:r>
          </w:p>
        </w:tc>
        <w:tc>
          <w:tcPr>
            <w:tcW w:w="1725" w:type="dxa"/>
            <w:shd w:val="clear" w:color="auto" w:fill="auto"/>
            <w:tcMar>
              <w:top w:w="100" w:type="dxa"/>
              <w:left w:w="100" w:type="dxa"/>
              <w:bottom w:w="100" w:type="dxa"/>
              <w:right w:w="100" w:type="dxa"/>
            </w:tcMar>
          </w:tcPr>
          <w:p w14:paraId="00000143" w14:textId="77777777" w:rsidR="00D54BEB" w:rsidRDefault="00DD3B20">
            <w:pPr>
              <w:spacing w:line="240" w:lineRule="auto"/>
              <w:jc w:val="center"/>
            </w:pPr>
            <w:r>
              <w:t>2.5%</w:t>
            </w:r>
          </w:p>
        </w:tc>
      </w:tr>
      <w:tr w:rsidR="00D54BEB" w14:paraId="023F5788" w14:textId="77777777">
        <w:trPr>
          <w:trHeight w:val="113"/>
        </w:trPr>
        <w:tc>
          <w:tcPr>
            <w:tcW w:w="3795" w:type="dxa"/>
            <w:shd w:val="clear" w:color="auto" w:fill="auto"/>
            <w:tcMar>
              <w:top w:w="100" w:type="dxa"/>
              <w:left w:w="100" w:type="dxa"/>
              <w:bottom w:w="100" w:type="dxa"/>
              <w:right w:w="100" w:type="dxa"/>
            </w:tcMar>
          </w:tcPr>
          <w:p w14:paraId="00000144" w14:textId="77777777" w:rsidR="00D54BEB" w:rsidRDefault="00DD3B20">
            <w:pPr>
              <w:spacing w:line="240" w:lineRule="auto"/>
            </w:pPr>
            <w:r>
              <w:t xml:space="preserve">  Indonesian Standards</w:t>
            </w:r>
          </w:p>
        </w:tc>
        <w:tc>
          <w:tcPr>
            <w:tcW w:w="1545" w:type="dxa"/>
            <w:shd w:val="clear" w:color="auto" w:fill="auto"/>
            <w:tcMar>
              <w:top w:w="100" w:type="dxa"/>
              <w:left w:w="100" w:type="dxa"/>
              <w:bottom w:w="100" w:type="dxa"/>
              <w:right w:w="100" w:type="dxa"/>
            </w:tcMar>
          </w:tcPr>
          <w:p w14:paraId="00000145" w14:textId="77777777" w:rsidR="00D54BEB" w:rsidRDefault="00DD3B20">
            <w:pPr>
              <w:spacing w:line="240" w:lineRule="auto"/>
              <w:jc w:val="center"/>
            </w:pPr>
            <w:r>
              <w:t>1</w:t>
            </w:r>
          </w:p>
        </w:tc>
        <w:tc>
          <w:tcPr>
            <w:tcW w:w="1725" w:type="dxa"/>
            <w:shd w:val="clear" w:color="auto" w:fill="auto"/>
            <w:tcMar>
              <w:top w:w="100" w:type="dxa"/>
              <w:left w:w="100" w:type="dxa"/>
              <w:bottom w:w="100" w:type="dxa"/>
              <w:right w:w="100" w:type="dxa"/>
            </w:tcMar>
          </w:tcPr>
          <w:p w14:paraId="00000146" w14:textId="77777777" w:rsidR="00D54BEB" w:rsidRDefault="00DD3B20">
            <w:pPr>
              <w:spacing w:line="240" w:lineRule="auto"/>
              <w:jc w:val="center"/>
            </w:pPr>
            <w:r>
              <w:t>0.8%</w:t>
            </w:r>
          </w:p>
        </w:tc>
      </w:tr>
      <w:tr w:rsidR="00D54BEB" w14:paraId="530DA47E" w14:textId="77777777">
        <w:trPr>
          <w:trHeight w:val="113"/>
        </w:trPr>
        <w:tc>
          <w:tcPr>
            <w:tcW w:w="3795" w:type="dxa"/>
            <w:shd w:val="clear" w:color="auto" w:fill="auto"/>
            <w:tcMar>
              <w:top w:w="100" w:type="dxa"/>
              <w:left w:w="100" w:type="dxa"/>
              <w:bottom w:w="100" w:type="dxa"/>
              <w:right w:w="100" w:type="dxa"/>
            </w:tcMar>
          </w:tcPr>
          <w:p w14:paraId="00000147" w14:textId="77777777" w:rsidR="00D54BEB" w:rsidRDefault="00DD3B20">
            <w:pPr>
              <w:spacing w:line="240" w:lineRule="auto"/>
            </w:pPr>
            <w:r>
              <w:t xml:space="preserve">  Working Group on Obesity China </w:t>
            </w:r>
          </w:p>
        </w:tc>
        <w:tc>
          <w:tcPr>
            <w:tcW w:w="1545" w:type="dxa"/>
            <w:shd w:val="clear" w:color="auto" w:fill="auto"/>
            <w:tcMar>
              <w:top w:w="100" w:type="dxa"/>
              <w:left w:w="100" w:type="dxa"/>
              <w:bottom w:w="100" w:type="dxa"/>
              <w:right w:w="100" w:type="dxa"/>
            </w:tcMar>
          </w:tcPr>
          <w:p w14:paraId="00000148" w14:textId="77777777" w:rsidR="00D54BEB" w:rsidRDefault="00DD3B20">
            <w:pPr>
              <w:spacing w:line="240" w:lineRule="auto"/>
              <w:jc w:val="center"/>
            </w:pPr>
            <w:r>
              <w:t xml:space="preserve">1 </w:t>
            </w:r>
          </w:p>
        </w:tc>
        <w:tc>
          <w:tcPr>
            <w:tcW w:w="1725" w:type="dxa"/>
            <w:shd w:val="clear" w:color="auto" w:fill="auto"/>
            <w:tcMar>
              <w:top w:w="100" w:type="dxa"/>
              <w:left w:w="100" w:type="dxa"/>
              <w:bottom w:w="100" w:type="dxa"/>
              <w:right w:w="100" w:type="dxa"/>
            </w:tcMar>
          </w:tcPr>
          <w:p w14:paraId="00000149" w14:textId="77777777" w:rsidR="00D54BEB" w:rsidRDefault="00DD3B20">
            <w:pPr>
              <w:spacing w:line="240" w:lineRule="auto"/>
              <w:jc w:val="center"/>
            </w:pPr>
            <w:r>
              <w:t>0.8%</w:t>
            </w:r>
          </w:p>
        </w:tc>
      </w:tr>
      <w:tr w:rsidR="00D54BEB" w14:paraId="4D6C566F" w14:textId="77777777">
        <w:trPr>
          <w:trHeight w:val="113"/>
        </w:trPr>
        <w:tc>
          <w:tcPr>
            <w:tcW w:w="3795" w:type="dxa"/>
            <w:shd w:val="clear" w:color="auto" w:fill="auto"/>
            <w:tcMar>
              <w:top w:w="100" w:type="dxa"/>
              <w:left w:w="100" w:type="dxa"/>
              <w:bottom w:w="100" w:type="dxa"/>
              <w:right w:w="100" w:type="dxa"/>
            </w:tcMar>
          </w:tcPr>
          <w:p w14:paraId="0000014A" w14:textId="77777777" w:rsidR="00D54BEB" w:rsidRDefault="00DD3B20">
            <w:pPr>
              <w:spacing w:line="240" w:lineRule="auto"/>
            </w:pPr>
            <w:r>
              <w:t xml:space="preserve">  Asia Standard Scale</w:t>
            </w:r>
          </w:p>
        </w:tc>
        <w:tc>
          <w:tcPr>
            <w:tcW w:w="1545" w:type="dxa"/>
            <w:shd w:val="clear" w:color="auto" w:fill="auto"/>
            <w:tcMar>
              <w:top w:w="100" w:type="dxa"/>
              <w:left w:w="100" w:type="dxa"/>
              <w:bottom w:w="100" w:type="dxa"/>
              <w:right w:w="100" w:type="dxa"/>
            </w:tcMar>
          </w:tcPr>
          <w:p w14:paraId="0000014B" w14:textId="77777777" w:rsidR="00D54BEB" w:rsidRDefault="00DD3B20">
            <w:pPr>
              <w:spacing w:line="240" w:lineRule="auto"/>
              <w:jc w:val="center"/>
            </w:pPr>
            <w:r>
              <w:t>3</w:t>
            </w:r>
          </w:p>
        </w:tc>
        <w:tc>
          <w:tcPr>
            <w:tcW w:w="1725" w:type="dxa"/>
            <w:shd w:val="clear" w:color="auto" w:fill="auto"/>
            <w:tcMar>
              <w:top w:w="100" w:type="dxa"/>
              <w:left w:w="100" w:type="dxa"/>
              <w:bottom w:w="100" w:type="dxa"/>
              <w:right w:w="100" w:type="dxa"/>
            </w:tcMar>
          </w:tcPr>
          <w:p w14:paraId="0000014C" w14:textId="77777777" w:rsidR="00D54BEB" w:rsidRDefault="00DD3B20">
            <w:pPr>
              <w:spacing w:line="240" w:lineRule="auto"/>
              <w:jc w:val="center"/>
            </w:pPr>
            <w:r>
              <w:t>2.4%</w:t>
            </w:r>
          </w:p>
        </w:tc>
      </w:tr>
      <w:tr w:rsidR="00D54BEB" w14:paraId="503CB6F1" w14:textId="77777777">
        <w:trPr>
          <w:trHeight w:val="400"/>
        </w:trPr>
        <w:tc>
          <w:tcPr>
            <w:tcW w:w="7065" w:type="dxa"/>
            <w:gridSpan w:val="3"/>
            <w:shd w:val="clear" w:color="auto" w:fill="auto"/>
            <w:tcMar>
              <w:top w:w="100" w:type="dxa"/>
              <w:left w:w="100" w:type="dxa"/>
              <w:bottom w:w="100" w:type="dxa"/>
              <w:right w:w="100" w:type="dxa"/>
            </w:tcMar>
          </w:tcPr>
          <w:p w14:paraId="0000014D" w14:textId="77777777" w:rsidR="00D54BEB" w:rsidRDefault="00DD3B20">
            <w:pPr>
              <w:spacing w:line="240" w:lineRule="auto"/>
              <w:rPr>
                <w:b/>
              </w:rPr>
            </w:pPr>
            <w:r>
              <w:rPr>
                <w:b/>
              </w:rPr>
              <w:t>Overall risk of bias</w:t>
            </w:r>
          </w:p>
        </w:tc>
      </w:tr>
      <w:tr w:rsidR="00D54BEB" w14:paraId="4443147E" w14:textId="77777777">
        <w:trPr>
          <w:trHeight w:val="113"/>
        </w:trPr>
        <w:tc>
          <w:tcPr>
            <w:tcW w:w="3795" w:type="dxa"/>
            <w:shd w:val="clear" w:color="auto" w:fill="auto"/>
            <w:tcMar>
              <w:top w:w="100" w:type="dxa"/>
              <w:left w:w="100" w:type="dxa"/>
              <w:bottom w:w="100" w:type="dxa"/>
              <w:right w:w="100" w:type="dxa"/>
            </w:tcMar>
          </w:tcPr>
          <w:p w14:paraId="00000150" w14:textId="77777777" w:rsidR="00D54BEB" w:rsidRDefault="00DD3B20">
            <w:pPr>
              <w:spacing w:line="240" w:lineRule="auto"/>
            </w:pPr>
            <w:r>
              <w:t xml:space="preserve">  Low</w:t>
            </w:r>
          </w:p>
        </w:tc>
        <w:tc>
          <w:tcPr>
            <w:tcW w:w="1545" w:type="dxa"/>
            <w:shd w:val="clear" w:color="auto" w:fill="auto"/>
            <w:tcMar>
              <w:top w:w="100" w:type="dxa"/>
              <w:left w:w="100" w:type="dxa"/>
              <w:bottom w:w="100" w:type="dxa"/>
              <w:right w:w="100" w:type="dxa"/>
            </w:tcMar>
          </w:tcPr>
          <w:p w14:paraId="00000151" w14:textId="77777777" w:rsidR="00D54BEB" w:rsidRDefault="00DD3B20">
            <w:pPr>
              <w:spacing w:line="240" w:lineRule="auto"/>
              <w:jc w:val="center"/>
            </w:pPr>
            <w:r>
              <w:t>70</w:t>
            </w:r>
          </w:p>
        </w:tc>
        <w:tc>
          <w:tcPr>
            <w:tcW w:w="1725" w:type="dxa"/>
            <w:shd w:val="clear" w:color="auto" w:fill="auto"/>
            <w:tcMar>
              <w:top w:w="100" w:type="dxa"/>
              <w:left w:w="100" w:type="dxa"/>
              <w:bottom w:w="100" w:type="dxa"/>
              <w:right w:w="100" w:type="dxa"/>
            </w:tcMar>
          </w:tcPr>
          <w:p w14:paraId="00000152" w14:textId="77777777" w:rsidR="00D54BEB" w:rsidRDefault="00DD3B20">
            <w:pPr>
              <w:spacing w:line="240" w:lineRule="auto"/>
              <w:jc w:val="center"/>
            </w:pPr>
            <w:r>
              <w:t>58.3%</w:t>
            </w:r>
          </w:p>
        </w:tc>
      </w:tr>
      <w:tr w:rsidR="00D54BEB" w14:paraId="5C75F08D" w14:textId="77777777">
        <w:trPr>
          <w:trHeight w:val="383"/>
        </w:trPr>
        <w:tc>
          <w:tcPr>
            <w:tcW w:w="3795" w:type="dxa"/>
            <w:shd w:val="clear" w:color="auto" w:fill="auto"/>
            <w:tcMar>
              <w:top w:w="100" w:type="dxa"/>
              <w:left w:w="100" w:type="dxa"/>
              <w:bottom w:w="100" w:type="dxa"/>
              <w:right w:w="100" w:type="dxa"/>
            </w:tcMar>
          </w:tcPr>
          <w:p w14:paraId="00000153" w14:textId="77777777" w:rsidR="00D54BEB" w:rsidRDefault="00DD3B20">
            <w:pPr>
              <w:spacing w:line="240" w:lineRule="auto"/>
            </w:pPr>
            <w:r>
              <w:t xml:space="preserve">  Medium</w:t>
            </w:r>
          </w:p>
        </w:tc>
        <w:tc>
          <w:tcPr>
            <w:tcW w:w="1545" w:type="dxa"/>
            <w:shd w:val="clear" w:color="auto" w:fill="auto"/>
            <w:tcMar>
              <w:top w:w="100" w:type="dxa"/>
              <w:left w:w="100" w:type="dxa"/>
              <w:bottom w:w="100" w:type="dxa"/>
              <w:right w:w="100" w:type="dxa"/>
            </w:tcMar>
          </w:tcPr>
          <w:p w14:paraId="00000154" w14:textId="77777777" w:rsidR="00D54BEB" w:rsidRDefault="00DD3B20">
            <w:pPr>
              <w:spacing w:line="240" w:lineRule="auto"/>
              <w:jc w:val="center"/>
            </w:pPr>
            <w:r>
              <w:t>27</w:t>
            </w:r>
          </w:p>
        </w:tc>
        <w:tc>
          <w:tcPr>
            <w:tcW w:w="1725" w:type="dxa"/>
            <w:shd w:val="clear" w:color="auto" w:fill="auto"/>
            <w:tcMar>
              <w:top w:w="100" w:type="dxa"/>
              <w:left w:w="100" w:type="dxa"/>
              <w:bottom w:w="100" w:type="dxa"/>
              <w:right w:w="100" w:type="dxa"/>
            </w:tcMar>
          </w:tcPr>
          <w:p w14:paraId="00000155" w14:textId="77777777" w:rsidR="00D54BEB" w:rsidRDefault="00DD3B20">
            <w:pPr>
              <w:spacing w:line="240" w:lineRule="auto"/>
              <w:jc w:val="center"/>
            </w:pPr>
            <w:r>
              <w:t>22.5%</w:t>
            </w:r>
          </w:p>
        </w:tc>
      </w:tr>
      <w:tr w:rsidR="00D54BEB" w14:paraId="339A35B4" w14:textId="77777777">
        <w:trPr>
          <w:trHeight w:val="113"/>
        </w:trPr>
        <w:tc>
          <w:tcPr>
            <w:tcW w:w="3795" w:type="dxa"/>
            <w:shd w:val="clear" w:color="auto" w:fill="auto"/>
            <w:tcMar>
              <w:top w:w="100" w:type="dxa"/>
              <w:left w:w="100" w:type="dxa"/>
              <w:bottom w:w="100" w:type="dxa"/>
              <w:right w:w="100" w:type="dxa"/>
            </w:tcMar>
          </w:tcPr>
          <w:p w14:paraId="00000156" w14:textId="77777777" w:rsidR="00D54BEB" w:rsidRDefault="00DD3B20">
            <w:pPr>
              <w:spacing w:line="240" w:lineRule="auto"/>
            </w:pPr>
            <w:r>
              <w:t xml:space="preserve">  High </w:t>
            </w:r>
          </w:p>
        </w:tc>
        <w:tc>
          <w:tcPr>
            <w:tcW w:w="1545" w:type="dxa"/>
            <w:shd w:val="clear" w:color="auto" w:fill="auto"/>
            <w:tcMar>
              <w:top w:w="100" w:type="dxa"/>
              <w:left w:w="100" w:type="dxa"/>
              <w:bottom w:w="100" w:type="dxa"/>
              <w:right w:w="100" w:type="dxa"/>
            </w:tcMar>
          </w:tcPr>
          <w:p w14:paraId="00000157" w14:textId="77777777" w:rsidR="00D54BEB" w:rsidRDefault="00DD3B20">
            <w:pPr>
              <w:spacing w:line="240" w:lineRule="auto"/>
              <w:jc w:val="center"/>
            </w:pPr>
            <w:r>
              <w:t>23</w:t>
            </w:r>
          </w:p>
        </w:tc>
        <w:tc>
          <w:tcPr>
            <w:tcW w:w="1725" w:type="dxa"/>
            <w:shd w:val="clear" w:color="auto" w:fill="auto"/>
            <w:tcMar>
              <w:top w:w="100" w:type="dxa"/>
              <w:left w:w="100" w:type="dxa"/>
              <w:bottom w:w="100" w:type="dxa"/>
              <w:right w:w="100" w:type="dxa"/>
            </w:tcMar>
          </w:tcPr>
          <w:p w14:paraId="00000158" w14:textId="77777777" w:rsidR="00D54BEB" w:rsidRDefault="00DD3B20">
            <w:pPr>
              <w:spacing w:line="240" w:lineRule="auto"/>
              <w:jc w:val="center"/>
            </w:pPr>
            <w:r>
              <w:t>19.1%</w:t>
            </w:r>
          </w:p>
        </w:tc>
      </w:tr>
      <w:tr w:rsidR="00D54BEB" w14:paraId="3E0B041F" w14:textId="77777777">
        <w:trPr>
          <w:trHeight w:val="8"/>
        </w:trPr>
        <w:tc>
          <w:tcPr>
            <w:tcW w:w="7065" w:type="dxa"/>
            <w:gridSpan w:val="3"/>
            <w:shd w:val="clear" w:color="auto" w:fill="auto"/>
            <w:tcMar>
              <w:top w:w="100" w:type="dxa"/>
              <w:left w:w="100" w:type="dxa"/>
              <w:bottom w:w="100" w:type="dxa"/>
              <w:right w:w="100" w:type="dxa"/>
            </w:tcMar>
          </w:tcPr>
          <w:p w14:paraId="00000159" w14:textId="1DFBD62D" w:rsidR="00D54BEB" w:rsidRDefault="00DD3B20">
            <w:pPr>
              <w:spacing w:line="240" w:lineRule="auto"/>
              <w:rPr>
                <w:b/>
              </w:rPr>
            </w:pPr>
            <w:r>
              <w:t xml:space="preserve">HIC: High income country, LMIC: </w:t>
            </w:r>
            <w:r w:rsidR="001350F8">
              <w:t>Low- and middle-income</w:t>
            </w:r>
            <w:r>
              <w:t xml:space="preserve"> countries, SMI: Severe mental illness. </w:t>
            </w:r>
            <w:r>
              <w:rPr>
                <w:vertAlign w:val="superscript"/>
              </w:rPr>
              <w:t>1</w:t>
            </w:r>
            <w:r>
              <w:t xml:space="preserve">The “any” category includes studies where the estimates of obesity were not separated between the type SMI; </w:t>
            </w:r>
            <w:r>
              <w:rPr>
                <w:vertAlign w:val="superscript"/>
              </w:rPr>
              <w:t>2</w:t>
            </w:r>
            <w:r>
              <w:t xml:space="preserve">we did not find studies focusing </w:t>
            </w:r>
            <w:r w:rsidR="001350F8">
              <w:t>on</w:t>
            </w:r>
            <w:r>
              <w:t xml:space="preserve"> major depression with psychotic features independently and only found one study focusing at first episode of psychosis which was included in the “schizophrenia” category; </w:t>
            </w:r>
            <w:r>
              <w:rPr>
                <w:vertAlign w:val="superscript"/>
              </w:rPr>
              <w:t>3</w:t>
            </w:r>
            <w:r>
              <w:t xml:space="preserve"> Studies including participants with prescribed antipsychotic medication or open population (mix of participants taking and not taking antipsychotic medication).</w:t>
            </w:r>
          </w:p>
        </w:tc>
      </w:tr>
    </w:tbl>
    <w:p w14:paraId="0000015C" w14:textId="77777777" w:rsidR="00D54BEB" w:rsidRDefault="00D54BEB"/>
    <w:p w14:paraId="0000015D" w14:textId="77777777" w:rsidR="00D54BEB" w:rsidRDefault="00DD3B20">
      <w:r>
        <w:rPr>
          <w:b/>
        </w:rPr>
        <w:t>Table 2.</w:t>
      </w:r>
      <w:r>
        <w:t xml:space="preserve">  Pooled prevalence of overweight obesity and combined overweight and obesity according to SMI, geographical region, World Bank classification and year of publication. </w:t>
      </w:r>
    </w:p>
    <w:tbl>
      <w:tblPr>
        <w:tblStyle w:val="a0"/>
        <w:tblW w:w="891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1875"/>
        <w:gridCol w:w="1800"/>
        <w:gridCol w:w="2085"/>
      </w:tblGrid>
      <w:tr w:rsidR="00D54BEB" w14:paraId="47A9E8E9" w14:textId="77777777">
        <w:trPr>
          <w:trHeight w:val="885"/>
        </w:trPr>
        <w:tc>
          <w:tcPr>
            <w:tcW w:w="3150" w:type="dxa"/>
            <w:shd w:val="clear" w:color="auto" w:fill="auto"/>
            <w:tcMar>
              <w:top w:w="100" w:type="dxa"/>
              <w:left w:w="100" w:type="dxa"/>
              <w:bottom w:w="100" w:type="dxa"/>
              <w:right w:w="100" w:type="dxa"/>
            </w:tcMar>
          </w:tcPr>
          <w:p w14:paraId="0000015E" w14:textId="77777777" w:rsidR="00D54BEB" w:rsidRDefault="00D54BEB">
            <w:pPr>
              <w:widowControl w:val="0"/>
              <w:spacing w:line="240" w:lineRule="auto"/>
              <w:jc w:val="left"/>
            </w:pPr>
          </w:p>
        </w:tc>
        <w:tc>
          <w:tcPr>
            <w:tcW w:w="1875" w:type="dxa"/>
            <w:shd w:val="clear" w:color="auto" w:fill="auto"/>
            <w:tcMar>
              <w:top w:w="100" w:type="dxa"/>
              <w:left w:w="100" w:type="dxa"/>
              <w:bottom w:w="100" w:type="dxa"/>
              <w:right w:w="100" w:type="dxa"/>
            </w:tcMar>
          </w:tcPr>
          <w:p w14:paraId="0000015F" w14:textId="77777777" w:rsidR="00D54BEB" w:rsidRDefault="00DD3B20">
            <w:pPr>
              <w:widowControl w:val="0"/>
              <w:spacing w:line="240" w:lineRule="auto"/>
              <w:rPr>
                <w:b/>
              </w:rPr>
            </w:pPr>
            <w:r>
              <w:rPr>
                <w:b/>
              </w:rPr>
              <w:t>Overweight</w:t>
            </w:r>
          </w:p>
        </w:tc>
        <w:tc>
          <w:tcPr>
            <w:tcW w:w="1800" w:type="dxa"/>
            <w:shd w:val="clear" w:color="auto" w:fill="auto"/>
            <w:tcMar>
              <w:top w:w="100" w:type="dxa"/>
              <w:left w:w="100" w:type="dxa"/>
              <w:bottom w:w="100" w:type="dxa"/>
              <w:right w:w="100" w:type="dxa"/>
            </w:tcMar>
          </w:tcPr>
          <w:p w14:paraId="00000160" w14:textId="77777777" w:rsidR="00D54BEB" w:rsidRDefault="00DD3B20">
            <w:pPr>
              <w:widowControl w:val="0"/>
              <w:spacing w:line="240" w:lineRule="auto"/>
              <w:rPr>
                <w:b/>
              </w:rPr>
            </w:pPr>
            <w:r>
              <w:rPr>
                <w:b/>
              </w:rPr>
              <w:t xml:space="preserve">Obesity </w:t>
            </w:r>
          </w:p>
        </w:tc>
        <w:tc>
          <w:tcPr>
            <w:tcW w:w="2085" w:type="dxa"/>
            <w:shd w:val="clear" w:color="auto" w:fill="auto"/>
            <w:tcMar>
              <w:top w:w="100" w:type="dxa"/>
              <w:left w:w="100" w:type="dxa"/>
              <w:bottom w:w="100" w:type="dxa"/>
              <w:right w:w="100" w:type="dxa"/>
            </w:tcMar>
          </w:tcPr>
          <w:p w14:paraId="00000161" w14:textId="77777777" w:rsidR="00D54BEB" w:rsidRDefault="00DD3B20">
            <w:pPr>
              <w:widowControl w:val="0"/>
              <w:spacing w:line="240" w:lineRule="auto"/>
              <w:rPr>
                <w:b/>
              </w:rPr>
            </w:pPr>
            <w:r>
              <w:rPr>
                <w:b/>
              </w:rPr>
              <w:t xml:space="preserve">Combined prevalence of overweight and obesity </w:t>
            </w:r>
          </w:p>
        </w:tc>
      </w:tr>
      <w:tr w:rsidR="00D54BEB" w14:paraId="5C590FB4" w14:textId="77777777">
        <w:tc>
          <w:tcPr>
            <w:tcW w:w="3150" w:type="dxa"/>
            <w:shd w:val="clear" w:color="auto" w:fill="auto"/>
            <w:tcMar>
              <w:top w:w="100" w:type="dxa"/>
              <w:left w:w="100" w:type="dxa"/>
              <w:bottom w:w="100" w:type="dxa"/>
              <w:right w:w="100" w:type="dxa"/>
            </w:tcMar>
          </w:tcPr>
          <w:p w14:paraId="00000162" w14:textId="77777777" w:rsidR="00D54BEB" w:rsidRDefault="00DD3B20">
            <w:pPr>
              <w:widowControl w:val="0"/>
              <w:spacing w:line="240" w:lineRule="auto"/>
              <w:jc w:val="left"/>
            </w:pPr>
            <w:r>
              <w:t>Number of studies</w:t>
            </w:r>
          </w:p>
        </w:tc>
        <w:tc>
          <w:tcPr>
            <w:tcW w:w="1875" w:type="dxa"/>
            <w:shd w:val="clear" w:color="auto" w:fill="auto"/>
            <w:tcMar>
              <w:top w:w="100" w:type="dxa"/>
              <w:left w:w="100" w:type="dxa"/>
              <w:bottom w:w="100" w:type="dxa"/>
              <w:right w:w="100" w:type="dxa"/>
            </w:tcMar>
          </w:tcPr>
          <w:p w14:paraId="00000163" w14:textId="77777777" w:rsidR="00D54BEB" w:rsidRDefault="00DD3B20">
            <w:pPr>
              <w:widowControl w:val="0"/>
              <w:spacing w:line="240" w:lineRule="auto"/>
              <w:jc w:val="left"/>
            </w:pPr>
            <w:r>
              <w:t>108</w:t>
            </w:r>
          </w:p>
        </w:tc>
        <w:tc>
          <w:tcPr>
            <w:tcW w:w="1800" w:type="dxa"/>
            <w:shd w:val="clear" w:color="auto" w:fill="auto"/>
            <w:tcMar>
              <w:top w:w="100" w:type="dxa"/>
              <w:left w:w="100" w:type="dxa"/>
              <w:bottom w:w="100" w:type="dxa"/>
              <w:right w:w="100" w:type="dxa"/>
            </w:tcMar>
          </w:tcPr>
          <w:p w14:paraId="00000164" w14:textId="77777777" w:rsidR="00D54BEB" w:rsidRDefault="00DD3B20">
            <w:pPr>
              <w:widowControl w:val="0"/>
              <w:spacing w:line="240" w:lineRule="auto"/>
              <w:jc w:val="left"/>
            </w:pPr>
            <w:r>
              <w:t>120</w:t>
            </w:r>
          </w:p>
        </w:tc>
        <w:tc>
          <w:tcPr>
            <w:tcW w:w="2085" w:type="dxa"/>
            <w:shd w:val="clear" w:color="auto" w:fill="auto"/>
            <w:tcMar>
              <w:top w:w="100" w:type="dxa"/>
              <w:left w:w="100" w:type="dxa"/>
              <w:bottom w:w="100" w:type="dxa"/>
              <w:right w:w="100" w:type="dxa"/>
            </w:tcMar>
          </w:tcPr>
          <w:p w14:paraId="00000165" w14:textId="77777777" w:rsidR="00D54BEB" w:rsidRDefault="00DD3B20">
            <w:pPr>
              <w:widowControl w:val="0"/>
              <w:spacing w:line="240" w:lineRule="auto"/>
              <w:jc w:val="left"/>
            </w:pPr>
            <w:r>
              <w:t>108</w:t>
            </w:r>
          </w:p>
        </w:tc>
      </w:tr>
      <w:tr w:rsidR="00D54BEB" w14:paraId="5FBC5D28" w14:textId="77777777">
        <w:tc>
          <w:tcPr>
            <w:tcW w:w="3150" w:type="dxa"/>
            <w:shd w:val="clear" w:color="auto" w:fill="auto"/>
            <w:tcMar>
              <w:top w:w="100" w:type="dxa"/>
              <w:left w:w="100" w:type="dxa"/>
              <w:bottom w:w="100" w:type="dxa"/>
              <w:right w:w="100" w:type="dxa"/>
            </w:tcMar>
          </w:tcPr>
          <w:p w14:paraId="00000166" w14:textId="77777777" w:rsidR="00D54BEB" w:rsidRDefault="00DD3B20">
            <w:pPr>
              <w:widowControl w:val="0"/>
              <w:spacing w:line="240" w:lineRule="auto"/>
              <w:rPr>
                <w:highlight w:val="white"/>
              </w:rPr>
            </w:pPr>
            <w:r>
              <w:rPr>
                <w:highlight w:val="white"/>
              </w:rPr>
              <w:t xml:space="preserve">Overall pooled  prevalence (95%CI) </w:t>
            </w:r>
          </w:p>
        </w:tc>
        <w:tc>
          <w:tcPr>
            <w:tcW w:w="1875" w:type="dxa"/>
            <w:shd w:val="clear" w:color="auto" w:fill="auto"/>
            <w:tcMar>
              <w:top w:w="100" w:type="dxa"/>
              <w:left w:w="100" w:type="dxa"/>
              <w:bottom w:w="100" w:type="dxa"/>
              <w:right w:w="100" w:type="dxa"/>
            </w:tcMar>
          </w:tcPr>
          <w:p w14:paraId="00000167" w14:textId="77777777" w:rsidR="00D54BEB" w:rsidRDefault="00DD3B20">
            <w:pPr>
              <w:widowControl w:val="0"/>
              <w:spacing w:line="240" w:lineRule="auto"/>
              <w:jc w:val="left"/>
              <w:rPr>
                <w:highlight w:val="white"/>
              </w:rPr>
            </w:pPr>
            <w:r>
              <w:rPr>
                <w:highlight w:val="white"/>
              </w:rPr>
              <w:t>31.2% (28.9-32.1)</w:t>
            </w:r>
          </w:p>
        </w:tc>
        <w:tc>
          <w:tcPr>
            <w:tcW w:w="1800" w:type="dxa"/>
            <w:shd w:val="clear" w:color="auto" w:fill="auto"/>
            <w:tcMar>
              <w:top w:w="100" w:type="dxa"/>
              <w:left w:w="100" w:type="dxa"/>
              <w:bottom w:w="100" w:type="dxa"/>
              <w:right w:w="100" w:type="dxa"/>
            </w:tcMar>
          </w:tcPr>
          <w:p w14:paraId="00000168" w14:textId="77777777" w:rsidR="00D54BEB" w:rsidRDefault="00DD3B20">
            <w:pPr>
              <w:widowControl w:val="0"/>
              <w:spacing w:line="240" w:lineRule="auto"/>
              <w:jc w:val="left"/>
              <w:rPr>
                <w:highlight w:val="white"/>
              </w:rPr>
            </w:pPr>
            <w:r>
              <w:rPr>
                <w:highlight w:val="white"/>
              </w:rPr>
              <w:t xml:space="preserve">25.9% (23.3-29.1) </w:t>
            </w:r>
          </w:p>
        </w:tc>
        <w:tc>
          <w:tcPr>
            <w:tcW w:w="2085" w:type="dxa"/>
            <w:shd w:val="clear" w:color="auto" w:fill="auto"/>
            <w:tcMar>
              <w:top w:w="100" w:type="dxa"/>
              <w:left w:w="100" w:type="dxa"/>
              <w:bottom w:w="100" w:type="dxa"/>
              <w:right w:w="100" w:type="dxa"/>
            </w:tcMar>
          </w:tcPr>
          <w:p w14:paraId="00000169" w14:textId="77777777" w:rsidR="00D54BEB" w:rsidRDefault="00DD3B20">
            <w:pPr>
              <w:widowControl w:val="0"/>
              <w:spacing w:line="240" w:lineRule="auto"/>
              <w:jc w:val="left"/>
              <w:rPr>
                <w:highlight w:val="white"/>
              </w:rPr>
            </w:pPr>
            <w:r>
              <w:rPr>
                <w:highlight w:val="white"/>
              </w:rPr>
              <w:t>60.1% (55.8-63.1)</w:t>
            </w:r>
          </w:p>
        </w:tc>
      </w:tr>
      <w:tr w:rsidR="00D54BEB" w14:paraId="584EAF88" w14:textId="77777777">
        <w:tc>
          <w:tcPr>
            <w:tcW w:w="3150" w:type="dxa"/>
            <w:shd w:val="clear" w:color="auto" w:fill="auto"/>
            <w:tcMar>
              <w:top w:w="100" w:type="dxa"/>
              <w:left w:w="100" w:type="dxa"/>
              <w:bottom w:w="100" w:type="dxa"/>
              <w:right w:w="100" w:type="dxa"/>
            </w:tcMar>
          </w:tcPr>
          <w:p w14:paraId="0000016A" w14:textId="77777777" w:rsidR="00D54BEB" w:rsidRDefault="00DD3B20">
            <w:pPr>
              <w:widowControl w:val="0"/>
              <w:spacing w:line="240" w:lineRule="auto"/>
            </w:pPr>
            <w:r>
              <w:t>Heterogeneity I</w:t>
            </w:r>
            <w:r>
              <w:rPr>
                <w:vertAlign w:val="superscript"/>
              </w:rPr>
              <w:t>2</w:t>
            </w:r>
            <w:r>
              <w:t xml:space="preserve"> </w:t>
            </w:r>
          </w:p>
        </w:tc>
        <w:tc>
          <w:tcPr>
            <w:tcW w:w="1875" w:type="dxa"/>
            <w:shd w:val="clear" w:color="auto" w:fill="auto"/>
            <w:tcMar>
              <w:top w:w="100" w:type="dxa"/>
              <w:left w:w="100" w:type="dxa"/>
              <w:bottom w:w="100" w:type="dxa"/>
              <w:right w:w="100" w:type="dxa"/>
            </w:tcMar>
          </w:tcPr>
          <w:p w14:paraId="0000016B" w14:textId="77777777" w:rsidR="00D54BEB" w:rsidRDefault="00DD3B20">
            <w:pPr>
              <w:widowControl w:val="0"/>
              <w:spacing w:line="240" w:lineRule="auto"/>
              <w:jc w:val="left"/>
            </w:pPr>
            <w:r>
              <w:t>97.1%</w:t>
            </w:r>
          </w:p>
        </w:tc>
        <w:tc>
          <w:tcPr>
            <w:tcW w:w="1800" w:type="dxa"/>
            <w:shd w:val="clear" w:color="auto" w:fill="auto"/>
            <w:tcMar>
              <w:top w:w="100" w:type="dxa"/>
              <w:left w:w="100" w:type="dxa"/>
              <w:bottom w:w="100" w:type="dxa"/>
              <w:right w:w="100" w:type="dxa"/>
            </w:tcMar>
          </w:tcPr>
          <w:p w14:paraId="0000016C" w14:textId="77777777" w:rsidR="00D54BEB" w:rsidRDefault="00DD3B20">
            <w:pPr>
              <w:widowControl w:val="0"/>
              <w:spacing w:line="240" w:lineRule="auto"/>
              <w:jc w:val="left"/>
            </w:pPr>
            <w:r>
              <w:t>88.3%</w:t>
            </w:r>
          </w:p>
        </w:tc>
        <w:tc>
          <w:tcPr>
            <w:tcW w:w="2085" w:type="dxa"/>
            <w:shd w:val="clear" w:color="auto" w:fill="auto"/>
            <w:tcMar>
              <w:top w:w="100" w:type="dxa"/>
              <w:left w:w="100" w:type="dxa"/>
              <w:bottom w:w="100" w:type="dxa"/>
              <w:right w:w="100" w:type="dxa"/>
            </w:tcMar>
          </w:tcPr>
          <w:p w14:paraId="0000016D" w14:textId="77777777" w:rsidR="00D54BEB" w:rsidRDefault="00DD3B20">
            <w:pPr>
              <w:widowControl w:val="0"/>
              <w:spacing w:line="240" w:lineRule="auto"/>
              <w:jc w:val="left"/>
            </w:pPr>
            <w:r>
              <w:t>98.1%</w:t>
            </w:r>
          </w:p>
        </w:tc>
      </w:tr>
      <w:tr w:rsidR="00D54BEB" w14:paraId="5DB0D2BD" w14:textId="77777777">
        <w:tc>
          <w:tcPr>
            <w:tcW w:w="3150" w:type="dxa"/>
            <w:shd w:val="clear" w:color="auto" w:fill="auto"/>
            <w:tcMar>
              <w:top w:w="100" w:type="dxa"/>
              <w:left w:w="100" w:type="dxa"/>
              <w:bottom w:w="100" w:type="dxa"/>
              <w:right w:w="100" w:type="dxa"/>
            </w:tcMar>
          </w:tcPr>
          <w:p w14:paraId="0000016E" w14:textId="77777777" w:rsidR="00D54BEB" w:rsidRDefault="00DD3B20">
            <w:pPr>
              <w:widowControl w:val="0"/>
              <w:spacing w:line="240" w:lineRule="auto"/>
            </w:pPr>
            <w:r>
              <w:rPr>
                <w:i/>
              </w:rPr>
              <w:t>T</w:t>
            </w:r>
            <w:r>
              <w:rPr>
                <w:vertAlign w:val="superscript"/>
              </w:rPr>
              <w:t>2</w:t>
            </w:r>
            <w:r>
              <w:t xml:space="preserve"> </w:t>
            </w:r>
          </w:p>
        </w:tc>
        <w:tc>
          <w:tcPr>
            <w:tcW w:w="1875" w:type="dxa"/>
            <w:shd w:val="clear" w:color="auto" w:fill="auto"/>
            <w:tcMar>
              <w:top w:w="100" w:type="dxa"/>
              <w:left w:w="100" w:type="dxa"/>
              <w:bottom w:w="100" w:type="dxa"/>
              <w:right w:w="100" w:type="dxa"/>
            </w:tcMar>
          </w:tcPr>
          <w:p w14:paraId="0000016F" w14:textId="77777777" w:rsidR="00D54BEB" w:rsidRDefault="00DD3B20">
            <w:pPr>
              <w:widowControl w:val="0"/>
              <w:spacing w:line="240" w:lineRule="auto"/>
              <w:jc w:val="left"/>
            </w:pPr>
            <w:r>
              <w:t>0.11</w:t>
            </w:r>
          </w:p>
        </w:tc>
        <w:tc>
          <w:tcPr>
            <w:tcW w:w="1800" w:type="dxa"/>
            <w:shd w:val="clear" w:color="auto" w:fill="auto"/>
            <w:tcMar>
              <w:top w:w="100" w:type="dxa"/>
              <w:left w:w="100" w:type="dxa"/>
              <w:bottom w:w="100" w:type="dxa"/>
              <w:right w:w="100" w:type="dxa"/>
            </w:tcMar>
          </w:tcPr>
          <w:p w14:paraId="00000170" w14:textId="77777777" w:rsidR="00D54BEB" w:rsidRDefault="00DD3B20">
            <w:pPr>
              <w:widowControl w:val="0"/>
              <w:spacing w:line="240" w:lineRule="auto"/>
              <w:jc w:val="left"/>
            </w:pPr>
            <w:r>
              <w:t>0.55</w:t>
            </w:r>
          </w:p>
        </w:tc>
        <w:tc>
          <w:tcPr>
            <w:tcW w:w="2085" w:type="dxa"/>
            <w:shd w:val="clear" w:color="auto" w:fill="auto"/>
            <w:tcMar>
              <w:top w:w="100" w:type="dxa"/>
              <w:left w:w="100" w:type="dxa"/>
              <w:bottom w:w="100" w:type="dxa"/>
              <w:right w:w="100" w:type="dxa"/>
            </w:tcMar>
          </w:tcPr>
          <w:p w14:paraId="00000171" w14:textId="77777777" w:rsidR="00D54BEB" w:rsidRDefault="00DD3B20">
            <w:pPr>
              <w:widowControl w:val="0"/>
              <w:spacing w:line="240" w:lineRule="auto"/>
              <w:jc w:val="left"/>
            </w:pPr>
            <w:r>
              <w:t>0.47</w:t>
            </w:r>
          </w:p>
        </w:tc>
      </w:tr>
      <w:tr w:rsidR="00D54BEB" w14:paraId="639190CC" w14:textId="77777777">
        <w:tc>
          <w:tcPr>
            <w:tcW w:w="3150" w:type="dxa"/>
            <w:shd w:val="clear" w:color="auto" w:fill="auto"/>
            <w:tcMar>
              <w:top w:w="100" w:type="dxa"/>
              <w:left w:w="100" w:type="dxa"/>
              <w:bottom w:w="100" w:type="dxa"/>
              <w:right w:w="100" w:type="dxa"/>
            </w:tcMar>
          </w:tcPr>
          <w:p w14:paraId="00000172" w14:textId="77777777" w:rsidR="00D54BEB" w:rsidRDefault="00DD3B20">
            <w:pPr>
              <w:widowControl w:val="0"/>
              <w:spacing w:line="240" w:lineRule="auto"/>
            </w:pPr>
            <w:r>
              <w:t xml:space="preserve">P </w:t>
            </w:r>
          </w:p>
        </w:tc>
        <w:tc>
          <w:tcPr>
            <w:tcW w:w="1875" w:type="dxa"/>
            <w:shd w:val="clear" w:color="auto" w:fill="auto"/>
            <w:tcMar>
              <w:top w:w="100" w:type="dxa"/>
              <w:left w:w="100" w:type="dxa"/>
              <w:bottom w:w="100" w:type="dxa"/>
              <w:right w:w="100" w:type="dxa"/>
            </w:tcMar>
          </w:tcPr>
          <w:p w14:paraId="00000173" w14:textId="77777777" w:rsidR="00D54BEB" w:rsidRDefault="00DD3B20">
            <w:pPr>
              <w:widowControl w:val="0"/>
              <w:spacing w:line="240" w:lineRule="auto"/>
            </w:pPr>
            <w:r>
              <w:t>&lt;0.01</w:t>
            </w:r>
          </w:p>
        </w:tc>
        <w:tc>
          <w:tcPr>
            <w:tcW w:w="1800" w:type="dxa"/>
            <w:shd w:val="clear" w:color="auto" w:fill="auto"/>
            <w:tcMar>
              <w:top w:w="100" w:type="dxa"/>
              <w:left w:w="100" w:type="dxa"/>
              <w:bottom w:w="100" w:type="dxa"/>
              <w:right w:w="100" w:type="dxa"/>
            </w:tcMar>
          </w:tcPr>
          <w:p w14:paraId="00000174" w14:textId="77777777" w:rsidR="00D54BEB" w:rsidRDefault="00DD3B20">
            <w:pPr>
              <w:widowControl w:val="0"/>
              <w:spacing w:line="240" w:lineRule="auto"/>
              <w:jc w:val="left"/>
            </w:pPr>
            <w:r>
              <w:t>&lt;0.01</w:t>
            </w:r>
          </w:p>
        </w:tc>
        <w:tc>
          <w:tcPr>
            <w:tcW w:w="2085" w:type="dxa"/>
            <w:shd w:val="clear" w:color="auto" w:fill="auto"/>
            <w:tcMar>
              <w:top w:w="100" w:type="dxa"/>
              <w:left w:w="100" w:type="dxa"/>
              <w:bottom w:w="100" w:type="dxa"/>
              <w:right w:w="100" w:type="dxa"/>
            </w:tcMar>
          </w:tcPr>
          <w:p w14:paraId="00000175" w14:textId="77777777" w:rsidR="00D54BEB" w:rsidRDefault="00DD3B20">
            <w:pPr>
              <w:widowControl w:val="0"/>
              <w:spacing w:line="240" w:lineRule="auto"/>
            </w:pPr>
            <w:r>
              <w:t>&lt;0.01</w:t>
            </w:r>
          </w:p>
        </w:tc>
      </w:tr>
      <w:tr w:rsidR="00D54BEB" w14:paraId="626CD0C7" w14:textId="77777777">
        <w:tc>
          <w:tcPr>
            <w:tcW w:w="3150" w:type="dxa"/>
            <w:shd w:val="clear" w:color="auto" w:fill="auto"/>
            <w:tcMar>
              <w:top w:w="100" w:type="dxa"/>
              <w:left w:w="100" w:type="dxa"/>
              <w:bottom w:w="100" w:type="dxa"/>
              <w:right w:w="100" w:type="dxa"/>
            </w:tcMar>
          </w:tcPr>
          <w:p w14:paraId="00000176" w14:textId="77777777" w:rsidR="00D54BEB" w:rsidRDefault="00DD3B20">
            <w:pPr>
              <w:spacing w:line="240" w:lineRule="auto"/>
              <w:rPr>
                <w:b/>
              </w:rPr>
            </w:pPr>
            <w:r>
              <w:rPr>
                <w:b/>
              </w:rPr>
              <w:t xml:space="preserve">Type of SMI </w:t>
            </w:r>
          </w:p>
        </w:tc>
        <w:tc>
          <w:tcPr>
            <w:tcW w:w="1875" w:type="dxa"/>
            <w:shd w:val="clear" w:color="auto" w:fill="auto"/>
            <w:tcMar>
              <w:top w:w="100" w:type="dxa"/>
              <w:left w:w="100" w:type="dxa"/>
              <w:bottom w:w="100" w:type="dxa"/>
              <w:right w:w="100" w:type="dxa"/>
            </w:tcMar>
          </w:tcPr>
          <w:p w14:paraId="00000177" w14:textId="77777777" w:rsidR="00D54BEB" w:rsidRDefault="00D54BEB">
            <w:pPr>
              <w:widowControl w:val="0"/>
              <w:spacing w:line="240" w:lineRule="auto"/>
              <w:jc w:val="left"/>
            </w:pPr>
          </w:p>
        </w:tc>
        <w:tc>
          <w:tcPr>
            <w:tcW w:w="1800" w:type="dxa"/>
            <w:shd w:val="clear" w:color="auto" w:fill="auto"/>
            <w:tcMar>
              <w:top w:w="100" w:type="dxa"/>
              <w:left w:w="100" w:type="dxa"/>
              <w:bottom w:w="100" w:type="dxa"/>
              <w:right w:w="100" w:type="dxa"/>
            </w:tcMar>
          </w:tcPr>
          <w:p w14:paraId="00000178" w14:textId="77777777" w:rsidR="00D54BEB" w:rsidRDefault="00D54BEB">
            <w:pPr>
              <w:widowControl w:val="0"/>
              <w:spacing w:line="240" w:lineRule="auto"/>
              <w:jc w:val="left"/>
            </w:pPr>
          </w:p>
        </w:tc>
        <w:tc>
          <w:tcPr>
            <w:tcW w:w="2085" w:type="dxa"/>
            <w:shd w:val="clear" w:color="auto" w:fill="auto"/>
            <w:tcMar>
              <w:top w:w="100" w:type="dxa"/>
              <w:left w:w="100" w:type="dxa"/>
              <w:bottom w:w="100" w:type="dxa"/>
              <w:right w:w="100" w:type="dxa"/>
            </w:tcMar>
          </w:tcPr>
          <w:p w14:paraId="00000179" w14:textId="77777777" w:rsidR="00D54BEB" w:rsidRDefault="00D54BEB">
            <w:pPr>
              <w:widowControl w:val="0"/>
              <w:spacing w:line="240" w:lineRule="auto"/>
              <w:jc w:val="left"/>
            </w:pPr>
          </w:p>
        </w:tc>
      </w:tr>
      <w:tr w:rsidR="00D54BEB" w14:paraId="03924700" w14:textId="77777777">
        <w:tc>
          <w:tcPr>
            <w:tcW w:w="3150" w:type="dxa"/>
            <w:shd w:val="clear" w:color="auto" w:fill="auto"/>
            <w:tcMar>
              <w:top w:w="100" w:type="dxa"/>
              <w:left w:w="100" w:type="dxa"/>
              <w:bottom w:w="100" w:type="dxa"/>
              <w:right w:w="100" w:type="dxa"/>
            </w:tcMar>
          </w:tcPr>
          <w:p w14:paraId="0000017A" w14:textId="77777777" w:rsidR="00D54BEB" w:rsidRDefault="00DD3B20">
            <w:pPr>
              <w:spacing w:line="240" w:lineRule="auto"/>
            </w:pPr>
            <w:r>
              <w:t xml:space="preserve">  Any SMI</w:t>
            </w:r>
            <w:r>
              <w:rPr>
                <w:b/>
                <w:vertAlign w:val="superscript"/>
              </w:rPr>
              <w:t>1</w:t>
            </w:r>
            <w:r>
              <w:t xml:space="preserve"> </w:t>
            </w:r>
          </w:p>
        </w:tc>
        <w:tc>
          <w:tcPr>
            <w:tcW w:w="1875" w:type="dxa"/>
            <w:shd w:val="clear" w:color="auto" w:fill="auto"/>
            <w:tcMar>
              <w:top w:w="100" w:type="dxa"/>
              <w:left w:w="100" w:type="dxa"/>
              <w:bottom w:w="100" w:type="dxa"/>
              <w:right w:w="100" w:type="dxa"/>
            </w:tcMar>
          </w:tcPr>
          <w:p w14:paraId="0000017B" w14:textId="77777777" w:rsidR="00D54BEB" w:rsidRDefault="00DD3B20">
            <w:pPr>
              <w:widowControl w:val="0"/>
              <w:spacing w:line="240" w:lineRule="auto"/>
              <w:jc w:val="left"/>
            </w:pPr>
            <w:r>
              <w:t>32.9% (31.2-34.7)</w:t>
            </w:r>
          </w:p>
        </w:tc>
        <w:tc>
          <w:tcPr>
            <w:tcW w:w="1800" w:type="dxa"/>
            <w:shd w:val="clear" w:color="auto" w:fill="auto"/>
            <w:tcMar>
              <w:top w:w="100" w:type="dxa"/>
              <w:left w:w="100" w:type="dxa"/>
              <w:bottom w:w="100" w:type="dxa"/>
              <w:right w:w="100" w:type="dxa"/>
            </w:tcMar>
          </w:tcPr>
          <w:p w14:paraId="0000017C" w14:textId="77777777" w:rsidR="00D54BEB" w:rsidRDefault="00DD3B20">
            <w:pPr>
              <w:widowControl w:val="0"/>
              <w:spacing w:line="240" w:lineRule="auto"/>
              <w:jc w:val="left"/>
            </w:pPr>
            <w:r>
              <w:t>25.4% (20.1-31.7)</w:t>
            </w:r>
          </w:p>
        </w:tc>
        <w:tc>
          <w:tcPr>
            <w:tcW w:w="2085" w:type="dxa"/>
            <w:shd w:val="clear" w:color="auto" w:fill="auto"/>
            <w:tcMar>
              <w:top w:w="100" w:type="dxa"/>
              <w:left w:w="100" w:type="dxa"/>
              <w:bottom w:w="100" w:type="dxa"/>
              <w:right w:w="100" w:type="dxa"/>
            </w:tcMar>
          </w:tcPr>
          <w:p w14:paraId="0000017D" w14:textId="77777777" w:rsidR="00D54BEB" w:rsidRDefault="00DD3B20">
            <w:pPr>
              <w:widowControl w:val="0"/>
              <w:spacing w:line="240" w:lineRule="auto"/>
              <w:jc w:val="left"/>
            </w:pPr>
            <w:r>
              <w:t>61.2% (56.3-65.7)</w:t>
            </w:r>
          </w:p>
        </w:tc>
      </w:tr>
      <w:tr w:rsidR="00D54BEB" w14:paraId="1DBA8346" w14:textId="77777777">
        <w:tc>
          <w:tcPr>
            <w:tcW w:w="3150" w:type="dxa"/>
            <w:shd w:val="clear" w:color="auto" w:fill="auto"/>
            <w:tcMar>
              <w:top w:w="100" w:type="dxa"/>
              <w:left w:w="100" w:type="dxa"/>
              <w:bottom w:w="100" w:type="dxa"/>
              <w:right w:w="100" w:type="dxa"/>
            </w:tcMar>
          </w:tcPr>
          <w:p w14:paraId="0000017E" w14:textId="77777777" w:rsidR="00D54BEB" w:rsidRDefault="00DD3B20">
            <w:pPr>
              <w:spacing w:line="240" w:lineRule="auto"/>
            </w:pPr>
            <w:r>
              <w:t xml:space="preserve">  Bipolar disorder </w:t>
            </w:r>
          </w:p>
        </w:tc>
        <w:tc>
          <w:tcPr>
            <w:tcW w:w="1875" w:type="dxa"/>
            <w:shd w:val="clear" w:color="auto" w:fill="auto"/>
            <w:tcMar>
              <w:top w:w="100" w:type="dxa"/>
              <w:left w:w="100" w:type="dxa"/>
              <w:bottom w:w="100" w:type="dxa"/>
              <w:right w:w="100" w:type="dxa"/>
            </w:tcMar>
          </w:tcPr>
          <w:p w14:paraId="0000017F" w14:textId="77777777" w:rsidR="00D54BEB" w:rsidRDefault="00DD3B20">
            <w:pPr>
              <w:widowControl w:val="0"/>
              <w:spacing w:line="240" w:lineRule="auto"/>
              <w:jc w:val="left"/>
            </w:pPr>
            <w:r>
              <w:t>31.1% (28.8-33.8)</w:t>
            </w:r>
          </w:p>
        </w:tc>
        <w:tc>
          <w:tcPr>
            <w:tcW w:w="1800" w:type="dxa"/>
            <w:shd w:val="clear" w:color="auto" w:fill="auto"/>
            <w:tcMar>
              <w:top w:w="100" w:type="dxa"/>
              <w:left w:w="100" w:type="dxa"/>
              <w:bottom w:w="100" w:type="dxa"/>
              <w:right w:w="100" w:type="dxa"/>
            </w:tcMar>
          </w:tcPr>
          <w:p w14:paraId="00000180" w14:textId="77777777" w:rsidR="00D54BEB" w:rsidRDefault="00DD3B20">
            <w:pPr>
              <w:widowControl w:val="0"/>
              <w:spacing w:line="240" w:lineRule="auto"/>
              <w:jc w:val="left"/>
            </w:pPr>
            <w:r>
              <w:t>27.5% (22.6-33.1)</w:t>
            </w:r>
          </w:p>
        </w:tc>
        <w:tc>
          <w:tcPr>
            <w:tcW w:w="2085" w:type="dxa"/>
            <w:shd w:val="clear" w:color="auto" w:fill="auto"/>
            <w:tcMar>
              <w:top w:w="100" w:type="dxa"/>
              <w:left w:w="100" w:type="dxa"/>
              <w:bottom w:w="100" w:type="dxa"/>
              <w:right w:w="100" w:type="dxa"/>
            </w:tcMar>
          </w:tcPr>
          <w:p w14:paraId="00000181" w14:textId="77777777" w:rsidR="00D54BEB" w:rsidRDefault="00DD3B20">
            <w:pPr>
              <w:widowControl w:val="0"/>
              <w:spacing w:line="240" w:lineRule="auto"/>
              <w:jc w:val="left"/>
            </w:pPr>
            <w:r>
              <w:t>60.7% (55.8-65.2)</w:t>
            </w:r>
          </w:p>
        </w:tc>
      </w:tr>
      <w:tr w:rsidR="00D54BEB" w14:paraId="174AD7B8" w14:textId="77777777">
        <w:tc>
          <w:tcPr>
            <w:tcW w:w="3150" w:type="dxa"/>
            <w:shd w:val="clear" w:color="auto" w:fill="auto"/>
            <w:tcMar>
              <w:top w:w="100" w:type="dxa"/>
              <w:left w:w="100" w:type="dxa"/>
              <w:bottom w:w="100" w:type="dxa"/>
              <w:right w:w="100" w:type="dxa"/>
            </w:tcMar>
          </w:tcPr>
          <w:p w14:paraId="00000182" w14:textId="77777777" w:rsidR="00D54BEB" w:rsidRDefault="00DD3B20">
            <w:pPr>
              <w:spacing w:line="240" w:lineRule="auto"/>
            </w:pPr>
            <w:r>
              <w:t xml:space="preserve">   Schizophrenia  </w:t>
            </w:r>
          </w:p>
        </w:tc>
        <w:tc>
          <w:tcPr>
            <w:tcW w:w="1875" w:type="dxa"/>
            <w:shd w:val="clear" w:color="auto" w:fill="auto"/>
            <w:tcMar>
              <w:top w:w="100" w:type="dxa"/>
              <w:left w:w="100" w:type="dxa"/>
              <w:bottom w:w="100" w:type="dxa"/>
              <w:right w:w="100" w:type="dxa"/>
            </w:tcMar>
          </w:tcPr>
          <w:p w14:paraId="00000183" w14:textId="77777777" w:rsidR="00D54BEB" w:rsidRDefault="00DD3B20">
            <w:pPr>
              <w:widowControl w:val="0"/>
              <w:spacing w:line="240" w:lineRule="auto"/>
              <w:jc w:val="left"/>
            </w:pPr>
            <w:r>
              <w:t>29.8% (27.4-32.2)</w:t>
            </w:r>
          </w:p>
        </w:tc>
        <w:tc>
          <w:tcPr>
            <w:tcW w:w="1800" w:type="dxa"/>
            <w:shd w:val="clear" w:color="auto" w:fill="auto"/>
            <w:tcMar>
              <w:top w:w="100" w:type="dxa"/>
              <w:left w:w="100" w:type="dxa"/>
              <w:bottom w:w="100" w:type="dxa"/>
              <w:right w:w="100" w:type="dxa"/>
            </w:tcMar>
          </w:tcPr>
          <w:p w14:paraId="00000184" w14:textId="77777777" w:rsidR="00D54BEB" w:rsidRDefault="00DD3B20">
            <w:pPr>
              <w:widowControl w:val="0"/>
              <w:spacing w:line="240" w:lineRule="auto"/>
              <w:jc w:val="left"/>
            </w:pPr>
            <w:r>
              <w:t>25.5% (22.2-29.3)</w:t>
            </w:r>
          </w:p>
        </w:tc>
        <w:tc>
          <w:tcPr>
            <w:tcW w:w="2085" w:type="dxa"/>
            <w:shd w:val="clear" w:color="auto" w:fill="auto"/>
            <w:tcMar>
              <w:top w:w="100" w:type="dxa"/>
              <w:left w:w="100" w:type="dxa"/>
              <w:bottom w:w="100" w:type="dxa"/>
              <w:right w:w="100" w:type="dxa"/>
            </w:tcMar>
          </w:tcPr>
          <w:p w14:paraId="00000185" w14:textId="77777777" w:rsidR="00D54BEB" w:rsidRDefault="00DD3B20">
            <w:pPr>
              <w:widowControl w:val="0"/>
              <w:spacing w:line="240" w:lineRule="auto"/>
              <w:jc w:val="left"/>
            </w:pPr>
            <w:r>
              <w:t>58.6% (53.5-63.6)</w:t>
            </w:r>
          </w:p>
        </w:tc>
      </w:tr>
      <w:tr w:rsidR="00D54BEB" w14:paraId="2D4265AB" w14:textId="77777777">
        <w:tc>
          <w:tcPr>
            <w:tcW w:w="3150" w:type="dxa"/>
            <w:shd w:val="clear" w:color="auto" w:fill="auto"/>
            <w:tcMar>
              <w:top w:w="100" w:type="dxa"/>
              <w:left w:w="100" w:type="dxa"/>
              <w:bottom w:w="100" w:type="dxa"/>
              <w:right w:w="100" w:type="dxa"/>
            </w:tcMar>
          </w:tcPr>
          <w:p w14:paraId="00000186" w14:textId="77777777" w:rsidR="00D54BEB" w:rsidRDefault="00DD3B20">
            <w:pPr>
              <w:spacing w:line="240" w:lineRule="auto"/>
              <w:rPr>
                <w:b/>
              </w:rPr>
            </w:pPr>
            <w:r>
              <w:rPr>
                <w:b/>
              </w:rPr>
              <w:t>Setting</w:t>
            </w:r>
          </w:p>
        </w:tc>
        <w:tc>
          <w:tcPr>
            <w:tcW w:w="1875" w:type="dxa"/>
            <w:shd w:val="clear" w:color="auto" w:fill="auto"/>
            <w:tcMar>
              <w:top w:w="100" w:type="dxa"/>
              <w:left w:w="100" w:type="dxa"/>
              <w:bottom w:w="100" w:type="dxa"/>
              <w:right w:w="100" w:type="dxa"/>
            </w:tcMar>
          </w:tcPr>
          <w:p w14:paraId="00000187" w14:textId="77777777" w:rsidR="00D54BEB" w:rsidRDefault="00D54BEB">
            <w:pPr>
              <w:widowControl w:val="0"/>
              <w:spacing w:line="240" w:lineRule="auto"/>
              <w:jc w:val="left"/>
            </w:pPr>
          </w:p>
        </w:tc>
        <w:tc>
          <w:tcPr>
            <w:tcW w:w="1800" w:type="dxa"/>
            <w:shd w:val="clear" w:color="auto" w:fill="auto"/>
            <w:tcMar>
              <w:top w:w="100" w:type="dxa"/>
              <w:left w:w="100" w:type="dxa"/>
              <w:bottom w:w="100" w:type="dxa"/>
              <w:right w:w="100" w:type="dxa"/>
            </w:tcMar>
          </w:tcPr>
          <w:p w14:paraId="00000188" w14:textId="77777777" w:rsidR="00D54BEB" w:rsidRDefault="00D54BEB">
            <w:pPr>
              <w:widowControl w:val="0"/>
              <w:spacing w:line="240" w:lineRule="auto"/>
              <w:jc w:val="left"/>
            </w:pPr>
          </w:p>
        </w:tc>
        <w:tc>
          <w:tcPr>
            <w:tcW w:w="2085" w:type="dxa"/>
            <w:shd w:val="clear" w:color="auto" w:fill="auto"/>
            <w:tcMar>
              <w:top w:w="100" w:type="dxa"/>
              <w:left w:w="100" w:type="dxa"/>
              <w:bottom w:w="100" w:type="dxa"/>
              <w:right w:w="100" w:type="dxa"/>
            </w:tcMar>
          </w:tcPr>
          <w:p w14:paraId="00000189" w14:textId="77777777" w:rsidR="00D54BEB" w:rsidRDefault="00D54BEB">
            <w:pPr>
              <w:widowControl w:val="0"/>
              <w:spacing w:line="240" w:lineRule="auto"/>
              <w:jc w:val="left"/>
            </w:pPr>
          </w:p>
        </w:tc>
      </w:tr>
      <w:tr w:rsidR="00D54BEB" w14:paraId="674310F5" w14:textId="77777777">
        <w:tc>
          <w:tcPr>
            <w:tcW w:w="3150" w:type="dxa"/>
            <w:shd w:val="clear" w:color="auto" w:fill="auto"/>
            <w:tcMar>
              <w:top w:w="100" w:type="dxa"/>
              <w:left w:w="100" w:type="dxa"/>
              <w:bottom w:w="100" w:type="dxa"/>
              <w:right w:w="100" w:type="dxa"/>
            </w:tcMar>
          </w:tcPr>
          <w:p w14:paraId="0000018A" w14:textId="77777777" w:rsidR="00D54BEB" w:rsidRDefault="00DD3B20">
            <w:pPr>
              <w:spacing w:line="240" w:lineRule="auto"/>
            </w:pPr>
            <w:r>
              <w:t xml:space="preserve">  Inpatient </w:t>
            </w:r>
          </w:p>
        </w:tc>
        <w:tc>
          <w:tcPr>
            <w:tcW w:w="1875" w:type="dxa"/>
            <w:shd w:val="clear" w:color="auto" w:fill="auto"/>
            <w:tcMar>
              <w:top w:w="100" w:type="dxa"/>
              <w:left w:w="100" w:type="dxa"/>
              <w:bottom w:w="100" w:type="dxa"/>
              <w:right w:w="100" w:type="dxa"/>
            </w:tcMar>
          </w:tcPr>
          <w:p w14:paraId="0000018B" w14:textId="77777777" w:rsidR="00D54BEB" w:rsidRDefault="00DD3B20">
            <w:pPr>
              <w:widowControl w:val="0"/>
              <w:spacing w:line="240" w:lineRule="auto"/>
              <w:jc w:val="left"/>
            </w:pPr>
            <w:r>
              <w:t>31.2% (28.2-33.9)</w:t>
            </w:r>
          </w:p>
        </w:tc>
        <w:tc>
          <w:tcPr>
            <w:tcW w:w="1800" w:type="dxa"/>
            <w:shd w:val="clear" w:color="auto" w:fill="auto"/>
            <w:tcMar>
              <w:top w:w="100" w:type="dxa"/>
              <w:left w:w="100" w:type="dxa"/>
              <w:bottom w:w="100" w:type="dxa"/>
              <w:right w:w="100" w:type="dxa"/>
            </w:tcMar>
          </w:tcPr>
          <w:p w14:paraId="0000018C" w14:textId="77777777" w:rsidR="00D54BEB" w:rsidRDefault="00DD3B20">
            <w:pPr>
              <w:widowControl w:val="0"/>
              <w:spacing w:line="240" w:lineRule="auto"/>
              <w:jc w:val="left"/>
            </w:pPr>
            <w:r>
              <w:t>25.9% (21.1-31.5)</w:t>
            </w:r>
          </w:p>
        </w:tc>
        <w:tc>
          <w:tcPr>
            <w:tcW w:w="2085" w:type="dxa"/>
            <w:shd w:val="clear" w:color="auto" w:fill="auto"/>
            <w:tcMar>
              <w:top w:w="100" w:type="dxa"/>
              <w:left w:w="100" w:type="dxa"/>
              <w:bottom w:w="100" w:type="dxa"/>
              <w:right w:w="100" w:type="dxa"/>
            </w:tcMar>
          </w:tcPr>
          <w:p w14:paraId="0000018D" w14:textId="77777777" w:rsidR="00D54BEB" w:rsidRDefault="00DD3B20">
            <w:pPr>
              <w:widowControl w:val="0"/>
              <w:spacing w:line="240" w:lineRule="auto"/>
              <w:jc w:val="left"/>
            </w:pPr>
            <w:r>
              <w:t>60.1% (54.4-67.2)</w:t>
            </w:r>
          </w:p>
        </w:tc>
      </w:tr>
      <w:tr w:rsidR="00D54BEB" w14:paraId="12EE7DEB" w14:textId="77777777">
        <w:tc>
          <w:tcPr>
            <w:tcW w:w="3150" w:type="dxa"/>
            <w:shd w:val="clear" w:color="auto" w:fill="auto"/>
            <w:tcMar>
              <w:top w:w="100" w:type="dxa"/>
              <w:left w:w="100" w:type="dxa"/>
              <w:bottom w:w="100" w:type="dxa"/>
              <w:right w:w="100" w:type="dxa"/>
            </w:tcMar>
          </w:tcPr>
          <w:p w14:paraId="0000018E" w14:textId="77777777" w:rsidR="00D54BEB" w:rsidRDefault="00DD3B20">
            <w:pPr>
              <w:spacing w:line="240" w:lineRule="auto"/>
            </w:pPr>
            <w:r>
              <w:t xml:space="preserve">  Outpatient </w:t>
            </w:r>
          </w:p>
        </w:tc>
        <w:tc>
          <w:tcPr>
            <w:tcW w:w="1875" w:type="dxa"/>
            <w:shd w:val="clear" w:color="auto" w:fill="auto"/>
            <w:tcMar>
              <w:top w:w="100" w:type="dxa"/>
              <w:left w:w="100" w:type="dxa"/>
              <w:bottom w:w="100" w:type="dxa"/>
              <w:right w:w="100" w:type="dxa"/>
            </w:tcMar>
          </w:tcPr>
          <w:p w14:paraId="0000018F" w14:textId="77777777" w:rsidR="00D54BEB" w:rsidRDefault="00DD3B20">
            <w:pPr>
              <w:widowControl w:val="0"/>
              <w:spacing w:line="240" w:lineRule="auto"/>
              <w:jc w:val="left"/>
            </w:pPr>
            <w:r>
              <w:t>30.1% (28.4-33.1)</w:t>
            </w:r>
          </w:p>
        </w:tc>
        <w:tc>
          <w:tcPr>
            <w:tcW w:w="1800" w:type="dxa"/>
            <w:shd w:val="clear" w:color="auto" w:fill="auto"/>
            <w:tcMar>
              <w:top w:w="100" w:type="dxa"/>
              <w:left w:w="100" w:type="dxa"/>
              <w:bottom w:w="100" w:type="dxa"/>
              <w:right w:w="100" w:type="dxa"/>
            </w:tcMar>
          </w:tcPr>
          <w:p w14:paraId="00000190" w14:textId="77777777" w:rsidR="00D54BEB" w:rsidRDefault="00DD3B20">
            <w:pPr>
              <w:widowControl w:val="0"/>
              <w:spacing w:line="240" w:lineRule="auto"/>
              <w:jc w:val="left"/>
            </w:pPr>
            <w:r>
              <w:t>25.9% (22.4-30.1)</w:t>
            </w:r>
          </w:p>
        </w:tc>
        <w:tc>
          <w:tcPr>
            <w:tcW w:w="2085" w:type="dxa"/>
            <w:shd w:val="clear" w:color="auto" w:fill="auto"/>
            <w:tcMar>
              <w:top w:w="100" w:type="dxa"/>
              <w:left w:w="100" w:type="dxa"/>
              <w:bottom w:w="100" w:type="dxa"/>
              <w:right w:w="100" w:type="dxa"/>
            </w:tcMar>
          </w:tcPr>
          <w:p w14:paraId="00000191" w14:textId="77777777" w:rsidR="00D54BEB" w:rsidRDefault="00DD3B20">
            <w:pPr>
              <w:widowControl w:val="0"/>
              <w:spacing w:line="240" w:lineRule="auto"/>
              <w:jc w:val="left"/>
            </w:pPr>
            <w:r>
              <w:t>58.8% (53.8-65.1)</w:t>
            </w:r>
          </w:p>
        </w:tc>
      </w:tr>
      <w:tr w:rsidR="00D54BEB" w14:paraId="62615DF6" w14:textId="77777777">
        <w:tc>
          <w:tcPr>
            <w:tcW w:w="3150" w:type="dxa"/>
            <w:shd w:val="clear" w:color="auto" w:fill="auto"/>
            <w:tcMar>
              <w:top w:w="100" w:type="dxa"/>
              <w:left w:w="100" w:type="dxa"/>
              <w:bottom w:w="100" w:type="dxa"/>
              <w:right w:w="100" w:type="dxa"/>
            </w:tcMar>
          </w:tcPr>
          <w:p w14:paraId="00000192" w14:textId="77777777" w:rsidR="00D54BEB" w:rsidRDefault="00DD3B20">
            <w:pPr>
              <w:spacing w:line="240" w:lineRule="auto"/>
            </w:pPr>
            <w:r>
              <w:t xml:space="preserve">  In- and outpatient</w:t>
            </w:r>
          </w:p>
        </w:tc>
        <w:tc>
          <w:tcPr>
            <w:tcW w:w="1875" w:type="dxa"/>
            <w:shd w:val="clear" w:color="auto" w:fill="auto"/>
            <w:tcMar>
              <w:top w:w="100" w:type="dxa"/>
              <w:left w:w="100" w:type="dxa"/>
              <w:bottom w:w="100" w:type="dxa"/>
              <w:right w:w="100" w:type="dxa"/>
            </w:tcMar>
          </w:tcPr>
          <w:p w14:paraId="00000193" w14:textId="77777777" w:rsidR="00D54BEB" w:rsidRDefault="00DD3B20">
            <w:pPr>
              <w:widowControl w:val="0"/>
              <w:spacing w:line="240" w:lineRule="auto"/>
              <w:jc w:val="left"/>
            </w:pPr>
            <w:r>
              <w:t>31.4% (29.1-34.3)</w:t>
            </w:r>
          </w:p>
        </w:tc>
        <w:tc>
          <w:tcPr>
            <w:tcW w:w="1800" w:type="dxa"/>
            <w:shd w:val="clear" w:color="auto" w:fill="auto"/>
            <w:tcMar>
              <w:top w:w="100" w:type="dxa"/>
              <w:left w:w="100" w:type="dxa"/>
              <w:bottom w:w="100" w:type="dxa"/>
              <w:right w:w="100" w:type="dxa"/>
            </w:tcMar>
          </w:tcPr>
          <w:p w14:paraId="00000194" w14:textId="77777777" w:rsidR="00D54BEB" w:rsidRDefault="00DD3B20">
            <w:pPr>
              <w:widowControl w:val="0"/>
              <w:spacing w:line="240" w:lineRule="auto"/>
              <w:jc w:val="left"/>
            </w:pPr>
            <w:r>
              <w:t>23.8% (18.6-29.9)</w:t>
            </w:r>
          </w:p>
        </w:tc>
        <w:tc>
          <w:tcPr>
            <w:tcW w:w="2085" w:type="dxa"/>
            <w:shd w:val="clear" w:color="auto" w:fill="auto"/>
            <w:tcMar>
              <w:top w:w="100" w:type="dxa"/>
              <w:left w:w="100" w:type="dxa"/>
              <w:bottom w:w="100" w:type="dxa"/>
              <w:right w:w="100" w:type="dxa"/>
            </w:tcMar>
          </w:tcPr>
          <w:p w14:paraId="00000195" w14:textId="77777777" w:rsidR="00D54BEB" w:rsidRDefault="00DD3B20">
            <w:pPr>
              <w:widowControl w:val="0"/>
              <w:spacing w:line="240" w:lineRule="auto"/>
              <w:jc w:val="left"/>
            </w:pPr>
            <w:r>
              <w:t>58.5% (51.8-65.1)</w:t>
            </w:r>
          </w:p>
        </w:tc>
      </w:tr>
      <w:tr w:rsidR="00D54BEB" w14:paraId="4C5E8C0B" w14:textId="77777777">
        <w:tc>
          <w:tcPr>
            <w:tcW w:w="3150" w:type="dxa"/>
            <w:shd w:val="clear" w:color="auto" w:fill="auto"/>
            <w:tcMar>
              <w:top w:w="100" w:type="dxa"/>
              <w:left w:w="100" w:type="dxa"/>
              <w:bottom w:w="100" w:type="dxa"/>
              <w:right w:w="100" w:type="dxa"/>
            </w:tcMar>
          </w:tcPr>
          <w:p w14:paraId="00000196" w14:textId="77777777" w:rsidR="00D54BEB" w:rsidRDefault="00DD3B20">
            <w:pPr>
              <w:spacing w:line="240" w:lineRule="auto"/>
            </w:pPr>
            <w:r>
              <w:t xml:space="preserve">  Community </w:t>
            </w:r>
          </w:p>
        </w:tc>
        <w:tc>
          <w:tcPr>
            <w:tcW w:w="1875" w:type="dxa"/>
            <w:shd w:val="clear" w:color="auto" w:fill="auto"/>
            <w:tcMar>
              <w:top w:w="100" w:type="dxa"/>
              <w:left w:w="100" w:type="dxa"/>
              <w:bottom w:w="100" w:type="dxa"/>
              <w:right w:w="100" w:type="dxa"/>
            </w:tcMar>
          </w:tcPr>
          <w:p w14:paraId="00000197" w14:textId="77777777" w:rsidR="00D54BEB" w:rsidRDefault="00DD3B20">
            <w:pPr>
              <w:widowControl w:val="0"/>
              <w:spacing w:line="240" w:lineRule="auto"/>
              <w:jc w:val="left"/>
            </w:pPr>
            <w:r>
              <w:t>29.8% (26.6-33.9)</w:t>
            </w:r>
          </w:p>
        </w:tc>
        <w:tc>
          <w:tcPr>
            <w:tcW w:w="1800" w:type="dxa"/>
            <w:shd w:val="clear" w:color="auto" w:fill="auto"/>
            <w:tcMar>
              <w:top w:w="100" w:type="dxa"/>
              <w:left w:w="100" w:type="dxa"/>
              <w:bottom w:w="100" w:type="dxa"/>
              <w:right w:w="100" w:type="dxa"/>
            </w:tcMar>
          </w:tcPr>
          <w:p w14:paraId="00000198" w14:textId="77777777" w:rsidR="00D54BEB" w:rsidRDefault="00DD3B20">
            <w:pPr>
              <w:widowControl w:val="0"/>
              <w:spacing w:line="240" w:lineRule="auto"/>
              <w:jc w:val="left"/>
            </w:pPr>
            <w:r>
              <w:t>32.8% (25.2-41.8)</w:t>
            </w:r>
          </w:p>
        </w:tc>
        <w:tc>
          <w:tcPr>
            <w:tcW w:w="2085" w:type="dxa"/>
            <w:shd w:val="clear" w:color="auto" w:fill="auto"/>
            <w:tcMar>
              <w:top w:w="100" w:type="dxa"/>
              <w:left w:w="100" w:type="dxa"/>
              <w:bottom w:w="100" w:type="dxa"/>
              <w:right w:w="100" w:type="dxa"/>
            </w:tcMar>
          </w:tcPr>
          <w:p w14:paraId="00000199" w14:textId="77777777" w:rsidR="00D54BEB" w:rsidRDefault="00DD3B20">
            <w:pPr>
              <w:widowControl w:val="0"/>
              <w:spacing w:line="240" w:lineRule="auto"/>
              <w:jc w:val="left"/>
            </w:pPr>
            <w:r>
              <w:t>63.2% (55.3-70.5)</w:t>
            </w:r>
          </w:p>
        </w:tc>
      </w:tr>
      <w:tr w:rsidR="00D54BEB" w14:paraId="622F6E7E" w14:textId="77777777">
        <w:tc>
          <w:tcPr>
            <w:tcW w:w="3150" w:type="dxa"/>
            <w:shd w:val="clear" w:color="auto" w:fill="auto"/>
            <w:tcMar>
              <w:top w:w="100" w:type="dxa"/>
              <w:left w:w="100" w:type="dxa"/>
              <w:bottom w:w="100" w:type="dxa"/>
              <w:right w:w="100" w:type="dxa"/>
            </w:tcMar>
          </w:tcPr>
          <w:p w14:paraId="0000019A" w14:textId="77777777" w:rsidR="00D54BEB" w:rsidRDefault="00DD3B20">
            <w:pPr>
              <w:spacing w:line="240" w:lineRule="auto"/>
            </w:pPr>
            <w:r>
              <w:rPr>
                <w:b/>
              </w:rPr>
              <w:t>Antipsychotic medication</w:t>
            </w:r>
            <w:r>
              <w:t xml:space="preserve"> </w:t>
            </w:r>
          </w:p>
        </w:tc>
        <w:tc>
          <w:tcPr>
            <w:tcW w:w="1875" w:type="dxa"/>
            <w:shd w:val="clear" w:color="auto" w:fill="auto"/>
            <w:tcMar>
              <w:top w:w="100" w:type="dxa"/>
              <w:left w:w="100" w:type="dxa"/>
              <w:bottom w:w="100" w:type="dxa"/>
              <w:right w:w="100" w:type="dxa"/>
            </w:tcMar>
          </w:tcPr>
          <w:p w14:paraId="0000019B" w14:textId="77777777" w:rsidR="00D54BEB" w:rsidRDefault="00D54BEB">
            <w:pPr>
              <w:widowControl w:val="0"/>
              <w:spacing w:line="240" w:lineRule="auto"/>
              <w:jc w:val="left"/>
            </w:pPr>
          </w:p>
        </w:tc>
        <w:tc>
          <w:tcPr>
            <w:tcW w:w="1800" w:type="dxa"/>
            <w:shd w:val="clear" w:color="auto" w:fill="auto"/>
            <w:tcMar>
              <w:top w:w="100" w:type="dxa"/>
              <w:left w:w="100" w:type="dxa"/>
              <w:bottom w:w="100" w:type="dxa"/>
              <w:right w:w="100" w:type="dxa"/>
            </w:tcMar>
          </w:tcPr>
          <w:p w14:paraId="0000019C" w14:textId="77777777" w:rsidR="00D54BEB" w:rsidRDefault="00D54BEB">
            <w:pPr>
              <w:widowControl w:val="0"/>
              <w:spacing w:line="240" w:lineRule="auto"/>
              <w:jc w:val="left"/>
            </w:pPr>
          </w:p>
        </w:tc>
        <w:tc>
          <w:tcPr>
            <w:tcW w:w="2085" w:type="dxa"/>
            <w:shd w:val="clear" w:color="auto" w:fill="auto"/>
            <w:tcMar>
              <w:top w:w="100" w:type="dxa"/>
              <w:left w:w="100" w:type="dxa"/>
              <w:bottom w:w="100" w:type="dxa"/>
              <w:right w:w="100" w:type="dxa"/>
            </w:tcMar>
          </w:tcPr>
          <w:p w14:paraId="0000019D" w14:textId="77777777" w:rsidR="00D54BEB" w:rsidRDefault="00D54BEB">
            <w:pPr>
              <w:widowControl w:val="0"/>
              <w:spacing w:line="240" w:lineRule="auto"/>
              <w:jc w:val="left"/>
            </w:pPr>
          </w:p>
        </w:tc>
      </w:tr>
      <w:tr w:rsidR="00D54BEB" w14:paraId="50AEB236" w14:textId="77777777">
        <w:trPr>
          <w:trHeight w:val="469"/>
        </w:trPr>
        <w:tc>
          <w:tcPr>
            <w:tcW w:w="3150" w:type="dxa"/>
            <w:shd w:val="clear" w:color="auto" w:fill="auto"/>
            <w:tcMar>
              <w:top w:w="100" w:type="dxa"/>
              <w:left w:w="100" w:type="dxa"/>
              <w:bottom w:w="100" w:type="dxa"/>
              <w:right w:w="100" w:type="dxa"/>
            </w:tcMar>
          </w:tcPr>
          <w:p w14:paraId="0000019E" w14:textId="77777777" w:rsidR="00D54BEB" w:rsidRDefault="00DD3B20">
            <w:pPr>
              <w:spacing w:line="240" w:lineRule="auto"/>
            </w:pPr>
            <w:r>
              <w:t xml:space="preserve">Prescribed antipsychotic medication </w:t>
            </w:r>
            <w:r>
              <w:rPr>
                <w:vertAlign w:val="superscript"/>
              </w:rPr>
              <w:t>2</w:t>
            </w:r>
            <w:r>
              <w:t xml:space="preserve"> </w:t>
            </w:r>
          </w:p>
        </w:tc>
        <w:tc>
          <w:tcPr>
            <w:tcW w:w="1875" w:type="dxa"/>
            <w:shd w:val="clear" w:color="auto" w:fill="auto"/>
            <w:tcMar>
              <w:top w:w="100" w:type="dxa"/>
              <w:left w:w="100" w:type="dxa"/>
              <w:bottom w:w="100" w:type="dxa"/>
              <w:right w:w="100" w:type="dxa"/>
            </w:tcMar>
          </w:tcPr>
          <w:p w14:paraId="0000019F" w14:textId="77777777" w:rsidR="00D54BEB" w:rsidRDefault="00DD3B20">
            <w:pPr>
              <w:widowControl w:val="0"/>
              <w:spacing w:line="240" w:lineRule="auto"/>
              <w:jc w:val="left"/>
            </w:pPr>
            <w:r>
              <w:t>30.6% (29.4-32.1)</w:t>
            </w:r>
          </w:p>
        </w:tc>
        <w:tc>
          <w:tcPr>
            <w:tcW w:w="1800" w:type="dxa"/>
            <w:shd w:val="clear" w:color="auto" w:fill="auto"/>
            <w:tcMar>
              <w:top w:w="100" w:type="dxa"/>
              <w:left w:w="100" w:type="dxa"/>
              <w:bottom w:w="100" w:type="dxa"/>
              <w:right w:w="100" w:type="dxa"/>
            </w:tcMar>
          </w:tcPr>
          <w:p w14:paraId="000001A0" w14:textId="77777777" w:rsidR="00D54BEB" w:rsidRDefault="00DD3B20">
            <w:pPr>
              <w:widowControl w:val="0"/>
              <w:spacing w:line="240" w:lineRule="auto"/>
              <w:jc w:val="left"/>
            </w:pPr>
            <w:r>
              <w:t>25.8% (23.1-28.8)</w:t>
            </w:r>
          </w:p>
        </w:tc>
        <w:tc>
          <w:tcPr>
            <w:tcW w:w="2085" w:type="dxa"/>
            <w:shd w:val="clear" w:color="auto" w:fill="auto"/>
            <w:tcMar>
              <w:top w:w="100" w:type="dxa"/>
              <w:left w:w="100" w:type="dxa"/>
              <w:bottom w:w="100" w:type="dxa"/>
              <w:right w:w="100" w:type="dxa"/>
            </w:tcMar>
          </w:tcPr>
          <w:p w14:paraId="000001A1" w14:textId="77777777" w:rsidR="00D54BEB" w:rsidRDefault="00DD3B20">
            <w:pPr>
              <w:widowControl w:val="0"/>
              <w:spacing w:line="240" w:lineRule="auto"/>
              <w:jc w:val="left"/>
            </w:pPr>
            <w:r>
              <w:t>59.3% (55.8-62.6)</w:t>
            </w:r>
          </w:p>
        </w:tc>
      </w:tr>
      <w:tr w:rsidR="00D54BEB" w14:paraId="58F7A4AC" w14:textId="77777777">
        <w:tc>
          <w:tcPr>
            <w:tcW w:w="3150" w:type="dxa"/>
            <w:shd w:val="clear" w:color="auto" w:fill="auto"/>
            <w:tcMar>
              <w:top w:w="100" w:type="dxa"/>
              <w:left w:w="100" w:type="dxa"/>
              <w:bottom w:w="100" w:type="dxa"/>
              <w:right w:w="100" w:type="dxa"/>
            </w:tcMar>
          </w:tcPr>
          <w:p w14:paraId="000001A2" w14:textId="77777777" w:rsidR="00D54BEB" w:rsidRDefault="00DD3B20">
            <w:pPr>
              <w:spacing w:line="240" w:lineRule="auto"/>
            </w:pPr>
            <w:r>
              <w:t xml:space="preserve">  Antipsychotic-naive population </w:t>
            </w:r>
          </w:p>
        </w:tc>
        <w:tc>
          <w:tcPr>
            <w:tcW w:w="1875" w:type="dxa"/>
            <w:shd w:val="clear" w:color="auto" w:fill="auto"/>
            <w:tcMar>
              <w:top w:w="100" w:type="dxa"/>
              <w:left w:w="100" w:type="dxa"/>
              <w:bottom w:w="100" w:type="dxa"/>
              <w:right w:w="100" w:type="dxa"/>
            </w:tcMar>
          </w:tcPr>
          <w:p w14:paraId="000001A3" w14:textId="77777777" w:rsidR="00D54BEB" w:rsidRDefault="00DD3B20">
            <w:pPr>
              <w:widowControl w:val="0"/>
              <w:spacing w:line="240" w:lineRule="auto"/>
            </w:pPr>
            <w:r>
              <w:t>34.7% (32.2-37.4)</w:t>
            </w:r>
          </w:p>
        </w:tc>
        <w:tc>
          <w:tcPr>
            <w:tcW w:w="1800" w:type="dxa"/>
            <w:shd w:val="clear" w:color="auto" w:fill="auto"/>
            <w:tcMar>
              <w:top w:w="100" w:type="dxa"/>
              <w:left w:w="100" w:type="dxa"/>
              <w:bottom w:w="100" w:type="dxa"/>
              <w:right w:w="100" w:type="dxa"/>
            </w:tcMar>
          </w:tcPr>
          <w:p w14:paraId="000001A4" w14:textId="77777777" w:rsidR="00D54BEB" w:rsidRDefault="00DD3B20">
            <w:pPr>
              <w:widowControl w:val="0"/>
              <w:spacing w:line="240" w:lineRule="auto"/>
              <w:jc w:val="left"/>
            </w:pPr>
            <w:r>
              <w:t>33.7% (24.8-43.8)</w:t>
            </w:r>
          </w:p>
        </w:tc>
        <w:tc>
          <w:tcPr>
            <w:tcW w:w="2085" w:type="dxa"/>
            <w:shd w:val="clear" w:color="auto" w:fill="auto"/>
            <w:tcMar>
              <w:top w:w="100" w:type="dxa"/>
              <w:left w:w="100" w:type="dxa"/>
              <w:bottom w:w="100" w:type="dxa"/>
              <w:right w:w="100" w:type="dxa"/>
            </w:tcMar>
          </w:tcPr>
          <w:p w14:paraId="000001A5" w14:textId="77777777" w:rsidR="00D54BEB" w:rsidRDefault="00DD3B20">
            <w:pPr>
              <w:widowControl w:val="0"/>
              <w:spacing w:line="240" w:lineRule="auto"/>
              <w:jc w:val="left"/>
            </w:pPr>
            <w:r>
              <w:t>68.2% (59.7-75.7)</w:t>
            </w:r>
          </w:p>
        </w:tc>
      </w:tr>
      <w:tr w:rsidR="00D54BEB" w14:paraId="2F753945" w14:textId="77777777">
        <w:tc>
          <w:tcPr>
            <w:tcW w:w="3150" w:type="dxa"/>
            <w:shd w:val="clear" w:color="auto" w:fill="auto"/>
            <w:tcMar>
              <w:top w:w="100" w:type="dxa"/>
              <w:left w:w="100" w:type="dxa"/>
              <w:bottom w:w="100" w:type="dxa"/>
              <w:right w:w="100" w:type="dxa"/>
            </w:tcMar>
          </w:tcPr>
          <w:p w14:paraId="000001A6" w14:textId="77777777" w:rsidR="00D54BEB" w:rsidRDefault="00DD3B20">
            <w:pPr>
              <w:spacing w:line="240" w:lineRule="auto"/>
            </w:pPr>
            <w:r>
              <w:t xml:space="preserve">  Not reported </w:t>
            </w:r>
          </w:p>
        </w:tc>
        <w:tc>
          <w:tcPr>
            <w:tcW w:w="1875" w:type="dxa"/>
            <w:shd w:val="clear" w:color="auto" w:fill="auto"/>
            <w:tcMar>
              <w:top w:w="100" w:type="dxa"/>
              <w:left w:w="100" w:type="dxa"/>
              <w:bottom w:w="100" w:type="dxa"/>
              <w:right w:w="100" w:type="dxa"/>
            </w:tcMar>
          </w:tcPr>
          <w:p w14:paraId="000001A7" w14:textId="77777777" w:rsidR="00D54BEB" w:rsidRDefault="00DD3B20">
            <w:pPr>
              <w:widowControl w:val="0"/>
              <w:spacing w:line="240" w:lineRule="auto"/>
            </w:pPr>
            <w:r>
              <w:t>30.9% (19.2-45.7)</w:t>
            </w:r>
          </w:p>
        </w:tc>
        <w:tc>
          <w:tcPr>
            <w:tcW w:w="1800" w:type="dxa"/>
            <w:shd w:val="clear" w:color="auto" w:fill="auto"/>
            <w:tcMar>
              <w:top w:w="100" w:type="dxa"/>
              <w:left w:w="100" w:type="dxa"/>
              <w:bottom w:w="100" w:type="dxa"/>
              <w:right w:w="100" w:type="dxa"/>
            </w:tcMar>
          </w:tcPr>
          <w:p w14:paraId="000001A8" w14:textId="77777777" w:rsidR="00D54BEB" w:rsidRDefault="00DD3B20">
            <w:pPr>
              <w:widowControl w:val="0"/>
              <w:spacing w:line="240" w:lineRule="auto"/>
              <w:jc w:val="left"/>
            </w:pPr>
            <w:r>
              <w:t>18.8% (13.1-28.7)</w:t>
            </w:r>
          </w:p>
        </w:tc>
        <w:tc>
          <w:tcPr>
            <w:tcW w:w="2085" w:type="dxa"/>
            <w:shd w:val="clear" w:color="auto" w:fill="auto"/>
            <w:tcMar>
              <w:top w:w="100" w:type="dxa"/>
              <w:left w:w="100" w:type="dxa"/>
              <w:bottom w:w="100" w:type="dxa"/>
              <w:right w:w="100" w:type="dxa"/>
            </w:tcMar>
          </w:tcPr>
          <w:p w14:paraId="000001A9" w14:textId="77777777" w:rsidR="00D54BEB" w:rsidRDefault="00DD3B20">
            <w:pPr>
              <w:widowControl w:val="0"/>
              <w:spacing w:line="240" w:lineRule="auto"/>
              <w:jc w:val="left"/>
            </w:pPr>
            <w:r>
              <w:t>53.7% (37.7-69.0)</w:t>
            </w:r>
          </w:p>
        </w:tc>
      </w:tr>
      <w:tr w:rsidR="00D54BEB" w14:paraId="3F22DD4A" w14:textId="77777777">
        <w:tc>
          <w:tcPr>
            <w:tcW w:w="3150" w:type="dxa"/>
            <w:shd w:val="clear" w:color="auto" w:fill="auto"/>
            <w:tcMar>
              <w:top w:w="100" w:type="dxa"/>
              <w:left w:w="100" w:type="dxa"/>
              <w:bottom w:w="100" w:type="dxa"/>
              <w:right w:w="100" w:type="dxa"/>
            </w:tcMar>
          </w:tcPr>
          <w:p w14:paraId="000001AA" w14:textId="77777777" w:rsidR="00D54BEB" w:rsidRDefault="00DD3B20">
            <w:pPr>
              <w:spacing w:line="240" w:lineRule="auto"/>
              <w:rPr>
                <w:b/>
              </w:rPr>
            </w:pPr>
            <w:r>
              <w:rPr>
                <w:b/>
              </w:rPr>
              <w:t xml:space="preserve">World Bank Region </w:t>
            </w:r>
          </w:p>
        </w:tc>
        <w:tc>
          <w:tcPr>
            <w:tcW w:w="1875" w:type="dxa"/>
            <w:shd w:val="clear" w:color="auto" w:fill="auto"/>
            <w:tcMar>
              <w:top w:w="100" w:type="dxa"/>
              <w:left w:w="100" w:type="dxa"/>
              <w:bottom w:w="100" w:type="dxa"/>
              <w:right w:w="100" w:type="dxa"/>
            </w:tcMar>
          </w:tcPr>
          <w:p w14:paraId="000001AB" w14:textId="77777777" w:rsidR="00D54BEB" w:rsidRDefault="00D54BEB">
            <w:pPr>
              <w:widowControl w:val="0"/>
              <w:spacing w:line="240" w:lineRule="auto"/>
              <w:jc w:val="left"/>
            </w:pPr>
          </w:p>
        </w:tc>
        <w:tc>
          <w:tcPr>
            <w:tcW w:w="1800" w:type="dxa"/>
            <w:shd w:val="clear" w:color="auto" w:fill="auto"/>
            <w:tcMar>
              <w:top w:w="100" w:type="dxa"/>
              <w:left w:w="100" w:type="dxa"/>
              <w:bottom w:w="100" w:type="dxa"/>
              <w:right w:w="100" w:type="dxa"/>
            </w:tcMar>
          </w:tcPr>
          <w:p w14:paraId="000001AC" w14:textId="77777777" w:rsidR="00D54BEB" w:rsidRDefault="00D54BEB">
            <w:pPr>
              <w:widowControl w:val="0"/>
              <w:spacing w:line="240" w:lineRule="auto"/>
              <w:jc w:val="left"/>
            </w:pPr>
          </w:p>
        </w:tc>
        <w:tc>
          <w:tcPr>
            <w:tcW w:w="2085" w:type="dxa"/>
            <w:shd w:val="clear" w:color="auto" w:fill="auto"/>
            <w:tcMar>
              <w:top w:w="100" w:type="dxa"/>
              <w:left w:w="100" w:type="dxa"/>
              <w:bottom w:w="100" w:type="dxa"/>
              <w:right w:w="100" w:type="dxa"/>
            </w:tcMar>
          </w:tcPr>
          <w:p w14:paraId="000001AD" w14:textId="77777777" w:rsidR="00D54BEB" w:rsidRDefault="00D54BEB">
            <w:pPr>
              <w:widowControl w:val="0"/>
              <w:spacing w:line="240" w:lineRule="auto"/>
              <w:jc w:val="left"/>
            </w:pPr>
          </w:p>
        </w:tc>
      </w:tr>
      <w:tr w:rsidR="00D54BEB" w14:paraId="379035D4" w14:textId="77777777">
        <w:tc>
          <w:tcPr>
            <w:tcW w:w="3150" w:type="dxa"/>
            <w:shd w:val="clear" w:color="auto" w:fill="auto"/>
            <w:tcMar>
              <w:top w:w="100" w:type="dxa"/>
              <w:left w:w="100" w:type="dxa"/>
              <w:bottom w:w="100" w:type="dxa"/>
              <w:right w:w="100" w:type="dxa"/>
            </w:tcMar>
          </w:tcPr>
          <w:p w14:paraId="000001AE" w14:textId="77777777" w:rsidR="00D54BEB" w:rsidRDefault="00DD3B20">
            <w:pPr>
              <w:spacing w:line="240" w:lineRule="auto"/>
            </w:pPr>
            <w:r>
              <w:t xml:space="preserve">  East Asia and Pacific</w:t>
            </w:r>
          </w:p>
        </w:tc>
        <w:tc>
          <w:tcPr>
            <w:tcW w:w="1875" w:type="dxa"/>
            <w:shd w:val="clear" w:color="auto" w:fill="auto"/>
            <w:tcMar>
              <w:top w:w="100" w:type="dxa"/>
              <w:left w:w="100" w:type="dxa"/>
              <w:bottom w:w="100" w:type="dxa"/>
              <w:right w:w="100" w:type="dxa"/>
            </w:tcMar>
          </w:tcPr>
          <w:p w14:paraId="000001AF" w14:textId="77777777" w:rsidR="00D54BEB" w:rsidRDefault="00DD3B20">
            <w:pPr>
              <w:widowControl w:val="0"/>
              <w:spacing w:line="240" w:lineRule="auto"/>
              <w:jc w:val="left"/>
            </w:pPr>
            <w:r>
              <w:t>28.4% (25.4-31.6)</w:t>
            </w:r>
          </w:p>
        </w:tc>
        <w:tc>
          <w:tcPr>
            <w:tcW w:w="1800" w:type="dxa"/>
            <w:shd w:val="clear" w:color="auto" w:fill="auto"/>
            <w:tcMar>
              <w:top w:w="100" w:type="dxa"/>
              <w:left w:w="100" w:type="dxa"/>
              <w:bottom w:w="100" w:type="dxa"/>
              <w:right w:w="100" w:type="dxa"/>
            </w:tcMar>
          </w:tcPr>
          <w:p w14:paraId="000001B0" w14:textId="77777777" w:rsidR="00D54BEB" w:rsidRDefault="00DD3B20">
            <w:pPr>
              <w:widowControl w:val="0"/>
              <w:spacing w:line="240" w:lineRule="auto"/>
              <w:jc w:val="left"/>
            </w:pPr>
            <w:r>
              <w:t>22.5% (17.9-27.1)</w:t>
            </w:r>
          </w:p>
        </w:tc>
        <w:tc>
          <w:tcPr>
            <w:tcW w:w="2085" w:type="dxa"/>
            <w:shd w:val="clear" w:color="auto" w:fill="auto"/>
            <w:tcMar>
              <w:top w:w="100" w:type="dxa"/>
              <w:left w:w="100" w:type="dxa"/>
              <w:bottom w:w="100" w:type="dxa"/>
              <w:right w:w="100" w:type="dxa"/>
            </w:tcMar>
          </w:tcPr>
          <w:p w14:paraId="000001B1" w14:textId="77777777" w:rsidR="00D54BEB" w:rsidRDefault="00DD3B20">
            <w:pPr>
              <w:widowControl w:val="0"/>
              <w:spacing w:line="240" w:lineRule="auto"/>
              <w:jc w:val="left"/>
            </w:pPr>
            <w:r>
              <w:t>53.8% (46.8-60.9)</w:t>
            </w:r>
          </w:p>
        </w:tc>
      </w:tr>
      <w:tr w:rsidR="00D54BEB" w14:paraId="326DC69B" w14:textId="77777777">
        <w:tc>
          <w:tcPr>
            <w:tcW w:w="3150" w:type="dxa"/>
            <w:shd w:val="clear" w:color="auto" w:fill="auto"/>
            <w:tcMar>
              <w:top w:w="100" w:type="dxa"/>
              <w:left w:w="100" w:type="dxa"/>
              <w:bottom w:w="100" w:type="dxa"/>
              <w:right w:w="100" w:type="dxa"/>
            </w:tcMar>
          </w:tcPr>
          <w:p w14:paraId="000001B2" w14:textId="77777777" w:rsidR="00D54BEB" w:rsidRDefault="00DD3B20">
            <w:pPr>
              <w:spacing w:line="240" w:lineRule="auto"/>
              <w:rPr>
                <w:vertAlign w:val="superscript"/>
              </w:rPr>
            </w:pPr>
            <w:r>
              <w:t xml:space="preserve">  East Asia and Pacific (WHO)</w:t>
            </w:r>
            <w:r>
              <w:rPr>
                <w:vertAlign w:val="superscript"/>
              </w:rPr>
              <w:t>3</w:t>
            </w:r>
          </w:p>
        </w:tc>
        <w:tc>
          <w:tcPr>
            <w:tcW w:w="1875" w:type="dxa"/>
            <w:shd w:val="clear" w:color="auto" w:fill="auto"/>
            <w:tcMar>
              <w:top w:w="100" w:type="dxa"/>
              <w:left w:w="100" w:type="dxa"/>
              <w:bottom w:w="100" w:type="dxa"/>
              <w:right w:w="100" w:type="dxa"/>
            </w:tcMar>
          </w:tcPr>
          <w:p w14:paraId="000001B3" w14:textId="77777777" w:rsidR="00D54BEB" w:rsidRDefault="00DD3B20">
            <w:pPr>
              <w:widowControl w:val="0"/>
              <w:spacing w:line="240" w:lineRule="auto"/>
              <w:jc w:val="left"/>
            </w:pPr>
            <w:r>
              <w:t xml:space="preserve">28.2% (24.7-32.3) </w:t>
            </w:r>
          </w:p>
        </w:tc>
        <w:tc>
          <w:tcPr>
            <w:tcW w:w="1800" w:type="dxa"/>
            <w:shd w:val="clear" w:color="auto" w:fill="auto"/>
            <w:tcMar>
              <w:top w:w="100" w:type="dxa"/>
              <w:left w:w="100" w:type="dxa"/>
              <w:bottom w:w="100" w:type="dxa"/>
              <w:right w:w="100" w:type="dxa"/>
            </w:tcMar>
          </w:tcPr>
          <w:p w14:paraId="000001B4" w14:textId="77777777" w:rsidR="00D54BEB" w:rsidRDefault="00DD3B20">
            <w:pPr>
              <w:widowControl w:val="0"/>
              <w:spacing w:line="240" w:lineRule="auto"/>
              <w:jc w:val="left"/>
            </w:pPr>
            <w:r>
              <w:t>18.1% (14.6-24.1)</w:t>
            </w:r>
          </w:p>
        </w:tc>
        <w:tc>
          <w:tcPr>
            <w:tcW w:w="2085" w:type="dxa"/>
            <w:shd w:val="clear" w:color="auto" w:fill="auto"/>
            <w:tcMar>
              <w:top w:w="100" w:type="dxa"/>
              <w:left w:w="100" w:type="dxa"/>
              <w:bottom w:w="100" w:type="dxa"/>
              <w:right w:w="100" w:type="dxa"/>
            </w:tcMar>
          </w:tcPr>
          <w:p w14:paraId="000001B5" w14:textId="77777777" w:rsidR="00D54BEB" w:rsidRDefault="00DD3B20">
            <w:pPr>
              <w:widowControl w:val="0"/>
              <w:spacing w:line="240" w:lineRule="auto"/>
              <w:jc w:val="left"/>
            </w:pPr>
            <w:r>
              <w:t>51.2% (44.3-59.3)</w:t>
            </w:r>
          </w:p>
        </w:tc>
      </w:tr>
      <w:tr w:rsidR="00D54BEB" w14:paraId="3868F1D0" w14:textId="77777777">
        <w:tc>
          <w:tcPr>
            <w:tcW w:w="3150" w:type="dxa"/>
            <w:shd w:val="clear" w:color="auto" w:fill="auto"/>
            <w:tcMar>
              <w:top w:w="100" w:type="dxa"/>
              <w:left w:w="100" w:type="dxa"/>
              <w:bottom w:w="100" w:type="dxa"/>
              <w:right w:w="100" w:type="dxa"/>
            </w:tcMar>
          </w:tcPr>
          <w:p w14:paraId="000001B6" w14:textId="77777777" w:rsidR="00D54BEB" w:rsidRDefault="00DD3B20">
            <w:pPr>
              <w:spacing w:line="240" w:lineRule="auto"/>
            </w:pPr>
            <w:r>
              <w:t xml:space="preserve">  Europe and Central Asia</w:t>
            </w:r>
          </w:p>
        </w:tc>
        <w:tc>
          <w:tcPr>
            <w:tcW w:w="1875" w:type="dxa"/>
            <w:shd w:val="clear" w:color="auto" w:fill="auto"/>
            <w:tcMar>
              <w:top w:w="100" w:type="dxa"/>
              <w:left w:w="100" w:type="dxa"/>
              <w:bottom w:w="100" w:type="dxa"/>
              <w:right w:w="100" w:type="dxa"/>
            </w:tcMar>
          </w:tcPr>
          <w:p w14:paraId="000001B7" w14:textId="77777777" w:rsidR="00D54BEB" w:rsidRDefault="00DD3B20">
            <w:pPr>
              <w:widowControl w:val="0"/>
              <w:spacing w:line="240" w:lineRule="auto"/>
              <w:jc w:val="left"/>
            </w:pPr>
            <w:r>
              <w:t>31.9% (28.9-35.1)</w:t>
            </w:r>
          </w:p>
        </w:tc>
        <w:tc>
          <w:tcPr>
            <w:tcW w:w="1800" w:type="dxa"/>
            <w:shd w:val="clear" w:color="auto" w:fill="auto"/>
            <w:tcMar>
              <w:top w:w="100" w:type="dxa"/>
              <w:left w:w="100" w:type="dxa"/>
              <w:bottom w:w="100" w:type="dxa"/>
              <w:right w:w="100" w:type="dxa"/>
            </w:tcMar>
          </w:tcPr>
          <w:p w14:paraId="000001B8" w14:textId="77777777" w:rsidR="00D54BEB" w:rsidRDefault="00DD3B20">
            <w:pPr>
              <w:widowControl w:val="0"/>
              <w:spacing w:line="240" w:lineRule="auto"/>
              <w:jc w:val="left"/>
            </w:pPr>
            <w:r>
              <w:t>27.5% (22.9-32.6)</w:t>
            </w:r>
          </w:p>
        </w:tc>
        <w:tc>
          <w:tcPr>
            <w:tcW w:w="2085" w:type="dxa"/>
            <w:shd w:val="clear" w:color="auto" w:fill="auto"/>
            <w:tcMar>
              <w:top w:w="100" w:type="dxa"/>
              <w:left w:w="100" w:type="dxa"/>
              <w:bottom w:w="100" w:type="dxa"/>
              <w:right w:w="100" w:type="dxa"/>
            </w:tcMar>
          </w:tcPr>
          <w:p w14:paraId="000001B9" w14:textId="77777777" w:rsidR="00D54BEB" w:rsidRDefault="00DD3B20">
            <w:pPr>
              <w:widowControl w:val="0"/>
              <w:spacing w:line="240" w:lineRule="auto"/>
              <w:jc w:val="left"/>
            </w:pPr>
            <w:r>
              <w:t>63.1% (56.3-69.7)</w:t>
            </w:r>
          </w:p>
        </w:tc>
      </w:tr>
      <w:tr w:rsidR="00D54BEB" w14:paraId="2D1199AC" w14:textId="77777777">
        <w:tc>
          <w:tcPr>
            <w:tcW w:w="3150" w:type="dxa"/>
            <w:shd w:val="clear" w:color="auto" w:fill="auto"/>
            <w:tcMar>
              <w:top w:w="100" w:type="dxa"/>
              <w:left w:w="100" w:type="dxa"/>
              <w:bottom w:w="100" w:type="dxa"/>
              <w:right w:w="100" w:type="dxa"/>
            </w:tcMar>
          </w:tcPr>
          <w:p w14:paraId="000001BA" w14:textId="77777777" w:rsidR="00D54BEB" w:rsidRDefault="00DD3B20">
            <w:pPr>
              <w:spacing w:line="240" w:lineRule="auto"/>
            </w:pPr>
            <w:r>
              <w:t xml:space="preserve">  Latin America &amp; Caribbean</w:t>
            </w:r>
          </w:p>
        </w:tc>
        <w:tc>
          <w:tcPr>
            <w:tcW w:w="1875" w:type="dxa"/>
            <w:shd w:val="clear" w:color="auto" w:fill="auto"/>
            <w:tcMar>
              <w:top w:w="100" w:type="dxa"/>
              <w:left w:w="100" w:type="dxa"/>
              <w:bottom w:w="100" w:type="dxa"/>
              <w:right w:w="100" w:type="dxa"/>
            </w:tcMar>
          </w:tcPr>
          <w:p w14:paraId="000001BB" w14:textId="77777777" w:rsidR="00D54BEB" w:rsidRDefault="00DD3B20">
            <w:pPr>
              <w:widowControl w:val="0"/>
              <w:spacing w:line="240" w:lineRule="auto"/>
              <w:jc w:val="left"/>
            </w:pPr>
            <w:r>
              <w:t>34.5% (31.6-37.5)</w:t>
            </w:r>
          </w:p>
        </w:tc>
        <w:tc>
          <w:tcPr>
            <w:tcW w:w="1800" w:type="dxa"/>
            <w:shd w:val="clear" w:color="auto" w:fill="auto"/>
            <w:tcMar>
              <w:top w:w="100" w:type="dxa"/>
              <w:left w:w="100" w:type="dxa"/>
              <w:bottom w:w="100" w:type="dxa"/>
              <w:right w:w="100" w:type="dxa"/>
            </w:tcMar>
          </w:tcPr>
          <w:p w14:paraId="000001BC" w14:textId="77777777" w:rsidR="00D54BEB" w:rsidRDefault="00DD3B20">
            <w:pPr>
              <w:widowControl w:val="0"/>
              <w:spacing w:line="240" w:lineRule="auto"/>
              <w:jc w:val="left"/>
            </w:pPr>
            <w:r>
              <w:t>31.7% (29.2-34.6)</w:t>
            </w:r>
          </w:p>
        </w:tc>
        <w:tc>
          <w:tcPr>
            <w:tcW w:w="2085" w:type="dxa"/>
            <w:shd w:val="clear" w:color="auto" w:fill="auto"/>
            <w:tcMar>
              <w:top w:w="100" w:type="dxa"/>
              <w:left w:w="100" w:type="dxa"/>
              <w:bottom w:w="100" w:type="dxa"/>
              <w:right w:w="100" w:type="dxa"/>
            </w:tcMar>
          </w:tcPr>
          <w:p w14:paraId="000001BD" w14:textId="77777777" w:rsidR="00D54BEB" w:rsidRDefault="00DD3B20">
            <w:pPr>
              <w:widowControl w:val="0"/>
              <w:spacing w:line="240" w:lineRule="auto"/>
              <w:jc w:val="left"/>
            </w:pPr>
            <w:r>
              <w:t>65.2% (60.0-70.1)</w:t>
            </w:r>
          </w:p>
        </w:tc>
      </w:tr>
      <w:tr w:rsidR="00D54BEB" w14:paraId="17411E8C" w14:textId="77777777">
        <w:tc>
          <w:tcPr>
            <w:tcW w:w="3150" w:type="dxa"/>
            <w:shd w:val="clear" w:color="auto" w:fill="auto"/>
            <w:tcMar>
              <w:top w:w="100" w:type="dxa"/>
              <w:left w:w="100" w:type="dxa"/>
              <w:bottom w:w="100" w:type="dxa"/>
              <w:right w:w="100" w:type="dxa"/>
            </w:tcMar>
          </w:tcPr>
          <w:p w14:paraId="000001BE" w14:textId="77777777" w:rsidR="00D54BEB" w:rsidRDefault="00DD3B20">
            <w:pPr>
              <w:spacing w:line="240" w:lineRule="auto"/>
            </w:pPr>
            <w:r>
              <w:t xml:space="preserve">  Middle East and North Africa</w:t>
            </w:r>
          </w:p>
        </w:tc>
        <w:tc>
          <w:tcPr>
            <w:tcW w:w="1875" w:type="dxa"/>
            <w:shd w:val="clear" w:color="auto" w:fill="auto"/>
            <w:tcMar>
              <w:top w:w="100" w:type="dxa"/>
              <w:left w:w="100" w:type="dxa"/>
              <w:bottom w:w="100" w:type="dxa"/>
              <w:right w:w="100" w:type="dxa"/>
            </w:tcMar>
          </w:tcPr>
          <w:p w14:paraId="000001BF" w14:textId="77777777" w:rsidR="00D54BEB" w:rsidRDefault="00DD3B20">
            <w:pPr>
              <w:widowControl w:val="0"/>
              <w:spacing w:line="240" w:lineRule="auto"/>
              <w:jc w:val="left"/>
            </w:pPr>
            <w:r>
              <w:t>34.2% (25.5-44.2)</w:t>
            </w:r>
          </w:p>
        </w:tc>
        <w:tc>
          <w:tcPr>
            <w:tcW w:w="1800" w:type="dxa"/>
            <w:shd w:val="clear" w:color="auto" w:fill="auto"/>
            <w:tcMar>
              <w:top w:w="100" w:type="dxa"/>
              <w:left w:w="100" w:type="dxa"/>
              <w:bottom w:w="100" w:type="dxa"/>
              <w:right w:w="100" w:type="dxa"/>
            </w:tcMar>
          </w:tcPr>
          <w:p w14:paraId="000001C0" w14:textId="77777777" w:rsidR="00D54BEB" w:rsidRDefault="00DD3B20">
            <w:pPr>
              <w:widowControl w:val="0"/>
              <w:spacing w:line="240" w:lineRule="auto"/>
              <w:jc w:val="left"/>
            </w:pPr>
            <w:r>
              <w:t>35.8% (23.8-44.8)</w:t>
            </w:r>
          </w:p>
        </w:tc>
        <w:tc>
          <w:tcPr>
            <w:tcW w:w="2085" w:type="dxa"/>
            <w:shd w:val="clear" w:color="auto" w:fill="auto"/>
            <w:tcMar>
              <w:top w:w="100" w:type="dxa"/>
              <w:left w:w="100" w:type="dxa"/>
              <w:bottom w:w="100" w:type="dxa"/>
              <w:right w:w="100" w:type="dxa"/>
            </w:tcMar>
          </w:tcPr>
          <w:p w14:paraId="000001C1" w14:textId="77777777" w:rsidR="00D54BEB" w:rsidRDefault="00DD3B20">
            <w:pPr>
              <w:widowControl w:val="0"/>
              <w:spacing w:line="240" w:lineRule="auto"/>
              <w:jc w:val="left"/>
            </w:pPr>
            <w:r>
              <w:t>71.4% (67.8-74.7)</w:t>
            </w:r>
          </w:p>
        </w:tc>
      </w:tr>
      <w:tr w:rsidR="00D54BEB" w14:paraId="383DAA24" w14:textId="77777777">
        <w:tc>
          <w:tcPr>
            <w:tcW w:w="3150" w:type="dxa"/>
            <w:shd w:val="clear" w:color="auto" w:fill="auto"/>
            <w:tcMar>
              <w:top w:w="100" w:type="dxa"/>
              <w:left w:w="100" w:type="dxa"/>
              <w:bottom w:w="100" w:type="dxa"/>
              <w:right w:w="100" w:type="dxa"/>
            </w:tcMar>
          </w:tcPr>
          <w:p w14:paraId="000001C2" w14:textId="77777777" w:rsidR="00D54BEB" w:rsidRDefault="00DD3B20">
            <w:pPr>
              <w:spacing w:line="240" w:lineRule="auto"/>
            </w:pPr>
            <w:r>
              <w:t xml:space="preserve">  North America</w:t>
            </w:r>
          </w:p>
        </w:tc>
        <w:tc>
          <w:tcPr>
            <w:tcW w:w="1875" w:type="dxa"/>
            <w:shd w:val="clear" w:color="auto" w:fill="auto"/>
            <w:tcMar>
              <w:top w:w="100" w:type="dxa"/>
              <w:left w:w="100" w:type="dxa"/>
              <w:bottom w:w="100" w:type="dxa"/>
              <w:right w:w="100" w:type="dxa"/>
            </w:tcMar>
          </w:tcPr>
          <w:p w14:paraId="000001C3" w14:textId="77777777" w:rsidR="00D54BEB" w:rsidRDefault="00DD3B20">
            <w:pPr>
              <w:widowControl w:val="0"/>
              <w:spacing w:line="240" w:lineRule="auto"/>
              <w:jc w:val="left"/>
            </w:pPr>
            <w:r>
              <w:t>31.1% (29.1-33.9)</w:t>
            </w:r>
          </w:p>
        </w:tc>
        <w:tc>
          <w:tcPr>
            <w:tcW w:w="1800" w:type="dxa"/>
            <w:shd w:val="clear" w:color="auto" w:fill="auto"/>
            <w:tcMar>
              <w:top w:w="100" w:type="dxa"/>
              <w:left w:w="100" w:type="dxa"/>
              <w:bottom w:w="100" w:type="dxa"/>
              <w:right w:w="100" w:type="dxa"/>
            </w:tcMar>
          </w:tcPr>
          <w:p w14:paraId="000001C4" w14:textId="77777777" w:rsidR="00D54BEB" w:rsidRDefault="00DD3B20">
            <w:pPr>
              <w:widowControl w:val="0"/>
              <w:spacing w:line="240" w:lineRule="auto"/>
              <w:jc w:val="left"/>
            </w:pPr>
            <w:r>
              <w:t>30% (25.4-35.1)</w:t>
            </w:r>
          </w:p>
        </w:tc>
        <w:tc>
          <w:tcPr>
            <w:tcW w:w="2085" w:type="dxa"/>
            <w:shd w:val="clear" w:color="auto" w:fill="auto"/>
            <w:tcMar>
              <w:top w:w="100" w:type="dxa"/>
              <w:left w:w="100" w:type="dxa"/>
              <w:bottom w:w="100" w:type="dxa"/>
              <w:right w:w="100" w:type="dxa"/>
            </w:tcMar>
          </w:tcPr>
          <w:p w14:paraId="000001C5" w14:textId="77777777" w:rsidR="00D54BEB" w:rsidRDefault="00DD3B20">
            <w:pPr>
              <w:widowControl w:val="0"/>
              <w:spacing w:line="240" w:lineRule="auto"/>
              <w:jc w:val="left"/>
            </w:pPr>
            <w:r>
              <w:t>62.8% (58.2-66.9)</w:t>
            </w:r>
          </w:p>
        </w:tc>
      </w:tr>
      <w:tr w:rsidR="00D54BEB" w14:paraId="30B4F348" w14:textId="77777777">
        <w:trPr>
          <w:trHeight w:val="484"/>
        </w:trPr>
        <w:tc>
          <w:tcPr>
            <w:tcW w:w="3150" w:type="dxa"/>
            <w:shd w:val="clear" w:color="auto" w:fill="auto"/>
            <w:tcMar>
              <w:top w:w="100" w:type="dxa"/>
              <w:left w:w="100" w:type="dxa"/>
              <w:bottom w:w="100" w:type="dxa"/>
              <w:right w:w="100" w:type="dxa"/>
            </w:tcMar>
          </w:tcPr>
          <w:p w14:paraId="000001C6" w14:textId="77777777" w:rsidR="00D54BEB" w:rsidRDefault="00DD3B20">
            <w:pPr>
              <w:spacing w:line="240" w:lineRule="auto"/>
            </w:pPr>
            <w:r>
              <w:t xml:space="preserve">  South Asia</w:t>
            </w:r>
          </w:p>
        </w:tc>
        <w:tc>
          <w:tcPr>
            <w:tcW w:w="1875" w:type="dxa"/>
            <w:shd w:val="clear" w:color="auto" w:fill="auto"/>
            <w:tcMar>
              <w:top w:w="100" w:type="dxa"/>
              <w:left w:w="100" w:type="dxa"/>
              <w:bottom w:w="100" w:type="dxa"/>
              <w:right w:w="100" w:type="dxa"/>
            </w:tcMar>
          </w:tcPr>
          <w:p w14:paraId="000001C7" w14:textId="77777777" w:rsidR="00D54BEB" w:rsidRDefault="00DD3B20">
            <w:pPr>
              <w:widowControl w:val="0"/>
              <w:spacing w:line="240" w:lineRule="auto"/>
              <w:jc w:val="left"/>
            </w:pPr>
            <w:r>
              <w:t>31.1% (21.7-41.3)</w:t>
            </w:r>
          </w:p>
        </w:tc>
        <w:tc>
          <w:tcPr>
            <w:tcW w:w="1800" w:type="dxa"/>
            <w:shd w:val="clear" w:color="auto" w:fill="auto"/>
            <w:tcMar>
              <w:top w:w="100" w:type="dxa"/>
              <w:left w:w="100" w:type="dxa"/>
              <w:bottom w:w="100" w:type="dxa"/>
              <w:right w:w="100" w:type="dxa"/>
            </w:tcMar>
          </w:tcPr>
          <w:p w14:paraId="000001C8" w14:textId="77777777" w:rsidR="00D54BEB" w:rsidRDefault="00DD3B20">
            <w:pPr>
              <w:widowControl w:val="0"/>
              <w:spacing w:line="240" w:lineRule="auto"/>
              <w:jc w:val="left"/>
            </w:pPr>
            <w:r>
              <w:t>17.7% (10.5-28.5)</w:t>
            </w:r>
          </w:p>
        </w:tc>
        <w:tc>
          <w:tcPr>
            <w:tcW w:w="2085" w:type="dxa"/>
            <w:shd w:val="clear" w:color="auto" w:fill="auto"/>
            <w:tcMar>
              <w:top w:w="100" w:type="dxa"/>
              <w:left w:w="100" w:type="dxa"/>
              <w:bottom w:w="100" w:type="dxa"/>
              <w:right w:w="100" w:type="dxa"/>
            </w:tcMar>
          </w:tcPr>
          <w:p w14:paraId="000001C9" w14:textId="77777777" w:rsidR="00D54BEB" w:rsidRDefault="00DD3B20">
            <w:pPr>
              <w:widowControl w:val="0"/>
              <w:spacing w:line="240" w:lineRule="auto"/>
              <w:jc w:val="left"/>
            </w:pPr>
            <w:r>
              <w:t>51.3% (40.9-61.6)</w:t>
            </w:r>
          </w:p>
        </w:tc>
      </w:tr>
      <w:tr w:rsidR="00D54BEB" w14:paraId="28E5E095" w14:textId="77777777">
        <w:trPr>
          <w:trHeight w:val="484"/>
        </w:trPr>
        <w:tc>
          <w:tcPr>
            <w:tcW w:w="3150" w:type="dxa"/>
            <w:shd w:val="clear" w:color="auto" w:fill="auto"/>
            <w:tcMar>
              <w:top w:w="100" w:type="dxa"/>
              <w:left w:w="100" w:type="dxa"/>
              <w:bottom w:w="100" w:type="dxa"/>
              <w:right w:w="100" w:type="dxa"/>
            </w:tcMar>
          </w:tcPr>
          <w:p w14:paraId="000001CA" w14:textId="77777777" w:rsidR="00D54BEB" w:rsidRDefault="00DD3B20">
            <w:pPr>
              <w:spacing w:line="240" w:lineRule="auto"/>
            </w:pPr>
            <w:r>
              <w:lastRenderedPageBreak/>
              <w:t xml:space="preserve">  Sub-Saharan Africa</w:t>
            </w:r>
          </w:p>
        </w:tc>
        <w:tc>
          <w:tcPr>
            <w:tcW w:w="1875" w:type="dxa"/>
            <w:shd w:val="clear" w:color="auto" w:fill="auto"/>
            <w:tcMar>
              <w:top w:w="100" w:type="dxa"/>
              <w:left w:w="100" w:type="dxa"/>
              <w:bottom w:w="100" w:type="dxa"/>
              <w:right w:w="100" w:type="dxa"/>
            </w:tcMar>
          </w:tcPr>
          <w:p w14:paraId="000001CB" w14:textId="77777777" w:rsidR="00D54BEB" w:rsidRDefault="00DD3B20">
            <w:pPr>
              <w:widowControl w:val="0"/>
              <w:spacing w:line="240" w:lineRule="auto"/>
              <w:jc w:val="left"/>
            </w:pPr>
            <w:r>
              <w:t xml:space="preserve">33.1% (27.8-38.7) </w:t>
            </w:r>
          </w:p>
        </w:tc>
        <w:tc>
          <w:tcPr>
            <w:tcW w:w="1800" w:type="dxa"/>
            <w:shd w:val="clear" w:color="auto" w:fill="auto"/>
            <w:tcMar>
              <w:top w:w="100" w:type="dxa"/>
              <w:left w:w="100" w:type="dxa"/>
              <w:bottom w:w="100" w:type="dxa"/>
              <w:right w:w="100" w:type="dxa"/>
            </w:tcMar>
          </w:tcPr>
          <w:p w14:paraId="000001CC" w14:textId="77777777" w:rsidR="00D54BEB" w:rsidRDefault="00DD3B20">
            <w:pPr>
              <w:widowControl w:val="0"/>
              <w:spacing w:line="240" w:lineRule="auto"/>
              <w:jc w:val="left"/>
            </w:pPr>
            <w:r>
              <w:t>13.4% (6.7-25.1)</w:t>
            </w:r>
          </w:p>
        </w:tc>
        <w:tc>
          <w:tcPr>
            <w:tcW w:w="2085" w:type="dxa"/>
            <w:shd w:val="clear" w:color="auto" w:fill="auto"/>
            <w:tcMar>
              <w:top w:w="100" w:type="dxa"/>
              <w:left w:w="100" w:type="dxa"/>
              <w:bottom w:w="100" w:type="dxa"/>
              <w:right w:w="100" w:type="dxa"/>
            </w:tcMar>
          </w:tcPr>
          <w:p w14:paraId="000001CD" w14:textId="77777777" w:rsidR="00D54BEB" w:rsidRDefault="00DD3B20">
            <w:pPr>
              <w:widowControl w:val="0"/>
              <w:spacing w:line="240" w:lineRule="auto"/>
              <w:jc w:val="left"/>
            </w:pPr>
            <w:r>
              <w:t>47.9% (43.7-52.3)</w:t>
            </w:r>
          </w:p>
        </w:tc>
      </w:tr>
      <w:tr w:rsidR="00D54BEB" w14:paraId="15E57C4A" w14:textId="77777777">
        <w:tc>
          <w:tcPr>
            <w:tcW w:w="3150" w:type="dxa"/>
            <w:shd w:val="clear" w:color="auto" w:fill="auto"/>
            <w:tcMar>
              <w:top w:w="100" w:type="dxa"/>
              <w:left w:w="100" w:type="dxa"/>
              <w:bottom w:w="100" w:type="dxa"/>
              <w:right w:w="100" w:type="dxa"/>
            </w:tcMar>
          </w:tcPr>
          <w:p w14:paraId="000001CE" w14:textId="77777777" w:rsidR="00D54BEB" w:rsidRDefault="00DD3B20">
            <w:pPr>
              <w:widowControl w:val="0"/>
              <w:spacing w:line="240" w:lineRule="auto"/>
              <w:rPr>
                <w:b/>
              </w:rPr>
            </w:pPr>
            <w:r>
              <w:rPr>
                <w:b/>
              </w:rPr>
              <w:t xml:space="preserve">World Bank Classification </w:t>
            </w:r>
          </w:p>
        </w:tc>
        <w:tc>
          <w:tcPr>
            <w:tcW w:w="1875" w:type="dxa"/>
            <w:shd w:val="clear" w:color="auto" w:fill="auto"/>
            <w:tcMar>
              <w:top w:w="100" w:type="dxa"/>
              <w:left w:w="100" w:type="dxa"/>
              <w:bottom w:w="100" w:type="dxa"/>
              <w:right w:w="100" w:type="dxa"/>
            </w:tcMar>
          </w:tcPr>
          <w:p w14:paraId="000001CF" w14:textId="77777777" w:rsidR="00D54BEB" w:rsidRDefault="00D54BEB">
            <w:pPr>
              <w:widowControl w:val="0"/>
              <w:spacing w:line="240" w:lineRule="auto"/>
              <w:jc w:val="left"/>
            </w:pPr>
          </w:p>
        </w:tc>
        <w:tc>
          <w:tcPr>
            <w:tcW w:w="1800" w:type="dxa"/>
            <w:shd w:val="clear" w:color="auto" w:fill="auto"/>
            <w:tcMar>
              <w:top w:w="100" w:type="dxa"/>
              <w:left w:w="100" w:type="dxa"/>
              <w:bottom w:w="100" w:type="dxa"/>
              <w:right w:w="100" w:type="dxa"/>
            </w:tcMar>
          </w:tcPr>
          <w:p w14:paraId="000001D0" w14:textId="77777777" w:rsidR="00D54BEB" w:rsidRDefault="00D54BEB">
            <w:pPr>
              <w:widowControl w:val="0"/>
              <w:spacing w:line="240" w:lineRule="auto"/>
              <w:jc w:val="left"/>
            </w:pPr>
          </w:p>
        </w:tc>
        <w:tc>
          <w:tcPr>
            <w:tcW w:w="2085" w:type="dxa"/>
            <w:shd w:val="clear" w:color="auto" w:fill="auto"/>
            <w:tcMar>
              <w:top w:w="100" w:type="dxa"/>
              <w:left w:w="100" w:type="dxa"/>
              <w:bottom w:w="100" w:type="dxa"/>
              <w:right w:w="100" w:type="dxa"/>
            </w:tcMar>
          </w:tcPr>
          <w:p w14:paraId="000001D1" w14:textId="77777777" w:rsidR="00D54BEB" w:rsidRDefault="00D54BEB">
            <w:pPr>
              <w:widowControl w:val="0"/>
              <w:spacing w:line="240" w:lineRule="auto"/>
              <w:jc w:val="left"/>
            </w:pPr>
          </w:p>
        </w:tc>
      </w:tr>
      <w:tr w:rsidR="00D54BEB" w14:paraId="1FDDD34A" w14:textId="77777777">
        <w:trPr>
          <w:trHeight w:val="244"/>
        </w:trPr>
        <w:tc>
          <w:tcPr>
            <w:tcW w:w="3150" w:type="dxa"/>
            <w:shd w:val="clear" w:color="auto" w:fill="auto"/>
            <w:tcMar>
              <w:top w:w="100" w:type="dxa"/>
              <w:left w:w="100" w:type="dxa"/>
              <w:bottom w:w="100" w:type="dxa"/>
              <w:right w:w="100" w:type="dxa"/>
            </w:tcMar>
          </w:tcPr>
          <w:p w14:paraId="000001D2" w14:textId="77777777" w:rsidR="00D54BEB" w:rsidRDefault="00DD3B20">
            <w:pPr>
              <w:widowControl w:val="0"/>
              <w:spacing w:line="240" w:lineRule="auto"/>
            </w:pPr>
            <w:r>
              <w:t xml:space="preserve">  HICs </w:t>
            </w:r>
          </w:p>
        </w:tc>
        <w:tc>
          <w:tcPr>
            <w:tcW w:w="1875" w:type="dxa"/>
            <w:shd w:val="clear" w:color="auto" w:fill="auto"/>
            <w:tcMar>
              <w:top w:w="100" w:type="dxa"/>
              <w:left w:w="100" w:type="dxa"/>
              <w:bottom w:w="100" w:type="dxa"/>
              <w:right w:w="100" w:type="dxa"/>
            </w:tcMar>
          </w:tcPr>
          <w:p w14:paraId="000001D3" w14:textId="77777777" w:rsidR="00D54BEB" w:rsidRDefault="00DD3B20">
            <w:pPr>
              <w:widowControl w:val="0"/>
              <w:spacing w:line="240" w:lineRule="auto"/>
              <w:jc w:val="left"/>
            </w:pPr>
            <w:r>
              <w:t>30.0% (29.1-32.1)</w:t>
            </w:r>
          </w:p>
        </w:tc>
        <w:tc>
          <w:tcPr>
            <w:tcW w:w="1800" w:type="dxa"/>
            <w:shd w:val="clear" w:color="auto" w:fill="auto"/>
            <w:tcMar>
              <w:top w:w="100" w:type="dxa"/>
              <w:left w:w="100" w:type="dxa"/>
              <w:bottom w:w="100" w:type="dxa"/>
              <w:right w:w="100" w:type="dxa"/>
            </w:tcMar>
          </w:tcPr>
          <w:p w14:paraId="000001D4" w14:textId="77777777" w:rsidR="00D54BEB" w:rsidRDefault="00DD3B20">
            <w:pPr>
              <w:widowControl w:val="0"/>
              <w:spacing w:line="240" w:lineRule="auto"/>
              <w:jc w:val="left"/>
            </w:pPr>
            <w:r>
              <w:t>27.1% (24.1-29.9)</w:t>
            </w:r>
          </w:p>
        </w:tc>
        <w:tc>
          <w:tcPr>
            <w:tcW w:w="2085" w:type="dxa"/>
            <w:shd w:val="clear" w:color="auto" w:fill="auto"/>
            <w:tcMar>
              <w:top w:w="100" w:type="dxa"/>
              <w:left w:w="100" w:type="dxa"/>
              <w:bottom w:w="100" w:type="dxa"/>
              <w:right w:w="100" w:type="dxa"/>
            </w:tcMar>
          </w:tcPr>
          <w:p w14:paraId="000001D5" w14:textId="77777777" w:rsidR="00D54BEB" w:rsidRDefault="00DD3B20">
            <w:pPr>
              <w:widowControl w:val="0"/>
              <w:spacing w:line="240" w:lineRule="auto"/>
              <w:jc w:val="left"/>
            </w:pPr>
            <w:r>
              <w:t>60.7% (56.9-64.2)</w:t>
            </w:r>
          </w:p>
        </w:tc>
      </w:tr>
      <w:tr w:rsidR="00D54BEB" w14:paraId="1BFF7E66" w14:textId="77777777">
        <w:tc>
          <w:tcPr>
            <w:tcW w:w="3150" w:type="dxa"/>
            <w:shd w:val="clear" w:color="auto" w:fill="auto"/>
            <w:tcMar>
              <w:top w:w="100" w:type="dxa"/>
              <w:left w:w="100" w:type="dxa"/>
              <w:bottom w:w="100" w:type="dxa"/>
              <w:right w:w="100" w:type="dxa"/>
            </w:tcMar>
          </w:tcPr>
          <w:p w14:paraId="000001D6" w14:textId="77777777" w:rsidR="00D54BEB" w:rsidRDefault="00DD3B20">
            <w:pPr>
              <w:widowControl w:val="0"/>
              <w:spacing w:line="240" w:lineRule="auto"/>
            </w:pPr>
            <w:r>
              <w:t xml:space="preserve">  LMICs</w:t>
            </w:r>
          </w:p>
        </w:tc>
        <w:tc>
          <w:tcPr>
            <w:tcW w:w="1875" w:type="dxa"/>
            <w:shd w:val="clear" w:color="auto" w:fill="auto"/>
            <w:tcMar>
              <w:top w:w="100" w:type="dxa"/>
              <w:left w:w="100" w:type="dxa"/>
              <w:bottom w:w="100" w:type="dxa"/>
              <w:right w:w="100" w:type="dxa"/>
            </w:tcMar>
          </w:tcPr>
          <w:p w14:paraId="000001D7" w14:textId="77777777" w:rsidR="00D54BEB" w:rsidRDefault="00DD3B20">
            <w:pPr>
              <w:widowControl w:val="0"/>
              <w:spacing w:line="240" w:lineRule="auto"/>
              <w:jc w:val="left"/>
            </w:pPr>
            <w:r>
              <w:t>32.1% (29.7-35.2)</w:t>
            </w:r>
          </w:p>
        </w:tc>
        <w:tc>
          <w:tcPr>
            <w:tcW w:w="1800" w:type="dxa"/>
            <w:shd w:val="clear" w:color="auto" w:fill="auto"/>
            <w:tcMar>
              <w:top w:w="100" w:type="dxa"/>
              <w:left w:w="100" w:type="dxa"/>
              <w:bottom w:w="100" w:type="dxa"/>
              <w:right w:w="100" w:type="dxa"/>
            </w:tcMar>
          </w:tcPr>
          <w:p w14:paraId="000001D8" w14:textId="77777777" w:rsidR="00D54BEB" w:rsidRDefault="00DD3B20">
            <w:pPr>
              <w:widowControl w:val="0"/>
              <w:spacing w:line="240" w:lineRule="auto"/>
              <w:jc w:val="left"/>
            </w:pPr>
            <w:r>
              <w:t>22.4% (17.2-27.3)</w:t>
            </w:r>
          </w:p>
        </w:tc>
        <w:tc>
          <w:tcPr>
            <w:tcW w:w="2085" w:type="dxa"/>
            <w:shd w:val="clear" w:color="auto" w:fill="auto"/>
            <w:tcMar>
              <w:top w:w="100" w:type="dxa"/>
              <w:left w:w="100" w:type="dxa"/>
              <w:bottom w:w="100" w:type="dxa"/>
              <w:right w:w="100" w:type="dxa"/>
            </w:tcMar>
          </w:tcPr>
          <w:p w14:paraId="000001D9" w14:textId="77777777" w:rsidR="00D54BEB" w:rsidRDefault="00DD3B20">
            <w:pPr>
              <w:widowControl w:val="0"/>
              <w:spacing w:line="240" w:lineRule="auto"/>
              <w:jc w:val="left"/>
            </w:pPr>
            <w:r>
              <w:t>55.7% (49.5-61.7)</w:t>
            </w:r>
          </w:p>
        </w:tc>
      </w:tr>
      <w:tr w:rsidR="00D54BEB" w14:paraId="33A0D198" w14:textId="77777777">
        <w:tc>
          <w:tcPr>
            <w:tcW w:w="3150" w:type="dxa"/>
            <w:shd w:val="clear" w:color="auto" w:fill="auto"/>
            <w:tcMar>
              <w:top w:w="100" w:type="dxa"/>
              <w:left w:w="100" w:type="dxa"/>
              <w:bottom w:w="100" w:type="dxa"/>
              <w:right w:w="100" w:type="dxa"/>
            </w:tcMar>
          </w:tcPr>
          <w:p w14:paraId="000001DA" w14:textId="77777777" w:rsidR="00D54BEB" w:rsidRDefault="00DD3B20">
            <w:pPr>
              <w:widowControl w:val="0"/>
              <w:spacing w:line="240" w:lineRule="auto"/>
              <w:rPr>
                <w:b/>
              </w:rPr>
            </w:pPr>
            <w:r>
              <w:rPr>
                <w:b/>
              </w:rPr>
              <w:t>Year of data collection</w:t>
            </w:r>
          </w:p>
        </w:tc>
        <w:tc>
          <w:tcPr>
            <w:tcW w:w="1875" w:type="dxa"/>
            <w:shd w:val="clear" w:color="auto" w:fill="auto"/>
            <w:tcMar>
              <w:top w:w="100" w:type="dxa"/>
              <w:left w:w="100" w:type="dxa"/>
              <w:bottom w:w="100" w:type="dxa"/>
              <w:right w:w="100" w:type="dxa"/>
            </w:tcMar>
          </w:tcPr>
          <w:p w14:paraId="000001DB" w14:textId="77777777" w:rsidR="00D54BEB" w:rsidRDefault="00D54BEB">
            <w:pPr>
              <w:widowControl w:val="0"/>
              <w:spacing w:line="240" w:lineRule="auto"/>
              <w:jc w:val="left"/>
            </w:pPr>
          </w:p>
        </w:tc>
        <w:tc>
          <w:tcPr>
            <w:tcW w:w="1800" w:type="dxa"/>
            <w:shd w:val="clear" w:color="auto" w:fill="auto"/>
            <w:tcMar>
              <w:top w:w="100" w:type="dxa"/>
              <w:left w:w="100" w:type="dxa"/>
              <w:bottom w:w="100" w:type="dxa"/>
              <w:right w:w="100" w:type="dxa"/>
            </w:tcMar>
          </w:tcPr>
          <w:p w14:paraId="000001DC" w14:textId="77777777" w:rsidR="00D54BEB" w:rsidRDefault="00D54BEB">
            <w:pPr>
              <w:widowControl w:val="0"/>
              <w:spacing w:line="240" w:lineRule="auto"/>
              <w:jc w:val="left"/>
            </w:pPr>
          </w:p>
        </w:tc>
        <w:tc>
          <w:tcPr>
            <w:tcW w:w="2085" w:type="dxa"/>
            <w:shd w:val="clear" w:color="auto" w:fill="auto"/>
            <w:tcMar>
              <w:top w:w="100" w:type="dxa"/>
              <w:left w:w="100" w:type="dxa"/>
              <w:bottom w:w="100" w:type="dxa"/>
              <w:right w:w="100" w:type="dxa"/>
            </w:tcMar>
          </w:tcPr>
          <w:p w14:paraId="000001DD" w14:textId="77777777" w:rsidR="00D54BEB" w:rsidRDefault="00D54BEB">
            <w:pPr>
              <w:widowControl w:val="0"/>
              <w:spacing w:line="240" w:lineRule="auto"/>
              <w:jc w:val="left"/>
            </w:pPr>
          </w:p>
        </w:tc>
      </w:tr>
      <w:tr w:rsidR="00D54BEB" w14:paraId="3B957316" w14:textId="77777777">
        <w:tc>
          <w:tcPr>
            <w:tcW w:w="3150" w:type="dxa"/>
            <w:shd w:val="clear" w:color="auto" w:fill="auto"/>
            <w:tcMar>
              <w:top w:w="100" w:type="dxa"/>
              <w:left w:w="100" w:type="dxa"/>
              <w:bottom w:w="100" w:type="dxa"/>
              <w:right w:w="100" w:type="dxa"/>
            </w:tcMar>
          </w:tcPr>
          <w:p w14:paraId="000001DE" w14:textId="77777777" w:rsidR="00D54BEB" w:rsidRDefault="00DD3B20">
            <w:pPr>
              <w:widowControl w:val="0"/>
              <w:spacing w:line="240" w:lineRule="auto"/>
            </w:pPr>
            <w:r>
              <w:t xml:space="preserve">2005 and Older </w:t>
            </w:r>
          </w:p>
        </w:tc>
        <w:tc>
          <w:tcPr>
            <w:tcW w:w="1875" w:type="dxa"/>
            <w:shd w:val="clear" w:color="auto" w:fill="auto"/>
            <w:tcMar>
              <w:top w:w="100" w:type="dxa"/>
              <w:left w:w="100" w:type="dxa"/>
              <w:bottom w:w="100" w:type="dxa"/>
              <w:right w:w="100" w:type="dxa"/>
            </w:tcMar>
          </w:tcPr>
          <w:p w14:paraId="000001DF" w14:textId="77777777" w:rsidR="00D54BEB" w:rsidRDefault="00DD3B20">
            <w:pPr>
              <w:widowControl w:val="0"/>
              <w:spacing w:line="240" w:lineRule="auto"/>
              <w:jc w:val="left"/>
            </w:pPr>
            <w:r>
              <w:t>27.2% (22.9-31.9)</w:t>
            </w:r>
          </w:p>
        </w:tc>
        <w:tc>
          <w:tcPr>
            <w:tcW w:w="1800" w:type="dxa"/>
            <w:shd w:val="clear" w:color="auto" w:fill="auto"/>
            <w:tcMar>
              <w:top w:w="100" w:type="dxa"/>
              <w:left w:w="100" w:type="dxa"/>
              <w:bottom w:w="100" w:type="dxa"/>
              <w:right w:w="100" w:type="dxa"/>
            </w:tcMar>
          </w:tcPr>
          <w:p w14:paraId="000001E0" w14:textId="77777777" w:rsidR="00D54BEB" w:rsidRDefault="00DD3B20">
            <w:pPr>
              <w:widowControl w:val="0"/>
              <w:spacing w:line="240" w:lineRule="auto"/>
              <w:jc w:val="left"/>
            </w:pPr>
            <w:r>
              <w:t>20.4% (12.8-30.8)</w:t>
            </w:r>
          </w:p>
        </w:tc>
        <w:tc>
          <w:tcPr>
            <w:tcW w:w="2085" w:type="dxa"/>
            <w:shd w:val="clear" w:color="auto" w:fill="auto"/>
            <w:tcMar>
              <w:top w:w="100" w:type="dxa"/>
              <w:left w:w="100" w:type="dxa"/>
              <w:bottom w:w="100" w:type="dxa"/>
              <w:right w:w="100" w:type="dxa"/>
            </w:tcMar>
          </w:tcPr>
          <w:p w14:paraId="000001E1" w14:textId="77777777" w:rsidR="00D54BEB" w:rsidRDefault="00DD3B20">
            <w:pPr>
              <w:widowControl w:val="0"/>
              <w:spacing w:line="240" w:lineRule="auto"/>
              <w:jc w:val="left"/>
            </w:pPr>
            <w:r>
              <w:t>51.1% (38.3-63.8)</w:t>
            </w:r>
          </w:p>
        </w:tc>
      </w:tr>
      <w:tr w:rsidR="00D54BEB" w14:paraId="6F6CD5AD" w14:textId="77777777">
        <w:tc>
          <w:tcPr>
            <w:tcW w:w="3150" w:type="dxa"/>
            <w:shd w:val="clear" w:color="auto" w:fill="auto"/>
            <w:tcMar>
              <w:top w:w="100" w:type="dxa"/>
              <w:left w:w="100" w:type="dxa"/>
              <w:bottom w:w="100" w:type="dxa"/>
              <w:right w:w="100" w:type="dxa"/>
            </w:tcMar>
          </w:tcPr>
          <w:p w14:paraId="000001E2" w14:textId="77777777" w:rsidR="00D54BEB" w:rsidRDefault="00DD3B20">
            <w:pPr>
              <w:widowControl w:val="0"/>
              <w:spacing w:line="240" w:lineRule="auto"/>
            </w:pPr>
            <w:r>
              <w:t xml:space="preserve">2006 - 2010 </w:t>
            </w:r>
          </w:p>
        </w:tc>
        <w:tc>
          <w:tcPr>
            <w:tcW w:w="1875" w:type="dxa"/>
            <w:shd w:val="clear" w:color="auto" w:fill="auto"/>
            <w:tcMar>
              <w:top w:w="100" w:type="dxa"/>
              <w:left w:w="100" w:type="dxa"/>
              <w:bottom w:w="100" w:type="dxa"/>
              <w:right w:w="100" w:type="dxa"/>
            </w:tcMar>
          </w:tcPr>
          <w:p w14:paraId="000001E3" w14:textId="77777777" w:rsidR="00D54BEB" w:rsidRDefault="00DD3B20">
            <w:pPr>
              <w:widowControl w:val="0"/>
              <w:spacing w:line="240" w:lineRule="auto"/>
              <w:jc w:val="left"/>
            </w:pPr>
            <w:r>
              <w:t>33.2% (30.0-36.6)</w:t>
            </w:r>
          </w:p>
        </w:tc>
        <w:tc>
          <w:tcPr>
            <w:tcW w:w="1800" w:type="dxa"/>
            <w:shd w:val="clear" w:color="auto" w:fill="auto"/>
            <w:tcMar>
              <w:top w:w="100" w:type="dxa"/>
              <w:left w:w="100" w:type="dxa"/>
              <w:bottom w:w="100" w:type="dxa"/>
              <w:right w:w="100" w:type="dxa"/>
            </w:tcMar>
          </w:tcPr>
          <w:p w14:paraId="000001E4" w14:textId="77777777" w:rsidR="00D54BEB" w:rsidRDefault="00DD3B20">
            <w:pPr>
              <w:widowControl w:val="0"/>
              <w:spacing w:line="240" w:lineRule="auto"/>
              <w:jc w:val="left"/>
            </w:pPr>
            <w:r>
              <w:t>30.6% (25.8-35.8)</w:t>
            </w:r>
          </w:p>
        </w:tc>
        <w:tc>
          <w:tcPr>
            <w:tcW w:w="2085" w:type="dxa"/>
            <w:shd w:val="clear" w:color="auto" w:fill="auto"/>
            <w:tcMar>
              <w:top w:w="100" w:type="dxa"/>
              <w:left w:w="100" w:type="dxa"/>
              <w:bottom w:w="100" w:type="dxa"/>
              <w:right w:w="100" w:type="dxa"/>
            </w:tcMar>
          </w:tcPr>
          <w:p w14:paraId="000001E5" w14:textId="77777777" w:rsidR="00D54BEB" w:rsidRDefault="00DD3B20">
            <w:pPr>
              <w:widowControl w:val="0"/>
              <w:spacing w:line="240" w:lineRule="auto"/>
              <w:jc w:val="left"/>
            </w:pPr>
            <w:r>
              <w:t>66.0% (60.5-71.1)</w:t>
            </w:r>
          </w:p>
        </w:tc>
      </w:tr>
      <w:tr w:rsidR="00D54BEB" w14:paraId="3D4E4103" w14:textId="77777777">
        <w:tc>
          <w:tcPr>
            <w:tcW w:w="3150" w:type="dxa"/>
            <w:shd w:val="clear" w:color="auto" w:fill="auto"/>
            <w:tcMar>
              <w:top w:w="100" w:type="dxa"/>
              <w:left w:w="100" w:type="dxa"/>
              <w:bottom w:w="100" w:type="dxa"/>
              <w:right w:w="100" w:type="dxa"/>
            </w:tcMar>
          </w:tcPr>
          <w:p w14:paraId="000001E6" w14:textId="77777777" w:rsidR="00D54BEB" w:rsidRDefault="00DD3B20">
            <w:pPr>
              <w:widowControl w:val="0"/>
              <w:spacing w:line="240" w:lineRule="auto"/>
            </w:pPr>
            <w:r>
              <w:t xml:space="preserve">2011 - 2015 </w:t>
            </w:r>
          </w:p>
        </w:tc>
        <w:tc>
          <w:tcPr>
            <w:tcW w:w="1875" w:type="dxa"/>
            <w:shd w:val="clear" w:color="auto" w:fill="auto"/>
            <w:tcMar>
              <w:top w:w="100" w:type="dxa"/>
              <w:left w:w="100" w:type="dxa"/>
              <w:bottom w:w="100" w:type="dxa"/>
              <w:right w:w="100" w:type="dxa"/>
            </w:tcMar>
          </w:tcPr>
          <w:p w14:paraId="000001E7" w14:textId="77777777" w:rsidR="00D54BEB" w:rsidRDefault="00DD3B20">
            <w:pPr>
              <w:widowControl w:val="0"/>
              <w:spacing w:line="240" w:lineRule="auto"/>
              <w:jc w:val="left"/>
            </w:pPr>
            <w:r>
              <w:t>30.6% (28.2-33.2)</w:t>
            </w:r>
          </w:p>
        </w:tc>
        <w:tc>
          <w:tcPr>
            <w:tcW w:w="1800" w:type="dxa"/>
            <w:shd w:val="clear" w:color="auto" w:fill="auto"/>
            <w:tcMar>
              <w:top w:w="100" w:type="dxa"/>
              <w:left w:w="100" w:type="dxa"/>
              <w:bottom w:w="100" w:type="dxa"/>
              <w:right w:w="100" w:type="dxa"/>
            </w:tcMar>
          </w:tcPr>
          <w:p w14:paraId="000001E8" w14:textId="77777777" w:rsidR="00D54BEB" w:rsidRDefault="00DD3B20">
            <w:pPr>
              <w:widowControl w:val="0"/>
              <w:spacing w:line="240" w:lineRule="auto"/>
              <w:jc w:val="left"/>
            </w:pPr>
            <w:r>
              <w:t>27.2% (24.8-31.1)</w:t>
            </w:r>
          </w:p>
        </w:tc>
        <w:tc>
          <w:tcPr>
            <w:tcW w:w="2085" w:type="dxa"/>
            <w:shd w:val="clear" w:color="auto" w:fill="auto"/>
            <w:tcMar>
              <w:top w:w="100" w:type="dxa"/>
              <w:left w:w="100" w:type="dxa"/>
              <w:bottom w:w="100" w:type="dxa"/>
              <w:right w:w="100" w:type="dxa"/>
            </w:tcMar>
          </w:tcPr>
          <w:p w14:paraId="000001E9" w14:textId="77777777" w:rsidR="00D54BEB" w:rsidRDefault="00DD3B20">
            <w:pPr>
              <w:widowControl w:val="0"/>
              <w:spacing w:line="240" w:lineRule="auto"/>
              <w:jc w:val="left"/>
            </w:pPr>
            <w:r>
              <w:t>59.5% (54.6-64.1)</w:t>
            </w:r>
          </w:p>
        </w:tc>
      </w:tr>
      <w:tr w:rsidR="00D54BEB" w14:paraId="7E20F0F8" w14:textId="77777777">
        <w:tc>
          <w:tcPr>
            <w:tcW w:w="3150" w:type="dxa"/>
            <w:shd w:val="clear" w:color="auto" w:fill="auto"/>
            <w:tcMar>
              <w:top w:w="100" w:type="dxa"/>
              <w:left w:w="100" w:type="dxa"/>
              <w:bottom w:w="100" w:type="dxa"/>
              <w:right w:w="100" w:type="dxa"/>
            </w:tcMar>
          </w:tcPr>
          <w:p w14:paraId="000001EA" w14:textId="77777777" w:rsidR="00D54BEB" w:rsidRDefault="00DD3B20">
            <w:pPr>
              <w:widowControl w:val="0"/>
              <w:spacing w:line="240" w:lineRule="auto"/>
            </w:pPr>
            <w:r>
              <w:t>2016 - Date</w:t>
            </w:r>
          </w:p>
        </w:tc>
        <w:tc>
          <w:tcPr>
            <w:tcW w:w="1875" w:type="dxa"/>
            <w:shd w:val="clear" w:color="auto" w:fill="auto"/>
            <w:tcMar>
              <w:top w:w="100" w:type="dxa"/>
              <w:left w:w="100" w:type="dxa"/>
              <w:bottom w:w="100" w:type="dxa"/>
              <w:right w:w="100" w:type="dxa"/>
            </w:tcMar>
          </w:tcPr>
          <w:p w14:paraId="000001EB" w14:textId="77777777" w:rsidR="00D54BEB" w:rsidRDefault="00DD3B20">
            <w:pPr>
              <w:widowControl w:val="0"/>
              <w:spacing w:line="240" w:lineRule="auto"/>
              <w:jc w:val="left"/>
            </w:pPr>
            <w:r>
              <w:t>29.5% (27.2-32.8)</w:t>
            </w:r>
          </w:p>
        </w:tc>
        <w:tc>
          <w:tcPr>
            <w:tcW w:w="1800" w:type="dxa"/>
            <w:shd w:val="clear" w:color="auto" w:fill="auto"/>
            <w:tcMar>
              <w:top w:w="100" w:type="dxa"/>
              <w:left w:w="100" w:type="dxa"/>
              <w:bottom w:w="100" w:type="dxa"/>
              <w:right w:w="100" w:type="dxa"/>
            </w:tcMar>
          </w:tcPr>
          <w:p w14:paraId="000001EC" w14:textId="77777777" w:rsidR="00D54BEB" w:rsidRDefault="00DD3B20">
            <w:pPr>
              <w:widowControl w:val="0"/>
              <w:spacing w:line="240" w:lineRule="auto"/>
              <w:jc w:val="left"/>
            </w:pPr>
            <w:r>
              <w:t>22.4% (17.2-29.6)</w:t>
            </w:r>
          </w:p>
        </w:tc>
        <w:tc>
          <w:tcPr>
            <w:tcW w:w="2085" w:type="dxa"/>
            <w:shd w:val="clear" w:color="auto" w:fill="auto"/>
            <w:tcMar>
              <w:top w:w="100" w:type="dxa"/>
              <w:left w:w="100" w:type="dxa"/>
              <w:bottom w:w="100" w:type="dxa"/>
              <w:right w:w="100" w:type="dxa"/>
            </w:tcMar>
          </w:tcPr>
          <w:p w14:paraId="000001ED" w14:textId="77777777" w:rsidR="00D54BEB" w:rsidRDefault="00DD3B20">
            <w:pPr>
              <w:widowControl w:val="0"/>
              <w:spacing w:line="240" w:lineRule="auto"/>
              <w:jc w:val="left"/>
            </w:pPr>
            <w:r>
              <w:t>55.3% (48.9-61.5)</w:t>
            </w:r>
          </w:p>
        </w:tc>
      </w:tr>
      <w:tr w:rsidR="00D54BEB" w14:paraId="50C954FA" w14:textId="77777777">
        <w:trPr>
          <w:trHeight w:val="770"/>
        </w:trPr>
        <w:tc>
          <w:tcPr>
            <w:tcW w:w="8910" w:type="dxa"/>
            <w:gridSpan w:val="4"/>
            <w:shd w:val="clear" w:color="auto" w:fill="auto"/>
            <w:tcMar>
              <w:top w:w="100" w:type="dxa"/>
              <w:left w:w="100" w:type="dxa"/>
              <w:bottom w:w="100" w:type="dxa"/>
              <w:right w:w="100" w:type="dxa"/>
            </w:tcMar>
          </w:tcPr>
          <w:p w14:paraId="000001EE" w14:textId="7A58EE2B" w:rsidR="00D54BEB" w:rsidRDefault="00DD3B20">
            <w:pPr>
              <w:spacing w:line="240" w:lineRule="auto"/>
            </w:pPr>
            <w:r>
              <w:rPr>
                <w:vertAlign w:val="superscript"/>
              </w:rPr>
              <w:t>1</w:t>
            </w:r>
            <w:r>
              <w:t xml:space="preserve">The “any” category includes studies where the estimates of obesity were not separated between the type SMI, we did not find studies looking at major depression with psychotic features independently and only found one study looking at first episode of psychosis which was included in the “schizophrenia” category; </w:t>
            </w:r>
            <w:r>
              <w:rPr>
                <w:vertAlign w:val="superscript"/>
              </w:rPr>
              <w:t>2</w:t>
            </w:r>
            <w:r>
              <w:t xml:space="preserve"> Studies including participants with prescribed antipsychotic medication or open population (mix of participants taking and not taking antipsychotic medication);</w:t>
            </w:r>
            <w:r>
              <w:rPr>
                <w:vertAlign w:val="superscript"/>
              </w:rPr>
              <w:t xml:space="preserve">3 </w:t>
            </w:r>
            <w:r>
              <w:t xml:space="preserve">Prevalence from the sensitivity analysis excluding papers with </w:t>
            </w:r>
            <w:r w:rsidR="001350F8">
              <w:t>cut</w:t>
            </w:r>
            <w:r>
              <w:t xml:space="preserve">-of scores different than the WHO. </w:t>
            </w:r>
          </w:p>
        </w:tc>
      </w:tr>
    </w:tbl>
    <w:p w14:paraId="000001F2" w14:textId="77777777" w:rsidR="00D54BEB" w:rsidRDefault="00D54BEB"/>
    <w:p w14:paraId="000001F3" w14:textId="77777777" w:rsidR="00D54BEB" w:rsidRDefault="00DD3B20">
      <w:r>
        <w:rPr>
          <w:b/>
        </w:rPr>
        <w:t xml:space="preserve">Table 3. </w:t>
      </w:r>
      <w:r>
        <w:t xml:space="preserve">Odds of people with SMI of having overweight and obesity as compared with the general population </w:t>
      </w:r>
    </w:p>
    <w:tbl>
      <w:tblPr>
        <w:tblStyle w:val="a1"/>
        <w:tblW w:w="9210"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1005"/>
        <w:gridCol w:w="1035"/>
        <w:gridCol w:w="1185"/>
        <w:gridCol w:w="780"/>
        <w:gridCol w:w="1110"/>
        <w:gridCol w:w="705"/>
        <w:gridCol w:w="630"/>
        <w:gridCol w:w="735"/>
      </w:tblGrid>
      <w:tr w:rsidR="00D54BEB" w14:paraId="56CDD076" w14:textId="77777777">
        <w:trPr>
          <w:trHeight w:val="705"/>
        </w:trPr>
        <w:tc>
          <w:tcPr>
            <w:tcW w:w="2025" w:type="dxa"/>
          </w:tcPr>
          <w:p w14:paraId="000001F4" w14:textId="77777777" w:rsidR="00D54BEB" w:rsidRDefault="00D54BEB">
            <w:pPr>
              <w:spacing w:line="240" w:lineRule="auto"/>
            </w:pPr>
          </w:p>
        </w:tc>
        <w:tc>
          <w:tcPr>
            <w:tcW w:w="1005" w:type="dxa"/>
          </w:tcPr>
          <w:p w14:paraId="000001F5" w14:textId="77777777" w:rsidR="00D54BEB" w:rsidRDefault="00DD3B20">
            <w:pPr>
              <w:spacing w:line="240" w:lineRule="auto"/>
              <w:rPr>
                <w:b/>
              </w:rPr>
            </w:pPr>
            <w:r>
              <w:rPr>
                <w:b/>
              </w:rPr>
              <w:t xml:space="preserve">Number of studies </w:t>
            </w:r>
          </w:p>
        </w:tc>
        <w:tc>
          <w:tcPr>
            <w:tcW w:w="1035" w:type="dxa"/>
          </w:tcPr>
          <w:p w14:paraId="000001F6" w14:textId="77777777" w:rsidR="00D54BEB" w:rsidRDefault="00DD3B20">
            <w:pPr>
              <w:spacing w:line="240" w:lineRule="auto"/>
              <w:rPr>
                <w:b/>
              </w:rPr>
            </w:pPr>
            <w:r>
              <w:rPr>
                <w:b/>
              </w:rPr>
              <w:t xml:space="preserve">N people with SMI </w:t>
            </w:r>
          </w:p>
        </w:tc>
        <w:tc>
          <w:tcPr>
            <w:tcW w:w="1185" w:type="dxa"/>
          </w:tcPr>
          <w:p w14:paraId="000001F7" w14:textId="77777777" w:rsidR="00D54BEB" w:rsidRDefault="00DD3B20">
            <w:pPr>
              <w:spacing w:line="240" w:lineRule="auto"/>
              <w:rPr>
                <w:b/>
              </w:rPr>
            </w:pPr>
            <w:r>
              <w:rPr>
                <w:b/>
              </w:rPr>
              <w:t>N General population</w:t>
            </w:r>
          </w:p>
        </w:tc>
        <w:tc>
          <w:tcPr>
            <w:tcW w:w="780" w:type="dxa"/>
          </w:tcPr>
          <w:p w14:paraId="000001F8" w14:textId="77777777" w:rsidR="00D54BEB" w:rsidRDefault="00DD3B20">
            <w:pPr>
              <w:spacing w:line="240" w:lineRule="auto"/>
              <w:rPr>
                <w:b/>
              </w:rPr>
            </w:pPr>
            <w:r>
              <w:rPr>
                <w:b/>
              </w:rPr>
              <w:t xml:space="preserve">Odds ratio </w:t>
            </w:r>
          </w:p>
        </w:tc>
        <w:tc>
          <w:tcPr>
            <w:tcW w:w="1110" w:type="dxa"/>
          </w:tcPr>
          <w:p w14:paraId="000001F9" w14:textId="77777777" w:rsidR="00D54BEB" w:rsidRDefault="00DD3B20">
            <w:pPr>
              <w:spacing w:line="240" w:lineRule="auto"/>
              <w:rPr>
                <w:b/>
              </w:rPr>
            </w:pPr>
            <w:r>
              <w:rPr>
                <w:b/>
              </w:rPr>
              <w:t>95% CI</w:t>
            </w:r>
            <w:r>
              <w:rPr>
                <w:vertAlign w:val="superscript"/>
              </w:rPr>
              <w:t>1</w:t>
            </w:r>
            <w:r>
              <w:rPr>
                <w:b/>
              </w:rPr>
              <w:t xml:space="preserve"> </w:t>
            </w:r>
          </w:p>
        </w:tc>
        <w:tc>
          <w:tcPr>
            <w:tcW w:w="705" w:type="dxa"/>
          </w:tcPr>
          <w:p w14:paraId="000001FA" w14:textId="77777777" w:rsidR="00D54BEB" w:rsidRDefault="00DD3B20">
            <w:pPr>
              <w:spacing w:line="240" w:lineRule="auto"/>
              <w:rPr>
                <w:b/>
              </w:rPr>
            </w:pPr>
            <w:r>
              <w:rPr>
                <w:b/>
              </w:rPr>
              <w:t>p</w:t>
            </w:r>
          </w:p>
        </w:tc>
        <w:tc>
          <w:tcPr>
            <w:tcW w:w="630" w:type="dxa"/>
          </w:tcPr>
          <w:p w14:paraId="000001FB" w14:textId="77777777" w:rsidR="00D54BEB" w:rsidRDefault="00DD3B20">
            <w:pPr>
              <w:spacing w:line="240" w:lineRule="auto"/>
              <w:rPr>
                <w:b/>
              </w:rPr>
            </w:pPr>
            <w:r>
              <w:rPr>
                <w:b/>
              </w:rPr>
              <w:t>I</w:t>
            </w:r>
            <w:r>
              <w:rPr>
                <w:b/>
                <w:vertAlign w:val="superscript"/>
              </w:rPr>
              <w:t xml:space="preserve">2 </w:t>
            </w:r>
            <w:r>
              <w:rPr>
                <w:vertAlign w:val="superscript"/>
              </w:rPr>
              <w:t>2</w:t>
            </w:r>
            <w:r>
              <w:rPr>
                <w:b/>
              </w:rPr>
              <w:t xml:space="preserve"> </w:t>
            </w:r>
          </w:p>
        </w:tc>
        <w:tc>
          <w:tcPr>
            <w:tcW w:w="735" w:type="dxa"/>
          </w:tcPr>
          <w:p w14:paraId="000001FC" w14:textId="77777777" w:rsidR="00D54BEB" w:rsidRDefault="00DD3B20">
            <w:pPr>
              <w:spacing w:line="240" w:lineRule="auto"/>
              <w:rPr>
                <w:b/>
              </w:rPr>
            </w:pPr>
            <w:r>
              <w:rPr>
                <w:b/>
                <w:i/>
              </w:rPr>
              <w:t>T</w:t>
            </w:r>
            <w:r>
              <w:rPr>
                <w:b/>
                <w:vertAlign w:val="superscript"/>
              </w:rPr>
              <w:t>2</w:t>
            </w:r>
            <w:r>
              <w:rPr>
                <w:b/>
              </w:rPr>
              <w:t xml:space="preserve"> </w:t>
            </w:r>
            <w:r>
              <w:rPr>
                <w:vertAlign w:val="superscript"/>
              </w:rPr>
              <w:t>3</w:t>
            </w:r>
          </w:p>
        </w:tc>
      </w:tr>
      <w:tr w:rsidR="00D54BEB" w14:paraId="30C3304F" w14:textId="77777777">
        <w:trPr>
          <w:trHeight w:val="469"/>
        </w:trPr>
        <w:tc>
          <w:tcPr>
            <w:tcW w:w="2025" w:type="dxa"/>
          </w:tcPr>
          <w:p w14:paraId="000001FD" w14:textId="77777777" w:rsidR="00D54BEB" w:rsidRDefault="00DD3B20">
            <w:pPr>
              <w:spacing w:line="240" w:lineRule="auto"/>
            </w:pPr>
            <w:r>
              <w:t>Overweight</w:t>
            </w:r>
          </w:p>
        </w:tc>
        <w:tc>
          <w:tcPr>
            <w:tcW w:w="1005" w:type="dxa"/>
          </w:tcPr>
          <w:p w14:paraId="000001FE" w14:textId="77777777" w:rsidR="00D54BEB" w:rsidRDefault="00DD3B20">
            <w:pPr>
              <w:spacing w:line="240" w:lineRule="auto"/>
            </w:pPr>
            <w:r>
              <w:t>21</w:t>
            </w:r>
          </w:p>
        </w:tc>
        <w:tc>
          <w:tcPr>
            <w:tcW w:w="1035" w:type="dxa"/>
          </w:tcPr>
          <w:p w14:paraId="000001FF" w14:textId="77777777" w:rsidR="00D54BEB" w:rsidRDefault="00DD3B20">
            <w:pPr>
              <w:spacing w:line="240" w:lineRule="auto"/>
            </w:pPr>
            <w:r>
              <w:t>6478</w:t>
            </w:r>
          </w:p>
        </w:tc>
        <w:tc>
          <w:tcPr>
            <w:tcW w:w="1185" w:type="dxa"/>
          </w:tcPr>
          <w:p w14:paraId="00000200" w14:textId="77777777" w:rsidR="00D54BEB" w:rsidRDefault="00DD3B20">
            <w:pPr>
              <w:spacing w:line="240" w:lineRule="auto"/>
            </w:pPr>
            <w:r>
              <w:t>78937</w:t>
            </w:r>
          </w:p>
        </w:tc>
        <w:tc>
          <w:tcPr>
            <w:tcW w:w="780" w:type="dxa"/>
          </w:tcPr>
          <w:p w14:paraId="00000201" w14:textId="77777777" w:rsidR="00D54BEB" w:rsidRDefault="00DD3B20">
            <w:pPr>
              <w:spacing w:line="240" w:lineRule="auto"/>
            </w:pPr>
            <w:r>
              <w:t>1.07</w:t>
            </w:r>
          </w:p>
        </w:tc>
        <w:tc>
          <w:tcPr>
            <w:tcW w:w="1110" w:type="dxa"/>
          </w:tcPr>
          <w:p w14:paraId="00000202" w14:textId="77777777" w:rsidR="00D54BEB" w:rsidRDefault="00DD3B20">
            <w:pPr>
              <w:spacing w:line="240" w:lineRule="auto"/>
            </w:pPr>
            <w:r>
              <w:t>0.91-1.27</w:t>
            </w:r>
          </w:p>
        </w:tc>
        <w:tc>
          <w:tcPr>
            <w:tcW w:w="705" w:type="dxa"/>
          </w:tcPr>
          <w:p w14:paraId="00000203" w14:textId="77777777" w:rsidR="00D54BEB" w:rsidRDefault="00DD3B20">
            <w:pPr>
              <w:spacing w:line="240" w:lineRule="auto"/>
            </w:pPr>
            <w:r>
              <w:t>&lt;0.01</w:t>
            </w:r>
          </w:p>
        </w:tc>
        <w:tc>
          <w:tcPr>
            <w:tcW w:w="630" w:type="dxa"/>
          </w:tcPr>
          <w:p w14:paraId="00000204" w14:textId="77777777" w:rsidR="00D54BEB" w:rsidRDefault="00DD3B20">
            <w:pPr>
              <w:spacing w:line="240" w:lineRule="auto"/>
            </w:pPr>
            <w:r>
              <w:t>81%</w:t>
            </w:r>
          </w:p>
        </w:tc>
        <w:tc>
          <w:tcPr>
            <w:tcW w:w="735" w:type="dxa"/>
          </w:tcPr>
          <w:p w14:paraId="00000205" w14:textId="77777777" w:rsidR="00D54BEB" w:rsidRDefault="00DD3B20">
            <w:pPr>
              <w:spacing w:line="240" w:lineRule="auto"/>
            </w:pPr>
            <w:r>
              <w:t>0.11</w:t>
            </w:r>
          </w:p>
        </w:tc>
      </w:tr>
      <w:tr w:rsidR="00D54BEB" w14:paraId="4B2120B0" w14:textId="77777777">
        <w:tc>
          <w:tcPr>
            <w:tcW w:w="2025" w:type="dxa"/>
          </w:tcPr>
          <w:p w14:paraId="00000206" w14:textId="77777777" w:rsidR="00D54BEB" w:rsidRDefault="00DD3B20">
            <w:pPr>
              <w:spacing w:line="240" w:lineRule="auto"/>
            </w:pPr>
            <w:r>
              <w:t xml:space="preserve">Obesity </w:t>
            </w:r>
          </w:p>
        </w:tc>
        <w:tc>
          <w:tcPr>
            <w:tcW w:w="1005" w:type="dxa"/>
          </w:tcPr>
          <w:p w14:paraId="00000207" w14:textId="77777777" w:rsidR="00D54BEB" w:rsidRDefault="00DD3B20">
            <w:pPr>
              <w:spacing w:line="240" w:lineRule="auto"/>
            </w:pPr>
            <w:r>
              <w:t>24</w:t>
            </w:r>
          </w:p>
        </w:tc>
        <w:tc>
          <w:tcPr>
            <w:tcW w:w="1035" w:type="dxa"/>
          </w:tcPr>
          <w:p w14:paraId="00000208" w14:textId="77777777" w:rsidR="00D54BEB" w:rsidRDefault="00DD3B20">
            <w:pPr>
              <w:spacing w:line="240" w:lineRule="auto"/>
            </w:pPr>
            <w:r>
              <w:t>7165</w:t>
            </w:r>
          </w:p>
        </w:tc>
        <w:tc>
          <w:tcPr>
            <w:tcW w:w="1185" w:type="dxa"/>
          </w:tcPr>
          <w:p w14:paraId="00000209" w14:textId="77777777" w:rsidR="00D54BEB" w:rsidRDefault="00DD3B20">
            <w:pPr>
              <w:spacing w:line="240" w:lineRule="auto"/>
            </w:pPr>
            <w:r>
              <w:t>83033</w:t>
            </w:r>
          </w:p>
        </w:tc>
        <w:tc>
          <w:tcPr>
            <w:tcW w:w="780" w:type="dxa"/>
          </w:tcPr>
          <w:p w14:paraId="0000020A" w14:textId="77777777" w:rsidR="00D54BEB" w:rsidRDefault="00DD3B20">
            <w:pPr>
              <w:spacing w:line="240" w:lineRule="auto"/>
            </w:pPr>
            <w:r>
              <w:t>3.04</w:t>
            </w:r>
          </w:p>
        </w:tc>
        <w:tc>
          <w:tcPr>
            <w:tcW w:w="1110" w:type="dxa"/>
          </w:tcPr>
          <w:p w14:paraId="0000020B" w14:textId="77777777" w:rsidR="00D54BEB" w:rsidRDefault="00DD3B20">
            <w:pPr>
              <w:spacing w:line="240" w:lineRule="auto"/>
            </w:pPr>
            <w:r>
              <w:t>2.42 - 3.82</w:t>
            </w:r>
          </w:p>
        </w:tc>
        <w:tc>
          <w:tcPr>
            <w:tcW w:w="705" w:type="dxa"/>
          </w:tcPr>
          <w:p w14:paraId="0000020C" w14:textId="77777777" w:rsidR="00D54BEB" w:rsidRDefault="00DD3B20">
            <w:pPr>
              <w:spacing w:line="240" w:lineRule="auto"/>
            </w:pPr>
            <w:r>
              <w:t>&lt;0.01</w:t>
            </w:r>
          </w:p>
        </w:tc>
        <w:tc>
          <w:tcPr>
            <w:tcW w:w="630" w:type="dxa"/>
          </w:tcPr>
          <w:p w14:paraId="0000020D" w14:textId="77777777" w:rsidR="00D54BEB" w:rsidRDefault="00DD3B20">
            <w:pPr>
              <w:spacing w:line="240" w:lineRule="auto"/>
            </w:pPr>
            <w:r>
              <w:t>91%</w:t>
            </w:r>
          </w:p>
        </w:tc>
        <w:tc>
          <w:tcPr>
            <w:tcW w:w="735" w:type="dxa"/>
          </w:tcPr>
          <w:p w14:paraId="0000020E" w14:textId="77777777" w:rsidR="00D54BEB" w:rsidRDefault="00DD3B20">
            <w:pPr>
              <w:spacing w:line="240" w:lineRule="auto"/>
            </w:pPr>
            <w:r>
              <w:t>0.42</w:t>
            </w:r>
          </w:p>
        </w:tc>
      </w:tr>
      <w:tr w:rsidR="00D54BEB" w14:paraId="50EFDF8C" w14:textId="77777777">
        <w:tc>
          <w:tcPr>
            <w:tcW w:w="2025" w:type="dxa"/>
          </w:tcPr>
          <w:p w14:paraId="0000020F" w14:textId="77777777" w:rsidR="00D54BEB" w:rsidRDefault="00DD3B20">
            <w:pPr>
              <w:spacing w:line="240" w:lineRule="auto"/>
            </w:pPr>
            <w:r>
              <w:t>Overweight and obesity</w:t>
            </w:r>
          </w:p>
        </w:tc>
        <w:tc>
          <w:tcPr>
            <w:tcW w:w="1005" w:type="dxa"/>
          </w:tcPr>
          <w:p w14:paraId="00000210" w14:textId="77777777" w:rsidR="00D54BEB" w:rsidRDefault="00DD3B20">
            <w:pPr>
              <w:spacing w:line="240" w:lineRule="auto"/>
            </w:pPr>
            <w:r>
              <w:t>21</w:t>
            </w:r>
          </w:p>
        </w:tc>
        <w:tc>
          <w:tcPr>
            <w:tcW w:w="1035" w:type="dxa"/>
          </w:tcPr>
          <w:p w14:paraId="00000211" w14:textId="77777777" w:rsidR="00D54BEB" w:rsidRDefault="00DD3B20">
            <w:pPr>
              <w:spacing w:line="240" w:lineRule="auto"/>
            </w:pPr>
            <w:r>
              <w:t>6478</w:t>
            </w:r>
          </w:p>
        </w:tc>
        <w:tc>
          <w:tcPr>
            <w:tcW w:w="1185" w:type="dxa"/>
          </w:tcPr>
          <w:p w14:paraId="00000212" w14:textId="77777777" w:rsidR="00D54BEB" w:rsidRDefault="00DD3B20">
            <w:pPr>
              <w:spacing w:line="240" w:lineRule="auto"/>
            </w:pPr>
            <w:r>
              <w:t>78937</w:t>
            </w:r>
          </w:p>
        </w:tc>
        <w:tc>
          <w:tcPr>
            <w:tcW w:w="780" w:type="dxa"/>
          </w:tcPr>
          <w:p w14:paraId="00000213" w14:textId="77777777" w:rsidR="00D54BEB" w:rsidRDefault="00DD3B20">
            <w:pPr>
              <w:spacing w:line="240" w:lineRule="auto"/>
            </w:pPr>
            <w:r>
              <w:t>2.03</w:t>
            </w:r>
          </w:p>
        </w:tc>
        <w:tc>
          <w:tcPr>
            <w:tcW w:w="1110" w:type="dxa"/>
          </w:tcPr>
          <w:p w14:paraId="00000214" w14:textId="77777777" w:rsidR="00D54BEB" w:rsidRDefault="00DD3B20">
            <w:pPr>
              <w:spacing w:line="240" w:lineRule="auto"/>
            </w:pPr>
            <w:r>
              <w:t>1.60-2.59</w:t>
            </w:r>
          </w:p>
        </w:tc>
        <w:tc>
          <w:tcPr>
            <w:tcW w:w="705" w:type="dxa"/>
          </w:tcPr>
          <w:p w14:paraId="00000215" w14:textId="77777777" w:rsidR="00D54BEB" w:rsidRDefault="00DD3B20">
            <w:pPr>
              <w:spacing w:line="240" w:lineRule="auto"/>
            </w:pPr>
            <w:r>
              <w:t>&lt;0.01</w:t>
            </w:r>
          </w:p>
        </w:tc>
        <w:tc>
          <w:tcPr>
            <w:tcW w:w="630" w:type="dxa"/>
          </w:tcPr>
          <w:p w14:paraId="00000216" w14:textId="77777777" w:rsidR="00D54BEB" w:rsidRDefault="00DD3B20">
            <w:pPr>
              <w:spacing w:line="240" w:lineRule="auto"/>
            </w:pPr>
            <w:r>
              <w:t>92%</w:t>
            </w:r>
          </w:p>
        </w:tc>
        <w:tc>
          <w:tcPr>
            <w:tcW w:w="735" w:type="dxa"/>
          </w:tcPr>
          <w:p w14:paraId="00000217" w14:textId="77777777" w:rsidR="00D54BEB" w:rsidRDefault="00DD3B20">
            <w:pPr>
              <w:spacing w:line="240" w:lineRule="auto"/>
            </w:pPr>
            <w:r>
              <w:t>0.27</w:t>
            </w:r>
          </w:p>
        </w:tc>
      </w:tr>
      <w:tr w:rsidR="00D54BEB" w14:paraId="1D5FCF02" w14:textId="77777777">
        <w:trPr>
          <w:trHeight w:val="400"/>
        </w:trPr>
        <w:tc>
          <w:tcPr>
            <w:tcW w:w="9210" w:type="dxa"/>
            <w:gridSpan w:val="9"/>
          </w:tcPr>
          <w:p w14:paraId="00000218" w14:textId="77777777" w:rsidR="00D54BEB" w:rsidRDefault="00DD3B20">
            <w:pPr>
              <w:spacing w:line="240" w:lineRule="auto"/>
            </w:pPr>
            <w:r>
              <w:rPr>
                <w:vertAlign w:val="superscript"/>
              </w:rPr>
              <w:t>1</w:t>
            </w:r>
            <w:r>
              <w:t xml:space="preserve"> 95% confidence interval; </w:t>
            </w:r>
            <w:r>
              <w:rPr>
                <w:vertAlign w:val="superscript"/>
              </w:rPr>
              <w:t xml:space="preserve">2 </w:t>
            </w:r>
            <w:r>
              <w:t xml:space="preserve">I squared test for heterogeneity; </w:t>
            </w:r>
            <w:r>
              <w:rPr>
                <w:vertAlign w:val="superscript"/>
              </w:rPr>
              <w:t>3</w:t>
            </w:r>
            <w:r>
              <w:t>Tau squared test for heterogeneity</w:t>
            </w:r>
          </w:p>
        </w:tc>
      </w:tr>
    </w:tbl>
    <w:p w14:paraId="00000221" w14:textId="77777777" w:rsidR="00D54BEB" w:rsidRDefault="00D54BEB"/>
    <w:p w14:paraId="00000222" w14:textId="77777777" w:rsidR="00D54BEB" w:rsidRDefault="00D54BEB"/>
    <w:sectPr w:rsidR="00D54BEB">
      <w:headerReference w:type="default" r:id="rId129"/>
      <w:footerReference w:type="default" r:id="rId13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FDC2" w14:textId="77777777" w:rsidR="001F2D64" w:rsidRDefault="001F2D64">
      <w:pPr>
        <w:spacing w:line="240" w:lineRule="auto"/>
      </w:pPr>
      <w:r>
        <w:separator/>
      </w:r>
    </w:p>
  </w:endnote>
  <w:endnote w:type="continuationSeparator" w:id="0">
    <w:p w14:paraId="4E4CA2C5" w14:textId="77777777" w:rsidR="001F2D64" w:rsidRDefault="001F2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3" w14:textId="23A951C2" w:rsidR="00D54BEB" w:rsidRDefault="00DD3B20">
    <w:pPr>
      <w:rPr>
        <w:color w:val="B7B7B7"/>
      </w:rPr>
    </w:pPr>
    <w:r>
      <w:rPr>
        <w:color w:val="B7B7B7"/>
      </w:rPr>
      <w:t>Obesity in people with SMI V1.3 31-08-21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512B" w14:textId="77777777" w:rsidR="001F2D64" w:rsidRDefault="001F2D64">
      <w:pPr>
        <w:spacing w:line="240" w:lineRule="auto"/>
      </w:pPr>
      <w:r>
        <w:separator/>
      </w:r>
    </w:p>
  </w:footnote>
  <w:footnote w:type="continuationSeparator" w:id="0">
    <w:p w14:paraId="3ABB3225" w14:textId="77777777" w:rsidR="001F2D64" w:rsidRDefault="001F2D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24" w14:textId="77777777" w:rsidR="00D54BEB" w:rsidRDefault="00DD3B20">
    <w:pPr>
      <w:ind w:hanging="141"/>
    </w:pPr>
    <w:r>
      <w:rPr>
        <w:noProof/>
      </w:rPr>
      <w:drawing>
        <wp:inline distT="114300" distB="114300" distL="114300" distR="114300">
          <wp:extent cx="1061826" cy="376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1826" cy="3762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N976B133Q524O247"/>
    <w:docVar w:name="paperpile-doc-name" w:val="Prevalence of Obesity in people with SMI_ Review V1.3 31-08-21.docx"/>
  </w:docVars>
  <w:rsids>
    <w:rsidRoot w:val="00D54BEB"/>
    <w:rsid w:val="001350F8"/>
    <w:rsid w:val="001F2D64"/>
    <w:rsid w:val="00883678"/>
    <w:rsid w:val="00AF291E"/>
    <w:rsid w:val="00D54BEB"/>
    <w:rsid w:val="00D66FD5"/>
    <w:rsid w:val="00DD3B20"/>
    <w:rsid w:val="00E01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1AE4"/>
  <w15:docId w15:val="{1671264D-BDE9-49E7-9B2D-7607149B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0"/>
      </w:tabs>
      <w:spacing w:before="240" w:after="120"/>
      <w:outlineLvl w:val="0"/>
    </w:pPr>
    <w:rPr>
      <w:b/>
      <w:sz w:val="28"/>
      <w:szCs w:val="28"/>
    </w:rPr>
  </w:style>
  <w:style w:type="paragraph" w:styleId="Heading2">
    <w:name w:val="heading 2"/>
    <w:basedOn w:val="Normal"/>
    <w:next w:val="Normal"/>
    <w:uiPriority w:val="9"/>
    <w:unhideWhenUsed/>
    <w:qFormat/>
    <w:pPr>
      <w:keepNext/>
      <w:keepLines/>
      <w:tabs>
        <w:tab w:val="left" w:pos="2160"/>
      </w:tabs>
      <w:spacing w:before="120" w:after="60"/>
      <w:outlineLvl w:val="1"/>
    </w:pPr>
    <w:rPr>
      <w:b/>
      <w:i/>
    </w:rPr>
  </w:style>
  <w:style w:type="paragraph" w:styleId="Heading3">
    <w:name w:val="heading 3"/>
    <w:basedOn w:val="Normal"/>
    <w:next w:val="Normal"/>
    <w:uiPriority w:val="9"/>
    <w:unhideWhenUsed/>
    <w:qFormat/>
    <w:pPr>
      <w:keepNext/>
      <w:keepLines/>
      <w:outlineLvl w:val="2"/>
    </w:pPr>
    <w:rPr>
      <w:i/>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sz w:val="28"/>
      <w:szCs w:val="2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F291E"/>
    <w:pPr>
      <w:tabs>
        <w:tab w:val="center" w:pos="4513"/>
        <w:tab w:val="right" w:pos="9026"/>
      </w:tabs>
      <w:spacing w:line="240" w:lineRule="auto"/>
    </w:pPr>
  </w:style>
  <w:style w:type="character" w:customStyle="1" w:styleId="HeaderChar">
    <w:name w:val="Header Char"/>
    <w:basedOn w:val="DefaultParagraphFont"/>
    <w:link w:val="Header"/>
    <w:uiPriority w:val="99"/>
    <w:rsid w:val="00AF291E"/>
  </w:style>
  <w:style w:type="paragraph" w:styleId="Footer">
    <w:name w:val="footer"/>
    <w:basedOn w:val="Normal"/>
    <w:link w:val="FooterChar"/>
    <w:uiPriority w:val="99"/>
    <w:unhideWhenUsed/>
    <w:rsid w:val="00AF291E"/>
    <w:pPr>
      <w:tabs>
        <w:tab w:val="center" w:pos="4513"/>
        <w:tab w:val="right" w:pos="9026"/>
      </w:tabs>
      <w:spacing w:line="240" w:lineRule="auto"/>
    </w:pPr>
  </w:style>
  <w:style w:type="character" w:customStyle="1" w:styleId="FooterChar">
    <w:name w:val="Footer Char"/>
    <w:basedOn w:val="DefaultParagraphFont"/>
    <w:link w:val="Footer"/>
    <w:uiPriority w:val="99"/>
    <w:rsid w:val="00AF2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dx.doi.org/10.1038/s41574-020-00411-y" TargetMode="External"/><Relationship Id="rId21" Type="http://schemas.openxmlformats.org/officeDocument/2006/relationships/hyperlink" Target="https://paperpile.com/c/oQGKXB/VfUU" TargetMode="External"/><Relationship Id="rId42" Type="http://schemas.openxmlformats.org/officeDocument/2006/relationships/hyperlink" Target="https://paperpile.com/c/oQGKXB/nnps+nL78+bP5w" TargetMode="External"/><Relationship Id="rId47" Type="http://schemas.openxmlformats.org/officeDocument/2006/relationships/hyperlink" Target="https://paperpile.com/c/oQGKXB/7VEm" TargetMode="External"/><Relationship Id="rId63" Type="http://schemas.openxmlformats.org/officeDocument/2006/relationships/hyperlink" Target="http://paperpile.com/b/oQGKXB/ipFX" TargetMode="External"/><Relationship Id="rId68" Type="http://schemas.openxmlformats.org/officeDocument/2006/relationships/hyperlink" Target="https://apps.who.int/iris/bitstream/handle/10665/275718/9789241550383-eng.pdf" TargetMode="External"/><Relationship Id="rId84" Type="http://schemas.openxmlformats.org/officeDocument/2006/relationships/hyperlink" Target="http://paperpile.com/b/oQGKXB/CNVh" TargetMode="External"/><Relationship Id="rId89" Type="http://schemas.openxmlformats.org/officeDocument/2006/relationships/hyperlink" Target="http://paperpile.com/b/oQGKXB/SJ2l" TargetMode="External"/><Relationship Id="rId112" Type="http://schemas.openxmlformats.org/officeDocument/2006/relationships/hyperlink" Target="http://paperpile.com/b/oQGKXB/7VEm" TargetMode="External"/><Relationship Id="rId16" Type="http://schemas.openxmlformats.org/officeDocument/2006/relationships/hyperlink" Target="https://paperpile.com/c/oQGKXB/nzMy" TargetMode="External"/><Relationship Id="rId107" Type="http://schemas.openxmlformats.org/officeDocument/2006/relationships/hyperlink" Target="http://paperpile.com/b/oQGKXB/tiME" TargetMode="External"/><Relationship Id="rId11" Type="http://schemas.openxmlformats.org/officeDocument/2006/relationships/hyperlink" Target="https://paperpile.com/c/oQGKXB/NQyv+2Ehe" TargetMode="External"/><Relationship Id="rId32" Type="http://schemas.openxmlformats.org/officeDocument/2006/relationships/hyperlink" Target="https://paperpile.com/c/oQGKXB/X4kP" TargetMode="External"/><Relationship Id="rId37" Type="http://schemas.openxmlformats.org/officeDocument/2006/relationships/hyperlink" Target="https://paperpile.com/c/oQGKXB/5aqR" TargetMode="External"/><Relationship Id="rId53" Type="http://schemas.openxmlformats.org/officeDocument/2006/relationships/hyperlink" Target="https://paperpile.com/c/oQGKXB/nrD9+bP5w" TargetMode="External"/><Relationship Id="rId58" Type="http://schemas.openxmlformats.org/officeDocument/2006/relationships/hyperlink" Target="https://paperpile.com/c/oQGKXB/wM05" TargetMode="External"/><Relationship Id="rId74" Type="http://schemas.openxmlformats.org/officeDocument/2006/relationships/hyperlink" Target="http://paperpile.com/b/oQGKXB/MHFK" TargetMode="External"/><Relationship Id="rId79" Type="http://schemas.openxmlformats.org/officeDocument/2006/relationships/hyperlink" Target="http://paperpile.com/b/oQGKXB/VfUU" TargetMode="External"/><Relationship Id="rId102" Type="http://schemas.openxmlformats.org/officeDocument/2006/relationships/hyperlink" Target="http://paperpile.com/b/oQGKXB/nnps" TargetMode="External"/><Relationship Id="rId123" Type="http://schemas.openxmlformats.org/officeDocument/2006/relationships/hyperlink" Target="http://paperpile.com/b/oQGKXB/hMUD" TargetMode="External"/><Relationship Id="rId128" Type="http://schemas.openxmlformats.org/officeDocument/2006/relationships/hyperlink" Target="https://www.researchsquare.com/article/rs-429162/latest.pdf" TargetMode="External"/><Relationship Id="rId5" Type="http://schemas.openxmlformats.org/officeDocument/2006/relationships/endnotes" Target="endnotes.xml"/><Relationship Id="rId90" Type="http://schemas.openxmlformats.org/officeDocument/2006/relationships/hyperlink" Target="http://paperpile.com/b/oQGKXB/X4kP" TargetMode="External"/><Relationship Id="rId95" Type="http://schemas.openxmlformats.org/officeDocument/2006/relationships/hyperlink" Target="http://paperpile.com/b/oQGKXB/upelj" TargetMode="External"/><Relationship Id="rId22" Type="http://schemas.openxmlformats.org/officeDocument/2006/relationships/hyperlink" Target="https://paperpile.com/c/oQGKXB/qUSb" TargetMode="External"/><Relationship Id="rId27" Type="http://schemas.openxmlformats.org/officeDocument/2006/relationships/hyperlink" Target="https://paperpile.com/c/oQGKXB/DYvV+7NLZ" TargetMode="External"/><Relationship Id="rId43" Type="http://schemas.openxmlformats.org/officeDocument/2006/relationships/hyperlink" Target="https://paperpile.com/c/oQGKXB/fRQn" TargetMode="External"/><Relationship Id="rId48" Type="http://schemas.openxmlformats.org/officeDocument/2006/relationships/hyperlink" Target="https://paperpile.com/c/oQGKXB/O2TG" TargetMode="External"/><Relationship Id="rId64" Type="http://schemas.openxmlformats.org/officeDocument/2006/relationships/hyperlink" Target="http://paperpile.com/b/oQGKXB/NQyv" TargetMode="External"/><Relationship Id="rId69" Type="http://schemas.openxmlformats.org/officeDocument/2006/relationships/hyperlink" Target="http://paperpile.com/b/oQGKXB/b5Zj" TargetMode="External"/><Relationship Id="rId113" Type="http://schemas.openxmlformats.org/officeDocument/2006/relationships/hyperlink" Target="http://paperpile.com/b/oQGKXB/O2TG" TargetMode="External"/><Relationship Id="rId118" Type="http://schemas.openxmlformats.org/officeDocument/2006/relationships/hyperlink" Target="http://paperpile.com/b/oQGKXB/nrD9" TargetMode="External"/><Relationship Id="rId80" Type="http://schemas.openxmlformats.org/officeDocument/2006/relationships/hyperlink" Target="http://dx.doi.org/10.1371/journal.pmed.1000097" TargetMode="External"/><Relationship Id="rId85" Type="http://schemas.openxmlformats.org/officeDocument/2006/relationships/hyperlink" Target="http://dx.doi.org/10.1176/ps.41.5.493" TargetMode="External"/><Relationship Id="rId12" Type="http://schemas.openxmlformats.org/officeDocument/2006/relationships/hyperlink" Target="https://paperpile.com/c/oQGKXB/YUhd" TargetMode="External"/><Relationship Id="rId17" Type="http://schemas.openxmlformats.org/officeDocument/2006/relationships/hyperlink" Target="https://paperpile.com/c/oQGKXB/pJSC+jEbV9" TargetMode="External"/><Relationship Id="rId33" Type="http://schemas.openxmlformats.org/officeDocument/2006/relationships/hyperlink" Target="https://paperpile.com/c/oQGKXB/FfPV" TargetMode="External"/><Relationship Id="rId38" Type="http://schemas.openxmlformats.org/officeDocument/2006/relationships/hyperlink" Target="https://paperpile.com/c/oQGKXB/hwVc" TargetMode="External"/><Relationship Id="rId59" Type="http://schemas.openxmlformats.org/officeDocument/2006/relationships/hyperlink" Target="https://paperpile.com/c/oQGKXB/JFAG" TargetMode="External"/><Relationship Id="rId103" Type="http://schemas.openxmlformats.org/officeDocument/2006/relationships/hyperlink" Target="http://paperpile.com/b/oQGKXB/nL78" TargetMode="External"/><Relationship Id="rId108" Type="http://schemas.openxmlformats.org/officeDocument/2006/relationships/hyperlink" Target="http://paperpile.com/b/oQGKXB/2zJB" TargetMode="External"/><Relationship Id="rId124" Type="http://schemas.openxmlformats.org/officeDocument/2006/relationships/hyperlink" Target="http://paperpile.com/b/oQGKXB/6V19" TargetMode="External"/><Relationship Id="rId129" Type="http://schemas.openxmlformats.org/officeDocument/2006/relationships/header" Target="header1.xml"/><Relationship Id="rId54" Type="http://schemas.openxmlformats.org/officeDocument/2006/relationships/hyperlink" Target="https://paperpile.com/c/oQGKXB/gjkx" TargetMode="External"/><Relationship Id="rId70" Type="http://schemas.openxmlformats.org/officeDocument/2006/relationships/hyperlink" Target="http://paperpile.com/b/oQGKXB/NWpOv" TargetMode="External"/><Relationship Id="rId75" Type="http://schemas.openxmlformats.org/officeDocument/2006/relationships/hyperlink" Target="http://paperpile.com/b/oQGKXB/hsVA" TargetMode="External"/><Relationship Id="rId91" Type="http://schemas.openxmlformats.org/officeDocument/2006/relationships/hyperlink" Target="https://papers.ssrn.com/abstract=2741183" TargetMode="External"/><Relationship Id="rId96" Type="http://schemas.openxmlformats.org/officeDocument/2006/relationships/hyperlink" Target="http://paperpile.com/b/oQGKXB/5aqR" TargetMode="External"/><Relationship Id="rId1" Type="http://schemas.openxmlformats.org/officeDocument/2006/relationships/styles" Target="styles.xml"/><Relationship Id="rId6" Type="http://schemas.openxmlformats.org/officeDocument/2006/relationships/hyperlink" Target="mailto:g.zavala@york.ac.uk" TargetMode="External"/><Relationship Id="rId23" Type="http://schemas.openxmlformats.org/officeDocument/2006/relationships/hyperlink" Target="https://www.crd.york.ac.uk/prospero/display_record.php?ID=CRD42020200380" TargetMode="External"/><Relationship Id="rId28" Type="http://schemas.openxmlformats.org/officeDocument/2006/relationships/hyperlink" Target="https://paperpile.com/c/oQGKXB/DYvV" TargetMode="External"/><Relationship Id="rId49" Type="http://schemas.openxmlformats.org/officeDocument/2006/relationships/hyperlink" Target="https://paperpile.com/c/oQGKXB/QrdJ" TargetMode="External"/><Relationship Id="rId114" Type="http://schemas.openxmlformats.org/officeDocument/2006/relationships/hyperlink" Target="http://paperpile.com/b/oQGKXB/twcZ" TargetMode="External"/><Relationship Id="rId119" Type="http://schemas.openxmlformats.org/officeDocument/2006/relationships/hyperlink" Target="http://paperpile.com/b/oQGKXB/gjkx" TargetMode="External"/><Relationship Id="rId44" Type="http://schemas.openxmlformats.org/officeDocument/2006/relationships/hyperlink" Target="https://paperpile.com/c/oQGKXB/MAkO+tiME" TargetMode="External"/><Relationship Id="rId60" Type="http://schemas.openxmlformats.org/officeDocument/2006/relationships/hyperlink" Target="http://paperpile.com/b/oQGKXB/3G4o" TargetMode="External"/><Relationship Id="rId65" Type="http://schemas.openxmlformats.org/officeDocument/2006/relationships/hyperlink" Target="http://paperpile.com/b/oQGKXB/2Ehe" TargetMode="External"/><Relationship Id="rId81" Type="http://schemas.openxmlformats.org/officeDocument/2006/relationships/hyperlink" Target="http://paperpile.com/b/oQGKXB/qUSb" TargetMode="External"/><Relationship Id="rId86" Type="http://schemas.openxmlformats.org/officeDocument/2006/relationships/hyperlink" Target="http://paperpile.com/b/oQGKXB/DYvV" TargetMode="External"/><Relationship Id="rId130" Type="http://schemas.openxmlformats.org/officeDocument/2006/relationships/footer" Target="footer1.xml"/><Relationship Id="rId13" Type="http://schemas.openxmlformats.org/officeDocument/2006/relationships/hyperlink" Target="https://paperpile.com/c/oQGKXB/Ewu8" TargetMode="External"/><Relationship Id="rId18" Type="http://schemas.openxmlformats.org/officeDocument/2006/relationships/hyperlink" Target="https://paperpile.com/c/oQGKXB/MHFK+hsVA" TargetMode="External"/><Relationship Id="rId39" Type="http://schemas.openxmlformats.org/officeDocument/2006/relationships/hyperlink" Target="https://paperpile.com/c/oQGKXB/5aqR" TargetMode="External"/><Relationship Id="rId109" Type="http://schemas.openxmlformats.org/officeDocument/2006/relationships/hyperlink" Target="http://paperpile.com/b/oQGKXB/n7du" TargetMode="External"/><Relationship Id="rId34" Type="http://schemas.openxmlformats.org/officeDocument/2006/relationships/hyperlink" Target="https://paperpile.com/c/oQGKXB/dmjh" TargetMode="External"/><Relationship Id="rId50" Type="http://schemas.openxmlformats.org/officeDocument/2006/relationships/hyperlink" Target="https://paperpile.com/c/oQGKXB/twcZ" TargetMode="External"/><Relationship Id="rId55" Type="http://schemas.openxmlformats.org/officeDocument/2006/relationships/hyperlink" Target="https://paperpile.com/c/oQGKXB/3KWs+BZiE" TargetMode="External"/><Relationship Id="rId76" Type="http://schemas.openxmlformats.org/officeDocument/2006/relationships/hyperlink" Target="http://paperpile.com/b/oQGKXB/YCgY" TargetMode="External"/><Relationship Id="rId97" Type="http://schemas.openxmlformats.org/officeDocument/2006/relationships/hyperlink" Target="https://www.r-project.org/" TargetMode="External"/><Relationship Id="rId104" Type="http://schemas.openxmlformats.org/officeDocument/2006/relationships/hyperlink" Target="http://paperpile.com/b/oQGKXB/bP5w" TargetMode="External"/><Relationship Id="rId120" Type="http://schemas.openxmlformats.org/officeDocument/2006/relationships/hyperlink" Target="http://dx.doi.org/10.15373/22778179/dec2013/119" TargetMode="External"/><Relationship Id="rId125" Type="http://schemas.openxmlformats.org/officeDocument/2006/relationships/hyperlink" Target="http://paperpile.com/b/oQGKXB/6J3G" TargetMode="External"/><Relationship Id="rId7" Type="http://schemas.openxmlformats.org/officeDocument/2006/relationships/hyperlink" Target="https://paperpile.com/c/oQGKXB/3G4o" TargetMode="External"/><Relationship Id="rId71" Type="http://schemas.openxmlformats.org/officeDocument/2006/relationships/hyperlink" Target="http://paperpile.com/b/oQGKXB/nzMy" TargetMode="External"/><Relationship Id="rId92" Type="http://schemas.openxmlformats.org/officeDocument/2006/relationships/hyperlink" Target="http://paperpile.com/b/oQGKXB/FfPV" TargetMode="External"/><Relationship Id="rId2" Type="http://schemas.openxmlformats.org/officeDocument/2006/relationships/settings" Target="settings.xml"/><Relationship Id="rId29" Type="http://schemas.openxmlformats.org/officeDocument/2006/relationships/hyperlink" Target="https://paperpile.com/c/oQGKXB/7NLZ" TargetMode="External"/><Relationship Id="rId24" Type="http://schemas.openxmlformats.org/officeDocument/2006/relationships/hyperlink" Target="https://paperpile.com/c/oQGKXB/VnmJ" TargetMode="External"/><Relationship Id="rId40" Type="http://schemas.openxmlformats.org/officeDocument/2006/relationships/hyperlink" Target="https://paperpile.com/c/oQGKXB/5p82" TargetMode="External"/><Relationship Id="rId45" Type="http://schemas.openxmlformats.org/officeDocument/2006/relationships/hyperlink" Target="https://paperpile.com/c/oQGKXB/Ewu8" TargetMode="External"/><Relationship Id="rId66" Type="http://schemas.openxmlformats.org/officeDocument/2006/relationships/hyperlink" Target="http://paperpile.com/b/oQGKXB/YUhd" TargetMode="External"/><Relationship Id="rId87" Type="http://schemas.openxmlformats.org/officeDocument/2006/relationships/hyperlink" Target="https://www.oecd-ilibrary.org/social-issues-migration-health/health-at-a-glance-asia-pacific-2020_a47d0cd2-en" TargetMode="External"/><Relationship Id="rId110" Type="http://schemas.openxmlformats.org/officeDocument/2006/relationships/hyperlink" Target="http://dx.doi.org/10.4088/PCC.19r02483" TargetMode="External"/><Relationship Id="rId115" Type="http://schemas.openxmlformats.org/officeDocument/2006/relationships/hyperlink" Target="http://paperpile.com/b/oQGKXB/8xs4" TargetMode="External"/><Relationship Id="rId131" Type="http://schemas.openxmlformats.org/officeDocument/2006/relationships/fontTable" Target="fontTable.xml"/><Relationship Id="rId61" Type="http://schemas.openxmlformats.org/officeDocument/2006/relationships/hyperlink" Target="http://paperpile.com/b/oQGKXB/yzVT" TargetMode="External"/><Relationship Id="rId82" Type="http://schemas.openxmlformats.org/officeDocument/2006/relationships/hyperlink" Target="http://paperpile.com/b/oQGKXB/VnmJ" TargetMode="External"/><Relationship Id="rId19" Type="http://schemas.openxmlformats.org/officeDocument/2006/relationships/hyperlink" Target="https://paperpile.com/c/oQGKXB/YCgY" TargetMode="External"/><Relationship Id="rId14" Type="http://schemas.openxmlformats.org/officeDocument/2006/relationships/hyperlink" Target="https://paperpile.com/c/oQGKXB/b5Zj" TargetMode="External"/><Relationship Id="rId30" Type="http://schemas.openxmlformats.org/officeDocument/2006/relationships/hyperlink" Target="https://paperpile.com/c/oQGKXB/SJ2l" TargetMode="External"/><Relationship Id="rId35" Type="http://schemas.openxmlformats.org/officeDocument/2006/relationships/hyperlink" Target="https://paperpile.com/c/oQGKXB/aAX7" TargetMode="External"/><Relationship Id="rId56" Type="http://schemas.openxmlformats.org/officeDocument/2006/relationships/hyperlink" Target="https://paperpile.com/c/oQGKXB/hMUD" TargetMode="External"/><Relationship Id="rId77" Type="http://schemas.openxmlformats.org/officeDocument/2006/relationships/hyperlink" Target="http://paperpile.com/b/oQGKXB/xaD5" TargetMode="External"/><Relationship Id="rId100" Type="http://schemas.openxmlformats.org/officeDocument/2006/relationships/hyperlink" Target="http://paperpile.com/b/oQGKXB/5p82" TargetMode="External"/><Relationship Id="rId105" Type="http://schemas.openxmlformats.org/officeDocument/2006/relationships/hyperlink" Target="http://paperpile.com/b/oQGKXB/fRQn" TargetMode="External"/><Relationship Id="rId126" Type="http://schemas.openxmlformats.org/officeDocument/2006/relationships/hyperlink" Target="http://paperpile.com/b/oQGKXB/wM05" TargetMode="External"/><Relationship Id="rId8" Type="http://schemas.openxmlformats.org/officeDocument/2006/relationships/hyperlink" Target="https://paperpile.com/c/oQGKXB/3G4o" TargetMode="External"/><Relationship Id="rId51" Type="http://schemas.openxmlformats.org/officeDocument/2006/relationships/hyperlink" Target="https://paperpile.com/c/oQGKXB/8xs4" TargetMode="External"/><Relationship Id="rId72" Type="http://schemas.openxmlformats.org/officeDocument/2006/relationships/hyperlink" Target="http://paperpile.com/b/oQGKXB/pJSC" TargetMode="External"/><Relationship Id="rId93" Type="http://schemas.openxmlformats.org/officeDocument/2006/relationships/hyperlink" Target="http://paperpile.com/b/oQGKXB/dmjh" TargetMode="External"/><Relationship Id="rId98" Type="http://schemas.openxmlformats.org/officeDocument/2006/relationships/hyperlink" Target="http://paperpile.com/b/oQGKXB/hwVc" TargetMode="External"/><Relationship Id="rId121" Type="http://schemas.openxmlformats.org/officeDocument/2006/relationships/hyperlink" Target="http://paperpile.com/b/oQGKXB/3KWs" TargetMode="External"/><Relationship Id="rId3" Type="http://schemas.openxmlformats.org/officeDocument/2006/relationships/webSettings" Target="webSettings.xml"/><Relationship Id="rId25" Type="http://schemas.openxmlformats.org/officeDocument/2006/relationships/hyperlink" Target="https://paperpile.com/c/oQGKXB/GN1J" TargetMode="External"/><Relationship Id="rId46" Type="http://schemas.openxmlformats.org/officeDocument/2006/relationships/hyperlink" Target="https://paperpile.com/c/oQGKXB/2zJB+n7du+GFMm+tiME" TargetMode="External"/><Relationship Id="rId67" Type="http://schemas.openxmlformats.org/officeDocument/2006/relationships/hyperlink" Target="http://paperpile.com/b/oQGKXB/Ewu8" TargetMode="External"/><Relationship Id="rId116" Type="http://schemas.openxmlformats.org/officeDocument/2006/relationships/hyperlink" Target="http://paperpile.com/b/oQGKXB/Katm" TargetMode="External"/><Relationship Id="rId20" Type="http://schemas.openxmlformats.org/officeDocument/2006/relationships/hyperlink" Target="https://paperpile.com/c/oQGKXB/xaD5+pJSC+nzMy" TargetMode="External"/><Relationship Id="rId41" Type="http://schemas.openxmlformats.org/officeDocument/2006/relationships/hyperlink" Target="https://paperpile.com/c/oQGKXB/QrdJ" TargetMode="External"/><Relationship Id="rId62" Type="http://schemas.openxmlformats.org/officeDocument/2006/relationships/hyperlink" Target="http://paperpile.com/b/oQGKXB/GN1J" TargetMode="External"/><Relationship Id="rId83" Type="http://schemas.openxmlformats.org/officeDocument/2006/relationships/hyperlink" Target="https://www.crd.york.ac.uk/prospero/display_record.php?ID=CRD42020200380" TargetMode="External"/><Relationship Id="rId88" Type="http://schemas.openxmlformats.org/officeDocument/2006/relationships/hyperlink" Target="http://paperpile.com/b/oQGKXB/7NLZ" TargetMode="External"/><Relationship Id="rId111" Type="http://schemas.openxmlformats.org/officeDocument/2006/relationships/hyperlink" Target="http://paperpile.com/b/oQGKXB/GFMm" TargetMode="External"/><Relationship Id="rId132" Type="http://schemas.openxmlformats.org/officeDocument/2006/relationships/theme" Target="theme/theme1.xml"/><Relationship Id="rId15" Type="http://schemas.openxmlformats.org/officeDocument/2006/relationships/hyperlink" Target="https://paperpile.com/c/oQGKXB/NWpOv" TargetMode="External"/><Relationship Id="rId36" Type="http://schemas.openxmlformats.org/officeDocument/2006/relationships/hyperlink" Target="https://paperpile.com/c/oQGKXB/upelj" TargetMode="External"/><Relationship Id="rId57" Type="http://schemas.openxmlformats.org/officeDocument/2006/relationships/hyperlink" Target="https://paperpile.com/c/oQGKXB/6V19+6J3G" TargetMode="External"/><Relationship Id="rId106" Type="http://schemas.openxmlformats.org/officeDocument/2006/relationships/hyperlink" Target="http://paperpile.com/b/oQGKXB/MAkO" TargetMode="External"/><Relationship Id="rId127" Type="http://schemas.openxmlformats.org/officeDocument/2006/relationships/hyperlink" Target="http://paperpile.com/b/oQGKXB/JFAG" TargetMode="External"/><Relationship Id="rId10" Type="http://schemas.openxmlformats.org/officeDocument/2006/relationships/hyperlink" Target="https://paperpile.com/c/oQGKXB/GN1J+ipFX" TargetMode="External"/><Relationship Id="rId31" Type="http://schemas.openxmlformats.org/officeDocument/2006/relationships/hyperlink" Target="https://paperpile.com/c/oQGKXB/X4kP" TargetMode="External"/><Relationship Id="rId52" Type="http://schemas.openxmlformats.org/officeDocument/2006/relationships/hyperlink" Target="https://paperpile.com/c/oQGKXB/Katm" TargetMode="External"/><Relationship Id="rId73" Type="http://schemas.openxmlformats.org/officeDocument/2006/relationships/hyperlink" Target="http://paperpile.com/b/oQGKXB/jEbV9" TargetMode="External"/><Relationship Id="rId78" Type="http://schemas.openxmlformats.org/officeDocument/2006/relationships/hyperlink" Target="https://academic.oup.com/schizophreniabulletin/article-abstract/39/2/306/1823895" TargetMode="External"/><Relationship Id="rId94" Type="http://schemas.openxmlformats.org/officeDocument/2006/relationships/hyperlink" Target="http://paperpile.com/b/oQGKXB/aAX7" TargetMode="External"/><Relationship Id="rId99" Type="http://schemas.openxmlformats.org/officeDocument/2006/relationships/hyperlink" Target="http://dx.doi.org/10.4135/9781446251119.n83" TargetMode="External"/><Relationship Id="rId101" Type="http://schemas.openxmlformats.org/officeDocument/2006/relationships/hyperlink" Target="http://paperpile.com/b/oQGKXB/QrdJ" TargetMode="External"/><Relationship Id="rId122" Type="http://schemas.openxmlformats.org/officeDocument/2006/relationships/hyperlink" Target="http://paperpile.com/b/oQGKXB/BZiE" TargetMode="External"/><Relationship Id="rId4" Type="http://schemas.openxmlformats.org/officeDocument/2006/relationships/footnotes" Target="footnotes.xml"/><Relationship Id="rId9" Type="http://schemas.openxmlformats.org/officeDocument/2006/relationships/hyperlink" Target="https://paperpile.com/c/oQGKXB/yzVT" TargetMode="External"/><Relationship Id="rId26" Type="http://schemas.openxmlformats.org/officeDocument/2006/relationships/hyperlink" Target="https://paperpile.com/c/oQGKXB/CNV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17</Pages>
  <Words>8462</Words>
  <Characters>48238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Gerardo Zavala</cp:lastModifiedBy>
  <cp:revision>4</cp:revision>
  <dcterms:created xsi:type="dcterms:W3CDTF">2021-09-01T11:48:00Z</dcterms:created>
  <dcterms:modified xsi:type="dcterms:W3CDTF">2021-09-01T14:41:00Z</dcterms:modified>
</cp:coreProperties>
</file>