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9029C5" w14:textId="78B4A86A" w:rsidR="00787010" w:rsidRPr="00EC1DF5" w:rsidRDefault="003758B1" w:rsidP="00073692">
      <w:pPr>
        <w:autoSpaceDE w:val="0"/>
        <w:autoSpaceDN w:val="0"/>
        <w:adjustRightInd w:val="0"/>
        <w:spacing w:after="100" w:afterAutospacing="1" w:line="480" w:lineRule="auto"/>
        <w:jc w:val="center"/>
        <w:rPr>
          <w:b/>
          <w:color w:val="auto"/>
        </w:rPr>
      </w:pPr>
      <w:r w:rsidRPr="00EC1DF5">
        <w:rPr>
          <w:b/>
          <w:color w:val="auto"/>
        </w:rPr>
        <w:t>Corporate Governance Pillars</w:t>
      </w:r>
      <w:r w:rsidR="00E35A8D" w:rsidRPr="00EC1DF5">
        <w:rPr>
          <w:b/>
          <w:color w:val="auto"/>
        </w:rPr>
        <w:t xml:space="preserve"> </w:t>
      </w:r>
      <w:r w:rsidR="00B9558A" w:rsidRPr="00EC1DF5">
        <w:rPr>
          <w:b/>
          <w:color w:val="auto"/>
        </w:rPr>
        <w:t>and Business Sustainability: Does Stakeholder Engagement Matter?</w:t>
      </w:r>
    </w:p>
    <w:p w14:paraId="738BF7ED" w14:textId="675BF2BD" w:rsidR="00866252" w:rsidRPr="00EC1DF5" w:rsidRDefault="00866252" w:rsidP="00866252">
      <w:pPr>
        <w:autoSpaceDE w:val="0"/>
        <w:autoSpaceDN w:val="0"/>
        <w:adjustRightInd w:val="0"/>
        <w:spacing w:after="0" w:line="480" w:lineRule="auto"/>
        <w:rPr>
          <w:b/>
          <w:color w:val="auto"/>
        </w:rPr>
      </w:pPr>
      <w:r w:rsidRPr="00EC1DF5">
        <w:rPr>
          <w:b/>
          <w:color w:val="auto"/>
        </w:rPr>
        <w:t>Abstract</w:t>
      </w:r>
    </w:p>
    <w:p w14:paraId="121FC77E" w14:textId="6435D6EF" w:rsidR="009C5F25" w:rsidRPr="00EC1DF5" w:rsidRDefault="009C5F25" w:rsidP="009C5F25">
      <w:pPr>
        <w:spacing w:line="480" w:lineRule="auto"/>
        <w:jc w:val="both"/>
        <w:rPr>
          <w:color w:val="auto"/>
        </w:rPr>
      </w:pPr>
      <w:r w:rsidRPr="00EC1DF5">
        <w:rPr>
          <w:color w:val="auto"/>
        </w:rPr>
        <w:t xml:space="preserve">This study extends the existing work on corporate governance and business sustainability by exploring corporate governance </w:t>
      </w:r>
      <w:r w:rsidR="00D056D1" w:rsidRPr="00EC1DF5">
        <w:rPr>
          <w:color w:val="auto"/>
        </w:rPr>
        <w:t>pillars</w:t>
      </w:r>
      <w:r w:rsidRPr="00EC1DF5">
        <w:rPr>
          <w:color w:val="auto"/>
        </w:rPr>
        <w:t xml:space="preserve"> comprising board functions, structure, strategy, </w:t>
      </w:r>
      <w:proofErr w:type="gramStart"/>
      <w:r w:rsidRPr="00EC1DF5">
        <w:rPr>
          <w:color w:val="auto"/>
        </w:rPr>
        <w:t>compensation</w:t>
      </w:r>
      <w:proofErr w:type="gramEnd"/>
      <w:r w:rsidRPr="00EC1DF5">
        <w:rPr>
          <w:color w:val="auto"/>
        </w:rPr>
        <w:t xml:space="preserve"> and shareholder rights utilising data from listed S &amp; P 500 firms. Using panel fixed effects and 2-Step GMM, we discovered that environmental, </w:t>
      </w:r>
      <w:proofErr w:type="gramStart"/>
      <w:r w:rsidRPr="00EC1DF5">
        <w:rPr>
          <w:color w:val="auto"/>
        </w:rPr>
        <w:t>social</w:t>
      </w:r>
      <w:proofErr w:type="gramEnd"/>
      <w:r w:rsidRPr="00EC1DF5">
        <w:rPr>
          <w:color w:val="auto"/>
        </w:rPr>
        <w:t xml:space="preserve"> and financial sustainability dimensions of the business sustainability are impacted positively by board functions and board structure. </w:t>
      </w:r>
      <w:r w:rsidR="007253C8" w:rsidRPr="00EC1DF5">
        <w:rPr>
          <w:color w:val="auto"/>
        </w:rPr>
        <w:t xml:space="preserve">Our </w:t>
      </w:r>
      <w:r w:rsidRPr="00EC1DF5">
        <w:rPr>
          <w:color w:val="auto"/>
        </w:rPr>
        <w:t>findings</w:t>
      </w:r>
      <w:r w:rsidR="007253C8" w:rsidRPr="00EC1DF5">
        <w:rPr>
          <w:color w:val="auto"/>
        </w:rPr>
        <w:t xml:space="preserve"> further</w:t>
      </w:r>
      <w:r w:rsidRPr="00EC1DF5">
        <w:rPr>
          <w:color w:val="auto"/>
        </w:rPr>
        <w:t xml:space="preserve"> reveal that low stakeholder engagement adversely impacts companies’ bottom line performance. </w:t>
      </w:r>
      <w:r w:rsidR="00F61231" w:rsidRPr="00EC1DF5">
        <w:rPr>
          <w:color w:val="auto"/>
        </w:rPr>
        <w:t>The</w:t>
      </w:r>
      <w:r w:rsidRPr="00EC1DF5">
        <w:rPr>
          <w:color w:val="auto"/>
        </w:rPr>
        <w:t xml:space="preserve"> results are robust to outliers, model specifications, statistical </w:t>
      </w:r>
      <w:proofErr w:type="gramStart"/>
      <w:r w:rsidRPr="00EC1DF5">
        <w:rPr>
          <w:color w:val="auto"/>
        </w:rPr>
        <w:t>estimations</w:t>
      </w:r>
      <w:proofErr w:type="gramEnd"/>
      <w:r w:rsidRPr="00EC1DF5">
        <w:rPr>
          <w:color w:val="auto"/>
        </w:rPr>
        <w:t xml:space="preserve"> and alternative measures of performance. </w:t>
      </w:r>
      <w:r w:rsidR="00B576BC" w:rsidRPr="00EC1DF5">
        <w:rPr>
          <w:color w:val="auto"/>
        </w:rPr>
        <w:t xml:space="preserve">Most importantly, the inferences from </w:t>
      </w:r>
      <w:r w:rsidR="007274CA" w:rsidRPr="00EC1DF5">
        <w:rPr>
          <w:color w:val="auto"/>
        </w:rPr>
        <w:t>the moderating result</w:t>
      </w:r>
      <w:r w:rsidR="00B576BC" w:rsidRPr="00EC1DF5">
        <w:rPr>
          <w:color w:val="auto"/>
        </w:rPr>
        <w:t xml:space="preserve"> su</w:t>
      </w:r>
      <w:r w:rsidR="007274CA" w:rsidRPr="00EC1DF5">
        <w:rPr>
          <w:color w:val="auto"/>
        </w:rPr>
        <w:t>ggest</w:t>
      </w:r>
      <w:r w:rsidR="00B576BC" w:rsidRPr="00EC1DF5">
        <w:rPr>
          <w:color w:val="auto"/>
        </w:rPr>
        <w:t xml:space="preserve"> stakeholder engagement as a strategic approach to improve performance. </w:t>
      </w:r>
      <w:r w:rsidRPr="00EC1DF5">
        <w:rPr>
          <w:color w:val="auto"/>
        </w:rPr>
        <w:t xml:space="preserve">The study is relevant for business sustainability practitioners and policy makers in advancing principles of corporate governance to promote enhanced performance. </w:t>
      </w:r>
    </w:p>
    <w:p w14:paraId="2DFB05F1" w14:textId="77777777" w:rsidR="009C5F25" w:rsidRPr="00EC1DF5" w:rsidRDefault="009C5F25" w:rsidP="00866252">
      <w:pPr>
        <w:spacing w:after="0" w:line="480" w:lineRule="auto"/>
        <w:jc w:val="both"/>
        <w:rPr>
          <w:b/>
          <w:bCs/>
          <w:color w:val="auto"/>
        </w:rPr>
      </w:pPr>
    </w:p>
    <w:p w14:paraId="5DB75492" w14:textId="776D0F90" w:rsidR="00866252" w:rsidRPr="00EC1DF5" w:rsidRDefault="00866252" w:rsidP="00866252">
      <w:pPr>
        <w:spacing w:after="0" w:line="480" w:lineRule="auto"/>
        <w:jc w:val="both"/>
        <w:rPr>
          <w:b/>
          <w:bCs/>
          <w:iCs/>
          <w:color w:val="auto"/>
        </w:rPr>
      </w:pPr>
      <w:r w:rsidRPr="00EC1DF5">
        <w:rPr>
          <w:b/>
          <w:bCs/>
          <w:iCs/>
          <w:color w:val="auto"/>
        </w:rPr>
        <w:t>Keywords</w:t>
      </w:r>
    </w:p>
    <w:p w14:paraId="1458AE6D" w14:textId="3832831F" w:rsidR="00866252" w:rsidRPr="00EC1DF5" w:rsidRDefault="00866252" w:rsidP="00866252">
      <w:pPr>
        <w:spacing w:after="0" w:line="480" w:lineRule="auto"/>
        <w:jc w:val="both"/>
        <w:rPr>
          <w:iCs/>
          <w:color w:val="auto"/>
        </w:rPr>
      </w:pPr>
      <w:r w:rsidRPr="00EC1DF5">
        <w:rPr>
          <w:iCs/>
          <w:color w:val="auto"/>
        </w:rPr>
        <w:t>Corporate governance; board functions; board structure; stakeholder engagement; business sustainability.</w:t>
      </w:r>
    </w:p>
    <w:p w14:paraId="04DD0BEA" w14:textId="2F1EC6B5" w:rsidR="009C5F25" w:rsidRPr="00EC1DF5" w:rsidRDefault="009C5F25" w:rsidP="00866252">
      <w:pPr>
        <w:spacing w:after="0" w:line="480" w:lineRule="auto"/>
        <w:jc w:val="both"/>
        <w:rPr>
          <w:iCs/>
          <w:color w:val="auto"/>
        </w:rPr>
      </w:pPr>
    </w:p>
    <w:p w14:paraId="4AB9D828" w14:textId="56A65E88" w:rsidR="009C5F25" w:rsidRPr="00EC1DF5" w:rsidRDefault="009C5F25" w:rsidP="00866252">
      <w:pPr>
        <w:spacing w:after="0" w:line="480" w:lineRule="auto"/>
        <w:jc w:val="both"/>
        <w:rPr>
          <w:iCs/>
          <w:color w:val="auto"/>
        </w:rPr>
      </w:pPr>
    </w:p>
    <w:p w14:paraId="478565BE" w14:textId="639CF7CC" w:rsidR="009C5F25" w:rsidRPr="00EC1DF5" w:rsidRDefault="009C5F25" w:rsidP="00866252">
      <w:pPr>
        <w:spacing w:after="0" w:line="480" w:lineRule="auto"/>
        <w:jc w:val="both"/>
        <w:rPr>
          <w:iCs/>
          <w:color w:val="auto"/>
        </w:rPr>
      </w:pPr>
    </w:p>
    <w:p w14:paraId="17DB3BC8" w14:textId="77777777" w:rsidR="009C5F25" w:rsidRPr="00EC1DF5" w:rsidRDefault="009C5F25" w:rsidP="00866252">
      <w:pPr>
        <w:spacing w:after="0" w:line="480" w:lineRule="auto"/>
        <w:jc w:val="both"/>
        <w:rPr>
          <w:i/>
          <w:color w:val="auto"/>
        </w:rPr>
      </w:pPr>
    </w:p>
    <w:p w14:paraId="08E31FA3" w14:textId="0D65411C" w:rsidR="00866D45" w:rsidRPr="00EC1DF5" w:rsidRDefault="00B9558A" w:rsidP="00A77CCC">
      <w:pPr>
        <w:pStyle w:val="Heading1"/>
        <w:numPr>
          <w:ilvl w:val="0"/>
          <w:numId w:val="8"/>
        </w:numPr>
        <w:spacing w:line="480" w:lineRule="auto"/>
        <w:rPr>
          <w:rFonts w:ascii="Times New Roman" w:hAnsi="Times New Roman" w:cs="Times New Roman"/>
          <w:b/>
          <w:color w:val="auto"/>
          <w:sz w:val="24"/>
          <w:szCs w:val="24"/>
        </w:rPr>
      </w:pPr>
      <w:r w:rsidRPr="00EC1DF5">
        <w:rPr>
          <w:rFonts w:ascii="Times New Roman" w:hAnsi="Times New Roman" w:cs="Times New Roman"/>
          <w:b/>
          <w:color w:val="auto"/>
          <w:sz w:val="24"/>
          <w:szCs w:val="24"/>
        </w:rPr>
        <w:lastRenderedPageBreak/>
        <w:t>Introduction</w:t>
      </w:r>
    </w:p>
    <w:p w14:paraId="40F00101" w14:textId="77777777" w:rsidR="006144C4" w:rsidRPr="00EC1DF5" w:rsidRDefault="00EB422C" w:rsidP="00A77CCC">
      <w:pPr>
        <w:spacing w:line="480" w:lineRule="auto"/>
        <w:jc w:val="both"/>
        <w:rPr>
          <w:color w:val="auto"/>
        </w:rPr>
      </w:pPr>
      <w:r w:rsidRPr="00EC1DF5">
        <w:rPr>
          <w:color w:val="auto"/>
        </w:rPr>
        <w:t xml:space="preserve">Global discourses and concerns </w:t>
      </w:r>
      <w:r w:rsidR="00720F93" w:rsidRPr="00EC1DF5">
        <w:rPr>
          <w:color w:val="auto"/>
        </w:rPr>
        <w:t xml:space="preserve">about </w:t>
      </w:r>
      <w:r w:rsidRPr="00EC1DF5">
        <w:rPr>
          <w:color w:val="auto"/>
        </w:rPr>
        <w:t xml:space="preserve">corporate scandals have </w:t>
      </w:r>
      <w:r w:rsidR="00916B28" w:rsidRPr="00EC1DF5">
        <w:rPr>
          <w:color w:val="auto"/>
        </w:rPr>
        <w:t>recently</w:t>
      </w:r>
      <w:r w:rsidR="0005195F" w:rsidRPr="00EC1DF5">
        <w:rPr>
          <w:color w:val="auto"/>
        </w:rPr>
        <w:t xml:space="preserve"> </w:t>
      </w:r>
      <w:r w:rsidR="00916B28" w:rsidRPr="00EC1DF5">
        <w:rPr>
          <w:color w:val="auto"/>
        </w:rPr>
        <w:t>increased</w:t>
      </w:r>
      <w:r w:rsidR="0005195F" w:rsidRPr="00EC1DF5">
        <w:rPr>
          <w:color w:val="auto"/>
        </w:rPr>
        <w:t xml:space="preserve"> the need to investigate</w:t>
      </w:r>
      <w:r w:rsidR="00866D45" w:rsidRPr="00EC1DF5">
        <w:rPr>
          <w:color w:val="auto"/>
        </w:rPr>
        <w:t xml:space="preserve"> corporate policies, </w:t>
      </w:r>
      <w:proofErr w:type="gramStart"/>
      <w:r w:rsidR="00866D45" w:rsidRPr="00EC1DF5">
        <w:rPr>
          <w:color w:val="auto"/>
        </w:rPr>
        <w:t>strategies</w:t>
      </w:r>
      <w:proofErr w:type="gramEnd"/>
      <w:r w:rsidR="00866D45" w:rsidRPr="00EC1DF5">
        <w:rPr>
          <w:color w:val="auto"/>
        </w:rPr>
        <w:t xml:space="preserve"> and practices (Hussain </w:t>
      </w:r>
      <w:r w:rsidR="00866D45" w:rsidRPr="00EC1DF5">
        <w:rPr>
          <w:i/>
          <w:color w:val="auto"/>
        </w:rPr>
        <w:t>et al</w:t>
      </w:r>
      <w:r w:rsidR="00866D45" w:rsidRPr="00EC1DF5">
        <w:rPr>
          <w:color w:val="auto"/>
        </w:rPr>
        <w:t xml:space="preserve">., 2018). </w:t>
      </w:r>
      <w:r w:rsidR="00916B28" w:rsidRPr="00EC1DF5">
        <w:rPr>
          <w:color w:val="auto"/>
        </w:rPr>
        <w:t>These</w:t>
      </w:r>
      <w:r w:rsidR="00866D45" w:rsidRPr="00EC1DF5">
        <w:rPr>
          <w:color w:val="auto"/>
        </w:rPr>
        <w:t xml:space="preserve"> debates </w:t>
      </w:r>
      <w:r w:rsidR="00CF461C" w:rsidRPr="00EC1DF5">
        <w:rPr>
          <w:color w:val="auto"/>
        </w:rPr>
        <w:t>have</w:t>
      </w:r>
      <w:r w:rsidR="00866D45" w:rsidRPr="00EC1DF5">
        <w:rPr>
          <w:color w:val="auto"/>
        </w:rPr>
        <w:t xml:space="preserve"> resulted in </w:t>
      </w:r>
      <w:r w:rsidR="00F61231" w:rsidRPr="00EC1DF5">
        <w:rPr>
          <w:color w:val="auto"/>
        </w:rPr>
        <w:t>apprehension</w:t>
      </w:r>
      <w:r w:rsidR="00866D45" w:rsidRPr="00EC1DF5">
        <w:rPr>
          <w:color w:val="auto"/>
        </w:rPr>
        <w:t xml:space="preserve"> about governance structures and the mechanisms under which companies are governed. Amidst the</w:t>
      </w:r>
      <w:r w:rsidR="00BB1636" w:rsidRPr="00EC1DF5">
        <w:rPr>
          <w:color w:val="auto"/>
        </w:rPr>
        <w:t>se</w:t>
      </w:r>
      <w:r w:rsidR="00866D45" w:rsidRPr="00EC1DF5">
        <w:rPr>
          <w:color w:val="auto"/>
        </w:rPr>
        <w:t xml:space="preserve"> </w:t>
      </w:r>
      <w:r w:rsidR="00720F93" w:rsidRPr="00EC1DF5">
        <w:rPr>
          <w:color w:val="auto"/>
        </w:rPr>
        <w:t xml:space="preserve">discussions of </w:t>
      </w:r>
      <w:r w:rsidR="00866D45" w:rsidRPr="00EC1DF5">
        <w:rPr>
          <w:color w:val="auto"/>
        </w:rPr>
        <w:t>corporate scandal</w:t>
      </w:r>
      <w:r w:rsidR="007B6ABA" w:rsidRPr="00EC1DF5">
        <w:rPr>
          <w:color w:val="auto"/>
        </w:rPr>
        <w:t>s</w:t>
      </w:r>
      <w:r w:rsidR="00866D45" w:rsidRPr="00EC1DF5">
        <w:rPr>
          <w:color w:val="auto"/>
        </w:rPr>
        <w:t xml:space="preserve"> is the increased </w:t>
      </w:r>
      <w:r w:rsidR="00720F93" w:rsidRPr="00EC1DF5">
        <w:rPr>
          <w:color w:val="auto"/>
        </w:rPr>
        <w:t xml:space="preserve">consideration of </w:t>
      </w:r>
      <w:r w:rsidR="00866D45" w:rsidRPr="00EC1DF5">
        <w:rPr>
          <w:color w:val="auto"/>
        </w:rPr>
        <w:t>corporate social responsibility (CSR) in the quest to achieve ultimate performance.</w:t>
      </w:r>
      <w:r w:rsidR="00BC3F99" w:rsidRPr="00EC1DF5">
        <w:rPr>
          <w:color w:val="auto"/>
        </w:rPr>
        <w:t xml:space="preserve"> </w:t>
      </w:r>
      <w:r w:rsidR="00866D45" w:rsidRPr="00EC1DF5">
        <w:rPr>
          <w:color w:val="auto"/>
        </w:rPr>
        <w:t>Since the Brundtland’s commission report in 1987, business sustainability has been regarded as a top priority topic for management</w:t>
      </w:r>
      <w:r w:rsidR="00AD431C" w:rsidRPr="00EC1DF5">
        <w:rPr>
          <w:color w:val="auto"/>
        </w:rPr>
        <w:t xml:space="preserve"> to </w:t>
      </w:r>
      <w:r w:rsidR="00866D45" w:rsidRPr="00EC1DF5">
        <w:rPr>
          <w:color w:val="auto"/>
        </w:rPr>
        <w:t>scrutin</w:t>
      </w:r>
      <w:r w:rsidR="00AD431C" w:rsidRPr="00EC1DF5">
        <w:rPr>
          <w:color w:val="auto"/>
        </w:rPr>
        <w:t>ise</w:t>
      </w:r>
      <w:r w:rsidR="00866D45" w:rsidRPr="00EC1DF5">
        <w:rPr>
          <w:color w:val="auto"/>
        </w:rPr>
        <w:t>. The relevance of business sustainability led to the</w:t>
      </w:r>
      <w:r w:rsidR="00866A3B" w:rsidRPr="00EC1DF5">
        <w:rPr>
          <w:color w:val="auto"/>
        </w:rPr>
        <w:t xml:space="preserve"> development</w:t>
      </w:r>
      <w:r w:rsidR="00866D45" w:rsidRPr="00EC1DF5">
        <w:rPr>
          <w:color w:val="auto"/>
        </w:rPr>
        <w:t xml:space="preserve"> </w:t>
      </w:r>
      <w:r w:rsidR="00866A3B" w:rsidRPr="00EC1DF5">
        <w:rPr>
          <w:color w:val="auto"/>
        </w:rPr>
        <w:t xml:space="preserve">of </w:t>
      </w:r>
      <w:r w:rsidR="00BB1636" w:rsidRPr="00EC1DF5">
        <w:rPr>
          <w:color w:val="auto"/>
        </w:rPr>
        <w:t xml:space="preserve">the </w:t>
      </w:r>
      <w:r w:rsidR="00847AEF" w:rsidRPr="00EC1DF5">
        <w:rPr>
          <w:color w:val="auto"/>
        </w:rPr>
        <w:t>bottom-line</w:t>
      </w:r>
      <w:r w:rsidR="00866D45" w:rsidRPr="00EC1DF5">
        <w:rPr>
          <w:color w:val="auto"/>
        </w:rPr>
        <w:t xml:space="preserve"> dimensions</w:t>
      </w:r>
      <w:r w:rsidR="00866A3B" w:rsidRPr="00EC1DF5">
        <w:rPr>
          <w:color w:val="auto"/>
        </w:rPr>
        <w:t xml:space="preserve"> comprising</w:t>
      </w:r>
      <w:r w:rsidR="00866D45" w:rsidRPr="00EC1DF5">
        <w:rPr>
          <w:color w:val="auto"/>
        </w:rPr>
        <w:t xml:space="preserve"> financial, social and environment sustainability performance</w:t>
      </w:r>
      <w:r w:rsidR="00866A3B" w:rsidRPr="00EC1DF5">
        <w:rPr>
          <w:color w:val="auto"/>
        </w:rPr>
        <w:t xml:space="preserve"> </w:t>
      </w:r>
      <w:r w:rsidR="00720F93" w:rsidRPr="00EC1DF5">
        <w:rPr>
          <w:color w:val="auto"/>
        </w:rPr>
        <w:t>–</w:t>
      </w:r>
      <w:r w:rsidR="00866A3B" w:rsidRPr="00EC1DF5">
        <w:rPr>
          <w:color w:val="auto"/>
        </w:rPr>
        <w:t xml:space="preserve"> alternatively,</w:t>
      </w:r>
      <w:r w:rsidR="00866D45" w:rsidRPr="00EC1DF5">
        <w:rPr>
          <w:color w:val="auto"/>
        </w:rPr>
        <w:t xml:space="preserve"> the triple bottom line (3BL) </w:t>
      </w:r>
      <w:r w:rsidR="005B2190" w:rsidRPr="00EC1DF5">
        <w:rPr>
          <w:color w:val="auto"/>
        </w:rPr>
        <w:t xml:space="preserve">as coined </w:t>
      </w:r>
      <w:r w:rsidR="00866D45" w:rsidRPr="00EC1DF5">
        <w:rPr>
          <w:color w:val="auto"/>
        </w:rPr>
        <w:t xml:space="preserve">by </w:t>
      </w:r>
      <w:r w:rsidR="005B2190" w:rsidRPr="00EC1DF5">
        <w:rPr>
          <w:color w:val="auto"/>
        </w:rPr>
        <w:t>E</w:t>
      </w:r>
      <w:r w:rsidR="00866D45" w:rsidRPr="00EC1DF5">
        <w:rPr>
          <w:color w:val="auto"/>
        </w:rPr>
        <w:t xml:space="preserve">lkington </w:t>
      </w:r>
      <w:r w:rsidR="005B2190" w:rsidRPr="00EC1DF5">
        <w:rPr>
          <w:color w:val="auto"/>
        </w:rPr>
        <w:t>(</w:t>
      </w:r>
      <w:r w:rsidR="00866D45" w:rsidRPr="00EC1DF5">
        <w:rPr>
          <w:color w:val="auto"/>
        </w:rPr>
        <w:t xml:space="preserve">1997). </w:t>
      </w:r>
    </w:p>
    <w:p w14:paraId="6171AB47" w14:textId="5B149DA1" w:rsidR="00CC7FF6" w:rsidRPr="00EC1DF5" w:rsidRDefault="00CC7FF6" w:rsidP="006144C4">
      <w:pPr>
        <w:spacing w:line="480" w:lineRule="auto"/>
        <w:ind w:firstLine="720"/>
        <w:jc w:val="both"/>
        <w:rPr>
          <w:color w:val="auto"/>
        </w:rPr>
      </w:pPr>
      <w:r w:rsidRPr="00EC1DF5">
        <w:rPr>
          <w:color w:val="auto"/>
        </w:rPr>
        <w:t>Both environmental performance (</w:t>
      </w:r>
      <w:r w:rsidR="00453380" w:rsidRPr="00EC1DF5">
        <w:rPr>
          <w:color w:val="auto"/>
        </w:rPr>
        <w:t>Hussain et al., 2018</w:t>
      </w:r>
      <w:r w:rsidRPr="00EC1DF5">
        <w:rPr>
          <w:color w:val="auto"/>
        </w:rPr>
        <w:t>) and financial performance</w:t>
      </w:r>
      <w:r w:rsidR="00453380" w:rsidRPr="00EC1DF5">
        <w:rPr>
          <w:color w:val="auto"/>
        </w:rPr>
        <w:t xml:space="preserve"> (Brammer and </w:t>
      </w:r>
      <w:proofErr w:type="spellStart"/>
      <w:r w:rsidR="00453380" w:rsidRPr="00EC1DF5">
        <w:rPr>
          <w:color w:val="auto"/>
        </w:rPr>
        <w:t>Pavelin</w:t>
      </w:r>
      <w:proofErr w:type="spellEnd"/>
      <w:r w:rsidR="00453380" w:rsidRPr="00EC1DF5">
        <w:rPr>
          <w:color w:val="auto"/>
        </w:rPr>
        <w:t xml:space="preserve">, 2006) </w:t>
      </w:r>
      <w:r w:rsidRPr="00EC1DF5">
        <w:rPr>
          <w:color w:val="auto"/>
        </w:rPr>
        <w:t>have been investigated extensively in existing literature compared to social sustainability. Organisations worldwide have now recognised that being socially responsible is not at variance with economic performance of the firm. Martinez-Ferrero and Frias-</w:t>
      </w:r>
      <w:proofErr w:type="spellStart"/>
      <w:r w:rsidRPr="00EC1DF5">
        <w:rPr>
          <w:color w:val="auto"/>
        </w:rPr>
        <w:t>Aceituno</w:t>
      </w:r>
      <w:proofErr w:type="spellEnd"/>
      <w:r w:rsidRPr="00EC1DF5">
        <w:rPr>
          <w:color w:val="auto"/>
        </w:rPr>
        <w:t xml:space="preserve"> (2014) demonstrated that social sustainability and firm profitability are not mutually exclusive. Organisations that create the conducive workplace environment, avoids discrimination and child labour, ensures minority and employee rights and engages in community development tends to enjoy loyalty from its stakeholders, improves its reputation and image as well as gains legitimacy for its operations and avoid revocation of its social license (Clarkson, 1995; </w:t>
      </w:r>
      <w:proofErr w:type="spellStart"/>
      <w:r w:rsidRPr="00EC1DF5">
        <w:rPr>
          <w:color w:val="auto"/>
        </w:rPr>
        <w:t>Harjoto</w:t>
      </w:r>
      <w:proofErr w:type="spellEnd"/>
      <w:r w:rsidRPr="00EC1DF5">
        <w:rPr>
          <w:color w:val="auto"/>
        </w:rPr>
        <w:t xml:space="preserve"> et al., 2015). Modern organisations are expected to provide quality products and services which meet the expectation of their customers, inspire their employees to improve performance, maintain good relationship with customers and suppliers and gain community’s support for business growth and success (Sen and Cowley, 2013). Thus, </w:t>
      </w:r>
      <w:r w:rsidRPr="00EC1DF5">
        <w:rPr>
          <w:color w:val="auto"/>
        </w:rPr>
        <w:lastRenderedPageBreak/>
        <w:t xml:space="preserve">social responsibility and its sustenance are beneficial to the firm’s performance and long-term survival.   </w:t>
      </w:r>
    </w:p>
    <w:p w14:paraId="0C4159CE" w14:textId="1918A4A9" w:rsidR="00866D45" w:rsidRPr="00EC1DF5" w:rsidRDefault="00866D45" w:rsidP="00A77CCC">
      <w:pPr>
        <w:spacing w:line="480" w:lineRule="auto"/>
        <w:jc w:val="both"/>
        <w:rPr>
          <w:color w:val="auto"/>
        </w:rPr>
      </w:pPr>
      <w:r w:rsidRPr="00EC1DF5">
        <w:rPr>
          <w:color w:val="auto"/>
        </w:rPr>
        <w:t xml:space="preserve">The premise of the 3BL or business sustainability is empirically evidenced (see Porter, 1991) as one that propels competitive advantage despite the voluntary nature of its adoption. As such, researchers </w:t>
      </w:r>
      <w:r w:rsidR="00F61231" w:rsidRPr="00EC1DF5">
        <w:rPr>
          <w:color w:val="auto"/>
        </w:rPr>
        <w:t xml:space="preserve">have </w:t>
      </w:r>
      <w:r w:rsidRPr="00EC1DF5">
        <w:rPr>
          <w:color w:val="auto"/>
        </w:rPr>
        <w:t>acknowledge</w:t>
      </w:r>
      <w:r w:rsidR="00F61231" w:rsidRPr="00EC1DF5">
        <w:rPr>
          <w:color w:val="auto"/>
        </w:rPr>
        <w:t>d</w:t>
      </w:r>
      <w:r w:rsidRPr="00EC1DF5">
        <w:rPr>
          <w:color w:val="auto"/>
        </w:rPr>
        <w:t xml:space="preserve"> the pertinence of investigating the effect of corporate governance (CG) on the dimensions of business sustainability performance (Hussain </w:t>
      </w:r>
      <w:r w:rsidRPr="00EC1DF5">
        <w:rPr>
          <w:i/>
          <w:color w:val="auto"/>
        </w:rPr>
        <w:t>et al</w:t>
      </w:r>
      <w:r w:rsidRPr="00EC1DF5">
        <w:rPr>
          <w:color w:val="auto"/>
        </w:rPr>
        <w:t>., 2018).</w:t>
      </w:r>
    </w:p>
    <w:p w14:paraId="61461BB3" w14:textId="5945FC39" w:rsidR="00CC7FF6" w:rsidRPr="00EC1DF5" w:rsidRDefault="00300355" w:rsidP="00CC7FF6">
      <w:pPr>
        <w:spacing w:line="480" w:lineRule="auto"/>
        <w:ind w:firstLine="720"/>
        <w:jc w:val="both"/>
        <w:rPr>
          <w:color w:val="auto"/>
        </w:rPr>
      </w:pPr>
      <w:r w:rsidRPr="00EC1DF5">
        <w:rPr>
          <w:color w:val="auto"/>
        </w:rPr>
        <w:t>However, d</w:t>
      </w:r>
      <w:r w:rsidR="00866D45" w:rsidRPr="00EC1DF5">
        <w:rPr>
          <w:color w:val="auto"/>
        </w:rPr>
        <w:t xml:space="preserve">espite the number of studies </w:t>
      </w:r>
      <w:r w:rsidR="00AD431C" w:rsidRPr="00EC1DF5">
        <w:rPr>
          <w:color w:val="auto"/>
        </w:rPr>
        <w:t>exploring</w:t>
      </w:r>
      <w:r w:rsidR="00866D45" w:rsidRPr="00EC1DF5">
        <w:rPr>
          <w:color w:val="auto"/>
        </w:rPr>
        <w:t xml:space="preserve"> </w:t>
      </w:r>
      <w:r w:rsidR="00BB1636" w:rsidRPr="00EC1DF5">
        <w:rPr>
          <w:color w:val="auto"/>
        </w:rPr>
        <w:t xml:space="preserve">the link between </w:t>
      </w:r>
      <w:r w:rsidR="00866D45" w:rsidRPr="00EC1DF5">
        <w:rPr>
          <w:color w:val="auto"/>
        </w:rPr>
        <w:t xml:space="preserve">corporate governance and business sustainability performance, most researchers </w:t>
      </w:r>
      <w:r w:rsidR="00866A3B" w:rsidRPr="00EC1DF5">
        <w:rPr>
          <w:color w:val="auto"/>
        </w:rPr>
        <w:t xml:space="preserve">(e.g. </w:t>
      </w:r>
      <w:r w:rsidR="00866D45" w:rsidRPr="00EC1DF5">
        <w:rPr>
          <w:color w:val="auto"/>
        </w:rPr>
        <w:t xml:space="preserve">Brammer and </w:t>
      </w:r>
      <w:proofErr w:type="spellStart"/>
      <w:r w:rsidR="00866D45" w:rsidRPr="00EC1DF5">
        <w:rPr>
          <w:color w:val="auto"/>
        </w:rPr>
        <w:t>Pavelin</w:t>
      </w:r>
      <w:proofErr w:type="spellEnd"/>
      <w:r w:rsidR="00866D45" w:rsidRPr="00EC1DF5">
        <w:rPr>
          <w:color w:val="auto"/>
        </w:rPr>
        <w:t xml:space="preserve">, 2006; Walls </w:t>
      </w:r>
      <w:r w:rsidR="00866D45" w:rsidRPr="00EC1DF5">
        <w:rPr>
          <w:i/>
          <w:color w:val="auto"/>
        </w:rPr>
        <w:t>et al</w:t>
      </w:r>
      <w:r w:rsidR="00866D45" w:rsidRPr="00EC1DF5">
        <w:rPr>
          <w:color w:val="auto"/>
        </w:rPr>
        <w:t xml:space="preserve">., 2012; Rodrigue </w:t>
      </w:r>
      <w:r w:rsidR="00866D45" w:rsidRPr="00EC1DF5">
        <w:rPr>
          <w:i/>
          <w:color w:val="auto"/>
        </w:rPr>
        <w:t>et al</w:t>
      </w:r>
      <w:r w:rsidR="00866D45" w:rsidRPr="00EC1DF5">
        <w:rPr>
          <w:color w:val="auto"/>
        </w:rPr>
        <w:t xml:space="preserve">., 2013) </w:t>
      </w:r>
      <w:r w:rsidR="00720F93" w:rsidRPr="00EC1DF5">
        <w:rPr>
          <w:color w:val="auto"/>
        </w:rPr>
        <w:t xml:space="preserve">have </w:t>
      </w:r>
      <w:r w:rsidR="00866D45" w:rsidRPr="00EC1DF5">
        <w:rPr>
          <w:color w:val="auto"/>
        </w:rPr>
        <w:t>only examined</w:t>
      </w:r>
      <w:r w:rsidR="00F61231" w:rsidRPr="00EC1DF5">
        <w:rPr>
          <w:color w:val="auto"/>
        </w:rPr>
        <w:t xml:space="preserve"> the relationship between</w:t>
      </w:r>
      <w:r w:rsidR="00866D45" w:rsidRPr="00EC1DF5">
        <w:rPr>
          <w:color w:val="auto"/>
        </w:rPr>
        <w:t xml:space="preserve"> corporate governance and environmental sustainability. Others (</w:t>
      </w:r>
      <w:r w:rsidR="00866A3B" w:rsidRPr="00EC1DF5">
        <w:rPr>
          <w:color w:val="auto"/>
        </w:rPr>
        <w:t xml:space="preserve">e.g. </w:t>
      </w:r>
      <w:r w:rsidR="00866D45" w:rsidRPr="00EC1DF5">
        <w:rPr>
          <w:color w:val="auto"/>
        </w:rPr>
        <w:t xml:space="preserve">Hussain </w:t>
      </w:r>
      <w:r w:rsidR="00866D45" w:rsidRPr="00EC1DF5">
        <w:rPr>
          <w:i/>
          <w:color w:val="auto"/>
        </w:rPr>
        <w:t>et al</w:t>
      </w:r>
      <w:r w:rsidR="00866D45" w:rsidRPr="00EC1DF5">
        <w:rPr>
          <w:color w:val="auto"/>
        </w:rPr>
        <w:t xml:space="preserve">., 2018; </w:t>
      </w:r>
      <w:proofErr w:type="spellStart"/>
      <w:r w:rsidR="00866D45" w:rsidRPr="00EC1DF5">
        <w:rPr>
          <w:color w:val="auto"/>
        </w:rPr>
        <w:t>Mallin</w:t>
      </w:r>
      <w:proofErr w:type="spellEnd"/>
      <w:r w:rsidR="00866D45" w:rsidRPr="00EC1DF5">
        <w:rPr>
          <w:color w:val="auto"/>
        </w:rPr>
        <w:t xml:space="preserve"> </w:t>
      </w:r>
      <w:r w:rsidR="00866D45" w:rsidRPr="00EC1DF5">
        <w:rPr>
          <w:i/>
          <w:color w:val="auto"/>
        </w:rPr>
        <w:t>et al</w:t>
      </w:r>
      <w:r w:rsidR="00866D45" w:rsidRPr="00EC1DF5">
        <w:rPr>
          <w:color w:val="auto"/>
        </w:rPr>
        <w:t xml:space="preserve">., 2013) </w:t>
      </w:r>
      <w:r w:rsidR="00720F93" w:rsidRPr="00EC1DF5">
        <w:rPr>
          <w:color w:val="auto"/>
        </w:rPr>
        <w:t xml:space="preserve">have </w:t>
      </w:r>
      <w:r w:rsidR="00866D45" w:rsidRPr="00EC1DF5">
        <w:rPr>
          <w:color w:val="auto"/>
        </w:rPr>
        <w:t xml:space="preserve">specifically explored the effect of corporate governance on </w:t>
      </w:r>
      <w:r w:rsidR="00AD431C" w:rsidRPr="00EC1DF5">
        <w:rPr>
          <w:color w:val="auto"/>
        </w:rPr>
        <w:t xml:space="preserve">only </w:t>
      </w:r>
      <w:r w:rsidR="00866D45" w:rsidRPr="00EC1DF5">
        <w:rPr>
          <w:color w:val="auto"/>
        </w:rPr>
        <w:t>social disclosure</w:t>
      </w:r>
      <w:r w:rsidR="00F61231" w:rsidRPr="00EC1DF5">
        <w:rPr>
          <w:color w:val="auto"/>
        </w:rPr>
        <w:t xml:space="preserve"> while some</w:t>
      </w:r>
      <w:r w:rsidR="00866D45" w:rsidRPr="00EC1DF5">
        <w:rPr>
          <w:color w:val="auto"/>
        </w:rPr>
        <w:t xml:space="preserve"> (</w:t>
      </w:r>
      <w:r w:rsidR="00444209" w:rsidRPr="00EC1DF5">
        <w:rPr>
          <w:color w:val="auto"/>
        </w:rPr>
        <w:t xml:space="preserve">e.g. </w:t>
      </w:r>
      <w:r w:rsidR="004A4DE5" w:rsidRPr="00EC1DF5">
        <w:rPr>
          <w:color w:val="auto"/>
        </w:rPr>
        <w:t xml:space="preserve">Johnson and Greening, 1999; </w:t>
      </w:r>
      <w:r w:rsidR="00866D45" w:rsidRPr="00EC1DF5">
        <w:rPr>
          <w:color w:val="auto"/>
        </w:rPr>
        <w:t>Williams, 2003)</w:t>
      </w:r>
      <w:r w:rsidR="00BB1636" w:rsidRPr="00EC1DF5">
        <w:rPr>
          <w:color w:val="auto"/>
        </w:rPr>
        <w:t xml:space="preserve"> </w:t>
      </w:r>
      <w:r w:rsidR="00720F93" w:rsidRPr="00EC1DF5">
        <w:rPr>
          <w:color w:val="auto"/>
        </w:rPr>
        <w:t xml:space="preserve">have </w:t>
      </w:r>
      <w:r w:rsidR="00BB1636" w:rsidRPr="00EC1DF5">
        <w:rPr>
          <w:color w:val="auto"/>
        </w:rPr>
        <w:t>solely</w:t>
      </w:r>
      <w:r w:rsidR="00866D45" w:rsidRPr="00EC1DF5">
        <w:rPr>
          <w:color w:val="auto"/>
        </w:rPr>
        <w:t xml:space="preserve"> </w:t>
      </w:r>
      <w:r w:rsidR="00F61231" w:rsidRPr="00EC1DF5">
        <w:rPr>
          <w:color w:val="auto"/>
        </w:rPr>
        <w:t xml:space="preserve">focused on the </w:t>
      </w:r>
      <w:r w:rsidR="00866D45" w:rsidRPr="00EC1DF5">
        <w:rPr>
          <w:color w:val="auto"/>
        </w:rPr>
        <w:t>governance and financial performance</w:t>
      </w:r>
      <w:r w:rsidR="00BB1636" w:rsidRPr="00EC1DF5">
        <w:rPr>
          <w:color w:val="auto"/>
        </w:rPr>
        <w:t xml:space="preserve"> link</w:t>
      </w:r>
      <w:r w:rsidR="00866D45" w:rsidRPr="00EC1DF5">
        <w:rPr>
          <w:color w:val="auto"/>
        </w:rPr>
        <w:t xml:space="preserve">. </w:t>
      </w:r>
      <w:r w:rsidR="00F61231" w:rsidRPr="00EC1DF5">
        <w:rPr>
          <w:color w:val="auto"/>
        </w:rPr>
        <w:t xml:space="preserve">Only few </w:t>
      </w:r>
      <w:r w:rsidR="00866D45" w:rsidRPr="00EC1DF5">
        <w:rPr>
          <w:color w:val="auto"/>
        </w:rPr>
        <w:t xml:space="preserve">studies </w:t>
      </w:r>
      <w:r w:rsidR="00720F93" w:rsidRPr="00EC1DF5">
        <w:rPr>
          <w:color w:val="auto"/>
        </w:rPr>
        <w:t xml:space="preserve">have </w:t>
      </w:r>
      <w:r w:rsidR="00AD431C" w:rsidRPr="00EC1DF5">
        <w:rPr>
          <w:color w:val="auto"/>
        </w:rPr>
        <w:t>e</w:t>
      </w:r>
      <w:r w:rsidR="00F61231" w:rsidRPr="00EC1DF5">
        <w:rPr>
          <w:color w:val="auto"/>
        </w:rPr>
        <w:t xml:space="preserve">mployed </w:t>
      </w:r>
      <w:r w:rsidR="00866D45" w:rsidRPr="00EC1DF5">
        <w:rPr>
          <w:color w:val="auto"/>
        </w:rPr>
        <w:t xml:space="preserve">two or more sustainability dimensions </w:t>
      </w:r>
      <w:r w:rsidR="00F61231" w:rsidRPr="00EC1DF5">
        <w:rPr>
          <w:color w:val="auto"/>
        </w:rPr>
        <w:t xml:space="preserve">to explore the relationship </w:t>
      </w:r>
      <w:r w:rsidR="00866D45" w:rsidRPr="00EC1DF5">
        <w:rPr>
          <w:color w:val="auto"/>
        </w:rPr>
        <w:t xml:space="preserve">(Brammer and </w:t>
      </w:r>
      <w:proofErr w:type="spellStart"/>
      <w:r w:rsidR="00866D45" w:rsidRPr="00EC1DF5">
        <w:rPr>
          <w:color w:val="auto"/>
        </w:rPr>
        <w:t>Pavelin</w:t>
      </w:r>
      <w:proofErr w:type="spellEnd"/>
      <w:r w:rsidR="00866D45" w:rsidRPr="00EC1DF5">
        <w:rPr>
          <w:color w:val="auto"/>
        </w:rPr>
        <w:t xml:space="preserve">, 2006; Rodrigue </w:t>
      </w:r>
      <w:r w:rsidR="00866D45" w:rsidRPr="00EC1DF5">
        <w:rPr>
          <w:i/>
          <w:color w:val="auto"/>
        </w:rPr>
        <w:t>et al</w:t>
      </w:r>
      <w:r w:rsidR="00866D45" w:rsidRPr="00EC1DF5">
        <w:rPr>
          <w:color w:val="auto"/>
        </w:rPr>
        <w:t xml:space="preserve">., 2013; </w:t>
      </w:r>
      <w:proofErr w:type="spellStart"/>
      <w:r w:rsidR="00866D45" w:rsidRPr="00EC1DF5">
        <w:rPr>
          <w:color w:val="auto"/>
        </w:rPr>
        <w:t>Mallin</w:t>
      </w:r>
      <w:proofErr w:type="spellEnd"/>
      <w:r w:rsidR="00866D45" w:rsidRPr="00EC1DF5">
        <w:rPr>
          <w:color w:val="auto"/>
        </w:rPr>
        <w:t xml:space="preserve"> </w:t>
      </w:r>
      <w:r w:rsidR="00866D45" w:rsidRPr="00EC1DF5">
        <w:rPr>
          <w:i/>
          <w:color w:val="auto"/>
        </w:rPr>
        <w:t>et al</w:t>
      </w:r>
      <w:r w:rsidR="00866D45" w:rsidRPr="00EC1DF5">
        <w:rPr>
          <w:color w:val="auto"/>
        </w:rPr>
        <w:t xml:space="preserve">., 2013; Hussain </w:t>
      </w:r>
      <w:r w:rsidR="00866D45" w:rsidRPr="00EC1DF5">
        <w:rPr>
          <w:i/>
          <w:color w:val="auto"/>
        </w:rPr>
        <w:t>et al</w:t>
      </w:r>
      <w:r w:rsidR="00866D45" w:rsidRPr="00EC1DF5">
        <w:rPr>
          <w:color w:val="auto"/>
        </w:rPr>
        <w:t xml:space="preserve">., 2018) </w:t>
      </w:r>
      <w:r w:rsidR="00F61231" w:rsidRPr="00EC1DF5">
        <w:rPr>
          <w:color w:val="auto"/>
        </w:rPr>
        <w:t xml:space="preserve">however, they used </w:t>
      </w:r>
      <w:r w:rsidR="00AD431C" w:rsidRPr="00EC1DF5">
        <w:rPr>
          <w:color w:val="auto"/>
        </w:rPr>
        <w:t xml:space="preserve">single </w:t>
      </w:r>
      <w:r w:rsidR="00A774A7" w:rsidRPr="00EC1DF5">
        <w:rPr>
          <w:color w:val="auto"/>
        </w:rPr>
        <w:t xml:space="preserve">CG </w:t>
      </w:r>
      <w:r w:rsidR="00AD431C" w:rsidRPr="00EC1DF5">
        <w:rPr>
          <w:color w:val="auto"/>
        </w:rPr>
        <w:t>characteristics</w:t>
      </w:r>
      <w:r w:rsidR="00866D45" w:rsidRPr="00EC1DF5">
        <w:rPr>
          <w:color w:val="auto"/>
        </w:rPr>
        <w:t xml:space="preserve"> (i.e., independent board, board diversity, board size, CEO duality</w:t>
      </w:r>
      <w:r w:rsidR="00720F93" w:rsidRPr="00EC1DF5">
        <w:rPr>
          <w:color w:val="auto"/>
        </w:rPr>
        <w:t>,</w:t>
      </w:r>
      <w:r w:rsidR="00866D45" w:rsidRPr="00EC1DF5">
        <w:rPr>
          <w:color w:val="auto"/>
        </w:rPr>
        <w:t xml:space="preserve"> among others)</w:t>
      </w:r>
      <w:r w:rsidR="00F61231" w:rsidRPr="00EC1DF5">
        <w:rPr>
          <w:color w:val="auto"/>
        </w:rPr>
        <w:t xml:space="preserve"> as proxies</w:t>
      </w:r>
      <w:r w:rsidR="00866D45" w:rsidRPr="00EC1DF5">
        <w:rPr>
          <w:color w:val="auto"/>
        </w:rPr>
        <w:t xml:space="preserve">. For instance, the recent work by Hussain </w:t>
      </w:r>
      <w:r w:rsidR="00866D45" w:rsidRPr="00EC1DF5">
        <w:rPr>
          <w:i/>
          <w:color w:val="auto"/>
        </w:rPr>
        <w:t>et al</w:t>
      </w:r>
      <w:r w:rsidR="00866D45" w:rsidRPr="00EC1DF5">
        <w:rPr>
          <w:color w:val="auto"/>
        </w:rPr>
        <w:t>. (2018) on sustainability performance</w:t>
      </w:r>
      <w:r w:rsidR="00444209" w:rsidRPr="00EC1DF5">
        <w:rPr>
          <w:color w:val="auto"/>
        </w:rPr>
        <w:t>-CG nexus</w:t>
      </w:r>
      <w:r w:rsidR="00866D45" w:rsidRPr="00EC1DF5">
        <w:rPr>
          <w:color w:val="auto"/>
        </w:rPr>
        <w:t xml:space="preserve"> only assessed CEO duality, board size, </w:t>
      </w:r>
      <w:proofErr w:type="gramStart"/>
      <w:r w:rsidR="00866D45" w:rsidRPr="00EC1DF5">
        <w:rPr>
          <w:color w:val="auto"/>
        </w:rPr>
        <w:t>independence</w:t>
      </w:r>
      <w:proofErr w:type="gramEnd"/>
      <w:r w:rsidR="00866D45" w:rsidRPr="00EC1DF5">
        <w:rPr>
          <w:color w:val="auto"/>
        </w:rPr>
        <w:t xml:space="preserve"> and diversity</w:t>
      </w:r>
      <w:r w:rsidR="00F61231" w:rsidRPr="00EC1DF5">
        <w:rPr>
          <w:color w:val="auto"/>
        </w:rPr>
        <w:t xml:space="preserve">. </w:t>
      </w:r>
      <w:r w:rsidR="00866A3B" w:rsidRPr="00EC1DF5">
        <w:rPr>
          <w:color w:val="auto"/>
        </w:rPr>
        <w:t>This</w:t>
      </w:r>
      <w:r w:rsidR="00F61231" w:rsidRPr="00EC1DF5">
        <w:rPr>
          <w:color w:val="auto"/>
        </w:rPr>
        <w:t xml:space="preserve"> lack of focus by extant researchers on the holistic picture of corporate governance has created </w:t>
      </w:r>
      <w:r w:rsidR="00866A3B" w:rsidRPr="00EC1DF5">
        <w:rPr>
          <w:color w:val="auto"/>
        </w:rPr>
        <w:t xml:space="preserve">a knowledge void and </w:t>
      </w:r>
      <w:r w:rsidR="00F61231" w:rsidRPr="00EC1DF5">
        <w:rPr>
          <w:color w:val="auto"/>
        </w:rPr>
        <w:t xml:space="preserve">gap that needs to be explored further. </w:t>
      </w:r>
    </w:p>
    <w:p w14:paraId="421EE00B" w14:textId="185DA8B1" w:rsidR="00866D45" w:rsidRPr="00EC1DF5" w:rsidRDefault="00CC7FF6" w:rsidP="00CC7FF6">
      <w:pPr>
        <w:spacing w:line="480" w:lineRule="auto"/>
        <w:ind w:firstLine="720"/>
        <w:jc w:val="both"/>
        <w:rPr>
          <w:color w:val="auto"/>
        </w:rPr>
      </w:pPr>
      <w:bookmarkStart w:id="0" w:name="_Hlk56201434"/>
      <w:r w:rsidRPr="00EC1DF5">
        <w:rPr>
          <w:color w:val="auto"/>
        </w:rPr>
        <w:t xml:space="preserve">For businesses to perform well there is the need to pay attention to a wide range of stakeholders which extend beyond shareholders. The governance structure of the firm particularly, the board of directors are the centre of decision making in the corporation and the </w:t>
      </w:r>
      <w:r w:rsidRPr="00EC1DF5">
        <w:rPr>
          <w:color w:val="auto"/>
        </w:rPr>
        <w:lastRenderedPageBreak/>
        <w:t xml:space="preserve">corporation’ survival and long term success hinge on the ability to create wealth, value and satisfaction among its stakeholders by shaping and influencing the extent of fulfilling social responsibilities of stakeholders (Hill and Jones, 1992; Clarkson, 1995; Jain and Jamali, 2016). The board is therefore a key player in ensuring positive stakeholder engagement (Galbreath, 2016) and meeting its social responsibility through short-term and long-term strategies which ensures business sustainability. Hence, in examining the corporate governance pillars and business sustainability link, it is of importance to provide a holistic insight into the impact of corporate governance pillars on each dimension of business sustainability. </w:t>
      </w:r>
      <w:bookmarkEnd w:id="0"/>
      <w:r w:rsidR="00866D45" w:rsidRPr="00EC1DF5">
        <w:rPr>
          <w:color w:val="auto"/>
        </w:rPr>
        <w:t>We</w:t>
      </w:r>
      <w:r w:rsidR="00946F85" w:rsidRPr="00EC1DF5">
        <w:rPr>
          <w:color w:val="auto"/>
        </w:rPr>
        <w:t xml:space="preserve"> therefore</w:t>
      </w:r>
      <w:r w:rsidR="00866D45" w:rsidRPr="00EC1DF5">
        <w:rPr>
          <w:color w:val="auto"/>
        </w:rPr>
        <w:t xml:space="preserve"> argue that the underlying </w:t>
      </w:r>
      <w:r w:rsidR="00E35A8D" w:rsidRPr="00EC1DF5">
        <w:rPr>
          <w:color w:val="auto"/>
        </w:rPr>
        <w:t>pillars</w:t>
      </w:r>
      <w:r w:rsidR="00866D45" w:rsidRPr="00EC1DF5">
        <w:rPr>
          <w:color w:val="auto"/>
        </w:rPr>
        <w:t xml:space="preserve"> of corporate governance </w:t>
      </w:r>
      <w:r w:rsidR="00C842AC" w:rsidRPr="00EC1DF5">
        <w:rPr>
          <w:color w:val="auto"/>
        </w:rPr>
        <w:t>comprising</w:t>
      </w:r>
      <w:r w:rsidR="00866D45" w:rsidRPr="00EC1DF5">
        <w:rPr>
          <w:color w:val="auto"/>
        </w:rPr>
        <w:t xml:space="preserve"> board functions, structure, strategy</w:t>
      </w:r>
      <w:r w:rsidR="00A774A7" w:rsidRPr="00EC1DF5">
        <w:rPr>
          <w:color w:val="auto"/>
        </w:rPr>
        <w:t>,</w:t>
      </w:r>
      <w:r w:rsidR="00866D45" w:rsidRPr="00EC1DF5">
        <w:rPr>
          <w:color w:val="auto"/>
        </w:rPr>
        <w:t xml:space="preserve"> shareholder rights and compensation </w:t>
      </w:r>
      <w:r w:rsidR="00C842AC" w:rsidRPr="00EC1DF5">
        <w:rPr>
          <w:color w:val="auto"/>
        </w:rPr>
        <w:t>require</w:t>
      </w:r>
      <w:r w:rsidR="00866D45" w:rsidRPr="00EC1DF5">
        <w:rPr>
          <w:color w:val="auto"/>
        </w:rPr>
        <w:t xml:space="preserve"> </w:t>
      </w:r>
      <w:r w:rsidR="00C842AC" w:rsidRPr="00EC1DF5">
        <w:rPr>
          <w:color w:val="auto"/>
        </w:rPr>
        <w:t>a thorough</w:t>
      </w:r>
      <w:r w:rsidR="00866D45" w:rsidRPr="00EC1DF5">
        <w:rPr>
          <w:color w:val="auto"/>
        </w:rPr>
        <w:t xml:space="preserve"> investigat</w:t>
      </w:r>
      <w:r w:rsidR="00444209" w:rsidRPr="00EC1DF5">
        <w:rPr>
          <w:color w:val="auto"/>
        </w:rPr>
        <w:t>ion</w:t>
      </w:r>
      <w:r w:rsidR="00C7053A" w:rsidRPr="00EC1DF5">
        <w:rPr>
          <w:color w:val="auto"/>
        </w:rPr>
        <w:t xml:space="preserve"> in the sustainability-CG nexus</w:t>
      </w:r>
      <w:r w:rsidR="00866D45" w:rsidRPr="00EC1DF5">
        <w:rPr>
          <w:color w:val="auto"/>
        </w:rPr>
        <w:t xml:space="preserve">. We further assert that contribution to corporate governance literature should </w:t>
      </w:r>
      <w:r w:rsidR="00946F85" w:rsidRPr="00EC1DF5">
        <w:rPr>
          <w:color w:val="auto"/>
        </w:rPr>
        <w:t>transcend theory</w:t>
      </w:r>
      <w:r w:rsidR="00C842AC" w:rsidRPr="00EC1DF5">
        <w:rPr>
          <w:color w:val="auto"/>
        </w:rPr>
        <w:t xml:space="preserve"> (see Hussain </w:t>
      </w:r>
      <w:r w:rsidR="00C842AC" w:rsidRPr="00EC1DF5">
        <w:rPr>
          <w:i/>
          <w:color w:val="auto"/>
        </w:rPr>
        <w:t>et al</w:t>
      </w:r>
      <w:r w:rsidR="00C842AC" w:rsidRPr="00EC1DF5">
        <w:rPr>
          <w:color w:val="auto"/>
        </w:rPr>
        <w:t>., 2018)</w:t>
      </w:r>
      <w:r w:rsidR="00866D45" w:rsidRPr="00EC1DF5">
        <w:rPr>
          <w:color w:val="auto"/>
        </w:rPr>
        <w:t xml:space="preserve"> </w:t>
      </w:r>
      <w:r w:rsidR="00946F85" w:rsidRPr="00EC1DF5">
        <w:rPr>
          <w:color w:val="auto"/>
        </w:rPr>
        <w:t>by</w:t>
      </w:r>
      <w:r w:rsidR="00866D45" w:rsidRPr="00EC1DF5">
        <w:rPr>
          <w:color w:val="auto"/>
        </w:rPr>
        <w:t xml:space="preserve"> empirically and methodologically</w:t>
      </w:r>
      <w:r w:rsidR="00946F85" w:rsidRPr="00EC1DF5">
        <w:rPr>
          <w:color w:val="auto"/>
        </w:rPr>
        <w:t xml:space="preserve"> examining relationships</w:t>
      </w:r>
      <w:r w:rsidR="00C842AC" w:rsidRPr="00EC1DF5">
        <w:rPr>
          <w:color w:val="auto"/>
        </w:rPr>
        <w:t xml:space="preserve"> in</w:t>
      </w:r>
      <w:r w:rsidR="00720F93" w:rsidRPr="00EC1DF5">
        <w:rPr>
          <w:color w:val="auto"/>
        </w:rPr>
        <w:t xml:space="preserve"> </w:t>
      </w:r>
      <w:r w:rsidR="00C842AC" w:rsidRPr="00EC1DF5">
        <w:rPr>
          <w:color w:val="auto"/>
        </w:rPr>
        <w:t>depth</w:t>
      </w:r>
      <w:r w:rsidR="00866D45" w:rsidRPr="00EC1DF5">
        <w:rPr>
          <w:color w:val="auto"/>
        </w:rPr>
        <w:t xml:space="preserve">. </w:t>
      </w:r>
    </w:p>
    <w:p w14:paraId="3449D0E2" w14:textId="7E931718" w:rsidR="00C024F9" w:rsidRPr="00EC1DF5" w:rsidRDefault="00866D45" w:rsidP="00C024F9">
      <w:pPr>
        <w:spacing w:line="480" w:lineRule="auto"/>
        <w:ind w:firstLine="720"/>
        <w:jc w:val="both"/>
        <w:rPr>
          <w:color w:val="auto"/>
        </w:rPr>
      </w:pPr>
      <w:r w:rsidRPr="00EC1DF5">
        <w:rPr>
          <w:color w:val="auto"/>
        </w:rPr>
        <w:t>Our methodology adds new empirical evidence to existing literature which corroborates the assertion of interlink</w:t>
      </w:r>
      <w:r w:rsidR="008F7785" w:rsidRPr="00EC1DF5">
        <w:rPr>
          <w:color w:val="auto"/>
        </w:rPr>
        <w:t>s</w:t>
      </w:r>
      <w:r w:rsidRPr="00EC1DF5">
        <w:rPr>
          <w:color w:val="auto"/>
        </w:rPr>
        <w:t xml:space="preserve"> between the sustainability dimensions and the role of corporate governance. </w:t>
      </w:r>
      <w:r w:rsidR="00C024F9" w:rsidRPr="00EC1DF5">
        <w:rPr>
          <w:color w:val="auto"/>
        </w:rPr>
        <w:t>Beyond its empirical value, this research makes several important contributions to the literature. First, our study attempts to provide insight into how pooled CG variables affects the various dimensions of sustainability. Thus unlike previous studies which used single or some CG variables to examine how it affects sustainability, the current study uses much more broader classification of CG variables to examine how the pooled variables affect business sustainability thereby adding new empirical evidence to existing literature which corroborates the assertion of interlinkages between the sustainability dimensions and the role of CG. It also reinforces the conception that although all the single attributes of CG are relevant, when pooled together, a much stronger impact on sustainability occurs. This to the best of our knowledge has not been examined in the CG literature.</w:t>
      </w:r>
    </w:p>
    <w:p w14:paraId="2D15BF39" w14:textId="77777777" w:rsidR="00C024F9" w:rsidRPr="00EC1DF5" w:rsidRDefault="00C024F9" w:rsidP="00C024F9">
      <w:pPr>
        <w:spacing w:line="480" w:lineRule="auto"/>
        <w:ind w:firstLine="720"/>
        <w:jc w:val="both"/>
        <w:rPr>
          <w:color w:val="auto"/>
        </w:rPr>
      </w:pPr>
      <w:r w:rsidRPr="00EC1DF5">
        <w:rPr>
          <w:color w:val="auto"/>
        </w:rPr>
        <w:lastRenderedPageBreak/>
        <w:t xml:space="preserve">Second, by examining the moderating effects of stakeholder engagement on the association between CG and business sustainability, this study enhances knowledge of the conditions under which CG has more positive impact on business sustainability. CG practices demand engaging and satisfying various stakeholder groups of the corporation to ensure their support and going concern status of the firm since withdrawal of critical resources by stakeholders can course financial distress and eventual collapse (Clarkson, 1995). Yet CG studies have focus mostly on its effect on firm performance rather than the condition under which CG effect becomes </w:t>
      </w:r>
      <w:proofErr w:type="gramStart"/>
      <w:r w:rsidRPr="00EC1DF5">
        <w:rPr>
          <w:color w:val="auto"/>
        </w:rPr>
        <w:t>more or less pronounced</w:t>
      </w:r>
      <w:proofErr w:type="gramEnd"/>
      <w:r w:rsidRPr="00EC1DF5">
        <w:rPr>
          <w:color w:val="auto"/>
        </w:rPr>
        <w:t xml:space="preserve"> on business performance/sustainability.</w:t>
      </w:r>
    </w:p>
    <w:p w14:paraId="2FD7A846" w14:textId="77777777" w:rsidR="00C024F9" w:rsidRPr="00EC1DF5" w:rsidRDefault="00C024F9" w:rsidP="00C024F9">
      <w:pPr>
        <w:spacing w:line="480" w:lineRule="auto"/>
        <w:ind w:firstLine="720"/>
        <w:jc w:val="both"/>
        <w:rPr>
          <w:color w:val="auto"/>
        </w:rPr>
      </w:pPr>
      <w:r w:rsidRPr="00EC1DF5">
        <w:rPr>
          <w:color w:val="auto"/>
        </w:rPr>
        <w:t xml:space="preserve">Third, this study contributes to the two prominent theories in governance research – the stakeholder and agency theories. We highlight that both theories are complementary, as evidenced in our developed hypotheses, and acknowledge the lacuna of a single theory in fully explicating the hypothesised association (Walls </w:t>
      </w:r>
      <w:r w:rsidRPr="00EC1DF5">
        <w:rPr>
          <w:i/>
          <w:iCs/>
          <w:color w:val="auto"/>
        </w:rPr>
        <w:t>et al</w:t>
      </w:r>
      <w:r w:rsidRPr="00EC1DF5">
        <w:rPr>
          <w:color w:val="auto"/>
        </w:rPr>
        <w:t xml:space="preserve">., 2012; Hussain </w:t>
      </w:r>
      <w:r w:rsidRPr="00EC1DF5">
        <w:rPr>
          <w:i/>
          <w:iCs/>
          <w:color w:val="auto"/>
        </w:rPr>
        <w:t>et al</w:t>
      </w:r>
      <w:r w:rsidRPr="00EC1DF5">
        <w:rPr>
          <w:color w:val="auto"/>
        </w:rPr>
        <w:t>., 2018). From the stakeholder theory perspective, our study robustly examines the role of stakeholder engagement levels in the CG- sustainability relationship providing a key literature contribution and as a guide for future research that single theoretical framework may fall short in explaining the CG-business sustainability link.</w:t>
      </w:r>
    </w:p>
    <w:p w14:paraId="6CE01B4A" w14:textId="4CE503E3" w:rsidR="00866D45" w:rsidRPr="00EC1DF5" w:rsidRDefault="00C024F9" w:rsidP="00633DB0">
      <w:pPr>
        <w:spacing w:line="480" w:lineRule="auto"/>
        <w:ind w:firstLine="720"/>
        <w:jc w:val="both"/>
        <w:rPr>
          <w:color w:val="auto"/>
        </w:rPr>
      </w:pPr>
      <w:r w:rsidRPr="00EC1DF5">
        <w:rPr>
          <w:color w:val="auto"/>
        </w:rPr>
        <w:t xml:space="preserve">The results of the study indicate that board functions and the board structure are very critical for improved performance. Also, shareholder right has a positive impact on environmental and social sustainability. Our results therefore imply that effective governance mechanisms should be put in place by companies to ensure that all aspects of the categories combine to contribute towards the achievement of their goals. From the stakeholder theory perspective, our study robustly examines the role of stakeholder engagement levels in the CG-sustainability relationship. The result indicates that high level of stakeholder engagement enhances CG pillars leading to improve performance of the firm. </w:t>
      </w:r>
      <w:bookmarkStart w:id="1" w:name="_Hlk56201057"/>
      <w:r w:rsidR="006E21C8" w:rsidRPr="00EC1DF5">
        <w:rPr>
          <w:color w:val="auto"/>
        </w:rPr>
        <w:t xml:space="preserve">We further uncover that shareholders are not overly concerned with short term financial sustainability </w:t>
      </w:r>
      <w:r w:rsidR="002A448E" w:rsidRPr="00EC1DF5">
        <w:rPr>
          <w:color w:val="auto"/>
        </w:rPr>
        <w:t xml:space="preserve">and would </w:t>
      </w:r>
      <w:r w:rsidR="002A448E" w:rsidRPr="00EC1DF5">
        <w:rPr>
          <w:color w:val="auto"/>
        </w:rPr>
        <w:lastRenderedPageBreak/>
        <w:t>support long term</w:t>
      </w:r>
      <w:r w:rsidR="006E21C8" w:rsidRPr="00EC1DF5">
        <w:rPr>
          <w:color w:val="auto"/>
        </w:rPr>
        <w:t xml:space="preserve"> </w:t>
      </w:r>
      <w:r w:rsidR="002A448E" w:rsidRPr="00EC1DF5">
        <w:rPr>
          <w:color w:val="auto"/>
        </w:rPr>
        <w:t xml:space="preserve">financial </w:t>
      </w:r>
      <w:r w:rsidR="006E21C8" w:rsidRPr="00EC1DF5">
        <w:rPr>
          <w:color w:val="auto"/>
        </w:rPr>
        <w:t>sustainab</w:t>
      </w:r>
      <w:r w:rsidR="002A448E" w:rsidRPr="00EC1DF5">
        <w:rPr>
          <w:color w:val="auto"/>
        </w:rPr>
        <w:t>ility initiatives from the board.</w:t>
      </w:r>
      <w:r w:rsidR="006E21C8" w:rsidRPr="00EC1DF5">
        <w:rPr>
          <w:color w:val="auto"/>
        </w:rPr>
        <w:t xml:space="preserve"> </w:t>
      </w:r>
      <w:r w:rsidR="002A448E" w:rsidRPr="00EC1DF5">
        <w:rPr>
          <w:color w:val="auto"/>
        </w:rPr>
        <w:t>This suggests that with the appropriate board structure and compensation, effective stakeholder engagement can yield better support for environmental sustainability from shareholders.</w:t>
      </w:r>
    </w:p>
    <w:bookmarkEnd w:id="1"/>
    <w:p w14:paraId="6C83DC7E" w14:textId="44CDAEB7" w:rsidR="00866D45" w:rsidRPr="00EC1DF5" w:rsidRDefault="00866D45" w:rsidP="00A114E8">
      <w:pPr>
        <w:spacing w:line="480" w:lineRule="auto"/>
        <w:ind w:firstLine="360"/>
        <w:jc w:val="both"/>
        <w:rPr>
          <w:color w:val="auto"/>
        </w:rPr>
      </w:pPr>
      <w:r w:rsidRPr="00EC1DF5">
        <w:rPr>
          <w:color w:val="auto"/>
        </w:rPr>
        <w:t xml:space="preserve">The remainder of the paper is organised into the following: </w:t>
      </w:r>
      <w:r w:rsidR="007B6ABA" w:rsidRPr="00EC1DF5">
        <w:rPr>
          <w:color w:val="auto"/>
        </w:rPr>
        <w:t>S</w:t>
      </w:r>
      <w:r w:rsidR="005720AC" w:rsidRPr="00EC1DF5">
        <w:rPr>
          <w:color w:val="auto"/>
        </w:rPr>
        <w:t xml:space="preserve">ection 2 discusses the </w:t>
      </w:r>
      <w:r w:rsidRPr="00EC1DF5">
        <w:rPr>
          <w:color w:val="auto"/>
        </w:rPr>
        <w:t>theoretical framework</w:t>
      </w:r>
      <w:r w:rsidR="005720AC" w:rsidRPr="00EC1DF5">
        <w:rPr>
          <w:color w:val="auto"/>
        </w:rPr>
        <w:t xml:space="preserve">, </w:t>
      </w:r>
      <w:r w:rsidRPr="00EC1DF5">
        <w:rPr>
          <w:color w:val="auto"/>
        </w:rPr>
        <w:t>literature review</w:t>
      </w:r>
      <w:r w:rsidR="005720AC" w:rsidRPr="00EC1DF5">
        <w:rPr>
          <w:color w:val="auto"/>
        </w:rPr>
        <w:t xml:space="preserve"> and the derived</w:t>
      </w:r>
      <w:r w:rsidRPr="00EC1DF5">
        <w:rPr>
          <w:color w:val="auto"/>
        </w:rPr>
        <w:t xml:space="preserve"> hypothes</w:t>
      </w:r>
      <w:r w:rsidR="005720AC" w:rsidRPr="00EC1DF5">
        <w:rPr>
          <w:color w:val="auto"/>
        </w:rPr>
        <w:t>e</w:t>
      </w:r>
      <w:r w:rsidRPr="00EC1DF5">
        <w:rPr>
          <w:color w:val="auto"/>
        </w:rPr>
        <w:t xml:space="preserve">s; </w:t>
      </w:r>
      <w:r w:rsidR="007B6ABA" w:rsidRPr="00EC1DF5">
        <w:rPr>
          <w:color w:val="auto"/>
        </w:rPr>
        <w:t>S</w:t>
      </w:r>
      <w:r w:rsidRPr="00EC1DF5">
        <w:rPr>
          <w:color w:val="auto"/>
        </w:rPr>
        <w:t>ection</w:t>
      </w:r>
      <w:r w:rsidR="005720AC" w:rsidRPr="00EC1DF5">
        <w:rPr>
          <w:color w:val="auto"/>
        </w:rPr>
        <w:t xml:space="preserve"> 3</w:t>
      </w:r>
      <w:r w:rsidRPr="00EC1DF5">
        <w:rPr>
          <w:color w:val="auto"/>
        </w:rPr>
        <w:t xml:space="preserve"> presents the methodology</w:t>
      </w:r>
      <w:r w:rsidR="007B6ABA" w:rsidRPr="00EC1DF5">
        <w:rPr>
          <w:color w:val="auto"/>
        </w:rPr>
        <w:t>; Section 4 provides the</w:t>
      </w:r>
      <w:r w:rsidRPr="00EC1DF5">
        <w:rPr>
          <w:color w:val="auto"/>
        </w:rPr>
        <w:t xml:space="preserve"> empirical results</w:t>
      </w:r>
      <w:r w:rsidR="00056BB1" w:rsidRPr="00EC1DF5">
        <w:rPr>
          <w:color w:val="auto"/>
        </w:rPr>
        <w:t xml:space="preserve"> and </w:t>
      </w:r>
      <w:r w:rsidRPr="00EC1DF5">
        <w:rPr>
          <w:color w:val="auto"/>
        </w:rPr>
        <w:t>discussion</w:t>
      </w:r>
      <w:r w:rsidR="007B6ABA" w:rsidRPr="00EC1DF5">
        <w:rPr>
          <w:color w:val="auto"/>
        </w:rPr>
        <w:t xml:space="preserve">; </w:t>
      </w:r>
      <w:r w:rsidR="00056BB1" w:rsidRPr="00EC1DF5">
        <w:rPr>
          <w:color w:val="auto"/>
        </w:rPr>
        <w:t xml:space="preserve">Section </w:t>
      </w:r>
      <w:r w:rsidR="007B6ABA" w:rsidRPr="00EC1DF5">
        <w:rPr>
          <w:color w:val="auto"/>
        </w:rPr>
        <w:t>5</w:t>
      </w:r>
      <w:r w:rsidRPr="00EC1DF5">
        <w:rPr>
          <w:color w:val="auto"/>
        </w:rPr>
        <w:t xml:space="preserve"> </w:t>
      </w:r>
      <w:r w:rsidR="00056BB1" w:rsidRPr="00EC1DF5">
        <w:rPr>
          <w:color w:val="auto"/>
        </w:rPr>
        <w:t xml:space="preserve">presents the </w:t>
      </w:r>
      <w:r w:rsidRPr="00EC1DF5">
        <w:rPr>
          <w:color w:val="auto"/>
        </w:rPr>
        <w:t>conclusion</w:t>
      </w:r>
      <w:r w:rsidR="00317267" w:rsidRPr="00EC1DF5">
        <w:rPr>
          <w:color w:val="auto"/>
        </w:rPr>
        <w:t>, including</w:t>
      </w:r>
      <w:r w:rsidRPr="00EC1DF5">
        <w:rPr>
          <w:color w:val="auto"/>
        </w:rPr>
        <w:t xml:space="preserve"> limitations and </w:t>
      </w:r>
      <w:r w:rsidR="000C27BD" w:rsidRPr="00EC1DF5">
        <w:rPr>
          <w:color w:val="auto"/>
        </w:rPr>
        <w:t xml:space="preserve">directions for </w:t>
      </w:r>
      <w:r w:rsidRPr="00EC1DF5">
        <w:rPr>
          <w:color w:val="auto"/>
        </w:rPr>
        <w:t xml:space="preserve">future research. </w:t>
      </w:r>
    </w:p>
    <w:p w14:paraId="2BE3C588" w14:textId="77777777" w:rsidR="00A25BE1" w:rsidRPr="00EC1DF5" w:rsidRDefault="00A25BE1" w:rsidP="00A77CCC">
      <w:pPr>
        <w:spacing w:line="480" w:lineRule="auto"/>
        <w:jc w:val="both"/>
        <w:rPr>
          <w:color w:val="auto"/>
        </w:rPr>
      </w:pPr>
    </w:p>
    <w:p w14:paraId="45BE46C5" w14:textId="6F43F35D" w:rsidR="00866D45" w:rsidRPr="00EC1DF5" w:rsidRDefault="00B9558A" w:rsidP="00A77CCC">
      <w:pPr>
        <w:pStyle w:val="Heading1"/>
        <w:numPr>
          <w:ilvl w:val="0"/>
          <w:numId w:val="8"/>
        </w:numPr>
        <w:spacing w:line="480" w:lineRule="auto"/>
        <w:rPr>
          <w:rFonts w:ascii="Times New Roman" w:hAnsi="Times New Roman" w:cs="Times New Roman"/>
          <w:b/>
          <w:color w:val="auto"/>
          <w:sz w:val="24"/>
          <w:szCs w:val="24"/>
        </w:rPr>
      </w:pPr>
      <w:r w:rsidRPr="00EC1DF5">
        <w:rPr>
          <w:rFonts w:ascii="Times New Roman" w:hAnsi="Times New Roman" w:cs="Times New Roman"/>
          <w:b/>
          <w:color w:val="auto"/>
          <w:sz w:val="24"/>
          <w:szCs w:val="24"/>
        </w:rPr>
        <w:t>Theoretical Background and Hypotheses Development</w:t>
      </w:r>
    </w:p>
    <w:p w14:paraId="2FADCE02" w14:textId="47151688" w:rsidR="00866D45" w:rsidRPr="00EC1DF5" w:rsidRDefault="00866D45" w:rsidP="00A77CCC">
      <w:pPr>
        <w:spacing w:line="480" w:lineRule="auto"/>
        <w:jc w:val="both"/>
        <w:rPr>
          <w:color w:val="auto"/>
        </w:rPr>
      </w:pPr>
      <w:r w:rsidRPr="00EC1DF5">
        <w:rPr>
          <w:color w:val="auto"/>
        </w:rPr>
        <w:t xml:space="preserve">Jensen and </w:t>
      </w:r>
      <w:proofErr w:type="spellStart"/>
      <w:r w:rsidRPr="00EC1DF5">
        <w:rPr>
          <w:color w:val="auto"/>
        </w:rPr>
        <w:t>Meckling</w:t>
      </w:r>
      <w:proofErr w:type="spellEnd"/>
      <w:r w:rsidRPr="00EC1DF5">
        <w:rPr>
          <w:color w:val="auto"/>
        </w:rPr>
        <w:t xml:space="preserve"> (1976) and Freeman (1984) are recognised as the respective </w:t>
      </w:r>
      <w:r w:rsidR="00056BB1" w:rsidRPr="00EC1DF5">
        <w:rPr>
          <w:color w:val="auto"/>
        </w:rPr>
        <w:t>pioneers</w:t>
      </w:r>
      <w:r w:rsidRPr="00EC1DF5">
        <w:rPr>
          <w:color w:val="auto"/>
        </w:rPr>
        <w:t xml:space="preserve"> of theoretical arguments from agency and stakeholder perspectives in corporate governance-firm performance</w:t>
      </w:r>
      <w:r w:rsidR="000110BA" w:rsidRPr="00EC1DF5">
        <w:rPr>
          <w:color w:val="auto"/>
        </w:rPr>
        <w:t xml:space="preserve"> scholarship</w:t>
      </w:r>
      <w:r w:rsidRPr="00EC1DF5">
        <w:rPr>
          <w:color w:val="auto"/>
        </w:rPr>
        <w:t xml:space="preserve">. Essentially, agency theory underscores the conflict between managers (agents) and shareholders (principals) </w:t>
      </w:r>
      <w:r w:rsidR="009037A9" w:rsidRPr="00EC1DF5">
        <w:rPr>
          <w:color w:val="auto"/>
        </w:rPr>
        <w:t>which</w:t>
      </w:r>
      <w:r w:rsidRPr="00EC1DF5">
        <w:rPr>
          <w:color w:val="auto"/>
        </w:rPr>
        <w:t xml:space="preserve"> stem</w:t>
      </w:r>
      <w:r w:rsidR="009037A9" w:rsidRPr="00EC1DF5">
        <w:rPr>
          <w:color w:val="auto"/>
        </w:rPr>
        <w:t>s</w:t>
      </w:r>
      <w:r w:rsidRPr="00EC1DF5">
        <w:rPr>
          <w:color w:val="auto"/>
        </w:rPr>
        <w:t xml:space="preserve"> from contrasting interests and possible information asymmetry (Hussain </w:t>
      </w:r>
      <w:r w:rsidRPr="00EC1DF5">
        <w:rPr>
          <w:i/>
          <w:color w:val="auto"/>
        </w:rPr>
        <w:t>et al</w:t>
      </w:r>
      <w:r w:rsidRPr="00EC1DF5">
        <w:rPr>
          <w:color w:val="auto"/>
        </w:rPr>
        <w:t>., 2018). I</w:t>
      </w:r>
      <w:r w:rsidR="0034661C" w:rsidRPr="00EC1DF5">
        <w:rPr>
          <w:color w:val="auto"/>
        </w:rPr>
        <w:t>t is</w:t>
      </w:r>
      <w:r w:rsidR="00E464F8" w:rsidRPr="00EC1DF5">
        <w:rPr>
          <w:color w:val="auto"/>
        </w:rPr>
        <w:t>, however,</w:t>
      </w:r>
      <w:r w:rsidRPr="00EC1DF5">
        <w:rPr>
          <w:color w:val="auto"/>
        </w:rPr>
        <w:t xml:space="preserve"> contended (see </w:t>
      </w:r>
      <w:proofErr w:type="spellStart"/>
      <w:r w:rsidRPr="00EC1DF5">
        <w:rPr>
          <w:color w:val="auto"/>
        </w:rPr>
        <w:t>Haniffa</w:t>
      </w:r>
      <w:proofErr w:type="spellEnd"/>
      <w:r w:rsidRPr="00EC1DF5">
        <w:rPr>
          <w:color w:val="auto"/>
        </w:rPr>
        <w:t xml:space="preserve"> and Cooke, 2002) that</w:t>
      </w:r>
      <w:r w:rsidR="000C27BD" w:rsidRPr="00EC1DF5">
        <w:rPr>
          <w:color w:val="auto"/>
        </w:rPr>
        <w:t>,</w:t>
      </w:r>
      <w:r w:rsidRPr="00EC1DF5">
        <w:rPr>
          <w:color w:val="auto"/>
        </w:rPr>
        <w:t xml:space="preserve"> with effective corporate governance, the</w:t>
      </w:r>
      <w:r w:rsidR="00E433B7" w:rsidRPr="00EC1DF5">
        <w:rPr>
          <w:color w:val="auto"/>
        </w:rPr>
        <w:t>se challenges can be dealt with</w:t>
      </w:r>
      <w:r w:rsidRPr="00EC1DF5">
        <w:rPr>
          <w:color w:val="auto"/>
        </w:rPr>
        <w:t>.</w:t>
      </w:r>
      <w:r w:rsidR="00E464F8" w:rsidRPr="00EC1DF5">
        <w:rPr>
          <w:color w:val="auto"/>
        </w:rPr>
        <w:t xml:space="preserve"> </w:t>
      </w:r>
      <w:proofErr w:type="gramStart"/>
      <w:r w:rsidR="00E464F8" w:rsidRPr="00EC1DF5">
        <w:rPr>
          <w:color w:val="auto"/>
        </w:rPr>
        <w:t>That being said</w:t>
      </w:r>
      <w:r w:rsidRPr="00EC1DF5">
        <w:rPr>
          <w:color w:val="auto"/>
        </w:rPr>
        <w:t>, it</w:t>
      </w:r>
      <w:proofErr w:type="gramEnd"/>
      <w:r w:rsidRPr="00EC1DF5">
        <w:rPr>
          <w:color w:val="auto"/>
        </w:rPr>
        <w:t xml:space="preserve"> is relevant for shareholders to monitor managers to ensure </w:t>
      </w:r>
      <w:r w:rsidR="00E464F8" w:rsidRPr="00EC1DF5">
        <w:rPr>
          <w:color w:val="auto"/>
        </w:rPr>
        <w:t xml:space="preserve">their </w:t>
      </w:r>
      <w:r w:rsidRPr="00EC1DF5">
        <w:rPr>
          <w:color w:val="auto"/>
        </w:rPr>
        <w:t xml:space="preserve">interests </w:t>
      </w:r>
      <w:r w:rsidR="00E464F8" w:rsidRPr="00EC1DF5">
        <w:rPr>
          <w:color w:val="auto"/>
        </w:rPr>
        <w:t>are well aligned</w:t>
      </w:r>
      <w:r w:rsidRPr="00EC1DF5">
        <w:rPr>
          <w:color w:val="auto"/>
        </w:rPr>
        <w:t xml:space="preserve"> (</w:t>
      </w:r>
      <w:proofErr w:type="spellStart"/>
      <w:r w:rsidRPr="00EC1DF5">
        <w:rPr>
          <w:color w:val="auto"/>
        </w:rPr>
        <w:t>Halme</w:t>
      </w:r>
      <w:proofErr w:type="spellEnd"/>
      <w:r w:rsidRPr="00EC1DF5">
        <w:rPr>
          <w:color w:val="auto"/>
        </w:rPr>
        <w:t xml:space="preserve"> and </w:t>
      </w:r>
      <w:proofErr w:type="spellStart"/>
      <w:r w:rsidRPr="00EC1DF5">
        <w:rPr>
          <w:color w:val="auto"/>
        </w:rPr>
        <w:t>Huse</w:t>
      </w:r>
      <w:proofErr w:type="spellEnd"/>
      <w:r w:rsidRPr="00EC1DF5">
        <w:rPr>
          <w:color w:val="auto"/>
        </w:rPr>
        <w:t xml:space="preserve">, 1997). </w:t>
      </w:r>
      <w:r w:rsidR="000D0F2A" w:rsidRPr="00EC1DF5">
        <w:rPr>
          <w:color w:val="auto"/>
        </w:rPr>
        <w:t>Thus</w:t>
      </w:r>
      <w:r w:rsidRPr="00EC1DF5">
        <w:rPr>
          <w:color w:val="auto"/>
        </w:rPr>
        <w:t xml:space="preserve">, the existence of an effective board could curb possible managers’ opportunism, reduce agency </w:t>
      </w:r>
      <w:proofErr w:type="gramStart"/>
      <w:r w:rsidRPr="00EC1DF5">
        <w:rPr>
          <w:color w:val="auto"/>
        </w:rPr>
        <w:t>problems</w:t>
      </w:r>
      <w:proofErr w:type="gramEnd"/>
      <w:r w:rsidRPr="00EC1DF5">
        <w:rPr>
          <w:color w:val="auto"/>
        </w:rPr>
        <w:t xml:space="preserve"> and increase managers’ accountability (Kolk, 2008; </w:t>
      </w:r>
      <w:proofErr w:type="spellStart"/>
      <w:r w:rsidRPr="00EC1DF5">
        <w:rPr>
          <w:color w:val="auto"/>
        </w:rPr>
        <w:t>Buniamin</w:t>
      </w:r>
      <w:proofErr w:type="spellEnd"/>
      <w:r w:rsidRPr="00EC1DF5">
        <w:rPr>
          <w:color w:val="auto"/>
        </w:rPr>
        <w:t xml:space="preserve"> </w:t>
      </w:r>
      <w:r w:rsidRPr="00EC1DF5">
        <w:rPr>
          <w:i/>
          <w:color w:val="auto"/>
        </w:rPr>
        <w:t>et al</w:t>
      </w:r>
      <w:r w:rsidRPr="00EC1DF5">
        <w:rPr>
          <w:color w:val="auto"/>
        </w:rPr>
        <w:t xml:space="preserve">., 2011; </w:t>
      </w:r>
      <w:proofErr w:type="spellStart"/>
      <w:r w:rsidRPr="00EC1DF5">
        <w:rPr>
          <w:color w:val="auto"/>
        </w:rPr>
        <w:t>Ienciu</w:t>
      </w:r>
      <w:proofErr w:type="spellEnd"/>
      <w:r w:rsidRPr="00EC1DF5">
        <w:rPr>
          <w:color w:val="auto"/>
        </w:rPr>
        <w:t xml:space="preserve"> </w:t>
      </w:r>
      <w:r w:rsidRPr="00EC1DF5">
        <w:rPr>
          <w:i/>
          <w:color w:val="auto"/>
        </w:rPr>
        <w:t>et al</w:t>
      </w:r>
      <w:r w:rsidRPr="00EC1DF5">
        <w:rPr>
          <w:color w:val="auto"/>
        </w:rPr>
        <w:t xml:space="preserve">., 2012). </w:t>
      </w:r>
    </w:p>
    <w:p w14:paraId="63506B56" w14:textId="76BE0DA2" w:rsidR="005F0338" w:rsidRPr="00EC1DF5" w:rsidRDefault="00866D45" w:rsidP="00A114E8">
      <w:pPr>
        <w:spacing w:line="480" w:lineRule="auto"/>
        <w:ind w:firstLine="720"/>
        <w:jc w:val="both"/>
        <w:rPr>
          <w:color w:val="auto"/>
        </w:rPr>
      </w:pPr>
      <w:r w:rsidRPr="00EC1DF5">
        <w:rPr>
          <w:color w:val="auto"/>
        </w:rPr>
        <w:t xml:space="preserve">Despite </w:t>
      </w:r>
      <w:r w:rsidR="000C27BD" w:rsidRPr="00EC1DF5">
        <w:rPr>
          <w:color w:val="auto"/>
        </w:rPr>
        <w:t xml:space="preserve">the </w:t>
      </w:r>
      <w:r w:rsidRPr="00EC1DF5">
        <w:rPr>
          <w:color w:val="auto"/>
        </w:rPr>
        <w:t xml:space="preserve">agency </w:t>
      </w:r>
      <w:r w:rsidR="00E433B7" w:rsidRPr="00EC1DF5">
        <w:rPr>
          <w:color w:val="auto"/>
        </w:rPr>
        <w:t>position regarding</w:t>
      </w:r>
      <w:r w:rsidR="000D0F2A" w:rsidRPr="00EC1DF5">
        <w:rPr>
          <w:color w:val="auto"/>
        </w:rPr>
        <w:t xml:space="preserve"> the importance of agency theory</w:t>
      </w:r>
      <w:r w:rsidRPr="00EC1DF5">
        <w:rPr>
          <w:color w:val="auto"/>
        </w:rPr>
        <w:t xml:space="preserve"> in the </w:t>
      </w:r>
      <w:r w:rsidR="00E464F8" w:rsidRPr="00EC1DF5">
        <w:rPr>
          <w:color w:val="auto"/>
        </w:rPr>
        <w:t>CG-</w:t>
      </w:r>
      <w:r w:rsidRPr="00EC1DF5">
        <w:rPr>
          <w:color w:val="auto"/>
        </w:rPr>
        <w:t>business sustainability</w:t>
      </w:r>
      <w:r w:rsidR="00E464F8" w:rsidRPr="00EC1DF5">
        <w:rPr>
          <w:color w:val="auto"/>
        </w:rPr>
        <w:t xml:space="preserve"> relationship</w:t>
      </w:r>
      <w:r w:rsidRPr="00EC1DF5">
        <w:rPr>
          <w:color w:val="auto"/>
        </w:rPr>
        <w:t xml:space="preserve">, it is </w:t>
      </w:r>
      <w:r w:rsidR="00E464F8" w:rsidRPr="00EC1DF5">
        <w:rPr>
          <w:color w:val="auto"/>
        </w:rPr>
        <w:t>postulated</w:t>
      </w:r>
      <w:r w:rsidRPr="00EC1DF5">
        <w:rPr>
          <w:color w:val="auto"/>
        </w:rPr>
        <w:t xml:space="preserve"> (</w:t>
      </w:r>
      <w:r w:rsidR="00056BB1" w:rsidRPr="00EC1DF5">
        <w:rPr>
          <w:color w:val="auto"/>
        </w:rPr>
        <w:t xml:space="preserve">see </w:t>
      </w:r>
      <w:r w:rsidRPr="00EC1DF5">
        <w:rPr>
          <w:color w:val="auto"/>
        </w:rPr>
        <w:t xml:space="preserve">Hussain </w:t>
      </w:r>
      <w:r w:rsidRPr="00EC1DF5">
        <w:rPr>
          <w:i/>
          <w:color w:val="auto"/>
        </w:rPr>
        <w:t>et al</w:t>
      </w:r>
      <w:r w:rsidRPr="00EC1DF5">
        <w:rPr>
          <w:color w:val="auto"/>
        </w:rPr>
        <w:t xml:space="preserve">., 2018) </w:t>
      </w:r>
      <w:r w:rsidR="000D0F2A" w:rsidRPr="00EC1DF5">
        <w:rPr>
          <w:color w:val="auto"/>
        </w:rPr>
        <w:t xml:space="preserve">to </w:t>
      </w:r>
      <w:r w:rsidR="00E433B7" w:rsidRPr="00EC1DF5">
        <w:rPr>
          <w:color w:val="auto"/>
        </w:rPr>
        <w:t>be insufficient in thoroughly explaining</w:t>
      </w:r>
      <w:r w:rsidRPr="00EC1DF5">
        <w:rPr>
          <w:color w:val="auto"/>
        </w:rPr>
        <w:t xml:space="preserve"> the relationship. </w:t>
      </w:r>
      <w:r w:rsidR="00E433B7" w:rsidRPr="00EC1DF5">
        <w:rPr>
          <w:color w:val="auto"/>
        </w:rPr>
        <w:t xml:space="preserve">Walls </w:t>
      </w:r>
      <w:r w:rsidR="00E433B7" w:rsidRPr="00EC1DF5">
        <w:rPr>
          <w:i/>
          <w:color w:val="auto"/>
        </w:rPr>
        <w:t>et al</w:t>
      </w:r>
      <w:r w:rsidR="00E433B7" w:rsidRPr="00EC1DF5">
        <w:rPr>
          <w:color w:val="auto"/>
        </w:rPr>
        <w:t xml:space="preserve">. (2012) strongly argue that one theory is inadequate in explaining the integration of social objectives and targets in exploring corporate strategic goals. </w:t>
      </w:r>
      <w:r w:rsidRPr="00EC1DF5">
        <w:rPr>
          <w:color w:val="auto"/>
        </w:rPr>
        <w:t xml:space="preserve">For instance, the underlying reasons why organisations utilise CSR committees </w:t>
      </w:r>
      <w:r w:rsidRPr="00EC1DF5">
        <w:rPr>
          <w:color w:val="auto"/>
        </w:rPr>
        <w:lastRenderedPageBreak/>
        <w:t xml:space="preserve">is not implicitly clear </w:t>
      </w:r>
      <w:r w:rsidR="000D0F2A" w:rsidRPr="00EC1DF5">
        <w:rPr>
          <w:color w:val="auto"/>
        </w:rPr>
        <w:t xml:space="preserve">when assessed </w:t>
      </w:r>
      <w:r w:rsidR="00E464F8" w:rsidRPr="00EC1DF5">
        <w:rPr>
          <w:color w:val="auto"/>
        </w:rPr>
        <w:t xml:space="preserve">solely </w:t>
      </w:r>
      <w:r w:rsidR="000D0F2A" w:rsidRPr="00EC1DF5">
        <w:rPr>
          <w:color w:val="auto"/>
        </w:rPr>
        <w:t>from</w:t>
      </w:r>
      <w:r w:rsidRPr="00EC1DF5">
        <w:rPr>
          <w:color w:val="auto"/>
        </w:rPr>
        <w:t xml:space="preserve"> </w:t>
      </w:r>
      <w:r w:rsidR="000C27BD" w:rsidRPr="00EC1DF5">
        <w:rPr>
          <w:color w:val="auto"/>
        </w:rPr>
        <w:t xml:space="preserve">an </w:t>
      </w:r>
      <w:r w:rsidRPr="00EC1DF5">
        <w:rPr>
          <w:color w:val="auto"/>
        </w:rPr>
        <w:t xml:space="preserve">agency theory </w:t>
      </w:r>
      <w:r w:rsidR="000D0F2A" w:rsidRPr="00EC1DF5">
        <w:rPr>
          <w:color w:val="auto"/>
        </w:rPr>
        <w:t>viewpoint</w:t>
      </w:r>
      <w:r w:rsidRPr="00EC1DF5">
        <w:rPr>
          <w:color w:val="auto"/>
        </w:rPr>
        <w:t xml:space="preserve">. </w:t>
      </w:r>
      <w:r w:rsidR="00E433B7" w:rsidRPr="00EC1DF5">
        <w:rPr>
          <w:color w:val="auto"/>
        </w:rPr>
        <w:t xml:space="preserve">Thus, </w:t>
      </w:r>
      <w:r w:rsidRPr="00EC1DF5">
        <w:rPr>
          <w:color w:val="auto"/>
        </w:rPr>
        <w:t>further explanation and framework insight into CG-sustainability relationships is worth exploring (</w:t>
      </w:r>
      <w:proofErr w:type="spellStart"/>
      <w:r w:rsidRPr="00EC1DF5">
        <w:rPr>
          <w:color w:val="auto"/>
        </w:rPr>
        <w:t>Spitzeck</w:t>
      </w:r>
      <w:proofErr w:type="spellEnd"/>
      <w:r w:rsidRPr="00EC1DF5">
        <w:rPr>
          <w:color w:val="auto"/>
        </w:rPr>
        <w:t xml:space="preserve">, 2009; Hussain </w:t>
      </w:r>
      <w:r w:rsidRPr="00EC1DF5">
        <w:rPr>
          <w:i/>
          <w:color w:val="auto"/>
        </w:rPr>
        <w:t>et al</w:t>
      </w:r>
      <w:r w:rsidRPr="00EC1DF5">
        <w:rPr>
          <w:color w:val="auto"/>
        </w:rPr>
        <w:t xml:space="preserve">., 2018). </w:t>
      </w:r>
      <w:r w:rsidR="00E433B7" w:rsidRPr="00EC1DF5">
        <w:rPr>
          <w:color w:val="auto"/>
        </w:rPr>
        <w:t>As such</w:t>
      </w:r>
      <w:r w:rsidR="000D0F2A" w:rsidRPr="00EC1DF5">
        <w:rPr>
          <w:color w:val="auto"/>
        </w:rPr>
        <w:t>, m</w:t>
      </w:r>
      <w:r w:rsidRPr="00EC1DF5">
        <w:rPr>
          <w:color w:val="auto"/>
        </w:rPr>
        <w:t xml:space="preserve">any researchers (Gul and Leung, 2004; Fodio and Oba, 2012; </w:t>
      </w:r>
      <w:proofErr w:type="spellStart"/>
      <w:r w:rsidRPr="00EC1DF5">
        <w:rPr>
          <w:color w:val="auto"/>
        </w:rPr>
        <w:t>Amran</w:t>
      </w:r>
      <w:proofErr w:type="spellEnd"/>
      <w:r w:rsidRPr="00EC1DF5">
        <w:rPr>
          <w:color w:val="auto"/>
        </w:rPr>
        <w:t xml:space="preserve"> </w:t>
      </w:r>
      <w:r w:rsidRPr="00EC1DF5">
        <w:rPr>
          <w:i/>
          <w:color w:val="auto"/>
        </w:rPr>
        <w:t>et al</w:t>
      </w:r>
      <w:r w:rsidRPr="00EC1DF5">
        <w:rPr>
          <w:color w:val="auto"/>
        </w:rPr>
        <w:t xml:space="preserve">., 2014; Post </w:t>
      </w:r>
      <w:r w:rsidRPr="00EC1DF5">
        <w:rPr>
          <w:i/>
          <w:color w:val="auto"/>
        </w:rPr>
        <w:t>et al</w:t>
      </w:r>
      <w:r w:rsidRPr="00EC1DF5">
        <w:rPr>
          <w:color w:val="auto"/>
        </w:rPr>
        <w:t xml:space="preserve">., 2014) </w:t>
      </w:r>
      <w:r w:rsidR="000D0F2A" w:rsidRPr="00EC1DF5">
        <w:rPr>
          <w:color w:val="auto"/>
        </w:rPr>
        <w:t>employ</w:t>
      </w:r>
      <w:r w:rsidRPr="00EC1DF5">
        <w:rPr>
          <w:color w:val="auto"/>
        </w:rPr>
        <w:t xml:space="preserve"> more than one theory in </w:t>
      </w:r>
      <w:r w:rsidR="00E433B7" w:rsidRPr="00EC1DF5">
        <w:rPr>
          <w:color w:val="auto"/>
        </w:rPr>
        <w:t>their CG-sustainability studies.</w:t>
      </w:r>
      <w:r w:rsidRPr="00EC1DF5">
        <w:rPr>
          <w:color w:val="auto"/>
        </w:rPr>
        <w:t xml:space="preserve"> </w:t>
      </w:r>
      <w:r w:rsidR="005670CB" w:rsidRPr="00EC1DF5">
        <w:rPr>
          <w:color w:val="auto"/>
        </w:rPr>
        <w:t>One of the</w:t>
      </w:r>
      <w:r w:rsidR="00053BFC" w:rsidRPr="00EC1DF5">
        <w:rPr>
          <w:color w:val="auto"/>
        </w:rPr>
        <w:t xml:space="preserve"> generally accepted theor</w:t>
      </w:r>
      <w:r w:rsidR="00504A6D" w:rsidRPr="00EC1DF5">
        <w:rPr>
          <w:color w:val="auto"/>
        </w:rPr>
        <w:t>ies</w:t>
      </w:r>
      <w:r w:rsidR="00053BFC" w:rsidRPr="00EC1DF5">
        <w:rPr>
          <w:color w:val="auto"/>
        </w:rPr>
        <w:t xml:space="preserve"> used in </w:t>
      </w:r>
      <w:r w:rsidR="005670CB" w:rsidRPr="00EC1DF5">
        <w:rPr>
          <w:color w:val="auto"/>
        </w:rPr>
        <w:t xml:space="preserve">elucidating the </w:t>
      </w:r>
      <w:r w:rsidR="00E433B7" w:rsidRPr="00EC1DF5">
        <w:rPr>
          <w:color w:val="auto"/>
        </w:rPr>
        <w:t>said relationship</w:t>
      </w:r>
      <w:r w:rsidR="00504A6D" w:rsidRPr="00EC1DF5">
        <w:rPr>
          <w:color w:val="auto"/>
        </w:rPr>
        <w:t xml:space="preserve"> is the stakeholder theory. </w:t>
      </w:r>
      <w:r w:rsidR="00053BFC" w:rsidRPr="00EC1DF5">
        <w:rPr>
          <w:color w:val="auto"/>
        </w:rPr>
        <w:t xml:space="preserve">In fact, stakeholder theory has gained massive attention from researchers due to its </w:t>
      </w:r>
      <w:r w:rsidR="006B7841" w:rsidRPr="00EC1DF5">
        <w:rPr>
          <w:color w:val="auto"/>
        </w:rPr>
        <w:t xml:space="preserve">focus on </w:t>
      </w:r>
      <w:r w:rsidR="00560D51" w:rsidRPr="00EC1DF5">
        <w:rPr>
          <w:color w:val="auto"/>
        </w:rPr>
        <w:t>preventi</w:t>
      </w:r>
      <w:r w:rsidR="006B7841" w:rsidRPr="00EC1DF5">
        <w:rPr>
          <w:color w:val="auto"/>
        </w:rPr>
        <w:t>ng</w:t>
      </w:r>
      <w:r w:rsidR="00560D51" w:rsidRPr="00EC1DF5">
        <w:rPr>
          <w:color w:val="auto"/>
        </w:rPr>
        <w:t xml:space="preserve"> </w:t>
      </w:r>
      <w:r w:rsidR="00053BFC" w:rsidRPr="00EC1DF5">
        <w:rPr>
          <w:color w:val="auto"/>
        </w:rPr>
        <w:t>managerial opportunism and conflicting interests</w:t>
      </w:r>
      <w:r w:rsidRPr="00EC1DF5">
        <w:rPr>
          <w:color w:val="auto"/>
        </w:rPr>
        <w:t xml:space="preserve"> (</w:t>
      </w:r>
      <w:proofErr w:type="spellStart"/>
      <w:r w:rsidRPr="00EC1DF5">
        <w:rPr>
          <w:color w:val="auto"/>
        </w:rPr>
        <w:t>Michelon</w:t>
      </w:r>
      <w:proofErr w:type="spellEnd"/>
      <w:r w:rsidRPr="00EC1DF5">
        <w:rPr>
          <w:color w:val="auto"/>
        </w:rPr>
        <w:t xml:space="preserve"> and </w:t>
      </w:r>
      <w:proofErr w:type="spellStart"/>
      <w:r w:rsidRPr="00EC1DF5">
        <w:rPr>
          <w:color w:val="auto"/>
        </w:rPr>
        <w:t>Parbonetti</w:t>
      </w:r>
      <w:proofErr w:type="spellEnd"/>
      <w:r w:rsidRPr="00EC1DF5">
        <w:rPr>
          <w:color w:val="auto"/>
        </w:rPr>
        <w:t>, 2012)</w:t>
      </w:r>
      <w:r w:rsidR="00504A6D" w:rsidRPr="00EC1DF5">
        <w:rPr>
          <w:color w:val="auto"/>
        </w:rPr>
        <w:t xml:space="preserve"> while highlighting the needs of stakeholders (Freeman, 1984; Hill and Jones, 1992; Donaldson and Preston, 1995).</w:t>
      </w:r>
      <w:r w:rsidRPr="00EC1DF5">
        <w:rPr>
          <w:color w:val="auto"/>
        </w:rPr>
        <w:t xml:space="preserve"> </w:t>
      </w:r>
    </w:p>
    <w:p w14:paraId="5D1F27F4" w14:textId="13F73E35" w:rsidR="00F853D7" w:rsidRPr="00EC1DF5" w:rsidRDefault="005F0338" w:rsidP="00A114E8">
      <w:pPr>
        <w:spacing w:line="480" w:lineRule="auto"/>
        <w:ind w:firstLine="720"/>
        <w:jc w:val="both"/>
        <w:rPr>
          <w:color w:val="auto"/>
        </w:rPr>
      </w:pPr>
      <w:r w:rsidRPr="00EC1DF5">
        <w:rPr>
          <w:color w:val="auto"/>
        </w:rPr>
        <w:t>Utilising</w:t>
      </w:r>
      <w:r w:rsidR="00866D45" w:rsidRPr="00EC1DF5">
        <w:rPr>
          <w:color w:val="auto"/>
        </w:rPr>
        <w:t xml:space="preserve"> stakeholder theory</w:t>
      </w:r>
      <w:r w:rsidR="00A638E4" w:rsidRPr="00EC1DF5">
        <w:rPr>
          <w:color w:val="auto"/>
        </w:rPr>
        <w:t xml:space="preserve"> </w:t>
      </w:r>
      <w:r w:rsidRPr="00EC1DF5">
        <w:rPr>
          <w:color w:val="auto"/>
        </w:rPr>
        <w:t xml:space="preserve">together </w:t>
      </w:r>
      <w:r w:rsidR="00866D45" w:rsidRPr="00EC1DF5">
        <w:rPr>
          <w:color w:val="auto"/>
        </w:rPr>
        <w:t>with agency theory ultimately provide</w:t>
      </w:r>
      <w:r w:rsidR="00A638E4" w:rsidRPr="00EC1DF5">
        <w:rPr>
          <w:color w:val="auto"/>
        </w:rPr>
        <w:t>s</w:t>
      </w:r>
      <w:r w:rsidR="00866D45" w:rsidRPr="00EC1DF5">
        <w:rPr>
          <w:color w:val="auto"/>
        </w:rPr>
        <w:t xml:space="preserve"> the </w:t>
      </w:r>
      <w:r w:rsidRPr="00EC1DF5">
        <w:rPr>
          <w:color w:val="auto"/>
        </w:rPr>
        <w:t xml:space="preserve">theoretical </w:t>
      </w:r>
      <w:r w:rsidR="00866D45" w:rsidRPr="00EC1DF5">
        <w:rPr>
          <w:color w:val="auto"/>
        </w:rPr>
        <w:t xml:space="preserve">platform to explain the relationship from all possible perspectives </w:t>
      </w:r>
      <w:r w:rsidR="00E603B2" w:rsidRPr="00EC1DF5">
        <w:rPr>
          <w:color w:val="auto"/>
        </w:rPr>
        <w:t>due to</w:t>
      </w:r>
      <w:r w:rsidR="00866D45" w:rsidRPr="00EC1DF5">
        <w:rPr>
          <w:color w:val="auto"/>
        </w:rPr>
        <w:t xml:space="preserve"> </w:t>
      </w:r>
      <w:r w:rsidR="000C27BD" w:rsidRPr="00EC1DF5">
        <w:rPr>
          <w:color w:val="auto"/>
        </w:rPr>
        <w:t xml:space="preserve">the </w:t>
      </w:r>
      <w:r w:rsidR="00866D45" w:rsidRPr="00EC1DF5">
        <w:rPr>
          <w:color w:val="auto"/>
        </w:rPr>
        <w:t xml:space="preserve">recent increase in stakeholder pressure </w:t>
      </w:r>
      <w:r w:rsidR="000C27BD" w:rsidRPr="00EC1DF5">
        <w:rPr>
          <w:color w:val="auto"/>
        </w:rPr>
        <w:t xml:space="preserve">on </w:t>
      </w:r>
      <w:r w:rsidR="00560D51" w:rsidRPr="00EC1DF5">
        <w:rPr>
          <w:color w:val="auto"/>
        </w:rPr>
        <w:t>sustainable businesses</w:t>
      </w:r>
      <w:r w:rsidR="00866D45" w:rsidRPr="00EC1DF5">
        <w:rPr>
          <w:color w:val="auto"/>
        </w:rPr>
        <w:t xml:space="preserve">. Furthermore, stakeholders have increased their need for information transparency on organisational activities, </w:t>
      </w:r>
      <w:r w:rsidR="00E603B2" w:rsidRPr="00EC1DF5">
        <w:rPr>
          <w:color w:val="auto"/>
        </w:rPr>
        <w:t xml:space="preserve">thus making </w:t>
      </w:r>
      <w:r w:rsidR="00866D45" w:rsidRPr="00EC1DF5">
        <w:rPr>
          <w:color w:val="auto"/>
        </w:rPr>
        <w:t xml:space="preserve">stakeholder theory the appropriate lens </w:t>
      </w:r>
      <w:r w:rsidR="000C27BD" w:rsidRPr="00EC1DF5">
        <w:rPr>
          <w:color w:val="auto"/>
        </w:rPr>
        <w:t xml:space="preserve">with which </w:t>
      </w:r>
      <w:r w:rsidR="00866D45" w:rsidRPr="00EC1DF5">
        <w:rPr>
          <w:color w:val="auto"/>
        </w:rPr>
        <w:t xml:space="preserve">to </w:t>
      </w:r>
      <w:r w:rsidR="00560D51" w:rsidRPr="00EC1DF5">
        <w:rPr>
          <w:color w:val="auto"/>
        </w:rPr>
        <w:t>view</w:t>
      </w:r>
      <w:r w:rsidR="00866D45" w:rsidRPr="00EC1DF5">
        <w:rPr>
          <w:color w:val="auto"/>
        </w:rPr>
        <w:t xml:space="preserve"> </w:t>
      </w:r>
      <w:r w:rsidR="00E603B2" w:rsidRPr="00EC1DF5">
        <w:rPr>
          <w:color w:val="auto"/>
        </w:rPr>
        <w:t>the CG-sustainability link</w:t>
      </w:r>
      <w:r w:rsidR="00866D45" w:rsidRPr="00EC1DF5">
        <w:rPr>
          <w:color w:val="auto"/>
        </w:rPr>
        <w:t xml:space="preserve"> (</w:t>
      </w:r>
      <w:proofErr w:type="spellStart"/>
      <w:r w:rsidR="00866D45" w:rsidRPr="00EC1DF5">
        <w:rPr>
          <w:color w:val="auto"/>
        </w:rPr>
        <w:t>Haniffa</w:t>
      </w:r>
      <w:proofErr w:type="spellEnd"/>
      <w:r w:rsidR="00866D45" w:rsidRPr="00EC1DF5">
        <w:rPr>
          <w:color w:val="auto"/>
        </w:rPr>
        <w:t xml:space="preserve"> and Cooke, 2005; Fernandez-</w:t>
      </w:r>
      <w:proofErr w:type="spellStart"/>
      <w:r w:rsidR="00866D45" w:rsidRPr="00EC1DF5">
        <w:rPr>
          <w:color w:val="auto"/>
        </w:rPr>
        <w:t>Feijoo</w:t>
      </w:r>
      <w:proofErr w:type="spellEnd"/>
      <w:r w:rsidR="00866D45" w:rsidRPr="00EC1DF5">
        <w:rPr>
          <w:color w:val="auto"/>
        </w:rPr>
        <w:t xml:space="preserve"> </w:t>
      </w:r>
      <w:r w:rsidR="00866D45" w:rsidRPr="00EC1DF5">
        <w:rPr>
          <w:i/>
          <w:color w:val="auto"/>
        </w:rPr>
        <w:t>et al</w:t>
      </w:r>
      <w:r w:rsidR="00866D45" w:rsidRPr="00EC1DF5">
        <w:rPr>
          <w:color w:val="auto"/>
        </w:rPr>
        <w:t xml:space="preserve">., 2012). </w:t>
      </w:r>
      <w:r w:rsidR="00560D51" w:rsidRPr="00EC1DF5">
        <w:rPr>
          <w:color w:val="auto"/>
        </w:rPr>
        <w:t xml:space="preserve">In the same vein, </w:t>
      </w:r>
      <w:r w:rsidR="00E603B2" w:rsidRPr="00EC1DF5">
        <w:rPr>
          <w:color w:val="auto"/>
        </w:rPr>
        <w:t>because directors are primary stakehold</w:t>
      </w:r>
      <w:r w:rsidR="0008265F" w:rsidRPr="00EC1DF5">
        <w:rPr>
          <w:color w:val="auto"/>
        </w:rPr>
        <w:t>ers</w:t>
      </w:r>
      <w:r w:rsidR="00E603B2" w:rsidRPr="00EC1DF5">
        <w:rPr>
          <w:color w:val="auto"/>
        </w:rPr>
        <w:t xml:space="preserve">, </w:t>
      </w:r>
      <w:r w:rsidR="00866D45" w:rsidRPr="00EC1DF5">
        <w:rPr>
          <w:color w:val="auto"/>
        </w:rPr>
        <w:t xml:space="preserve">they are responsible for aligning managers and shareholders’ interests </w:t>
      </w:r>
      <w:r w:rsidR="00560D51" w:rsidRPr="00EC1DF5">
        <w:rPr>
          <w:color w:val="auto"/>
        </w:rPr>
        <w:t>a</w:t>
      </w:r>
      <w:r w:rsidR="0008265F" w:rsidRPr="00EC1DF5">
        <w:rPr>
          <w:color w:val="auto"/>
        </w:rPr>
        <w:t>s well as</w:t>
      </w:r>
      <w:r w:rsidR="00560D51" w:rsidRPr="00EC1DF5">
        <w:rPr>
          <w:color w:val="auto"/>
        </w:rPr>
        <w:t xml:space="preserve"> </w:t>
      </w:r>
      <w:r w:rsidR="00866D45" w:rsidRPr="00EC1DF5">
        <w:rPr>
          <w:color w:val="auto"/>
        </w:rPr>
        <w:t>the needs of other</w:t>
      </w:r>
      <w:r w:rsidR="0008265F" w:rsidRPr="00EC1DF5">
        <w:rPr>
          <w:color w:val="auto"/>
        </w:rPr>
        <w:t xml:space="preserve"> </w:t>
      </w:r>
      <w:r w:rsidR="00866D45" w:rsidRPr="00EC1DF5">
        <w:rPr>
          <w:color w:val="auto"/>
        </w:rPr>
        <w:t>stakeholder</w:t>
      </w:r>
      <w:r w:rsidR="0008265F" w:rsidRPr="00EC1DF5">
        <w:rPr>
          <w:color w:val="auto"/>
        </w:rPr>
        <w:t xml:space="preserve"> groups</w:t>
      </w:r>
      <w:r w:rsidR="00866D45" w:rsidRPr="00EC1DF5">
        <w:rPr>
          <w:color w:val="auto"/>
        </w:rPr>
        <w:t xml:space="preserve"> (Hill and Jones, 1992). </w:t>
      </w:r>
      <w:proofErr w:type="gramStart"/>
      <w:r w:rsidR="00866D45" w:rsidRPr="00EC1DF5">
        <w:rPr>
          <w:color w:val="auto"/>
        </w:rPr>
        <w:t xml:space="preserve">By </w:t>
      </w:r>
      <w:r w:rsidR="0099213B" w:rsidRPr="00EC1DF5">
        <w:rPr>
          <w:color w:val="auto"/>
        </w:rPr>
        <w:t xml:space="preserve">doing so, </w:t>
      </w:r>
      <w:r w:rsidR="00866D45" w:rsidRPr="00EC1DF5">
        <w:rPr>
          <w:color w:val="auto"/>
        </w:rPr>
        <w:t>there</w:t>
      </w:r>
      <w:proofErr w:type="gramEnd"/>
      <w:r w:rsidR="00866D45" w:rsidRPr="00EC1DF5">
        <w:rPr>
          <w:color w:val="auto"/>
        </w:rPr>
        <w:t xml:space="preserve"> is </w:t>
      </w:r>
      <w:r w:rsidR="0099213B" w:rsidRPr="00EC1DF5">
        <w:rPr>
          <w:color w:val="auto"/>
        </w:rPr>
        <w:t xml:space="preserve">great possibility </w:t>
      </w:r>
      <w:r w:rsidR="0008265F" w:rsidRPr="00EC1DF5">
        <w:rPr>
          <w:color w:val="auto"/>
        </w:rPr>
        <w:t>for effective governance while</w:t>
      </w:r>
      <w:r w:rsidR="0099213B" w:rsidRPr="00EC1DF5">
        <w:rPr>
          <w:color w:val="auto"/>
        </w:rPr>
        <w:t xml:space="preserve"> forg</w:t>
      </w:r>
      <w:r w:rsidR="0008265F" w:rsidRPr="00EC1DF5">
        <w:rPr>
          <w:color w:val="auto"/>
        </w:rPr>
        <w:t>ing</w:t>
      </w:r>
      <w:r w:rsidR="0099213B" w:rsidRPr="00EC1DF5">
        <w:rPr>
          <w:color w:val="auto"/>
        </w:rPr>
        <w:t xml:space="preserve"> </w:t>
      </w:r>
      <w:r w:rsidR="00FD67A7" w:rsidRPr="00EC1DF5">
        <w:rPr>
          <w:color w:val="auto"/>
        </w:rPr>
        <w:t xml:space="preserve">a </w:t>
      </w:r>
      <w:r w:rsidR="00866D45" w:rsidRPr="00EC1DF5">
        <w:rPr>
          <w:color w:val="auto"/>
        </w:rPr>
        <w:t>strengthened relationship between firms and</w:t>
      </w:r>
      <w:r w:rsidR="0099213B" w:rsidRPr="00EC1DF5">
        <w:rPr>
          <w:color w:val="auto"/>
        </w:rPr>
        <w:t xml:space="preserve"> </w:t>
      </w:r>
      <w:r w:rsidR="00866D45" w:rsidRPr="00EC1DF5">
        <w:rPr>
          <w:color w:val="auto"/>
        </w:rPr>
        <w:t>stakeholders (</w:t>
      </w:r>
      <w:proofErr w:type="spellStart"/>
      <w:r w:rsidR="00866D45" w:rsidRPr="00EC1DF5">
        <w:rPr>
          <w:color w:val="auto"/>
        </w:rPr>
        <w:t>Michelon</w:t>
      </w:r>
      <w:proofErr w:type="spellEnd"/>
      <w:r w:rsidR="00866D45" w:rsidRPr="00EC1DF5">
        <w:rPr>
          <w:color w:val="auto"/>
        </w:rPr>
        <w:t xml:space="preserve"> and </w:t>
      </w:r>
      <w:proofErr w:type="spellStart"/>
      <w:r w:rsidR="00866D45" w:rsidRPr="00EC1DF5">
        <w:rPr>
          <w:color w:val="auto"/>
        </w:rPr>
        <w:t>Parbonetti</w:t>
      </w:r>
      <w:proofErr w:type="spellEnd"/>
      <w:r w:rsidR="00866D45" w:rsidRPr="00EC1DF5">
        <w:rPr>
          <w:color w:val="auto"/>
        </w:rPr>
        <w:t xml:space="preserve">, 2012). </w:t>
      </w:r>
      <w:r w:rsidRPr="00EC1DF5">
        <w:rPr>
          <w:color w:val="auto"/>
        </w:rPr>
        <w:t>O</w:t>
      </w:r>
      <w:r w:rsidR="00F853D7" w:rsidRPr="00EC1DF5">
        <w:rPr>
          <w:color w:val="auto"/>
        </w:rPr>
        <w:t xml:space="preserve">ur theoretical framework is </w:t>
      </w:r>
      <w:r w:rsidR="00EF38CF" w:rsidRPr="00EC1DF5">
        <w:rPr>
          <w:color w:val="auto"/>
        </w:rPr>
        <w:t xml:space="preserve">therefore </w:t>
      </w:r>
      <w:r w:rsidR="00F853D7" w:rsidRPr="00EC1DF5">
        <w:rPr>
          <w:color w:val="auto"/>
        </w:rPr>
        <w:t>developed on th</w:t>
      </w:r>
      <w:r w:rsidR="0097212B" w:rsidRPr="00EC1DF5">
        <w:rPr>
          <w:color w:val="auto"/>
        </w:rPr>
        <w:t>e</w:t>
      </w:r>
      <w:r w:rsidR="00F853D7" w:rsidRPr="00EC1DF5">
        <w:rPr>
          <w:color w:val="auto"/>
        </w:rPr>
        <w:t xml:space="preserve"> premise that directors ar</w:t>
      </w:r>
      <w:r w:rsidR="00EF38CF" w:rsidRPr="00EC1DF5">
        <w:rPr>
          <w:color w:val="auto"/>
        </w:rPr>
        <w:t xml:space="preserve">e responsible for developing </w:t>
      </w:r>
      <w:r w:rsidR="00F853D7" w:rsidRPr="00EC1DF5">
        <w:rPr>
          <w:color w:val="auto"/>
        </w:rPr>
        <w:t xml:space="preserve">activities from </w:t>
      </w:r>
      <w:r w:rsidR="00EF38CF" w:rsidRPr="00EC1DF5">
        <w:rPr>
          <w:color w:val="auto"/>
        </w:rPr>
        <w:t>both</w:t>
      </w:r>
      <w:r w:rsidR="00F853D7" w:rsidRPr="00EC1DF5">
        <w:rPr>
          <w:color w:val="auto"/>
        </w:rPr>
        <w:t xml:space="preserve"> agency and stakeholder </w:t>
      </w:r>
      <w:r w:rsidR="00EF38CF" w:rsidRPr="00EC1DF5">
        <w:rPr>
          <w:color w:val="auto"/>
        </w:rPr>
        <w:t xml:space="preserve">perspectives </w:t>
      </w:r>
      <w:r w:rsidR="00F853D7" w:rsidRPr="00EC1DF5">
        <w:rPr>
          <w:color w:val="auto"/>
        </w:rPr>
        <w:t xml:space="preserve">in the </w:t>
      </w:r>
      <w:r w:rsidR="00EF38CF" w:rsidRPr="00EC1DF5">
        <w:rPr>
          <w:color w:val="auto"/>
        </w:rPr>
        <w:t>CG-sustainability relationship</w:t>
      </w:r>
      <w:r w:rsidRPr="00EC1DF5">
        <w:rPr>
          <w:color w:val="auto"/>
        </w:rPr>
        <w:t xml:space="preserve"> (Hussain </w:t>
      </w:r>
      <w:r w:rsidRPr="00EC1DF5">
        <w:rPr>
          <w:i/>
          <w:color w:val="auto"/>
        </w:rPr>
        <w:t>et al</w:t>
      </w:r>
      <w:r w:rsidRPr="00EC1DF5">
        <w:rPr>
          <w:color w:val="auto"/>
        </w:rPr>
        <w:t>., 2018).</w:t>
      </w:r>
    </w:p>
    <w:p w14:paraId="65488A78" w14:textId="77777777" w:rsidR="00B7587B" w:rsidRPr="00EC1DF5" w:rsidRDefault="00B7587B" w:rsidP="00A77CCC">
      <w:pPr>
        <w:spacing w:line="480" w:lineRule="auto"/>
        <w:jc w:val="both"/>
        <w:rPr>
          <w:color w:val="auto"/>
        </w:rPr>
      </w:pPr>
    </w:p>
    <w:p w14:paraId="2DEB1A72" w14:textId="327EAE08" w:rsidR="00A77CCC" w:rsidRPr="00EC1DF5" w:rsidRDefault="00A25BE1" w:rsidP="00257611">
      <w:pPr>
        <w:pStyle w:val="Heading2"/>
        <w:spacing w:line="480" w:lineRule="auto"/>
        <w:rPr>
          <w:color w:val="auto"/>
        </w:rPr>
      </w:pPr>
      <w:r w:rsidRPr="00EC1DF5">
        <w:rPr>
          <w:rFonts w:ascii="Times New Roman" w:hAnsi="Times New Roman" w:cs="Times New Roman"/>
          <w:b/>
          <w:color w:val="auto"/>
          <w:sz w:val="24"/>
          <w:szCs w:val="24"/>
        </w:rPr>
        <w:lastRenderedPageBreak/>
        <w:t xml:space="preserve">2.1 </w:t>
      </w:r>
      <w:r w:rsidR="00257611" w:rsidRPr="00EC1DF5">
        <w:rPr>
          <w:rFonts w:ascii="Times New Roman" w:hAnsi="Times New Roman" w:cs="Times New Roman"/>
          <w:b/>
          <w:color w:val="auto"/>
          <w:sz w:val="24"/>
          <w:szCs w:val="24"/>
        </w:rPr>
        <w:t>Hypotheses Development</w:t>
      </w:r>
    </w:p>
    <w:p w14:paraId="4C502811" w14:textId="06602B87" w:rsidR="00866D45" w:rsidRPr="00EC1DF5" w:rsidRDefault="00A25BE1" w:rsidP="00A77CCC">
      <w:pPr>
        <w:pStyle w:val="Heading3"/>
        <w:spacing w:line="480" w:lineRule="auto"/>
        <w:rPr>
          <w:rFonts w:ascii="Times New Roman" w:hAnsi="Times New Roman" w:cs="Times New Roman"/>
          <w:bCs/>
          <w:i/>
          <w:iCs/>
          <w:color w:val="auto"/>
        </w:rPr>
      </w:pPr>
      <w:r w:rsidRPr="00EC1DF5">
        <w:rPr>
          <w:rFonts w:ascii="Times New Roman" w:hAnsi="Times New Roman" w:cs="Times New Roman"/>
          <w:bCs/>
          <w:i/>
          <w:iCs/>
          <w:color w:val="auto"/>
        </w:rPr>
        <w:t xml:space="preserve">2.1.1 </w:t>
      </w:r>
      <w:r w:rsidR="00866D45" w:rsidRPr="00EC1DF5">
        <w:rPr>
          <w:rFonts w:ascii="Times New Roman" w:hAnsi="Times New Roman" w:cs="Times New Roman"/>
          <w:bCs/>
          <w:i/>
          <w:iCs/>
          <w:color w:val="auto"/>
        </w:rPr>
        <w:t>Board Functions and Sustainability</w:t>
      </w:r>
    </w:p>
    <w:p w14:paraId="2D6573F9" w14:textId="21F28F22" w:rsidR="00A114E8" w:rsidRPr="00EC1DF5" w:rsidRDefault="00BF1A62" w:rsidP="00A77CCC">
      <w:pPr>
        <w:spacing w:line="480" w:lineRule="auto"/>
        <w:jc w:val="both"/>
        <w:rPr>
          <w:color w:val="auto"/>
        </w:rPr>
      </w:pPr>
      <w:r w:rsidRPr="00EC1DF5">
        <w:rPr>
          <w:color w:val="auto"/>
        </w:rPr>
        <w:t>T</w:t>
      </w:r>
      <w:r w:rsidR="00866D45" w:rsidRPr="00EC1DF5">
        <w:rPr>
          <w:color w:val="auto"/>
        </w:rPr>
        <w:t xml:space="preserve">he functions of the board of directors </w:t>
      </w:r>
      <w:r w:rsidR="000C27BD" w:rsidRPr="00EC1DF5">
        <w:rPr>
          <w:color w:val="auto"/>
        </w:rPr>
        <w:t xml:space="preserve">are </w:t>
      </w:r>
      <w:r w:rsidR="003A45C0" w:rsidRPr="00EC1DF5">
        <w:rPr>
          <w:color w:val="auto"/>
        </w:rPr>
        <w:t>stressed</w:t>
      </w:r>
      <w:r w:rsidR="00866D45" w:rsidRPr="00EC1DF5">
        <w:rPr>
          <w:color w:val="auto"/>
        </w:rPr>
        <w:t xml:space="preserve"> (</w:t>
      </w:r>
      <w:proofErr w:type="spellStart"/>
      <w:r w:rsidR="00866D45" w:rsidRPr="00EC1DF5">
        <w:rPr>
          <w:color w:val="auto"/>
        </w:rPr>
        <w:t>Eng</w:t>
      </w:r>
      <w:proofErr w:type="spellEnd"/>
      <w:r w:rsidR="00866D45" w:rsidRPr="00EC1DF5">
        <w:rPr>
          <w:color w:val="auto"/>
        </w:rPr>
        <w:t xml:space="preserve"> and </w:t>
      </w:r>
      <w:proofErr w:type="spellStart"/>
      <w:r w:rsidR="00866D45" w:rsidRPr="00EC1DF5">
        <w:rPr>
          <w:color w:val="auto"/>
        </w:rPr>
        <w:t>Mak</w:t>
      </w:r>
      <w:proofErr w:type="spellEnd"/>
      <w:r w:rsidR="00866D45" w:rsidRPr="00EC1DF5">
        <w:rPr>
          <w:color w:val="auto"/>
        </w:rPr>
        <w:t xml:space="preserve">, 2003; </w:t>
      </w:r>
      <w:proofErr w:type="spellStart"/>
      <w:r w:rsidR="00866D45" w:rsidRPr="00EC1DF5">
        <w:rPr>
          <w:color w:val="auto"/>
        </w:rPr>
        <w:t>Allegrini</w:t>
      </w:r>
      <w:proofErr w:type="spellEnd"/>
      <w:r w:rsidR="00866D45" w:rsidRPr="00EC1DF5">
        <w:rPr>
          <w:color w:val="auto"/>
        </w:rPr>
        <w:t xml:space="preserve"> and Greco, 2013) </w:t>
      </w:r>
      <w:r w:rsidR="000C27BD" w:rsidRPr="00EC1DF5">
        <w:rPr>
          <w:color w:val="auto"/>
        </w:rPr>
        <w:t xml:space="preserve">as </w:t>
      </w:r>
      <w:r w:rsidR="00866D45" w:rsidRPr="00EC1DF5">
        <w:rPr>
          <w:color w:val="auto"/>
        </w:rPr>
        <w:t>be</w:t>
      </w:r>
      <w:r w:rsidR="000C27BD" w:rsidRPr="00EC1DF5">
        <w:rPr>
          <w:color w:val="auto"/>
        </w:rPr>
        <w:t>ing</w:t>
      </w:r>
      <w:r w:rsidR="00866D45" w:rsidRPr="00EC1DF5">
        <w:rPr>
          <w:color w:val="auto"/>
        </w:rPr>
        <w:t xml:space="preserve"> imperative to the implementation of corporate decisions and activities. It is </w:t>
      </w:r>
      <w:r w:rsidRPr="00EC1DF5">
        <w:rPr>
          <w:color w:val="auto"/>
        </w:rPr>
        <w:t xml:space="preserve">apparent that </w:t>
      </w:r>
      <w:r w:rsidR="00C81B87" w:rsidRPr="00EC1DF5">
        <w:rPr>
          <w:color w:val="auto"/>
        </w:rPr>
        <w:t>directors</w:t>
      </w:r>
      <w:r w:rsidR="00866D45" w:rsidRPr="00EC1DF5">
        <w:rPr>
          <w:color w:val="auto"/>
        </w:rPr>
        <w:t xml:space="preserve"> contribute greatly to firms’ performance by carrying out mandated responsibilities</w:t>
      </w:r>
      <w:r w:rsidR="00204323" w:rsidRPr="00EC1DF5">
        <w:rPr>
          <w:color w:val="auto"/>
        </w:rPr>
        <w:t xml:space="preserve"> (see Ong and Lee, 2000; Kao and Cheng, 2004)</w:t>
      </w:r>
      <w:r w:rsidR="0048372A" w:rsidRPr="00EC1DF5">
        <w:rPr>
          <w:color w:val="auto"/>
        </w:rPr>
        <w:t xml:space="preserve"> required by shareholders</w:t>
      </w:r>
      <w:r w:rsidR="00866D45" w:rsidRPr="00EC1DF5">
        <w:rPr>
          <w:color w:val="auto"/>
        </w:rPr>
        <w:t xml:space="preserve">. From a legal perspective, </w:t>
      </w:r>
      <w:r w:rsidR="00596541" w:rsidRPr="00EC1DF5">
        <w:rPr>
          <w:color w:val="auto"/>
        </w:rPr>
        <w:t>directors</w:t>
      </w:r>
      <w:r w:rsidR="00866D45" w:rsidRPr="00EC1DF5">
        <w:rPr>
          <w:color w:val="auto"/>
        </w:rPr>
        <w:t xml:space="preserve"> are </w:t>
      </w:r>
      <w:r w:rsidR="0048372A" w:rsidRPr="00EC1DF5">
        <w:rPr>
          <w:color w:val="auto"/>
        </w:rPr>
        <w:t>obliged</w:t>
      </w:r>
      <w:r w:rsidR="00866D45" w:rsidRPr="00EC1DF5">
        <w:rPr>
          <w:color w:val="auto"/>
        </w:rPr>
        <w:t xml:space="preserve"> to manage and monitor managers’ roles</w:t>
      </w:r>
      <w:r w:rsidR="000C27BD" w:rsidRPr="00EC1DF5">
        <w:rPr>
          <w:color w:val="auto"/>
        </w:rPr>
        <w:t>,</w:t>
      </w:r>
      <w:r w:rsidR="00866D45" w:rsidRPr="00EC1DF5">
        <w:rPr>
          <w:color w:val="auto"/>
        </w:rPr>
        <w:t xml:space="preserve"> among other </w:t>
      </w:r>
      <w:r w:rsidR="00596541" w:rsidRPr="00EC1DF5">
        <w:rPr>
          <w:color w:val="auto"/>
        </w:rPr>
        <w:t>duties</w:t>
      </w:r>
      <w:r w:rsidR="00866D45" w:rsidRPr="00EC1DF5">
        <w:rPr>
          <w:color w:val="auto"/>
        </w:rPr>
        <w:t xml:space="preserve">. Technically, the board controls </w:t>
      </w:r>
      <w:r w:rsidR="0016391C" w:rsidRPr="00EC1DF5">
        <w:rPr>
          <w:color w:val="auto"/>
        </w:rPr>
        <w:t xml:space="preserve">the </w:t>
      </w:r>
      <w:r w:rsidR="000C27BD" w:rsidRPr="00EC1DF5">
        <w:rPr>
          <w:color w:val="auto"/>
        </w:rPr>
        <w:t xml:space="preserve">company’s </w:t>
      </w:r>
      <w:r w:rsidR="00866D45" w:rsidRPr="00EC1DF5">
        <w:rPr>
          <w:color w:val="auto"/>
        </w:rPr>
        <w:t xml:space="preserve">activities </w:t>
      </w:r>
      <w:r w:rsidR="0016391C" w:rsidRPr="00EC1DF5">
        <w:rPr>
          <w:color w:val="auto"/>
        </w:rPr>
        <w:t xml:space="preserve">while </w:t>
      </w:r>
      <w:r w:rsidR="00866D45" w:rsidRPr="00EC1DF5">
        <w:rPr>
          <w:color w:val="auto"/>
        </w:rPr>
        <w:t>ensur</w:t>
      </w:r>
      <w:r w:rsidR="003A45C0" w:rsidRPr="00EC1DF5">
        <w:rPr>
          <w:color w:val="auto"/>
        </w:rPr>
        <w:t>ing</w:t>
      </w:r>
      <w:r w:rsidR="00866D45" w:rsidRPr="00EC1DF5">
        <w:rPr>
          <w:color w:val="auto"/>
        </w:rPr>
        <w:t xml:space="preserve"> that the overarching aims </w:t>
      </w:r>
      <w:r w:rsidR="004C6A5E" w:rsidRPr="00EC1DF5">
        <w:rPr>
          <w:color w:val="auto"/>
        </w:rPr>
        <w:t>are</w:t>
      </w:r>
      <w:r w:rsidR="00866D45" w:rsidRPr="00EC1DF5">
        <w:rPr>
          <w:color w:val="auto"/>
        </w:rPr>
        <w:t xml:space="preserve"> achieved. Due to the relevance of board functions (</w:t>
      </w:r>
      <w:r w:rsidR="00921748" w:rsidRPr="00EC1DF5">
        <w:rPr>
          <w:i/>
          <w:color w:val="auto"/>
        </w:rPr>
        <w:t>BF</w:t>
      </w:r>
      <w:r w:rsidR="000C27BD" w:rsidRPr="00EC1DF5">
        <w:rPr>
          <w:color w:val="auto"/>
        </w:rPr>
        <w:t>s</w:t>
      </w:r>
      <w:r w:rsidR="00866D45" w:rsidRPr="00EC1DF5">
        <w:rPr>
          <w:color w:val="auto"/>
        </w:rPr>
        <w:t xml:space="preserve">), researchers have attempted to incorporate some of </w:t>
      </w:r>
      <w:r w:rsidR="006B7841" w:rsidRPr="00EC1DF5">
        <w:rPr>
          <w:color w:val="auto"/>
        </w:rPr>
        <w:t>their</w:t>
      </w:r>
      <w:r w:rsidR="00866D45" w:rsidRPr="00EC1DF5">
        <w:rPr>
          <w:color w:val="auto"/>
        </w:rPr>
        <w:t xml:space="preserve"> elements in</w:t>
      </w:r>
      <w:r w:rsidR="000C27BD" w:rsidRPr="00EC1DF5">
        <w:rPr>
          <w:color w:val="auto"/>
        </w:rPr>
        <w:t>to</w:t>
      </w:r>
      <w:r w:rsidR="00866D45" w:rsidRPr="00EC1DF5">
        <w:rPr>
          <w:color w:val="auto"/>
        </w:rPr>
        <w:t xml:space="preserve"> corporate governance and performance studies. </w:t>
      </w:r>
    </w:p>
    <w:p w14:paraId="17446656" w14:textId="32171ED7" w:rsidR="000A298B" w:rsidRPr="00EC1DF5" w:rsidRDefault="00C7402A" w:rsidP="000A298B">
      <w:pPr>
        <w:spacing w:line="480" w:lineRule="auto"/>
        <w:ind w:firstLine="720"/>
        <w:jc w:val="both"/>
        <w:rPr>
          <w:color w:val="auto"/>
        </w:rPr>
      </w:pPr>
      <w:bookmarkStart w:id="2" w:name="_Hlk56201172"/>
      <w:r w:rsidRPr="00EC1DF5">
        <w:rPr>
          <w:color w:val="auto"/>
        </w:rPr>
        <w:t>The environmental and financial sustainability dimension have received considerable attention from researchers (</w:t>
      </w:r>
      <w:proofErr w:type="spellStart"/>
      <w:r w:rsidRPr="00EC1DF5">
        <w:rPr>
          <w:color w:val="auto"/>
        </w:rPr>
        <w:t>e.g</w:t>
      </w:r>
      <w:proofErr w:type="spellEnd"/>
      <w:r w:rsidRPr="00EC1DF5">
        <w:rPr>
          <w:color w:val="auto"/>
        </w:rPr>
        <w:t xml:space="preserve"> Sarkis and Zhu, 2018; </w:t>
      </w:r>
      <w:proofErr w:type="spellStart"/>
      <w:r w:rsidRPr="00EC1DF5">
        <w:rPr>
          <w:color w:val="auto"/>
        </w:rPr>
        <w:t>Gliedt</w:t>
      </w:r>
      <w:proofErr w:type="spellEnd"/>
      <w:r w:rsidRPr="00EC1DF5">
        <w:rPr>
          <w:color w:val="auto"/>
        </w:rPr>
        <w:t xml:space="preserve"> </w:t>
      </w:r>
      <w:r w:rsidRPr="00EC1DF5">
        <w:rPr>
          <w:i/>
          <w:iCs/>
          <w:color w:val="auto"/>
        </w:rPr>
        <w:t>et al.,</w:t>
      </w:r>
      <w:r w:rsidRPr="00EC1DF5">
        <w:rPr>
          <w:color w:val="auto"/>
        </w:rPr>
        <w:t xml:space="preserve"> 2018) and this prompts our substantial attention to social sustainability. Social sustainability encompasses promotion of wellbeing by providing what current and future generations need to live in healthy communities (Rogers </w:t>
      </w:r>
      <w:r w:rsidRPr="00EC1DF5">
        <w:rPr>
          <w:i/>
          <w:iCs/>
          <w:color w:val="auto"/>
        </w:rPr>
        <w:t>et al.</w:t>
      </w:r>
      <w:r w:rsidRPr="00EC1DF5">
        <w:rPr>
          <w:color w:val="auto"/>
        </w:rPr>
        <w:t xml:space="preserve">, 2012). Social sustainability (i.e. a well-functioning society) is relevant to this study because it is a prerequisite to meet the new challenges of various innovations geared towards environmental and financial sustainability (Rogers </w:t>
      </w:r>
      <w:r w:rsidRPr="00EC1DF5">
        <w:rPr>
          <w:i/>
          <w:iCs/>
          <w:color w:val="auto"/>
        </w:rPr>
        <w:t>et al.,</w:t>
      </w:r>
      <w:r w:rsidRPr="00EC1DF5">
        <w:rPr>
          <w:color w:val="auto"/>
        </w:rPr>
        <w:t xml:space="preserve"> 2012). This should therefore be impacted by board function.</w:t>
      </w:r>
    </w:p>
    <w:bookmarkEnd w:id="2"/>
    <w:p w14:paraId="63E6D956" w14:textId="7000FE11" w:rsidR="006B3330" w:rsidRPr="00EC1DF5" w:rsidRDefault="6C7D105C" w:rsidP="000A298B">
      <w:pPr>
        <w:spacing w:line="480" w:lineRule="auto"/>
        <w:ind w:firstLine="720"/>
        <w:jc w:val="both"/>
        <w:rPr>
          <w:color w:val="auto"/>
        </w:rPr>
      </w:pPr>
      <w:r w:rsidRPr="00EC1DF5">
        <w:rPr>
          <w:color w:val="auto"/>
        </w:rPr>
        <w:t xml:space="preserve">Empirical literature has, however, provided contradictory results on the impact of board functions on business sustainability (Said </w:t>
      </w:r>
      <w:r w:rsidRPr="00EC1DF5">
        <w:rPr>
          <w:i/>
          <w:iCs/>
          <w:color w:val="auto"/>
        </w:rPr>
        <w:t>et al</w:t>
      </w:r>
      <w:r w:rsidRPr="00EC1DF5">
        <w:rPr>
          <w:color w:val="auto"/>
        </w:rPr>
        <w:t xml:space="preserve">., 2009; Walls </w:t>
      </w:r>
      <w:r w:rsidRPr="00EC1DF5">
        <w:rPr>
          <w:i/>
          <w:iCs/>
          <w:color w:val="auto"/>
        </w:rPr>
        <w:t>et al</w:t>
      </w:r>
      <w:r w:rsidRPr="00EC1DF5">
        <w:rPr>
          <w:color w:val="auto"/>
        </w:rPr>
        <w:t xml:space="preserve">., 2012; </w:t>
      </w:r>
      <w:proofErr w:type="spellStart"/>
      <w:r w:rsidRPr="00EC1DF5">
        <w:rPr>
          <w:color w:val="auto"/>
        </w:rPr>
        <w:t>Zagorchev</w:t>
      </w:r>
      <w:proofErr w:type="spellEnd"/>
      <w:r w:rsidRPr="00EC1DF5">
        <w:rPr>
          <w:color w:val="auto"/>
        </w:rPr>
        <w:t xml:space="preserve"> and Gao, 2015). Some researchers (</w:t>
      </w:r>
      <w:proofErr w:type="spellStart"/>
      <w:r w:rsidRPr="00EC1DF5">
        <w:rPr>
          <w:color w:val="auto"/>
        </w:rPr>
        <w:t>Eng</w:t>
      </w:r>
      <w:proofErr w:type="spellEnd"/>
      <w:r w:rsidRPr="00EC1DF5">
        <w:rPr>
          <w:color w:val="auto"/>
        </w:rPr>
        <w:t xml:space="preserve"> and </w:t>
      </w:r>
      <w:proofErr w:type="spellStart"/>
      <w:r w:rsidRPr="00EC1DF5">
        <w:rPr>
          <w:color w:val="auto"/>
        </w:rPr>
        <w:t>Mak</w:t>
      </w:r>
      <w:proofErr w:type="spellEnd"/>
      <w:r w:rsidRPr="00EC1DF5">
        <w:rPr>
          <w:color w:val="auto"/>
        </w:rPr>
        <w:t>, 2003</w:t>
      </w:r>
      <w:r w:rsidR="00E21407" w:rsidRPr="00EC1DF5">
        <w:rPr>
          <w:color w:val="auto"/>
        </w:rPr>
        <w:t xml:space="preserve">; </w:t>
      </w:r>
      <w:proofErr w:type="spellStart"/>
      <w:r w:rsidR="00E21407" w:rsidRPr="00EC1DF5">
        <w:rPr>
          <w:color w:val="auto"/>
        </w:rPr>
        <w:t>Naciti</w:t>
      </w:r>
      <w:proofErr w:type="spellEnd"/>
      <w:r w:rsidR="00E21407" w:rsidRPr="00EC1DF5">
        <w:rPr>
          <w:color w:val="auto"/>
        </w:rPr>
        <w:t>, 2019</w:t>
      </w:r>
      <w:r w:rsidRPr="00EC1DF5">
        <w:rPr>
          <w:color w:val="auto"/>
        </w:rPr>
        <w:t xml:space="preserve">) found a negative effect of greater board independence on social performance, while others (e.g. </w:t>
      </w:r>
      <w:proofErr w:type="spellStart"/>
      <w:r w:rsidRPr="00EC1DF5">
        <w:rPr>
          <w:color w:val="auto"/>
        </w:rPr>
        <w:t>McKendall</w:t>
      </w:r>
      <w:proofErr w:type="spellEnd"/>
      <w:r w:rsidRPr="00EC1DF5">
        <w:rPr>
          <w:color w:val="auto"/>
        </w:rPr>
        <w:t xml:space="preserve"> </w:t>
      </w:r>
      <w:r w:rsidRPr="00EC1DF5">
        <w:rPr>
          <w:i/>
          <w:iCs/>
          <w:color w:val="auto"/>
        </w:rPr>
        <w:t>et al</w:t>
      </w:r>
      <w:r w:rsidRPr="00EC1DF5">
        <w:rPr>
          <w:color w:val="auto"/>
        </w:rPr>
        <w:t xml:space="preserve">., 1999; Cormier </w:t>
      </w:r>
      <w:r w:rsidRPr="00EC1DF5">
        <w:rPr>
          <w:i/>
          <w:iCs/>
          <w:color w:val="auto"/>
        </w:rPr>
        <w:t>et al</w:t>
      </w:r>
      <w:r w:rsidRPr="00EC1DF5">
        <w:rPr>
          <w:color w:val="auto"/>
        </w:rPr>
        <w:t xml:space="preserve">., 2011; </w:t>
      </w:r>
      <w:proofErr w:type="spellStart"/>
      <w:r w:rsidRPr="00EC1DF5">
        <w:rPr>
          <w:color w:val="auto"/>
        </w:rPr>
        <w:t>Allegrini</w:t>
      </w:r>
      <w:proofErr w:type="spellEnd"/>
      <w:r w:rsidRPr="00EC1DF5">
        <w:rPr>
          <w:color w:val="auto"/>
        </w:rPr>
        <w:t xml:space="preserve"> and Greco, 2013) established an insignificant association between board independence and sustainability. However, despite these empirical findings, none denies the </w:t>
      </w:r>
      <w:r w:rsidRPr="00EC1DF5">
        <w:rPr>
          <w:color w:val="auto"/>
        </w:rPr>
        <w:lastRenderedPageBreak/>
        <w:t xml:space="preserve">practical and theoretical fact that board function is an integral part of business sustainability. For instance, </w:t>
      </w:r>
      <w:proofErr w:type="spellStart"/>
      <w:r w:rsidRPr="00EC1DF5">
        <w:rPr>
          <w:color w:val="auto"/>
        </w:rPr>
        <w:t>Zagorchev</w:t>
      </w:r>
      <w:proofErr w:type="spellEnd"/>
      <w:r w:rsidRPr="00EC1DF5">
        <w:rPr>
          <w:color w:val="auto"/>
        </w:rPr>
        <w:t xml:space="preserve"> and Gao (2015) revealed that board function, specifically board independence, leads to transparency and firm value enhancement. </w:t>
      </w:r>
      <w:r w:rsidR="000A298B" w:rsidRPr="00EC1DF5">
        <w:rPr>
          <w:color w:val="auto"/>
        </w:rPr>
        <w:t xml:space="preserve">Firms respond to sustainability-related issues raised by stakeholders. </w:t>
      </w:r>
      <w:r w:rsidR="001569C0" w:rsidRPr="00EC1DF5">
        <w:rPr>
          <w:color w:val="auto"/>
        </w:rPr>
        <w:t>Similarly, Burke et al. (2019) reveal a positive relationship between board-level commitment and corporate social performance</w:t>
      </w:r>
      <w:r w:rsidR="00A329C7" w:rsidRPr="00EC1DF5">
        <w:rPr>
          <w:color w:val="auto"/>
        </w:rPr>
        <w:t>.</w:t>
      </w:r>
      <w:r w:rsidR="005037FB" w:rsidRPr="00EC1DF5">
        <w:rPr>
          <w:color w:val="auto"/>
        </w:rPr>
        <w:t xml:space="preserve"> That is commitment at the board level to establish large and more independent committees with frequent meetings lead to more effective social sustainability performance.</w:t>
      </w:r>
    </w:p>
    <w:p w14:paraId="3A1E016C" w14:textId="71980753" w:rsidR="00866D45" w:rsidRPr="00EC1DF5" w:rsidRDefault="6C7D105C" w:rsidP="6C7D105C">
      <w:pPr>
        <w:spacing w:line="480" w:lineRule="auto"/>
        <w:ind w:firstLine="720"/>
        <w:jc w:val="both"/>
        <w:rPr>
          <w:color w:val="auto"/>
        </w:rPr>
      </w:pPr>
      <w:r w:rsidRPr="00EC1DF5">
        <w:rPr>
          <w:color w:val="auto"/>
        </w:rPr>
        <w:t xml:space="preserve">Other researchers (e.g. </w:t>
      </w:r>
      <w:proofErr w:type="spellStart"/>
      <w:r w:rsidRPr="00EC1DF5">
        <w:rPr>
          <w:color w:val="auto"/>
        </w:rPr>
        <w:t>Laksmana</w:t>
      </w:r>
      <w:proofErr w:type="spellEnd"/>
      <w:r w:rsidRPr="00EC1DF5">
        <w:rPr>
          <w:color w:val="auto"/>
        </w:rPr>
        <w:t xml:space="preserve">, 2008) explored the relevance of board meetings as a function of the board on firm performance and asserted that such meetings are symbols of inefficacy on the part of directors, which also limits their performance. In contrast, Lipton and Lorsch (1992) contend that frequent meetings rather ensure board effectiveness through improved supervision and transparency. Similarly, a study by </w:t>
      </w:r>
      <w:proofErr w:type="spellStart"/>
      <w:r w:rsidRPr="00EC1DF5">
        <w:rPr>
          <w:color w:val="auto"/>
        </w:rPr>
        <w:t>Ricart</w:t>
      </w:r>
      <w:proofErr w:type="spellEnd"/>
      <w:r w:rsidRPr="00EC1DF5">
        <w:rPr>
          <w:color w:val="auto"/>
        </w:rPr>
        <w:t xml:space="preserve"> </w:t>
      </w:r>
      <w:r w:rsidRPr="00EC1DF5">
        <w:rPr>
          <w:i/>
          <w:iCs/>
          <w:color w:val="auto"/>
        </w:rPr>
        <w:t>et al</w:t>
      </w:r>
      <w:r w:rsidRPr="00EC1DF5">
        <w:rPr>
          <w:color w:val="auto"/>
        </w:rPr>
        <w:t xml:space="preserve">. (2005) revealed a positive effect of board meetings on sustainability performance. Additionally, Bliss and Balachandran (2003) highlighted that board function in the form of committees is relevant and significant for sustainability disclosure and performance. These empirical findings indicate that elements of </w:t>
      </w:r>
      <w:r w:rsidRPr="00EC1DF5">
        <w:rPr>
          <w:i/>
          <w:iCs/>
          <w:color w:val="auto"/>
        </w:rPr>
        <w:t>BF</w:t>
      </w:r>
      <w:r w:rsidRPr="00EC1DF5">
        <w:rPr>
          <w:color w:val="auto"/>
        </w:rPr>
        <w:t xml:space="preserve"> are imperative to business sustainability. We therefore hypothesise that:</w:t>
      </w:r>
    </w:p>
    <w:p w14:paraId="2C295FA2" w14:textId="77777777" w:rsidR="00866D45" w:rsidRPr="00EC1DF5" w:rsidRDefault="00866D45" w:rsidP="00B9558A">
      <w:pPr>
        <w:spacing w:line="480" w:lineRule="auto"/>
        <w:jc w:val="both"/>
        <w:rPr>
          <w:i/>
          <w:color w:val="auto"/>
        </w:rPr>
      </w:pPr>
      <w:r w:rsidRPr="00EC1DF5">
        <w:rPr>
          <w:b/>
          <w:bCs/>
          <w:color w:val="auto"/>
        </w:rPr>
        <w:t>H1a:</w:t>
      </w:r>
      <w:r w:rsidRPr="00EC1DF5">
        <w:rPr>
          <w:i/>
          <w:color w:val="auto"/>
        </w:rPr>
        <w:t xml:space="preserve"> There is a significantly positive impact of board functions on environmental sustainability performance</w:t>
      </w:r>
    </w:p>
    <w:p w14:paraId="4A4683B2" w14:textId="77777777" w:rsidR="00866D45" w:rsidRPr="00EC1DF5" w:rsidRDefault="00866D45" w:rsidP="00B9558A">
      <w:pPr>
        <w:spacing w:line="480" w:lineRule="auto"/>
        <w:jc w:val="both"/>
        <w:rPr>
          <w:i/>
          <w:color w:val="auto"/>
        </w:rPr>
      </w:pPr>
      <w:r w:rsidRPr="00EC1DF5">
        <w:rPr>
          <w:b/>
          <w:bCs/>
          <w:color w:val="auto"/>
        </w:rPr>
        <w:t>H1b:</w:t>
      </w:r>
      <w:r w:rsidRPr="00EC1DF5">
        <w:rPr>
          <w:i/>
          <w:color w:val="auto"/>
        </w:rPr>
        <w:t xml:space="preserve"> There is a significantly positive impact of board functions on social sustainability performance</w:t>
      </w:r>
    </w:p>
    <w:p w14:paraId="0E372633" w14:textId="77777777" w:rsidR="00866D45" w:rsidRPr="00EC1DF5" w:rsidRDefault="00866D45" w:rsidP="00B9558A">
      <w:pPr>
        <w:spacing w:line="480" w:lineRule="auto"/>
        <w:jc w:val="both"/>
        <w:rPr>
          <w:i/>
          <w:color w:val="auto"/>
        </w:rPr>
      </w:pPr>
      <w:r w:rsidRPr="00EC1DF5">
        <w:rPr>
          <w:b/>
          <w:bCs/>
          <w:color w:val="auto"/>
        </w:rPr>
        <w:t>H1c:</w:t>
      </w:r>
      <w:r w:rsidRPr="00EC1DF5">
        <w:rPr>
          <w:i/>
          <w:color w:val="auto"/>
        </w:rPr>
        <w:t xml:space="preserve"> There is a significantly positive impact of board functions on financial sustainability performance</w:t>
      </w:r>
    </w:p>
    <w:p w14:paraId="74C12088" w14:textId="77777777" w:rsidR="00866D45" w:rsidRPr="00EC1DF5" w:rsidRDefault="00866D45" w:rsidP="00A77CCC">
      <w:pPr>
        <w:spacing w:line="480" w:lineRule="auto"/>
        <w:jc w:val="both"/>
        <w:rPr>
          <w:i/>
          <w:color w:val="auto"/>
        </w:rPr>
      </w:pPr>
    </w:p>
    <w:p w14:paraId="3009EF7A" w14:textId="7326EFC8" w:rsidR="00866D45" w:rsidRPr="00EC1DF5" w:rsidRDefault="005D6959" w:rsidP="00A77CCC">
      <w:pPr>
        <w:pStyle w:val="Heading3"/>
        <w:spacing w:line="480" w:lineRule="auto"/>
        <w:rPr>
          <w:rFonts w:ascii="Times New Roman" w:hAnsi="Times New Roman" w:cs="Times New Roman"/>
          <w:bCs/>
          <w:i/>
          <w:iCs/>
          <w:color w:val="auto"/>
        </w:rPr>
      </w:pPr>
      <w:r w:rsidRPr="00EC1DF5">
        <w:rPr>
          <w:rFonts w:ascii="Times New Roman" w:hAnsi="Times New Roman" w:cs="Times New Roman"/>
          <w:bCs/>
          <w:i/>
          <w:iCs/>
          <w:color w:val="auto"/>
        </w:rPr>
        <w:lastRenderedPageBreak/>
        <w:t xml:space="preserve">2.1.2 </w:t>
      </w:r>
      <w:r w:rsidR="00866D45" w:rsidRPr="00EC1DF5">
        <w:rPr>
          <w:rFonts w:ascii="Times New Roman" w:hAnsi="Times New Roman" w:cs="Times New Roman"/>
          <w:bCs/>
          <w:i/>
          <w:iCs/>
          <w:color w:val="auto"/>
        </w:rPr>
        <w:t>Board Structure and Sustainability</w:t>
      </w:r>
    </w:p>
    <w:p w14:paraId="0834EEB8" w14:textId="74BEB4A4" w:rsidR="00866D45" w:rsidRPr="00EC1DF5" w:rsidRDefault="263EF951" w:rsidP="263EF951">
      <w:pPr>
        <w:spacing w:line="480" w:lineRule="auto"/>
        <w:jc w:val="both"/>
        <w:rPr>
          <w:color w:val="auto"/>
        </w:rPr>
      </w:pPr>
      <w:r w:rsidRPr="00EC1DF5">
        <w:rPr>
          <w:color w:val="auto"/>
        </w:rPr>
        <w:t>Existing studies exploring board structure (</w:t>
      </w:r>
      <w:r w:rsidRPr="00EC1DF5">
        <w:rPr>
          <w:i/>
          <w:iCs/>
          <w:color w:val="auto"/>
        </w:rPr>
        <w:t>BST</w:t>
      </w:r>
      <w:r w:rsidRPr="00EC1DF5">
        <w:rPr>
          <w:color w:val="auto"/>
        </w:rPr>
        <w:t xml:space="preserve">) have focused on individual attributes such as board size, board diversity, and independent board members, among others, with inconsistent results (Husted </w:t>
      </w:r>
      <w:r w:rsidRPr="00EC1DF5">
        <w:rPr>
          <w:i/>
          <w:iCs/>
          <w:color w:val="auto"/>
        </w:rPr>
        <w:t>et al</w:t>
      </w:r>
      <w:r w:rsidRPr="00EC1DF5">
        <w:rPr>
          <w:color w:val="auto"/>
        </w:rPr>
        <w:t xml:space="preserve">., 2019). For instance, Pathan and Faff (2013) found empirical evidence that board size negatively influences corporate financial performance due to the financial costs associated with large boards’ long meetings. Furthermore, they asserted that large boards have a high tendency of encountering conflicts of interest between shareholders and executives. Large boards could also have inefficient governance systems in monitoring, communicating and decision making (Prado-Lorenzo and Garcia-Sanchez, 2010). However, the group dynamics of large boards provide the opportunity for the triple bottom line to be thoroughly analysed. Similarly, Husted </w:t>
      </w:r>
      <w:r w:rsidRPr="00EC1DF5">
        <w:rPr>
          <w:i/>
          <w:iCs/>
          <w:color w:val="auto"/>
        </w:rPr>
        <w:t>et al</w:t>
      </w:r>
      <w:r w:rsidRPr="00EC1DF5">
        <w:rPr>
          <w:color w:val="auto"/>
        </w:rPr>
        <w:t xml:space="preserve">. (2019) argue that large boards have a positive impact on sustainability disclosure due to their broader perspectives and diversity of skills. </w:t>
      </w:r>
    </w:p>
    <w:p w14:paraId="71B6C2B0" w14:textId="61975B5A" w:rsidR="00866D45" w:rsidRPr="00EC1DF5" w:rsidRDefault="1E1EEB35" w:rsidP="1E1EEB35">
      <w:pPr>
        <w:spacing w:line="480" w:lineRule="auto"/>
        <w:ind w:firstLine="720"/>
        <w:jc w:val="both"/>
        <w:rPr>
          <w:color w:val="auto"/>
        </w:rPr>
      </w:pPr>
      <w:r w:rsidRPr="00EC1DF5">
        <w:rPr>
          <w:color w:val="auto"/>
        </w:rPr>
        <w:t>In addition, agency theorists argue that CEOs with dual roles directly or indirectly affect the board’s ability to work in the shareholders’ interests, thus creating agency problems (</w:t>
      </w:r>
      <w:proofErr w:type="spellStart"/>
      <w:r w:rsidRPr="00EC1DF5">
        <w:rPr>
          <w:color w:val="auto"/>
        </w:rPr>
        <w:t>Rechner</w:t>
      </w:r>
      <w:proofErr w:type="spellEnd"/>
      <w:r w:rsidRPr="00EC1DF5">
        <w:rPr>
          <w:color w:val="auto"/>
        </w:rPr>
        <w:t xml:space="preserve"> and Dalton, 1991). Though a few authors such as Arena </w:t>
      </w:r>
      <w:r w:rsidRPr="00EC1DF5">
        <w:rPr>
          <w:i/>
          <w:iCs/>
          <w:color w:val="auto"/>
        </w:rPr>
        <w:t>et al</w:t>
      </w:r>
      <w:r w:rsidRPr="00EC1DF5">
        <w:rPr>
          <w:color w:val="auto"/>
        </w:rPr>
        <w:t xml:space="preserve">. (2014), </w:t>
      </w:r>
      <w:proofErr w:type="spellStart"/>
      <w:r w:rsidRPr="00EC1DF5">
        <w:rPr>
          <w:color w:val="auto"/>
        </w:rPr>
        <w:t>Jizi</w:t>
      </w:r>
      <w:proofErr w:type="spellEnd"/>
      <w:r w:rsidRPr="00EC1DF5">
        <w:rPr>
          <w:color w:val="auto"/>
        </w:rPr>
        <w:t xml:space="preserve"> </w:t>
      </w:r>
      <w:r w:rsidRPr="00EC1DF5">
        <w:rPr>
          <w:i/>
          <w:iCs/>
          <w:color w:val="auto"/>
        </w:rPr>
        <w:t>et al</w:t>
      </w:r>
      <w:r w:rsidRPr="00EC1DF5">
        <w:rPr>
          <w:color w:val="auto"/>
        </w:rPr>
        <w:t xml:space="preserve">. (2014) and </w:t>
      </w:r>
      <w:proofErr w:type="spellStart"/>
      <w:r w:rsidRPr="00EC1DF5">
        <w:rPr>
          <w:color w:val="auto"/>
        </w:rPr>
        <w:t>Mallin</w:t>
      </w:r>
      <w:proofErr w:type="spellEnd"/>
      <w:r w:rsidRPr="00EC1DF5">
        <w:rPr>
          <w:color w:val="auto"/>
        </w:rPr>
        <w:t xml:space="preserve"> </w:t>
      </w:r>
      <w:r w:rsidRPr="00EC1DF5">
        <w:rPr>
          <w:i/>
          <w:iCs/>
          <w:color w:val="auto"/>
        </w:rPr>
        <w:t>et al</w:t>
      </w:r>
      <w:r w:rsidRPr="00EC1DF5">
        <w:rPr>
          <w:color w:val="auto"/>
        </w:rPr>
        <w:t xml:space="preserve">. (2013) have found a positive relationship between CEO duality and environmental reporting and performance, conflicts of interest in a CEO’s dual role cannot be overlooked. In fact, according to </w:t>
      </w:r>
      <w:proofErr w:type="spellStart"/>
      <w:r w:rsidRPr="00EC1DF5">
        <w:rPr>
          <w:color w:val="auto"/>
        </w:rPr>
        <w:t>Rechner</w:t>
      </w:r>
      <w:proofErr w:type="spellEnd"/>
      <w:r w:rsidRPr="00EC1DF5">
        <w:rPr>
          <w:color w:val="auto"/>
        </w:rPr>
        <w:t xml:space="preserve"> and Dalton (1991), the independence, transparency and accountability of the board decreases massively when the CEO has a dual responsibility (</w:t>
      </w:r>
      <w:proofErr w:type="spellStart"/>
      <w:r w:rsidRPr="00EC1DF5">
        <w:rPr>
          <w:color w:val="auto"/>
        </w:rPr>
        <w:t>Michelon</w:t>
      </w:r>
      <w:proofErr w:type="spellEnd"/>
      <w:r w:rsidRPr="00EC1DF5">
        <w:rPr>
          <w:color w:val="auto"/>
        </w:rPr>
        <w:t xml:space="preserve"> and </w:t>
      </w:r>
      <w:proofErr w:type="spellStart"/>
      <w:r w:rsidRPr="00EC1DF5">
        <w:rPr>
          <w:color w:val="auto"/>
        </w:rPr>
        <w:t>Parbonetti</w:t>
      </w:r>
      <w:proofErr w:type="spellEnd"/>
      <w:r w:rsidRPr="00EC1DF5">
        <w:rPr>
          <w:color w:val="auto"/>
        </w:rPr>
        <w:t xml:space="preserve">, 2012). A plethora of studies (Liao </w:t>
      </w:r>
      <w:r w:rsidRPr="00EC1DF5">
        <w:rPr>
          <w:i/>
          <w:iCs/>
          <w:color w:val="auto"/>
        </w:rPr>
        <w:t>et al</w:t>
      </w:r>
      <w:r w:rsidRPr="00EC1DF5">
        <w:rPr>
          <w:color w:val="auto"/>
        </w:rPr>
        <w:t xml:space="preserve">., 2014; </w:t>
      </w:r>
      <w:proofErr w:type="spellStart"/>
      <w:r w:rsidRPr="00EC1DF5">
        <w:rPr>
          <w:color w:val="auto"/>
        </w:rPr>
        <w:t>Michelon</w:t>
      </w:r>
      <w:proofErr w:type="spellEnd"/>
      <w:r w:rsidRPr="00EC1DF5">
        <w:rPr>
          <w:color w:val="auto"/>
        </w:rPr>
        <w:t xml:space="preserve"> and </w:t>
      </w:r>
      <w:proofErr w:type="spellStart"/>
      <w:r w:rsidRPr="00EC1DF5">
        <w:rPr>
          <w:color w:val="auto"/>
        </w:rPr>
        <w:t>Parnonetti</w:t>
      </w:r>
      <w:proofErr w:type="spellEnd"/>
      <w:r w:rsidRPr="00EC1DF5">
        <w:rPr>
          <w:color w:val="auto"/>
        </w:rPr>
        <w:t xml:space="preserve">, 2012; </w:t>
      </w:r>
      <w:proofErr w:type="spellStart"/>
      <w:r w:rsidRPr="00EC1DF5">
        <w:rPr>
          <w:color w:val="auto"/>
        </w:rPr>
        <w:t>Buniamin</w:t>
      </w:r>
      <w:proofErr w:type="spellEnd"/>
      <w:r w:rsidRPr="00EC1DF5">
        <w:rPr>
          <w:color w:val="auto"/>
        </w:rPr>
        <w:t xml:space="preserve"> </w:t>
      </w:r>
      <w:r w:rsidRPr="00EC1DF5">
        <w:rPr>
          <w:i/>
          <w:iCs/>
          <w:color w:val="auto"/>
        </w:rPr>
        <w:t>et al</w:t>
      </w:r>
      <w:r w:rsidRPr="00EC1DF5">
        <w:rPr>
          <w:color w:val="auto"/>
        </w:rPr>
        <w:t xml:space="preserve">., 2012; Barako </w:t>
      </w:r>
      <w:r w:rsidRPr="00EC1DF5">
        <w:rPr>
          <w:i/>
          <w:iCs/>
          <w:color w:val="auto"/>
        </w:rPr>
        <w:t>et al</w:t>
      </w:r>
      <w:r w:rsidRPr="00EC1DF5">
        <w:rPr>
          <w:color w:val="auto"/>
        </w:rPr>
        <w:t xml:space="preserve">., 2006; </w:t>
      </w:r>
      <w:proofErr w:type="spellStart"/>
      <w:r w:rsidRPr="00EC1DF5">
        <w:rPr>
          <w:color w:val="auto"/>
        </w:rPr>
        <w:t>Haniffa</w:t>
      </w:r>
      <w:proofErr w:type="spellEnd"/>
      <w:r w:rsidRPr="00EC1DF5">
        <w:rPr>
          <w:color w:val="auto"/>
        </w:rPr>
        <w:t xml:space="preserve"> and Cooke, 2002) have found a negative relationship between CEO duality and performance. </w:t>
      </w:r>
    </w:p>
    <w:p w14:paraId="0B57BC79" w14:textId="691CEFCF" w:rsidR="00866D45" w:rsidRPr="00EC1DF5" w:rsidRDefault="00866D45" w:rsidP="00A114E8">
      <w:pPr>
        <w:spacing w:line="480" w:lineRule="auto"/>
        <w:ind w:firstLine="720"/>
        <w:jc w:val="both"/>
        <w:rPr>
          <w:color w:val="auto"/>
        </w:rPr>
      </w:pPr>
      <w:r w:rsidRPr="00EC1DF5">
        <w:rPr>
          <w:color w:val="auto"/>
        </w:rPr>
        <w:t xml:space="preserve">Other researchers investigating </w:t>
      </w:r>
      <w:r w:rsidR="00921748" w:rsidRPr="00EC1DF5">
        <w:rPr>
          <w:i/>
          <w:color w:val="auto"/>
        </w:rPr>
        <w:t>BST</w:t>
      </w:r>
      <w:r w:rsidRPr="00EC1DF5">
        <w:rPr>
          <w:color w:val="auto"/>
        </w:rPr>
        <w:t xml:space="preserve"> </w:t>
      </w:r>
      <w:r w:rsidR="0052229E" w:rsidRPr="00EC1DF5">
        <w:rPr>
          <w:color w:val="auto"/>
        </w:rPr>
        <w:t>also</w:t>
      </w:r>
      <w:r w:rsidRPr="00EC1DF5">
        <w:rPr>
          <w:color w:val="auto"/>
        </w:rPr>
        <w:t xml:space="preserve"> </w:t>
      </w:r>
      <w:r w:rsidR="00F54439" w:rsidRPr="00EC1DF5">
        <w:rPr>
          <w:color w:val="auto"/>
        </w:rPr>
        <w:t>examined</w:t>
      </w:r>
      <w:r w:rsidRPr="00EC1DF5">
        <w:rPr>
          <w:color w:val="auto"/>
        </w:rPr>
        <w:t xml:space="preserve"> </w:t>
      </w:r>
      <w:r w:rsidR="00F54439" w:rsidRPr="00EC1DF5">
        <w:rPr>
          <w:color w:val="auto"/>
        </w:rPr>
        <w:t xml:space="preserve">the influence of </w:t>
      </w:r>
      <w:r w:rsidRPr="00EC1DF5">
        <w:rPr>
          <w:color w:val="auto"/>
        </w:rPr>
        <w:t>board diversity (Galbreath, 2011)</w:t>
      </w:r>
      <w:r w:rsidR="00E62788" w:rsidRPr="00EC1DF5">
        <w:rPr>
          <w:color w:val="auto"/>
        </w:rPr>
        <w:t xml:space="preserve"> on firm performance</w:t>
      </w:r>
      <w:r w:rsidRPr="00EC1DF5">
        <w:rPr>
          <w:color w:val="auto"/>
        </w:rPr>
        <w:t xml:space="preserve">. It is </w:t>
      </w:r>
      <w:r w:rsidR="00F54439" w:rsidRPr="00EC1DF5">
        <w:rPr>
          <w:color w:val="auto"/>
        </w:rPr>
        <w:t xml:space="preserve">theorised </w:t>
      </w:r>
      <w:r w:rsidRPr="00EC1DF5">
        <w:rPr>
          <w:color w:val="auto"/>
        </w:rPr>
        <w:t xml:space="preserve">that the presence of women on corporate boards </w:t>
      </w:r>
      <w:r w:rsidR="004135B3" w:rsidRPr="00EC1DF5">
        <w:rPr>
          <w:color w:val="auto"/>
        </w:rPr>
        <w:t>ha</w:t>
      </w:r>
      <w:r w:rsidR="00C811A9" w:rsidRPr="00EC1DF5">
        <w:rPr>
          <w:color w:val="auto"/>
        </w:rPr>
        <w:t>s a</w:t>
      </w:r>
      <w:r w:rsidR="004135B3" w:rsidRPr="00EC1DF5">
        <w:rPr>
          <w:color w:val="auto"/>
        </w:rPr>
        <w:t xml:space="preserve"> positive </w:t>
      </w:r>
      <w:r w:rsidR="00E62788" w:rsidRPr="00EC1DF5">
        <w:rPr>
          <w:color w:val="auto"/>
        </w:rPr>
        <w:t>impact</w:t>
      </w:r>
      <w:r w:rsidR="004135B3" w:rsidRPr="00EC1DF5">
        <w:rPr>
          <w:color w:val="auto"/>
        </w:rPr>
        <w:t xml:space="preserve"> </w:t>
      </w:r>
      <w:r w:rsidRPr="00EC1DF5">
        <w:rPr>
          <w:color w:val="auto"/>
        </w:rPr>
        <w:t xml:space="preserve">on sustainability due to the different perspectives </w:t>
      </w:r>
      <w:r w:rsidR="00E62788" w:rsidRPr="00EC1DF5">
        <w:rPr>
          <w:color w:val="auto"/>
        </w:rPr>
        <w:t>they present</w:t>
      </w:r>
      <w:r w:rsidR="004135B3" w:rsidRPr="00EC1DF5">
        <w:rPr>
          <w:color w:val="auto"/>
        </w:rPr>
        <w:t xml:space="preserve"> to </w:t>
      </w:r>
      <w:r w:rsidRPr="00EC1DF5">
        <w:rPr>
          <w:color w:val="auto"/>
        </w:rPr>
        <w:lastRenderedPageBreak/>
        <w:t>enrich decision making</w:t>
      </w:r>
      <w:r w:rsidR="008D7558" w:rsidRPr="00EC1DF5">
        <w:rPr>
          <w:color w:val="auto"/>
        </w:rPr>
        <w:t xml:space="preserve"> (Carter </w:t>
      </w:r>
      <w:r w:rsidR="008D7558" w:rsidRPr="00EC1DF5">
        <w:rPr>
          <w:i/>
          <w:color w:val="auto"/>
        </w:rPr>
        <w:t>et al</w:t>
      </w:r>
      <w:r w:rsidR="008D7558" w:rsidRPr="00EC1DF5">
        <w:rPr>
          <w:color w:val="auto"/>
        </w:rPr>
        <w:t>., 2003)</w:t>
      </w:r>
      <w:r w:rsidRPr="00EC1DF5">
        <w:rPr>
          <w:color w:val="auto"/>
        </w:rPr>
        <w:t xml:space="preserve">. The interpretation of such </w:t>
      </w:r>
      <w:r w:rsidR="00C811A9" w:rsidRPr="00EC1DF5">
        <w:rPr>
          <w:color w:val="auto"/>
        </w:rPr>
        <w:t xml:space="preserve">an </w:t>
      </w:r>
      <w:r w:rsidRPr="00EC1DF5">
        <w:rPr>
          <w:color w:val="auto"/>
        </w:rPr>
        <w:t>a</w:t>
      </w:r>
      <w:r w:rsidR="00F91860" w:rsidRPr="00EC1DF5">
        <w:rPr>
          <w:color w:val="auto"/>
        </w:rPr>
        <w:t>ssertion</w:t>
      </w:r>
      <w:r w:rsidRPr="00EC1DF5">
        <w:rPr>
          <w:color w:val="auto"/>
        </w:rPr>
        <w:t xml:space="preserve"> is based on the premise that women are usually sensitive towards philanthropic initiatives and CSR in general due to their prevailing background in </w:t>
      </w:r>
      <w:r w:rsidR="00C811A9" w:rsidRPr="00EC1DF5">
        <w:rPr>
          <w:color w:val="auto"/>
        </w:rPr>
        <w:t xml:space="preserve">the </w:t>
      </w:r>
      <w:r w:rsidRPr="00EC1DF5">
        <w:rPr>
          <w:color w:val="auto"/>
        </w:rPr>
        <w:t xml:space="preserve">humanities (Williams, 2003). From </w:t>
      </w:r>
      <w:r w:rsidR="00C811A9" w:rsidRPr="00EC1DF5">
        <w:rPr>
          <w:color w:val="auto"/>
        </w:rPr>
        <w:t xml:space="preserve">a </w:t>
      </w:r>
      <w:r w:rsidRPr="00EC1DF5">
        <w:rPr>
          <w:color w:val="auto"/>
        </w:rPr>
        <w:t xml:space="preserve">stakeholder theory perspective, </w:t>
      </w:r>
      <w:r w:rsidR="00F91860" w:rsidRPr="00EC1DF5">
        <w:rPr>
          <w:color w:val="auto"/>
        </w:rPr>
        <w:t>Orji</w:t>
      </w:r>
      <w:r w:rsidR="00F54439" w:rsidRPr="00EC1DF5">
        <w:rPr>
          <w:color w:val="auto"/>
        </w:rPr>
        <w:t xml:space="preserve"> (</w:t>
      </w:r>
      <w:r w:rsidR="00F91860" w:rsidRPr="00EC1DF5">
        <w:rPr>
          <w:color w:val="auto"/>
        </w:rPr>
        <w:t xml:space="preserve">2010) </w:t>
      </w:r>
      <w:r w:rsidR="00F54439" w:rsidRPr="00EC1DF5">
        <w:rPr>
          <w:color w:val="auto"/>
        </w:rPr>
        <w:t xml:space="preserve">postulates </w:t>
      </w:r>
      <w:r w:rsidR="00F91860" w:rsidRPr="00EC1DF5">
        <w:rPr>
          <w:color w:val="auto"/>
        </w:rPr>
        <w:t xml:space="preserve">that </w:t>
      </w:r>
      <w:r w:rsidRPr="00EC1DF5">
        <w:rPr>
          <w:color w:val="auto"/>
        </w:rPr>
        <w:t xml:space="preserve">women are </w:t>
      </w:r>
      <w:r w:rsidR="00C811A9" w:rsidRPr="00EC1DF5">
        <w:rPr>
          <w:color w:val="auto"/>
        </w:rPr>
        <w:t xml:space="preserve">more </w:t>
      </w:r>
      <w:r w:rsidRPr="00EC1DF5">
        <w:rPr>
          <w:color w:val="auto"/>
        </w:rPr>
        <w:t xml:space="preserve">attracted to social issues </w:t>
      </w:r>
      <w:r w:rsidR="008D7558" w:rsidRPr="00EC1DF5">
        <w:rPr>
          <w:color w:val="auto"/>
        </w:rPr>
        <w:t>than</w:t>
      </w:r>
      <w:r w:rsidRPr="00EC1DF5">
        <w:rPr>
          <w:color w:val="auto"/>
        </w:rPr>
        <w:t xml:space="preserve"> men. Daily and Dalton (2003) further </w:t>
      </w:r>
      <w:r w:rsidR="008D7558" w:rsidRPr="00EC1DF5">
        <w:rPr>
          <w:color w:val="auto"/>
        </w:rPr>
        <w:t>suggest</w:t>
      </w:r>
      <w:r w:rsidRPr="00EC1DF5">
        <w:rPr>
          <w:color w:val="auto"/>
        </w:rPr>
        <w:t xml:space="preserve"> that women are likely to push for effective stakeholder management on the board and promote board effectiveness. Based on </w:t>
      </w:r>
      <w:r w:rsidR="00B9558A" w:rsidRPr="00EC1DF5">
        <w:rPr>
          <w:color w:val="auto"/>
        </w:rPr>
        <w:t>th</w:t>
      </w:r>
      <w:r w:rsidR="00C811A9" w:rsidRPr="00EC1DF5">
        <w:rPr>
          <w:color w:val="auto"/>
        </w:rPr>
        <w:t>is</w:t>
      </w:r>
      <w:r w:rsidR="00B9558A" w:rsidRPr="00EC1DF5">
        <w:rPr>
          <w:color w:val="auto"/>
        </w:rPr>
        <w:t xml:space="preserve"> empirical evidence</w:t>
      </w:r>
      <w:r w:rsidRPr="00EC1DF5">
        <w:rPr>
          <w:color w:val="auto"/>
        </w:rPr>
        <w:t xml:space="preserve"> regarding board structure elements, the following hypotheses are advanced:</w:t>
      </w:r>
    </w:p>
    <w:p w14:paraId="3FE61C0A" w14:textId="77777777" w:rsidR="00866D45" w:rsidRPr="00EC1DF5" w:rsidRDefault="00866D45" w:rsidP="00B9558A">
      <w:pPr>
        <w:spacing w:line="480" w:lineRule="auto"/>
        <w:jc w:val="both"/>
        <w:rPr>
          <w:i/>
          <w:color w:val="auto"/>
        </w:rPr>
      </w:pPr>
      <w:r w:rsidRPr="00EC1DF5">
        <w:rPr>
          <w:b/>
          <w:bCs/>
          <w:color w:val="auto"/>
        </w:rPr>
        <w:t>H2a</w:t>
      </w:r>
      <w:r w:rsidRPr="00EC1DF5">
        <w:rPr>
          <w:color w:val="auto"/>
        </w:rPr>
        <w:t>:</w:t>
      </w:r>
      <w:r w:rsidRPr="00EC1DF5">
        <w:rPr>
          <w:i/>
          <w:color w:val="auto"/>
        </w:rPr>
        <w:t xml:space="preserve"> There is a significantly positive impact of board structure on environmental sustainability performance</w:t>
      </w:r>
    </w:p>
    <w:p w14:paraId="79CE7A4E" w14:textId="77777777" w:rsidR="00866D45" w:rsidRPr="00EC1DF5" w:rsidRDefault="00866D45" w:rsidP="00B9558A">
      <w:pPr>
        <w:spacing w:line="480" w:lineRule="auto"/>
        <w:jc w:val="both"/>
        <w:rPr>
          <w:i/>
          <w:color w:val="auto"/>
        </w:rPr>
      </w:pPr>
      <w:r w:rsidRPr="00EC1DF5">
        <w:rPr>
          <w:b/>
          <w:bCs/>
          <w:color w:val="auto"/>
        </w:rPr>
        <w:t>H2b:</w:t>
      </w:r>
      <w:r w:rsidRPr="00EC1DF5">
        <w:rPr>
          <w:i/>
          <w:color w:val="auto"/>
        </w:rPr>
        <w:t xml:space="preserve"> There is a significantly positive impact of board structure on social sustainability performance</w:t>
      </w:r>
    </w:p>
    <w:p w14:paraId="34D10C3F" w14:textId="4A9C4171" w:rsidR="00866D45" w:rsidRPr="00EC1DF5" w:rsidRDefault="00866D45" w:rsidP="00B9558A">
      <w:pPr>
        <w:spacing w:line="480" w:lineRule="auto"/>
        <w:jc w:val="both"/>
        <w:rPr>
          <w:i/>
          <w:color w:val="auto"/>
        </w:rPr>
      </w:pPr>
      <w:r w:rsidRPr="00EC1DF5">
        <w:rPr>
          <w:b/>
          <w:bCs/>
          <w:color w:val="auto"/>
        </w:rPr>
        <w:t>H2c:</w:t>
      </w:r>
      <w:r w:rsidRPr="00EC1DF5">
        <w:rPr>
          <w:i/>
          <w:color w:val="auto"/>
        </w:rPr>
        <w:t xml:space="preserve"> There is a significantly positive impact of board structure on financial sustainability performance</w:t>
      </w:r>
    </w:p>
    <w:p w14:paraId="67877938" w14:textId="77777777" w:rsidR="005D6959" w:rsidRPr="00EC1DF5" w:rsidRDefault="005D6959" w:rsidP="00A77CCC">
      <w:pPr>
        <w:spacing w:line="480" w:lineRule="auto"/>
        <w:jc w:val="both"/>
        <w:rPr>
          <w:i/>
          <w:color w:val="auto"/>
        </w:rPr>
      </w:pPr>
    </w:p>
    <w:p w14:paraId="52CF909F" w14:textId="77777777" w:rsidR="00866D45" w:rsidRPr="00EC1DF5" w:rsidRDefault="00866D45" w:rsidP="00A77CCC">
      <w:pPr>
        <w:pStyle w:val="Heading3"/>
        <w:spacing w:line="480" w:lineRule="auto"/>
        <w:rPr>
          <w:rFonts w:ascii="Times New Roman" w:hAnsi="Times New Roman" w:cs="Times New Roman"/>
          <w:bCs/>
          <w:i/>
          <w:iCs/>
          <w:color w:val="auto"/>
        </w:rPr>
      </w:pPr>
      <w:r w:rsidRPr="00EC1DF5">
        <w:rPr>
          <w:rFonts w:ascii="Times New Roman" w:hAnsi="Times New Roman" w:cs="Times New Roman"/>
          <w:bCs/>
          <w:i/>
          <w:iCs/>
          <w:color w:val="auto"/>
        </w:rPr>
        <w:t>2.1.3 Board Compensation and Sustainability</w:t>
      </w:r>
    </w:p>
    <w:p w14:paraId="6D586A11" w14:textId="0EDAD2C5" w:rsidR="00DD37B7" w:rsidRPr="00EC1DF5" w:rsidRDefault="1E1EEB35" w:rsidP="1E1EEB35">
      <w:pPr>
        <w:spacing w:line="480" w:lineRule="auto"/>
        <w:jc w:val="both"/>
        <w:rPr>
          <w:color w:val="auto"/>
        </w:rPr>
      </w:pPr>
      <w:r w:rsidRPr="00EC1DF5">
        <w:rPr>
          <w:color w:val="auto"/>
        </w:rPr>
        <w:t>The incorporation of sustainability performance into executive compensation schemes has become a major stakeholders’ advocacy for directors. Traditionally, scholarly research indicated that providing financial incentives to executives was imperative to ensure the alignment of principal-agent interests (</w:t>
      </w:r>
      <w:proofErr w:type="spellStart"/>
      <w:r w:rsidRPr="00EC1DF5">
        <w:rPr>
          <w:color w:val="auto"/>
        </w:rPr>
        <w:t>Makri</w:t>
      </w:r>
      <w:proofErr w:type="spellEnd"/>
      <w:r w:rsidRPr="00EC1DF5">
        <w:rPr>
          <w:color w:val="auto"/>
        </w:rPr>
        <w:t xml:space="preserve"> </w:t>
      </w:r>
      <w:r w:rsidRPr="00EC1DF5">
        <w:rPr>
          <w:i/>
          <w:iCs/>
          <w:color w:val="auto"/>
        </w:rPr>
        <w:t>et al</w:t>
      </w:r>
      <w:r w:rsidRPr="00EC1DF5">
        <w:rPr>
          <w:color w:val="auto"/>
        </w:rPr>
        <w:t>., 2006; Bonner and Sprinkle, 2002). As such, many original compensation packages comprise four main elements of basic salary, bonus, stock options and long-term incentive plans (Murphy, 1999). Nevertheless, the recent call for sustainability integration into executive compensation schemes has attracted researchers (</w:t>
      </w:r>
      <w:proofErr w:type="spellStart"/>
      <w:r w:rsidRPr="00EC1DF5">
        <w:rPr>
          <w:color w:val="auto"/>
        </w:rPr>
        <w:t>Berrone</w:t>
      </w:r>
      <w:proofErr w:type="spellEnd"/>
      <w:r w:rsidRPr="00EC1DF5">
        <w:rPr>
          <w:color w:val="auto"/>
        </w:rPr>
        <w:t xml:space="preserve"> and Gomez-Mejia, 2009a; </w:t>
      </w:r>
      <w:proofErr w:type="spellStart"/>
      <w:r w:rsidRPr="00EC1DF5">
        <w:rPr>
          <w:color w:val="auto"/>
        </w:rPr>
        <w:t>Berrone</w:t>
      </w:r>
      <w:proofErr w:type="spellEnd"/>
      <w:r w:rsidRPr="00EC1DF5">
        <w:rPr>
          <w:color w:val="auto"/>
        </w:rPr>
        <w:t xml:space="preserve"> and Gomez-Mejia, 2009b; Russo and Harrison, 2005) to investigate its benefit to the bottom-line performance. </w:t>
      </w:r>
    </w:p>
    <w:p w14:paraId="7FEC10E4" w14:textId="1C8A6728" w:rsidR="00866D45" w:rsidRPr="00EC1DF5" w:rsidRDefault="00A84BF8" w:rsidP="00A114E8">
      <w:pPr>
        <w:spacing w:line="480" w:lineRule="auto"/>
        <w:ind w:firstLine="720"/>
        <w:jc w:val="both"/>
        <w:rPr>
          <w:color w:val="auto"/>
        </w:rPr>
      </w:pPr>
      <w:r w:rsidRPr="00EC1DF5">
        <w:rPr>
          <w:color w:val="auto"/>
        </w:rPr>
        <w:lastRenderedPageBreak/>
        <w:t xml:space="preserve">Studies investigating the inclusion of sustainability performance into executive compensation have yielded contrasting results. </w:t>
      </w:r>
      <w:r w:rsidR="00866D45" w:rsidRPr="00EC1DF5">
        <w:rPr>
          <w:color w:val="auto"/>
        </w:rPr>
        <w:t xml:space="preserve">For instance, Cai </w:t>
      </w:r>
      <w:r w:rsidR="00866D45" w:rsidRPr="00EC1DF5">
        <w:rPr>
          <w:i/>
          <w:color w:val="auto"/>
        </w:rPr>
        <w:t>et al</w:t>
      </w:r>
      <w:r w:rsidR="00866D45" w:rsidRPr="00EC1DF5">
        <w:rPr>
          <w:color w:val="auto"/>
        </w:rPr>
        <w:t xml:space="preserve">. (2011) and Coombs and Gilley (2005) found a negative relationship between firms’ environmental reputation and executive compensation. </w:t>
      </w:r>
      <w:r w:rsidR="00DD37B7" w:rsidRPr="00EC1DF5">
        <w:rPr>
          <w:color w:val="auto"/>
        </w:rPr>
        <w:t>On the other hand, s</w:t>
      </w:r>
      <w:r w:rsidR="00866D45" w:rsidRPr="00EC1DF5">
        <w:rPr>
          <w:color w:val="auto"/>
        </w:rPr>
        <w:t xml:space="preserve">tudies by Callan and Thomas (2011) and Mahoney and Thorne (2005) disaggregated sustainability performance into strengths and weaknesses and discovered that </w:t>
      </w:r>
      <w:r w:rsidR="001A1408" w:rsidRPr="00EC1DF5">
        <w:rPr>
          <w:color w:val="auto"/>
        </w:rPr>
        <w:t xml:space="preserve">a </w:t>
      </w:r>
      <w:r w:rsidR="00866D45" w:rsidRPr="00EC1DF5">
        <w:rPr>
          <w:color w:val="auto"/>
        </w:rPr>
        <w:t>positive relationship exist</w:t>
      </w:r>
      <w:r w:rsidR="001A1408" w:rsidRPr="00EC1DF5">
        <w:rPr>
          <w:color w:val="auto"/>
        </w:rPr>
        <w:t>s</w:t>
      </w:r>
      <w:r w:rsidR="00866D45" w:rsidRPr="00EC1DF5">
        <w:rPr>
          <w:color w:val="auto"/>
        </w:rPr>
        <w:t xml:space="preserve"> between executive compensation and sustainability performance strengths using long</w:t>
      </w:r>
      <w:r w:rsidR="001A1408" w:rsidRPr="00EC1DF5">
        <w:rPr>
          <w:color w:val="auto"/>
        </w:rPr>
        <w:t>-</w:t>
      </w:r>
      <w:r w:rsidR="00866D45" w:rsidRPr="00EC1DF5">
        <w:rPr>
          <w:color w:val="auto"/>
        </w:rPr>
        <w:t>term incentives, bonuses and stock options. The</w:t>
      </w:r>
      <w:r w:rsidR="00DD37B7" w:rsidRPr="00EC1DF5">
        <w:rPr>
          <w:color w:val="auto"/>
        </w:rPr>
        <w:t xml:space="preserve">y argued </w:t>
      </w:r>
      <w:r w:rsidR="00866D45" w:rsidRPr="00EC1DF5">
        <w:rPr>
          <w:color w:val="auto"/>
        </w:rPr>
        <w:t>that capital expenditure would increase in the short term</w:t>
      </w:r>
      <w:r w:rsidR="00DD37B7" w:rsidRPr="00EC1DF5">
        <w:rPr>
          <w:color w:val="auto"/>
        </w:rPr>
        <w:t xml:space="preserve"> though</w:t>
      </w:r>
      <w:r w:rsidR="001A1408" w:rsidRPr="00EC1DF5">
        <w:rPr>
          <w:color w:val="auto"/>
        </w:rPr>
        <w:t>,</w:t>
      </w:r>
      <w:r w:rsidR="00DD37B7" w:rsidRPr="00EC1DF5">
        <w:rPr>
          <w:color w:val="auto"/>
        </w:rPr>
        <w:t xml:space="preserve"> in the long term, financial benefits</w:t>
      </w:r>
      <w:r w:rsidR="00866D45" w:rsidRPr="00EC1DF5">
        <w:rPr>
          <w:color w:val="auto"/>
        </w:rPr>
        <w:t xml:space="preserve"> </w:t>
      </w:r>
      <w:r w:rsidR="00510BF1" w:rsidRPr="00EC1DF5">
        <w:rPr>
          <w:color w:val="auto"/>
        </w:rPr>
        <w:t>could</w:t>
      </w:r>
      <w:r w:rsidR="00DD37B7" w:rsidRPr="00EC1DF5">
        <w:rPr>
          <w:color w:val="auto"/>
        </w:rPr>
        <w:t xml:space="preserve"> be realised.</w:t>
      </w:r>
      <w:r w:rsidR="00866D45" w:rsidRPr="00EC1DF5">
        <w:rPr>
          <w:color w:val="auto"/>
        </w:rPr>
        <w:t xml:space="preserve"> </w:t>
      </w:r>
    </w:p>
    <w:p w14:paraId="24144FB9" w14:textId="0DA1922C" w:rsidR="00866D45" w:rsidRPr="00EC1DF5" w:rsidRDefault="00866D45" w:rsidP="00510BF1">
      <w:pPr>
        <w:spacing w:line="480" w:lineRule="auto"/>
        <w:ind w:firstLine="720"/>
        <w:jc w:val="both"/>
        <w:rPr>
          <w:color w:val="auto"/>
        </w:rPr>
      </w:pPr>
      <w:r w:rsidRPr="00EC1DF5">
        <w:rPr>
          <w:color w:val="auto"/>
        </w:rPr>
        <w:t xml:space="preserve">Some studies (Cordeiro and Sarkis, 2008; Eccles </w:t>
      </w:r>
      <w:r w:rsidRPr="00EC1DF5">
        <w:rPr>
          <w:i/>
          <w:color w:val="auto"/>
        </w:rPr>
        <w:t>et al</w:t>
      </w:r>
      <w:r w:rsidRPr="00EC1DF5">
        <w:rPr>
          <w:color w:val="auto"/>
        </w:rPr>
        <w:t xml:space="preserve">., 2011) </w:t>
      </w:r>
      <w:r w:rsidR="00C94496" w:rsidRPr="00EC1DF5">
        <w:rPr>
          <w:color w:val="auto"/>
        </w:rPr>
        <w:t>also investigated</w:t>
      </w:r>
      <w:r w:rsidRPr="00EC1DF5">
        <w:rPr>
          <w:color w:val="auto"/>
        </w:rPr>
        <w:t xml:space="preserve"> how sustainability </w:t>
      </w:r>
      <w:r w:rsidR="00C94496" w:rsidRPr="00EC1DF5">
        <w:rPr>
          <w:color w:val="auto"/>
        </w:rPr>
        <w:t>goals</w:t>
      </w:r>
      <w:r w:rsidRPr="00EC1DF5">
        <w:rPr>
          <w:color w:val="auto"/>
        </w:rPr>
        <w:t xml:space="preserve"> moderate the relationship between executive compensation and sustainability performance and found a positive effect. From </w:t>
      </w:r>
      <w:r w:rsidR="001A1408" w:rsidRPr="00EC1DF5">
        <w:rPr>
          <w:color w:val="auto"/>
        </w:rPr>
        <w:t xml:space="preserve">an </w:t>
      </w:r>
      <w:r w:rsidRPr="00EC1DF5">
        <w:rPr>
          <w:color w:val="auto"/>
        </w:rPr>
        <w:t xml:space="preserve">agency theory perspective (Murphy, 1999), one can </w:t>
      </w:r>
      <w:r w:rsidR="00C94496" w:rsidRPr="00EC1DF5">
        <w:rPr>
          <w:color w:val="auto"/>
        </w:rPr>
        <w:t>reason</w:t>
      </w:r>
      <w:r w:rsidRPr="00EC1DF5">
        <w:rPr>
          <w:color w:val="auto"/>
        </w:rPr>
        <w:t xml:space="preserve"> that such </w:t>
      </w:r>
      <w:r w:rsidR="001A1408" w:rsidRPr="00EC1DF5">
        <w:rPr>
          <w:color w:val="auto"/>
        </w:rPr>
        <w:t xml:space="preserve">an </w:t>
      </w:r>
      <w:r w:rsidRPr="00EC1DF5">
        <w:rPr>
          <w:color w:val="auto"/>
        </w:rPr>
        <w:t>initiative in executive compensation</w:t>
      </w:r>
      <w:r w:rsidR="00C94496" w:rsidRPr="00EC1DF5">
        <w:rPr>
          <w:color w:val="auto"/>
        </w:rPr>
        <w:t xml:space="preserve"> would critically align</w:t>
      </w:r>
      <w:r w:rsidRPr="00EC1DF5">
        <w:rPr>
          <w:color w:val="auto"/>
        </w:rPr>
        <w:t xml:space="preserve"> the interests of both executives and shareholders towards the overarching corporate goals. Russo and Harrison (2005) also investigated the influence of sustainability targets on sustainability performance, specifically environmental sustainability</w:t>
      </w:r>
      <w:r w:rsidR="001A1408" w:rsidRPr="00EC1DF5">
        <w:rPr>
          <w:color w:val="auto"/>
        </w:rPr>
        <w:t>,</w:t>
      </w:r>
      <w:r w:rsidRPr="00EC1DF5">
        <w:rPr>
          <w:color w:val="auto"/>
        </w:rPr>
        <w:t xml:space="preserve"> and discovered </w:t>
      </w:r>
      <w:r w:rsidR="009348B5" w:rsidRPr="00EC1DF5">
        <w:rPr>
          <w:color w:val="auto"/>
        </w:rPr>
        <w:t>that</w:t>
      </w:r>
      <w:r w:rsidR="001A1408" w:rsidRPr="00EC1DF5">
        <w:rPr>
          <w:color w:val="auto"/>
        </w:rPr>
        <w:t>,</w:t>
      </w:r>
      <w:r w:rsidR="009348B5" w:rsidRPr="00EC1DF5">
        <w:rPr>
          <w:color w:val="auto"/>
        </w:rPr>
        <w:t xml:space="preserve"> </w:t>
      </w:r>
      <w:r w:rsidRPr="00EC1DF5">
        <w:rPr>
          <w:color w:val="auto"/>
        </w:rPr>
        <w:t>indeed</w:t>
      </w:r>
      <w:r w:rsidR="001A1408" w:rsidRPr="00EC1DF5">
        <w:rPr>
          <w:color w:val="auto"/>
        </w:rPr>
        <w:t>,</w:t>
      </w:r>
      <w:r w:rsidRPr="00EC1DF5">
        <w:rPr>
          <w:color w:val="auto"/>
        </w:rPr>
        <w:t xml:space="preserve"> linking sustainability </w:t>
      </w:r>
      <w:r w:rsidR="006B7841" w:rsidRPr="00EC1DF5">
        <w:rPr>
          <w:color w:val="auto"/>
        </w:rPr>
        <w:t>and</w:t>
      </w:r>
      <w:r w:rsidRPr="00EC1DF5">
        <w:rPr>
          <w:color w:val="auto"/>
        </w:rPr>
        <w:t xml:space="preserve"> compensation ha</w:t>
      </w:r>
      <w:r w:rsidR="001A1408" w:rsidRPr="00EC1DF5">
        <w:rPr>
          <w:color w:val="auto"/>
        </w:rPr>
        <w:t>s a</w:t>
      </w:r>
      <w:r w:rsidRPr="00EC1DF5">
        <w:rPr>
          <w:color w:val="auto"/>
        </w:rPr>
        <w:t xml:space="preserve"> greater tendency </w:t>
      </w:r>
      <w:r w:rsidR="001A1408" w:rsidRPr="00EC1DF5">
        <w:rPr>
          <w:color w:val="auto"/>
        </w:rPr>
        <w:t xml:space="preserve">to improve </w:t>
      </w:r>
      <w:r w:rsidRPr="00EC1DF5">
        <w:rPr>
          <w:color w:val="auto"/>
        </w:rPr>
        <w:t>performance.</w:t>
      </w:r>
      <w:r w:rsidR="00510BF1" w:rsidRPr="00EC1DF5">
        <w:rPr>
          <w:color w:val="auto"/>
        </w:rPr>
        <w:t xml:space="preserve"> </w:t>
      </w:r>
      <w:r w:rsidRPr="00EC1DF5">
        <w:rPr>
          <w:color w:val="auto"/>
        </w:rPr>
        <w:t xml:space="preserve">Though traditional </w:t>
      </w:r>
      <w:r w:rsidR="009348B5" w:rsidRPr="00EC1DF5">
        <w:rPr>
          <w:color w:val="auto"/>
        </w:rPr>
        <w:t>financial incentive</w:t>
      </w:r>
      <w:r w:rsidR="001A1408" w:rsidRPr="00EC1DF5">
        <w:rPr>
          <w:color w:val="auto"/>
        </w:rPr>
        <w:t>s are</w:t>
      </w:r>
      <w:r w:rsidR="009348B5" w:rsidRPr="00EC1DF5">
        <w:rPr>
          <w:color w:val="auto"/>
        </w:rPr>
        <w:t xml:space="preserve"> relevant</w:t>
      </w:r>
      <w:r w:rsidRPr="00EC1DF5">
        <w:rPr>
          <w:color w:val="auto"/>
        </w:rPr>
        <w:t>,</w:t>
      </w:r>
      <w:r w:rsidR="009348B5" w:rsidRPr="00EC1DF5">
        <w:rPr>
          <w:color w:val="auto"/>
        </w:rPr>
        <w:t xml:space="preserve"> there is still</w:t>
      </w:r>
      <w:r w:rsidRPr="00EC1DF5">
        <w:rPr>
          <w:color w:val="auto"/>
        </w:rPr>
        <w:t xml:space="preserve"> the need to investigate further how compensation affect</w:t>
      </w:r>
      <w:r w:rsidR="001A1408" w:rsidRPr="00EC1DF5">
        <w:rPr>
          <w:color w:val="auto"/>
        </w:rPr>
        <w:t>s</w:t>
      </w:r>
      <w:r w:rsidRPr="00EC1DF5">
        <w:rPr>
          <w:color w:val="auto"/>
        </w:rPr>
        <w:t xml:space="preserve"> the </w:t>
      </w:r>
      <w:r w:rsidR="009348B5" w:rsidRPr="00EC1DF5">
        <w:rPr>
          <w:color w:val="auto"/>
        </w:rPr>
        <w:t xml:space="preserve">sustainability </w:t>
      </w:r>
      <w:r w:rsidRPr="00EC1DF5">
        <w:rPr>
          <w:color w:val="auto"/>
        </w:rPr>
        <w:t xml:space="preserve">bottom line </w:t>
      </w:r>
      <w:r w:rsidR="009348B5" w:rsidRPr="00EC1DF5">
        <w:rPr>
          <w:color w:val="auto"/>
        </w:rPr>
        <w:t>holistically</w:t>
      </w:r>
      <w:r w:rsidRPr="00EC1DF5">
        <w:rPr>
          <w:color w:val="auto"/>
        </w:rPr>
        <w:t>.</w:t>
      </w:r>
      <w:r w:rsidR="00510BF1" w:rsidRPr="00EC1DF5">
        <w:rPr>
          <w:color w:val="auto"/>
        </w:rPr>
        <w:t xml:space="preserve"> </w:t>
      </w:r>
      <w:r w:rsidRPr="00EC1DF5">
        <w:rPr>
          <w:color w:val="auto"/>
        </w:rPr>
        <w:t>We therefore hypothesise that:</w:t>
      </w:r>
    </w:p>
    <w:p w14:paraId="3A432082" w14:textId="77777777" w:rsidR="00866D45" w:rsidRPr="00EC1DF5" w:rsidRDefault="00866D45" w:rsidP="00B9558A">
      <w:pPr>
        <w:spacing w:line="480" w:lineRule="auto"/>
        <w:jc w:val="both"/>
        <w:rPr>
          <w:i/>
          <w:color w:val="auto"/>
        </w:rPr>
      </w:pPr>
      <w:r w:rsidRPr="00EC1DF5">
        <w:rPr>
          <w:b/>
          <w:bCs/>
          <w:color w:val="auto"/>
        </w:rPr>
        <w:t>H3a:</w:t>
      </w:r>
      <w:r w:rsidRPr="00EC1DF5">
        <w:rPr>
          <w:i/>
          <w:color w:val="auto"/>
        </w:rPr>
        <w:t xml:space="preserve"> There is a significantly negative impact of board compensation on environmental sustainability performance</w:t>
      </w:r>
    </w:p>
    <w:p w14:paraId="3C42ECD3" w14:textId="77777777" w:rsidR="00866D45" w:rsidRPr="00EC1DF5" w:rsidRDefault="00866D45" w:rsidP="00B9558A">
      <w:pPr>
        <w:spacing w:line="480" w:lineRule="auto"/>
        <w:jc w:val="both"/>
        <w:rPr>
          <w:i/>
          <w:color w:val="auto"/>
        </w:rPr>
      </w:pPr>
      <w:r w:rsidRPr="00EC1DF5">
        <w:rPr>
          <w:b/>
          <w:bCs/>
          <w:color w:val="auto"/>
        </w:rPr>
        <w:t>H3b:</w:t>
      </w:r>
      <w:r w:rsidRPr="00EC1DF5">
        <w:rPr>
          <w:b/>
          <w:bCs/>
          <w:i/>
          <w:color w:val="auto"/>
        </w:rPr>
        <w:t xml:space="preserve"> </w:t>
      </w:r>
      <w:r w:rsidRPr="00EC1DF5">
        <w:rPr>
          <w:i/>
          <w:color w:val="auto"/>
        </w:rPr>
        <w:t>There is a significantly negative impact of board compensation on social sustainability performance</w:t>
      </w:r>
    </w:p>
    <w:p w14:paraId="6E842D12" w14:textId="77777777" w:rsidR="00866D45" w:rsidRPr="00EC1DF5" w:rsidRDefault="00866D45" w:rsidP="00B9558A">
      <w:pPr>
        <w:spacing w:line="480" w:lineRule="auto"/>
        <w:jc w:val="both"/>
        <w:rPr>
          <w:i/>
          <w:color w:val="auto"/>
        </w:rPr>
      </w:pPr>
      <w:r w:rsidRPr="00EC1DF5">
        <w:rPr>
          <w:b/>
          <w:bCs/>
          <w:color w:val="auto"/>
        </w:rPr>
        <w:lastRenderedPageBreak/>
        <w:t>H3c:</w:t>
      </w:r>
      <w:r w:rsidRPr="00EC1DF5">
        <w:rPr>
          <w:i/>
          <w:color w:val="auto"/>
        </w:rPr>
        <w:t xml:space="preserve"> There is a significantly positive impact of board compensation on financial sustainability performance</w:t>
      </w:r>
    </w:p>
    <w:p w14:paraId="5FC2043F" w14:textId="77777777" w:rsidR="00866D45" w:rsidRPr="00EC1DF5" w:rsidRDefault="00866D45" w:rsidP="00A77CCC">
      <w:pPr>
        <w:spacing w:line="480" w:lineRule="auto"/>
        <w:jc w:val="both"/>
        <w:rPr>
          <w:i/>
          <w:color w:val="auto"/>
        </w:rPr>
      </w:pPr>
    </w:p>
    <w:p w14:paraId="3129D6B4" w14:textId="77777777" w:rsidR="00866D45" w:rsidRPr="00EC1DF5" w:rsidRDefault="00866D45" w:rsidP="00A77CCC">
      <w:pPr>
        <w:pStyle w:val="Heading3"/>
        <w:spacing w:line="480" w:lineRule="auto"/>
        <w:rPr>
          <w:rFonts w:ascii="Times New Roman" w:eastAsia="Calibri" w:hAnsi="Times New Roman" w:cs="Times New Roman"/>
          <w:bCs/>
          <w:i/>
          <w:iCs/>
          <w:color w:val="auto"/>
        </w:rPr>
      </w:pPr>
      <w:r w:rsidRPr="00EC1DF5">
        <w:rPr>
          <w:rFonts w:ascii="Times New Roman" w:eastAsia="Calibri" w:hAnsi="Times New Roman" w:cs="Times New Roman"/>
          <w:bCs/>
          <w:i/>
          <w:iCs/>
          <w:color w:val="auto"/>
        </w:rPr>
        <w:t>2.1.4 Board Strategy and Sustainability</w:t>
      </w:r>
    </w:p>
    <w:p w14:paraId="2E399CAC" w14:textId="6826BF8C" w:rsidR="00FD454C" w:rsidRPr="00EC1DF5" w:rsidRDefault="00866D45" w:rsidP="00FD454C">
      <w:pPr>
        <w:spacing w:line="480" w:lineRule="auto"/>
        <w:jc w:val="both"/>
        <w:rPr>
          <w:rFonts w:eastAsia="Calibri"/>
          <w:color w:val="auto"/>
        </w:rPr>
      </w:pPr>
      <w:r w:rsidRPr="00EC1DF5">
        <w:rPr>
          <w:rFonts w:eastAsia="Calibri"/>
          <w:color w:val="auto"/>
        </w:rPr>
        <w:t xml:space="preserve">According to Miles </w:t>
      </w:r>
      <w:r w:rsidRPr="00EC1DF5">
        <w:rPr>
          <w:rFonts w:eastAsia="Calibri"/>
          <w:i/>
          <w:color w:val="auto"/>
        </w:rPr>
        <w:t>et al</w:t>
      </w:r>
      <w:r w:rsidRPr="00EC1DF5">
        <w:rPr>
          <w:rFonts w:eastAsia="Calibri"/>
          <w:color w:val="auto"/>
        </w:rPr>
        <w:t xml:space="preserve">. (1978), advancing </w:t>
      </w:r>
      <w:r w:rsidR="00E554C5" w:rsidRPr="00EC1DF5">
        <w:rPr>
          <w:rFonts w:eastAsia="Calibri"/>
          <w:color w:val="auto"/>
        </w:rPr>
        <w:t xml:space="preserve">corporate </w:t>
      </w:r>
      <w:r w:rsidRPr="00EC1DF5">
        <w:rPr>
          <w:rFonts w:eastAsia="Calibri"/>
          <w:color w:val="auto"/>
        </w:rPr>
        <w:t>strategies</w:t>
      </w:r>
      <w:r w:rsidR="00E554C5" w:rsidRPr="00EC1DF5">
        <w:rPr>
          <w:rFonts w:eastAsia="Calibri"/>
          <w:color w:val="auto"/>
        </w:rPr>
        <w:t xml:space="preserve"> proactively</w:t>
      </w:r>
      <w:r w:rsidRPr="00EC1DF5">
        <w:rPr>
          <w:rFonts w:eastAsia="Calibri"/>
          <w:color w:val="auto"/>
        </w:rPr>
        <w:t xml:space="preserve"> is paramount to </w:t>
      </w:r>
      <w:r w:rsidR="00E554C5" w:rsidRPr="00EC1DF5">
        <w:rPr>
          <w:rFonts w:eastAsia="Calibri"/>
          <w:color w:val="auto"/>
        </w:rPr>
        <w:t>improv</w:t>
      </w:r>
      <w:r w:rsidR="00510BF1" w:rsidRPr="00EC1DF5">
        <w:rPr>
          <w:rFonts w:eastAsia="Calibri"/>
          <w:color w:val="auto"/>
        </w:rPr>
        <w:t>ing corporate</w:t>
      </w:r>
      <w:r w:rsidRPr="00EC1DF5">
        <w:rPr>
          <w:rFonts w:eastAsia="Calibri"/>
          <w:color w:val="auto"/>
        </w:rPr>
        <w:t xml:space="preserve"> reputation. Directors are responsible for </w:t>
      </w:r>
      <w:r w:rsidR="00E554C5" w:rsidRPr="00EC1DF5">
        <w:rPr>
          <w:rFonts w:eastAsia="Calibri"/>
          <w:color w:val="auto"/>
        </w:rPr>
        <w:t xml:space="preserve">the authorisation and development of such proactive </w:t>
      </w:r>
      <w:r w:rsidRPr="00EC1DF5">
        <w:rPr>
          <w:rFonts w:eastAsia="Calibri"/>
          <w:color w:val="auto"/>
        </w:rPr>
        <w:t>strateg</w:t>
      </w:r>
      <w:r w:rsidR="00E554C5" w:rsidRPr="00EC1DF5">
        <w:rPr>
          <w:rFonts w:eastAsia="Calibri"/>
          <w:color w:val="auto"/>
        </w:rPr>
        <w:t>ies</w:t>
      </w:r>
      <w:r w:rsidRPr="00EC1DF5">
        <w:rPr>
          <w:rFonts w:eastAsia="Calibri"/>
          <w:color w:val="auto"/>
        </w:rPr>
        <w:t xml:space="preserve"> (</w:t>
      </w:r>
      <w:proofErr w:type="spellStart"/>
      <w:r w:rsidRPr="00EC1DF5">
        <w:rPr>
          <w:rFonts w:eastAsia="Calibri"/>
          <w:color w:val="auto"/>
        </w:rPr>
        <w:t>Kreiken</w:t>
      </w:r>
      <w:proofErr w:type="spellEnd"/>
      <w:r w:rsidRPr="00EC1DF5">
        <w:rPr>
          <w:rFonts w:eastAsia="Calibri"/>
          <w:color w:val="auto"/>
        </w:rPr>
        <w:t xml:space="preserve">, 1985). Directors scan the environment for information using available resources to formulate strategies regarding competition and industrial changes. It is </w:t>
      </w:r>
      <w:r w:rsidR="00E554C5" w:rsidRPr="00EC1DF5">
        <w:rPr>
          <w:rFonts w:eastAsia="Calibri"/>
          <w:color w:val="auto"/>
        </w:rPr>
        <w:t>perceived</w:t>
      </w:r>
      <w:r w:rsidRPr="00EC1DF5">
        <w:rPr>
          <w:rFonts w:eastAsia="Calibri"/>
          <w:color w:val="auto"/>
        </w:rPr>
        <w:t xml:space="preserve"> that companies with </w:t>
      </w:r>
      <w:r w:rsidR="00E554C5" w:rsidRPr="00EC1DF5">
        <w:rPr>
          <w:rFonts w:eastAsia="Calibri"/>
          <w:color w:val="auto"/>
        </w:rPr>
        <w:t>enhanced</w:t>
      </w:r>
      <w:r w:rsidRPr="00EC1DF5">
        <w:rPr>
          <w:rFonts w:eastAsia="Calibri"/>
          <w:color w:val="auto"/>
        </w:rPr>
        <w:t xml:space="preserve"> </w:t>
      </w:r>
      <w:r w:rsidR="00E554C5" w:rsidRPr="00EC1DF5">
        <w:rPr>
          <w:rFonts w:eastAsia="Calibri"/>
          <w:color w:val="auto"/>
        </w:rPr>
        <w:t xml:space="preserve">long-term </w:t>
      </w:r>
      <w:r w:rsidRPr="00EC1DF5">
        <w:rPr>
          <w:rFonts w:eastAsia="Calibri"/>
          <w:color w:val="auto"/>
        </w:rPr>
        <w:t xml:space="preserve">strategies perform better than those without (Lux </w:t>
      </w:r>
      <w:r w:rsidRPr="00EC1DF5">
        <w:rPr>
          <w:rFonts w:eastAsia="Calibri"/>
          <w:i/>
          <w:color w:val="auto"/>
        </w:rPr>
        <w:t>et al</w:t>
      </w:r>
      <w:r w:rsidRPr="00EC1DF5">
        <w:rPr>
          <w:rFonts w:eastAsia="Calibri"/>
          <w:color w:val="auto"/>
        </w:rPr>
        <w:t xml:space="preserve">., 2011). </w:t>
      </w:r>
      <w:proofErr w:type="gramStart"/>
      <w:r w:rsidRPr="00EC1DF5">
        <w:rPr>
          <w:rFonts w:eastAsia="Calibri"/>
          <w:color w:val="auto"/>
        </w:rPr>
        <w:t>In order to</w:t>
      </w:r>
      <w:proofErr w:type="gramEnd"/>
      <w:r w:rsidRPr="00EC1DF5">
        <w:rPr>
          <w:rFonts w:eastAsia="Calibri"/>
          <w:color w:val="auto"/>
        </w:rPr>
        <w:t xml:space="preserve"> develop </w:t>
      </w:r>
      <w:r w:rsidR="001A1408" w:rsidRPr="00EC1DF5">
        <w:rPr>
          <w:rFonts w:eastAsia="Calibri"/>
          <w:color w:val="auto"/>
        </w:rPr>
        <w:t xml:space="preserve">a </w:t>
      </w:r>
      <w:r w:rsidRPr="00EC1DF5">
        <w:rPr>
          <w:rFonts w:eastAsia="Calibri"/>
          <w:color w:val="auto"/>
        </w:rPr>
        <w:t>strong competitive advantage, superior organisational strategies, especially those relating to corporate social responsibilities</w:t>
      </w:r>
      <w:r w:rsidR="001A1408" w:rsidRPr="00EC1DF5">
        <w:rPr>
          <w:rFonts w:eastAsia="Calibri"/>
          <w:color w:val="auto"/>
        </w:rPr>
        <w:t>,</w:t>
      </w:r>
      <w:r w:rsidRPr="00EC1DF5">
        <w:rPr>
          <w:rFonts w:eastAsia="Calibri"/>
          <w:color w:val="auto"/>
        </w:rPr>
        <w:t xml:space="preserve"> have to be advanced (Al-</w:t>
      </w:r>
      <w:proofErr w:type="spellStart"/>
      <w:r w:rsidRPr="00EC1DF5">
        <w:rPr>
          <w:rFonts w:eastAsia="Calibri"/>
          <w:color w:val="auto"/>
        </w:rPr>
        <w:t>Tuwaijri</w:t>
      </w:r>
      <w:proofErr w:type="spellEnd"/>
      <w:r w:rsidRPr="00EC1DF5">
        <w:rPr>
          <w:rFonts w:eastAsia="Calibri"/>
          <w:color w:val="auto"/>
        </w:rPr>
        <w:t xml:space="preserve"> </w:t>
      </w:r>
      <w:r w:rsidRPr="00EC1DF5">
        <w:rPr>
          <w:rFonts w:eastAsia="Calibri"/>
          <w:i/>
          <w:color w:val="auto"/>
        </w:rPr>
        <w:t>et al</w:t>
      </w:r>
      <w:r w:rsidRPr="00EC1DF5">
        <w:rPr>
          <w:rFonts w:eastAsia="Calibri"/>
          <w:color w:val="auto"/>
        </w:rPr>
        <w:t xml:space="preserve">., 2004). Two key </w:t>
      </w:r>
      <w:r w:rsidR="00A114E8" w:rsidRPr="00EC1DF5">
        <w:rPr>
          <w:rFonts w:eastAsia="Calibri"/>
          <w:color w:val="auto"/>
        </w:rPr>
        <w:t>strategies</w:t>
      </w:r>
      <w:r w:rsidR="001A1408" w:rsidRPr="00EC1DF5">
        <w:rPr>
          <w:rFonts w:eastAsia="Calibri"/>
          <w:color w:val="auto"/>
        </w:rPr>
        <w:t xml:space="preserve"> that</w:t>
      </w:r>
      <w:r w:rsidRPr="00EC1DF5">
        <w:rPr>
          <w:rFonts w:eastAsia="Calibri"/>
          <w:color w:val="auto"/>
        </w:rPr>
        <w:t xml:space="preserve"> firms have recently initiated are CSR committees and sustainability reporting following </w:t>
      </w:r>
      <w:r w:rsidR="00EE1CD2" w:rsidRPr="00EC1DF5">
        <w:rPr>
          <w:rFonts w:eastAsia="Calibri"/>
          <w:color w:val="auto"/>
        </w:rPr>
        <w:t>global reporting initiative (</w:t>
      </w:r>
      <w:r w:rsidRPr="00EC1DF5">
        <w:rPr>
          <w:rFonts w:eastAsia="Calibri"/>
          <w:color w:val="auto"/>
        </w:rPr>
        <w:t>GRI</w:t>
      </w:r>
      <w:r w:rsidR="00EE1CD2" w:rsidRPr="00EC1DF5">
        <w:rPr>
          <w:rFonts w:eastAsia="Calibri"/>
          <w:color w:val="auto"/>
        </w:rPr>
        <w:t>)</w:t>
      </w:r>
      <w:r w:rsidRPr="00EC1DF5">
        <w:rPr>
          <w:rFonts w:eastAsia="Calibri"/>
          <w:color w:val="auto"/>
        </w:rPr>
        <w:t xml:space="preserve"> guidelines. </w:t>
      </w:r>
    </w:p>
    <w:p w14:paraId="73B1861E" w14:textId="16DE92A8" w:rsidR="00866D45" w:rsidRPr="00EC1DF5" w:rsidRDefault="00866D45" w:rsidP="00FD454C">
      <w:pPr>
        <w:spacing w:line="480" w:lineRule="auto"/>
        <w:ind w:firstLine="720"/>
        <w:jc w:val="both"/>
        <w:rPr>
          <w:rFonts w:eastAsia="Calibri"/>
          <w:color w:val="auto"/>
        </w:rPr>
      </w:pPr>
      <w:r w:rsidRPr="00EC1DF5">
        <w:rPr>
          <w:rFonts w:eastAsia="Calibri"/>
          <w:color w:val="auto"/>
        </w:rPr>
        <w:t xml:space="preserve">It is proposed that the existence of a CSR committee is a symbol of the board’s commitment and orientation towards corporate sustainable development (Hussain </w:t>
      </w:r>
      <w:r w:rsidRPr="00EC1DF5">
        <w:rPr>
          <w:rFonts w:eastAsia="Calibri"/>
          <w:i/>
          <w:color w:val="auto"/>
        </w:rPr>
        <w:t>et al</w:t>
      </w:r>
      <w:r w:rsidRPr="00EC1DF5">
        <w:rPr>
          <w:rFonts w:eastAsia="Calibri"/>
          <w:color w:val="auto"/>
        </w:rPr>
        <w:t xml:space="preserve">., 2018; </w:t>
      </w:r>
      <w:proofErr w:type="spellStart"/>
      <w:r w:rsidRPr="00EC1DF5">
        <w:rPr>
          <w:rFonts w:eastAsia="Calibri"/>
          <w:color w:val="auto"/>
        </w:rPr>
        <w:t>Ricart</w:t>
      </w:r>
      <w:proofErr w:type="spellEnd"/>
      <w:r w:rsidRPr="00EC1DF5">
        <w:rPr>
          <w:rFonts w:eastAsia="Calibri"/>
          <w:color w:val="auto"/>
        </w:rPr>
        <w:t xml:space="preserve"> </w:t>
      </w:r>
      <w:r w:rsidRPr="00EC1DF5">
        <w:rPr>
          <w:rFonts w:eastAsia="Calibri"/>
          <w:i/>
          <w:color w:val="auto"/>
        </w:rPr>
        <w:t>et al</w:t>
      </w:r>
      <w:r w:rsidRPr="00EC1DF5">
        <w:rPr>
          <w:rFonts w:eastAsia="Calibri"/>
          <w:color w:val="auto"/>
        </w:rPr>
        <w:t xml:space="preserve">., 2005). The existence of the committee is further interpreted as resource for managing stakeholders and fostering sustainable practices strategically. Though there is limited empirical </w:t>
      </w:r>
      <w:r w:rsidR="005C0D0A" w:rsidRPr="00EC1DF5">
        <w:rPr>
          <w:rFonts w:eastAsia="Calibri"/>
          <w:color w:val="auto"/>
        </w:rPr>
        <w:t xml:space="preserve">evidence </w:t>
      </w:r>
      <w:r w:rsidRPr="00EC1DF5">
        <w:rPr>
          <w:rFonts w:eastAsia="Calibri"/>
          <w:color w:val="auto"/>
        </w:rPr>
        <w:t xml:space="preserve">and </w:t>
      </w:r>
      <w:r w:rsidR="005C0D0A" w:rsidRPr="00EC1DF5">
        <w:rPr>
          <w:rFonts w:eastAsia="Calibri"/>
          <w:color w:val="auto"/>
        </w:rPr>
        <w:t xml:space="preserve">only </w:t>
      </w:r>
      <w:r w:rsidRPr="00EC1DF5">
        <w:rPr>
          <w:rFonts w:eastAsia="Calibri"/>
          <w:color w:val="auto"/>
        </w:rPr>
        <w:t xml:space="preserve">insignificant findings </w:t>
      </w:r>
      <w:r w:rsidR="005C0D0A" w:rsidRPr="00EC1DF5">
        <w:rPr>
          <w:rFonts w:eastAsia="Calibri"/>
          <w:color w:val="auto"/>
        </w:rPr>
        <w:t>on</w:t>
      </w:r>
      <w:r w:rsidRPr="00EC1DF5">
        <w:rPr>
          <w:rFonts w:eastAsia="Calibri"/>
          <w:color w:val="auto"/>
        </w:rPr>
        <w:t xml:space="preserve"> the </w:t>
      </w:r>
      <w:r w:rsidR="007D1D3A" w:rsidRPr="00EC1DF5">
        <w:rPr>
          <w:rFonts w:eastAsia="Calibri"/>
          <w:color w:val="auto"/>
        </w:rPr>
        <w:t xml:space="preserve">influence of </w:t>
      </w:r>
      <w:r w:rsidRPr="00EC1DF5">
        <w:rPr>
          <w:rFonts w:eastAsia="Calibri"/>
          <w:color w:val="auto"/>
        </w:rPr>
        <w:t>CSR committee</w:t>
      </w:r>
      <w:r w:rsidR="00EE1CD2" w:rsidRPr="00EC1DF5">
        <w:rPr>
          <w:rFonts w:eastAsia="Calibri"/>
          <w:color w:val="auto"/>
        </w:rPr>
        <w:t>s</w:t>
      </w:r>
      <w:r w:rsidRPr="00EC1DF5">
        <w:rPr>
          <w:rFonts w:eastAsia="Calibri"/>
          <w:color w:val="auto"/>
        </w:rPr>
        <w:t xml:space="preserve"> </w:t>
      </w:r>
      <w:r w:rsidR="007D1D3A" w:rsidRPr="00EC1DF5">
        <w:rPr>
          <w:rFonts w:eastAsia="Calibri"/>
          <w:color w:val="auto"/>
        </w:rPr>
        <w:t xml:space="preserve">on sustainability performance, existing </w:t>
      </w:r>
      <w:r w:rsidRPr="00EC1DF5">
        <w:rPr>
          <w:rFonts w:eastAsia="Calibri"/>
          <w:color w:val="auto"/>
        </w:rPr>
        <w:t xml:space="preserve">theoretical underpinnings support the assertion of </w:t>
      </w:r>
      <w:r w:rsidR="001A1408" w:rsidRPr="00EC1DF5">
        <w:rPr>
          <w:rFonts w:eastAsia="Calibri"/>
          <w:color w:val="auto"/>
        </w:rPr>
        <w:t xml:space="preserve">a </w:t>
      </w:r>
      <w:r w:rsidRPr="00EC1DF5">
        <w:rPr>
          <w:rFonts w:eastAsia="Calibri"/>
          <w:color w:val="auto"/>
        </w:rPr>
        <w:t xml:space="preserve">positive impact (Rodrigue </w:t>
      </w:r>
      <w:r w:rsidRPr="00EC1DF5">
        <w:rPr>
          <w:rFonts w:eastAsia="Calibri"/>
          <w:i/>
          <w:color w:val="auto"/>
        </w:rPr>
        <w:t>et al</w:t>
      </w:r>
      <w:r w:rsidRPr="00EC1DF5">
        <w:rPr>
          <w:rFonts w:eastAsia="Calibri"/>
          <w:color w:val="auto"/>
        </w:rPr>
        <w:t xml:space="preserve">., 2013; </w:t>
      </w:r>
      <w:proofErr w:type="spellStart"/>
      <w:r w:rsidRPr="00EC1DF5">
        <w:rPr>
          <w:rFonts w:eastAsia="Calibri"/>
          <w:color w:val="auto"/>
        </w:rPr>
        <w:t>McKendall</w:t>
      </w:r>
      <w:proofErr w:type="spellEnd"/>
      <w:r w:rsidRPr="00EC1DF5">
        <w:rPr>
          <w:rFonts w:eastAsia="Calibri"/>
          <w:color w:val="auto"/>
        </w:rPr>
        <w:t xml:space="preserve"> </w:t>
      </w:r>
      <w:r w:rsidRPr="00EC1DF5">
        <w:rPr>
          <w:rFonts w:eastAsia="Calibri"/>
          <w:i/>
          <w:color w:val="auto"/>
        </w:rPr>
        <w:t>et al</w:t>
      </w:r>
      <w:r w:rsidRPr="00EC1DF5">
        <w:rPr>
          <w:rFonts w:eastAsia="Calibri"/>
          <w:color w:val="auto"/>
        </w:rPr>
        <w:t xml:space="preserve">., 1999). For </w:t>
      </w:r>
      <w:r w:rsidR="007D1D3A" w:rsidRPr="00EC1DF5">
        <w:rPr>
          <w:rFonts w:eastAsia="Calibri"/>
          <w:color w:val="auto"/>
        </w:rPr>
        <w:t>example</w:t>
      </w:r>
      <w:r w:rsidRPr="00EC1DF5">
        <w:rPr>
          <w:rFonts w:eastAsia="Calibri"/>
          <w:color w:val="auto"/>
        </w:rPr>
        <w:t xml:space="preserve">, a study on European and US companies by </w:t>
      </w:r>
      <w:proofErr w:type="spellStart"/>
      <w:r w:rsidRPr="00EC1DF5">
        <w:rPr>
          <w:rFonts w:eastAsia="Calibri"/>
          <w:color w:val="auto"/>
        </w:rPr>
        <w:t>Michelon</w:t>
      </w:r>
      <w:proofErr w:type="spellEnd"/>
      <w:r w:rsidRPr="00EC1DF5">
        <w:rPr>
          <w:rFonts w:eastAsia="Calibri"/>
          <w:color w:val="auto"/>
        </w:rPr>
        <w:t xml:space="preserve"> and </w:t>
      </w:r>
      <w:proofErr w:type="spellStart"/>
      <w:r w:rsidRPr="00EC1DF5">
        <w:rPr>
          <w:rFonts w:eastAsia="Calibri"/>
          <w:color w:val="auto"/>
        </w:rPr>
        <w:t>Parbonetti</w:t>
      </w:r>
      <w:proofErr w:type="spellEnd"/>
      <w:r w:rsidRPr="00EC1DF5">
        <w:rPr>
          <w:rFonts w:eastAsia="Calibri"/>
          <w:color w:val="auto"/>
        </w:rPr>
        <w:t xml:space="preserve"> (2012) resulted in a positive but insignificant relationship between sustainability committee and sustainability disclosure. A similar result was </w:t>
      </w:r>
      <w:r w:rsidR="007D1D3A" w:rsidRPr="00EC1DF5">
        <w:rPr>
          <w:rFonts w:eastAsia="Calibri"/>
          <w:color w:val="auto"/>
        </w:rPr>
        <w:t xml:space="preserve">also </w:t>
      </w:r>
      <w:r w:rsidRPr="00EC1DF5">
        <w:rPr>
          <w:rFonts w:eastAsia="Calibri"/>
          <w:color w:val="auto"/>
        </w:rPr>
        <w:t xml:space="preserve">found by </w:t>
      </w:r>
      <w:proofErr w:type="spellStart"/>
      <w:r w:rsidRPr="00EC1DF5">
        <w:rPr>
          <w:rFonts w:eastAsia="Calibri"/>
          <w:color w:val="auto"/>
        </w:rPr>
        <w:t>Rupley</w:t>
      </w:r>
      <w:proofErr w:type="spellEnd"/>
      <w:r w:rsidRPr="00EC1DF5">
        <w:rPr>
          <w:rFonts w:eastAsia="Calibri"/>
          <w:color w:val="auto"/>
        </w:rPr>
        <w:t xml:space="preserve"> </w:t>
      </w:r>
      <w:r w:rsidRPr="00EC1DF5">
        <w:rPr>
          <w:rFonts w:eastAsia="Calibri"/>
          <w:i/>
          <w:color w:val="auto"/>
        </w:rPr>
        <w:t>et al</w:t>
      </w:r>
      <w:r w:rsidRPr="00EC1DF5">
        <w:rPr>
          <w:rFonts w:eastAsia="Calibri"/>
          <w:color w:val="auto"/>
        </w:rPr>
        <w:t xml:space="preserve">. (2012) on environmental disclosure quality and </w:t>
      </w:r>
      <w:r w:rsidRPr="00EC1DF5">
        <w:rPr>
          <w:rFonts w:eastAsia="Calibri"/>
          <w:color w:val="auto"/>
        </w:rPr>
        <w:lastRenderedPageBreak/>
        <w:t>sustainability committee. Other studies (</w:t>
      </w:r>
      <w:proofErr w:type="spellStart"/>
      <w:r w:rsidRPr="00EC1DF5">
        <w:rPr>
          <w:rFonts w:eastAsia="Calibri"/>
          <w:color w:val="auto"/>
        </w:rPr>
        <w:t>Amran</w:t>
      </w:r>
      <w:proofErr w:type="spellEnd"/>
      <w:r w:rsidRPr="00EC1DF5">
        <w:rPr>
          <w:rFonts w:eastAsia="Calibri"/>
          <w:color w:val="auto"/>
        </w:rPr>
        <w:t xml:space="preserve"> </w:t>
      </w:r>
      <w:r w:rsidRPr="00EC1DF5">
        <w:rPr>
          <w:rFonts w:eastAsia="Calibri"/>
          <w:i/>
          <w:color w:val="auto"/>
        </w:rPr>
        <w:t>et al</w:t>
      </w:r>
      <w:r w:rsidRPr="00EC1DF5">
        <w:rPr>
          <w:rFonts w:eastAsia="Calibri"/>
          <w:color w:val="auto"/>
        </w:rPr>
        <w:t xml:space="preserve">., 2014; Liao </w:t>
      </w:r>
      <w:r w:rsidRPr="00EC1DF5">
        <w:rPr>
          <w:rFonts w:eastAsia="Calibri"/>
          <w:i/>
          <w:color w:val="auto"/>
        </w:rPr>
        <w:t>et al</w:t>
      </w:r>
      <w:r w:rsidRPr="00EC1DF5">
        <w:rPr>
          <w:rFonts w:eastAsia="Calibri"/>
          <w:color w:val="auto"/>
        </w:rPr>
        <w:t xml:space="preserve">., 2014; Walls </w:t>
      </w:r>
      <w:r w:rsidRPr="00EC1DF5">
        <w:rPr>
          <w:rFonts w:eastAsia="Calibri"/>
          <w:i/>
          <w:color w:val="auto"/>
        </w:rPr>
        <w:t>et al</w:t>
      </w:r>
      <w:r w:rsidRPr="00EC1DF5">
        <w:rPr>
          <w:rFonts w:eastAsia="Calibri"/>
          <w:color w:val="auto"/>
        </w:rPr>
        <w:t xml:space="preserve">., 2012; </w:t>
      </w:r>
      <w:proofErr w:type="spellStart"/>
      <w:r w:rsidRPr="00EC1DF5">
        <w:rPr>
          <w:rFonts w:eastAsia="Calibri"/>
          <w:color w:val="auto"/>
        </w:rPr>
        <w:t>Spitzeck</w:t>
      </w:r>
      <w:proofErr w:type="spellEnd"/>
      <w:r w:rsidRPr="00EC1DF5">
        <w:rPr>
          <w:rFonts w:eastAsia="Calibri"/>
          <w:color w:val="auto"/>
        </w:rPr>
        <w:t xml:space="preserve">, 2009) </w:t>
      </w:r>
      <w:r w:rsidR="007D1D3A" w:rsidRPr="00EC1DF5">
        <w:rPr>
          <w:rFonts w:eastAsia="Calibri"/>
          <w:color w:val="auto"/>
        </w:rPr>
        <w:t xml:space="preserve">further </w:t>
      </w:r>
      <w:r w:rsidRPr="00EC1DF5">
        <w:rPr>
          <w:rFonts w:eastAsia="Calibri"/>
          <w:color w:val="auto"/>
        </w:rPr>
        <w:t xml:space="preserve">confirm </w:t>
      </w:r>
      <w:r w:rsidR="007D1D3A" w:rsidRPr="00EC1DF5">
        <w:rPr>
          <w:rFonts w:eastAsia="Calibri"/>
          <w:color w:val="auto"/>
        </w:rPr>
        <w:t xml:space="preserve">the </w:t>
      </w:r>
      <w:r w:rsidRPr="00EC1DF5">
        <w:rPr>
          <w:rFonts w:eastAsia="Calibri"/>
          <w:color w:val="auto"/>
        </w:rPr>
        <w:t>significant positive influence of sustainability committee</w:t>
      </w:r>
      <w:r w:rsidR="00EE1CD2" w:rsidRPr="00EC1DF5">
        <w:rPr>
          <w:rFonts w:eastAsia="Calibri"/>
          <w:color w:val="auto"/>
        </w:rPr>
        <w:t>s</w:t>
      </w:r>
      <w:r w:rsidRPr="00EC1DF5">
        <w:rPr>
          <w:rFonts w:eastAsia="Calibri"/>
          <w:color w:val="auto"/>
        </w:rPr>
        <w:t xml:space="preserve"> on sustainability practices and disclosure in the long term. </w:t>
      </w:r>
    </w:p>
    <w:p w14:paraId="7C7310A0" w14:textId="576889C7" w:rsidR="00866D45" w:rsidRPr="00EC1DF5" w:rsidRDefault="007D1D3A" w:rsidP="00A114E8">
      <w:pPr>
        <w:spacing w:line="480" w:lineRule="auto"/>
        <w:ind w:firstLine="720"/>
        <w:jc w:val="both"/>
        <w:rPr>
          <w:rFonts w:eastAsia="Calibri"/>
          <w:color w:val="auto"/>
        </w:rPr>
      </w:pPr>
      <w:r w:rsidRPr="00EC1DF5">
        <w:rPr>
          <w:rFonts w:eastAsia="Calibri"/>
          <w:color w:val="auto"/>
        </w:rPr>
        <w:t>In the same vein</w:t>
      </w:r>
      <w:r w:rsidR="00866D45" w:rsidRPr="00EC1DF5">
        <w:rPr>
          <w:rFonts w:eastAsia="Calibri"/>
          <w:color w:val="auto"/>
        </w:rPr>
        <w:t>, most companies in the USA follow the GRI guidelines (</w:t>
      </w:r>
      <w:proofErr w:type="spellStart"/>
      <w:r w:rsidR="00866D45" w:rsidRPr="00EC1DF5">
        <w:rPr>
          <w:rFonts w:eastAsia="Calibri"/>
          <w:color w:val="auto"/>
        </w:rPr>
        <w:t>Izquierdo</w:t>
      </w:r>
      <w:proofErr w:type="spellEnd"/>
      <w:r w:rsidR="00866D45" w:rsidRPr="00EC1DF5">
        <w:rPr>
          <w:rFonts w:eastAsia="Calibri"/>
          <w:color w:val="auto"/>
        </w:rPr>
        <w:t xml:space="preserve"> and </w:t>
      </w:r>
      <w:proofErr w:type="spellStart"/>
      <w:r w:rsidR="00866D45" w:rsidRPr="00EC1DF5">
        <w:rPr>
          <w:rFonts w:eastAsia="Calibri"/>
          <w:color w:val="auto"/>
        </w:rPr>
        <w:t>Granana</w:t>
      </w:r>
      <w:proofErr w:type="spellEnd"/>
      <w:r w:rsidR="00866D45" w:rsidRPr="00EC1DF5">
        <w:rPr>
          <w:rFonts w:eastAsia="Calibri"/>
          <w:color w:val="auto"/>
        </w:rPr>
        <w:t>, 2005)</w:t>
      </w:r>
      <w:r w:rsidRPr="00EC1DF5">
        <w:rPr>
          <w:rFonts w:eastAsia="Calibri"/>
          <w:color w:val="auto"/>
        </w:rPr>
        <w:t xml:space="preserve"> as a strategic commitment to sustainability</w:t>
      </w:r>
      <w:r w:rsidR="00866D45" w:rsidRPr="00EC1DF5">
        <w:rPr>
          <w:rFonts w:eastAsia="Calibri"/>
          <w:color w:val="auto"/>
        </w:rPr>
        <w:t xml:space="preserve">. The GRI aims to improve the thoroughness, </w:t>
      </w:r>
      <w:proofErr w:type="gramStart"/>
      <w:r w:rsidR="00866D45" w:rsidRPr="00EC1DF5">
        <w:rPr>
          <w:rFonts w:eastAsia="Calibri"/>
          <w:color w:val="auto"/>
        </w:rPr>
        <w:t>accuracy</w:t>
      </w:r>
      <w:proofErr w:type="gramEnd"/>
      <w:r w:rsidR="00866D45" w:rsidRPr="00EC1DF5">
        <w:rPr>
          <w:rFonts w:eastAsia="Calibri"/>
          <w:color w:val="auto"/>
        </w:rPr>
        <w:t xml:space="preserve"> and quality of sustainability report</w:t>
      </w:r>
      <w:r w:rsidR="00EE1CD2" w:rsidRPr="00EC1DF5">
        <w:rPr>
          <w:rFonts w:eastAsia="Calibri"/>
          <w:color w:val="auto"/>
        </w:rPr>
        <w:t>s</w:t>
      </w:r>
      <w:r w:rsidR="00866D45" w:rsidRPr="00EC1DF5">
        <w:rPr>
          <w:rFonts w:eastAsia="Calibri"/>
          <w:color w:val="auto"/>
        </w:rPr>
        <w:t xml:space="preserve"> to cover extensive sustainability activities. Fundamentally, it is based on the application and implementation </w:t>
      </w:r>
      <w:r w:rsidR="009F051C" w:rsidRPr="00EC1DF5">
        <w:rPr>
          <w:rFonts w:eastAsia="Calibri"/>
          <w:color w:val="auto"/>
        </w:rPr>
        <w:t xml:space="preserve">of the triple bottom line </w:t>
      </w:r>
      <w:r w:rsidR="00866D45" w:rsidRPr="00EC1DF5">
        <w:rPr>
          <w:rFonts w:eastAsia="Calibri"/>
          <w:color w:val="auto"/>
        </w:rPr>
        <w:t xml:space="preserve">to promote comparison and verifiability. Companies using </w:t>
      </w:r>
      <w:r w:rsidR="00EE1CD2" w:rsidRPr="00EC1DF5">
        <w:rPr>
          <w:rFonts w:eastAsia="Calibri"/>
          <w:color w:val="auto"/>
        </w:rPr>
        <w:t xml:space="preserve">the </w:t>
      </w:r>
      <w:r w:rsidR="00866D45" w:rsidRPr="00EC1DF5">
        <w:rPr>
          <w:rFonts w:eastAsia="Calibri"/>
          <w:color w:val="auto"/>
        </w:rPr>
        <w:t>GRI receive validation as well as social legitimacy from stakeholders</w:t>
      </w:r>
      <w:r w:rsidR="00EE1CD2" w:rsidRPr="00EC1DF5">
        <w:rPr>
          <w:rFonts w:eastAsia="Calibri"/>
          <w:color w:val="auto"/>
        </w:rPr>
        <w:t>,</w:t>
      </w:r>
      <w:r w:rsidR="00866D45" w:rsidRPr="00EC1DF5">
        <w:rPr>
          <w:rFonts w:eastAsia="Calibri"/>
          <w:color w:val="auto"/>
        </w:rPr>
        <w:t xml:space="preserve"> which emphasises the quest for sustainable development (</w:t>
      </w:r>
      <w:proofErr w:type="spellStart"/>
      <w:r w:rsidR="00866D45" w:rsidRPr="00EC1DF5">
        <w:rPr>
          <w:rFonts w:eastAsia="Calibri"/>
          <w:color w:val="auto"/>
        </w:rPr>
        <w:t>Izquierdo</w:t>
      </w:r>
      <w:proofErr w:type="spellEnd"/>
      <w:r w:rsidR="00866D45" w:rsidRPr="00EC1DF5">
        <w:rPr>
          <w:rFonts w:eastAsia="Calibri"/>
          <w:color w:val="auto"/>
        </w:rPr>
        <w:t xml:space="preserve"> and </w:t>
      </w:r>
      <w:proofErr w:type="spellStart"/>
      <w:r w:rsidR="00866D45" w:rsidRPr="00EC1DF5">
        <w:rPr>
          <w:rFonts w:eastAsia="Calibri"/>
          <w:color w:val="auto"/>
        </w:rPr>
        <w:t>Granana</w:t>
      </w:r>
      <w:proofErr w:type="spellEnd"/>
      <w:r w:rsidR="00866D45" w:rsidRPr="00EC1DF5">
        <w:rPr>
          <w:rFonts w:eastAsia="Calibri"/>
          <w:color w:val="auto"/>
        </w:rPr>
        <w:t>, 2005). Th</w:t>
      </w:r>
      <w:r w:rsidRPr="00EC1DF5">
        <w:rPr>
          <w:rFonts w:eastAsia="Calibri"/>
          <w:color w:val="auto"/>
        </w:rPr>
        <w:t>is</w:t>
      </w:r>
      <w:r w:rsidR="00866D45" w:rsidRPr="00EC1DF5">
        <w:rPr>
          <w:rFonts w:eastAsia="Calibri"/>
          <w:color w:val="auto"/>
        </w:rPr>
        <w:t xml:space="preserve"> </w:t>
      </w:r>
      <w:r w:rsidRPr="00EC1DF5">
        <w:rPr>
          <w:rFonts w:eastAsia="Calibri"/>
          <w:color w:val="auto"/>
        </w:rPr>
        <w:t>analysis</w:t>
      </w:r>
      <w:r w:rsidR="00866D45" w:rsidRPr="00EC1DF5">
        <w:rPr>
          <w:rFonts w:eastAsia="Calibri"/>
          <w:color w:val="auto"/>
        </w:rPr>
        <w:t xml:space="preserve"> of board strateg</w:t>
      </w:r>
      <w:r w:rsidRPr="00EC1DF5">
        <w:rPr>
          <w:rFonts w:eastAsia="Calibri"/>
          <w:color w:val="auto"/>
        </w:rPr>
        <w:t>y</w:t>
      </w:r>
      <w:r w:rsidR="00866D45" w:rsidRPr="00EC1DF5">
        <w:rPr>
          <w:rFonts w:eastAsia="Calibri"/>
          <w:color w:val="auto"/>
        </w:rPr>
        <w:t xml:space="preserve"> reinforces </w:t>
      </w:r>
      <w:r w:rsidRPr="00EC1DF5">
        <w:rPr>
          <w:rFonts w:eastAsia="Calibri"/>
          <w:color w:val="auto"/>
        </w:rPr>
        <w:t>its</w:t>
      </w:r>
      <w:r w:rsidR="00866D45" w:rsidRPr="00EC1DF5">
        <w:rPr>
          <w:rFonts w:eastAsia="Calibri"/>
          <w:color w:val="auto"/>
        </w:rPr>
        <w:t xml:space="preserve"> relevance and benefit in environmental and social sustainability performance. Therefore, we hypothesise the following:</w:t>
      </w:r>
    </w:p>
    <w:p w14:paraId="6551C155" w14:textId="77777777" w:rsidR="00866D45" w:rsidRPr="00EC1DF5" w:rsidRDefault="00866D45" w:rsidP="00A114E8">
      <w:pPr>
        <w:spacing w:line="480" w:lineRule="auto"/>
        <w:jc w:val="both"/>
        <w:rPr>
          <w:rFonts w:eastAsia="Calibri"/>
          <w:i/>
          <w:color w:val="auto"/>
        </w:rPr>
      </w:pPr>
      <w:r w:rsidRPr="00EC1DF5">
        <w:rPr>
          <w:rFonts w:eastAsia="Calibri"/>
          <w:b/>
          <w:bCs/>
          <w:color w:val="auto"/>
        </w:rPr>
        <w:t>H4a:</w:t>
      </w:r>
      <w:r w:rsidRPr="00EC1DF5">
        <w:rPr>
          <w:rFonts w:eastAsia="Calibri"/>
          <w:i/>
          <w:color w:val="auto"/>
        </w:rPr>
        <w:t xml:space="preserve"> </w:t>
      </w:r>
      <w:r w:rsidRPr="00EC1DF5">
        <w:rPr>
          <w:i/>
          <w:color w:val="auto"/>
        </w:rPr>
        <w:t>There is a significantly positive impact of board strategy on environmental sustainability performance</w:t>
      </w:r>
    </w:p>
    <w:p w14:paraId="0C72D9C9" w14:textId="77777777" w:rsidR="00866D45" w:rsidRPr="00EC1DF5" w:rsidRDefault="00866D45" w:rsidP="00A114E8">
      <w:pPr>
        <w:spacing w:line="480" w:lineRule="auto"/>
        <w:jc w:val="both"/>
        <w:rPr>
          <w:rFonts w:eastAsia="Calibri"/>
          <w:i/>
          <w:color w:val="auto"/>
        </w:rPr>
      </w:pPr>
      <w:r w:rsidRPr="00EC1DF5">
        <w:rPr>
          <w:rFonts w:eastAsia="Calibri"/>
          <w:b/>
          <w:bCs/>
          <w:color w:val="auto"/>
        </w:rPr>
        <w:t>H4b</w:t>
      </w:r>
      <w:r w:rsidRPr="00EC1DF5">
        <w:rPr>
          <w:rFonts w:eastAsia="Calibri"/>
          <w:i/>
          <w:color w:val="auto"/>
        </w:rPr>
        <w:t xml:space="preserve">: </w:t>
      </w:r>
      <w:r w:rsidRPr="00EC1DF5">
        <w:rPr>
          <w:i/>
          <w:color w:val="auto"/>
        </w:rPr>
        <w:t>There is a significantly positive impact of board strategy on social sustainability performance</w:t>
      </w:r>
    </w:p>
    <w:p w14:paraId="2D19A9D2" w14:textId="77777777" w:rsidR="00866D45" w:rsidRPr="00EC1DF5" w:rsidRDefault="00866D45" w:rsidP="00A114E8">
      <w:pPr>
        <w:spacing w:line="480" w:lineRule="auto"/>
        <w:jc w:val="both"/>
        <w:rPr>
          <w:i/>
          <w:color w:val="auto"/>
        </w:rPr>
      </w:pPr>
      <w:r w:rsidRPr="00EC1DF5">
        <w:rPr>
          <w:rFonts w:eastAsia="Calibri"/>
          <w:b/>
          <w:bCs/>
          <w:color w:val="auto"/>
        </w:rPr>
        <w:t>H4c:</w:t>
      </w:r>
      <w:r w:rsidRPr="00EC1DF5">
        <w:rPr>
          <w:rFonts w:eastAsia="Calibri"/>
          <w:i/>
          <w:color w:val="auto"/>
        </w:rPr>
        <w:t xml:space="preserve"> </w:t>
      </w:r>
      <w:r w:rsidRPr="00EC1DF5">
        <w:rPr>
          <w:i/>
          <w:color w:val="auto"/>
        </w:rPr>
        <w:t>There is a significantly negative impact of board strategy on financial sustainability performance</w:t>
      </w:r>
    </w:p>
    <w:p w14:paraId="630AEE91" w14:textId="77777777" w:rsidR="002E1ED4" w:rsidRPr="00EC1DF5" w:rsidRDefault="002E1ED4" w:rsidP="00A114E8">
      <w:pPr>
        <w:spacing w:line="480" w:lineRule="auto"/>
        <w:jc w:val="both"/>
        <w:rPr>
          <w:rFonts w:eastAsia="Calibri"/>
          <w:i/>
          <w:color w:val="auto"/>
        </w:rPr>
      </w:pPr>
    </w:p>
    <w:p w14:paraId="7CE9A532" w14:textId="77777777" w:rsidR="00866D45" w:rsidRPr="00EC1DF5" w:rsidRDefault="00866D45" w:rsidP="00A77CCC">
      <w:pPr>
        <w:pStyle w:val="Heading3"/>
        <w:spacing w:line="480" w:lineRule="auto"/>
        <w:rPr>
          <w:rFonts w:ascii="Times New Roman" w:hAnsi="Times New Roman" w:cs="Times New Roman"/>
          <w:bCs/>
          <w:i/>
          <w:iCs/>
          <w:color w:val="auto"/>
        </w:rPr>
      </w:pPr>
      <w:r w:rsidRPr="00EC1DF5">
        <w:rPr>
          <w:rFonts w:ascii="Times New Roman" w:hAnsi="Times New Roman" w:cs="Times New Roman"/>
          <w:bCs/>
          <w:i/>
          <w:iCs/>
          <w:color w:val="auto"/>
        </w:rPr>
        <w:t>2.1.5 Board Shareholder Rights and Sustainability</w:t>
      </w:r>
    </w:p>
    <w:p w14:paraId="2693F475" w14:textId="69CCBCD0" w:rsidR="00A114E8" w:rsidRPr="00EC1DF5" w:rsidRDefault="0049172F" w:rsidP="00A114E8">
      <w:pPr>
        <w:spacing w:line="480" w:lineRule="auto"/>
        <w:jc w:val="both"/>
        <w:rPr>
          <w:color w:val="auto"/>
        </w:rPr>
      </w:pPr>
      <w:r w:rsidRPr="00EC1DF5">
        <w:rPr>
          <w:color w:val="auto"/>
        </w:rPr>
        <w:t>S</w:t>
      </w:r>
      <w:r w:rsidR="00866D45" w:rsidRPr="00EC1DF5">
        <w:rPr>
          <w:color w:val="auto"/>
        </w:rPr>
        <w:t xml:space="preserve">hareholder rights represent the rights of stockholders to vote and exercise control over the company’s assets, effect ownership structure or remove ineffective management (Jiang and </w:t>
      </w:r>
      <w:proofErr w:type="spellStart"/>
      <w:r w:rsidR="00866D45" w:rsidRPr="00EC1DF5">
        <w:rPr>
          <w:color w:val="auto"/>
        </w:rPr>
        <w:t>Anandarajan</w:t>
      </w:r>
      <w:proofErr w:type="spellEnd"/>
      <w:r w:rsidR="00866D45" w:rsidRPr="00EC1DF5">
        <w:rPr>
          <w:color w:val="auto"/>
        </w:rPr>
        <w:t xml:space="preserve">, 2009; </w:t>
      </w:r>
      <w:proofErr w:type="spellStart"/>
      <w:r w:rsidR="00866D45" w:rsidRPr="00EC1DF5">
        <w:rPr>
          <w:color w:val="auto"/>
        </w:rPr>
        <w:t>Goompers</w:t>
      </w:r>
      <w:proofErr w:type="spellEnd"/>
      <w:r w:rsidR="00866D45" w:rsidRPr="00EC1DF5">
        <w:rPr>
          <w:color w:val="auto"/>
        </w:rPr>
        <w:t xml:space="preserve"> </w:t>
      </w:r>
      <w:r w:rsidR="00866D45" w:rsidRPr="00EC1DF5">
        <w:rPr>
          <w:i/>
          <w:color w:val="auto"/>
        </w:rPr>
        <w:t>et al</w:t>
      </w:r>
      <w:r w:rsidR="00866D45" w:rsidRPr="00EC1DF5">
        <w:rPr>
          <w:color w:val="auto"/>
        </w:rPr>
        <w:t>., 2003). However, weaker shareholder right</w:t>
      </w:r>
      <w:r w:rsidR="00EE1CD2" w:rsidRPr="00EC1DF5">
        <w:rPr>
          <w:color w:val="auto"/>
        </w:rPr>
        <w:t>s imply a</w:t>
      </w:r>
      <w:r w:rsidR="00866D45" w:rsidRPr="00EC1DF5">
        <w:rPr>
          <w:color w:val="auto"/>
        </w:rPr>
        <w:t xml:space="preserve"> high level of information asymmetry and weak external governance mechanism. This could reduce </w:t>
      </w:r>
      <w:r w:rsidR="00866D45" w:rsidRPr="00EC1DF5">
        <w:rPr>
          <w:color w:val="auto"/>
        </w:rPr>
        <w:lastRenderedPageBreak/>
        <w:t>accountability and transparency on the part of manager</w:t>
      </w:r>
      <w:r w:rsidR="00EE1CD2" w:rsidRPr="00EC1DF5">
        <w:rPr>
          <w:color w:val="auto"/>
        </w:rPr>
        <w:t>s</w:t>
      </w:r>
      <w:r w:rsidR="00866D45" w:rsidRPr="00EC1DF5">
        <w:rPr>
          <w:color w:val="auto"/>
        </w:rPr>
        <w:t>. Conversely, greater shareholder rights empower shareholders to implement monitoring mechanisms meticulously</w:t>
      </w:r>
      <w:r w:rsidR="00EE1CD2" w:rsidRPr="00EC1DF5">
        <w:rPr>
          <w:color w:val="auto"/>
        </w:rPr>
        <w:t>,</w:t>
      </w:r>
      <w:r w:rsidR="00866D45" w:rsidRPr="00EC1DF5">
        <w:rPr>
          <w:color w:val="auto"/>
        </w:rPr>
        <w:t xml:space="preserve"> thus reducing agency risks and costs (Gompers </w:t>
      </w:r>
      <w:r w:rsidR="00866D45" w:rsidRPr="00EC1DF5">
        <w:rPr>
          <w:i/>
          <w:color w:val="auto"/>
        </w:rPr>
        <w:t>et al</w:t>
      </w:r>
      <w:r w:rsidR="00866D45" w:rsidRPr="00EC1DF5">
        <w:rPr>
          <w:color w:val="auto"/>
        </w:rPr>
        <w:t xml:space="preserve">., 2003). Gompers </w:t>
      </w:r>
      <w:r w:rsidR="00866D45" w:rsidRPr="00EC1DF5">
        <w:rPr>
          <w:i/>
          <w:color w:val="auto"/>
        </w:rPr>
        <w:t>et al</w:t>
      </w:r>
      <w:r w:rsidR="00866D45" w:rsidRPr="00EC1DF5">
        <w:rPr>
          <w:color w:val="auto"/>
        </w:rPr>
        <w:t>. (2003) found that the market values greater shareholder empowerment and rights</w:t>
      </w:r>
      <w:r w:rsidR="00EE1CD2" w:rsidRPr="00EC1DF5">
        <w:rPr>
          <w:color w:val="auto"/>
        </w:rPr>
        <w:t>,</w:t>
      </w:r>
      <w:r w:rsidR="00866D45" w:rsidRPr="00EC1DF5">
        <w:rPr>
          <w:color w:val="auto"/>
        </w:rPr>
        <w:t xml:space="preserve"> thus leading to better firm value, </w:t>
      </w:r>
      <w:r w:rsidR="00EE1CD2" w:rsidRPr="00EC1DF5">
        <w:rPr>
          <w:color w:val="auto"/>
        </w:rPr>
        <w:t xml:space="preserve">and </w:t>
      </w:r>
      <w:r w:rsidR="00866D45" w:rsidRPr="00EC1DF5">
        <w:rPr>
          <w:color w:val="auto"/>
        </w:rPr>
        <w:t xml:space="preserve">improvement in sales value and profit as well as returns. </w:t>
      </w:r>
      <w:r w:rsidRPr="00EC1DF5">
        <w:rPr>
          <w:color w:val="auto"/>
        </w:rPr>
        <w:t>Likewise</w:t>
      </w:r>
      <w:r w:rsidR="00866D45" w:rsidRPr="00EC1DF5">
        <w:rPr>
          <w:color w:val="auto"/>
        </w:rPr>
        <w:t xml:space="preserve">, La Porta </w:t>
      </w:r>
      <w:r w:rsidR="00866D45" w:rsidRPr="00EC1DF5">
        <w:rPr>
          <w:i/>
          <w:color w:val="auto"/>
        </w:rPr>
        <w:t>et al</w:t>
      </w:r>
      <w:r w:rsidR="00866D45" w:rsidRPr="00EC1DF5">
        <w:rPr>
          <w:color w:val="auto"/>
        </w:rPr>
        <w:t xml:space="preserve">. (2002) found empirical evidence that protection of shareholder rights leads to higher valuation values. </w:t>
      </w:r>
    </w:p>
    <w:p w14:paraId="2A736F5E" w14:textId="6E747391" w:rsidR="00866D45" w:rsidRPr="00EC1DF5" w:rsidRDefault="00866D45" w:rsidP="00A114E8">
      <w:pPr>
        <w:spacing w:line="480" w:lineRule="auto"/>
        <w:ind w:firstLine="720"/>
        <w:jc w:val="both"/>
        <w:rPr>
          <w:color w:val="auto"/>
        </w:rPr>
      </w:pPr>
      <w:r w:rsidRPr="00EC1DF5">
        <w:rPr>
          <w:color w:val="auto"/>
        </w:rPr>
        <w:t xml:space="preserve">Though enforcing shareholder rights does not necessarily imply power over managers, it highlights the need for </w:t>
      </w:r>
      <w:r w:rsidR="00EE1CD2" w:rsidRPr="00EC1DF5">
        <w:rPr>
          <w:color w:val="auto"/>
        </w:rPr>
        <w:t xml:space="preserve">a </w:t>
      </w:r>
      <w:r w:rsidRPr="00EC1DF5">
        <w:rPr>
          <w:color w:val="auto"/>
        </w:rPr>
        <w:t xml:space="preserve">power balance to avoid agency problems. However, agency problems arise because managers tend to develop measures </w:t>
      </w:r>
      <w:r w:rsidR="000954C3" w:rsidRPr="00EC1DF5">
        <w:rPr>
          <w:color w:val="auto"/>
        </w:rPr>
        <w:t>to</w:t>
      </w:r>
      <w:r w:rsidRPr="00EC1DF5">
        <w:rPr>
          <w:color w:val="auto"/>
        </w:rPr>
        <w:t xml:space="preserve"> restrict shareholders</w:t>
      </w:r>
      <w:r w:rsidR="00EE1CD2" w:rsidRPr="00EC1DF5">
        <w:rPr>
          <w:color w:val="auto"/>
        </w:rPr>
        <w:t>’</w:t>
      </w:r>
      <w:r w:rsidRPr="00EC1DF5">
        <w:rPr>
          <w:color w:val="auto"/>
        </w:rPr>
        <w:t xml:space="preserve"> rights using takeover </w:t>
      </w:r>
      <w:r w:rsidR="0049172F" w:rsidRPr="00EC1DF5">
        <w:rPr>
          <w:color w:val="auto"/>
        </w:rPr>
        <w:t>defence mechanism</w:t>
      </w:r>
      <w:r w:rsidR="000954C3" w:rsidRPr="00EC1DF5">
        <w:rPr>
          <w:color w:val="auto"/>
        </w:rPr>
        <w:t>s</w:t>
      </w:r>
      <w:r w:rsidRPr="00EC1DF5">
        <w:rPr>
          <w:color w:val="auto"/>
        </w:rPr>
        <w:t>. These mechanism</w:t>
      </w:r>
      <w:r w:rsidR="0049172F" w:rsidRPr="00EC1DF5">
        <w:rPr>
          <w:color w:val="auto"/>
        </w:rPr>
        <w:t>s</w:t>
      </w:r>
      <w:r w:rsidRPr="00EC1DF5">
        <w:rPr>
          <w:color w:val="auto"/>
        </w:rPr>
        <w:t xml:space="preserve"> limit shareholders</w:t>
      </w:r>
      <w:r w:rsidR="00EE1CD2" w:rsidRPr="00EC1DF5">
        <w:rPr>
          <w:color w:val="auto"/>
        </w:rPr>
        <w:t>’</w:t>
      </w:r>
      <w:r w:rsidRPr="00EC1DF5">
        <w:rPr>
          <w:color w:val="auto"/>
        </w:rPr>
        <w:t xml:space="preserve"> involvement in governance participation and advancing disciplinary actions against managers in the case of </w:t>
      </w:r>
      <w:r w:rsidR="00A114E8" w:rsidRPr="00EC1DF5">
        <w:rPr>
          <w:color w:val="auto"/>
        </w:rPr>
        <w:t>misappropriations</w:t>
      </w:r>
      <w:r w:rsidRPr="00EC1DF5">
        <w:rPr>
          <w:color w:val="auto"/>
        </w:rPr>
        <w:t xml:space="preserve">. </w:t>
      </w:r>
      <w:r w:rsidR="000954C3" w:rsidRPr="00EC1DF5">
        <w:rPr>
          <w:color w:val="auto"/>
        </w:rPr>
        <w:t>For instance, t</w:t>
      </w:r>
      <w:r w:rsidRPr="00EC1DF5">
        <w:rPr>
          <w:color w:val="auto"/>
        </w:rPr>
        <w:t xml:space="preserve">he use of defensive measures like </w:t>
      </w:r>
      <w:r w:rsidR="00EE1CD2" w:rsidRPr="00EC1DF5">
        <w:rPr>
          <w:color w:val="auto"/>
        </w:rPr>
        <w:t xml:space="preserve">the </w:t>
      </w:r>
      <w:r w:rsidRPr="00EC1DF5">
        <w:rPr>
          <w:color w:val="auto"/>
        </w:rPr>
        <w:t>golden parachute removes shareholders</w:t>
      </w:r>
      <w:r w:rsidR="00EE1CD2" w:rsidRPr="00EC1DF5">
        <w:rPr>
          <w:color w:val="auto"/>
        </w:rPr>
        <w:t>’</w:t>
      </w:r>
      <w:r w:rsidRPr="00EC1DF5">
        <w:rPr>
          <w:color w:val="auto"/>
        </w:rPr>
        <w:t xml:space="preserve"> right to relieve management of their duties without extra costs </w:t>
      </w:r>
      <w:r w:rsidR="00EE1CD2" w:rsidRPr="00EC1DF5">
        <w:rPr>
          <w:color w:val="auto"/>
        </w:rPr>
        <w:t xml:space="preserve">being </w:t>
      </w:r>
      <w:r w:rsidRPr="00EC1DF5">
        <w:rPr>
          <w:color w:val="auto"/>
        </w:rPr>
        <w:t xml:space="preserve">incurred (Gompers </w:t>
      </w:r>
      <w:r w:rsidRPr="00EC1DF5">
        <w:rPr>
          <w:i/>
          <w:color w:val="auto"/>
        </w:rPr>
        <w:t>et al</w:t>
      </w:r>
      <w:r w:rsidRPr="00EC1DF5">
        <w:rPr>
          <w:color w:val="auto"/>
        </w:rPr>
        <w:t xml:space="preserve">., 2003). This increases managers’ desire and ability to promote their private interests (Shleifer and </w:t>
      </w:r>
      <w:proofErr w:type="spellStart"/>
      <w:r w:rsidRPr="00EC1DF5">
        <w:rPr>
          <w:color w:val="auto"/>
        </w:rPr>
        <w:t>Vishny</w:t>
      </w:r>
      <w:proofErr w:type="spellEnd"/>
      <w:r w:rsidRPr="00EC1DF5">
        <w:rPr>
          <w:color w:val="auto"/>
        </w:rPr>
        <w:t xml:space="preserve">, 1997). </w:t>
      </w:r>
    </w:p>
    <w:p w14:paraId="29843AE6" w14:textId="0BA1C324" w:rsidR="00866D45" w:rsidRPr="00EC1DF5" w:rsidRDefault="00866D45" w:rsidP="00D4264B">
      <w:pPr>
        <w:spacing w:line="480" w:lineRule="auto"/>
        <w:ind w:firstLine="720"/>
        <w:jc w:val="both"/>
        <w:rPr>
          <w:color w:val="auto"/>
        </w:rPr>
      </w:pPr>
      <w:r w:rsidRPr="00EC1DF5">
        <w:rPr>
          <w:color w:val="auto"/>
        </w:rPr>
        <w:t xml:space="preserve">According to </w:t>
      </w:r>
      <w:proofErr w:type="spellStart"/>
      <w:r w:rsidRPr="00EC1DF5">
        <w:rPr>
          <w:color w:val="auto"/>
        </w:rPr>
        <w:t>Chugh</w:t>
      </w:r>
      <w:proofErr w:type="spellEnd"/>
      <w:r w:rsidRPr="00EC1DF5">
        <w:rPr>
          <w:color w:val="auto"/>
        </w:rPr>
        <w:t xml:space="preserve"> </w:t>
      </w:r>
      <w:r w:rsidRPr="00EC1DF5">
        <w:rPr>
          <w:i/>
          <w:color w:val="auto"/>
        </w:rPr>
        <w:t>et al</w:t>
      </w:r>
      <w:r w:rsidRPr="00EC1DF5">
        <w:rPr>
          <w:color w:val="auto"/>
        </w:rPr>
        <w:t xml:space="preserve">. (2010), shareholder rights have </w:t>
      </w:r>
      <w:r w:rsidR="00EE1CD2" w:rsidRPr="00EC1DF5">
        <w:rPr>
          <w:color w:val="auto"/>
        </w:rPr>
        <w:t xml:space="preserve">a </w:t>
      </w:r>
      <w:r w:rsidRPr="00EC1DF5">
        <w:rPr>
          <w:color w:val="auto"/>
        </w:rPr>
        <w:t>greater impact on overall firm value</w:t>
      </w:r>
      <w:r w:rsidR="00D4264B" w:rsidRPr="00EC1DF5">
        <w:rPr>
          <w:color w:val="auto"/>
        </w:rPr>
        <w:t xml:space="preserve"> and therefore should be protected (</w:t>
      </w:r>
      <w:proofErr w:type="spellStart"/>
      <w:r w:rsidR="00D4264B" w:rsidRPr="00EC1DF5">
        <w:rPr>
          <w:color w:val="auto"/>
        </w:rPr>
        <w:t>Mallin</w:t>
      </w:r>
      <w:proofErr w:type="spellEnd"/>
      <w:r w:rsidR="00D4264B" w:rsidRPr="00EC1DF5">
        <w:rPr>
          <w:color w:val="auto"/>
        </w:rPr>
        <w:t xml:space="preserve"> and </w:t>
      </w:r>
      <w:proofErr w:type="spellStart"/>
      <w:r w:rsidR="00D4264B" w:rsidRPr="00EC1DF5">
        <w:rPr>
          <w:color w:val="auto"/>
        </w:rPr>
        <w:t>Melis</w:t>
      </w:r>
      <w:proofErr w:type="spellEnd"/>
      <w:r w:rsidR="00D4264B" w:rsidRPr="00EC1DF5">
        <w:rPr>
          <w:color w:val="auto"/>
        </w:rPr>
        <w:t>, 2010) to avoid unpleasant resistance and activism from the</w:t>
      </w:r>
      <w:r w:rsidR="00EE1CD2" w:rsidRPr="00EC1DF5">
        <w:rPr>
          <w:color w:val="auto"/>
        </w:rPr>
        <w:t xml:space="preserve"> shareholders</w:t>
      </w:r>
      <w:r w:rsidR="00D4264B" w:rsidRPr="00EC1DF5">
        <w:rPr>
          <w:color w:val="auto"/>
        </w:rPr>
        <w:t xml:space="preserve"> (</w:t>
      </w:r>
      <w:proofErr w:type="spellStart"/>
      <w:r w:rsidR="00D4264B" w:rsidRPr="00EC1DF5">
        <w:rPr>
          <w:color w:val="auto"/>
        </w:rPr>
        <w:t>Gillan</w:t>
      </w:r>
      <w:proofErr w:type="spellEnd"/>
      <w:r w:rsidR="00D4264B" w:rsidRPr="00EC1DF5">
        <w:rPr>
          <w:color w:val="auto"/>
        </w:rPr>
        <w:t xml:space="preserve"> and Starks, 2007). </w:t>
      </w:r>
      <w:r w:rsidRPr="00EC1DF5">
        <w:rPr>
          <w:color w:val="auto"/>
        </w:rPr>
        <w:t>Shareholder</w:t>
      </w:r>
      <w:r w:rsidR="00EE1CD2" w:rsidRPr="00EC1DF5">
        <w:rPr>
          <w:color w:val="auto"/>
        </w:rPr>
        <w:t>s’</w:t>
      </w:r>
      <w:r w:rsidRPr="00EC1DF5">
        <w:rPr>
          <w:color w:val="auto"/>
        </w:rPr>
        <w:t xml:space="preserve"> vote is one of the most powerful </w:t>
      </w:r>
      <w:r w:rsidR="005C0D0A" w:rsidRPr="00EC1DF5">
        <w:rPr>
          <w:color w:val="auto"/>
        </w:rPr>
        <w:t>activisms</w:t>
      </w:r>
      <w:r w:rsidRPr="00EC1DF5">
        <w:rPr>
          <w:color w:val="auto"/>
        </w:rPr>
        <w:t xml:space="preserve"> means to engage with directors through exertion of pressure (</w:t>
      </w:r>
      <w:proofErr w:type="spellStart"/>
      <w:r w:rsidRPr="00EC1DF5">
        <w:rPr>
          <w:color w:val="auto"/>
        </w:rPr>
        <w:t>Ertimur</w:t>
      </w:r>
      <w:proofErr w:type="spellEnd"/>
      <w:r w:rsidRPr="00EC1DF5">
        <w:rPr>
          <w:color w:val="auto"/>
        </w:rPr>
        <w:t xml:space="preserve"> </w:t>
      </w:r>
      <w:r w:rsidRPr="00EC1DF5">
        <w:rPr>
          <w:i/>
          <w:color w:val="auto"/>
        </w:rPr>
        <w:t>et al</w:t>
      </w:r>
      <w:r w:rsidRPr="00EC1DF5">
        <w:rPr>
          <w:color w:val="auto"/>
        </w:rPr>
        <w:t>., 2010; Thomas and Cotter, 2007). In the US</w:t>
      </w:r>
      <w:r w:rsidR="00EE1CD2" w:rsidRPr="00EC1DF5">
        <w:rPr>
          <w:color w:val="auto"/>
        </w:rPr>
        <w:t>,</w:t>
      </w:r>
      <w:r w:rsidRPr="00EC1DF5">
        <w:rPr>
          <w:color w:val="auto"/>
        </w:rPr>
        <w:t xml:space="preserve"> for instance, </w:t>
      </w:r>
      <w:r w:rsidR="005C0D0A" w:rsidRPr="00EC1DF5">
        <w:rPr>
          <w:color w:val="auto"/>
        </w:rPr>
        <w:t>directors</w:t>
      </w:r>
      <w:r w:rsidRPr="00EC1DF5">
        <w:rPr>
          <w:color w:val="auto"/>
        </w:rPr>
        <w:t xml:space="preserve"> </w:t>
      </w:r>
      <w:r w:rsidR="005C0D0A" w:rsidRPr="00EC1DF5">
        <w:rPr>
          <w:color w:val="auto"/>
        </w:rPr>
        <w:t>who</w:t>
      </w:r>
      <w:r w:rsidRPr="00EC1DF5">
        <w:rPr>
          <w:color w:val="auto"/>
        </w:rPr>
        <w:t xml:space="preserve"> ignore shareholders</w:t>
      </w:r>
      <w:r w:rsidR="00EE1CD2" w:rsidRPr="00EC1DF5">
        <w:rPr>
          <w:color w:val="auto"/>
        </w:rPr>
        <w:t>’</w:t>
      </w:r>
      <w:r w:rsidRPr="00EC1DF5">
        <w:rPr>
          <w:color w:val="auto"/>
        </w:rPr>
        <w:t xml:space="preserve"> vote risk the </w:t>
      </w:r>
      <w:r w:rsidR="005C0D0A" w:rsidRPr="00EC1DF5">
        <w:rPr>
          <w:color w:val="auto"/>
        </w:rPr>
        <w:t>threat</w:t>
      </w:r>
      <w:r w:rsidRPr="00EC1DF5">
        <w:rPr>
          <w:color w:val="auto"/>
        </w:rPr>
        <w:t xml:space="preserve"> of</w:t>
      </w:r>
      <w:r w:rsidR="005C0D0A" w:rsidRPr="00EC1DF5">
        <w:rPr>
          <w:color w:val="auto"/>
        </w:rPr>
        <w:t xml:space="preserve"> being</w:t>
      </w:r>
      <w:r w:rsidRPr="00EC1DF5">
        <w:rPr>
          <w:color w:val="auto"/>
        </w:rPr>
        <w:t xml:space="preserve"> re</w:t>
      </w:r>
      <w:r w:rsidR="005C0D0A" w:rsidRPr="00EC1DF5">
        <w:rPr>
          <w:color w:val="auto"/>
        </w:rPr>
        <w:t>-elected</w:t>
      </w:r>
      <w:r w:rsidRPr="00EC1DF5">
        <w:rPr>
          <w:color w:val="auto"/>
        </w:rPr>
        <w:t xml:space="preserve"> and directorship. Hence</w:t>
      </w:r>
      <w:r w:rsidR="00EE1CD2" w:rsidRPr="00EC1DF5">
        <w:rPr>
          <w:color w:val="auto"/>
        </w:rPr>
        <w:t>,</w:t>
      </w:r>
      <w:r w:rsidRPr="00EC1DF5">
        <w:rPr>
          <w:color w:val="auto"/>
        </w:rPr>
        <w:t xml:space="preserve"> shareholders exercising their rights helps reduce agency costs and increase directors’ accountability</w:t>
      </w:r>
      <w:r w:rsidR="00B93D13" w:rsidRPr="00EC1DF5">
        <w:rPr>
          <w:color w:val="auto"/>
        </w:rPr>
        <w:t xml:space="preserve"> (</w:t>
      </w:r>
      <w:r w:rsidRPr="00EC1DF5">
        <w:rPr>
          <w:color w:val="auto"/>
        </w:rPr>
        <w:t xml:space="preserve">Gompers </w:t>
      </w:r>
      <w:r w:rsidRPr="00EC1DF5">
        <w:rPr>
          <w:i/>
          <w:color w:val="auto"/>
        </w:rPr>
        <w:t>et al</w:t>
      </w:r>
      <w:r w:rsidRPr="00EC1DF5">
        <w:rPr>
          <w:color w:val="auto"/>
        </w:rPr>
        <w:t>.</w:t>
      </w:r>
      <w:r w:rsidR="00B93D13" w:rsidRPr="00EC1DF5">
        <w:rPr>
          <w:color w:val="auto"/>
        </w:rPr>
        <w:t xml:space="preserve">, </w:t>
      </w:r>
      <w:r w:rsidRPr="00EC1DF5">
        <w:rPr>
          <w:color w:val="auto"/>
        </w:rPr>
        <w:t>2003)</w:t>
      </w:r>
      <w:r w:rsidR="00B93D13" w:rsidRPr="00EC1DF5">
        <w:rPr>
          <w:color w:val="auto"/>
        </w:rPr>
        <w:t xml:space="preserve">. </w:t>
      </w:r>
      <w:r w:rsidRPr="00EC1DF5">
        <w:rPr>
          <w:color w:val="auto"/>
        </w:rPr>
        <w:t>Though the market’s reaction to shareholder rights ha</w:t>
      </w:r>
      <w:r w:rsidR="00EE1CD2" w:rsidRPr="00EC1DF5">
        <w:rPr>
          <w:color w:val="auto"/>
        </w:rPr>
        <w:t>s</w:t>
      </w:r>
      <w:r w:rsidRPr="00EC1DF5">
        <w:rPr>
          <w:color w:val="auto"/>
        </w:rPr>
        <w:t xml:space="preserve"> increased, the impact on sustainability is not empirically evidenced and thus </w:t>
      </w:r>
      <w:r w:rsidR="003943F9" w:rsidRPr="00EC1DF5">
        <w:rPr>
          <w:color w:val="auto"/>
        </w:rPr>
        <w:t>require</w:t>
      </w:r>
      <w:r w:rsidR="00EE1CD2" w:rsidRPr="00EC1DF5">
        <w:rPr>
          <w:color w:val="auto"/>
        </w:rPr>
        <w:t>s</w:t>
      </w:r>
      <w:r w:rsidRPr="00EC1DF5">
        <w:rPr>
          <w:color w:val="auto"/>
        </w:rPr>
        <w:t xml:space="preserve"> further investigation. </w:t>
      </w:r>
      <w:r w:rsidRPr="00EC1DF5">
        <w:rPr>
          <w:color w:val="auto"/>
        </w:rPr>
        <w:lastRenderedPageBreak/>
        <w:t xml:space="preserve">We argue that efforts by shareholders to ensure social and environmental sustainability might </w:t>
      </w:r>
      <w:r w:rsidR="003943F9" w:rsidRPr="00EC1DF5">
        <w:rPr>
          <w:color w:val="auto"/>
        </w:rPr>
        <w:t>rather have an adverse impact</w:t>
      </w:r>
      <w:r w:rsidRPr="00EC1DF5">
        <w:rPr>
          <w:color w:val="auto"/>
        </w:rPr>
        <w:t>. We therefore hypothesise that:</w:t>
      </w:r>
    </w:p>
    <w:p w14:paraId="50D4438C" w14:textId="77777777" w:rsidR="00866D45" w:rsidRPr="00EC1DF5" w:rsidRDefault="00866D45" w:rsidP="00A114E8">
      <w:pPr>
        <w:spacing w:line="480" w:lineRule="auto"/>
        <w:jc w:val="both"/>
        <w:rPr>
          <w:i/>
          <w:color w:val="auto"/>
        </w:rPr>
      </w:pPr>
      <w:r w:rsidRPr="00EC1DF5">
        <w:rPr>
          <w:b/>
          <w:bCs/>
          <w:color w:val="auto"/>
        </w:rPr>
        <w:t>H5a:</w:t>
      </w:r>
      <w:r w:rsidRPr="00EC1DF5">
        <w:rPr>
          <w:i/>
          <w:color w:val="auto"/>
        </w:rPr>
        <w:t xml:space="preserve"> There is a significantly negative impact of board shareholder rights on environmental sustainability performance</w:t>
      </w:r>
    </w:p>
    <w:p w14:paraId="7A304253" w14:textId="77777777" w:rsidR="00866D45" w:rsidRPr="00EC1DF5" w:rsidRDefault="00866D45" w:rsidP="00A114E8">
      <w:pPr>
        <w:spacing w:line="480" w:lineRule="auto"/>
        <w:jc w:val="both"/>
        <w:rPr>
          <w:i/>
          <w:color w:val="auto"/>
        </w:rPr>
      </w:pPr>
      <w:r w:rsidRPr="00EC1DF5">
        <w:rPr>
          <w:b/>
          <w:bCs/>
          <w:color w:val="auto"/>
        </w:rPr>
        <w:t>H5b:</w:t>
      </w:r>
      <w:r w:rsidRPr="00EC1DF5">
        <w:rPr>
          <w:i/>
          <w:color w:val="auto"/>
        </w:rPr>
        <w:t xml:space="preserve"> There is a significantly negative impact of board shareholder rights on social sustainability performance</w:t>
      </w:r>
    </w:p>
    <w:p w14:paraId="286D5CA5" w14:textId="17B2C805" w:rsidR="00866D45" w:rsidRPr="00EC1DF5" w:rsidRDefault="00866D45" w:rsidP="00A114E8">
      <w:pPr>
        <w:spacing w:line="480" w:lineRule="auto"/>
        <w:jc w:val="both"/>
        <w:rPr>
          <w:i/>
          <w:color w:val="auto"/>
        </w:rPr>
      </w:pPr>
      <w:r w:rsidRPr="00EC1DF5">
        <w:rPr>
          <w:b/>
          <w:bCs/>
          <w:color w:val="auto"/>
        </w:rPr>
        <w:t>H5c:</w:t>
      </w:r>
      <w:r w:rsidRPr="00EC1DF5">
        <w:rPr>
          <w:i/>
          <w:color w:val="auto"/>
        </w:rPr>
        <w:t xml:space="preserve"> There is a significantly positive impact of board shareholder rights on </w:t>
      </w:r>
      <w:r w:rsidR="00F853D7" w:rsidRPr="00EC1DF5">
        <w:rPr>
          <w:i/>
          <w:color w:val="auto"/>
        </w:rPr>
        <w:t>financial sustainability</w:t>
      </w:r>
      <w:r w:rsidRPr="00EC1DF5">
        <w:rPr>
          <w:i/>
          <w:color w:val="auto"/>
        </w:rPr>
        <w:t xml:space="preserve"> performance</w:t>
      </w:r>
    </w:p>
    <w:p w14:paraId="0687EE67" w14:textId="77777777" w:rsidR="00866D45" w:rsidRPr="00EC1DF5" w:rsidRDefault="00866D45" w:rsidP="00A77CCC">
      <w:pPr>
        <w:spacing w:line="480" w:lineRule="auto"/>
        <w:ind w:left="720"/>
        <w:jc w:val="both"/>
        <w:rPr>
          <w:i/>
          <w:color w:val="auto"/>
        </w:rPr>
      </w:pPr>
    </w:p>
    <w:p w14:paraId="27D18B55" w14:textId="59A7F273" w:rsidR="00866D45" w:rsidRPr="00EC1DF5" w:rsidRDefault="005D6959" w:rsidP="00A77CCC">
      <w:pPr>
        <w:pStyle w:val="Heading2"/>
        <w:spacing w:line="480" w:lineRule="auto"/>
        <w:rPr>
          <w:rFonts w:ascii="Times New Roman" w:hAnsi="Times New Roman" w:cs="Times New Roman"/>
          <w:b/>
          <w:color w:val="auto"/>
          <w:sz w:val="24"/>
          <w:szCs w:val="24"/>
        </w:rPr>
      </w:pPr>
      <w:r w:rsidRPr="00EC1DF5">
        <w:rPr>
          <w:rFonts w:ascii="Times New Roman" w:hAnsi="Times New Roman" w:cs="Times New Roman"/>
          <w:b/>
          <w:color w:val="auto"/>
          <w:sz w:val="24"/>
          <w:szCs w:val="24"/>
        </w:rPr>
        <w:t xml:space="preserve">2.2 </w:t>
      </w:r>
      <w:r w:rsidR="00866D45" w:rsidRPr="00EC1DF5">
        <w:rPr>
          <w:rFonts w:ascii="Times New Roman" w:hAnsi="Times New Roman" w:cs="Times New Roman"/>
          <w:b/>
          <w:color w:val="auto"/>
          <w:sz w:val="24"/>
          <w:szCs w:val="24"/>
        </w:rPr>
        <w:t>The Moderating Role of Stakeholder Engagement</w:t>
      </w:r>
    </w:p>
    <w:p w14:paraId="3C9D8B27" w14:textId="1081374E" w:rsidR="002B3804" w:rsidRPr="00EC1DF5" w:rsidRDefault="00866D45" w:rsidP="00A77CCC">
      <w:pPr>
        <w:spacing w:line="480" w:lineRule="auto"/>
        <w:jc w:val="both"/>
        <w:rPr>
          <w:color w:val="auto"/>
        </w:rPr>
      </w:pPr>
      <w:r w:rsidRPr="00EC1DF5">
        <w:rPr>
          <w:color w:val="auto"/>
        </w:rPr>
        <w:t xml:space="preserve">Greenwood (2007) defines stakeholder engagement as the practices undertaken by organisations to involve stakeholders in their organisational activities. </w:t>
      </w:r>
      <w:r w:rsidR="00B8138F" w:rsidRPr="00EC1DF5">
        <w:rPr>
          <w:color w:val="auto"/>
        </w:rPr>
        <w:t>It</w:t>
      </w:r>
      <w:r w:rsidRPr="00EC1DF5">
        <w:rPr>
          <w:color w:val="auto"/>
        </w:rPr>
        <w:t xml:space="preserve"> has received heightened attention </w:t>
      </w:r>
      <w:proofErr w:type="gramStart"/>
      <w:r w:rsidR="003943F9" w:rsidRPr="00EC1DF5">
        <w:rPr>
          <w:color w:val="auto"/>
        </w:rPr>
        <w:t>as a result of</w:t>
      </w:r>
      <w:proofErr w:type="gramEnd"/>
      <w:r w:rsidRPr="00EC1DF5">
        <w:rPr>
          <w:color w:val="auto"/>
        </w:rPr>
        <w:t xml:space="preserve"> increased pressure by stakeholders for</w:t>
      </w:r>
      <w:r w:rsidR="003943F9" w:rsidRPr="00EC1DF5">
        <w:rPr>
          <w:color w:val="auto"/>
        </w:rPr>
        <w:t xml:space="preserve"> transparency and</w:t>
      </w:r>
      <w:r w:rsidRPr="00EC1DF5">
        <w:rPr>
          <w:color w:val="auto"/>
        </w:rPr>
        <w:t xml:space="preserve"> inclusiveness. To promote such inclusiveness and engagement in sustainability, researchers (see Amor-Esteban </w:t>
      </w:r>
      <w:r w:rsidRPr="00EC1DF5">
        <w:rPr>
          <w:i/>
          <w:color w:val="auto"/>
        </w:rPr>
        <w:t>et al</w:t>
      </w:r>
      <w:r w:rsidRPr="00EC1DF5">
        <w:rPr>
          <w:color w:val="auto"/>
        </w:rPr>
        <w:t xml:space="preserve">., 2018) have developed a CSR index of practices to stimulate stakeholder engagement. Through appropriate integration of relevant stakeholders in the value creation process, there is a greater possibility that sustainability performance will improve (Markovic and Bagherzadeh, 2018). The role of stakeholders varies depending on the dimension of sustainability considered. For environmental sustainability, stakeholders affected by the </w:t>
      </w:r>
      <w:proofErr w:type="gramStart"/>
      <w:r w:rsidRPr="00EC1DF5">
        <w:rPr>
          <w:color w:val="auto"/>
        </w:rPr>
        <w:t>end product</w:t>
      </w:r>
      <w:proofErr w:type="gramEnd"/>
      <w:r w:rsidRPr="00EC1DF5">
        <w:rPr>
          <w:color w:val="auto"/>
        </w:rPr>
        <w:t xml:space="preserve"> and those involved in the creation process should be engaged with whenever necessary. </w:t>
      </w:r>
      <w:proofErr w:type="gramStart"/>
      <w:r w:rsidRPr="00EC1DF5">
        <w:rPr>
          <w:color w:val="auto"/>
        </w:rPr>
        <w:t>Using waste management as an example, it</w:t>
      </w:r>
      <w:proofErr w:type="gramEnd"/>
      <w:r w:rsidRPr="00EC1DF5">
        <w:rPr>
          <w:color w:val="auto"/>
        </w:rPr>
        <w:t xml:space="preserve"> is proposed that a </w:t>
      </w:r>
      <w:r w:rsidR="00346B2B" w:rsidRPr="00EC1DF5">
        <w:rPr>
          <w:color w:val="auto"/>
        </w:rPr>
        <w:t>collaboration</w:t>
      </w:r>
      <w:r w:rsidRPr="00EC1DF5">
        <w:rPr>
          <w:color w:val="auto"/>
        </w:rPr>
        <w:t xml:space="preserve"> is established with household</w:t>
      </w:r>
      <w:r w:rsidR="00346B2B" w:rsidRPr="00EC1DF5">
        <w:rPr>
          <w:color w:val="auto"/>
        </w:rPr>
        <w:t>s</w:t>
      </w:r>
      <w:r w:rsidRPr="00EC1DF5">
        <w:rPr>
          <w:color w:val="auto"/>
        </w:rPr>
        <w:t xml:space="preserve"> in the collection and separation of waste to lead to waste reduction. Such </w:t>
      </w:r>
      <w:proofErr w:type="spellStart"/>
      <w:r w:rsidRPr="00EC1DF5">
        <w:rPr>
          <w:color w:val="auto"/>
        </w:rPr>
        <w:t>co</w:t>
      </w:r>
      <w:r w:rsidR="005C0D0A" w:rsidRPr="00EC1DF5">
        <w:rPr>
          <w:color w:val="auto"/>
        </w:rPr>
        <w:t>o</w:t>
      </w:r>
      <w:r w:rsidRPr="00EC1DF5">
        <w:rPr>
          <w:color w:val="auto"/>
        </w:rPr>
        <w:t>poration</w:t>
      </w:r>
      <w:proofErr w:type="spellEnd"/>
      <w:r w:rsidRPr="00EC1DF5">
        <w:rPr>
          <w:color w:val="auto"/>
        </w:rPr>
        <w:t xml:space="preserve"> or engagement could stem from </w:t>
      </w:r>
      <w:r w:rsidR="002B3804" w:rsidRPr="00EC1DF5">
        <w:rPr>
          <w:color w:val="auto"/>
        </w:rPr>
        <w:t>financial</w:t>
      </w:r>
      <w:r w:rsidR="00873D62" w:rsidRPr="00EC1DF5">
        <w:rPr>
          <w:color w:val="auto"/>
        </w:rPr>
        <w:t>ly</w:t>
      </w:r>
      <w:r w:rsidR="002B3804" w:rsidRPr="00EC1DF5">
        <w:rPr>
          <w:color w:val="auto"/>
        </w:rPr>
        <w:t xml:space="preserve"> or non-financially related </w:t>
      </w:r>
      <w:r w:rsidRPr="00EC1DF5">
        <w:rPr>
          <w:color w:val="auto"/>
        </w:rPr>
        <w:t>incentive</w:t>
      </w:r>
      <w:r w:rsidR="002B3804" w:rsidRPr="00EC1DF5">
        <w:rPr>
          <w:color w:val="auto"/>
        </w:rPr>
        <w:t xml:space="preserve">s </w:t>
      </w:r>
      <w:r w:rsidRPr="00EC1DF5">
        <w:rPr>
          <w:color w:val="auto"/>
        </w:rPr>
        <w:t>(</w:t>
      </w:r>
      <w:proofErr w:type="spellStart"/>
      <w:r w:rsidRPr="00EC1DF5">
        <w:rPr>
          <w:color w:val="auto"/>
        </w:rPr>
        <w:t>Salhofer</w:t>
      </w:r>
      <w:proofErr w:type="spellEnd"/>
      <w:r w:rsidRPr="00EC1DF5">
        <w:rPr>
          <w:color w:val="auto"/>
        </w:rPr>
        <w:t xml:space="preserve"> </w:t>
      </w:r>
      <w:r w:rsidRPr="00EC1DF5">
        <w:rPr>
          <w:i/>
          <w:color w:val="auto"/>
        </w:rPr>
        <w:t>et al</w:t>
      </w:r>
      <w:r w:rsidRPr="00EC1DF5">
        <w:rPr>
          <w:color w:val="auto"/>
        </w:rPr>
        <w:t>.</w:t>
      </w:r>
      <w:r w:rsidR="00316CC3" w:rsidRPr="00EC1DF5">
        <w:rPr>
          <w:color w:val="auto"/>
        </w:rPr>
        <w:t xml:space="preserve">, </w:t>
      </w:r>
      <w:r w:rsidRPr="00EC1DF5">
        <w:rPr>
          <w:color w:val="auto"/>
        </w:rPr>
        <w:t>2008).</w:t>
      </w:r>
      <w:r w:rsidR="002B3804" w:rsidRPr="00EC1DF5">
        <w:rPr>
          <w:color w:val="auto"/>
        </w:rPr>
        <w:t xml:space="preserve"> Furthermore, it is asserted (</w:t>
      </w:r>
      <w:r w:rsidRPr="00EC1DF5">
        <w:rPr>
          <w:color w:val="auto"/>
        </w:rPr>
        <w:t>Greenwood</w:t>
      </w:r>
      <w:r w:rsidR="002B3804" w:rsidRPr="00EC1DF5">
        <w:rPr>
          <w:color w:val="auto"/>
        </w:rPr>
        <w:t xml:space="preserve">, </w:t>
      </w:r>
      <w:r w:rsidRPr="00EC1DF5">
        <w:rPr>
          <w:color w:val="auto"/>
        </w:rPr>
        <w:t xml:space="preserve">2007) that </w:t>
      </w:r>
      <w:r w:rsidRPr="00EC1DF5">
        <w:rPr>
          <w:color w:val="auto"/>
        </w:rPr>
        <w:lastRenderedPageBreak/>
        <w:t xml:space="preserve">organisations </w:t>
      </w:r>
      <w:r w:rsidR="002B3804" w:rsidRPr="00EC1DF5">
        <w:rPr>
          <w:color w:val="auto"/>
        </w:rPr>
        <w:t>which</w:t>
      </w:r>
      <w:r w:rsidRPr="00EC1DF5">
        <w:rPr>
          <w:color w:val="auto"/>
        </w:rPr>
        <w:t xml:space="preserve"> engage with their stakeholders often are more accountable and act responsibly. Stakeholder engagement may exist in the form of public relations, supplier relations, human resource management, and customer service. </w:t>
      </w:r>
      <w:r w:rsidR="006E3421" w:rsidRPr="00EC1DF5">
        <w:rPr>
          <w:color w:val="auto"/>
        </w:rPr>
        <w:t xml:space="preserve">However, </w:t>
      </w:r>
      <w:proofErr w:type="spellStart"/>
      <w:r w:rsidR="002B3804" w:rsidRPr="00EC1DF5">
        <w:rPr>
          <w:color w:val="auto"/>
        </w:rPr>
        <w:t>F</w:t>
      </w:r>
      <w:r w:rsidR="006E3421" w:rsidRPr="00EC1DF5">
        <w:rPr>
          <w:color w:val="auto"/>
        </w:rPr>
        <w:t>rooman</w:t>
      </w:r>
      <w:proofErr w:type="spellEnd"/>
      <w:r w:rsidR="006E3421" w:rsidRPr="00EC1DF5">
        <w:rPr>
          <w:color w:val="auto"/>
        </w:rPr>
        <w:t xml:space="preserve"> </w:t>
      </w:r>
      <w:r w:rsidR="002B3804" w:rsidRPr="00EC1DF5">
        <w:rPr>
          <w:color w:val="auto"/>
        </w:rPr>
        <w:t>(</w:t>
      </w:r>
      <w:r w:rsidR="006E3421" w:rsidRPr="00EC1DF5">
        <w:rPr>
          <w:color w:val="auto"/>
        </w:rPr>
        <w:t xml:space="preserve">1999) </w:t>
      </w:r>
      <w:r w:rsidR="002B3804" w:rsidRPr="00EC1DF5">
        <w:rPr>
          <w:color w:val="auto"/>
        </w:rPr>
        <w:t xml:space="preserve">contends </w:t>
      </w:r>
      <w:r w:rsidR="006E3421" w:rsidRPr="00EC1DF5">
        <w:rPr>
          <w:color w:val="auto"/>
        </w:rPr>
        <w:t>that stakeholder engagement is under</w:t>
      </w:r>
      <w:r w:rsidR="00873D62" w:rsidRPr="00EC1DF5">
        <w:rPr>
          <w:color w:val="auto"/>
        </w:rPr>
        <w:t>-</w:t>
      </w:r>
      <w:r w:rsidR="006E3421" w:rsidRPr="00EC1DF5">
        <w:rPr>
          <w:color w:val="auto"/>
        </w:rPr>
        <w:t>theorised due to</w:t>
      </w:r>
      <w:r w:rsidRPr="00EC1DF5">
        <w:rPr>
          <w:color w:val="auto"/>
        </w:rPr>
        <w:t xml:space="preserve"> the</w:t>
      </w:r>
      <w:r w:rsidR="006E3421" w:rsidRPr="00EC1DF5">
        <w:rPr>
          <w:color w:val="auto"/>
        </w:rPr>
        <w:t xml:space="preserve"> focus on</w:t>
      </w:r>
      <w:r w:rsidR="008B671A" w:rsidRPr="00EC1DF5">
        <w:rPr>
          <w:color w:val="auto"/>
        </w:rPr>
        <w:t xml:space="preserve"> </w:t>
      </w:r>
      <w:r w:rsidR="00F853D7" w:rsidRPr="00EC1DF5">
        <w:rPr>
          <w:color w:val="auto"/>
        </w:rPr>
        <w:t>stakeholder</w:t>
      </w:r>
      <w:r w:rsidR="008B671A" w:rsidRPr="00EC1DF5">
        <w:rPr>
          <w:color w:val="auto"/>
        </w:rPr>
        <w:t xml:space="preserve"> partnership</w:t>
      </w:r>
      <w:r w:rsidRPr="00EC1DF5">
        <w:rPr>
          <w:color w:val="auto"/>
        </w:rPr>
        <w:t xml:space="preserve">. </w:t>
      </w:r>
    </w:p>
    <w:p w14:paraId="48826B5F" w14:textId="498AFA79" w:rsidR="00866D45" w:rsidRPr="00EC1DF5" w:rsidRDefault="00866D45" w:rsidP="000A168F">
      <w:pPr>
        <w:spacing w:line="480" w:lineRule="auto"/>
        <w:ind w:firstLine="720"/>
        <w:jc w:val="both"/>
        <w:rPr>
          <w:color w:val="auto"/>
        </w:rPr>
      </w:pPr>
      <w:r w:rsidRPr="00EC1DF5">
        <w:rPr>
          <w:color w:val="auto"/>
        </w:rPr>
        <w:t xml:space="preserve">Drawing from the model developed by Greenwood (2007), stakeholder engagement </w:t>
      </w:r>
      <w:r w:rsidR="00346B2B" w:rsidRPr="00EC1DF5">
        <w:rPr>
          <w:color w:val="auto"/>
        </w:rPr>
        <w:t xml:space="preserve">intensity </w:t>
      </w:r>
      <w:r w:rsidRPr="00EC1DF5">
        <w:rPr>
          <w:color w:val="auto"/>
        </w:rPr>
        <w:t>could be</w:t>
      </w:r>
      <w:r w:rsidR="00346B2B" w:rsidRPr="00EC1DF5">
        <w:rPr>
          <w:color w:val="auto"/>
        </w:rPr>
        <w:t xml:space="preserve"> either</w:t>
      </w:r>
      <w:r w:rsidRPr="00EC1DF5">
        <w:rPr>
          <w:color w:val="auto"/>
        </w:rPr>
        <w:t xml:space="preserve"> low or high. Low stakeholder engagement is </w:t>
      </w:r>
      <w:r w:rsidR="00CF5AF3" w:rsidRPr="00EC1DF5">
        <w:rPr>
          <w:color w:val="auto"/>
        </w:rPr>
        <w:t xml:space="preserve">observed </w:t>
      </w:r>
      <w:r w:rsidRPr="00EC1DF5">
        <w:rPr>
          <w:color w:val="auto"/>
        </w:rPr>
        <w:t>whe</w:t>
      </w:r>
      <w:r w:rsidR="00CF5AF3" w:rsidRPr="00EC1DF5">
        <w:rPr>
          <w:color w:val="auto"/>
        </w:rPr>
        <w:t>n</w:t>
      </w:r>
      <w:r w:rsidRPr="00EC1DF5">
        <w:rPr>
          <w:color w:val="auto"/>
        </w:rPr>
        <w:t xml:space="preserve"> the organisation indicates minimal interest in stakeholder engagement yet </w:t>
      </w:r>
      <w:r w:rsidR="005C0D0A" w:rsidRPr="00EC1DF5">
        <w:rPr>
          <w:color w:val="auto"/>
        </w:rPr>
        <w:t xml:space="preserve">does </w:t>
      </w:r>
      <w:r w:rsidR="009C4CD9" w:rsidRPr="00EC1DF5">
        <w:rPr>
          <w:color w:val="auto"/>
        </w:rPr>
        <w:t>interact</w:t>
      </w:r>
      <w:r w:rsidR="005C0D0A" w:rsidRPr="00EC1DF5">
        <w:rPr>
          <w:color w:val="auto"/>
        </w:rPr>
        <w:t xml:space="preserve"> with them according to legal requirements</w:t>
      </w:r>
      <w:r w:rsidRPr="00EC1DF5">
        <w:rPr>
          <w:color w:val="auto"/>
        </w:rPr>
        <w:t xml:space="preserve">. This form of engagement is common in outsourcing services </w:t>
      </w:r>
      <w:r w:rsidR="00346B2B" w:rsidRPr="00EC1DF5">
        <w:rPr>
          <w:color w:val="auto"/>
        </w:rPr>
        <w:t xml:space="preserve">such as </w:t>
      </w:r>
      <w:r w:rsidRPr="00EC1DF5">
        <w:rPr>
          <w:color w:val="auto"/>
        </w:rPr>
        <w:t>human resource</w:t>
      </w:r>
      <w:r w:rsidR="00DC4795" w:rsidRPr="00EC1DF5">
        <w:rPr>
          <w:color w:val="auto"/>
        </w:rPr>
        <w:t>s</w:t>
      </w:r>
      <w:r w:rsidRPr="00EC1DF5">
        <w:rPr>
          <w:color w:val="auto"/>
        </w:rPr>
        <w:t xml:space="preserve"> and customer support where engagement is </w:t>
      </w:r>
      <w:r w:rsidR="00DC4795" w:rsidRPr="00EC1DF5">
        <w:rPr>
          <w:color w:val="auto"/>
        </w:rPr>
        <w:t xml:space="preserve">a </w:t>
      </w:r>
      <w:r w:rsidRPr="00EC1DF5">
        <w:rPr>
          <w:color w:val="auto"/>
        </w:rPr>
        <w:t xml:space="preserve">mere economic exchange. </w:t>
      </w:r>
      <w:r w:rsidR="00346B2B" w:rsidRPr="00EC1DF5">
        <w:rPr>
          <w:color w:val="auto"/>
        </w:rPr>
        <w:t>T</w:t>
      </w:r>
      <w:r w:rsidRPr="00EC1DF5">
        <w:rPr>
          <w:color w:val="auto"/>
        </w:rPr>
        <w:t>he issue of paternalism is very common</w:t>
      </w:r>
      <w:r w:rsidR="00346B2B" w:rsidRPr="00EC1DF5">
        <w:rPr>
          <w:color w:val="auto"/>
        </w:rPr>
        <w:t xml:space="preserve"> with low engagement where </w:t>
      </w:r>
      <w:r w:rsidRPr="00EC1DF5">
        <w:rPr>
          <w:color w:val="auto"/>
        </w:rPr>
        <w:t>organisations act in the best interest</w:t>
      </w:r>
      <w:r w:rsidR="00DC4795" w:rsidRPr="00EC1DF5">
        <w:rPr>
          <w:color w:val="auto"/>
        </w:rPr>
        <w:t>s</w:t>
      </w:r>
      <w:r w:rsidRPr="00EC1DF5">
        <w:rPr>
          <w:color w:val="auto"/>
        </w:rPr>
        <w:t xml:space="preserve"> of stakeholders, yet no form of engagement is established</w:t>
      </w:r>
      <w:r w:rsidR="0051399C" w:rsidRPr="00EC1DF5">
        <w:rPr>
          <w:color w:val="auto"/>
        </w:rPr>
        <w:t xml:space="preserve"> despite its relevance</w:t>
      </w:r>
      <w:r w:rsidRPr="00EC1DF5">
        <w:rPr>
          <w:color w:val="auto"/>
        </w:rPr>
        <w:t xml:space="preserve"> (Noland and Phillips, 2010).</w:t>
      </w:r>
    </w:p>
    <w:p w14:paraId="4E5DFEF1" w14:textId="01B2AF6C" w:rsidR="00866D45" w:rsidRPr="00EC1DF5" w:rsidRDefault="00866D45" w:rsidP="000A168F">
      <w:pPr>
        <w:spacing w:line="480" w:lineRule="auto"/>
        <w:ind w:firstLine="720"/>
        <w:jc w:val="both"/>
        <w:rPr>
          <w:color w:val="auto"/>
        </w:rPr>
      </w:pPr>
      <w:r w:rsidRPr="00EC1DF5">
        <w:rPr>
          <w:color w:val="auto"/>
        </w:rPr>
        <w:t xml:space="preserve">High stakeholder engagement, on the other hand, is where the company balances legitimacy with justifiable moral principles (Freeman and Evan, 1990) to result in corporate responsibility. </w:t>
      </w:r>
      <w:r w:rsidR="00CF5AF3" w:rsidRPr="00EC1DF5">
        <w:rPr>
          <w:color w:val="auto"/>
        </w:rPr>
        <w:t>High stakeholder engagement stems from</w:t>
      </w:r>
      <w:r w:rsidR="00DC4795" w:rsidRPr="00EC1DF5">
        <w:rPr>
          <w:color w:val="auto"/>
        </w:rPr>
        <w:t xml:space="preserve"> compan</w:t>
      </w:r>
      <w:r w:rsidR="009C4CD9" w:rsidRPr="00EC1DF5">
        <w:rPr>
          <w:color w:val="auto"/>
        </w:rPr>
        <w:t>ies’</w:t>
      </w:r>
      <w:r w:rsidR="00DC4795" w:rsidRPr="00EC1DF5">
        <w:rPr>
          <w:color w:val="auto"/>
        </w:rPr>
        <w:t xml:space="preserve"> </w:t>
      </w:r>
      <w:r w:rsidR="0051399C" w:rsidRPr="00EC1DF5">
        <w:rPr>
          <w:color w:val="auto"/>
        </w:rPr>
        <w:t xml:space="preserve">strategic </w:t>
      </w:r>
      <w:r w:rsidR="00CF5AF3" w:rsidRPr="00EC1DF5">
        <w:rPr>
          <w:color w:val="auto"/>
        </w:rPr>
        <w:t xml:space="preserve">responsibility </w:t>
      </w:r>
      <w:r w:rsidRPr="00EC1DF5">
        <w:rPr>
          <w:color w:val="auto"/>
        </w:rPr>
        <w:t>to</w:t>
      </w:r>
      <w:r w:rsidR="0051399C" w:rsidRPr="00EC1DF5">
        <w:rPr>
          <w:color w:val="auto"/>
        </w:rPr>
        <w:t xml:space="preserve"> address </w:t>
      </w:r>
      <w:r w:rsidRPr="00EC1DF5">
        <w:rPr>
          <w:color w:val="auto"/>
        </w:rPr>
        <w:t xml:space="preserve">stakeholders </w:t>
      </w:r>
      <w:r w:rsidR="0051399C" w:rsidRPr="00EC1DF5">
        <w:rPr>
          <w:color w:val="auto"/>
        </w:rPr>
        <w:t>while achieving</w:t>
      </w:r>
      <w:r w:rsidRPr="00EC1DF5">
        <w:rPr>
          <w:color w:val="auto"/>
        </w:rPr>
        <w:t xml:space="preserve"> their organisational aims. </w:t>
      </w:r>
      <w:r w:rsidR="00DC4795" w:rsidRPr="00EC1DF5">
        <w:rPr>
          <w:color w:val="auto"/>
        </w:rPr>
        <w:t>Thus,</w:t>
      </w:r>
      <w:r w:rsidRPr="00EC1DF5">
        <w:rPr>
          <w:color w:val="auto"/>
        </w:rPr>
        <w:t xml:space="preserve"> basically, the company </w:t>
      </w:r>
      <w:r w:rsidR="0051399C" w:rsidRPr="00EC1DF5">
        <w:rPr>
          <w:color w:val="auto"/>
        </w:rPr>
        <w:t>acts</w:t>
      </w:r>
      <w:r w:rsidRPr="00EC1DF5">
        <w:rPr>
          <w:color w:val="auto"/>
        </w:rPr>
        <w:t xml:space="preserve"> in the best interest</w:t>
      </w:r>
      <w:r w:rsidR="00DC4795" w:rsidRPr="00EC1DF5">
        <w:rPr>
          <w:color w:val="auto"/>
        </w:rPr>
        <w:t>s</w:t>
      </w:r>
      <w:r w:rsidRPr="00EC1DF5">
        <w:rPr>
          <w:color w:val="auto"/>
        </w:rPr>
        <w:t xml:space="preserve"> of stakeholders as well as </w:t>
      </w:r>
      <w:r w:rsidR="00DC4795" w:rsidRPr="00EC1DF5">
        <w:rPr>
          <w:color w:val="auto"/>
        </w:rPr>
        <w:t xml:space="preserve">its </w:t>
      </w:r>
      <w:r w:rsidRPr="00EC1DF5">
        <w:rPr>
          <w:color w:val="auto"/>
        </w:rPr>
        <w:t xml:space="preserve">own long-term interests. </w:t>
      </w:r>
      <w:r w:rsidR="0051399C" w:rsidRPr="00EC1DF5">
        <w:rPr>
          <w:color w:val="auto"/>
        </w:rPr>
        <w:t>This is also to avoid</w:t>
      </w:r>
      <w:r w:rsidRPr="00EC1DF5">
        <w:rPr>
          <w:color w:val="auto"/>
        </w:rPr>
        <w:t xml:space="preserve"> any </w:t>
      </w:r>
      <w:r w:rsidR="0051399C" w:rsidRPr="00EC1DF5">
        <w:rPr>
          <w:color w:val="auto"/>
        </w:rPr>
        <w:t>accusation</w:t>
      </w:r>
      <w:r w:rsidRPr="00EC1DF5">
        <w:rPr>
          <w:color w:val="auto"/>
        </w:rPr>
        <w:t xml:space="preserve"> of immoral and irresponsible </w:t>
      </w:r>
      <w:r w:rsidR="00DA41EB" w:rsidRPr="00EC1DF5">
        <w:rPr>
          <w:color w:val="auto"/>
        </w:rPr>
        <w:t>behaviour</w:t>
      </w:r>
      <w:r w:rsidRPr="00EC1DF5">
        <w:rPr>
          <w:color w:val="auto"/>
        </w:rPr>
        <w:t xml:space="preserve"> </w:t>
      </w:r>
      <w:r w:rsidR="0051399C" w:rsidRPr="00EC1DF5">
        <w:rPr>
          <w:color w:val="auto"/>
        </w:rPr>
        <w:t>from stakeholders.</w:t>
      </w:r>
      <w:r w:rsidRPr="00EC1DF5">
        <w:rPr>
          <w:color w:val="auto"/>
        </w:rPr>
        <w:t xml:space="preserve"> </w:t>
      </w:r>
      <w:proofErr w:type="gramStart"/>
      <w:r w:rsidRPr="00EC1DF5">
        <w:rPr>
          <w:color w:val="auto"/>
        </w:rPr>
        <w:t>On the basis of</w:t>
      </w:r>
      <w:proofErr w:type="gramEnd"/>
      <w:r w:rsidRPr="00EC1DF5">
        <w:rPr>
          <w:color w:val="auto"/>
        </w:rPr>
        <w:t xml:space="preserve"> this analysis, we propose the following:</w:t>
      </w:r>
    </w:p>
    <w:p w14:paraId="070A3ED1" w14:textId="5030F5D1" w:rsidR="00866D45" w:rsidRPr="00EC1DF5" w:rsidRDefault="00866D45" w:rsidP="000A168F">
      <w:pPr>
        <w:spacing w:line="480" w:lineRule="auto"/>
        <w:jc w:val="both"/>
        <w:rPr>
          <w:i/>
          <w:color w:val="auto"/>
        </w:rPr>
      </w:pPr>
      <w:r w:rsidRPr="00EC1DF5">
        <w:rPr>
          <w:b/>
          <w:bCs/>
          <w:color w:val="auto"/>
        </w:rPr>
        <w:t>H6</w:t>
      </w:r>
      <w:r w:rsidRPr="00EC1DF5">
        <w:rPr>
          <w:b/>
          <w:bCs/>
          <w:i/>
          <w:color w:val="auto"/>
        </w:rPr>
        <w:t>:</w:t>
      </w:r>
      <w:r w:rsidRPr="00EC1DF5">
        <w:rPr>
          <w:i/>
          <w:color w:val="auto"/>
        </w:rPr>
        <w:t xml:space="preserve"> The positive effect of CG on business sustainability will be more positive for firms pursuing high stakeholder engagement than firms that pursue low stakeholder engagement</w:t>
      </w:r>
    </w:p>
    <w:p w14:paraId="01533097" w14:textId="77777777" w:rsidR="00FF717D" w:rsidRPr="00EC1DF5" w:rsidRDefault="00FF717D" w:rsidP="000A168F">
      <w:pPr>
        <w:spacing w:line="480" w:lineRule="auto"/>
        <w:jc w:val="both"/>
        <w:rPr>
          <w:i/>
          <w:color w:val="auto"/>
        </w:rPr>
      </w:pPr>
    </w:p>
    <w:p w14:paraId="1BAB0A3F" w14:textId="35637ED5" w:rsidR="00EF1935" w:rsidRPr="00EC1DF5" w:rsidRDefault="00EF1935" w:rsidP="00A77CCC">
      <w:pPr>
        <w:pStyle w:val="Heading1"/>
        <w:numPr>
          <w:ilvl w:val="0"/>
          <w:numId w:val="8"/>
        </w:numPr>
        <w:spacing w:line="480" w:lineRule="auto"/>
        <w:ind w:left="284" w:hanging="284"/>
        <w:rPr>
          <w:rFonts w:ascii="Times New Roman" w:hAnsi="Times New Roman" w:cs="Times New Roman"/>
          <w:b/>
          <w:i/>
          <w:iCs/>
          <w:color w:val="auto"/>
          <w:sz w:val="24"/>
          <w:szCs w:val="24"/>
        </w:rPr>
      </w:pPr>
      <w:r w:rsidRPr="00EC1DF5">
        <w:rPr>
          <w:rFonts w:ascii="Times New Roman" w:hAnsi="Times New Roman" w:cs="Times New Roman"/>
          <w:b/>
          <w:color w:val="auto"/>
          <w:sz w:val="24"/>
          <w:szCs w:val="24"/>
        </w:rPr>
        <w:lastRenderedPageBreak/>
        <w:t>Research Method</w:t>
      </w:r>
    </w:p>
    <w:p w14:paraId="5692F982" w14:textId="3529B254" w:rsidR="00866D45" w:rsidRPr="00EC1DF5" w:rsidRDefault="005D6959" w:rsidP="00921748">
      <w:pPr>
        <w:pStyle w:val="Heading2"/>
        <w:spacing w:line="480" w:lineRule="auto"/>
        <w:rPr>
          <w:rFonts w:ascii="Times New Roman" w:hAnsi="Times New Roman" w:cs="Times New Roman"/>
          <w:b/>
          <w:color w:val="auto"/>
          <w:sz w:val="24"/>
          <w:szCs w:val="24"/>
        </w:rPr>
      </w:pPr>
      <w:r w:rsidRPr="00EC1DF5">
        <w:rPr>
          <w:rFonts w:ascii="Times New Roman" w:hAnsi="Times New Roman" w:cs="Times New Roman"/>
          <w:b/>
          <w:color w:val="auto"/>
          <w:sz w:val="24"/>
          <w:szCs w:val="24"/>
        </w:rPr>
        <w:t xml:space="preserve">3.1 </w:t>
      </w:r>
      <w:r w:rsidR="00866D45" w:rsidRPr="00EC1DF5">
        <w:rPr>
          <w:rFonts w:ascii="Times New Roman" w:hAnsi="Times New Roman" w:cs="Times New Roman"/>
          <w:b/>
          <w:color w:val="auto"/>
          <w:sz w:val="24"/>
          <w:szCs w:val="24"/>
        </w:rPr>
        <w:t>Sample Design and Variable Measurement</w:t>
      </w:r>
    </w:p>
    <w:p w14:paraId="5F7AD321" w14:textId="3D3C27A9" w:rsidR="00866D45" w:rsidRPr="00EC1DF5" w:rsidRDefault="00DA41EB" w:rsidP="00921748">
      <w:pPr>
        <w:spacing w:line="480" w:lineRule="auto"/>
        <w:jc w:val="both"/>
        <w:rPr>
          <w:color w:val="auto"/>
        </w:rPr>
      </w:pPr>
      <w:r w:rsidRPr="00EC1DF5">
        <w:rPr>
          <w:color w:val="auto"/>
        </w:rPr>
        <w:t>A</w:t>
      </w:r>
      <w:r w:rsidR="00866D45" w:rsidRPr="00EC1DF5">
        <w:rPr>
          <w:color w:val="auto"/>
        </w:rPr>
        <w:t xml:space="preserve"> sample of </w:t>
      </w:r>
      <w:r w:rsidR="00DC4795" w:rsidRPr="00EC1DF5">
        <w:rPr>
          <w:color w:val="auto"/>
        </w:rPr>
        <w:t xml:space="preserve">the </w:t>
      </w:r>
      <w:r w:rsidR="00866D45" w:rsidRPr="00EC1DF5">
        <w:rPr>
          <w:color w:val="auto"/>
        </w:rPr>
        <w:t xml:space="preserve">unbalanced data of </w:t>
      </w:r>
      <w:r w:rsidR="00DC4795" w:rsidRPr="00EC1DF5">
        <w:rPr>
          <w:color w:val="auto"/>
        </w:rPr>
        <w:t xml:space="preserve">278 </w:t>
      </w:r>
      <w:r w:rsidR="00866D45" w:rsidRPr="00EC1DF5">
        <w:rPr>
          <w:color w:val="auto"/>
        </w:rPr>
        <w:t xml:space="preserve">US companies listed on the S &amp; P 500 stock exchange from 2002 to 2017 </w:t>
      </w:r>
      <w:r w:rsidRPr="00EC1DF5">
        <w:rPr>
          <w:color w:val="auto"/>
        </w:rPr>
        <w:t>is utilised in this study</w:t>
      </w:r>
      <w:r w:rsidR="00866D45" w:rsidRPr="00EC1DF5">
        <w:rPr>
          <w:color w:val="auto"/>
        </w:rPr>
        <w:t xml:space="preserve">. </w:t>
      </w:r>
      <w:r w:rsidR="00B06923" w:rsidRPr="00EC1DF5">
        <w:rPr>
          <w:color w:val="auto"/>
        </w:rPr>
        <w:t>We selected the</w:t>
      </w:r>
      <w:r w:rsidRPr="00EC1DF5">
        <w:rPr>
          <w:color w:val="auto"/>
        </w:rPr>
        <w:t xml:space="preserve"> period from</w:t>
      </w:r>
      <w:r w:rsidR="00866D45" w:rsidRPr="00EC1DF5">
        <w:rPr>
          <w:color w:val="auto"/>
        </w:rPr>
        <w:t xml:space="preserve"> 2002</w:t>
      </w:r>
      <w:r w:rsidRPr="00EC1DF5">
        <w:rPr>
          <w:color w:val="auto"/>
        </w:rPr>
        <w:t xml:space="preserve"> </w:t>
      </w:r>
      <w:r w:rsidR="00866D45" w:rsidRPr="00EC1DF5">
        <w:rPr>
          <w:color w:val="auto"/>
        </w:rPr>
        <w:t>to capture the changes made in corporate governance practices after the enforcement of the Sarbanes Oxley Act (SOX) in th</w:t>
      </w:r>
      <w:r w:rsidRPr="00EC1DF5">
        <w:rPr>
          <w:color w:val="auto"/>
        </w:rPr>
        <w:t>at year</w:t>
      </w:r>
      <w:r w:rsidR="00866D45" w:rsidRPr="00EC1DF5">
        <w:rPr>
          <w:color w:val="auto"/>
        </w:rPr>
        <w:t xml:space="preserve">. </w:t>
      </w:r>
      <w:r w:rsidR="00DC4795" w:rsidRPr="00EC1DF5">
        <w:rPr>
          <w:color w:val="auto"/>
        </w:rPr>
        <w:t xml:space="preserve">As well as </w:t>
      </w:r>
      <w:r w:rsidR="00866D45" w:rsidRPr="00EC1DF5">
        <w:rPr>
          <w:color w:val="auto"/>
        </w:rPr>
        <w:t xml:space="preserve">excluding all firms in the financial sector based on the special regulations guiding their activities and reporting (see </w:t>
      </w:r>
      <w:proofErr w:type="spellStart"/>
      <w:r w:rsidR="00866D45" w:rsidRPr="00EC1DF5">
        <w:rPr>
          <w:color w:val="auto"/>
        </w:rPr>
        <w:t>Chithambo</w:t>
      </w:r>
      <w:proofErr w:type="spellEnd"/>
      <w:r w:rsidR="00866D45" w:rsidRPr="00EC1DF5">
        <w:rPr>
          <w:color w:val="auto"/>
        </w:rPr>
        <w:t xml:space="preserve"> and Tauringana, 2014), two primary exclusion criteria were </w:t>
      </w:r>
      <w:r w:rsidRPr="00EC1DF5">
        <w:rPr>
          <w:color w:val="auto"/>
        </w:rPr>
        <w:t>additionally employed</w:t>
      </w:r>
      <w:r w:rsidR="00866D45" w:rsidRPr="00EC1DF5">
        <w:rPr>
          <w:color w:val="auto"/>
        </w:rPr>
        <w:t xml:space="preserve">. First, we excluded companies without data on the five </w:t>
      </w:r>
      <w:r w:rsidR="00E35A8D" w:rsidRPr="00EC1DF5">
        <w:rPr>
          <w:color w:val="auto"/>
        </w:rPr>
        <w:t>pillars</w:t>
      </w:r>
      <w:r w:rsidR="00866D45" w:rsidRPr="00EC1DF5">
        <w:rPr>
          <w:color w:val="auto"/>
        </w:rPr>
        <w:t xml:space="preserve"> of corporate governance. These five </w:t>
      </w:r>
      <w:r w:rsidR="00E35A8D" w:rsidRPr="00EC1DF5">
        <w:rPr>
          <w:color w:val="auto"/>
        </w:rPr>
        <w:t>pillars</w:t>
      </w:r>
      <w:r w:rsidR="00866D45" w:rsidRPr="00EC1DF5">
        <w:rPr>
          <w:color w:val="auto"/>
        </w:rPr>
        <w:t xml:space="preserve"> of CG have been developed by ASSET4 ESG to provide a</w:t>
      </w:r>
      <w:r w:rsidR="00DC4795" w:rsidRPr="00EC1DF5">
        <w:rPr>
          <w:color w:val="auto"/>
        </w:rPr>
        <w:t>n</w:t>
      </w:r>
      <w:r w:rsidR="00866D45" w:rsidRPr="00EC1DF5">
        <w:rPr>
          <w:color w:val="auto"/>
        </w:rPr>
        <w:t xml:space="preserve"> </w:t>
      </w:r>
      <w:r w:rsidR="00B06923" w:rsidRPr="00EC1DF5">
        <w:rPr>
          <w:color w:val="auto"/>
        </w:rPr>
        <w:t xml:space="preserve">all-inclusive </w:t>
      </w:r>
      <w:r w:rsidR="00866D45" w:rsidRPr="00EC1DF5">
        <w:rPr>
          <w:color w:val="auto"/>
        </w:rPr>
        <w:t>framework of CG practices across companies. We further excluded firms and year</w:t>
      </w:r>
      <w:r w:rsidR="00DC4795" w:rsidRPr="00EC1DF5">
        <w:rPr>
          <w:color w:val="auto"/>
        </w:rPr>
        <w:t>s</w:t>
      </w:r>
      <w:r w:rsidR="00866D45" w:rsidRPr="00EC1DF5">
        <w:rPr>
          <w:color w:val="auto"/>
        </w:rPr>
        <w:t xml:space="preserve"> of observation without data on the dependent variables </w:t>
      </w:r>
      <w:r w:rsidR="00DC4795" w:rsidRPr="00EC1DF5">
        <w:rPr>
          <w:color w:val="auto"/>
        </w:rPr>
        <w:t xml:space="preserve">– </w:t>
      </w:r>
      <w:r w:rsidR="00866D45" w:rsidRPr="00EC1DF5">
        <w:rPr>
          <w:color w:val="auto"/>
        </w:rPr>
        <w:t xml:space="preserve">social, </w:t>
      </w:r>
      <w:proofErr w:type="gramStart"/>
      <w:r w:rsidR="00866D45" w:rsidRPr="00EC1DF5">
        <w:rPr>
          <w:color w:val="auto"/>
        </w:rPr>
        <w:t>financial</w:t>
      </w:r>
      <w:proofErr w:type="gramEnd"/>
      <w:r w:rsidR="00866D45" w:rsidRPr="00EC1DF5">
        <w:rPr>
          <w:color w:val="auto"/>
        </w:rPr>
        <w:t xml:space="preserve"> and environmental. The financial sustainability data were sourced from DataStream whereas the social and environmental sustainability data were collected from A</w:t>
      </w:r>
      <w:r w:rsidR="009C4CD9" w:rsidRPr="00EC1DF5">
        <w:rPr>
          <w:color w:val="auto"/>
        </w:rPr>
        <w:t>SSET</w:t>
      </w:r>
      <w:r w:rsidR="00866D45" w:rsidRPr="00EC1DF5">
        <w:rPr>
          <w:color w:val="auto"/>
        </w:rPr>
        <w:t xml:space="preserve">4 ESG. Both DataStream and ASSET4 ESG have been used extensively in academic literature and studies (see Shaukat </w:t>
      </w:r>
      <w:r w:rsidR="00866D45" w:rsidRPr="00EC1DF5">
        <w:rPr>
          <w:i/>
          <w:color w:val="auto"/>
        </w:rPr>
        <w:t>et al</w:t>
      </w:r>
      <w:r w:rsidR="00866D45" w:rsidRPr="00EC1DF5">
        <w:rPr>
          <w:color w:val="auto"/>
        </w:rPr>
        <w:t xml:space="preserve">., 2016; Cheng </w:t>
      </w:r>
      <w:r w:rsidR="00866D45" w:rsidRPr="00EC1DF5">
        <w:rPr>
          <w:i/>
          <w:color w:val="auto"/>
        </w:rPr>
        <w:t>et al</w:t>
      </w:r>
      <w:r w:rsidR="00866D45" w:rsidRPr="00EC1DF5">
        <w:rPr>
          <w:color w:val="auto"/>
        </w:rPr>
        <w:t xml:space="preserve">., 2014; Ioannou and </w:t>
      </w:r>
      <w:proofErr w:type="spellStart"/>
      <w:r w:rsidR="00866D45" w:rsidRPr="00EC1DF5">
        <w:rPr>
          <w:color w:val="auto"/>
        </w:rPr>
        <w:t>Serfeim</w:t>
      </w:r>
      <w:proofErr w:type="spellEnd"/>
      <w:r w:rsidR="00866D45" w:rsidRPr="00EC1DF5">
        <w:rPr>
          <w:color w:val="auto"/>
        </w:rPr>
        <w:t xml:space="preserve">, 2012) due to the quality and reliability of </w:t>
      </w:r>
      <w:r w:rsidR="00DC4795" w:rsidRPr="00EC1DF5">
        <w:rPr>
          <w:color w:val="auto"/>
        </w:rPr>
        <w:t xml:space="preserve">their </w:t>
      </w:r>
      <w:r w:rsidR="00866D45" w:rsidRPr="00EC1DF5">
        <w:rPr>
          <w:color w:val="auto"/>
        </w:rPr>
        <w:t>data.</w:t>
      </w:r>
    </w:p>
    <w:p w14:paraId="57B8AE16" w14:textId="683B46B6" w:rsidR="00A7501F" w:rsidRPr="00EC1DF5" w:rsidRDefault="00866D45" w:rsidP="000A168F">
      <w:pPr>
        <w:spacing w:line="480" w:lineRule="auto"/>
        <w:ind w:firstLine="720"/>
        <w:jc w:val="both"/>
        <w:rPr>
          <w:color w:val="auto"/>
        </w:rPr>
      </w:pPr>
      <w:proofErr w:type="gramStart"/>
      <w:r w:rsidRPr="00EC1DF5">
        <w:rPr>
          <w:color w:val="auto"/>
        </w:rPr>
        <w:t>In order to</w:t>
      </w:r>
      <w:proofErr w:type="gramEnd"/>
      <w:r w:rsidRPr="00EC1DF5">
        <w:rPr>
          <w:color w:val="auto"/>
        </w:rPr>
        <w:t xml:space="preserve"> </w:t>
      </w:r>
      <w:r w:rsidR="00DC4795" w:rsidRPr="00EC1DF5">
        <w:rPr>
          <w:color w:val="auto"/>
        </w:rPr>
        <w:t xml:space="preserve">obtain </w:t>
      </w:r>
      <w:r w:rsidRPr="00EC1DF5">
        <w:rPr>
          <w:color w:val="auto"/>
        </w:rPr>
        <w:t xml:space="preserve">the different </w:t>
      </w:r>
      <w:r w:rsidR="00E35A8D" w:rsidRPr="00EC1DF5">
        <w:rPr>
          <w:color w:val="auto"/>
        </w:rPr>
        <w:t>pillars</w:t>
      </w:r>
      <w:r w:rsidRPr="00EC1DF5">
        <w:rPr>
          <w:color w:val="auto"/>
        </w:rPr>
        <w:t xml:space="preserve"> of CG scores, </w:t>
      </w:r>
      <w:r w:rsidR="0048743C" w:rsidRPr="00EC1DF5">
        <w:rPr>
          <w:color w:val="auto"/>
        </w:rPr>
        <w:t>ASSET</w:t>
      </w:r>
      <w:r w:rsidR="0051399C" w:rsidRPr="00EC1DF5">
        <w:rPr>
          <w:color w:val="auto"/>
        </w:rPr>
        <w:t>4</w:t>
      </w:r>
      <w:r w:rsidR="0048743C" w:rsidRPr="00EC1DF5">
        <w:rPr>
          <w:color w:val="auto"/>
        </w:rPr>
        <w:t xml:space="preserve"> ESG extracted </w:t>
      </w:r>
      <w:r w:rsidRPr="00EC1DF5">
        <w:rPr>
          <w:color w:val="auto"/>
        </w:rPr>
        <w:t>values from all the metrics before applying relevant numeric values and calculating the percentile score for the indicators. For instance, with qualitative data using Boolean values “yes” and “no”, the numeric values will be “1” and “0.5”. Quantitative data</w:t>
      </w:r>
      <w:r w:rsidR="00DC4795" w:rsidRPr="00EC1DF5">
        <w:rPr>
          <w:color w:val="auto"/>
        </w:rPr>
        <w:t>,</w:t>
      </w:r>
      <w:r w:rsidRPr="00EC1DF5">
        <w:rPr>
          <w:color w:val="auto"/>
        </w:rPr>
        <w:t xml:space="preserve"> on the other hand</w:t>
      </w:r>
      <w:r w:rsidR="00DC4795" w:rsidRPr="00EC1DF5">
        <w:rPr>
          <w:color w:val="auto"/>
        </w:rPr>
        <w:t>,</w:t>
      </w:r>
      <w:r w:rsidRPr="00EC1DF5">
        <w:rPr>
          <w:color w:val="auto"/>
        </w:rPr>
        <w:t xml:space="preserve"> are only allocated a numeric value if the company reports any. Ranking is adopted in the percentile score</w:t>
      </w:r>
      <w:r w:rsidR="00DC4795" w:rsidRPr="00EC1DF5">
        <w:rPr>
          <w:color w:val="auto"/>
        </w:rPr>
        <w:t>,</w:t>
      </w:r>
      <w:r w:rsidRPr="00EC1DF5">
        <w:rPr>
          <w:color w:val="auto"/>
        </w:rPr>
        <w:t xml:space="preserve"> which renders the data to a greater extent insensitive to outliers. To </w:t>
      </w:r>
      <w:r w:rsidR="00DC4795" w:rsidRPr="00EC1DF5">
        <w:rPr>
          <w:color w:val="auto"/>
        </w:rPr>
        <w:t xml:space="preserve">obtain </w:t>
      </w:r>
      <w:r w:rsidRPr="00EC1DF5">
        <w:rPr>
          <w:color w:val="auto"/>
        </w:rPr>
        <w:t>the percentile score, the below formula is used:</w:t>
      </w:r>
    </w:p>
    <w:p w14:paraId="2B62CDFE" w14:textId="77777777" w:rsidR="00866D45" w:rsidRPr="00EC1DF5" w:rsidRDefault="00866D45" w:rsidP="00A77CCC">
      <w:pPr>
        <w:spacing w:line="480" w:lineRule="auto"/>
        <w:jc w:val="both"/>
        <w:rPr>
          <w:color w:val="auto"/>
        </w:rPr>
      </w:pPr>
      <w:r w:rsidRPr="00EC1DF5">
        <w:rPr>
          <w:color w:val="auto"/>
        </w:rPr>
        <w:t xml:space="preserve">Score = worst value firms + (same value firms ÷2) / companies with a value             </w:t>
      </w:r>
      <w:proofErr w:type="spellStart"/>
      <w:r w:rsidRPr="00EC1DF5">
        <w:rPr>
          <w:color w:val="auto"/>
        </w:rPr>
        <w:t>Eqn</w:t>
      </w:r>
      <w:proofErr w:type="spellEnd"/>
      <w:r w:rsidRPr="00EC1DF5">
        <w:rPr>
          <w:color w:val="auto"/>
        </w:rPr>
        <w:t xml:space="preserve"> (1) </w:t>
      </w:r>
    </w:p>
    <w:p w14:paraId="439A0765" w14:textId="6B3E397F" w:rsidR="00571D04" w:rsidRPr="00EC1DF5" w:rsidRDefault="00866D45" w:rsidP="000A168F">
      <w:pPr>
        <w:spacing w:line="480" w:lineRule="auto"/>
        <w:ind w:firstLine="720"/>
        <w:jc w:val="both"/>
        <w:rPr>
          <w:color w:val="auto"/>
        </w:rPr>
      </w:pPr>
      <w:r w:rsidRPr="00EC1DF5">
        <w:rPr>
          <w:color w:val="auto"/>
        </w:rPr>
        <w:lastRenderedPageBreak/>
        <w:t xml:space="preserve">Each score is then equally weighted using the sum of all the indicators of the industry before normalisation and benchmarking are applied. Appendix 1 shows all the indicators used in measuring the category scores of CG as adopted in this paper. The normalised weights </w:t>
      </w:r>
      <w:r w:rsidR="000A168F" w:rsidRPr="00EC1DF5">
        <w:rPr>
          <w:color w:val="auto"/>
        </w:rPr>
        <w:t>exclude</w:t>
      </w:r>
      <w:r w:rsidRPr="00EC1DF5">
        <w:rPr>
          <w:color w:val="auto"/>
        </w:rPr>
        <w:t xml:space="preserve"> indicators with no available data to ensure accuracy. Thomson Reuters Business Classification (TR</w:t>
      </w:r>
      <w:r w:rsidR="00921748" w:rsidRPr="00EC1DF5">
        <w:rPr>
          <w:color w:val="auto"/>
        </w:rPr>
        <w:t>BC</w:t>
      </w:r>
      <w:r w:rsidRPr="00EC1DF5">
        <w:rPr>
          <w:color w:val="auto"/>
        </w:rPr>
        <w:t>) industry group is used as the benchmark due to its wider coverage across 130 countries and industrial sections. The detailed measurements of all the variables used in our study are presented in Table 2 below.</w:t>
      </w:r>
    </w:p>
    <w:p w14:paraId="520DDADC" w14:textId="77777777" w:rsidR="00A7501F" w:rsidRPr="00EC1DF5" w:rsidRDefault="00A7501F" w:rsidP="00A77CCC">
      <w:pPr>
        <w:spacing w:line="480" w:lineRule="auto"/>
        <w:jc w:val="both"/>
        <w:rPr>
          <w:color w:val="auto"/>
        </w:rPr>
      </w:pPr>
    </w:p>
    <w:p w14:paraId="69FC33D7" w14:textId="78BE06EC" w:rsidR="004315EE" w:rsidRPr="00EC1DF5" w:rsidRDefault="1E1EEB35" w:rsidP="1E1EEB35">
      <w:pPr>
        <w:spacing w:line="480" w:lineRule="auto"/>
        <w:jc w:val="center"/>
        <w:rPr>
          <w:b/>
          <w:bCs/>
          <w:color w:val="auto"/>
        </w:rPr>
      </w:pPr>
      <w:r w:rsidRPr="00EC1DF5">
        <w:rPr>
          <w:b/>
          <w:bCs/>
          <w:color w:val="auto"/>
        </w:rPr>
        <w:t>[</w:t>
      </w:r>
      <w:r w:rsidRPr="00EC1DF5">
        <w:rPr>
          <w:color w:val="auto"/>
        </w:rPr>
        <w:t xml:space="preserve">INSERT TABLE </w:t>
      </w:r>
      <w:r w:rsidR="00887975" w:rsidRPr="00EC1DF5">
        <w:rPr>
          <w:color w:val="auto"/>
        </w:rPr>
        <w:t>1</w:t>
      </w:r>
      <w:r w:rsidRPr="00EC1DF5">
        <w:rPr>
          <w:color w:val="auto"/>
        </w:rPr>
        <w:t>]</w:t>
      </w:r>
    </w:p>
    <w:p w14:paraId="3DD336DD" w14:textId="77777777" w:rsidR="00752A1C" w:rsidRPr="00EC1DF5" w:rsidRDefault="00752A1C" w:rsidP="00921748">
      <w:pPr>
        <w:spacing w:line="480" w:lineRule="auto"/>
        <w:jc w:val="center"/>
        <w:rPr>
          <w:b/>
          <w:color w:val="auto"/>
        </w:rPr>
      </w:pPr>
    </w:p>
    <w:p w14:paraId="3E81A312" w14:textId="70FDCBF8" w:rsidR="00AB0E9D" w:rsidRPr="00EC1DF5" w:rsidRDefault="005D6959" w:rsidP="00921748">
      <w:pPr>
        <w:pStyle w:val="Heading2"/>
        <w:spacing w:line="480" w:lineRule="auto"/>
        <w:rPr>
          <w:rFonts w:ascii="Times New Roman" w:hAnsi="Times New Roman" w:cs="Times New Roman"/>
          <w:b/>
          <w:color w:val="auto"/>
          <w:sz w:val="24"/>
          <w:szCs w:val="24"/>
        </w:rPr>
      </w:pPr>
      <w:r w:rsidRPr="00EC1DF5">
        <w:rPr>
          <w:rFonts w:ascii="Times New Roman" w:hAnsi="Times New Roman" w:cs="Times New Roman"/>
          <w:b/>
          <w:color w:val="auto"/>
          <w:sz w:val="24"/>
          <w:szCs w:val="24"/>
        </w:rPr>
        <w:t xml:space="preserve">3.2 </w:t>
      </w:r>
      <w:r w:rsidR="0053107B" w:rsidRPr="00EC1DF5">
        <w:rPr>
          <w:rFonts w:ascii="Times New Roman" w:hAnsi="Times New Roman" w:cs="Times New Roman"/>
          <w:b/>
          <w:color w:val="auto"/>
          <w:sz w:val="24"/>
          <w:szCs w:val="24"/>
        </w:rPr>
        <w:t>Empirical Model</w:t>
      </w:r>
    </w:p>
    <w:p w14:paraId="145EC5D1" w14:textId="43514240" w:rsidR="00CC2F76" w:rsidRPr="00EC1DF5" w:rsidRDefault="00CC2F76" w:rsidP="00921748">
      <w:pPr>
        <w:spacing w:line="480" w:lineRule="auto"/>
        <w:rPr>
          <w:color w:val="auto"/>
        </w:rPr>
      </w:pPr>
      <w:r w:rsidRPr="00EC1DF5">
        <w:rPr>
          <w:color w:val="auto"/>
        </w:rPr>
        <w:t>Our primary aim is to explore the effect</w:t>
      </w:r>
      <w:r w:rsidR="008B59C3" w:rsidRPr="00EC1DF5">
        <w:rPr>
          <w:color w:val="auto"/>
        </w:rPr>
        <w:t>s</w:t>
      </w:r>
      <w:r w:rsidRPr="00EC1DF5">
        <w:rPr>
          <w:color w:val="auto"/>
        </w:rPr>
        <w:t xml:space="preserve"> of CG </w:t>
      </w:r>
      <w:r w:rsidR="00E35A8D" w:rsidRPr="00EC1DF5">
        <w:rPr>
          <w:color w:val="auto"/>
        </w:rPr>
        <w:t>pillars</w:t>
      </w:r>
      <w:r w:rsidRPr="00EC1DF5">
        <w:rPr>
          <w:color w:val="auto"/>
        </w:rPr>
        <w:t xml:space="preserve"> on the three dimensions of 3BL over the given </w:t>
      </w:r>
      <w:proofErr w:type="gramStart"/>
      <w:r w:rsidRPr="00EC1DF5">
        <w:rPr>
          <w:color w:val="auto"/>
        </w:rPr>
        <w:t>time period</w:t>
      </w:r>
      <w:proofErr w:type="gramEnd"/>
      <w:r w:rsidRPr="00EC1DF5">
        <w:rPr>
          <w:color w:val="auto"/>
        </w:rPr>
        <w:t xml:space="preserve">. As such, the following regression </w:t>
      </w:r>
      <w:r w:rsidR="00760C11" w:rsidRPr="00EC1DF5">
        <w:rPr>
          <w:color w:val="auto"/>
        </w:rPr>
        <w:t xml:space="preserve">model </w:t>
      </w:r>
      <w:r w:rsidRPr="00EC1DF5">
        <w:rPr>
          <w:color w:val="auto"/>
        </w:rPr>
        <w:t>estimation is applied to the panel data:</w:t>
      </w:r>
    </w:p>
    <w:p w14:paraId="1E5B7FAA" w14:textId="2D1C8DF6" w:rsidR="00CC2F76" w:rsidRPr="00EC1DF5" w:rsidRDefault="00C475C7" w:rsidP="00A77CCC">
      <w:pPr>
        <w:pStyle w:val="NoSpacing"/>
        <w:spacing w:line="480" w:lineRule="auto"/>
        <w:rPr>
          <w:color w:val="auto"/>
          <w:lang w:val="en-GB"/>
        </w:rPr>
      </w:pPr>
      <m:oMathPara>
        <m:oMath>
          <m:r>
            <m:rPr>
              <m:nor/>
            </m:rPr>
            <w:rPr>
              <w:color w:val="auto"/>
              <w:lang w:val="en-GB"/>
            </w:rPr>
            <m:t>Environmental Sustainability = α +β+</m:t>
          </m:r>
          <m:sSub>
            <m:sSubPr>
              <m:ctrlPr>
                <w:rPr>
                  <w:rFonts w:ascii="Cambria Math" w:hAnsi="Cambria Math"/>
                  <w:i/>
                  <w:color w:val="auto"/>
                  <w:lang w:val="en-GB"/>
                </w:rPr>
              </m:ctrlPr>
            </m:sSubPr>
            <m:e>
              <m:r>
                <w:rPr>
                  <w:rFonts w:ascii="Cambria Math" w:hAnsi="Cambria Math"/>
                  <w:color w:val="auto"/>
                  <w:lang w:val="en-GB"/>
                </w:rPr>
                <m:t>BF</m:t>
              </m:r>
            </m:e>
            <m:sub>
              <m:r>
                <w:rPr>
                  <w:rFonts w:ascii="Cambria Math" w:hAnsi="Cambria Math"/>
                  <w:color w:val="auto"/>
                  <w:lang w:val="en-GB"/>
                </w:rPr>
                <m:t>it</m:t>
              </m:r>
            </m:sub>
          </m:sSub>
          <m:r>
            <m:rPr>
              <m:nor/>
            </m:rPr>
            <w:rPr>
              <w:color w:val="auto"/>
              <w:lang w:val="en-GB"/>
            </w:rPr>
            <m:t>+</m:t>
          </m:r>
          <m:sSub>
            <m:sSubPr>
              <m:ctrlPr>
                <w:rPr>
                  <w:rFonts w:ascii="Cambria Math" w:hAnsi="Cambria Math"/>
                  <w:i/>
                  <w:color w:val="auto"/>
                  <w:lang w:val="en-GB"/>
                </w:rPr>
              </m:ctrlPr>
            </m:sSubPr>
            <m:e>
              <m:r>
                <w:rPr>
                  <w:rFonts w:ascii="Cambria Math" w:hAnsi="Cambria Math"/>
                  <w:color w:val="auto"/>
                  <w:lang w:val="en-GB"/>
                </w:rPr>
                <m:t>BST</m:t>
              </m:r>
            </m:e>
            <m:sub>
              <m:r>
                <w:rPr>
                  <w:rFonts w:ascii="Cambria Math" w:hAnsi="Cambria Math"/>
                  <w:color w:val="auto"/>
                  <w:lang w:val="en-GB"/>
                </w:rPr>
                <m:t>it</m:t>
              </m:r>
            </m:sub>
          </m:sSub>
          <m:r>
            <m:rPr>
              <m:nor/>
            </m:rPr>
            <w:rPr>
              <w:color w:val="auto"/>
              <w:lang w:val="en-GB"/>
            </w:rPr>
            <m:t>+</m:t>
          </m:r>
          <m:sSub>
            <m:sSubPr>
              <m:ctrlPr>
                <w:rPr>
                  <w:rFonts w:ascii="Cambria Math" w:hAnsi="Cambria Math"/>
                  <w:i/>
                  <w:color w:val="auto"/>
                  <w:lang w:val="en-GB"/>
                </w:rPr>
              </m:ctrlPr>
            </m:sSubPr>
            <m:e>
              <m:r>
                <w:rPr>
                  <w:rFonts w:ascii="Cambria Math" w:hAnsi="Cambria Math"/>
                  <w:color w:val="auto"/>
                  <w:lang w:val="en-GB"/>
                </w:rPr>
                <m:t>BC</m:t>
              </m:r>
            </m:e>
            <m:sub>
              <m:r>
                <w:rPr>
                  <w:rFonts w:ascii="Cambria Math" w:hAnsi="Cambria Math"/>
                  <w:color w:val="auto"/>
                  <w:lang w:val="en-GB"/>
                </w:rPr>
                <m:t>it</m:t>
              </m:r>
            </m:sub>
          </m:sSub>
          <m:r>
            <m:rPr>
              <m:nor/>
            </m:rPr>
            <w:rPr>
              <w:color w:val="auto"/>
              <w:lang w:val="en-GB"/>
            </w:rPr>
            <m:t>+</m:t>
          </m:r>
          <m:sSub>
            <m:sSubPr>
              <m:ctrlPr>
                <w:rPr>
                  <w:rFonts w:ascii="Cambria Math" w:hAnsi="Cambria Math"/>
                  <w:i/>
                  <w:color w:val="auto"/>
                  <w:lang w:val="en-GB"/>
                </w:rPr>
              </m:ctrlPr>
            </m:sSubPr>
            <m:e>
              <m:r>
                <w:rPr>
                  <w:rFonts w:ascii="Cambria Math" w:hAnsi="Cambria Math"/>
                  <w:color w:val="auto"/>
                  <w:lang w:val="en-GB"/>
                </w:rPr>
                <m:t>BSR</m:t>
              </m:r>
            </m:e>
            <m:sub>
              <m:r>
                <w:rPr>
                  <w:rFonts w:ascii="Cambria Math" w:hAnsi="Cambria Math"/>
                  <w:color w:val="auto"/>
                  <w:lang w:val="en-GB"/>
                </w:rPr>
                <m:t>it</m:t>
              </m:r>
            </m:sub>
          </m:sSub>
          <m:r>
            <m:rPr>
              <m:nor/>
            </m:rPr>
            <w:rPr>
              <w:color w:val="auto"/>
              <w:lang w:val="en-GB"/>
            </w:rPr>
            <m:t>+</m:t>
          </m:r>
          <m:sSub>
            <m:sSubPr>
              <m:ctrlPr>
                <w:rPr>
                  <w:rFonts w:ascii="Cambria Math" w:hAnsi="Cambria Math"/>
                  <w:i/>
                  <w:color w:val="auto"/>
                  <w:lang w:val="en-GB"/>
                </w:rPr>
              </m:ctrlPr>
            </m:sSubPr>
            <m:e>
              <m:r>
                <w:rPr>
                  <w:rFonts w:ascii="Cambria Math" w:hAnsi="Cambria Math"/>
                  <w:color w:val="auto"/>
                  <w:lang w:val="en-GB"/>
                </w:rPr>
                <m:t>BSTR</m:t>
              </m:r>
            </m:e>
            <m:sub>
              <m:r>
                <w:rPr>
                  <w:rFonts w:ascii="Cambria Math" w:hAnsi="Cambria Math"/>
                  <w:color w:val="auto"/>
                  <w:lang w:val="en-GB"/>
                </w:rPr>
                <m:t>it</m:t>
              </m:r>
            </m:sub>
          </m:sSub>
          <m:r>
            <m:rPr>
              <m:nor/>
            </m:rPr>
            <w:rPr>
              <w:color w:val="auto"/>
              <w:lang w:val="en-GB"/>
            </w:rPr>
            <m:t>+</m:t>
          </m:r>
          <m:sSub>
            <m:sSubPr>
              <m:ctrlPr>
                <w:rPr>
                  <w:rFonts w:ascii="Cambria Math" w:hAnsi="Cambria Math"/>
                  <w:i/>
                  <w:color w:val="auto"/>
                  <w:lang w:val="en-GB"/>
                </w:rPr>
              </m:ctrlPr>
            </m:sSubPr>
            <m:e>
              <m:r>
                <w:rPr>
                  <w:rFonts w:ascii="Cambria Math" w:hAnsi="Cambria Math"/>
                  <w:color w:val="auto"/>
                  <w:lang w:val="en-GB"/>
                </w:rPr>
                <m:t>γControls</m:t>
              </m:r>
            </m:e>
            <m:sub>
              <m:r>
                <w:rPr>
                  <w:rFonts w:ascii="Cambria Math" w:hAnsi="Cambria Math"/>
                  <w:color w:val="auto"/>
                  <w:lang w:val="en-GB"/>
                </w:rPr>
                <m:t>it</m:t>
              </m:r>
            </m:sub>
          </m:sSub>
          <m:r>
            <m:rPr>
              <m:nor/>
            </m:rPr>
            <w:rPr>
              <w:color w:val="auto"/>
              <w:lang w:val="en-GB"/>
            </w:rPr>
            <m:t>+</m:t>
          </m:r>
          <m:sSub>
            <m:sSubPr>
              <m:ctrlPr>
                <w:rPr>
                  <w:rFonts w:ascii="Cambria Math" w:hAnsi="Cambria Math"/>
                  <w:i/>
                  <w:color w:val="auto"/>
                  <w:lang w:val="en-GB"/>
                </w:rPr>
              </m:ctrlPr>
            </m:sSubPr>
            <m:e>
              <m:r>
                <w:rPr>
                  <w:rFonts w:ascii="Cambria Math" w:hAnsi="Cambria Math"/>
                  <w:color w:val="auto"/>
                  <w:lang w:val="en-GB"/>
                </w:rPr>
                <m:t>μ</m:t>
              </m:r>
            </m:e>
            <m:sub>
              <m:r>
                <w:rPr>
                  <w:rFonts w:ascii="Cambria Math" w:hAnsi="Cambria Math"/>
                  <w:color w:val="auto"/>
                  <w:lang w:val="en-GB"/>
                </w:rPr>
                <m:t>it</m:t>
              </m:r>
            </m:sub>
          </m:sSub>
          <m:r>
            <m:rPr>
              <m:nor/>
            </m:rPr>
            <w:rPr>
              <w:color w:val="auto"/>
              <w:lang w:val="en-GB"/>
            </w:rPr>
            <m:t xml:space="preserve">       Eqn (2) </m:t>
          </m:r>
        </m:oMath>
      </m:oMathPara>
    </w:p>
    <w:p w14:paraId="26D6D8D3" w14:textId="5C07B765" w:rsidR="00AB0E9D" w:rsidRPr="00EC1DF5" w:rsidRDefault="00AB0E9D" w:rsidP="00A77CCC">
      <w:pPr>
        <w:spacing w:line="480" w:lineRule="auto"/>
        <w:rPr>
          <w:b/>
          <w:color w:val="auto"/>
          <w:u w:val="single"/>
        </w:rPr>
      </w:pPr>
    </w:p>
    <w:p w14:paraId="1D0D9DD8" w14:textId="3B7EE485" w:rsidR="009F46D4" w:rsidRPr="00EC1DF5" w:rsidRDefault="009F46D4" w:rsidP="00A77CCC">
      <w:pPr>
        <w:pStyle w:val="NoSpacing"/>
        <w:spacing w:line="480" w:lineRule="auto"/>
        <w:rPr>
          <w:color w:val="auto"/>
          <w:lang w:val="en-GB"/>
        </w:rPr>
      </w:pPr>
      <m:oMathPara>
        <m:oMath>
          <m:r>
            <m:rPr>
              <m:nor/>
            </m:rPr>
            <w:rPr>
              <w:rFonts w:ascii="Cambria Math"/>
              <w:color w:val="auto"/>
              <w:lang w:val="en-GB"/>
            </w:rPr>
            <m:t xml:space="preserve">Social </m:t>
          </m:r>
          <m:r>
            <m:rPr>
              <m:nor/>
            </m:rPr>
            <w:rPr>
              <w:color w:val="auto"/>
              <w:lang w:val="en-GB"/>
            </w:rPr>
            <m:t>Sustainability = α +β+</m:t>
          </m:r>
          <m:sSub>
            <m:sSubPr>
              <m:ctrlPr>
                <w:rPr>
                  <w:rFonts w:ascii="Cambria Math" w:hAnsi="Cambria Math"/>
                  <w:i/>
                  <w:color w:val="auto"/>
                  <w:lang w:val="en-GB"/>
                </w:rPr>
              </m:ctrlPr>
            </m:sSubPr>
            <m:e>
              <m:r>
                <w:rPr>
                  <w:rFonts w:ascii="Cambria Math" w:hAnsi="Cambria Math"/>
                  <w:color w:val="auto"/>
                  <w:lang w:val="en-GB"/>
                </w:rPr>
                <m:t>BF</m:t>
              </m:r>
            </m:e>
            <m:sub>
              <m:r>
                <w:rPr>
                  <w:rFonts w:ascii="Cambria Math" w:hAnsi="Cambria Math"/>
                  <w:color w:val="auto"/>
                  <w:lang w:val="en-GB"/>
                </w:rPr>
                <m:t>it</m:t>
              </m:r>
            </m:sub>
          </m:sSub>
          <m:r>
            <m:rPr>
              <m:nor/>
            </m:rPr>
            <w:rPr>
              <w:color w:val="auto"/>
              <w:lang w:val="en-GB"/>
            </w:rPr>
            <m:t>+</m:t>
          </m:r>
          <m:sSub>
            <m:sSubPr>
              <m:ctrlPr>
                <w:rPr>
                  <w:rFonts w:ascii="Cambria Math" w:hAnsi="Cambria Math"/>
                  <w:i/>
                  <w:color w:val="auto"/>
                  <w:lang w:val="en-GB"/>
                </w:rPr>
              </m:ctrlPr>
            </m:sSubPr>
            <m:e>
              <m:r>
                <w:rPr>
                  <w:rFonts w:ascii="Cambria Math" w:hAnsi="Cambria Math"/>
                  <w:color w:val="auto"/>
                  <w:lang w:val="en-GB"/>
                </w:rPr>
                <m:t>BST</m:t>
              </m:r>
            </m:e>
            <m:sub>
              <m:r>
                <w:rPr>
                  <w:rFonts w:ascii="Cambria Math" w:hAnsi="Cambria Math"/>
                  <w:color w:val="auto"/>
                  <w:lang w:val="en-GB"/>
                </w:rPr>
                <m:t>it</m:t>
              </m:r>
            </m:sub>
          </m:sSub>
          <m:r>
            <m:rPr>
              <m:nor/>
            </m:rPr>
            <w:rPr>
              <w:color w:val="auto"/>
              <w:lang w:val="en-GB"/>
            </w:rPr>
            <m:t>+</m:t>
          </m:r>
          <m:sSub>
            <m:sSubPr>
              <m:ctrlPr>
                <w:rPr>
                  <w:rFonts w:ascii="Cambria Math" w:hAnsi="Cambria Math"/>
                  <w:i/>
                  <w:color w:val="auto"/>
                  <w:lang w:val="en-GB"/>
                </w:rPr>
              </m:ctrlPr>
            </m:sSubPr>
            <m:e>
              <m:r>
                <w:rPr>
                  <w:rFonts w:ascii="Cambria Math" w:hAnsi="Cambria Math"/>
                  <w:color w:val="auto"/>
                  <w:lang w:val="en-GB"/>
                </w:rPr>
                <m:t>BC</m:t>
              </m:r>
            </m:e>
            <m:sub>
              <m:r>
                <w:rPr>
                  <w:rFonts w:ascii="Cambria Math" w:hAnsi="Cambria Math"/>
                  <w:color w:val="auto"/>
                  <w:lang w:val="en-GB"/>
                </w:rPr>
                <m:t>it</m:t>
              </m:r>
            </m:sub>
          </m:sSub>
          <m:r>
            <m:rPr>
              <m:nor/>
            </m:rPr>
            <w:rPr>
              <w:color w:val="auto"/>
              <w:lang w:val="en-GB"/>
            </w:rPr>
            <m:t>+</m:t>
          </m:r>
          <m:sSub>
            <m:sSubPr>
              <m:ctrlPr>
                <w:rPr>
                  <w:rFonts w:ascii="Cambria Math" w:hAnsi="Cambria Math"/>
                  <w:i/>
                  <w:color w:val="auto"/>
                  <w:lang w:val="en-GB"/>
                </w:rPr>
              </m:ctrlPr>
            </m:sSubPr>
            <m:e>
              <m:r>
                <w:rPr>
                  <w:rFonts w:ascii="Cambria Math" w:hAnsi="Cambria Math"/>
                  <w:color w:val="auto"/>
                  <w:lang w:val="en-GB"/>
                </w:rPr>
                <m:t>BSR</m:t>
              </m:r>
            </m:e>
            <m:sub>
              <m:r>
                <w:rPr>
                  <w:rFonts w:ascii="Cambria Math" w:hAnsi="Cambria Math"/>
                  <w:color w:val="auto"/>
                  <w:lang w:val="en-GB"/>
                </w:rPr>
                <m:t>it</m:t>
              </m:r>
            </m:sub>
          </m:sSub>
          <m:r>
            <m:rPr>
              <m:nor/>
            </m:rPr>
            <w:rPr>
              <w:color w:val="auto"/>
              <w:lang w:val="en-GB"/>
            </w:rPr>
            <m:t>+</m:t>
          </m:r>
          <m:sSub>
            <m:sSubPr>
              <m:ctrlPr>
                <w:rPr>
                  <w:rFonts w:ascii="Cambria Math" w:hAnsi="Cambria Math"/>
                  <w:i/>
                  <w:color w:val="auto"/>
                  <w:lang w:val="en-GB"/>
                </w:rPr>
              </m:ctrlPr>
            </m:sSubPr>
            <m:e>
              <m:r>
                <w:rPr>
                  <w:rFonts w:ascii="Cambria Math" w:hAnsi="Cambria Math"/>
                  <w:color w:val="auto"/>
                  <w:lang w:val="en-GB"/>
                </w:rPr>
                <m:t>BSTR</m:t>
              </m:r>
            </m:e>
            <m:sub>
              <m:r>
                <w:rPr>
                  <w:rFonts w:ascii="Cambria Math" w:hAnsi="Cambria Math"/>
                  <w:color w:val="auto"/>
                  <w:lang w:val="en-GB"/>
                </w:rPr>
                <m:t>it</m:t>
              </m:r>
            </m:sub>
          </m:sSub>
          <m:r>
            <m:rPr>
              <m:nor/>
            </m:rPr>
            <w:rPr>
              <w:color w:val="auto"/>
              <w:lang w:val="en-GB"/>
            </w:rPr>
            <m:t>+</m:t>
          </m:r>
          <m:sSub>
            <m:sSubPr>
              <m:ctrlPr>
                <w:rPr>
                  <w:rFonts w:ascii="Cambria Math" w:hAnsi="Cambria Math"/>
                  <w:i/>
                  <w:color w:val="auto"/>
                  <w:lang w:val="en-GB"/>
                </w:rPr>
              </m:ctrlPr>
            </m:sSubPr>
            <m:e>
              <m:r>
                <w:rPr>
                  <w:rFonts w:ascii="Cambria Math" w:hAnsi="Cambria Math"/>
                  <w:color w:val="auto"/>
                  <w:lang w:val="en-GB"/>
                </w:rPr>
                <m:t>γControls</m:t>
              </m:r>
            </m:e>
            <m:sub>
              <m:r>
                <w:rPr>
                  <w:rFonts w:ascii="Cambria Math" w:hAnsi="Cambria Math"/>
                  <w:color w:val="auto"/>
                  <w:lang w:val="en-GB"/>
                </w:rPr>
                <m:t>it</m:t>
              </m:r>
            </m:sub>
          </m:sSub>
          <m:r>
            <m:rPr>
              <m:nor/>
            </m:rPr>
            <w:rPr>
              <w:color w:val="auto"/>
              <w:lang w:val="en-GB"/>
            </w:rPr>
            <m:t>+</m:t>
          </m:r>
          <m:sSub>
            <m:sSubPr>
              <m:ctrlPr>
                <w:rPr>
                  <w:rFonts w:ascii="Cambria Math" w:hAnsi="Cambria Math"/>
                  <w:i/>
                  <w:color w:val="auto"/>
                  <w:lang w:val="en-GB"/>
                </w:rPr>
              </m:ctrlPr>
            </m:sSubPr>
            <m:e>
              <m:r>
                <w:rPr>
                  <w:rFonts w:ascii="Cambria Math" w:hAnsi="Cambria Math"/>
                  <w:color w:val="auto"/>
                  <w:lang w:val="en-GB"/>
                </w:rPr>
                <m:t>μ</m:t>
              </m:r>
            </m:e>
            <m:sub>
              <m:r>
                <w:rPr>
                  <w:rFonts w:ascii="Cambria Math" w:hAnsi="Cambria Math"/>
                  <w:color w:val="auto"/>
                  <w:lang w:val="en-GB"/>
                </w:rPr>
                <m:t>it</m:t>
              </m:r>
            </m:sub>
          </m:sSub>
          <m:r>
            <m:rPr>
              <m:nor/>
            </m:rPr>
            <w:rPr>
              <w:color w:val="auto"/>
              <w:lang w:val="en-GB"/>
            </w:rPr>
            <m:t xml:space="preserve">       </m:t>
          </m:r>
          <m:r>
            <m:rPr>
              <m:nor/>
            </m:rPr>
            <w:rPr>
              <w:rFonts w:ascii="Cambria Math"/>
              <w:color w:val="auto"/>
              <w:lang w:val="en-GB"/>
            </w:rPr>
            <m:t xml:space="preserve">               </m:t>
          </m:r>
          <w:proofErr w:type="spellStart"/>
          <m:r>
            <m:rPr>
              <m:nor/>
            </m:rPr>
            <w:rPr>
              <w:color w:val="auto"/>
              <w:lang w:val="en-GB"/>
            </w:rPr>
            <m:t>Eqn</m:t>
          </m:r>
          <w:proofErr w:type="spellEnd"/>
          <m:r>
            <m:rPr>
              <m:nor/>
            </m:rPr>
            <w:rPr>
              <w:color w:val="auto"/>
              <w:lang w:val="en-GB"/>
            </w:rPr>
            <m:t xml:space="preserve"> (</m:t>
          </m:r>
          <m:r>
            <m:rPr>
              <m:nor/>
            </m:rPr>
            <w:rPr>
              <w:rFonts w:ascii="Cambria Math"/>
              <w:color w:val="auto"/>
              <w:lang w:val="en-GB"/>
            </w:rPr>
            <m:t>3</m:t>
          </m:r>
          <m:r>
            <m:rPr>
              <m:nor/>
            </m:rPr>
            <w:rPr>
              <w:color w:val="auto"/>
              <w:lang w:val="en-GB"/>
            </w:rPr>
            <m:t xml:space="preserve">) </m:t>
          </m:r>
        </m:oMath>
      </m:oMathPara>
    </w:p>
    <w:p w14:paraId="2F13937B" w14:textId="77777777" w:rsidR="009F46D4" w:rsidRPr="00EC1DF5" w:rsidRDefault="009F46D4" w:rsidP="00A77CCC">
      <w:pPr>
        <w:spacing w:line="480" w:lineRule="auto"/>
        <w:rPr>
          <w:b/>
          <w:color w:val="auto"/>
          <w:u w:val="single"/>
        </w:rPr>
      </w:pPr>
    </w:p>
    <w:p w14:paraId="13712EFE" w14:textId="0E11871B" w:rsidR="009F46D4" w:rsidRPr="00EC1DF5" w:rsidRDefault="009F46D4" w:rsidP="00A77CCC">
      <w:pPr>
        <w:pStyle w:val="NoSpacing"/>
        <w:spacing w:line="480" w:lineRule="auto"/>
        <w:rPr>
          <w:color w:val="auto"/>
          <w:lang w:val="en-GB"/>
        </w:rPr>
      </w:pPr>
      <m:oMathPara>
        <m:oMath>
          <m:r>
            <m:rPr>
              <m:nor/>
            </m:rPr>
            <w:rPr>
              <w:rFonts w:ascii="Cambria Math"/>
              <w:color w:val="auto"/>
              <w:lang w:val="en-GB"/>
            </w:rPr>
            <m:t>Financial</m:t>
          </m:r>
          <m:r>
            <m:rPr>
              <m:nor/>
            </m:rPr>
            <w:rPr>
              <w:color w:val="auto"/>
              <w:lang w:val="en-GB"/>
            </w:rPr>
            <m:t xml:space="preserve"> Sustainability = α +β+</m:t>
          </m:r>
          <m:sSub>
            <m:sSubPr>
              <m:ctrlPr>
                <w:rPr>
                  <w:rFonts w:ascii="Cambria Math" w:hAnsi="Cambria Math"/>
                  <w:i/>
                  <w:color w:val="auto"/>
                  <w:lang w:val="en-GB"/>
                </w:rPr>
              </m:ctrlPr>
            </m:sSubPr>
            <m:e>
              <m:r>
                <w:rPr>
                  <w:rFonts w:ascii="Cambria Math" w:hAnsi="Cambria Math"/>
                  <w:color w:val="auto"/>
                  <w:lang w:val="en-GB"/>
                </w:rPr>
                <m:t>BF</m:t>
              </m:r>
            </m:e>
            <m:sub>
              <m:r>
                <w:rPr>
                  <w:rFonts w:ascii="Cambria Math" w:hAnsi="Cambria Math"/>
                  <w:color w:val="auto"/>
                  <w:lang w:val="en-GB"/>
                </w:rPr>
                <m:t>it</m:t>
              </m:r>
            </m:sub>
          </m:sSub>
          <m:r>
            <m:rPr>
              <m:nor/>
            </m:rPr>
            <w:rPr>
              <w:color w:val="auto"/>
              <w:lang w:val="en-GB"/>
            </w:rPr>
            <m:t>+</m:t>
          </m:r>
          <m:sSub>
            <m:sSubPr>
              <m:ctrlPr>
                <w:rPr>
                  <w:rFonts w:ascii="Cambria Math" w:hAnsi="Cambria Math"/>
                  <w:i/>
                  <w:color w:val="auto"/>
                  <w:lang w:val="en-GB"/>
                </w:rPr>
              </m:ctrlPr>
            </m:sSubPr>
            <m:e>
              <m:r>
                <w:rPr>
                  <w:rFonts w:ascii="Cambria Math" w:hAnsi="Cambria Math"/>
                  <w:color w:val="auto"/>
                  <w:lang w:val="en-GB"/>
                </w:rPr>
                <m:t>BST</m:t>
              </m:r>
            </m:e>
            <m:sub>
              <m:r>
                <w:rPr>
                  <w:rFonts w:ascii="Cambria Math" w:hAnsi="Cambria Math"/>
                  <w:color w:val="auto"/>
                  <w:lang w:val="en-GB"/>
                </w:rPr>
                <m:t>it</m:t>
              </m:r>
            </m:sub>
          </m:sSub>
          <m:r>
            <m:rPr>
              <m:nor/>
            </m:rPr>
            <w:rPr>
              <w:color w:val="auto"/>
              <w:lang w:val="en-GB"/>
            </w:rPr>
            <m:t>+</m:t>
          </m:r>
          <m:sSub>
            <m:sSubPr>
              <m:ctrlPr>
                <w:rPr>
                  <w:rFonts w:ascii="Cambria Math" w:hAnsi="Cambria Math"/>
                  <w:i/>
                  <w:color w:val="auto"/>
                  <w:lang w:val="en-GB"/>
                </w:rPr>
              </m:ctrlPr>
            </m:sSubPr>
            <m:e>
              <m:r>
                <w:rPr>
                  <w:rFonts w:ascii="Cambria Math" w:hAnsi="Cambria Math"/>
                  <w:color w:val="auto"/>
                  <w:lang w:val="en-GB"/>
                </w:rPr>
                <m:t>BC</m:t>
              </m:r>
            </m:e>
            <m:sub>
              <m:r>
                <w:rPr>
                  <w:rFonts w:ascii="Cambria Math" w:hAnsi="Cambria Math"/>
                  <w:color w:val="auto"/>
                  <w:lang w:val="en-GB"/>
                </w:rPr>
                <m:t>it</m:t>
              </m:r>
            </m:sub>
          </m:sSub>
          <m:r>
            <m:rPr>
              <m:nor/>
            </m:rPr>
            <w:rPr>
              <w:color w:val="auto"/>
              <w:lang w:val="en-GB"/>
            </w:rPr>
            <m:t>+</m:t>
          </m:r>
          <m:sSub>
            <m:sSubPr>
              <m:ctrlPr>
                <w:rPr>
                  <w:rFonts w:ascii="Cambria Math" w:hAnsi="Cambria Math"/>
                  <w:i/>
                  <w:color w:val="auto"/>
                  <w:lang w:val="en-GB"/>
                </w:rPr>
              </m:ctrlPr>
            </m:sSubPr>
            <m:e>
              <m:r>
                <w:rPr>
                  <w:rFonts w:ascii="Cambria Math" w:hAnsi="Cambria Math"/>
                  <w:color w:val="auto"/>
                  <w:lang w:val="en-GB"/>
                </w:rPr>
                <m:t>BSR</m:t>
              </m:r>
            </m:e>
            <m:sub>
              <m:r>
                <w:rPr>
                  <w:rFonts w:ascii="Cambria Math" w:hAnsi="Cambria Math"/>
                  <w:color w:val="auto"/>
                  <w:lang w:val="en-GB"/>
                </w:rPr>
                <m:t>it</m:t>
              </m:r>
            </m:sub>
          </m:sSub>
          <m:r>
            <m:rPr>
              <m:nor/>
            </m:rPr>
            <w:rPr>
              <w:color w:val="auto"/>
              <w:lang w:val="en-GB"/>
            </w:rPr>
            <m:t>+</m:t>
          </m:r>
          <m:sSub>
            <m:sSubPr>
              <m:ctrlPr>
                <w:rPr>
                  <w:rFonts w:ascii="Cambria Math" w:hAnsi="Cambria Math"/>
                  <w:i/>
                  <w:color w:val="auto"/>
                  <w:lang w:val="en-GB"/>
                </w:rPr>
              </m:ctrlPr>
            </m:sSubPr>
            <m:e>
              <m:r>
                <w:rPr>
                  <w:rFonts w:ascii="Cambria Math" w:hAnsi="Cambria Math"/>
                  <w:color w:val="auto"/>
                  <w:lang w:val="en-GB"/>
                </w:rPr>
                <m:t>BSTR</m:t>
              </m:r>
            </m:e>
            <m:sub>
              <m:r>
                <w:rPr>
                  <w:rFonts w:ascii="Cambria Math" w:hAnsi="Cambria Math"/>
                  <w:color w:val="auto"/>
                  <w:lang w:val="en-GB"/>
                </w:rPr>
                <m:t>it</m:t>
              </m:r>
            </m:sub>
          </m:sSub>
          <m:r>
            <m:rPr>
              <m:nor/>
            </m:rPr>
            <w:rPr>
              <w:color w:val="auto"/>
              <w:lang w:val="en-GB"/>
            </w:rPr>
            <m:t>+</m:t>
          </m:r>
          <m:sSub>
            <m:sSubPr>
              <m:ctrlPr>
                <w:rPr>
                  <w:rFonts w:ascii="Cambria Math" w:hAnsi="Cambria Math"/>
                  <w:i/>
                  <w:color w:val="auto"/>
                  <w:lang w:val="en-GB"/>
                </w:rPr>
              </m:ctrlPr>
            </m:sSubPr>
            <m:e>
              <m:r>
                <w:rPr>
                  <w:rFonts w:ascii="Cambria Math" w:hAnsi="Cambria Math"/>
                  <w:color w:val="auto"/>
                  <w:lang w:val="en-GB"/>
                </w:rPr>
                <m:t>γControls</m:t>
              </m:r>
            </m:e>
            <m:sub>
              <m:r>
                <w:rPr>
                  <w:rFonts w:ascii="Cambria Math" w:hAnsi="Cambria Math"/>
                  <w:color w:val="auto"/>
                  <w:lang w:val="en-GB"/>
                </w:rPr>
                <m:t>it</m:t>
              </m:r>
            </m:sub>
          </m:sSub>
          <m:r>
            <m:rPr>
              <m:nor/>
            </m:rPr>
            <w:rPr>
              <w:color w:val="auto"/>
              <w:lang w:val="en-GB"/>
            </w:rPr>
            <m:t>+</m:t>
          </m:r>
          <m:sSub>
            <m:sSubPr>
              <m:ctrlPr>
                <w:rPr>
                  <w:rFonts w:ascii="Cambria Math" w:hAnsi="Cambria Math"/>
                  <w:i/>
                  <w:color w:val="auto"/>
                  <w:lang w:val="en-GB"/>
                </w:rPr>
              </m:ctrlPr>
            </m:sSubPr>
            <m:e>
              <m:r>
                <w:rPr>
                  <w:rFonts w:ascii="Cambria Math" w:hAnsi="Cambria Math"/>
                  <w:color w:val="auto"/>
                  <w:lang w:val="en-GB"/>
                </w:rPr>
                <m:t>μ</m:t>
              </m:r>
            </m:e>
            <m:sub>
              <m:r>
                <w:rPr>
                  <w:rFonts w:ascii="Cambria Math" w:hAnsi="Cambria Math"/>
                  <w:color w:val="auto"/>
                  <w:lang w:val="en-GB"/>
                </w:rPr>
                <m:t>it</m:t>
              </m:r>
            </m:sub>
          </m:sSub>
          <m:r>
            <m:rPr>
              <m:nor/>
            </m:rPr>
            <w:rPr>
              <w:color w:val="auto"/>
              <w:lang w:val="en-GB"/>
            </w:rPr>
            <m:t xml:space="preserve">       </m:t>
          </m:r>
          <m:r>
            <m:rPr>
              <m:nor/>
            </m:rPr>
            <w:rPr>
              <w:rFonts w:ascii="Cambria Math"/>
              <w:color w:val="auto"/>
              <w:lang w:val="en-GB"/>
            </w:rPr>
            <m:t xml:space="preserve">          </m:t>
          </m:r>
          <w:proofErr w:type="spellStart"/>
          <m:r>
            <m:rPr>
              <m:nor/>
            </m:rPr>
            <w:rPr>
              <w:color w:val="auto"/>
              <w:lang w:val="en-GB"/>
            </w:rPr>
            <m:t>Eqn</m:t>
          </m:r>
          <w:proofErr w:type="spellEnd"/>
          <m:r>
            <m:rPr>
              <m:nor/>
            </m:rPr>
            <w:rPr>
              <w:color w:val="auto"/>
              <w:lang w:val="en-GB"/>
            </w:rPr>
            <m:t xml:space="preserve"> (</m:t>
          </m:r>
          <m:r>
            <m:rPr>
              <m:nor/>
            </m:rPr>
            <w:rPr>
              <w:rFonts w:ascii="Cambria Math"/>
              <w:color w:val="auto"/>
              <w:lang w:val="en-GB"/>
            </w:rPr>
            <m:t>4</m:t>
          </m:r>
          <m:r>
            <m:rPr>
              <m:nor/>
            </m:rPr>
            <w:rPr>
              <w:color w:val="auto"/>
              <w:lang w:val="en-GB"/>
            </w:rPr>
            <m:t xml:space="preserve">) </m:t>
          </m:r>
        </m:oMath>
      </m:oMathPara>
    </w:p>
    <w:p w14:paraId="501D9DB1" w14:textId="77777777" w:rsidR="009F46D4" w:rsidRPr="00EC1DF5" w:rsidRDefault="009F46D4" w:rsidP="00A77CCC">
      <w:pPr>
        <w:spacing w:line="480" w:lineRule="auto"/>
        <w:rPr>
          <w:b/>
          <w:color w:val="auto"/>
          <w:u w:val="single"/>
        </w:rPr>
      </w:pPr>
    </w:p>
    <w:p w14:paraId="53599BD5" w14:textId="25477554" w:rsidR="00AB0E9D" w:rsidRPr="00EC1DF5" w:rsidRDefault="00780FA9" w:rsidP="00CA4E3D">
      <w:pPr>
        <w:spacing w:line="480" w:lineRule="auto"/>
        <w:ind w:firstLine="720"/>
        <w:jc w:val="both"/>
        <w:rPr>
          <w:color w:val="auto"/>
        </w:rPr>
      </w:pPr>
      <w:r w:rsidRPr="00EC1DF5">
        <w:rPr>
          <w:color w:val="auto"/>
        </w:rPr>
        <w:t xml:space="preserve">Where </w:t>
      </w:r>
      <w:r w:rsidRPr="00EC1DF5">
        <w:rPr>
          <w:i/>
          <w:color w:val="auto"/>
        </w:rPr>
        <w:t xml:space="preserve">i </w:t>
      </w:r>
      <w:r w:rsidRPr="00EC1DF5">
        <w:rPr>
          <w:color w:val="auto"/>
        </w:rPr>
        <w:t xml:space="preserve">denotes the firm dimension and </w:t>
      </w:r>
      <w:r w:rsidRPr="00EC1DF5">
        <w:rPr>
          <w:i/>
          <w:color w:val="auto"/>
        </w:rPr>
        <w:t xml:space="preserve">t </w:t>
      </w:r>
      <w:r w:rsidRPr="00EC1DF5">
        <w:rPr>
          <w:color w:val="auto"/>
        </w:rPr>
        <w:t>captures</w:t>
      </w:r>
      <w:r w:rsidRPr="00EC1DF5">
        <w:rPr>
          <w:i/>
          <w:color w:val="auto"/>
        </w:rPr>
        <w:t xml:space="preserve"> </w:t>
      </w:r>
      <w:r w:rsidRPr="00EC1DF5">
        <w:rPr>
          <w:color w:val="auto"/>
        </w:rPr>
        <w:t xml:space="preserve">the time element. Environmental, Social and Financial Sustainability are the three components of the 3BL. Our CG variables are </w:t>
      </w:r>
      <w:r w:rsidR="00921748" w:rsidRPr="00EC1DF5">
        <w:rPr>
          <w:i/>
          <w:color w:val="auto"/>
        </w:rPr>
        <w:t>BF</w:t>
      </w:r>
      <w:r w:rsidRPr="00EC1DF5">
        <w:rPr>
          <w:color w:val="auto"/>
        </w:rPr>
        <w:t xml:space="preserve">, </w:t>
      </w:r>
      <w:r w:rsidR="00921748" w:rsidRPr="00EC1DF5">
        <w:rPr>
          <w:i/>
          <w:color w:val="auto"/>
        </w:rPr>
        <w:t>BST</w:t>
      </w:r>
      <w:r w:rsidRPr="00EC1DF5">
        <w:rPr>
          <w:color w:val="auto"/>
        </w:rPr>
        <w:t xml:space="preserve">, </w:t>
      </w:r>
      <w:r w:rsidR="00921748" w:rsidRPr="00EC1DF5">
        <w:rPr>
          <w:i/>
          <w:color w:val="auto"/>
        </w:rPr>
        <w:t>BC</w:t>
      </w:r>
      <w:r w:rsidRPr="00EC1DF5">
        <w:rPr>
          <w:color w:val="auto"/>
        </w:rPr>
        <w:t xml:space="preserve">, </w:t>
      </w:r>
      <w:r w:rsidR="00921748" w:rsidRPr="00EC1DF5">
        <w:rPr>
          <w:i/>
          <w:color w:val="auto"/>
        </w:rPr>
        <w:t>BSR</w:t>
      </w:r>
      <w:r w:rsidRPr="00EC1DF5">
        <w:rPr>
          <w:color w:val="auto"/>
        </w:rPr>
        <w:t xml:space="preserve"> and </w:t>
      </w:r>
      <w:r w:rsidR="00921748" w:rsidRPr="00EC1DF5">
        <w:rPr>
          <w:i/>
          <w:color w:val="auto"/>
        </w:rPr>
        <w:t>BSTR</w:t>
      </w:r>
      <w:r w:rsidRPr="00EC1DF5">
        <w:rPr>
          <w:color w:val="auto"/>
        </w:rPr>
        <w:t xml:space="preserve">, which represent board functions, board structure, board </w:t>
      </w:r>
      <w:r w:rsidRPr="00EC1DF5">
        <w:rPr>
          <w:color w:val="auto"/>
        </w:rPr>
        <w:lastRenderedPageBreak/>
        <w:t>compensation, board shareholder rights and board strategy. Following the work of Hussain et al. (2018), we control for industry effect</w:t>
      </w:r>
      <w:r w:rsidR="008B59C3" w:rsidRPr="00EC1DF5">
        <w:rPr>
          <w:color w:val="auto"/>
        </w:rPr>
        <w:t>,</w:t>
      </w:r>
      <w:r w:rsidRPr="00EC1DF5">
        <w:rPr>
          <w:color w:val="auto"/>
        </w:rPr>
        <w:t xml:space="preserve"> </w:t>
      </w:r>
      <w:r w:rsidR="00B307BA" w:rsidRPr="00EC1DF5">
        <w:rPr>
          <w:color w:val="auto"/>
        </w:rPr>
        <w:t xml:space="preserve">allocating the value 1 for environmentally sensitive firms and 0 otherwise. </w:t>
      </w:r>
      <w:r w:rsidR="005377E5" w:rsidRPr="00EC1DF5">
        <w:rPr>
          <w:color w:val="auto"/>
        </w:rPr>
        <w:t xml:space="preserve">We </w:t>
      </w:r>
      <w:r w:rsidR="00887975" w:rsidRPr="00EC1DF5">
        <w:rPr>
          <w:color w:val="auto"/>
        </w:rPr>
        <w:t xml:space="preserve">also </w:t>
      </w:r>
      <w:r w:rsidR="005377E5" w:rsidRPr="00EC1DF5">
        <w:rPr>
          <w:color w:val="auto"/>
        </w:rPr>
        <w:t>control for slack resources, firm size, leverage, revenue growth, business ethics, community involvement, capital intensity</w:t>
      </w:r>
      <w:r w:rsidR="008B59C3" w:rsidRPr="00EC1DF5">
        <w:rPr>
          <w:color w:val="auto"/>
        </w:rPr>
        <w:t>,</w:t>
      </w:r>
      <w:r w:rsidR="005377E5" w:rsidRPr="00EC1DF5">
        <w:rPr>
          <w:color w:val="auto"/>
        </w:rPr>
        <w:t xml:space="preserve"> and research and development in the distinct equations. </w:t>
      </w:r>
      <w:r w:rsidR="00AB650D" w:rsidRPr="00EC1DF5">
        <w:rPr>
          <w:color w:val="auto"/>
        </w:rPr>
        <w:t xml:space="preserve">To select the most suitable panel data model, we apply the Hausman test (Hausman, 1978) on both fixed and random effect models. </w:t>
      </w:r>
      <w:r w:rsidR="008B59C3" w:rsidRPr="00EC1DF5">
        <w:rPr>
          <w:color w:val="auto"/>
        </w:rPr>
        <w:t>The f</w:t>
      </w:r>
      <w:r w:rsidR="00AB650D" w:rsidRPr="00EC1DF5">
        <w:rPr>
          <w:color w:val="auto"/>
        </w:rPr>
        <w:t xml:space="preserve">ixed effect model was </w:t>
      </w:r>
      <w:r w:rsidR="008B59C3" w:rsidRPr="00EC1DF5">
        <w:rPr>
          <w:color w:val="auto"/>
        </w:rPr>
        <w:t xml:space="preserve">found </w:t>
      </w:r>
      <w:r w:rsidR="00AB650D" w:rsidRPr="00EC1DF5">
        <w:rPr>
          <w:color w:val="auto"/>
        </w:rPr>
        <w:t>to fit all the three models which will estimate the within effect and deal with the issue of heterogeneity</w:t>
      </w:r>
      <w:r w:rsidR="00857F42" w:rsidRPr="00EC1DF5">
        <w:rPr>
          <w:color w:val="auto"/>
        </w:rPr>
        <w:t xml:space="preserve"> (Clark and Linzer, 2012). </w:t>
      </w:r>
    </w:p>
    <w:p w14:paraId="07F50243" w14:textId="5A2EF42D" w:rsidR="00FB7DF5" w:rsidRPr="00EC1DF5" w:rsidRDefault="00FB7DF5" w:rsidP="00A77CCC">
      <w:pPr>
        <w:spacing w:line="480" w:lineRule="auto"/>
        <w:rPr>
          <w:b/>
          <w:color w:val="auto"/>
          <w:u w:val="single"/>
        </w:rPr>
      </w:pPr>
    </w:p>
    <w:p w14:paraId="79478FB7" w14:textId="6D5E9235" w:rsidR="00A25BE1" w:rsidRPr="00EC1DF5" w:rsidRDefault="00EF1935" w:rsidP="00A77CCC">
      <w:pPr>
        <w:pStyle w:val="Heading1"/>
        <w:spacing w:line="480" w:lineRule="auto"/>
        <w:rPr>
          <w:rFonts w:ascii="Times New Roman" w:hAnsi="Times New Roman" w:cs="Times New Roman"/>
          <w:b/>
          <w:color w:val="auto"/>
          <w:sz w:val="24"/>
          <w:szCs w:val="24"/>
        </w:rPr>
      </w:pPr>
      <w:r w:rsidRPr="00EC1DF5">
        <w:rPr>
          <w:rFonts w:ascii="Times New Roman" w:hAnsi="Times New Roman" w:cs="Times New Roman"/>
          <w:b/>
          <w:color w:val="auto"/>
          <w:sz w:val="24"/>
          <w:szCs w:val="24"/>
        </w:rPr>
        <w:t>4. Empirical Results and Discussion</w:t>
      </w:r>
    </w:p>
    <w:p w14:paraId="49614FDF" w14:textId="75044D04" w:rsidR="00A25BE1" w:rsidRPr="00EC1DF5" w:rsidRDefault="00A25BE1" w:rsidP="00A77CCC">
      <w:pPr>
        <w:spacing w:line="480" w:lineRule="auto"/>
        <w:jc w:val="both"/>
        <w:rPr>
          <w:color w:val="auto"/>
        </w:rPr>
      </w:pPr>
      <w:r w:rsidRPr="00EC1DF5">
        <w:rPr>
          <w:color w:val="auto"/>
        </w:rPr>
        <w:t xml:space="preserve">The descriptive statistics (i.e., mean, standard deviation, minimum and maximum values) are presented in Table </w:t>
      </w:r>
      <w:r w:rsidR="00887975" w:rsidRPr="00EC1DF5">
        <w:rPr>
          <w:color w:val="auto"/>
        </w:rPr>
        <w:t>2</w:t>
      </w:r>
      <w:r w:rsidRPr="00EC1DF5">
        <w:rPr>
          <w:color w:val="auto"/>
        </w:rPr>
        <w:t xml:space="preserve">. Among the dependent variables, social sustainability </w:t>
      </w:r>
      <w:r w:rsidR="00E9256A" w:rsidRPr="00EC1DF5">
        <w:rPr>
          <w:color w:val="auto"/>
        </w:rPr>
        <w:t>performance score</w:t>
      </w:r>
      <w:r w:rsidRPr="00EC1DF5">
        <w:rPr>
          <w:color w:val="auto"/>
        </w:rPr>
        <w:t xml:space="preserve"> </w:t>
      </w:r>
      <w:r w:rsidR="00E9256A" w:rsidRPr="00EC1DF5">
        <w:rPr>
          <w:color w:val="auto"/>
        </w:rPr>
        <w:t>recorded</w:t>
      </w:r>
      <w:r w:rsidRPr="00EC1DF5">
        <w:rPr>
          <w:color w:val="auto"/>
        </w:rPr>
        <w:t xml:space="preserve"> the l</w:t>
      </w:r>
      <w:r w:rsidR="009C4CD9" w:rsidRPr="00EC1DF5">
        <w:rPr>
          <w:color w:val="auto"/>
        </w:rPr>
        <w:t>owest</w:t>
      </w:r>
      <w:r w:rsidRPr="00EC1DF5">
        <w:rPr>
          <w:color w:val="auto"/>
        </w:rPr>
        <w:t xml:space="preserve"> minimum value of 4% and the highest maximum of 99%</w:t>
      </w:r>
      <w:r w:rsidR="008B59C3" w:rsidRPr="00EC1DF5">
        <w:rPr>
          <w:color w:val="auto"/>
        </w:rPr>
        <w:t>,</w:t>
      </w:r>
      <w:r w:rsidRPr="00EC1DF5">
        <w:rPr>
          <w:color w:val="auto"/>
        </w:rPr>
        <w:t xml:space="preserve"> with a mean of 61% and standard deviation of 28%. Environmental sustainability</w:t>
      </w:r>
      <w:r w:rsidR="008B59C3" w:rsidRPr="00EC1DF5">
        <w:rPr>
          <w:color w:val="auto"/>
        </w:rPr>
        <w:t>,</w:t>
      </w:r>
      <w:r w:rsidRPr="00EC1DF5">
        <w:rPr>
          <w:color w:val="auto"/>
        </w:rPr>
        <w:t xml:space="preserve"> on the other hand</w:t>
      </w:r>
      <w:r w:rsidR="008B59C3" w:rsidRPr="00EC1DF5">
        <w:rPr>
          <w:color w:val="auto"/>
        </w:rPr>
        <w:t>,</w:t>
      </w:r>
      <w:r w:rsidRPr="00EC1DF5">
        <w:rPr>
          <w:color w:val="auto"/>
        </w:rPr>
        <w:t xml:space="preserve"> </w:t>
      </w:r>
      <w:r w:rsidR="00E9256A" w:rsidRPr="00EC1DF5">
        <w:rPr>
          <w:color w:val="auto"/>
        </w:rPr>
        <w:t>had</w:t>
      </w:r>
      <w:r w:rsidRPr="00EC1DF5">
        <w:rPr>
          <w:color w:val="auto"/>
        </w:rPr>
        <w:t xml:space="preserve"> a minimum of 8% and 97% as the maximum</w:t>
      </w:r>
      <w:r w:rsidR="008B59C3" w:rsidRPr="00EC1DF5">
        <w:rPr>
          <w:color w:val="auto"/>
        </w:rPr>
        <w:t>,</w:t>
      </w:r>
      <w:r w:rsidRPr="00EC1DF5">
        <w:rPr>
          <w:color w:val="auto"/>
        </w:rPr>
        <w:t xml:space="preserve"> deviating by 32% with an average of approximately 57%. From the averages of both social and environmental sustainability, it can be deduced that most firms performed considerabl</w:t>
      </w:r>
      <w:r w:rsidR="008B59C3" w:rsidRPr="00EC1DF5">
        <w:rPr>
          <w:color w:val="auto"/>
        </w:rPr>
        <w:t>y</w:t>
      </w:r>
      <w:r w:rsidRPr="00EC1DF5">
        <w:rPr>
          <w:color w:val="auto"/>
        </w:rPr>
        <w:t xml:space="preserve"> well</w:t>
      </w:r>
      <w:r w:rsidR="008B59C3" w:rsidRPr="00EC1DF5">
        <w:rPr>
          <w:color w:val="auto"/>
        </w:rPr>
        <w:t>,</w:t>
      </w:r>
      <w:r w:rsidRPr="00EC1DF5">
        <w:rPr>
          <w:color w:val="auto"/>
        </w:rPr>
        <w:t xml:space="preserve"> above 50%.</w:t>
      </w:r>
    </w:p>
    <w:p w14:paraId="38C2B875" w14:textId="77777777" w:rsidR="00061628" w:rsidRPr="00EC1DF5" w:rsidRDefault="00061628" w:rsidP="00A77CCC">
      <w:pPr>
        <w:spacing w:line="480" w:lineRule="auto"/>
        <w:jc w:val="both"/>
        <w:rPr>
          <w:color w:val="auto"/>
        </w:rPr>
      </w:pPr>
    </w:p>
    <w:p w14:paraId="1DE12FA8" w14:textId="085D854C" w:rsidR="00FF06AA" w:rsidRPr="00EC1DF5" w:rsidRDefault="00056773" w:rsidP="00A77CCC">
      <w:pPr>
        <w:spacing w:line="480" w:lineRule="auto"/>
        <w:jc w:val="center"/>
        <w:rPr>
          <w:color w:val="auto"/>
        </w:rPr>
      </w:pPr>
      <w:r w:rsidRPr="00EC1DF5">
        <w:rPr>
          <w:color w:val="auto"/>
        </w:rPr>
        <w:t xml:space="preserve">[INSERT TABLE </w:t>
      </w:r>
      <w:r w:rsidR="00887975" w:rsidRPr="00EC1DF5">
        <w:rPr>
          <w:color w:val="auto"/>
        </w:rPr>
        <w:t>2</w:t>
      </w:r>
      <w:r w:rsidRPr="00EC1DF5">
        <w:rPr>
          <w:color w:val="auto"/>
        </w:rPr>
        <w:t>]</w:t>
      </w:r>
    </w:p>
    <w:p w14:paraId="30446553" w14:textId="77777777" w:rsidR="00752A1C" w:rsidRPr="00EC1DF5" w:rsidRDefault="00752A1C" w:rsidP="00A77CCC">
      <w:pPr>
        <w:spacing w:line="480" w:lineRule="auto"/>
        <w:jc w:val="center"/>
        <w:rPr>
          <w:color w:val="auto"/>
        </w:rPr>
      </w:pPr>
    </w:p>
    <w:p w14:paraId="61D0E3CA" w14:textId="51765AFB" w:rsidR="00FF06AA" w:rsidRPr="00EC1DF5" w:rsidRDefault="00571D04" w:rsidP="00FD7E9F">
      <w:pPr>
        <w:spacing w:line="480" w:lineRule="auto"/>
        <w:ind w:firstLine="720"/>
        <w:jc w:val="both"/>
        <w:rPr>
          <w:color w:val="auto"/>
        </w:rPr>
      </w:pPr>
      <w:r w:rsidRPr="00EC1DF5">
        <w:rPr>
          <w:color w:val="auto"/>
        </w:rPr>
        <w:t xml:space="preserve">From the Pearson’s correlation </w:t>
      </w:r>
      <w:r w:rsidR="00F9661E" w:rsidRPr="00EC1DF5">
        <w:rPr>
          <w:color w:val="auto"/>
        </w:rPr>
        <w:t xml:space="preserve">in Table </w:t>
      </w:r>
      <w:r w:rsidR="00887975" w:rsidRPr="00EC1DF5">
        <w:rPr>
          <w:color w:val="auto"/>
        </w:rPr>
        <w:t>3</w:t>
      </w:r>
      <w:r w:rsidR="00F9661E" w:rsidRPr="00EC1DF5">
        <w:rPr>
          <w:color w:val="auto"/>
        </w:rPr>
        <w:t xml:space="preserve">, there is a significant positive relationship between Tobin’s Q and </w:t>
      </w:r>
      <w:r w:rsidR="00921748" w:rsidRPr="00EC1DF5">
        <w:rPr>
          <w:i/>
          <w:color w:val="auto"/>
        </w:rPr>
        <w:t>BC</w:t>
      </w:r>
      <w:r w:rsidR="008B59C3" w:rsidRPr="00EC1DF5">
        <w:rPr>
          <w:color w:val="auto"/>
        </w:rPr>
        <w:t>,</w:t>
      </w:r>
      <w:r w:rsidR="00677113" w:rsidRPr="00EC1DF5">
        <w:rPr>
          <w:i/>
          <w:color w:val="auto"/>
        </w:rPr>
        <w:t xml:space="preserve"> </w:t>
      </w:r>
      <w:r w:rsidR="00677113" w:rsidRPr="00EC1DF5">
        <w:rPr>
          <w:color w:val="auto"/>
        </w:rPr>
        <w:t>while the remaining CG variables yielded a negative correlation</w:t>
      </w:r>
      <w:r w:rsidR="00F9661E" w:rsidRPr="00EC1DF5">
        <w:rPr>
          <w:color w:val="auto"/>
        </w:rPr>
        <w:t>. Both social and environmental sustainability record</w:t>
      </w:r>
      <w:r w:rsidR="008B59C3" w:rsidRPr="00EC1DF5">
        <w:rPr>
          <w:color w:val="auto"/>
        </w:rPr>
        <w:t>ed a</w:t>
      </w:r>
      <w:r w:rsidR="00F9661E" w:rsidRPr="00EC1DF5">
        <w:rPr>
          <w:color w:val="auto"/>
        </w:rPr>
        <w:t xml:space="preserve"> significantly positive correlation with </w:t>
      </w:r>
      <w:r w:rsidR="00921748" w:rsidRPr="00EC1DF5">
        <w:rPr>
          <w:i/>
          <w:iCs/>
          <w:color w:val="auto"/>
        </w:rPr>
        <w:lastRenderedPageBreak/>
        <w:t>BF</w:t>
      </w:r>
      <w:r w:rsidR="00F9661E" w:rsidRPr="00EC1DF5">
        <w:rPr>
          <w:iCs/>
          <w:color w:val="auto"/>
        </w:rPr>
        <w:t xml:space="preserve">, </w:t>
      </w:r>
      <w:r w:rsidR="00921748" w:rsidRPr="00EC1DF5">
        <w:rPr>
          <w:i/>
          <w:iCs/>
          <w:color w:val="auto"/>
        </w:rPr>
        <w:t>BST</w:t>
      </w:r>
      <w:r w:rsidR="00F9661E" w:rsidRPr="00EC1DF5">
        <w:rPr>
          <w:iCs/>
          <w:color w:val="auto"/>
        </w:rPr>
        <w:t xml:space="preserve">, </w:t>
      </w:r>
      <w:r w:rsidR="00921748" w:rsidRPr="00EC1DF5">
        <w:rPr>
          <w:i/>
          <w:iCs/>
          <w:color w:val="auto"/>
        </w:rPr>
        <w:t>BSR</w:t>
      </w:r>
      <w:r w:rsidR="00F9661E" w:rsidRPr="00EC1DF5">
        <w:rPr>
          <w:iCs/>
          <w:color w:val="auto"/>
        </w:rPr>
        <w:t xml:space="preserve"> and </w:t>
      </w:r>
      <w:r w:rsidR="00921748" w:rsidRPr="00EC1DF5">
        <w:rPr>
          <w:i/>
          <w:iCs/>
          <w:color w:val="auto"/>
        </w:rPr>
        <w:t>BSTR</w:t>
      </w:r>
      <w:r w:rsidR="00F9661E" w:rsidRPr="00EC1DF5">
        <w:rPr>
          <w:color w:val="auto"/>
        </w:rPr>
        <w:t xml:space="preserve">. We </w:t>
      </w:r>
      <w:r w:rsidR="0051399C" w:rsidRPr="00EC1DF5">
        <w:rPr>
          <w:color w:val="auto"/>
        </w:rPr>
        <w:t>found a</w:t>
      </w:r>
      <w:r w:rsidR="00F9661E" w:rsidRPr="00EC1DF5">
        <w:rPr>
          <w:color w:val="auto"/>
        </w:rPr>
        <w:t xml:space="preserve"> strong correlation between these two dimensions of sustainability and </w:t>
      </w:r>
      <w:r w:rsidR="00921748" w:rsidRPr="00EC1DF5">
        <w:rPr>
          <w:i/>
          <w:color w:val="auto"/>
        </w:rPr>
        <w:t>BSTR</w:t>
      </w:r>
      <w:r w:rsidR="00F9661E" w:rsidRPr="00EC1DF5">
        <w:rPr>
          <w:color w:val="auto"/>
        </w:rPr>
        <w:t xml:space="preserve"> of 74% and 81% respectively</w:t>
      </w:r>
      <w:r w:rsidR="008B59C3" w:rsidRPr="00EC1DF5">
        <w:rPr>
          <w:color w:val="auto"/>
        </w:rPr>
        <w:t>,</w:t>
      </w:r>
      <w:r w:rsidR="00F9661E" w:rsidRPr="00EC1DF5">
        <w:rPr>
          <w:color w:val="auto"/>
        </w:rPr>
        <w:t xml:space="preserve"> whereas the lowest recorded correlation was with </w:t>
      </w:r>
      <w:r w:rsidR="00921748" w:rsidRPr="00EC1DF5">
        <w:rPr>
          <w:i/>
          <w:color w:val="auto"/>
        </w:rPr>
        <w:t>BF</w:t>
      </w:r>
      <w:r w:rsidR="008B59C3" w:rsidRPr="00EC1DF5">
        <w:rPr>
          <w:color w:val="auto"/>
        </w:rPr>
        <w:t>, at</w:t>
      </w:r>
      <w:r w:rsidR="00F9661E" w:rsidRPr="00EC1DF5">
        <w:rPr>
          <w:color w:val="auto"/>
        </w:rPr>
        <w:t xml:space="preserve"> 5% and 6% respectively.</w:t>
      </w:r>
      <w:r w:rsidR="00677113" w:rsidRPr="00EC1DF5">
        <w:rPr>
          <w:color w:val="auto"/>
        </w:rPr>
        <w:t xml:space="preserve"> We also </w:t>
      </w:r>
      <w:r w:rsidR="009C4CD9" w:rsidRPr="00EC1DF5">
        <w:rPr>
          <w:color w:val="auto"/>
        </w:rPr>
        <w:t xml:space="preserve">observed a significant </w:t>
      </w:r>
      <w:r w:rsidR="00677113" w:rsidRPr="00EC1DF5">
        <w:rPr>
          <w:color w:val="auto"/>
        </w:rPr>
        <w:t>negative association</w:t>
      </w:r>
      <w:r w:rsidR="009C4CD9" w:rsidRPr="00EC1DF5">
        <w:rPr>
          <w:color w:val="auto"/>
        </w:rPr>
        <w:t xml:space="preserve"> between </w:t>
      </w:r>
      <w:r w:rsidR="0051399C" w:rsidRPr="00EC1DF5">
        <w:rPr>
          <w:color w:val="auto"/>
        </w:rPr>
        <w:t>Tobin’s Q and</w:t>
      </w:r>
      <w:r w:rsidR="00677113" w:rsidRPr="00EC1DF5">
        <w:rPr>
          <w:color w:val="auto"/>
        </w:rPr>
        <w:t xml:space="preserve"> </w:t>
      </w:r>
      <w:r w:rsidR="00921748" w:rsidRPr="00EC1DF5">
        <w:rPr>
          <w:i/>
          <w:iCs/>
          <w:color w:val="auto"/>
        </w:rPr>
        <w:t>BSR</w:t>
      </w:r>
      <w:r w:rsidR="009C4CD9" w:rsidRPr="00EC1DF5">
        <w:rPr>
          <w:color w:val="auto"/>
        </w:rPr>
        <w:t xml:space="preserve">. A similar correlation was noted between. Tobin’s Q and </w:t>
      </w:r>
      <w:r w:rsidR="00921748" w:rsidRPr="00EC1DF5">
        <w:rPr>
          <w:i/>
          <w:iCs/>
          <w:color w:val="auto"/>
        </w:rPr>
        <w:t>BSTR</w:t>
      </w:r>
      <w:r w:rsidR="008B59C3" w:rsidRPr="00EC1DF5">
        <w:rPr>
          <w:color w:val="auto"/>
        </w:rPr>
        <w:t>,</w:t>
      </w:r>
      <w:r w:rsidR="00677113" w:rsidRPr="00EC1DF5">
        <w:rPr>
          <w:color w:val="auto"/>
        </w:rPr>
        <w:t xml:space="preserve"> which </w:t>
      </w:r>
      <w:r w:rsidR="0051399C" w:rsidRPr="00EC1DF5">
        <w:rPr>
          <w:color w:val="auto"/>
        </w:rPr>
        <w:t>calls for further prob</w:t>
      </w:r>
      <w:r w:rsidR="008B59C3" w:rsidRPr="00EC1DF5">
        <w:rPr>
          <w:color w:val="auto"/>
        </w:rPr>
        <w:t>ing</w:t>
      </w:r>
      <w:r w:rsidR="00677113" w:rsidRPr="00EC1DF5">
        <w:rPr>
          <w:color w:val="auto"/>
        </w:rPr>
        <w:t xml:space="preserve"> with other statistical measures. </w:t>
      </w:r>
    </w:p>
    <w:p w14:paraId="48B06219" w14:textId="77777777" w:rsidR="006265CD" w:rsidRPr="00EC1DF5" w:rsidRDefault="006265CD" w:rsidP="00A77CCC">
      <w:pPr>
        <w:spacing w:line="480" w:lineRule="auto"/>
        <w:rPr>
          <w:color w:val="auto"/>
        </w:rPr>
      </w:pPr>
    </w:p>
    <w:p w14:paraId="421B1892" w14:textId="60E3E29D" w:rsidR="00FF06AA" w:rsidRPr="00EC1DF5" w:rsidRDefault="00E63B28" w:rsidP="00A77CCC">
      <w:pPr>
        <w:spacing w:line="480" w:lineRule="auto"/>
        <w:jc w:val="center"/>
        <w:rPr>
          <w:color w:val="auto"/>
        </w:rPr>
      </w:pPr>
      <w:r w:rsidRPr="00EC1DF5">
        <w:rPr>
          <w:color w:val="auto"/>
        </w:rPr>
        <w:t xml:space="preserve">[INSERT TABLE </w:t>
      </w:r>
      <w:r w:rsidR="00887975" w:rsidRPr="00EC1DF5">
        <w:rPr>
          <w:color w:val="auto"/>
        </w:rPr>
        <w:t>3</w:t>
      </w:r>
      <w:r w:rsidRPr="00EC1DF5">
        <w:rPr>
          <w:color w:val="auto"/>
        </w:rPr>
        <w:t>]</w:t>
      </w:r>
    </w:p>
    <w:p w14:paraId="5492120E" w14:textId="77777777" w:rsidR="00752A1C" w:rsidRPr="00EC1DF5" w:rsidRDefault="00752A1C" w:rsidP="00A77CCC">
      <w:pPr>
        <w:spacing w:line="480" w:lineRule="auto"/>
        <w:jc w:val="center"/>
        <w:rPr>
          <w:bCs/>
          <w:i/>
          <w:iCs/>
          <w:color w:val="auto"/>
        </w:rPr>
      </w:pPr>
    </w:p>
    <w:p w14:paraId="3FF9E282" w14:textId="23AB03F5" w:rsidR="00F9661E" w:rsidRPr="00EC1DF5" w:rsidRDefault="00484ECE" w:rsidP="004D7969">
      <w:pPr>
        <w:pStyle w:val="Heading2"/>
        <w:spacing w:after="240"/>
        <w:rPr>
          <w:rFonts w:ascii="Times New Roman" w:hAnsi="Times New Roman" w:cs="Times New Roman"/>
          <w:b/>
          <w:bCs/>
          <w:iCs/>
          <w:color w:val="auto"/>
          <w:sz w:val="24"/>
          <w:szCs w:val="24"/>
          <w:u w:val="single"/>
        </w:rPr>
      </w:pPr>
      <w:r w:rsidRPr="00EC1DF5">
        <w:rPr>
          <w:rFonts w:ascii="Times New Roman" w:hAnsi="Times New Roman" w:cs="Times New Roman"/>
          <w:b/>
          <w:bCs/>
          <w:iCs/>
          <w:color w:val="auto"/>
          <w:sz w:val="24"/>
          <w:szCs w:val="24"/>
        </w:rPr>
        <w:t>4</w:t>
      </w:r>
      <w:r w:rsidR="009A59FA" w:rsidRPr="00EC1DF5">
        <w:rPr>
          <w:rFonts w:ascii="Times New Roman" w:hAnsi="Times New Roman" w:cs="Times New Roman"/>
          <w:b/>
          <w:bCs/>
          <w:iCs/>
          <w:color w:val="auto"/>
          <w:sz w:val="24"/>
          <w:szCs w:val="24"/>
        </w:rPr>
        <w:t xml:space="preserve">.1 </w:t>
      </w:r>
      <w:r w:rsidR="008678E1" w:rsidRPr="00EC1DF5">
        <w:rPr>
          <w:rFonts w:ascii="Times New Roman" w:hAnsi="Times New Roman" w:cs="Times New Roman"/>
          <w:b/>
          <w:bCs/>
          <w:iCs/>
          <w:color w:val="auto"/>
          <w:sz w:val="24"/>
          <w:szCs w:val="24"/>
        </w:rPr>
        <w:t>Regression</w:t>
      </w:r>
      <w:r w:rsidR="00A21000" w:rsidRPr="00EC1DF5">
        <w:rPr>
          <w:rFonts w:ascii="Times New Roman" w:hAnsi="Times New Roman" w:cs="Times New Roman"/>
          <w:b/>
          <w:bCs/>
          <w:iCs/>
          <w:color w:val="auto"/>
          <w:sz w:val="24"/>
          <w:szCs w:val="24"/>
        </w:rPr>
        <w:t xml:space="preserve"> Results</w:t>
      </w:r>
    </w:p>
    <w:p w14:paraId="18278A7C" w14:textId="2250B560" w:rsidR="00F9661E" w:rsidRPr="00EC1DF5" w:rsidRDefault="00FD7E9F" w:rsidP="00FD7E9F">
      <w:pPr>
        <w:pStyle w:val="Heading3"/>
        <w:spacing w:line="480" w:lineRule="auto"/>
        <w:rPr>
          <w:color w:val="auto"/>
        </w:rPr>
      </w:pPr>
      <w:r w:rsidRPr="00EC1DF5">
        <w:rPr>
          <w:rFonts w:ascii="Times New Roman" w:hAnsi="Times New Roman" w:cs="Times New Roman"/>
          <w:i/>
          <w:iCs/>
          <w:color w:val="auto"/>
        </w:rPr>
        <w:t xml:space="preserve">4.1.1 </w:t>
      </w:r>
      <w:r w:rsidR="008678E1" w:rsidRPr="00EC1DF5">
        <w:rPr>
          <w:rFonts w:ascii="Times New Roman" w:hAnsi="Times New Roman" w:cs="Times New Roman"/>
          <w:i/>
          <w:iCs/>
          <w:color w:val="auto"/>
        </w:rPr>
        <w:t>CG Pillars and Business Sustainability</w:t>
      </w:r>
    </w:p>
    <w:p w14:paraId="100D39E3" w14:textId="40DEEB97" w:rsidR="00752A1C" w:rsidRPr="00EC1DF5" w:rsidRDefault="008678E1" w:rsidP="008678E1">
      <w:pPr>
        <w:spacing w:line="480" w:lineRule="auto"/>
        <w:ind w:firstLine="720"/>
        <w:jc w:val="both"/>
        <w:rPr>
          <w:color w:val="auto"/>
        </w:rPr>
      </w:pPr>
      <w:bookmarkStart w:id="3" w:name="_Hlk55224513"/>
      <w:r w:rsidRPr="00EC1DF5">
        <w:rPr>
          <w:color w:val="auto"/>
        </w:rPr>
        <w:t>We present the panel fixed effects regression results of</w:t>
      </w:r>
      <w:r w:rsidR="000C0B96" w:rsidRPr="00EC1DF5">
        <w:rPr>
          <w:color w:val="auto"/>
        </w:rPr>
        <w:t xml:space="preserve"> five</w:t>
      </w:r>
      <w:r w:rsidRPr="00EC1DF5">
        <w:rPr>
          <w:color w:val="auto"/>
        </w:rPr>
        <w:t xml:space="preserve"> CG </w:t>
      </w:r>
      <w:r w:rsidR="000C0B96" w:rsidRPr="00EC1DF5">
        <w:rPr>
          <w:color w:val="auto"/>
        </w:rPr>
        <w:t xml:space="preserve">pillars </w:t>
      </w:r>
      <w:r w:rsidRPr="00EC1DF5">
        <w:rPr>
          <w:color w:val="auto"/>
        </w:rPr>
        <w:t xml:space="preserve">and the three dimensions of sustainability in this section. Stepwise regression is employed to deal with potential issues of multicollinearity. In Tables 4, 5 and 6, we show the stepwise regression results of the relationship between the various pillars of corporate governance and environmental, </w:t>
      </w:r>
      <w:proofErr w:type="gramStart"/>
      <w:r w:rsidRPr="00EC1DF5">
        <w:rPr>
          <w:color w:val="auto"/>
        </w:rPr>
        <w:t>social</w:t>
      </w:r>
      <w:proofErr w:type="gramEnd"/>
      <w:r w:rsidRPr="00EC1DF5">
        <w:rPr>
          <w:color w:val="auto"/>
        </w:rPr>
        <w:t xml:space="preserve"> and financial sustainability respectively. Section 4.2 presents a detailed discussion of the findings with literature-based arguments. </w:t>
      </w:r>
      <w:bookmarkEnd w:id="3"/>
    </w:p>
    <w:p w14:paraId="44FC8390" w14:textId="2F1A351F" w:rsidR="00752A1C" w:rsidRPr="00EC1DF5" w:rsidRDefault="00E63B28" w:rsidP="00FD7E9F">
      <w:pPr>
        <w:spacing w:line="480" w:lineRule="auto"/>
        <w:jc w:val="center"/>
        <w:rPr>
          <w:color w:val="auto"/>
        </w:rPr>
      </w:pPr>
      <w:r w:rsidRPr="00EC1DF5">
        <w:rPr>
          <w:color w:val="auto"/>
        </w:rPr>
        <w:t xml:space="preserve">[INSERT TABLE </w:t>
      </w:r>
      <w:r w:rsidR="00887975" w:rsidRPr="00EC1DF5">
        <w:rPr>
          <w:color w:val="auto"/>
        </w:rPr>
        <w:t>4</w:t>
      </w:r>
      <w:r w:rsidRPr="00EC1DF5">
        <w:rPr>
          <w:color w:val="auto"/>
        </w:rPr>
        <w:t>]</w:t>
      </w:r>
    </w:p>
    <w:p w14:paraId="3084C405" w14:textId="77777777" w:rsidR="008678E1" w:rsidRPr="00EC1DF5" w:rsidRDefault="008678E1" w:rsidP="008678E1">
      <w:pPr>
        <w:spacing w:line="480" w:lineRule="auto"/>
        <w:jc w:val="both"/>
        <w:rPr>
          <w:i/>
          <w:iCs/>
          <w:color w:val="auto"/>
        </w:rPr>
      </w:pPr>
      <w:r w:rsidRPr="00EC1DF5">
        <w:rPr>
          <w:i/>
          <w:iCs/>
          <w:color w:val="auto"/>
        </w:rPr>
        <w:t>Board function and business sustainability</w:t>
      </w:r>
    </w:p>
    <w:p w14:paraId="7060C2B7" w14:textId="77777777" w:rsidR="008678E1" w:rsidRPr="00EC1DF5" w:rsidRDefault="008678E1" w:rsidP="008678E1">
      <w:pPr>
        <w:spacing w:line="480" w:lineRule="auto"/>
        <w:jc w:val="both"/>
        <w:rPr>
          <w:color w:val="auto"/>
        </w:rPr>
      </w:pPr>
      <w:r w:rsidRPr="00EC1DF5">
        <w:rPr>
          <w:color w:val="auto"/>
        </w:rPr>
        <w:t xml:space="preserve">First, in support of our </w:t>
      </w:r>
      <w:r w:rsidRPr="00EC1DF5">
        <w:rPr>
          <w:i/>
          <w:iCs/>
          <w:color w:val="auto"/>
        </w:rPr>
        <w:t>hypothesis 1(</w:t>
      </w:r>
      <w:proofErr w:type="spellStart"/>
      <w:r w:rsidRPr="00EC1DF5">
        <w:rPr>
          <w:i/>
          <w:iCs/>
          <w:color w:val="auto"/>
        </w:rPr>
        <w:t>a,b,c</w:t>
      </w:r>
      <w:proofErr w:type="spellEnd"/>
      <w:r w:rsidRPr="00EC1DF5">
        <w:rPr>
          <w:i/>
          <w:iCs/>
          <w:color w:val="auto"/>
        </w:rPr>
        <w:t>)</w:t>
      </w:r>
      <w:r w:rsidRPr="00EC1DF5">
        <w:rPr>
          <w:color w:val="auto"/>
        </w:rPr>
        <w:t xml:space="preserve"> we found a significantly positive  relationship among board functions and environmental performance (β=0.111), social performance (β=0.052) and financial performance (β=0.079) in models 1 of Tables 4, 5 and 6. This finding affirms the assumption that the extensive functions of the board indeed consider all three dimensions of sustainability as relevant performance indicators. The policy implication of our findings is that </w:t>
      </w:r>
      <w:r w:rsidRPr="00EC1DF5">
        <w:rPr>
          <w:color w:val="auto"/>
        </w:rPr>
        <w:lastRenderedPageBreak/>
        <w:t>firms with well instituted board functions are more likely to improve their overall performance. It can thus be depicted that a 1% increase in board function effectiveness could be associated with a 11% increase in environmental performance, followed by a 7.9% increase in firm value and 5.2% in social performance. The results are consistent in the stepwise regressions models 2 across the tables.</w:t>
      </w:r>
    </w:p>
    <w:p w14:paraId="105BE24D" w14:textId="77777777" w:rsidR="008678E1" w:rsidRPr="00EC1DF5" w:rsidRDefault="008678E1" w:rsidP="008678E1">
      <w:pPr>
        <w:spacing w:line="480" w:lineRule="auto"/>
        <w:jc w:val="both"/>
        <w:rPr>
          <w:i/>
          <w:iCs/>
          <w:color w:val="auto"/>
        </w:rPr>
      </w:pPr>
      <w:r w:rsidRPr="00EC1DF5">
        <w:rPr>
          <w:i/>
          <w:iCs/>
          <w:color w:val="auto"/>
        </w:rPr>
        <w:t>Board structure and business sustainability</w:t>
      </w:r>
    </w:p>
    <w:p w14:paraId="300559D9" w14:textId="20D7E583" w:rsidR="008678E1" w:rsidRPr="00EC1DF5" w:rsidRDefault="008678E1" w:rsidP="008678E1">
      <w:pPr>
        <w:spacing w:line="480" w:lineRule="auto"/>
        <w:jc w:val="both"/>
        <w:rPr>
          <w:color w:val="auto"/>
        </w:rPr>
      </w:pPr>
      <w:r w:rsidRPr="00EC1DF5">
        <w:rPr>
          <w:color w:val="auto"/>
        </w:rPr>
        <w:t xml:space="preserve"> From model 1 on table 4, our findings are contrary to the hypothesised positive relationship </w:t>
      </w:r>
      <w:r w:rsidRPr="00EC1DF5">
        <w:rPr>
          <w:i/>
          <w:iCs/>
          <w:color w:val="auto"/>
        </w:rPr>
        <w:t>(H2a).</w:t>
      </w:r>
      <w:r w:rsidRPr="00EC1DF5">
        <w:rPr>
          <w:color w:val="auto"/>
        </w:rPr>
        <w:t xml:space="preserve"> It was discovered that although the impact of board structure on environmental sustainability was positive, it was however, statistically </w:t>
      </w:r>
      <w:proofErr w:type="gramStart"/>
      <w:r w:rsidRPr="00EC1DF5">
        <w:rPr>
          <w:color w:val="auto"/>
        </w:rPr>
        <w:t>insignificant</w:t>
      </w:r>
      <w:proofErr w:type="gramEnd"/>
      <w:r w:rsidRPr="00EC1DF5">
        <w:rPr>
          <w:color w:val="auto"/>
        </w:rPr>
        <w:t xml:space="preserve"> and therefore we reject </w:t>
      </w:r>
      <w:r w:rsidRPr="00EC1DF5">
        <w:rPr>
          <w:i/>
          <w:iCs/>
          <w:color w:val="auto"/>
        </w:rPr>
        <w:t>H2a</w:t>
      </w:r>
      <w:r w:rsidRPr="00EC1DF5">
        <w:rPr>
          <w:color w:val="auto"/>
        </w:rPr>
        <w:t>. Similarly, no statistical evidence was found in support of our hypothesised (</w:t>
      </w:r>
      <w:r w:rsidRPr="00EC1DF5">
        <w:rPr>
          <w:i/>
          <w:iCs/>
          <w:color w:val="auto"/>
        </w:rPr>
        <w:t>H2c</w:t>
      </w:r>
      <w:r w:rsidRPr="00EC1DF5">
        <w:rPr>
          <w:color w:val="auto"/>
        </w:rPr>
        <w:t xml:space="preserve">) impact of board structure on financial performance as shown on </w:t>
      </w:r>
      <w:r w:rsidR="002031F4" w:rsidRPr="00EC1DF5">
        <w:rPr>
          <w:color w:val="auto"/>
        </w:rPr>
        <w:t>T</w:t>
      </w:r>
      <w:r w:rsidRPr="00EC1DF5">
        <w:rPr>
          <w:color w:val="auto"/>
        </w:rPr>
        <w:t xml:space="preserve">able 6. On the other hand, results from both models 1 and 3 on table 5 show a significantly positive (β=0.108 and β=0.159) effect of board structure on social sustainability performance, thus, we accept </w:t>
      </w:r>
      <w:r w:rsidRPr="00EC1DF5">
        <w:rPr>
          <w:i/>
          <w:iCs/>
          <w:color w:val="auto"/>
        </w:rPr>
        <w:t>H2b</w:t>
      </w:r>
      <w:r w:rsidRPr="00EC1DF5">
        <w:rPr>
          <w:color w:val="auto"/>
        </w:rPr>
        <w:t xml:space="preserve">. The results indicate that for a percentage improvement in board structure, firms’ social performance can increase between 10% and 15% approximately.  Impliedly, a well-developed board structure is likely to focus inclusiveness among members, employees, </w:t>
      </w:r>
      <w:proofErr w:type="gramStart"/>
      <w:r w:rsidRPr="00EC1DF5">
        <w:rPr>
          <w:color w:val="auto"/>
        </w:rPr>
        <w:t>societies</w:t>
      </w:r>
      <w:proofErr w:type="gramEnd"/>
      <w:r w:rsidRPr="00EC1DF5">
        <w:rPr>
          <w:color w:val="auto"/>
        </w:rPr>
        <w:t xml:space="preserve"> and stakeholders.</w:t>
      </w:r>
    </w:p>
    <w:p w14:paraId="5854A44F" w14:textId="77777777" w:rsidR="008678E1" w:rsidRPr="00EC1DF5" w:rsidRDefault="008678E1" w:rsidP="008678E1">
      <w:pPr>
        <w:spacing w:line="480" w:lineRule="auto"/>
        <w:jc w:val="both"/>
        <w:rPr>
          <w:i/>
          <w:iCs/>
          <w:color w:val="auto"/>
        </w:rPr>
      </w:pPr>
      <w:r w:rsidRPr="00EC1DF5">
        <w:rPr>
          <w:i/>
          <w:iCs/>
          <w:color w:val="auto"/>
        </w:rPr>
        <w:t>Business compensation and business sustainability</w:t>
      </w:r>
    </w:p>
    <w:p w14:paraId="423059AB" w14:textId="5D2015D9" w:rsidR="008678E1" w:rsidRPr="00EC1DF5" w:rsidRDefault="008678E1" w:rsidP="008678E1">
      <w:pPr>
        <w:spacing w:line="480" w:lineRule="auto"/>
        <w:jc w:val="both"/>
        <w:rPr>
          <w:color w:val="auto"/>
        </w:rPr>
      </w:pPr>
      <w:r w:rsidRPr="00EC1DF5">
        <w:rPr>
          <w:color w:val="auto"/>
        </w:rPr>
        <w:t xml:space="preserve">We found no statistical evidence in support of </w:t>
      </w:r>
      <w:r w:rsidRPr="00EC1DF5">
        <w:rPr>
          <w:i/>
          <w:iCs/>
          <w:color w:val="auto"/>
        </w:rPr>
        <w:t xml:space="preserve">Hypotheses 3a and 3b </w:t>
      </w:r>
      <w:r w:rsidRPr="00EC1DF5">
        <w:rPr>
          <w:color w:val="auto"/>
        </w:rPr>
        <w:t xml:space="preserve">that there is significant relationship with the exception of </w:t>
      </w:r>
      <w:r w:rsidRPr="00EC1DF5">
        <w:rPr>
          <w:i/>
          <w:iCs/>
          <w:color w:val="auto"/>
        </w:rPr>
        <w:t xml:space="preserve">H3c </w:t>
      </w:r>
      <w:r w:rsidRPr="00EC1DF5">
        <w:rPr>
          <w:color w:val="auto"/>
        </w:rPr>
        <w:t xml:space="preserve">where we found a significant effect (β=0.322) of board compensation on Tobin’s Q as shown in Table 6 models 1 and 4 and therefore accept </w:t>
      </w:r>
      <w:r w:rsidRPr="00EC1DF5">
        <w:rPr>
          <w:i/>
          <w:iCs/>
          <w:color w:val="auto"/>
        </w:rPr>
        <w:t>H3c</w:t>
      </w:r>
      <w:r w:rsidRPr="00EC1DF5">
        <w:rPr>
          <w:color w:val="auto"/>
        </w:rPr>
        <w:t xml:space="preserve"> and reject </w:t>
      </w:r>
      <w:r w:rsidRPr="00EC1DF5">
        <w:rPr>
          <w:i/>
          <w:iCs/>
          <w:color w:val="auto"/>
        </w:rPr>
        <w:t>H3a</w:t>
      </w:r>
      <w:r w:rsidRPr="00EC1DF5">
        <w:rPr>
          <w:color w:val="auto"/>
        </w:rPr>
        <w:t xml:space="preserve"> and </w:t>
      </w:r>
      <w:r w:rsidRPr="00EC1DF5">
        <w:rPr>
          <w:i/>
          <w:iCs/>
          <w:color w:val="auto"/>
        </w:rPr>
        <w:t>H3b</w:t>
      </w:r>
      <w:r w:rsidRPr="00EC1DF5">
        <w:rPr>
          <w:color w:val="auto"/>
        </w:rPr>
        <w:t xml:space="preserve">. The results indicate that companies with appropriately developed board compensation policies tend to perform better financially. In fact, the result show that about 32% increase in financial performance can be associated with a 1% increase in board compensation management. On the contrary, we found no significant relationship when we </w:t>
      </w:r>
      <w:r w:rsidRPr="00EC1DF5">
        <w:rPr>
          <w:color w:val="auto"/>
        </w:rPr>
        <w:lastRenderedPageBreak/>
        <w:t>used 2SLS to account for endogeneity issues in the equation as shown in models 7, 8 and 9. Despite the hypothesised negative impact of board compensation (</w:t>
      </w:r>
      <w:r w:rsidRPr="00EC1DF5">
        <w:rPr>
          <w:i/>
          <w:iCs/>
          <w:color w:val="auto"/>
        </w:rPr>
        <w:t>H3b</w:t>
      </w:r>
      <w:r w:rsidRPr="00EC1DF5">
        <w:rPr>
          <w:color w:val="auto"/>
        </w:rPr>
        <w:t>) on social performance, we found a significantly positive relationship which implies that the companies with enhanced board compensation policies have a high tendency of promoting social related issues.</w:t>
      </w:r>
    </w:p>
    <w:p w14:paraId="32F3140D" w14:textId="77777777" w:rsidR="008678E1" w:rsidRPr="00EC1DF5" w:rsidRDefault="008678E1" w:rsidP="008678E1">
      <w:pPr>
        <w:spacing w:line="480" w:lineRule="auto"/>
        <w:jc w:val="both"/>
        <w:rPr>
          <w:color w:val="auto"/>
        </w:rPr>
      </w:pPr>
    </w:p>
    <w:p w14:paraId="02CA6527" w14:textId="77777777" w:rsidR="008678E1" w:rsidRPr="00EC1DF5" w:rsidRDefault="008678E1" w:rsidP="008678E1">
      <w:pPr>
        <w:spacing w:line="480" w:lineRule="auto"/>
        <w:jc w:val="center"/>
        <w:rPr>
          <w:b/>
          <w:iCs/>
          <w:color w:val="auto"/>
        </w:rPr>
      </w:pPr>
      <w:r w:rsidRPr="00EC1DF5">
        <w:rPr>
          <w:b/>
          <w:iCs/>
          <w:color w:val="auto"/>
        </w:rPr>
        <w:t>[INSERT TABLE 5]</w:t>
      </w:r>
    </w:p>
    <w:p w14:paraId="299748EF" w14:textId="77777777" w:rsidR="008678E1" w:rsidRPr="00EC1DF5" w:rsidRDefault="008678E1" w:rsidP="008678E1">
      <w:pPr>
        <w:spacing w:line="480" w:lineRule="auto"/>
        <w:jc w:val="center"/>
        <w:rPr>
          <w:b/>
          <w:iCs/>
          <w:color w:val="auto"/>
        </w:rPr>
      </w:pPr>
    </w:p>
    <w:p w14:paraId="2BD5C268" w14:textId="77777777" w:rsidR="008678E1" w:rsidRPr="00EC1DF5" w:rsidRDefault="008678E1" w:rsidP="008678E1">
      <w:pPr>
        <w:spacing w:line="480" w:lineRule="auto"/>
        <w:jc w:val="center"/>
        <w:rPr>
          <w:b/>
          <w:color w:val="auto"/>
          <w:u w:val="single"/>
        </w:rPr>
      </w:pPr>
      <w:r w:rsidRPr="00EC1DF5">
        <w:rPr>
          <w:b/>
          <w:iCs/>
          <w:color w:val="auto"/>
        </w:rPr>
        <w:t>[INSERT TABLE 6]</w:t>
      </w:r>
    </w:p>
    <w:p w14:paraId="7715C674" w14:textId="77777777" w:rsidR="008678E1" w:rsidRPr="00EC1DF5" w:rsidRDefault="008678E1" w:rsidP="008678E1">
      <w:pPr>
        <w:spacing w:line="480" w:lineRule="auto"/>
        <w:rPr>
          <w:i/>
          <w:iCs/>
          <w:color w:val="auto"/>
        </w:rPr>
      </w:pPr>
      <w:r w:rsidRPr="00EC1DF5">
        <w:rPr>
          <w:i/>
          <w:iCs/>
          <w:color w:val="auto"/>
        </w:rPr>
        <w:t>Board strategy and business sustainability</w:t>
      </w:r>
    </w:p>
    <w:p w14:paraId="196B469B" w14:textId="77777777" w:rsidR="008678E1" w:rsidRPr="00EC1DF5" w:rsidRDefault="008678E1" w:rsidP="008678E1">
      <w:pPr>
        <w:spacing w:line="480" w:lineRule="auto"/>
        <w:jc w:val="both"/>
        <w:rPr>
          <w:color w:val="auto"/>
        </w:rPr>
      </w:pPr>
      <w:r w:rsidRPr="00EC1DF5">
        <w:rPr>
          <w:color w:val="auto"/>
        </w:rPr>
        <w:t xml:space="preserve">From Tables 4 and 5, we found empirical evidence to accept </w:t>
      </w:r>
      <w:r w:rsidRPr="00EC1DF5">
        <w:rPr>
          <w:i/>
          <w:iCs/>
          <w:color w:val="auto"/>
        </w:rPr>
        <w:t>hypotheses 4a</w:t>
      </w:r>
      <w:r w:rsidRPr="00EC1DF5">
        <w:rPr>
          <w:color w:val="auto"/>
        </w:rPr>
        <w:t xml:space="preserve"> and </w:t>
      </w:r>
      <w:r w:rsidRPr="00EC1DF5">
        <w:rPr>
          <w:i/>
          <w:iCs/>
          <w:color w:val="auto"/>
        </w:rPr>
        <w:t>4b</w:t>
      </w:r>
      <w:r w:rsidRPr="00EC1DF5">
        <w:rPr>
          <w:color w:val="auto"/>
        </w:rPr>
        <w:t xml:space="preserve"> that there is a positive relationship between board strategy and environmental sustainability as well as social sustainability. Specifically, the significant coefficient (0.442) implies that advancing corporate strategies can improve firms’ environmental performance scores by 44% in Table 4 model 1. Similarly, with coefficient (0.344) in Table 5 model 1, social performance can be increased by 34% when firms proactively institute corporate strategies. The relationship found between board strategy and financial performance was on the contrary positive but statistically insignificant, therefore we reject </w:t>
      </w:r>
      <w:r w:rsidRPr="00EC1DF5">
        <w:rPr>
          <w:i/>
          <w:iCs/>
          <w:color w:val="auto"/>
        </w:rPr>
        <w:t>hypothesis 4c</w:t>
      </w:r>
      <w:r w:rsidRPr="00EC1DF5">
        <w:rPr>
          <w:color w:val="auto"/>
        </w:rPr>
        <w:t>.</w:t>
      </w:r>
    </w:p>
    <w:p w14:paraId="43806287" w14:textId="77777777" w:rsidR="008678E1" w:rsidRPr="00EC1DF5" w:rsidRDefault="008678E1" w:rsidP="008678E1">
      <w:pPr>
        <w:spacing w:line="480" w:lineRule="auto"/>
        <w:jc w:val="both"/>
        <w:rPr>
          <w:i/>
          <w:iCs/>
          <w:color w:val="auto"/>
        </w:rPr>
      </w:pPr>
      <w:r w:rsidRPr="00EC1DF5">
        <w:rPr>
          <w:i/>
          <w:iCs/>
          <w:color w:val="auto"/>
        </w:rPr>
        <w:t>Board shareholder rights and business sustainability</w:t>
      </w:r>
    </w:p>
    <w:p w14:paraId="369063F2" w14:textId="5F00225F" w:rsidR="0080380F" w:rsidRPr="00EC1DF5" w:rsidRDefault="008678E1" w:rsidP="00921748">
      <w:pPr>
        <w:spacing w:line="480" w:lineRule="auto"/>
        <w:jc w:val="both"/>
        <w:rPr>
          <w:color w:val="auto"/>
        </w:rPr>
      </w:pPr>
      <w:r w:rsidRPr="00EC1DF5">
        <w:rPr>
          <w:color w:val="auto"/>
        </w:rPr>
        <w:t xml:space="preserve">From model 1 on Tables 4, 5 and 6, we fail to accept </w:t>
      </w:r>
      <w:r w:rsidRPr="00EC1DF5">
        <w:rPr>
          <w:i/>
          <w:iCs/>
          <w:color w:val="auto"/>
        </w:rPr>
        <w:t>Hypothesis 5</w:t>
      </w:r>
      <w:r w:rsidRPr="00EC1DF5">
        <w:rPr>
          <w:color w:val="auto"/>
        </w:rPr>
        <w:t xml:space="preserve"> (</w:t>
      </w:r>
      <w:r w:rsidRPr="00EC1DF5">
        <w:rPr>
          <w:i/>
          <w:iCs/>
          <w:color w:val="auto"/>
        </w:rPr>
        <w:t>a, b, c</w:t>
      </w:r>
      <w:r w:rsidRPr="00EC1DF5">
        <w:rPr>
          <w:color w:val="auto"/>
        </w:rPr>
        <w:t xml:space="preserve">) in relation to board shareholder rights and sustainability. While we hypothesised a negative effect of shareholder rights on environmental sustainability, we found a significantly positive effect (β=0.032) in </w:t>
      </w:r>
      <w:r w:rsidRPr="00EC1DF5">
        <w:rPr>
          <w:i/>
          <w:iCs/>
          <w:color w:val="auto"/>
        </w:rPr>
        <w:t>H5a</w:t>
      </w:r>
      <w:r w:rsidRPr="00EC1DF5">
        <w:rPr>
          <w:color w:val="auto"/>
        </w:rPr>
        <w:t xml:space="preserve">. Similarly, while rejecting </w:t>
      </w:r>
      <w:r w:rsidRPr="00EC1DF5">
        <w:rPr>
          <w:i/>
          <w:iCs/>
          <w:color w:val="auto"/>
        </w:rPr>
        <w:t>H5b</w:t>
      </w:r>
      <w:r w:rsidRPr="00EC1DF5">
        <w:rPr>
          <w:color w:val="auto"/>
        </w:rPr>
        <w:t xml:space="preserve">, we discovered a significant impact (β=0.066) of shareholder rights on social sustainability performance as shown in Table 6 model 1. </w:t>
      </w:r>
      <w:r w:rsidRPr="00EC1DF5">
        <w:rPr>
          <w:color w:val="auto"/>
        </w:rPr>
        <w:lastRenderedPageBreak/>
        <w:t xml:space="preserve">Interestingly, we found no significant positive impact of shareholder rights on financial performance. The results show a negative insignificant relationship instead and therefore we reject </w:t>
      </w:r>
      <w:r w:rsidRPr="00EC1DF5">
        <w:rPr>
          <w:i/>
          <w:iCs/>
          <w:color w:val="auto"/>
        </w:rPr>
        <w:t>H5c</w:t>
      </w:r>
      <w:r w:rsidRPr="00EC1DF5">
        <w:rPr>
          <w:color w:val="auto"/>
        </w:rPr>
        <w:t xml:space="preserve">. We can argue from these contradictory findings that improving shareholder rights as opposed to popular opinions could shift the focus of companies on social and environmental performance and not only financial performance (Jiao, 2010). </w:t>
      </w:r>
    </w:p>
    <w:p w14:paraId="281AC3BD" w14:textId="0C18A871" w:rsidR="00C719E0" w:rsidRPr="00EC1DF5" w:rsidRDefault="00921748" w:rsidP="00921748">
      <w:pPr>
        <w:pStyle w:val="Heading3"/>
        <w:spacing w:line="480" w:lineRule="auto"/>
        <w:rPr>
          <w:rFonts w:ascii="Times New Roman" w:hAnsi="Times New Roman" w:cs="Times New Roman"/>
          <w:i/>
          <w:iCs/>
          <w:color w:val="auto"/>
        </w:rPr>
      </w:pPr>
      <w:r w:rsidRPr="00EC1DF5">
        <w:rPr>
          <w:rFonts w:ascii="Times New Roman" w:hAnsi="Times New Roman" w:cs="Times New Roman"/>
          <w:i/>
          <w:iCs/>
          <w:color w:val="auto"/>
        </w:rPr>
        <w:t>4.1.</w:t>
      </w:r>
      <w:r w:rsidR="008678E1" w:rsidRPr="00EC1DF5">
        <w:rPr>
          <w:rFonts w:ascii="Times New Roman" w:hAnsi="Times New Roman" w:cs="Times New Roman"/>
          <w:i/>
          <w:iCs/>
          <w:color w:val="auto"/>
        </w:rPr>
        <w:t>2</w:t>
      </w:r>
      <w:r w:rsidRPr="00EC1DF5">
        <w:rPr>
          <w:rFonts w:ascii="Times New Roman" w:hAnsi="Times New Roman" w:cs="Times New Roman"/>
          <w:i/>
          <w:iCs/>
          <w:color w:val="auto"/>
        </w:rPr>
        <w:t xml:space="preserve"> </w:t>
      </w:r>
      <w:r w:rsidR="0080380F" w:rsidRPr="00EC1DF5">
        <w:rPr>
          <w:rFonts w:ascii="Times New Roman" w:hAnsi="Times New Roman" w:cs="Times New Roman"/>
          <w:i/>
          <w:iCs/>
          <w:color w:val="auto"/>
        </w:rPr>
        <w:t>Moderation Test</w:t>
      </w:r>
    </w:p>
    <w:p w14:paraId="2600496B" w14:textId="0F138FFA" w:rsidR="00E63B28" w:rsidRPr="00EC1DF5" w:rsidRDefault="0080380F" w:rsidP="00921748">
      <w:pPr>
        <w:spacing w:line="480" w:lineRule="auto"/>
        <w:jc w:val="both"/>
        <w:rPr>
          <w:color w:val="auto"/>
        </w:rPr>
      </w:pPr>
      <w:r w:rsidRPr="00EC1DF5">
        <w:rPr>
          <w:color w:val="auto"/>
        </w:rPr>
        <w:t xml:space="preserve">In Table </w:t>
      </w:r>
      <w:r w:rsidR="00887975" w:rsidRPr="00EC1DF5">
        <w:rPr>
          <w:color w:val="auto"/>
        </w:rPr>
        <w:t>7</w:t>
      </w:r>
      <w:r w:rsidRPr="00EC1DF5">
        <w:rPr>
          <w:color w:val="auto"/>
        </w:rPr>
        <w:t>, we ex</w:t>
      </w:r>
      <w:r w:rsidR="003245BD" w:rsidRPr="00EC1DF5">
        <w:rPr>
          <w:color w:val="auto"/>
        </w:rPr>
        <w:t>amine</w:t>
      </w:r>
      <w:r w:rsidRPr="00EC1DF5">
        <w:rPr>
          <w:color w:val="auto"/>
        </w:rPr>
        <w:t xml:space="preserve"> the moderating role of stakeholder engagement on the relationship between</w:t>
      </w:r>
      <w:r w:rsidR="003245BD" w:rsidRPr="00EC1DF5">
        <w:rPr>
          <w:color w:val="auto"/>
        </w:rPr>
        <w:t xml:space="preserve"> CG and</w:t>
      </w:r>
      <w:r w:rsidRPr="00EC1DF5">
        <w:rPr>
          <w:color w:val="auto"/>
        </w:rPr>
        <w:t xml:space="preserve"> </w:t>
      </w:r>
      <w:r w:rsidR="003245BD" w:rsidRPr="00EC1DF5">
        <w:rPr>
          <w:color w:val="auto"/>
        </w:rPr>
        <w:t>e</w:t>
      </w:r>
      <w:r w:rsidRPr="00EC1DF5">
        <w:rPr>
          <w:color w:val="auto"/>
        </w:rPr>
        <w:t xml:space="preserve">nvironmental and </w:t>
      </w:r>
      <w:r w:rsidR="003245BD" w:rsidRPr="00EC1DF5">
        <w:rPr>
          <w:color w:val="auto"/>
        </w:rPr>
        <w:t>s</w:t>
      </w:r>
      <w:r w:rsidRPr="00EC1DF5">
        <w:rPr>
          <w:color w:val="auto"/>
        </w:rPr>
        <w:t xml:space="preserve">ocial </w:t>
      </w:r>
      <w:r w:rsidR="003245BD" w:rsidRPr="00EC1DF5">
        <w:rPr>
          <w:color w:val="auto"/>
        </w:rPr>
        <w:t>s</w:t>
      </w:r>
      <w:r w:rsidRPr="00EC1DF5">
        <w:rPr>
          <w:color w:val="auto"/>
        </w:rPr>
        <w:t>ustainabilit</w:t>
      </w:r>
      <w:r w:rsidR="003245BD" w:rsidRPr="00EC1DF5">
        <w:rPr>
          <w:color w:val="auto"/>
        </w:rPr>
        <w:t>y</w:t>
      </w:r>
      <w:r w:rsidRPr="00EC1DF5">
        <w:rPr>
          <w:color w:val="auto"/>
        </w:rPr>
        <w:t xml:space="preserve">. </w:t>
      </w:r>
      <w:proofErr w:type="gramStart"/>
      <w:r w:rsidRPr="00EC1DF5">
        <w:rPr>
          <w:color w:val="auto"/>
        </w:rPr>
        <w:t>In order to</w:t>
      </w:r>
      <w:proofErr w:type="gramEnd"/>
      <w:r w:rsidRPr="00EC1DF5">
        <w:rPr>
          <w:color w:val="auto"/>
        </w:rPr>
        <w:t xml:space="preserve"> test this hypothesis, we grouped stakeholder engagement into low</w:t>
      </w:r>
      <w:r w:rsidR="002C3A2C" w:rsidRPr="00EC1DF5">
        <w:rPr>
          <w:color w:val="auto"/>
        </w:rPr>
        <w:t xml:space="preserve"> </w:t>
      </w:r>
      <w:r w:rsidRPr="00EC1DF5">
        <w:rPr>
          <w:color w:val="auto"/>
        </w:rPr>
        <w:t xml:space="preserve">and high </w:t>
      </w:r>
      <w:r w:rsidR="00E35A8D" w:rsidRPr="00EC1DF5">
        <w:rPr>
          <w:color w:val="auto"/>
        </w:rPr>
        <w:t xml:space="preserve">levels </w:t>
      </w:r>
      <w:r w:rsidRPr="00EC1DF5">
        <w:rPr>
          <w:color w:val="auto"/>
        </w:rPr>
        <w:t xml:space="preserve">of engagement. </w:t>
      </w:r>
      <w:r w:rsidR="00E35A8D" w:rsidRPr="00EC1DF5">
        <w:rPr>
          <w:color w:val="auto"/>
        </w:rPr>
        <w:t xml:space="preserve">In line with previous studies </w:t>
      </w:r>
      <w:r w:rsidR="00143992" w:rsidRPr="00EC1DF5">
        <w:rPr>
          <w:color w:val="auto"/>
        </w:rPr>
        <w:t>(</w:t>
      </w:r>
      <w:proofErr w:type="spellStart"/>
      <w:r w:rsidR="00143992" w:rsidRPr="00EC1DF5">
        <w:rPr>
          <w:color w:val="auto"/>
        </w:rPr>
        <w:t>Herzallah</w:t>
      </w:r>
      <w:proofErr w:type="spellEnd"/>
      <w:r w:rsidR="00143992" w:rsidRPr="00EC1DF5">
        <w:rPr>
          <w:color w:val="auto"/>
        </w:rPr>
        <w:t xml:space="preserve"> </w:t>
      </w:r>
      <w:r w:rsidR="00143992" w:rsidRPr="00EC1DF5">
        <w:rPr>
          <w:i/>
          <w:iCs/>
          <w:color w:val="auto"/>
        </w:rPr>
        <w:t>et al.,</w:t>
      </w:r>
      <w:r w:rsidR="00143992" w:rsidRPr="00EC1DF5">
        <w:rPr>
          <w:color w:val="auto"/>
        </w:rPr>
        <w:t xml:space="preserve"> 2017), stakeholder engagement scores above the median value is classified as high engagement whereas those below the median indicates low level of engagement. </w:t>
      </w:r>
      <w:r w:rsidRPr="00EC1DF5">
        <w:rPr>
          <w:color w:val="auto"/>
        </w:rPr>
        <w:t>The</w:t>
      </w:r>
      <w:r w:rsidR="00A16B74" w:rsidRPr="00EC1DF5">
        <w:rPr>
          <w:color w:val="auto"/>
        </w:rPr>
        <w:t xml:space="preserve"> two levels of engagement were used </w:t>
      </w:r>
      <w:proofErr w:type="gramStart"/>
      <w:r w:rsidR="00A16B74" w:rsidRPr="00EC1DF5">
        <w:rPr>
          <w:color w:val="auto"/>
        </w:rPr>
        <w:t>in order to</w:t>
      </w:r>
      <w:proofErr w:type="gramEnd"/>
      <w:r w:rsidR="00A16B74" w:rsidRPr="00EC1DF5">
        <w:rPr>
          <w:color w:val="auto"/>
        </w:rPr>
        <w:t xml:space="preserve"> capture the distinct associations established in </w:t>
      </w:r>
      <w:r w:rsidR="00EB6156" w:rsidRPr="00EC1DF5">
        <w:rPr>
          <w:color w:val="auto"/>
        </w:rPr>
        <w:t>each</w:t>
      </w:r>
      <w:r w:rsidR="00A16B74" w:rsidRPr="00EC1DF5">
        <w:rPr>
          <w:color w:val="auto"/>
        </w:rPr>
        <w:t xml:space="preserve"> instance. Models 1 to 5 show the results of </w:t>
      </w:r>
      <w:r w:rsidR="00447C3B" w:rsidRPr="00EC1DF5">
        <w:rPr>
          <w:color w:val="auto"/>
        </w:rPr>
        <w:t xml:space="preserve">the </w:t>
      </w:r>
      <w:r w:rsidR="00A16B74" w:rsidRPr="00EC1DF5">
        <w:rPr>
          <w:color w:val="auto"/>
        </w:rPr>
        <w:t xml:space="preserve">environmental sustainability model. As expected, high stakeholder engagement </w:t>
      </w:r>
      <w:r w:rsidR="006265CD" w:rsidRPr="00EC1DF5">
        <w:rPr>
          <w:color w:val="auto"/>
        </w:rPr>
        <w:t>w</w:t>
      </w:r>
      <w:r w:rsidR="0004140D" w:rsidRPr="00EC1DF5">
        <w:rPr>
          <w:color w:val="auto"/>
        </w:rPr>
        <w:t>as</w:t>
      </w:r>
      <w:r w:rsidR="00E63B28" w:rsidRPr="00EC1DF5">
        <w:rPr>
          <w:color w:val="auto"/>
        </w:rPr>
        <w:t xml:space="preserve"> </w:t>
      </w:r>
      <w:r w:rsidR="00A16B74" w:rsidRPr="00EC1DF5">
        <w:rPr>
          <w:color w:val="auto"/>
        </w:rPr>
        <w:t xml:space="preserve">statistically significant and positively associated with all the five CG </w:t>
      </w:r>
      <w:r w:rsidR="00E35A8D" w:rsidRPr="00EC1DF5">
        <w:rPr>
          <w:color w:val="auto"/>
        </w:rPr>
        <w:t>pillars</w:t>
      </w:r>
      <w:r w:rsidR="00A16B74" w:rsidRPr="00EC1DF5">
        <w:rPr>
          <w:color w:val="auto"/>
        </w:rPr>
        <w:t>. Low stakeholder engagement</w:t>
      </w:r>
      <w:r w:rsidR="00447C3B" w:rsidRPr="00EC1DF5">
        <w:rPr>
          <w:color w:val="auto"/>
        </w:rPr>
        <w:t>,</w:t>
      </w:r>
      <w:r w:rsidR="00A16B74" w:rsidRPr="00EC1DF5">
        <w:rPr>
          <w:color w:val="auto"/>
        </w:rPr>
        <w:t xml:space="preserve"> on the other hand</w:t>
      </w:r>
      <w:r w:rsidR="00447C3B" w:rsidRPr="00EC1DF5">
        <w:rPr>
          <w:color w:val="auto"/>
        </w:rPr>
        <w:t>,</w:t>
      </w:r>
      <w:r w:rsidR="00A16B74" w:rsidRPr="00EC1DF5">
        <w:rPr>
          <w:color w:val="auto"/>
        </w:rPr>
        <w:t xml:space="preserve"> recorded a negatively insignificant relationship across the variables. We also discovered that </w:t>
      </w:r>
      <w:r w:rsidR="00921748" w:rsidRPr="00EC1DF5">
        <w:rPr>
          <w:i/>
          <w:color w:val="auto"/>
        </w:rPr>
        <w:t>BC</w:t>
      </w:r>
      <w:r w:rsidR="002C3A2C" w:rsidRPr="00EC1DF5">
        <w:rPr>
          <w:i/>
          <w:color w:val="auto"/>
        </w:rPr>
        <w:t xml:space="preserve"> (</w:t>
      </w:r>
      <w:r w:rsidR="002C3A2C" w:rsidRPr="00EC1DF5">
        <w:rPr>
          <w:color w:val="auto"/>
        </w:rPr>
        <w:t>Model 2)</w:t>
      </w:r>
      <w:r w:rsidR="00A16B74" w:rsidRPr="00EC1DF5">
        <w:rPr>
          <w:color w:val="auto"/>
        </w:rPr>
        <w:t xml:space="preserve"> and </w:t>
      </w:r>
      <w:r w:rsidR="00921748" w:rsidRPr="00EC1DF5">
        <w:rPr>
          <w:i/>
          <w:color w:val="auto"/>
        </w:rPr>
        <w:t>BST</w:t>
      </w:r>
      <w:r w:rsidR="002C3A2C" w:rsidRPr="00EC1DF5">
        <w:rPr>
          <w:i/>
          <w:color w:val="auto"/>
        </w:rPr>
        <w:t xml:space="preserve"> </w:t>
      </w:r>
      <w:r w:rsidR="002C3A2C" w:rsidRPr="00EC1DF5">
        <w:rPr>
          <w:color w:val="auto"/>
        </w:rPr>
        <w:t>(Model 3)</w:t>
      </w:r>
      <w:r w:rsidR="00A16B74" w:rsidRPr="00EC1DF5">
        <w:rPr>
          <w:color w:val="auto"/>
        </w:rPr>
        <w:t xml:space="preserve"> </w:t>
      </w:r>
      <w:r w:rsidR="0004140D" w:rsidRPr="00EC1DF5">
        <w:rPr>
          <w:color w:val="auto"/>
        </w:rPr>
        <w:t>produced</w:t>
      </w:r>
      <w:r w:rsidR="00BF7A27" w:rsidRPr="00EC1DF5">
        <w:rPr>
          <w:color w:val="auto"/>
        </w:rPr>
        <w:t xml:space="preserve"> </w:t>
      </w:r>
      <w:r w:rsidR="00447C3B" w:rsidRPr="00EC1DF5">
        <w:rPr>
          <w:color w:val="auto"/>
        </w:rPr>
        <w:t xml:space="preserve">an </w:t>
      </w:r>
      <w:r w:rsidR="0004140D" w:rsidRPr="00EC1DF5">
        <w:rPr>
          <w:color w:val="auto"/>
        </w:rPr>
        <w:t>in</w:t>
      </w:r>
      <w:r w:rsidR="00BF7A27" w:rsidRPr="00EC1DF5">
        <w:rPr>
          <w:color w:val="auto"/>
        </w:rPr>
        <w:t>significant relationship with environmental sustainability</w:t>
      </w:r>
      <w:r w:rsidR="00447C3B" w:rsidRPr="00EC1DF5">
        <w:rPr>
          <w:color w:val="auto"/>
        </w:rPr>
        <w:t>;</w:t>
      </w:r>
      <w:r w:rsidR="00BF7A27" w:rsidRPr="00EC1DF5">
        <w:rPr>
          <w:color w:val="auto"/>
        </w:rPr>
        <w:t xml:space="preserve"> however, when interacted with stakeholder e</w:t>
      </w:r>
      <w:r w:rsidR="002C3A2C" w:rsidRPr="00EC1DF5">
        <w:rPr>
          <w:color w:val="auto"/>
        </w:rPr>
        <w:t xml:space="preserve">ngagement, a significant </w:t>
      </w:r>
      <w:r w:rsidR="00EB6156" w:rsidRPr="00EC1DF5">
        <w:rPr>
          <w:color w:val="auto"/>
        </w:rPr>
        <w:t>connection</w:t>
      </w:r>
      <w:r w:rsidR="002C3A2C" w:rsidRPr="00EC1DF5">
        <w:rPr>
          <w:color w:val="auto"/>
        </w:rPr>
        <w:t xml:space="preserve"> was</w:t>
      </w:r>
      <w:r w:rsidR="00BF7A27" w:rsidRPr="00EC1DF5">
        <w:rPr>
          <w:color w:val="auto"/>
        </w:rPr>
        <w:t xml:space="preserve"> </w:t>
      </w:r>
      <w:r w:rsidR="00EB6156" w:rsidRPr="00EC1DF5">
        <w:rPr>
          <w:color w:val="auto"/>
        </w:rPr>
        <w:t>revealed</w:t>
      </w:r>
      <w:r w:rsidR="00C032EB" w:rsidRPr="00EC1DF5">
        <w:rPr>
          <w:color w:val="auto"/>
        </w:rPr>
        <w:t>, thus we accept hypothesis 6</w:t>
      </w:r>
      <w:r w:rsidR="00BF7A27" w:rsidRPr="00EC1DF5">
        <w:rPr>
          <w:color w:val="auto"/>
        </w:rPr>
        <w:t xml:space="preserve">. </w:t>
      </w:r>
    </w:p>
    <w:p w14:paraId="69C5D41C" w14:textId="36DB7428" w:rsidR="00E63B28" w:rsidRPr="00EC1DF5" w:rsidRDefault="00E63B28" w:rsidP="00921748">
      <w:pPr>
        <w:spacing w:line="480" w:lineRule="auto"/>
        <w:jc w:val="both"/>
        <w:rPr>
          <w:color w:val="auto"/>
        </w:rPr>
      </w:pPr>
    </w:p>
    <w:p w14:paraId="1C0401FE" w14:textId="073F17D8" w:rsidR="00E63B28" w:rsidRPr="00EC1DF5" w:rsidRDefault="00E63B28" w:rsidP="00921748">
      <w:pPr>
        <w:spacing w:line="480" w:lineRule="auto"/>
        <w:jc w:val="center"/>
        <w:rPr>
          <w:b/>
          <w:color w:val="auto"/>
        </w:rPr>
      </w:pPr>
      <w:r w:rsidRPr="00EC1DF5">
        <w:rPr>
          <w:b/>
          <w:color w:val="auto"/>
        </w:rPr>
        <w:t xml:space="preserve">[INSERT TABLE </w:t>
      </w:r>
      <w:r w:rsidR="00887975" w:rsidRPr="00EC1DF5">
        <w:rPr>
          <w:b/>
          <w:color w:val="auto"/>
        </w:rPr>
        <w:t>7</w:t>
      </w:r>
      <w:r w:rsidRPr="00EC1DF5">
        <w:rPr>
          <w:b/>
          <w:color w:val="auto"/>
        </w:rPr>
        <w:t>]</w:t>
      </w:r>
    </w:p>
    <w:p w14:paraId="60EFAA30" w14:textId="77A58022" w:rsidR="00E63B28" w:rsidRPr="00EC1DF5" w:rsidRDefault="00E63B28" w:rsidP="00921748">
      <w:pPr>
        <w:spacing w:line="480" w:lineRule="auto"/>
        <w:jc w:val="center"/>
        <w:rPr>
          <w:b/>
          <w:color w:val="auto"/>
        </w:rPr>
      </w:pPr>
    </w:p>
    <w:p w14:paraId="605A5C49" w14:textId="19272B40" w:rsidR="003C57F3" w:rsidRPr="00EC1DF5" w:rsidRDefault="00E63B28" w:rsidP="00921748">
      <w:pPr>
        <w:spacing w:line="480" w:lineRule="auto"/>
        <w:jc w:val="center"/>
        <w:rPr>
          <w:b/>
          <w:color w:val="auto"/>
        </w:rPr>
      </w:pPr>
      <w:r w:rsidRPr="00EC1DF5">
        <w:rPr>
          <w:b/>
          <w:color w:val="auto"/>
        </w:rPr>
        <w:t xml:space="preserve">[INSERT TABLE </w:t>
      </w:r>
      <w:r w:rsidR="00887975" w:rsidRPr="00EC1DF5">
        <w:rPr>
          <w:b/>
          <w:color w:val="auto"/>
        </w:rPr>
        <w:t>8</w:t>
      </w:r>
      <w:r w:rsidRPr="00EC1DF5">
        <w:rPr>
          <w:b/>
          <w:color w:val="auto"/>
        </w:rPr>
        <w:t>]</w:t>
      </w:r>
    </w:p>
    <w:p w14:paraId="3B24A756" w14:textId="77777777" w:rsidR="00E63B28" w:rsidRPr="00EC1DF5" w:rsidRDefault="00E63B28" w:rsidP="00921748">
      <w:pPr>
        <w:spacing w:line="480" w:lineRule="auto"/>
        <w:jc w:val="center"/>
        <w:rPr>
          <w:color w:val="auto"/>
        </w:rPr>
      </w:pPr>
    </w:p>
    <w:p w14:paraId="65E38807" w14:textId="0BC14CAD" w:rsidR="0004140D" w:rsidRPr="00EC1DF5" w:rsidRDefault="00EB6156" w:rsidP="00921748">
      <w:pPr>
        <w:spacing w:line="480" w:lineRule="auto"/>
        <w:jc w:val="both"/>
        <w:rPr>
          <w:color w:val="auto"/>
        </w:rPr>
      </w:pPr>
      <w:r w:rsidRPr="00EC1DF5">
        <w:rPr>
          <w:color w:val="auto"/>
        </w:rPr>
        <w:lastRenderedPageBreak/>
        <w:t xml:space="preserve">Models 6 to 10 present the </w:t>
      </w:r>
      <w:r w:rsidR="0004140D" w:rsidRPr="00EC1DF5">
        <w:rPr>
          <w:color w:val="auto"/>
        </w:rPr>
        <w:t>outcomes</w:t>
      </w:r>
      <w:r w:rsidRPr="00EC1DF5">
        <w:rPr>
          <w:color w:val="auto"/>
        </w:rPr>
        <w:t xml:space="preserve"> of the stakeholder engagement moderated social sustainability and CG relationship. Initially, </w:t>
      </w:r>
      <w:r w:rsidR="00921748" w:rsidRPr="00EC1DF5">
        <w:rPr>
          <w:i/>
          <w:iCs/>
          <w:color w:val="auto"/>
        </w:rPr>
        <w:t>BF</w:t>
      </w:r>
      <w:r w:rsidR="003C57F3" w:rsidRPr="00EC1DF5">
        <w:rPr>
          <w:color w:val="auto"/>
        </w:rPr>
        <w:t xml:space="preserve"> was not significant</w:t>
      </w:r>
      <w:r w:rsidRPr="00EC1DF5">
        <w:rPr>
          <w:color w:val="auto"/>
        </w:rPr>
        <w:t>ly</w:t>
      </w:r>
      <w:r w:rsidR="003C57F3" w:rsidRPr="00EC1DF5">
        <w:rPr>
          <w:color w:val="auto"/>
        </w:rPr>
        <w:t xml:space="preserve"> related </w:t>
      </w:r>
      <w:r w:rsidR="00447C3B" w:rsidRPr="00EC1DF5">
        <w:rPr>
          <w:color w:val="auto"/>
        </w:rPr>
        <w:t xml:space="preserve">to </w:t>
      </w:r>
      <w:r w:rsidR="003C57F3" w:rsidRPr="00EC1DF5">
        <w:rPr>
          <w:color w:val="auto"/>
        </w:rPr>
        <w:t>social sustainability on its own but</w:t>
      </w:r>
      <w:r w:rsidR="00447C3B" w:rsidRPr="00EC1DF5">
        <w:rPr>
          <w:color w:val="auto"/>
        </w:rPr>
        <w:t>,</w:t>
      </w:r>
      <w:r w:rsidR="003C57F3" w:rsidRPr="00EC1DF5">
        <w:rPr>
          <w:color w:val="auto"/>
        </w:rPr>
        <w:t xml:space="preserve"> upon the</w:t>
      </w:r>
      <w:r w:rsidRPr="00EC1DF5">
        <w:rPr>
          <w:color w:val="auto"/>
        </w:rPr>
        <w:t xml:space="preserve"> interaction</w:t>
      </w:r>
      <w:r w:rsidR="003C57F3" w:rsidRPr="00EC1DF5">
        <w:rPr>
          <w:color w:val="auto"/>
        </w:rPr>
        <w:t xml:space="preserve"> of stakeholder engagement </w:t>
      </w:r>
      <w:r w:rsidR="0004140D" w:rsidRPr="00EC1DF5">
        <w:rPr>
          <w:color w:val="auto"/>
        </w:rPr>
        <w:t xml:space="preserve">intensity </w:t>
      </w:r>
      <w:r w:rsidR="003C57F3" w:rsidRPr="00EC1DF5">
        <w:rPr>
          <w:color w:val="auto"/>
        </w:rPr>
        <w:t>levels, we discovered that both low and high were statistically significant</w:t>
      </w:r>
      <w:r w:rsidRPr="00EC1DF5">
        <w:rPr>
          <w:color w:val="auto"/>
        </w:rPr>
        <w:t xml:space="preserve"> with </w:t>
      </w:r>
      <w:r w:rsidR="00447C3B" w:rsidRPr="00EC1DF5">
        <w:rPr>
          <w:color w:val="auto"/>
        </w:rPr>
        <w:t xml:space="preserve">a </w:t>
      </w:r>
      <w:r w:rsidRPr="00EC1DF5">
        <w:rPr>
          <w:color w:val="auto"/>
        </w:rPr>
        <w:t>positive i</w:t>
      </w:r>
      <w:r w:rsidR="0004140D" w:rsidRPr="00EC1DF5">
        <w:rPr>
          <w:color w:val="auto"/>
        </w:rPr>
        <w:t>mpact on the relationship</w:t>
      </w:r>
      <w:r w:rsidR="003C57F3" w:rsidRPr="00EC1DF5">
        <w:rPr>
          <w:color w:val="auto"/>
        </w:rPr>
        <w:t xml:space="preserve">. This </w:t>
      </w:r>
      <w:r w:rsidR="0004140D" w:rsidRPr="00EC1DF5">
        <w:rPr>
          <w:color w:val="auto"/>
        </w:rPr>
        <w:t>infers</w:t>
      </w:r>
      <w:r w:rsidR="003C57F3" w:rsidRPr="00EC1DF5">
        <w:rPr>
          <w:color w:val="auto"/>
        </w:rPr>
        <w:t xml:space="preserve"> that </w:t>
      </w:r>
      <w:r w:rsidR="00447C3B" w:rsidRPr="00EC1DF5">
        <w:rPr>
          <w:color w:val="auto"/>
        </w:rPr>
        <w:t xml:space="preserve">the </w:t>
      </w:r>
      <w:r w:rsidR="003C57F3" w:rsidRPr="00EC1DF5">
        <w:rPr>
          <w:color w:val="auto"/>
        </w:rPr>
        <w:t xml:space="preserve">social sustainability performance of companies improves </w:t>
      </w:r>
      <w:r w:rsidR="0004140D" w:rsidRPr="00EC1DF5">
        <w:rPr>
          <w:color w:val="auto"/>
        </w:rPr>
        <w:t>upon stakeholder engagement</w:t>
      </w:r>
      <w:r w:rsidR="003C57F3" w:rsidRPr="00EC1DF5">
        <w:rPr>
          <w:color w:val="auto"/>
        </w:rPr>
        <w:t xml:space="preserve">. </w:t>
      </w:r>
      <w:r w:rsidR="00921748" w:rsidRPr="00EC1DF5">
        <w:rPr>
          <w:i/>
          <w:color w:val="auto"/>
        </w:rPr>
        <w:t>BST</w:t>
      </w:r>
      <w:r w:rsidR="003C57F3" w:rsidRPr="00EC1DF5">
        <w:rPr>
          <w:color w:val="auto"/>
        </w:rPr>
        <w:t xml:space="preserve"> </w:t>
      </w:r>
      <w:r w:rsidR="00FD7E9F" w:rsidRPr="00EC1DF5">
        <w:rPr>
          <w:color w:val="auto"/>
        </w:rPr>
        <w:t>interaction with</w:t>
      </w:r>
      <w:r w:rsidR="003C57F3" w:rsidRPr="00EC1DF5">
        <w:rPr>
          <w:color w:val="auto"/>
        </w:rPr>
        <w:t xml:space="preserve"> low stakeholder engagement interaction </w:t>
      </w:r>
      <w:r w:rsidR="00FD7E9F" w:rsidRPr="00EC1DF5">
        <w:rPr>
          <w:color w:val="auto"/>
        </w:rPr>
        <w:t xml:space="preserve">resulted in a </w:t>
      </w:r>
      <w:r w:rsidR="003C57F3" w:rsidRPr="00EC1DF5">
        <w:rPr>
          <w:color w:val="auto"/>
        </w:rPr>
        <w:t xml:space="preserve">negative </w:t>
      </w:r>
      <w:r w:rsidR="00FD7E9F" w:rsidRPr="00EC1DF5">
        <w:rPr>
          <w:color w:val="auto"/>
        </w:rPr>
        <w:t>impact</w:t>
      </w:r>
      <w:r w:rsidR="003C57F3" w:rsidRPr="00EC1DF5">
        <w:rPr>
          <w:color w:val="auto"/>
        </w:rPr>
        <w:t xml:space="preserve"> </w:t>
      </w:r>
      <w:r w:rsidR="00FD7E9F" w:rsidRPr="00EC1DF5">
        <w:rPr>
          <w:color w:val="auto"/>
        </w:rPr>
        <w:t>on</w:t>
      </w:r>
      <w:r w:rsidR="003C57F3" w:rsidRPr="00EC1DF5">
        <w:rPr>
          <w:color w:val="auto"/>
        </w:rPr>
        <w:t xml:space="preserve"> social sustainability. This could </w:t>
      </w:r>
      <w:r w:rsidR="00FD7E9F" w:rsidRPr="00EC1DF5">
        <w:rPr>
          <w:color w:val="auto"/>
        </w:rPr>
        <w:t>imply that stakeholder</w:t>
      </w:r>
      <w:r w:rsidR="003C57F3" w:rsidRPr="00EC1DF5">
        <w:rPr>
          <w:color w:val="auto"/>
        </w:rPr>
        <w:t xml:space="preserve"> </w:t>
      </w:r>
      <w:r w:rsidR="00FD7E9F" w:rsidRPr="00EC1DF5">
        <w:rPr>
          <w:color w:val="auto"/>
        </w:rPr>
        <w:t xml:space="preserve">engagement should be </w:t>
      </w:r>
      <w:r w:rsidR="0004140D" w:rsidRPr="00EC1DF5">
        <w:rPr>
          <w:color w:val="auto"/>
        </w:rPr>
        <w:t>integrate</w:t>
      </w:r>
      <w:r w:rsidR="00FD7E9F" w:rsidRPr="00EC1DF5">
        <w:rPr>
          <w:color w:val="auto"/>
        </w:rPr>
        <w:t>d</w:t>
      </w:r>
      <w:r w:rsidR="0004140D" w:rsidRPr="00EC1DF5">
        <w:rPr>
          <w:color w:val="auto"/>
        </w:rPr>
        <w:t xml:space="preserve"> into </w:t>
      </w:r>
      <w:r w:rsidR="00FD7E9F" w:rsidRPr="00EC1DF5">
        <w:rPr>
          <w:color w:val="auto"/>
        </w:rPr>
        <w:t xml:space="preserve">the </w:t>
      </w:r>
      <w:r w:rsidR="0004140D" w:rsidRPr="00EC1DF5">
        <w:rPr>
          <w:color w:val="auto"/>
        </w:rPr>
        <w:t>core</w:t>
      </w:r>
      <w:r w:rsidR="00FD7E9F" w:rsidRPr="00EC1DF5">
        <w:rPr>
          <w:color w:val="auto"/>
        </w:rPr>
        <w:t xml:space="preserve"> of</w:t>
      </w:r>
      <w:r w:rsidR="0004140D" w:rsidRPr="00EC1DF5">
        <w:rPr>
          <w:color w:val="auto"/>
        </w:rPr>
        <w:t xml:space="preserve"> business models</w:t>
      </w:r>
      <w:r w:rsidR="00FD7E9F" w:rsidRPr="00EC1DF5">
        <w:rPr>
          <w:color w:val="auto"/>
        </w:rPr>
        <w:t xml:space="preserve"> and activities.</w:t>
      </w:r>
    </w:p>
    <w:p w14:paraId="2C080F59" w14:textId="04E7C644" w:rsidR="003C57F3" w:rsidRPr="00EC1DF5" w:rsidRDefault="00447C3B" w:rsidP="00921748">
      <w:pPr>
        <w:spacing w:line="480" w:lineRule="auto"/>
        <w:ind w:firstLine="720"/>
        <w:jc w:val="both"/>
        <w:rPr>
          <w:color w:val="auto"/>
        </w:rPr>
      </w:pPr>
      <w:r w:rsidRPr="00EC1DF5">
        <w:rPr>
          <w:color w:val="auto"/>
        </w:rPr>
        <w:t>A s</w:t>
      </w:r>
      <w:r w:rsidR="003C57F3" w:rsidRPr="00EC1DF5">
        <w:rPr>
          <w:color w:val="auto"/>
        </w:rPr>
        <w:t xml:space="preserve">imilar moderation effect was </w:t>
      </w:r>
      <w:r w:rsidR="00E472A6" w:rsidRPr="00EC1DF5">
        <w:rPr>
          <w:color w:val="auto"/>
        </w:rPr>
        <w:t>studied</w:t>
      </w:r>
      <w:r w:rsidR="003C57F3" w:rsidRPr="00EC1DF5">
        <w:rPr>
          <w:color w:val="auto"/>
        </w:rPr>
        <w:t xml:space="preserve"> in the financial sustainability</w:t>
      </w:r>
      <w:r w:rsidR="00E472A6" w:rsidRPr="00EC1DF5">
        <w:rPr>
          <w:color w:val="auto"/>
        </w:rPr>
        <w:t xml:space="preserve"> performance shown in</w:t>
      </w:r>
      <w:r w:rsidR="003C57F3" w:rsidRPr="00EC1DF5">
        <w:rPr>
          <w:color w:val="auto"/>
        </w:rPr>
        <w:t xml:space="preserve"> Table </w:t>
      </w:r>
      <w:r w:rsidR="00887975" w:rsidRPr="00EC1DF5">
        <w:rPr>
          <w:color w:val="auto"/>
        </w:rPr>
        <w:t>8</w:t>
      </w:r>
      <w:r w:rsidR="00E472A6" w:rsidRPr="00EC1DF5">
        <w:rPr>
          <w:color w:val="auto"/>
        </w:rPr>
        <w:t>. Our analysis</w:t>
      </w:r>
      <w:r w:rsidR="003C57F3" w:rsidRPr="00EC1DF5">
        <w:rPr>
          <w:color w:val="auto"/>
        </w:rPr>
        <w:t xml:space="preserve"> </w:t>
      </w:r>
      <w:r w:rsidR="00EB6156" w:rsidRPr="00EC1DF5">
        <w:rPr>
          <w:color w:val="auto"/>
        </w:rPr>
        <w:t>reveal</w:t>
      </w:r>
      <w:r w:rsidR="00E472A6" w:rsidRPr="00EC1DF5">
        <w:rPr>
          <w:color w:val="auto"/>
        </w:rPr>
        <w:t>s</w:t>
      </w:r>
      <w:r w:rsidR="003C57F3" w:rsidRPr="00EC1DF5">
        <w:rPr>
          <w:color w:val="auto"/>
        </w:rPr>
        <w:t xml:space="preserve"> that high stakeholder engagement in each model yielded positively significant results</w:t>
      </w:r>
      <w:r w:rsidRPr="00EC1DF5">
        <w:rPr>
          <w:color w:val="auto"/>
        </w:rPr>
        <w:t>,</w:t>
      </w:r>
      <w:r w:rsidR="003C57F3" w:rsidRPr="00EC1DF5">
        <w:rPr>
          <w:color w:val="auto"/>
        </w:rPr>
        <w:t xml:space="preserve"> supporting our assertion of </w:t>
      </w:r>
      <w:r w:rsidR="00E472A6" w:rsidRPr="00EC1DF5">
        <w:rPr>
          <w:color w:val="auto"/>
        </w:rPr>
        <w:t>its relevance</w:t>
      </w:r>
      <w:r w:rsidR="003C57F3" w:rsidRPr="00EC1DF5">
        <w:rPr>
          <w:color w:val="auto"/>
        </w:rPr>
        <w:t xml:space="preserve">. </w:t>
      </w:r>
      <w:r w:rsidR="007739BE" w:rsidRPr="00EC1DF5">
        <w:rPr>
          <w:color w:val="auto"/>
        </w:rPr>
        <w:t xml:space="preserve">Apart from </w:t>
      </w:r>
      <w:r w:rsidR="00921748" w:rsidRPr="00EC1DF5">
        <w:rPr>
          <w:i/>
          <w:iCs/>
          <w:color w:val="auto"/>
        </w:rPr>
        <w:t>BC</w:t>
      </w:r>
      <w:r w:rsidR="007739BE" w:rsidRPr="00EC1DF5">
        <w:rPr>
          <w:color w:val="auto"/>
        </w:rPr>
        <w:t xml:space="preserve">, the remaining corporate governance variables reacted positively to </w:t>
      </w:r>
      <w:r w:rsidR="00E472A6" w:rsidRPr="00EC1DF5">
        <w:rPr>
          <w:color w:val="auto"/>
        </w:rPr>
        <w:t>financial performance</w:t>
      </w:r>
      <w:r w:rsidR="007739BE" w:rsidRPr="00EC1DF5">
        <w:rPr>
          <w:color w:val="auto"/>
        </w:rPr>
        <w:t xml:space="preserve"> when interacted with </w:t>
      </w:r>
      <w:r w:rsidR="00E472A6" w:rsidRPr="00EC1DF5">
        <w:rPr>
          <w:color w:val="auto"/>
        </w:rPr>
        <w:t xml:space="preserve">low </w:t>
      </w:r>
      <w:r w:rsidR="007739BE" w:rsidRPr="00EC1DF5">
        <w:rPr>
          <w:color w:val="auto"/>
        </w:rPr>
        <w:t>stakeholder engagement. Impliedly, the presence of stakeholder engagement</w:t>
      </w:r>
      <w:r w:rsidR="00E472A6" w:rsidRPr="00EC1DF5">
        <w:rPr>
          <w:color w:val="auto"/>
        </w:rPr>
        <w:t>,</w:t>
      </w:r>
      <w:r w:rsidR="007739BE" w:rsidRPr="00EC1DF5">
        <w:rPr>
          <w:color w:val="auto"/>
        </w:rPr>
        <w:t xml:space="preserve"> </w:t>
      </w:r>
      <w:r w:rsidR="006563B8" w:rsidRPr="00EC1DF5">
        <w:rPr>
          <w:color w:val="auto"/>
        </w:rPr>
        <w:t>no matter the intensity</w:t>
      </w:r>
      <w:r w:rsidR="00E472A6" w:rsidRPr="00EC1DF5">
        <w:rPr>
          <w:color w:val="auto"/>
        </w:rPr>
        <w:t>,</w:t>
      </w:r>
      <w:r w:rsidR="006563B8" w:rsidRPr="00EC1DF5">
        <w:rPr>
          <w:color w:val="auto"/>
        </w:rPr>
        <w:t xml:space="preserve"> could still lead to an improved performance. </w:t>
      </w:r>
    </w:p>
    <w:p w14:paraId="029505B2" w14:textId="77777777" w:rsidR="00E472A6" w:rsidRPr="00EC1DF5" w:rsidRDefault="00E472A6" w:rsidP="00921748">
      <w:pPr>
        <w:spacing w:line="480" w:lineRule="auto"/>
        <w:jc w:val="both"/>
        <w:rPr>
          <w:color w:val="auto"/>
        </w:rPr>
      </w:pPr>
    </w:p>
    <w:p w14:paraId="505A48F4" w14:textId="264AD670" w:rsidR="0080380F" w:rsidRPr="00EC1DF5" w:rsidRDefault="000C0B96" w:rsidP="00921748">
      <w:pPr>
        <w:spacing w:line="480" w:lineRule="auto"/>
        <w:jc w:val="both"/>
        <w:rPr>
          <w:i/>
          <w:color w:val="auto"/>
        </w:rPr>
      </w:pPr>
      <w:r w:rsidRPr="00EC1DF5">
        <w:rPr>
          <w:i/>
          <w:color w:val="auto"/>
        </w:rPr>
        <w:t xml:space="preserve">4.1.3 </w:t>
      </w:r>
      <w:r w:rsidR="0080380F" w:rsidRPr="00EC1DF5">
        <w:rPr>
          <w:i/>
          <w:color w:val="auto"/>
        </w:rPr>
        <w:t>Endogeneity and Robustness Tests</w:t>
      </w:r>
    </w:p>
    <w:p w14:paraId="5494B187" w14:textId="38BEB2A9" w:rsidR="00CA4E3D" w:rsidRPr="00EC1DF5" w:rsidRDefault="0080380F" w:rsidP="00921748">
      <w:pPr>
        <w:spacing w:line="480" w:lineRule="auto"/>
        <w:jc w:val="both"/>
        <w:rPr>
          <w:color w:val="auto"/>
        </w:rPr>
      </w:pPr>
      <w:r w:rsidRPr="00EC1DF5">
        <w:rPr>
          <w:color w:val="auto"/>
        </w:rPr>
        <w:t>As emphasi</w:t>
      </w:r>
      <w:r w:rsidR="00BC3F99" w:rsidRPr="00EC1DF5">
        <w:rPr>
          <w:color w:val="auto"/>
        </w:rPr>
        <w:t>s</w:t>
      </w:r>
      <w:r w:rsidRPr="00EC1DF5">
        <w:rPr>
          <w:color w:val="auto"/>
        </w:rPr>
        <w:t xml:space="preserve">ed by Schultz et al (2010), the presence of endogeneity in a fixed effect panel estimation will lead to biased parameter estimates. </w:t>
      </w:r>
      <w:r w:rsidR="00E472A6" w:rsidRPr="00EC1DF5">
        <w:rPr>
          <w:color w:val="auto"/>
        </w:rPr>
        <w:t>Therefore</w:t>
      </w:r>
      <w:r w:rsidRPr="00EC1DF5">
        <w:rPr>
          <w:color w:val="auto"/>
        </w:rPr>
        <w:t xml:space="preserve">, it is imperative to </w:t>
      </w:r>
      <w:r w:rsidR="00F66756" w:rsidRPr="00EC1DF5">
        <w:rPr>
          <w:color w:val="auto"/>
        </w:rPr>
        <w:t>investigate</w:t>
      </w:r>
      <w:r w:rsidRPr="00EC1DF5">
        <w:rPr>
          <w:color w:val="auto"/>
        </w:rPr>
        <w:t xml:space="preserve"> the endogeneity in the CG and sustainabilit</w:t>
      </w:r>
      <w:r w:rsidR="00E472A6" w:rsidRPr="00EC1DF5">
        <w:rPr>
          <w:color w:val="auto"/>
        </w:rPr>
        <w:t>y</w:t>
      </w:r>
      <w:r w:rsidRPr="00EC1DF5">
        <w:rPr>
          <w:color w:val="auto"/>
        </w:rPr>
        <w:t xml:space="preserve"> relationship prior to</w:t>
      </w:r>
      <w:r w:rsidR="00F66756" w:rsidRPr="00EC1DF5">
        <w:rPr>
          <w:color w:val="auto"/>
        </w:rPr>
        <w:t xml:space="preserve"> further</w:t>
      </w:r>
      <w:r w:rsidRPr="00EC1DF5">
        <w:rPr>
          <w:color w:val="auto"/>
        </w:rPr>
        <w:t xml:space="preserve"> specification. The Durbin-Wu-Hausman (DWH) test (Durbin, 1954; Wu, 1973; Hausman, 1978) of endogeneity was conducted on the sustainability models. It was discovered that no endogeneity issues were present in the environmental and social sustainability </w:t>
      </w:r>
      <w:r w:rsidR="00E472A6" w:rsidRPr="00EC1DF5">
        <w:rPr>
          <w:color w:val="auto"/>
        </w:rPr>
        <w:t xml:space="preserve">estimation </w:t>
      </w:r>
      <w:r w:rsidRPr="00EC1DF5">
        <w:rPr>
          <w:color w:val="auto"/>
        </w:rPr>
        <w:t xml:space="preserve">models. However, with a P-value of 0.0000 and DWH </w:t>
      </w:r>
      <w:r w:rsidR="00447C3B" w:rsidRPr="00EC1DF5">
        <w:rPr>
          <w:color w:val="auto"/>
        </w:rPr>
        <w:t>t</w:t>
      </w:r>
      <w:r w:rsidRPr="00EC1DF5">
        <w:rPr>
          <w:color w:val="auto"/>
        </w:rPr>
        <w:t xml:space="preserve">est statistic of 46.7182***, we found endogeneity to be a significant issue in the Tobin’s Q-CG relationship. </w:t>
      </w:r>
      <w:r w:rsidR="0063418C" w:rsidRPr="00EC1DF5">
        <w:rPr>
          <w:color w:val="auto"/>
        </w:rPr>
        <w:t>As such</w:t>
      </w:r>
      <w:r w:rsidRPr="00EC1DF5">
        <w:rPr>
          <w:color w:val="auto"/>
        </w:rPr>
        <w:t>, we employed 2-step Generali</w:t>
      </w:r>
      <w:r w:rsidR="00BC3F99" w:rsidRPr="00EC1DF5">
        <w:rPr>
          <w:color w:val="auto"/>
        </w:rPr>
        <w:t>s</w:t>
      </w:r>
      <w:r w:rsidRPr="00EC1DF5">
        <w:rPr>
          <w:color w:val="auto"/>
        </w:rPr>
        <w:t xml:space="preserve">ed Methods of </w:t>
      </w:r>
      <w:r w:rsidRPr="00EC1DF5">
        <w:rPr>
          <w:color w:val="auto"/>
        </w:rPr>
        <w:lastRenderedPageBreak/>
        <w:t xml:space="preserve">Moments (GMM) </w:t>
      </w:r>
      <w:r w:rsidR="00B5691C" w:rsidRPr="00EC1DF5">
        <w:rPr>
          <w:color w:val="auto"/>
        </w:rPr>
        <w:t xml:space="preserve">adopted by </w:t>
      </w:r>
      <w:proofErr w:type="spellStart"/>
      <w:r w:rsidR="00B5691C" w:rsidRPr="00EC1DF5">
        <w:rPr>
          <w:color w:val="auto"/>
        </w:rPr>
        <w:t>Arelano</w:t>
      </w:r>
      <w:proofErr w:type="spellEnd"/>
      <w:r w:rsidR="00B5691C" w:rsidRPr="00EC1DF5">
        <w:rPr>
          <w:color w:val="auto"/>
        </w:rPr>
        <w:t xml:space="preserve"> and </w:t>
      </w:r>
      <w:proofErr w:type="spellStart"/>
      <w:r w:rsidR="00B5691C" w:rsidRPr="00EC1DF5">
        <w:rPr>
          <w:color w:val="auto"/>
        </w:rPr>
        <w:t>Bover</w:t>
      </w:r>
      <w:proofErr w:type="spellEnd"/>
      <w:r w:rsidR="00B5691C" w:rsidRPr="00EC1DF5">
        <w:rPr>
          <w:color w:val="auto"/>
        </w:rPr>
        <w:t xml:space="preserve"> (1995) </w:t>
      </w:r>
      <w:r w:rsidRPr="00EC1DF5">
        <w:rPr>
          <w:color w:val="auto"/>
        </w:rPr>
        <w:t>to account for the issue of endogeneity</w:t>
      </w:r>
      <w:r w:rsidR="00447C3B" w:rsidRPr="00EC1DF5">
        <w:rPr>
          <w:color w:val="auto"/>
        </w:rPr>
        <w:t>,</w:t>
      </w:r>
      <w:r w:rsidR="002A3015" w:rsidRPr="00EC1DF5">
        <w:rPr>
          <w:color w:val="auto"/>
        </w:rPr>
        <w:t xml:space="preserve"> as shown in Table </w:t>
      </w:r>
      <w:r w:rsidR="003B7195" w:rsidRPr="00EC1DF5">
        <w:rPr>
          <w:color w:val="auto"/>
        </w:rPr>
        <w:t>6</w:t>
      </w:r>
      <w:r w:rsidR="002A3015" w:rsidRPr="00EC1DF5">
        <w:rPr>
          <w:color w:val="auto"/>
        </w:rPr>
        <w:t xml:space="preserve"> </w:t>
      </w:r>
      <w:r w:rsidR="0063418C" w:rsidRPr="00EC1DF5">
        <w:rPr>
          <w:color w:val="auto"/>
        </w:rPr>
        <w:t>(</w:t>
      </w:r>
      <w:r w:rsidR="002A3015" w:rsidRPr="00EC1DF5">
        <w:rPr>
          <w:color w:val="auto"/>
        </w:rPr>
        <w:t>models 7 and 8</w:t>
      </w:r>
      <w:r w:rsidR="0063418C" w:rsidRPr="00EC1DF5">
        <w:rPr>
          <w:color w:val="auto"/>
        </w:rPr>
        <w:t>).</w:t>
      </w:r>
      <w:r w:rsidR="00E9402E" w:rsidRPr="00EC1DF5">
        <w:rPr>
          <w:color w:val="auto"/>
        </w:rPr>
        <w:t xml:space="preserve"> </w:t>
      </w:r>
      <w:r w:rsidR="00E9402E" w:rsidRPr="00EC1DF5">
        <w:rPr>
          <w:i/>
          <w:iCs/>
          <w:color w:val="auto"/>
        </w:rPr>
        <w:t>TobinsQ</w:t>
      </w:r>
      <w:r w:rsidR="007E1C9B" w:rsidRPr="00EC1DF5">
        <w:rPr>
          <w:i/>
          <w:iCs/>
          <w:color w:val="auto"/>
          <w:vertAlign w:val="subscript"/>
        </w:rPr>
        <w:t>t-1</w:t>
      </w:r>
      <w:r w:rsidR="00E9402E" w:rsidRPr="00EC1DF5">
        <w:rPr>
          <w:color w:val="auto"/>
        </w:rPr>
        <w:t xml:space="preserve"> </w:t>
      </w:r>
      <w:r w:rsidR="004A5DFE" w:rsidRPr="00EC1DF5">
        <w:rPr>
          <w:color w:val="auto"/>
        </w:rPr>
        <w:t>indicates one lag of the Tobin’s Q and</w:t>
      </w:r>
      <w:r w:rsidR="007E1C9B" w:rsidRPr="00EC1DF5">
        <w:rPr>
          <w:color w:val="auto"/>
        </w:rPr>
        <w:t xml:space="preserve"> </w:t>
      </w:r>
      <w:r w:rsidR="004A5DFE" w:rsidRPr="00EC1DF5">
        <w:rPr>
          <w:i/>
          <w:iCs/>
          <w:color w:val="auto"/>
        </w:rPr>
        <w:t>TobinsQ</w:t>
      </w:r>
      <w:r w:rsidR="007E1C9B" w:rsidRPr="00EC1DF5">
        <w:rPr>
          <w:i/>
          <w:iCs/>
          <w:color w:val="auto"/>
          <w:vertAlign w:val="subscript"/>
        </w:rPr>
        <w:t>t-2</w:t>
      </w:r>
      <w:r w:rsidR="004A5DFE" w:rsidRPr="00EC1DF5">
        <w:rPr>
          <w:color w:val="auto"/>
        </w:rPr>
        <w:t xml:space="preserve"> represents </w:t>
      </w:r>
      <w:r w:rsidR="00447C3B" w:rsidRPr="00EC1DF5">
        <w:rPr>
          <w:color w:val="auto"/>
        </w:rPr>
        <w:t xml:space="preserve">the </w:t>
      </w:r>
      <w:r w:rsidR="004A5DFE" w:rsidRPr="00EC1DF5">
        <w:rPr>
          <w:color w:val="auto"/>
        </w:rPr>
        <w:t>second lag of the dependent variable Tobin’s Q</w:t>
      </w:r>
      <w:r w:rsidR="005747D1" w:rsidRPr="00EC1DF5">
        <w:rPr>
          <w:color w:val="auto"/>
        </w:rPr>
        <w:t xml:space="preserve"> (Ullah et al., 2018).</w:t>
      </w:r>
      <w:r w:rsidR="004901B0" w:rsidRPr="00EC1DF5">
        <w:rPr>
          <w:color w:val="auto"/>
        </w:rPr>
        <w:t xml:space="preserve"> </w:t>
      </w:r>
    </w:p>
    <w:p w14:paraId="46F63492" w14:textId="3623237D" w:rsidR="0080380F" w:rsidRPr="00EC1DF5" w:rsidRDefault="004F3F41" w:rsidP="00921748">
      <w:pPr>
        <w:spacing w:line="480" w:lineRule="auto"/>
        <w:ind w:firstLine="720"/>
        <w:jc w:val="both"/>
        <w:rPr>
          <w:color w:val="auto"/>
        </w:rPr>
      </w:pPr>
      <w:r w:rsidRPr="00EC1DF5">
        <w:rPr>
          <w:color w:val="auto"/>
        </w:rPr>
        <w:t>In</w:t>
      </w:r>
      <w:r w:rsidR="004901B0" w:rsidRPr="00EC1DF5">
        <w:rPr>
          <w:color w:val="auto"/>
        </w:rPr>
        <w:t xml:space="preserve"> this approach, the explanatory variables are treated as endogenous while orthogonally using their lagged values as instruments. </w:t>
      </w:r>
      <w:proofErr w:type="gramStart"/>
      <w:r w:rsidR="004901B0" w:rsidRPr="00EC1DF5">
        <w:rPr>
          <w:color w:val="auto"/>
        </w:rPr>
        <w:t>In order to</w:t>
      </w:r>
      <w:proofErr w:type="gramEnd"/>
      <w:r w:rsidR="004901B0" w:rsidRPr="00EC1DF5">
        <w:rPr>
          <w:color w:val="auto"/>
        </w:rPr>
        <w:t xml:space="preserve"> check the reliability of GMM estimates, we use the Hansen’s test and serial correlation error term test by Arellano and Bond (1991)</w:t>
      </w:r>
      <w:r w:rsidR="003E4C5D" w:rsidRPr="00EC1DF5">
        <w:rPr>
          <w:color w:val="auto"/>
        </w:rPr>
        <w:t xml:space="preserve">. The diagnostic tests </w:t>
      </w:r>
      <w:r w:rsidR="00DB073F" w:rsidRPr="00EC1DF5">
        <w:rPr>
          <w:color w:val="auto"/>
        </w:rPr>
        <w:t xml:space="preserve">in Model 7 </w:t>
      </w:r>
      <w:r w:rsidR="003E4C5D" w:rsidRPr="00EC1DF5">
        <w:rPr>
          <w:color w:val="auto"/>
        </w:rPr>
        <w:t>show that the model is</w:t>
      </w:r>
      <w:r w:rsidR="00DB073F" w:rsidRPr="00EC1DF5">
        <w:rPr>
          <w:color w:val="auto"/>
        </w:rPr>
        <w:t xml:space="preserve"> not</w:t>
      </w:r>
      <w:r w:rsidR="003E4C5D" w:rsidRPr="00EC1DF5">
        <w:rPr>
          <w:color w:val="auto"/>
        </w:rPr>
        <w:t xml:space="preserve"> fitted</w:t>
      </w:r>
      <w:r w:rsidR="00447C3B" w:rsidRPr="00EC1DF5">
        <w:rPr>
          <w:color w:val="auto"/>
        </w:rPr>
        <w:t>,</w:t>
      </w:r>
      <w:r w:rsidR="003E4C5D" w:rsidRPr="00EC1DF5">
        <w:rPr>
          <w:color w:val="auto"/>
        </w:rPr>
        <w:t xml:space="preserve"> showing statistical significance </w:t>
      </w:r>
      <w:r w:rsidR="00DB073F" w:rsidRPr="00EC1DF5">
        <w:rPr>
          <w:color w:val="auto"/>
        </w:rPr>
        <w:t xml:space="preserve">for both </w:t>
      </w:r>
      <w:proofErr w:type="gramStart"/>
      <w:r w:rsidR="00DB073F" w:rsidRPr="00EC1DF5">
        <w:rPr>
          <w:i/>
          <w:iCs/>
          <w:color w:val="auto"/>
        </w:rPr>
        <w:t>AR</w:t>
      </w:r>
      <w:r w:rsidR="00DB073F" w:rsidRPr="00EC1DF5">
        <w:rPr>
          <w:color w:val="auto"/>
        </w:rPr>
        <w:t>(</w:t>
      </w:r>
      <w:proofErr w:type="gramEnd"/>
      <w:r w:rsidR="00DB073F" w:rsidRPr="00EC1DF5">
        <w:rPr>
          <w:color w:val="auto"/>
        </w:rPr>
        <w:t xml:space="preserve">1) and </w:t>
      </w:r>
      <w:r w:rsidR="00DB073F" w:rsidRPr="00EC1DF5">
        <w:rPr>
          <w:i/>
          <w:iCs/>
          <w:color w:val="auto"/>
        </w:rPr>
        <w:t>AR</w:t>
      </w:r>
      <w:r w:rsidR="003E4C5D" w:rsidRPr="00EC1DF5">
        <w:rPr>
          <w:color w:val="auto"/>
        </w:rPr>
        <w:t>(2)</w:t>
      </w:r>
      <w:r w:rsidR="00447C3B" w:rsidRPr="00EC1DF5">
        <w:rPr>
          <w:color w:val="auto"/>
        </w:rPr>
        <w:t>,</w:t>
      </w:r>
      <w:r w:rsidR="003E4C5D" w:rsidRPr="00EC1DF5">
        <w:rPr>
          <w:color w:val="auto"/>
        </w:rPr>
        <w:t xml:space="preserve"> </w:t>
      </w:r>
      <w:r w:rsidR="00DB073F" w:rsidRPr="00EC1DF5">
        <w:rPr>
          <w:color w:val="auto"/>
        </w:rPr>
        <w:t xml:space="preserve">though the expected result for </w:t>
      </w:r>
      <w:r w:rsidR="00DB073F" w:rsidRPr="00EC1DF5">
        <w:rPr>
          <w:i/>
          <w:iCs/>
          <w:color w:val="auto"/>
        </w:rPr>
        <w:t>AR</w:t>
      </w:r>
      <w:r w:rsidR="00DB073F" w:rsidRPr="00EC1DF5">
        <w:rPr>
          <w:color w:val="auto"/>
        </w:rPr>
        <w:t>(2) is statistically i</w:t>
      </w:r>
      <w:r w:rsidR="00797FF9" w:rsidRPr="00EC1DF5">
        <w:rPr>
          <w:color w:val="auto"/>
        </w:rPr>
        <w:t>n</w:t>
      </w:r>
      <w:r w:rsidR="00DB073F" w:rsidRPr="00EC1DF5">
        <w:rPr>
          <w:color w:val="auto"/>
        </w:rPr>
        <w:t>significan</w:t>
      </w:r>
      <w:r w:rsidR="00447C3B" w:rsidRPr="00EC1DF5">
        <w:rPr>
          <w:color w:val="auto"/>
        </w:rPr>
        <w:t>t</w:t>
      </w:r>
      <w:r w:rsidR="00DB073F" w:rsidRPr="00EC1DF5">
        <w:rPr>
          <w:color w:val="auto"/>
        </w:rPr>
        <w:t xml:space="preserve">. </w:t>
      </w:r>
      <w:proofErr w:type="gramStart"/>
      <w:r w:rsidR="00DB073F" w:rsidRPr="00EC1DF5">
        <w:rPr>
          <w:color w:val="auto"/>
        </w:rPr>
        <w:t>In order to</w:t>
      </w:r>
      <w:proofErr w:type="gramEnd"/>
      <w:r w:rsidR="00DB073F" w:rsidRPr="00EC1DF5">
        <w:rPr>
          <w:color w:val="auto"/>
        </w:rPr>
        <w:t xml:space="preserve"> ensure a well</w:t>
      </w:r>
      <w:r w:rsidR="00447C3B" w:rsidRPr="00EC1DF5">
        <w:rPr>
          <w:color w:val="auto"/>
        </w:rPr>
        <w:t>-</w:t>
      </w:r>
      <w:r w:rsidR="00DB073F" w:rsidRPr="00EC1DF5">
        <w:rPr>
          <w:color w:val="auto"/>
        </w:rPr>
        <w:t>fitted mo</w:t>
      </w:r>
      <w:r w:rsidR="007E1C9B" w:rsidRPr="00EC1DF5">
        <w:rPr>
          <w:color w:val="auto"/>
        </w:rPr>
        <w:t xml:space="preserve">del, we included the second lagged dependent variable (i.e., </w:t>
      </w:r>
      <w:r w:rsidR="007E1C9B" w:rsidRPr="00EC1DF5">
        <w:rPr>
          <w:i/>
          <w:iCs/>
          <w:color w:val="auto"/>
        </w:rPr>
        <w:t>TobinsQ</w:t>
      </w:r>
      <w:r w:rsidR="007E1C9B" w:rsidRPr="00EC1DF5">
        <w:rPr>
          <w:i/>
          <w:iCs/>
          <w:color w:val="auto"/>
          <w:vertAlign w:val="subscript"/>
        </w:rPr>
        <w:t>t-2</w:t>
      </w:r>
      <w:r w:rsidR="007E1C9B" w:rsidRPr="00EC1DF5">
        <w:rPr>
          <w:i/>
          <w:iCs/>
          <w:color w:val="auto"/>
        </w:rPr>
        <w:t>)</w:t>
      </w:r>
      <w:r w:rsidR="007E1C9B" w:rsidRPr="00EC1DF5">
        <w:rPr>
          <w:color w:val="auto"/>
        </w:rPr>
        <w:t xml:space="preserve"> to capture the variable’s richer dynamics</w:t>
      </w:r>
      <w:r w:rsidR="00447C3B" w:rsidRPr="00EC1DF5">
        <w:rPr>
          <w:color w:val="auto"/>
        </w:rPr>
        <w:t>,</w:t>
      </w:r>
      <w:r w:rsidR="007E1C9B" w:rsidRPr="00EC1DF5">
        <w:rPr>
          <w:color w:val="auto"/>
        </w:rPr>
        <w:t xml:space="preserve"> as adopted by </w:t>
      </w:r>
      <w:proofErr w:type="spellStart"/>
      <w:r w:rsidR="007E1C9B" w:rsidRPr="00EC1DF5">
        <w:rPr>
          <w:color w:val="auto"/>
        </w:rPr>
        <w:t>Baltagi</w:t>
      </w:r>
      <w:proofErr w:type="spellEnd"/>
      <w:r w:rsidR="007E1C9B" w:rsidRPr="00EC1DF5">
        <w:rPr>
          <w:color w:val="auto"/>
        </w:rPr>
        <w:t xml:space="preserve"> et al. (2009). In Model 8, with both </w:t>
      </w:r>
      <w:r w:rsidR="007E1C9B" w:rsidRPr="00EC1DF5">
        <w:rPr>
          <w:i/>
          <w:iCs/>
          <w:color w:val="auto"/>
        </w:rPr>
        <w:t>TobinsQ</w:t>
      </w:r>
      <w:r w:rsidR="007E1C9B" w:rsidRPr="00EC1DF5">
        <w:rPr>
          <w:i/>
          <w:iCs/>
          <w:color w:val="auto"/>
          <w:vertAlign w:val="subscript"/>
        </w:rPr>
        <w:t xml:space="preserve">t-1 </w:t>
      </w:r>
      <w:r w:rsidR="007E1C9B" w:rsidRPr="00EC1DF5">
        <w:rPr>
          <w:color w:val="auto"/>
        </w:rPr>
        <w:t xml:space="preserve">and </w:t>
      </w:r>
      <w:r w:rsidR="007E1C9B" w:rsidRPr="00EC1DF5">
        <w:rPr>
          <w:i/>
          <w:iCs/>
          <w:color w:val="auto"/>
        </w:rPr>
        <w:t>TobinsQ</w:t>
      </w:r>
      <w:r w:rsidR="007E1C9B" w:rsidRPr="00EC1DF5">
        <w:rPr>
          <w:i/>
          <w:iCs/>
          <w:color w:val="auto"/>
          <w:vertAlign w:val="subscript"/>
        </w:rPr>
        <w:t>t-2</w:t>
      </w:r>
      <w:r w:rsidR="00447C3B" w:rsidRPr="00EC1DF5">
        <w:rPr>
          <w:iCs/>
          <w:color w:val="auto"/>
        </w:rPr>
        <w:t>,</w:t>
      </w:r>
      <w:r w:rsidR="007E1C9B" w:rsidRPr="00EC1DF5">
        <w:rPr>
          <w:color w:val="auto"/>
        </w:rPr>
        <w:t xml:space="preserve"> </w:t>
      </w:r>
      <w:r w:rsidR="00797FF9" w:rsidRPr="00EC1DF5">
        <w:rPr>
          <w:color w:val="auto"/>
        </w:rPr>
        <w:t xml:space="preserve">we found that </w:t>
      </w:r>
      <w:proofErr w:type="gramStart"/>
      <w:r w:rsidR="00797FF9" w:rsidRPr="00EC1DF5">
        <w:rPr>
          <w:i/>
          <w:iCs/>
          <w:color w:val="auto"/>
        </w:rPr>
        <w:t>AR</w:t>
      </w:r>
      <w:r w:rsidR="00797FF9" w:rsidRPr="00EC1DF5">
        <w:rPr>
          <w:color w:val="auto"/>
        </w:rPr>
        <w:t>(</w:t>
      </w:r>
      <w:proofErr w:type="gramEnd"/>
      <w:r w:rsidR="00797FF9" w:rsidRPr="00EC1DF5">
        <w:rPr>
          <w:color w:val="auto"/>
        </w:rPr>
        <w:t xml:space="preserve">1) as expected was statistically significant and </w:t>
      </w:r>
      <w:r w:rsidR="00797FF9" w:rsidRPr="00EC1DF5">
        <w:rPr>
          <w:i/>
          <w:iCs/>
          <w:color w:val="auto"/>
        </w:rPr>
        <w:t>AR</w:t>
      </w:r>
      <w:r w:rsidR="00797FF9" w:rsidRPr="00EC1DF5">
        <w:rPr>
          <w:color w:val="auto"/>
        </w:rPr>
        <w:t>(2) statistically insi</w:t>
      </w:r>
      <w:r w:rsidR="00EE42CF" w:rsidRPr="00EC1DF5">
        <w:rPr>
          <w:color w:val="auto"/>
        </w:rPr>
        <w:t xml:space="preserve">gnificant. </w:t>
      </w:r>
      <w:r w:rsidR="00497379" w:rsidRPr="00EC1DF5">
        <w:rPr>
          <w:color w:val="auto"/>
        </w:rPr>
        <w:t>Also, the Hansen J-Statistics of over-identification restrictions indicate</w:t>
      </w:r>
      <w:r w:rsidR="0063418C" w:rsidRPr="00EC1DF5">
        <w:rPr>
          <w:color w:val="auto"/>
        </w:rPr>
        <w:t>d</w:t>
      </w:r>
      <w:r w:rsidR="00497379" w:rsidRPr="00EC1DF5">
        <w:rPr>
          <w:color w:val="auto"/>
        </w:rPr>
        <w:t xml:space="preserve"> that the instruments in the equation are valid and applicable in the 2-step GMM. </w:t>
      </w:r>
      <w:proofErr w:type="gramStart"/>
      <w:r w:rsidR="006A24C7" w:rsidRPr="00EC1DF5">
        <w:rPr>
          <w:color w:val="auto"/>
        </w:rPr>
        <w:t>With regard to</w:t>
      </w:r>
      <w:proofErr w:type="gramEnd"/>
      <w:r w:rsidR="006A24C7" w:rsidRPr="00EC1DF5">
        <w:rPr>
          <w:color w:val="auto"/>
        </w:rPr>
        <w:t xml:space="preserve"> </w:t>
      </w:r>
      <w:r w:rsidR="00921748" w:rsidRPr="00EC1DF5">
        <w:rPr>
          <w:i/>
          <w:color w:val="auto"/>
        </w:rPr>
        <w:t>BF</w:t>
      </w:r>
      <w:r w:rsidR="006A24C7" w:rsidRPr="00EC1DF5">
        <w:rPr>
          <w:i/>
          <w:iCs/>
          <w:color w:val="auto"/>
        </w:rPr>
        <w:t xml:space="preserve"> </w:t>
      </w:r>
      <w:r w:rsidR="006A24C7" w:rsidRPr="00EC1DF5">
        <w:rPr>
          <w:color w:val="auto"/>
        </w:rPr>
        <w:t xml:space="preserve">and </w:t>
      </w:r>
      <w:r w:rsidR="00921748" w:rsidRPr="00EC1DF5">
        <w:rPr>
          <w:i/>
          <w:color w:val="auto"/>
        </w:rPr>
        <w:t>BSR</w:t>
      </w:r>
      <w:r w:rsidR="006A24C7" w:rsidRPr="00EC1DF5">
        <w:rPr>
          <w:iCs/>
          <w:color w:val="auto"/>
        </w:rPr>
        <w:t>,</w:t>
      </w:r>
      <w:r w:rsidR="006A24C7" w:rsidRPr="00EC1DF5">
        <w:rPr>
          <w:i/>
          <w:iCs/>
          <w:color w:val="auto"/>
        </w:rPr>
        <w:t xml:space="preserve"> </w:t>
      </w:r>
      <w:r w:rsidR="006A24C7" w:rsidRPr="00EC1DF5">
        <w:rPr>
          <w:color w:val="auto"/>
        </w:rPr>
        <w:t>the estimated coefficient</w:t>
      </w:r>
      <w:r w:rsidR="00FD7E9F" w:rsidRPr="00EC1DF5">
        <w:rPr>
          <w:color w:val="auto"/>
        </w:rPr>
        <w:t>s</w:t>
      </w:r>
      <w:r w:rsidR="006A24C7" w:rsidRPr="00EC1DF5">
        <w:rPr>
          <w:color w:val="auto"/>
        </w:rPr>
        <w:t xml:space="preserve"> were positive and statistically significant as hypothesi</w:t>
      </w:r>
      <w:r w:rsidR="00BC3F99" w:rsidRPr="00EC1DF5">
        <w:rPr>
          <w:color w:val="auto"/>
        </w:rPr>
        <w:t>s</w:t>
      </w:r>
      <w:r w:rsidR="006A24C7" w:rsidRPr="00EC1DF5">
        <w:rPr>
          <w:color w:val="auto"/>
        </w:rPr>
        <w:t>ed</w:t>
      </w:r>
      <w:r w:rsidR="00447C3B" w:rsidRPr="00EC1DF5">
        <w:rPr>
          <w:color w:val="auto"/>
        </w:rPr>
        <w:t>,</w:t>
      </w:r>
      <w:r w:rsidR="0063418C" w:rsidRPr="00EC1DF5">
        <w:rPr>
          <w:color w:val="auto"/>
        </w:rPr>
        <w:t xml:space="preserve"> though the</w:t>
      </w:r>
      <w:r w:rsidR="006A24C7" w:rsidRPr="00EC1DF5">
        <w:rPr>
          <w:color w:val="auto"/>
        </w:rPr>
        <w:t xml:space="preserve"> other CG variables were insignificant</w:t>
      </w:r>
      <w:r w:rsidR="005747D1" w:rsidRPr="00EC1DF5">
        <w:rPr>
          <w:color w:val="auto"/>
        </w:rPr>
        <w:t xml:space="preserve">. </w:t>
      </w:r>
      <w:r w:rsidR="00497379" w:rsidRPr="00EC1DF5">
        <w:rPr>
          <w:color w:val="auto"/>
        </w:rPr>
        <w:t>For further robustness checks, we used a different proxy for financial sustainability, Returns on Assets (ROA)</w:t>
      </w:r>
      <w:r w:rsidR="00447C3B" w:rsidRPr="00EC1DF5">
        <w:rPr>
          <w:color w:val="auto"/>
        </w:rPr>
        <w:t>,</w:t>
      </w:r>
      <w:r w:rsidR="00497379" w:rsidRPr="00EC1DF5">
        <w:rPr>
          <w:color w:val="auto"/>
        </w:rPr>
        <w:t xml:space="preserve"> and found that</w:t>
      </w:r>
      <w:r w:rsidR="00D80849" w:rsidRPr="00EC1DF5">
        <w:rPr>
          <w:color w:val="auto"/>
        </w:rPr>
        <w:t xml:space="preserve"> of all the CG variables, only </w:t>
      </w:r>
      <w:r w:rsidR="00921748" w:rsidRPr="00EC1DF5">
        <w:rPr>
          <w:i/>
          <w:color w:val="auto"/>
        </w:rPr>
        <w:t>BSR</w:t>
      </w:r>
      <w:r w:rsidR="00D80849" w:rsidRPr="00EC1DF5">
        <w:rPr>
          <w:color w:val="auto"/>
        </w:rPr>
        <w:t xml:space="preserve"> showed a positive influence on financial performance.</w:t>
      </w:r>
    </w:p>
    <w:p w14:paraId="143A2EC4" w14:textId="77777777" w:rsidR="002E1ED4" w:rsidRPr="00EC1DF5" w:rsidRDefault="002E1ED4" w:rsidP="00921748">
      <w:pPr>
        <w:spacing w:line="480" w:lineRule="auto"/>
        <w:ind w:firstLine="720"/>
        <w:jc w:val="both"/>
        <w:rPr>
          <w:color w:val="auto"/>
        </w:rPr>
      </w:pPr>
    </w:p>
    <w:p w14:paraId="39AA9F35" w14:textId="65BB6C60" w:rsidR="00A25BE1" w:rsidRPr="00EC1DF5" w:rsidRDefault="00484ECE" w:rsidP="00921748">
      <w:pPr>
        <w:pStyle w:val="Heading2"/>
        <w:spacing w:line="480" w:lineRule="auto"/>
        <w:rPr>
          <w:rFonts w:ascii="Times New Roman" w:hAnsi="Times New Roman" w:cs="Times New Roman"/>
          <w:b/>
          <w:color w:val="auto"/>
        </w:rPr>
      </w:pPr>
      <w:r w:rsidRPr="00EC1DF5">
        <w:rPr>
          <w:rFonts w:ascii="Times New Roman" w:hAnsi="Times New Roman" w:cs="Times New Roman"/>
          <w:b/>
          <w:color w:val="auto"/>
        </w:rPr>
        <w:t>4.</w:t>
      </w:r>
      <w:r w:rsidR="009A59FA" w:rsidRPr="00EC1DF5">
        <w:rPr>
          <w:rFonts w:ascii="Times New Roman" w:hAnsi="Times New Roman" w:cs="Times New Roman"/>
          <w:b/>
          <w:color w:val="auto"/>
        </w:rPr>
        <w:t xml:space="preserve">2 </w:t>
      </w:r>
      <w:r w:rsidR="005D6959" w:rsidRPr="00EC1DF5">
        <w:rPr>
          <w:rFonts w:ascii="Times New Roman" w:hAnsi="Times New Roman" w:cs="Times New Roman"/>
          <w:b/>
          <w:color w:val="auto"/>
        </w:rPr>
        <w:t>Discussion</w:t>
      </w:r>
    </w:p>
    <w:p w14:paraId="61AA7750" w14:textId="35147710" w:rsidR="00A25BE1" w:rsidRPr="00EC1DF5" w:rsidRDefault="00A25BE1" w:rsidP="00921748">
      <w:pPr>
        <w:spacing w:line="480" w:lineRule="auto"/>
        <w:jc w:val="both"/>
        <w:rPr>
          <w:color w:val="auto"/>
        </w:rPr>
      </w:pPr>
      <w:r w:rsidRPr="00EC1DF5">
        <w:rPr>
          <w:color w:val="auto"/>
        </w:rPr>
        <w:t xml:space="preserve">The concept of business sustainability is of key relevance to organisations’ survival and overall performance. However, studies exploring how to achieve high performance through </w:t>
      </w:r>
      <w:r w:rsidR="004F3F41" w:rsidRPr="00EC1DF5">
        <w:rPr>
          <w:color w:val="auto"/>
        </w:rPr>
        <w:t>sustainability</w:t>
      </w:r>
      <w:r w:rsidRPr="00EC1DF5">
        <w:rPr>
          <w:color w:val="auto"/>
        </w:rPr>
        <w:t xml:space="preserve"> and corporate governance </w:t>
      </w:r>
      <w:r w:rsidR="00447C3B" w:rsidRPr="00EC1DF5">
        <w:rPr>
          <w:color w:val="auto"/>
        </w:rPr>
        <w:t xml:space="preserve">are </w:t>
      </w:r>
      <w:r w:rsidRPr="00EC1DF5">
        <w:rPr>
          <w:color w:val="auto"/>
        </w:rPr>
        <w:t xml:space="preserve">limited to </w:t>
      </w:r>
      <w:r w:rsidR="004F3F41" w:rsidRPr="00EC1DF5">
        <w:rPr>
          <w:color w:val="auto"/>
        </w:rPr>
        <w:t xml:space="preserve">the </w:t>
      </w:r>
      <w:r w:rsidRPr="00EC1DF5">
        <w:rPr>
          <w:color w:val="auto"/>
        </w:rPr>
        <w:t xml:space="preserve">individual elements. Thus, this study </w:t>
      </w:r>
      <w:r w:rsidRPr="00EC1DF5">
        <w:rPr>
          <w:color w:val="auto"/>
        </w:rPr>
        <w:lastRenderedPageBreak/>
        <w:t xml:space="preserve">examines the influence of the </w:t>
      </w:r>
      <w:r w:rsidR="0063418C" w:rsidRPr="00EC1DF5">
        <w:rPr>
          <w:color w:val="auto"/>
        </w:rPr>
        <w:t>holistic</w:t>
      </w:r>
      <w:r w:rsidRPr="00EC1DF5">
        <w:rPr>
          <w:color w:val="auto"/>
        </w:rPr>
        <w:t xml:space="preserve"> </w:t>
      </w:r>
      <w:r w:rsidR="00E35A8D" w:rsidRPr="00EC1DF5">
        <w:rPr>
          <w:color w:val="auto"/>
        </w:rPr>
        <w:t>pillars</w:t>
      </w:r>
      <w:r w:rsidRPr="00EC1DF5">
        <w:rPr>
          <w:color w:val="auto"/>
        </w:rPr>
        <w:t xml:space="preserve"> of corporate governance instead of the individual elements </w:t>
      </w:r>
      <w:r w:rsidR="0063418C" w:rsidRPr="00EC1DF5">
        <w:rPr>
          <w:color w:val="auto"/>
        </w:rPr>
        <w:t>in relation to</w:t>
      </w:r>
      <w:r w:rsidRPr="00EC1DF5">
        <w:rPr>
          <w:color w:val="auto"/>
        </w:rPr>
        <w:t xml:space="preserve"> environmental, </w:t>
      </w:r>
      <w:proofErr w:type="gramStart"/>
      <w:r w:rsidRPr="00EC1DF5">
        <w:rPr>
          <w:color w:val="auto"/>
        </w:rPr>
        <w:t>social</w:t>
      </w:r>
      <w:proofErr w:type="gramEnd"/>
      <w:r w:rsidRPr="00EC1DF5">
        <w:rPr>
          <w:color w:val="auto"/>
        </w:rPr>
        <w:t xml:space="preserve"> and financial sustainability. We further address a gap in </w:t>
      </w:r>
      <w:r w:rsidR="00447C3B" w:rsidRPr="00EC1DF5">
        <w:rPr>
          <w:color w:val="auto"/>
        </w:rPr>
        <w:t xml:space="preserve">the </w:t>
      </w:r>
      <w:r w:rsidRPr="00EC1DF5">
        <w:rPr>
          <w:color w:val="auto"/>
        </w:rPr>
        <w:t xml:space="preserve">literature by exploring the influence of stakeholder engagement </w:t>
      </w:r>
      <w:r w:rsidR="0063418C" w:rsidRPr="00EC1DF5">
        <w:rPr>
          <w:color w:val="auto"/>
        </w:rPr>
        <w:t>intensity</w:t>
      </w:r>
      <w:r w:rsidRPr="00EC1DF5">
        <w:rPr>
          <w:color w:val="auto"/>
        </w:rPr>
        <w:t xml:space="preserve"> on the relationship between 3BL and CG. </w:t>
      </w:r>
    </w:p>
    <w:p w14:paraId="63B027B4" w14:textId="0E130E4D" w:rsidR="00A25BE1" w:rsidRPr="00EC1DF5" w:rsidRDefault="00A25BE1" w:rsidP="00CA4E3D">
      <w:pPr>
        <w:spacing w:line="480" w:lineRule="auto"/>
        <w:ind w:firstLine="720"/>
        <w:jc w:val="both"/>
        <w:rPr>
          <w:color w:val="auto"/>
        </w:rPr>
      </w:pPr>
      <w:r w:rsidRPr="00EC1DF5">
        <w:rPr>
          <w:color w:val="auto"/>
        </w:rPr>
        <w:t>By utili</w:t>
      </w:r>
      <w:r w:rsidR="00BC3F99" w:rsidRPr="00EC1DF5">
        <w:rPr>
          <w:color w:val="auto"/>
        </w:rPr>
        <w:t>s</w:t>
      </w:r>
      <w:r w:rsidRPr="00EC1DF5">
        <w:rPr>
          <w:color w:val="auto"/>
        </w:rPr>
        <w:t xml:space="preserve">ing corporate governance </w:t>
      </w:r>
      <w:r w:rsidR="00E35A8D" w:rsidRPr="00EC1DF5">
        <w:rPr>
          <w:color w:val="auto"/>
        </w:rPr>
        <w:t>pillars</w:t>
      </w:r>
      <w:r w:rsidRPr="00EC1DF5">
        <w:rPr>
          <w:color w:val="auto"/>
        </w:rPr>
        <w:t xml:space="preserve">, we present results which stimulate further deliberation and theoretical discussions. </w:t>
      </w:r>
      <w:bookmarkStart w:id="4" w:name="_Hlk55231570"/>
      <w:proofErr w:type="gramStart"/>
      <w:r w:rsidRPr="00EC1DF5">
        <w:rPr>
          <w:color w:val="auto"/>
        </w:rPr>
        <w:t>Similar to</w:t>
      </w:r>
      <w:proofErr w:type="gramEnd"/>
      <w:r w:rsidRPr="00EC1DF5">
        <w:rPr>
          <w:color w:val="auto"/>
        </w:rPr>
        <w:t xml:space="preserve"> Ong and Lee (2000) and Dunn and </w:t>
      </w:r>
      <w:proofErr w:type="spellStart"/>
      <w:r w:rsidRPr="00EC1DF5">
        <w:rPr>
          <w:color w:val="auto"/>
        </w:rPr>
        <w:t>Sainty</w:t>
      </w:r>
      <w:proofErr w:type="spellEnd"/>
      <w:r w:rsidRPr="00EC1DF5">
        <w:rPr>
          <w:color w:val="auto"/>
        </w:rPr>
        <w:t xml:space="preserve"> (2009), we found that</w:t>
      </w:r>
      <w:r w:rsidR="00447C3B" w:rsidRPr="00EC1DF5">
        <w:rPr>
          <w:color w:val="auto"/>
        </w:rPr>
        <w:t>,</w:t>
      </w:r>
      <w:r w:rsidRPr="00EC1DF5">
        <w:rPr>
          <w:color w:val="auto"/>
        </w:rPr>
        <w:t xml:space="preserve"> when the various board functions are upheld, firm performance</w:t>
      </w:r>
      <w:r w:rsidR="00447C3B" w:rsidRPr="00EC1DF5">
        <w:rPr>
          <w:color w:val="auto"/>
        </w:rPr>
        <w:t xml:space="preserve"> –</w:t>
      </w:r>
      <w:r w:rsidRPr="00EC1DF5">
        <w:rPr>
          <w:color w:val="auto"/>
        </w:rPr>
        <w:t xml:space="preserve"> in this case, environmental, social and financial sustainability</w:t>
      </w:r>
      <w:r w:rsidR="00447C3B" w:rsidRPr="00EC1DF5">
        <w:rPr>
          <w:color w:val="auto"/>
        </w:rPr>
        <w:t xml:space="preserve"> –</w:t>
      </w:r>
      <w:r w:rsidRPr="00EC1DF5">
        <w:rPr>
          <w:color w:val="auto"/>
        </w:rPr>
        <w:t xml:space="preserve"> improve</w:t>
      </w:r>
      <w:r w:rsidR="00447C3B" w:rsidRPr="00EC1DF5">
        <w:rPr>
          <w:color w:val="auto"/>
        </w:rPr>
        <w:t>s</w:t>
      </w:r>
      <w:r w:rsidR="006A03FC" w:rsidRPr="00EC1DF5">
        <w:rPr>
          <w:color w:val="auto"/>
        </w:rPr>
        <w:t xml:space="preserve"> tremendously</w:t>
      </w:r>
      <w:r w:rsidRPr="00EC1DF5">
        <w:rPr>
          <w:color w:val="auto"/>
        </w:rPr>
        <w:t xml:space="preserve">. </w:t>
      </w:r>
      <w:r w:rsidR="0063418C" w:rsidRPr="00EC1DF5">
        <w:rPr>
          <w:color w:val="auto"/>
        </w:rPr>
        <w:t xml:space="preserve">This </w:t>
      </w:r>
      <w:r w:rsidR="006A03FC" w:rsidRPr="00EC1DF5">
        <w:rPr>
          <w:color w:val="auto"/>
        </w:rPr>
        <w:t>suggests</w:t>
      </w:r>
      <w:r w:rsidR="0063418C" w:rsidRPr="00EC1DF5">
        <w:rPr>
          <w:color w:val="auto"/>
        </w:rPr>
        <w:t xml:space="preserve"> that</w:t>
      </w:r>
      <w:r w:rsidRPr="00EC1DF5">
        <w:rPr>
          <w:color w:val="auto"/>
        </w:rPr>
        <w:t xml:space="preserve"> board functions such as polic</w:t>
      </w:r>
      <w:r w:rsidR="006A03FC" w:rsidRPr="00EC1DF5">
        <w:rPr>
          <w:color w:val="auto"/>
        </w:rPr>
        <w:t>y development</w:t>
      </w:r>
      <w:r w:rsidRPr="00EC1DF5">
        <w:rPr>
          <w:color w:val="auto"/>
        </w:rPr>
        <w:t xml:space="preserve">, implementation, monitoring, </w:t>
      </w:r>
      <w:proofErr w:type="gramStart"/>
      <w:r w:rsidRPr="00EC1DF5">
        <w:rPr>
          <w:color w:val="auto"/>
        </w:rPr>
        <w:t>committees</w:t>
      </w:r>
      <w:proofErr w:type="gramEnd"/>
      <w:r w:rsidRPr="00EC1DF5">
        <w:rPr>
          <w:color w:val="auto"/>
        </w:rPr>
        <w:t xml:space="preserve"> and compliance</w:t>
      </w:r>
      <w:r w:rsidR="009F051C" w:rsidRPr="00EC1DF5">
        <w:rPr>
          <w:color w:val="auto"/>
        </w:rPr>
        <w:t>,</w:t>
      </w:r>
      <w:r w:rsidRPr="00EC1DF5">
        <w:rPr>
          <w:color w:val="auto"/>
        </w:rPr>
        <w:t xml:space="preserve"> among others</w:t>
      </w:r>
      <w:r w:rsidR="009F051C" w:rsidRPr="00EC1DF5">
        <w:rPr>
          <w:color w:val="auto"/>
        </w:rPr>
        <w:t>,</w:t>
      </w:r>
      <w:r w:rsidRPr="00EC1DF5">
        <w:rPr>
          <w:color w:val="auto"/>
        </w:rPr>
        <w:t xml:space="preserve"> are all necessary to promote the triple bottom line</w:t>
      </w:r>
      <w:r w:rsidR="006A03FC" w:rsidRPr="00EC1DF5">
        <w:rPr>
          <w:color w:val="auto"/>
        </w:rPr>
        <w:t xml:space="preserve"> performance</w:t>
      </w:r>
      <w:r w:rsidRPr="00EC1DF5">
        <w:rPr>
          <w:color w:val="auto"/>
        </w:rPr>
        <w:t>. The observed</w:t>
      </w:r>
      <w:r w:rsidR="0063418C" w:rsidRPr="00EC1DF5">
        <w:rPr>
          <w:color w:val="auto"/>
        </w:rPr>
        <w:t xml:space="preserve"> importance of</w:t>
      </w:r>
      <w:r w:rsidRPr="00EC1DF5">
        <w:rPr>
          <w:color w:val="auto"/>
        </w:rPr>
        <w:t xml:space="preserve"> board functions </w:t>
      </w:r>
      <w:r w:rsidR="00205483" w:rsidRPr="00EC1DF5">
        <w:rPr>
          <w:color w:val="auto"/>
        </w:rPr>
        <w:t>provide</w:t>
      </w:r>
      <w:r w:rsidR="0063418C" w:rsidRPr="00EC1DF5">
        <w:rPr>
          <w:color w:val="auto"/>
        </w:rPr>
        <w:t>s</w:t>
      </w:r>
      <w:r w:rsidRPr="00EC1DF5">
        <w:rPr>
          <w:color w:val="auto"/>
        </w:rPr>
        <w:t xml:space="preserve"> empirical support to existing argument</w:t>
      </w:r>
      <w:r w:rsidR="00447C3B" w:rsidRPr="00EC1DF5">
        <w:rPr>
          <w:color w:val="auto"/>
        </w:rPr>
        <w:t>s</w:t>
      </w:r>
      <w:r w:rsidRPr="00EC1DF5">
        <w:rPr>
          <w:color w:val="auto"/>
        </w:rPr>
        <w:t xml:space="preserve"> presented by researchers (Said </w:t>
      </w:r>
      <w:r w:rsidRPr="00EC1DF5">
        <w:rPr>
          <w:i/>
          <w:color w:val="auto"/>
        </w:rPr>
        <w:t>et al</w:t>
      </w:r>
      <w:r w:rsidRPr="00EC1DF5">
        <w:rPr>
          <w:color w:val="auto"/>
        </w:rPr>
        <w:t xml:space="preserve">., 2009; </w:t>
      </w:r>
      <w:proofErr w:type="spellStart"/>
      <w:r w:rsidRPr="00EC1DF5">
        <w:rPr>
          <w:color w:val="auto"/>
        </w:rPr>
        <w:t>Zagorchev</w:t>
      </w:r>
      <w:proofErr w:type="spellEnd"/>
      <w:r w:rsidRPr="00EC1DF5">
        <w:rPr>
          <w:color w:val="auto"/>
        </w:rPr>
        <w:t xml:space="preserve"> and Gao, 2015) who used the individual characteristics enveloped in the overall board functions index. </w:t>
      </w:r>
    </w:p>
    <w:p w14:paraId="0C186429" w14:textId="26EDDE8F" w:rsidR="00AB17D5" w:rsidRPr="00EC1DF5" w:rsidRDefault="00AB17D5" w:rsidP="00AB17D5">
      <w:pPr>
        <w:spacing w:line="480" w:lineRule="auto"/>
        <w:ind w:firstLine="720"/>
        <w:jc w:val="both"/>
        <w:rPr>
          <w:color w:val="auto"/>
        </w:rPr>
      </w:pPr>
      <w:bookmarkStart w:id="5" w:name="_Hlk55231492"/>
      <w:r w:rsidRPr="00EC1DF5">
        <w:rPr>
          <w:color w:val="auto"/>
        </w:rPr>
        <w:t xml:space="preserve">Drawing from agency theory, it can be argued that a positive effect of board function on social sustainability suggest that effective monitoring of agents occur can reduce the agency problem and also able to offer more stringent enforcement of ethical conduct which minimizes unwanted societal behaviours such as subversion of shareholders’ funds by management (Galbreath, 2012). Boards through its committees such as CSR committees </w:t>
      </w:r>
      <w:proofErr w:type="gramStart"/>
      <w:r w:rsidRPr="00EC1DF5">
        <w:rPr>
          <w:color w:val="auto"/>
        </w:rPr>
        <w:t>are able to</w:t>
      </w:r>
      <w:proofErr w:type="gramEnd"/>
      <w:r w:rsidRPr="00EC1DF5">
        <w:rPr>
          <w:color w:val="auto"/>
        </w:rPr>
        <w:t xml:space="preserve"> identify and support the local community’s needs which impacts positively on the organisation’s legitimacy and social license.</w:t>
      </w:r>
      <w:bookmarkEnd w:id="5"/>
      <w:r w:rsidRPr="00EC1DF5">
        <w:rPr>
          <w:color w:val="auto"/>
        </w:rPr>
        <w:t xml:space="preserve"> A well-balanced board are high problem solving and complex social issues such as poverty, poor working environment are better handled (Robinson and </w:t>
      </w:r>
      <w:proofErr w:type="spellStart"/>
      <w:r w:rsidRPr="00EC1DF5">
        <w:rPr>
          <w:color w:val="auto"/>
        </w:rPr>
        <w:t>Dechant</w:t>
      </w:r>
      <w:proofErr w:type="spellEnd"/>
      <w:r w:rsidRPr="00EC1DF5">
        <w:rPr>
          <w:color w:val="auto"/>
        </w:rPr>
        <w:t xml:space="preserve">, 1997). In dealing with social issues which are very important the board, we can infer from our results that through committees, companies can fashion out strategies with allocated resources which are subsequently implemented with deliberate intention of impacting on the firm performance socially which is measured against planned goals. We further assert that the </w:t>
      </w:r>
      <w:r w:rsidRPr="00EC1DF5">
        <w:rPr>
          <w:color w:val="auto"/>
        </w:rPr>
        <w:lastRenderedPageBreak/>
        <w:t>positive impact of board compensation on  sustainability could be associated with the fact that some executive remunerations are linked with firm performance as therefore directors may use social and environmental sustainability strategically as investment tool to enhance the value of their benefit from the firm (</w:t>
      </w:r>
      <w:proofErr w:type="spellStart"/>
      <w:r w:rsidRPr="00EC1DF5">
        <w:rPr>
          <w:color w:val="auto"/>
        </w:rPr>
        <w:t>Su</w:t>
      </w:r>
      <w:proofErr w:type="spellEnd"/>
      <w:r w:rsidRPr="00EC1DF5">
        <w:rPr>
          <w:color w:val="auto"/>
        </w:rPr>
        <w:t xml:space="preserve"> and </w:t>
      </w:r>
      <w:proofErr w:type="spellStart"/>
      <w:r w:rsidRPr="00EC1DF5">
        <w:rPr>
          <w:color w:val="auto"/>
        </w:rPr>
        <w:t>Sauerwald</w:t>
      </w:r>
      <w:proofErr w:type="spellEnd"/>
      <w:r w:rsidRPr="00EC1DF5">
        <w:rPr>
          <w:color w:val="auto"/>
        </w:rPr>
        <w:t>, 2015). Issues of human rights, good working conditions and employee loyalty are of a great concern to shareholders and shareholders will use their rights as stated by the governance rules to enforce these through voting and advocacy as it has indirect link with shareholder wealth.</w:t>
      </w:r>
    </w:p>
    <w:bookmarkEnd w:id="4"/>
    <w:p w14:paraId="77F016F4" w14:textId="755BB664" w:rsidR="00A25BE1" w:rsidRPr="00EC1DF5" w:rsidRDefault="00A25BE1" w:rsidP="00CA4E3D">
      <w:pPr>
        <w:spacing w:line="480" w:lineRule="auto"/>
        <w:ind w:firstLine="720"/>
        <w:jc w:val="both"/>
        <w:rPr>
          <w:color w:val="auto"/>
        </w:rPr>
      </w:pPr>
      <w:r w:rsidRPr="00EC1DF5">
        <w:rPr>
          <w:color w:val="auto"/>
        </w:rPr>
        <w:t xml:space="preserve">Due to the established </w:t>
      </w:r>
      <w:r w:rsidR="0063418C" w:rsidRPr="00EC1DF5">
        <w:rPr>
          <w:color w:val="auto"/>
        </w:rPr>
        <w:t>perception</w:t>
      </w:r>
      <w:r w:rsidRPr="00EC1DF5">
        <w:rPr>
          <w:color w:val="auto"/>
        </w:rPr>
        <w:t xml:space="preserve"> </w:t>
      </w:r>
      <w:r w:rsidR="009B3CA5" w:rsidRPr="00EC1DF5">
        <w:rPr>
          <w:color w:val="auto"/>
        </w:rPr>
        <w:t>that</w:t>
      </w:r>
      <w:r w:rsidRPr="00EC1DF5">
        <w:rPr>
          <w:color w:val="auto"/>
        </w:rPr>
        <w:t xml:space="preserve"> shareholders</w:t>
      </w:r>
      <w:r w:rsidR="009B3CA5" w:rsidRPr="00EC1DF5">
        <w:rPr>
          <w:color w:val="auto"/>
        </w:rPr>
        <w:t xml:space="preserve"> are more interested in firm financial performance</w:t>
      </w:r>
      <w:r w:rsidRPr="00EC1DF5">
        <w:rPr>
          <w:color w:val="auto"/>
        </w:rPr>
        <w:t xml:space="preserve">, it was </w:t>
      </w:r>
      <w:r w:rsidR="009B3CA5" w:rsidRPr="00EC1DF5">
        <w:rPr>
          <w:color w:val="auto"/>
        </w:rPr>
        <w:t>thought provoking</w:t>
      </w:r>
      <w:r w:rsidRPr="00EC1DF5">
        <w:rPr>
          <w:color w:val="auto"/>
        </w:rPr>
        <w:t xml:space="preserve"> to r</w:t>
      </w:r>
      <w:r w:rsidR="0063418C" w:rsidRPr="00EC1DF5">
        <w:rPr>
          <w:color w:val="auto"/>
        </w:rPr>
        <w:t>ecord</w:t>
      </w:r>
      <w:r w:rsidRPr="00EC1DF5">
        <w:rPr>
          <w:color w:val="auto"/>
        </w:rPr>
        <w:t xml:space="preserve"> a positive impact of board shareholder rights on environmental and social sustainability. </w:t>
      </w:r>
      <w:r w:rsidR="0063418C" w:rsidRPr="00EC1DF5">
        <w:rPr>
          <w:color w:val="auto"/>
        </w:rPr>
        <w:t>Base</w:t>
      </w:r>
      <w:r w:rsidR="00447C3B" w:rsidRPr="00EC1DF5">
        <w:rPr>
          <w:color w:val="auto"/>
        </w:rPr>
        <w:t>d</w:t>
      </w:r>
      <w:r w:rsidR="0063418C" w:rsidRPr="00EC1DF5">
        <w:rPr>
          <w:color w:val="auto"/>
        </w:rPr>
        <w:t xml:space="preserve"> on this, w</w:t>
      </w:r>
      <w:r w:rsidRPr="00EC1DF5">
        <w:rPr>
          <w:color w:val="auto"/>
        </w:rPr>
        <w:t>e assert that, contrary to claims by other researchers (</w:t>
      </w:r>
      <w:proofErr w:type="spellStart"/>
      <w:r w:rsidRPr="00EC1DF5">
        <w:rPr>
          <w:color w:val="auto"/>
        </w:rPr>
        <w:t>Lhuillery</w:t>
      </w:r>
      <w:proofErr w:type="spellEnd"/>
      <w:r w:rsidRPr="00EC1DF5">
        <w:rPr>
          <w:color w:val="auto"/>
        </w:rPr>
        <w:t xml:space="preserve">, 2011; Kim </w:t>
      </w:r>
      <w:r w:rsidRPr="00EC1DF5">
        <w:rPr>
          <w:i/>
          <w:color w:val="auto"/>
        </w:rPr>
        <w:t>et al</w:t>
      </w:r>
      <w:r w:rsidRPr="00EC1DF5">
        <w:rPr>
          <w:color w:val="auto"/>
        </w:rPr>
        <w:t>., 2007)</w:t>
      </w:r>
      <w:r w:rsidR="0063418C" w:rsidRPr="00EC1DF5">
        <w:rPr>
          <w:color w:val="auto"/>
        </w:rPr>
        <w:t>,</w:t>
      </w:r>
      <w:r w:rsidRPr="00EC1DF5">
        <w:rPr>
          <w:color w:val="auto"/>
        </w:rPr>
        <w:t xml:space="preserve"> shareholders’ interests </w:t>
      </w:r>
      <w:r w:rsidR="005741FE" w:rsidRPr="00EC1DF5">
        <w:rPr>
          <w:color w:val="auto"/>
        </w:rPr>
        <w:t xml:space="preserve">extend </w:t>
      </w:r>
      <w:r w:rsidRPr="00EC1DF5">
        <w:rPr>
          <w:color w:val="auto"/>
        </w:rPr>
        <w:t xml:space="preserve">beyond their financial interest </w:t>
      </w:r>
      <w:r w:rsidR="001A33EF" w:rsidRPr="00EC1DF5">
        <w:rPr>
          <w:color w:val="auto"/>
        </w:rPr>
        <w:t xml:space="preserve">in the </w:t>
      </w:r>
      <w:r w:rsidRPr="00EC1DF5">
        <w:rPr>
          <w:color w:val="auto"/>
        </w:rPr>
        <w:t xml:space="preserve">environmental and social sustainability of their aligned companies. From an agency theory perspective, one could also posit that shareholders perceive the direct and indirect effect of negative social and environmental sustainability on </w:t>
      </w:r>
      <w:r w:rsidR="001A33EF" w:rsidRPr="00EC1DF5">
        <w:rPr>
          <w:color w:val="auto"/>
        </w:rPr>
        <w:t xml:space="preserve">the </w:t>
      </w:r>
      <w:r w:rsidRPr="00EC1DF5">
        <w:rPr>
          <w:color w:val="auto"/>
        </w:rPr>
        <w:t xml:space="preserve">firm’s financial performance. Consistent with arguments presented by Ntim and Soobaroyen (2013) and Ibrahim and </w:t>
      </w:r>
      <w:proofErr w:type="spellStart"/>
      <w:r w:rsidRPr="00EC1DF5">
        <w:rPr>
          <w:color w:val="auto"/>
        </w:rPr>
        <w:t>Angelidis</w:t>
      </w:r>
      <w:proofErr w:type="spellEnd"/>
      <w:r w:rsidRPr="00EC1DF5">
        <w:rPr>
          <w:color w:val="auto"/>
        </w:rPr>
        <w:t xml:space="preserve"> (1994), we equally found that board structure elements enhance business sustainability. We emphasise that firms with effective and improved board structure, board compensation and board strategy tend to generally </w:t>
      </w:r>
      <w:r w:rsidR="00CA133E" w:rsidRPr="00EC1DF5">
        <w:rPr>
          <w:color w:val="auto"/>
        </w:rPr>
        <w:t>experience</w:t>
      </w:r>
      <w:r w:rsidRPr="00EC1DF5">
        <w:rPr>
          <w:color w:val="auto"/>
        </w:rPr>
        <w:t xml:space="preserve"> </w:t>
      </w:r>
      <w:r w:rsidR="001A33EF" w:rsidRPr="00EC1DF5">
        <w:rPr>
          <w:color w:val="auto"/>
        </w:rPr>
        <w:t xml:space="preserve">a </w:t>
      </w:r>
      <w:r w:rsidRPr="00EC1DF5">
        <w:rPr>
          <w:color w:val="auto"/>
        </w:rPr>
        <w:t>positive impact on their bottom line</w:t>
      </w:r>
    </w:p>
    <w:p w14:paraId="35E8428F" w14:textId="06234373" w:rsidR="00CA133E" w:rsidRPr="00EC1DF5" w:rsidRDefault="00A25BE1" w:rsidP="00CA4E3D">
      <w:pPr>
        <w:spacing w:line="480" w:lineRule="auto"/>
        <w:ind w:firstLine="720"/>
        <w:jc w:val="both"/>
        <w:rPr>
          <w:color w:val="auto"/>
        </w:rPr>
      </w:pPr>
      <w:r w:rsidRPr="00EC1DF5">
        <w:rPr>
          <w:color w:val="auto"/>
        </w:rPr>
        <w:t xml:space="preserve">As a response to </w:t>
      </w:r>
      <w:r w:rsidR="005741FE" w:rsidRPr="00EC1DF5">
        <w:rPr>
          <w:color w:val="auto"/>
        </w:rPr>
        <w:t>the</w:t>
      </w:r>
      <w:r w:rsidRPr="00EC1DF5">
        <w:rPr>
          <w:color w:val="auto"/>
        </w:rPr>
        <w:t xml:space="preserve"> call by Galbreath (2011) and Jo and </w:t>
      </w:r>
      <w:proofErr w:type="spellStart"/>
      <w:r w:rsidRPr="00EC1DF5">
        <w:rPr>
          <w:color w:val="auto"/>
        </w:rPr>
        <w:t>Harjoto</w:t>
      </w:r>
      <w:proofErr w:type="spellEnd"/>
      <w:r w:rsidRPr="00EC1DF5">
        <w:rPr>
          <w:color w:val="auto"/>
        </w:rPr>
        <w:t xml:space="preserve"> (2011), we investigated the impact of stakeholder engagement </w:t>
      </w:r>
      <w:r w:rsidR="00CA133E" w:rsidRPr="00EC1DF5">
        <w:rPr>
          <w:color w:val="auto"/>
        </w:rPr>
        <w:t xml:space="preserve">intensity </w:t>
      </w:r>
      <w:r w:rsidRPr="00EC1DF5">
        <w:rPr>
          <w:color w:val="auto"/>
        </w:rPr>
        <w:t xml:space="preserve">on business sustainability performance. It was revealed that high stakeholder engagement alongside enhanced corporate governance </w:t>
      </w:r>
      <w:r w:rsidR="00E35A8D" w:rsidRPr="00EC1DF5">
        <w:rPr>
          <w:color w:val="auto"/>
        </w:rPr>
        <w:t>pillars</w:t>
      </w:r>
      <w:r w:rsidRPr="00EC1DF5">
        <w:rPr>
          <w:color w:val="auto"/>
        </w:rPr>
        <w:t xml:space="preserve"> (i.e., board functions, board structure, board compensation and board shareholder rights) lead</w:t>
      </w:r>
      <w:r w:rsidR="001A33EF" w:rsidRPr="00EC1DF5">
        <w:rPr>
          <w:color w:val="auto"/>
        </w:rPr>
        <w:t>s</w:t>
      </w:r>
      <w:r w:rsidRPr="00EC1DF5">
        <w:rPr>
          <w:color w:val="auto"/>
        </w:rPr>
        <w:t xml:space="preserve"> to better environmental sustainability. On the other hand, we found that</w:t>
      </w:r>
      <w:r w:rsidR="001A33EF" w:rsidRPr="00EC1DF5">
        <w:rPr>
          <w:color w:val="auto"/>
        </w:rPr>
        <w:t>,</w:t>
      </w:r>
      <w:r w:rsidRPr="00EC1DF5">
        <w:rPr>
          <w:color w:val="auto"/>
        </w:rPr>
        <w:t xml:space="preserve"> though high stakeholder engagement is relevant </w:t>
      </w:r>
      <w:r w:rsidR="001A33EF" w:rsidRPr="00EC1DF5">
        <w:rPr>
          <w:color w:val="auto"/>
        </w:rPr>
        <w:t xml:space="preserve">to </w:t>
      </w:r>
      <w:r w:rsidRPr="00EC1DF5">
        <w:rPr>
          <w:color w:val="auto"/>
        </w:rPr>
        <w:t>board strategy</w:t>
      </w:r>
      <w:r w:rsidR="001A33EF" w:rsidRPr="00EC1DF5">
        <w:rPr>
          <w:color w:val="auto"/>
        </w:rPr>
        <w:t>,</w:t>
      </w:r>
      <w:r w:rsidRPr="00EC1DF5">
        <w:rPr>
          <w:color w:val="auto"/>
        </w:rPr>
        <w:t xml:space="preserve"> it yielded </w:t>
      </w:r>
      <w:r w:rsidR="001A33EF" w:rsidRPr="00EC1DF5">
        <w:rPr>
          <w:color w:val="auto"/>
        </w:rPr>
        <w:t xml:space="preserve">a </w:t>
      </w:r>
      <w:r w:rsidRPr="00EC1DF5">
        <w:rPr>
          <w:color w:val="auto"/>
        </w:rPr>
        <w:t xml:space="preserve">negative </w:t>
      </w:r>
      <w:r w:rsidR="00CA133E" w:rsidRPr="00EC1DF5">
        <w:rPr>
          <w:color w:val="auto"/>
        </w:rPr>
        <w:lastRenderedPageBreak/>
        <w:t>impact</w:t>
      </w:r>
      <w:r w:rsidRPr="00EC1DF5">
        <w:rPr>
          <w:color w:val="auto"/>
        </w:rPr>
        <w:t xml:space="preserve"> on sustainability. This could be </w:t>
      </w:r>
      <w:r w:rsidR="005741FE" w:rsidRPr="00EC1DF5">
        <w:rPr>
          <w:color w:val="auto"/>
        </w:rPr>
        <w:t>because</w:t>
      </w:r>
      <w:r w:rsidRPr="00EC1DF5">
        <w:rPr>
          <w:color w:val="auto"/>
        </w:rPr>
        <w:t xml:space="preserve"> not all the stakeholder groups </w:t>
      </w:r>
      <w:r w:rsidR="008B671A" w:rsidRPr="00EC1DF5">
        <w:rPr>
          <w:color w:val="auto"/>
        </w:rPr>
        <w:t>are aware of</w:t>
      </w:r>
      <w:r w:rsidRPr="00EC1DF5">
        <w:rPr>
          <w:color w:val="auto"/>
        </w:rPr>
        <w:t xml:space="preserve"> </w:t>
      </w:r>
      <w:r w:rsidR="005741FE" w:rsidRPr="00EC1DF5">
        <w:rPr>
          <w:color w:val="auto"/>
        </w:rPr>
        <w:t>such strategies, especially if those strategies are not deeply rooted in the core business activities</w:t>
      </w:r>
      <w:r w:rsidR="008B671A" w:rsidRPr="00EC1DF5">
        <w:rPr>
          <w:color w:val="auto"/>
        </w:rPr>
        <w:t>.</w:t>
      </w:r>
      <w:r w:rsidRPr="00EC1DF5">
        <w:rPr>
          <w:color w:val="auto"/>
        </w:rPr>
        <w:t xml:space="preserve"> For instance, it is very likely for employees</w:t>
      </w:r>
      <w:r w:rsidR="00D80849" w:rsidRPr="00EC1DF5">
        <w:rPr>
          <w:color w:val="auto"/>
        </w:rPr>
        <w:t xml:space="preserve"> (i.e., internal stakeholders)</w:t>
      </w:r>
      <w:r w:rsidRPr="00EC1DF5">
        <w:rPr>
          <w:color w:val="auto"/>
        </w:rPr>
        <w:t xml:space="preserve"> to be aware of </w:t>
      </w:r>
      <w:r w:rsidR="001A33EF" w:rsidRPr="00EC1DF5">
        <w:rPr>
          <w:color w:val="auto"/>
        </w:rPr>
        <w:t xml:space="preserve">their </w:t>
      </w:r>
      <w:r w:rsidR="00D80849" w:rsidRPr="00EC1DF5">
        <w:rPr>
          <w:color w:val="auto"/>
        </w:rPr>
        <w:t xml:space="preserve">own </w:t>
      </w:r>
      <w:r w:rsidR="001A33EF" w:rsidRPr="00EC1DF5">
        <w:rPr>
          <w:color w:val="auto"/>
        </w:rPr>
        <w:t xml:space="preserve">company’s </w:t>
      </w:r>
      <w:r w:rsidRPr="00EC1DF5">
        <w:rPr>
          <w:color w:val="auto"/>
        </w:rPr>
        <w:t>strategies</w:t>
      </w:r>
      <w:r w:rsidR="00CA133E" w:rsidRPr="00EC1DF5">
        <w:rPr>
          <w:color w:val="auto"/>
        </w:rPr>
        <w:t xml:space="preserve"> </w:t>
      </w:r>
      <w:r w:rsidRPr="00EC1DF5">
        <w:rPr>
          <w:color w:val="auto"/>
        </w:rPr>
        <w:t xml:space="preserve">to promote </w:t>
      </w:r>
      <w:r w:rsidR="005741FE" w:rsidRPr="00EC1DF5">
        <w:rPr>
          <w:color w:val="auto"/>
        </w:rPr>
        <w:t xml:space="preserve">sustainable </w:t>
      </w:r>
      <w:r w:rsidRPr="00EC1DF5">
        <w:rPr>
          <w:color w:val="auto"/>
        </w:rPr>
        <w:t xml:space="preserve">activities </w:t>
      </w:r>
      <w:r w:rsidR="00D80849" w:rsidRPr="00EC1DF5">
        <w:rPr>
          <w:color w:val="auto"/>
        </w:rPr>
        <w:t>whereas</w:t>
      </w:r>
      <w:r w:rsidRPr="00EC1DF5">
        <w:rPr>
          <w:color w:val="auto"/>
        </w:rPr>
        <w:t xml:space="preserve"> </w:t>
      </w:r>
      <w:r w:rsidR="00CA133E" w:rsidRPr="00EC1DF5">
        <w:rPr>
          <w:color w:val="auto"/>
        </w:rPr>
        <w:t>external stakeholder group</w:t>
      </w:r>
      <w:r w:rsidR="005741FE" w:rsidRPr="00EC1DF5">
        <w:rPr>
          <w:color w:val="auto"/>
        </w:rPr>
        <w:t xml:space="preserve"> </w:t>
      </w:r>
      <w:r w:rsidR="00D80849" w:rsidRPr="00EC1DF5">
        <w:rPr>
          <w:color w:val="auto"/>
        </w:rPr>
        <w:t>like</w:t>
      </w:r>
      <w:r w:rsidR="005741FE" w:rsidRPr="00EC1DF5">
        <w:rPr>
          <w:color w:val="auto"/>
        </w:rPr>
        <w:t xml:space="preserve"> Non-Governmental Organisations (NGOs)</w:t>
      </w:r>
      <w:r w:rsidR="00D80849" w:rsidRPr="00EC1DF5">
        <w:rPr>
          <w:color w:val="auto"/>
        </w:rPr>
        <w:t xml:space="preserve"> may be ignorant of such strategies.</w:t>
      </w:r>
      <w:r w:rsidRPr="00EC1DF5">
        <w:rPr>
          <w:color w:val="auto"/>
        </w:rPr>
        <w:t xml:space="preserve"> </w:t>
      </w:r>
    </w:p>
    <w:p w14:paraId="02C30EFF" w14:textId="02DA3B84" w:rsidR="00F46A98" w:rsidRPr="00EC1DF5" w:rsidRDefault="00A25BE1" w:rsidP="00CA4E3D">
      <w:pPr>
        <w:spacing w:line="480" w:lineRule="auto"/>
        <w:ind w:firstLine="720"/>
        <w:jc w:val="both"/>
        <w:rPr>
          <w:color w:val="auto"/>
        </w:rPr>
      </w:pPr>
      <w:r w:rsidRPr="00EC1DF5">
        <w:rPr>
          <w:color w:val="auto"/>
        </w:rPr>
        <w:t>Our findings further suggest that</w:t>
      </w:r>
      <w:r w:rsidR="001A33EF" w:rsidRPr="00EC1DF5">
        <w:rPr>
          <w:color w:val="auto"/>
        </w:rPr>
        <w:t>,</w:t>
      </w:r>
      <w:r w:rsidRPr="00EC1DF5">
        <w:rPr>
          <w:color w:val="auto"/>
        </w:rPr>
        <w:t xml:space="preserve"> despite the supposed </w:t>
      </w:r>
      <w:r w:rsidR="001B6AF8" w:rsidRPr="00EC1DF5">
        <w:rPr>
          <w:color w:val="auto"/>
        </w:rPr>
        <w:t>shared</w:t>
      </w:r>
      <w:r w:rsidRPr="00EC1DF5">
        <w:rPr>
          <w:color w:val="auto"/>
        </w:rPr>
        <w:t xml:space="preserve"> benefits</w:t>
      </w:r>
      <w:r w:rsidR="001B6AF8" w:rsidRPr="00EC1DF5">
        <w:rPr>
          <w:color w:val="auto"/>
        </w:rPr>
        <w:t xml:space="preserve"> of</w:t>
      </w:r>
      <w:r w:rsidRPr="00EC1DF5">
        <w:rPr>
          <w:color w:val="auto"/>
        </w:rPr>
        <w:t xml:space="preserve"> stakeholder engagement (Phillips, 1997; Greenwood, 2007), </w:t>
      </w:r>
      <w:r w:rsidR="00CA133E" w:rsidRPr="00EC1DF5">
        <w:rPr>
          <w:color w:val="auto"/>
        </w:rPr>
        <w:t xml:space="preserve">the intensity level determines </w:t>
      </w:r>
      <w:r w:rsidR="0071734E" w:rsidRPr="00EC1DF5">
        <w:rPr>
          <w:color w:val="auto"/>
        </w:rPr>
        <w:t>its advantages to</w:t>
      </w:r>
      <w:r w:rsidR="00CA133E" w:rsidRPr="00EC1DF5">
        <w:rPr>
          <w:color w:val="auto"/>
        </w:rPr>
        <w:t xml:space="preserve"> companies.</w:t>
      </w:r>
      <w:r w:rsidRPr="00EC1DF5">
        <w:rPr>
          <w:color w:val="auto"/>
        </w:rPr>
        <w:t xml:space="preserve"> For instance, we discovered that low stakeholder engagement levels do have negative repercussion</w:t>
      </w:r>
      <w:r w:rsidR="001A33EF" w:rsidRPr="00EC1DF5">
        <w:rPr>
          <w:color w:val="auto"/>
        </w:rPr>
        <w:t>s</w:t>
      </w:r>
      <w:r w:rsidRPr="00EC1DF5">
        <w:rPr>
          <w:color w:val="auto"/>
        </w:rPr>
        <w:t xml:space="preserve"> across all the dimensions of sustainability. Interestingly, in cases where the low engagement levels </w:t>
      </w:r>
      <w:r w:rsidR="001A33EF" w:rsidRPr="00EC1DF5">
        <w:rPr>
          <w:color w:val="auto"/>
        </w:rPr>
        <w:t xml:space="preserve">were </w:t>
      </w:r>
      <w:r w:rsidRPr="00EC1DF5">
        <w:rPr>
          <w:color w:val="auto"/>
        </w:rPr>
        <w:t xml:space="preserve">recorded </w:t>
      </w:r>
      <w:r w:rsidR="001A33EF" w:rsidRPr="00EC1DF5">
        <w:rPr>
          <w:color w:val="auto"/>
        </w:rPr>
        <w:t xml:space="preserve">as </w:t>
      </w:r>
      <w:r w:rsidRPr="00EC1DF5">
        <w:rPr>
          <w:color w:val="auto"/>
        </w:rPr>
        <w:t xml:space="preserve">negative, firms with no stakeholder engagement </w:t>
      </w:r>
      <w:proofErr w:type="gramStart"/>
      <w:r w:rsidR="00D80849" w:rsidRPr="00EC1DF5">
        <w:rPr>
          <w:color w:val="auto"/>
        </w:rPr>
        <w:t>actually</w:t>
      </w:r>
      <w:r w:rsidRPr="00EC1DF5">
        <w:rPr>
          <w:color w:val="auto"/>
        </w:rPr>
        <w:t xml:space="preserve"> recorded</w:t>
      </w:r>
      <w:proofErr w:type="gramEnd"/>
      <w:r w:rsidRPr="00EC1DF5">
        <w:rPr>
          <w:color w:val="auto"/>
        </w:rPr>
        <w:t xml:space="preserve"> a positive </w:t>
      </w:r>
      <w:r w:rsidR="00CA133E" w:rsidRPr="00EC1DF5">
        <w:rPr>
          <w:color w:val="auto"/>
        </w:rPr>
        <w:t xml:space="preserve">and significant </w:t>
      </w:r>
      <w:r w:rsidRPr="00EC1DF5">
        <w:rPr>
          <w:color w:val="auto"/>
        </w:rPr>
        <w:t xml:space="preserve">relationship. </w:t>
      </w:r>
      <w:r w:rsidR="0071734E" w:rsidRPr="00EC1DF5">
        <w:rPr>
          <w:color w:val="auto"/>
        </w:rPr>
        <w:t>We suggest</w:t>
      </w:r>
      <w:r w:rsidR="00CA133E" w:rsidRPr="00EC1DF5">
        <w:rPr>
          <w:color w:val="auto"/>
        </w:rPr>
        <w:t xml:space="preserve"> that</w:t>
      </w:r>
      <w:r w:rsidRPr="00EC1DF5">
        <w:rPr>
          <w:color w:val="auto"/>
        </w:rPr>
        <w:t xml:space="preserve"> stakeholders would rather </w:t>
      </w:r>
      <w:r w:rsidR="00CA133E" w:rsidRPr="00EC1DF5">
        <w:rPr>
          <w:color w:val="auto"/>
        </w:rPr>
        <w:t>favour</w:t>
      </w:r>
      <w:r w:rsidRPr="00EC1DF5">
        <w:rPr>
          <w:color w:val="auto"/>
        </w:rPr>
        <w:t xml:space="preserve"> </w:t>
      </w:r>
      <w:r w:rsidR="00CA133E" w:rsidRPr="00EC1DF5">
        <w:rPr>
          <w:color w:val="auto"/>
        </w:rPr>
        <w:t>no engagement than to be occasionally</w:t>
      </w:r>
      <w:r w:rsidR="0071734E" w:rsidRPr="00EC1DF5">
        <w:rPr>
          <w:color w:val="auto"/>
        </w:rPr>
        <w:t xml:space="preserve"> involved when it is suitable for the companies</w:t>
      </w:r>
      <w:r w:rsidR="00CA133E" w:rsidRPr="00EC1DF5">
        <w:rPr>
          <w:color w:val="auto"/>
        </w:rPr>
        <w:t>. In fact, some school</w:t>
      </w:r>
      <w:r w:rsidR="00D80849" w:rsidRPr="00EC1DF5">
        <w:rPr>
          <w:color w:val="auto"/>
        </w:rPr>
        <w:t>s</w:t>
      </w:r>
      <w:r w:rsidR="00CA133E" w:rsidRPr="00EC1DF5">
        <w:rPr>
          <w:color w:val="auto"/>
        </w:rPr>
        <w:t xml:space="preserve"> of thought </w:t>
      </w:r>
      <w:r w:rsidR="00921748" w:rsidRPr="00EC1DF5">
        <w:rPr>
          <w:color w:val="auto"/>
        </w:rPr>
        <w:t>believe</w:t>
      </w:r>
      <w:r w:rsidR="00CA133E" w:rsidRPr="00EC1DF5">
        <w:rPr>
          <w:color w:val="auto"/>
        </w:rPr>
        <w:t xml:space="preserve"> that low engagement</w:t>
      </w:r>
      <w:r w:rsidR="0071734E" w:rsidRPr="00EC1DF5">
        <w:rPr>
          <w:color w:val="auto"/>
        </w:rPr>
        <w:t xml:space="preserve"> could be</w:t>
      </w:r>
      <w:r w:rsidR="00CA133E" w:rsidRPr="00EC1DF5">
        <w:rPr>
          <w:color w:val="auto"/>
        </w:rPr>
        <w:t xml:space="preserve"> </w:t>
      </w:r>
      <w:r w:rsidR="001A33EF" w:rsidRPr="00EC1DF5">
        <w:rPr>
          <w:color w:val="auto"/>
        </w:rPr>
        <w:t xml:space="preserve">a </w:t>
      </w:r>
      <w:r w:rsidR="00CA133E" w:rsidRPr="00EC1DF5">
        <w:rPr>
          <w:color w:val="auto"/>
        </w:rPr>
        <w:t xml:space="preserve">mere </w:t>
      </w:r>
      <w:r w:rsidR="0071734E" w:rsidRPr="00EC1DF5">
        <w:rPr>
          <w:color w:val="auto"/>
        </w:rPr>
        <w:t xml:space="preserve">corporate </w:t>
      </w:r>
      <w:r w:rsidR="00CA133E" w:rsidRPr="00EC1DF5">
        <w:rPr>
          <w:color w:val="auto"/>
        </w:rPr>
        <w:t>political move</w:t>
      </w:r>
      <w:r w:rsidR="0071734E" w:rsidRPr="00EC1DF5">
        <w:rPr>
          <w:color w:val="auto"/>
        </w:rPr>
        <w:t xml:space="preserve"> </w:t>
      </w:r>
      <w:r w:rsidRPr="00EC1DF5">
        <w:rPr>
          <w:color w:val="auto"/>
        </w:rPr>
        <w:t xml:space="preserve">(Dawkins, 2015). </w:t>
      </w:r>
      <w:r w:rsidR="00BE5DA7" w:rsidRPr="00EC1DF5">
        <w:rPr>
          <w:color w:val="auto"/>
        </w:rPr>
        <w:t xml:space="preserve">Thus, to </w:t>
      </w:r>
      <w:r w:rsidR="0071734E" w:rsidRPr="00EC1DF5">
        <w:rPr>
          <w:color w:val="auto"/>
        </w:rPr>
        <w:t>boost</w:t>
      </w:r>
      <w:r w:rsidR="00BE5DA7" w:rsidRPr="00EC1DF5">
        <w:rPr>
          <w:color w:val="auto"/>
        </w:rPr>
        <w:t xml:space="preserve"> societal legitimacy and enhance corporate performance, we advocate that companies make </w:t>
      </w:r>
      <w:r w:rsidR="001A33EF" w:rsidRPr="00EC1DF5">
        <w:rPr>
          <w:color w:val="auto"/>
        </w:rPr>
        <w:t xml:space="preserve">a </w:t>
      </w:r>
      <w:r w:rsidRPr="00EC1DF5">
        <w:rPr>
          <w:color w:val="auto"/>
        </w:rPr>
        <w:t xml:space="preserve">deliberate attempt </w:t>
      </w:r>
      <w:r w:rsidR="001A33EF" w:rsidRPr="00EC1DF5">
        <w:rPr>
          <w:color w:val="auto"/>
        </w:rPr>
        <w:t>to collaborate</w:t>
      </w:r>
      <w:r w:rsidRPr="00EC1DF5">
        <w:rPr>
          <w:color w:val="auto"/>
        </w:rPr>
        <w:t xml:space="preserve"> and engag</w:t>
      </w:r>
      <w:r w:rsidR="001A33EF" w:rsidRPr="00EC1DF5">
        <w:rPr>
          <w:color w:val="auto"/>
        </w:rPr>
        <w:t>e</w:t>
      </w:r>
      <w:r w:rsidRPr="00EC1DF5">
        <w:rPr>
          <w:color w:val="auto"/>
        </w:rPr>
        <w:t xml:space="preserve"> with their</w:t>
      </w:r>
      <w:r w:rsidR="00BE5DA7" w:rsidRPr="00EC1DF5">
        <w:rPr>
          <w:color w:val="auto"/>
        </w:rPr>
        <w:t xml:space="preserve"> diverse</w:t>
      </w:r>
      <w:r w:rsidRPr="00EC1DF5">
        <w:rPr>
          <w:color w:val="auto"/>
        </w:rPr>
        <w:t xml:space="preserve"> stakeholder groups</w:t>
      </w:r>
      <w:r w:rsidR="00BE5DA7" w:rsidRPr="00EC1DF5">
        <w:rPr>
          <w:color w:val="auto"/>
        </w:rPr>
        <w:t xml:space="preserve">. By </w:t>
      </w:r>
      <w:r w:rsidR="00F46A98" w:rsidRPr="00EC1DF5">
        <w:rPr>
          <w:color w:val="auto"/>
        </w:rPr>
        <w:t>incorporating that into their core organisational values,</w:t>
      </w:r>
      <w:r w:rsidR="00BE5DA7" w:rsidRPr="00EC1DF5">
        <w:rPr>
          <w:color w:val="auto"/>
        </w:rPr>
        <w:t xml:space="preserve"> </w:t>
      </w:r>
      <w:r w:rsidR="00F46A98" w:rsidRPr="00EC1DF5">
        <w:rPr>
          <w:color w:val="auto"/>
        </w:rPr>
        <w:t>firms could build commitment and trusts with stakeholders (</w:t>
      </w:r>
      <w:proofErr w:type="spellStart"/>
      <w:r w:rsidR="00F46A98" w:rsidRPr="00EC1DF5">
        <w:rPr>
          <w:color w:val="auto"/>
        </w:rPr>
        <w:t>Seow</w:t>
      </w:r>
      <w:proofErr w:type="spellEnd"/>
      <w:r w:rsidR="00F46A98" w:rsidRPr="00EC1DF5">
        <w:rPr>
          <w:color w:val="auto"/>
        </w:rPr>
        <w:t xml:space="preserve"> </w:t>
      </w:r>
      <w:r w:rsidR="00F46A98" w:rsidRPr="00EC1DF5">
        <w:rPr>
          <w:i/>
          <w:color w:val="auto"/>
        </w:rPr>
        <w:t>et al</w:t>
      </w:r>
      <w:r w:rsidR="00F46A98" w:rsidRPr="00EC1DF5">
        <w:rPr>
          <w:color w:val="auto"/>
        </w:rPr>
        <w:t>.</w:t>
      </w:r>
      <w:r w:rsidR="001A33EF" w:rsidRPr="00EC1DF5">
        <w:rPr>
          <w:color w:val="auto"/>
        </w:rPr>
        <w:t>,</w:t>
      </w:r>
      <w:r w:rsidR="00F46A98" w:rsidRPr="00EC1DF5">
        <w:rPr>
          <w:color w:val="auto"/>
        </w:rPr>
        <w:t xml:space="preserve"> 2006).</w:t>
      </w:r>
    </w:p>
    <w:p w14:paraId="2BF56D0E" w14:textId="01657A79" w:rsidR="00656B6D" w:rsidRPr="00EC1DF5" w:rsidRDefault="00656B6D" w:rsidP="00A77CCC">
      <w:pPr>
        <w:spacing w:line="480" w:lineRule="auto"/>
        <w:rPr>
          <w:color w:val="auto"/>
        </w:rPr>
      </w:pPr>
    </w:p>
    <w:p w14:paraId="2C3D3ED4" w14:textId="407AF24E" w:rsidR="00A25BE1" w:rsidRPr="00EC1DF5" w:rsidRDefault="00EF1935" w:rsidP="00A77CCC">
      <w:pPr>
        <w:pStyle w:val="Heading1"/>
        <w:numPr>
          <w:ilvl w:val="0"/>
          <w:numId w:val="9"/>
        </w:numPr>
        <w:spacing w:line="480" w:lineRule="auto"/>
        <w:rPr>
          <w:rFonts w:ascii="Times New Roman" w:hAnsi="Times New Roman" w:cs="Times New Roman"/>
          <w:b/>
          <w:color w:val="auto"/>
          <w:sz w:val="24"/>
          <w:szCs w:val="24"/>
        </w:rPr>
      </w:pPr>
      <w:r w:rsidRPr="00EC1DF5">
        <w:rPr>
          <w:rFonts w:ascii="Times New Roman" w:hAnsi="Times New Roman" w:cs="Times New Roman"/>
          <w:b/>
          <w:color w:val="auto"/>
          <w:sz w:val="24"/>
          <w:szCs w:val="24"/>
        </w:rPr>
        <w:t xml:space="preserve">Conclusion, Limitations </w:t>
      </w:r>
      <w:r w:rsidR="00F961CE" w:rsidRPr="00EC1DF5">
        <w:rPr>
          <w:rFonts w:ascii="Times New Roman" w:hAnsi="Times New Roman" w:cs="Times New Roman"/>
          <w:b/>
          <w:color w:val="auto"/>
          <w:sz w:val="24"/>
          <w:szCs w:val="24"/>
        </w:rPr>
        <w:t>a</w:t>
      </w:r>
      <w:r w:rsidRPr="00EC1DF5">
        <w:rPr>
          <w:rFonts w:ascii="Times New Roman" w:hAnsi="Times New Roman" w:cs="Times New Roman"/>
          <w:b/>
          <w:color w:val="auto"/>
          <w:sz w:val="24"/>
          <w:szCs w:val="24"/>
        </w:rPr>
        <w:t>nd Future Research</w:t>
      </w:r>
    </w:p>
    <w:p w14:paraId="1F855688" w14:textId="0A604B9D" w:rsidR="00CA4E3D" w:rsidRPr="00EC1DF5" w:rsidRDefault="00A25BE1" w:rsidP="00A77CCC">
      <w:pPr>
        <w:spacing w:line="480" w:lineRule="auto"/>
        <w:jc w:val="both"/>
        <w:rPr>
          <w:color w:val="auto"/>
        </w:rPr>
      </w:pPr>
      <w:r w:rsidRPr="00EC1DF5">
        <w:rPr>
          <w:color w:val="auto"/>
        </w:rPr>
        <w:t>There have been some studies on the impact of CG on corporate sustainability, yet in most instances the</w:t>
      </w:r>
      <w:r w:rsidR="001A33EF" w:rsidRPr="00EC1DF5">
        <w:rPr>
          <w:color w:val="auto"/>
        </w:rPr>
        <w:t>y</w:t>
      </w:r>
      <w:r w:rsidRPr="00EC1DF5">
        <w:rPr>
          <w:color w:val="auto"/>
        </w:rPr>
        <w:t xml:space="preserve"> are limited to </w:t>
      </w:r>
      <w:r w:rsidR="001A33EF" w:rsidRPr="00EC1DF5">
        <w:rPr>
          <w:color w:val="auto"/>
        </w:rPr>
        <w:t xml:space="preserve">a particular </w:t>
      </w:r>
      <w:r w:rsidRPr="00EC1DF5">
        <w:rPr>
          <w:color w:val="auto"/>
        </w:rPr>
        <w:t xml:space="preserve">CG characteristic and its effect on one dimension of corporate sustainability (Russo and Harrison, 2005; Cordeiro and Sarkis, 2008; Eccles </w:t>
      </w:r>
      <w:r w:rsidRPr="00EC1DF5">
        <w:rPr>
          <w:i/>
          <w:color w:val="auto"/>
        </w:rPr>
        <w:t>et al</w:t>
      </w:r>
      <w:r w:rsidRPr="00EC1DF5">
        <w:rPr>
          <w:color w:val="auto"/>
        </w:rPr>
        <w:t>., 2011)</w:t>
      </w:r>
      <w:r w:rsidR="00F46A98" w:rsidRPr="00EC1DF5">
        <w:rPr>
          <w:color w:val="auto"/>
        </w:rPr>
        <w:t xml:space="preserve">. </w:t>
      </w:r>
      <w:r w:rsidR="001A33EF" w:rsidRPr="00EC1DF5">
        <w:rPr>
          <w:color w:val="auto"/>
        </w:rPr>
        <w:t>The v</w:t>
      </w:r>
      <w:r w:rsidR="00F46A98" w:rsidRPr="00EC1DF5">
        <w:rPr>
          <w:color w:val="auto"/>
        </w:rPr>
        <w:t>ast</w:t>
      </w:r>
      <w:r w:rsidRPr="00EC1DF5">
        <w:rPr>
          <w:color w:val="auto"/>
        </w:rPr>
        <w:t xml:space="preserve"> majority focus on CG characteristics and corporate financial performance </w:t>
      </w:r>
      <w:r w:rsidRPr="00EC1DF5">
        <w:rPr>
          <w:color w:val="auto"/>
        </w:rPr>
        <w:lastRenderedPageBreak/>
        <w:t xml:space="preserve">(Kang and </w:t>
      </w:r>
      <w:proofErr w:type="spellStart"/>
      <w:r w:rsidRPr="00EC1DF5">
        <w:rPr>
          <w:color w:val="auto"/>
        </w:rPr>
        <w:t>Shivdasani</w:t>
      </w:r>
      <w:proofErr w:type="spellEnd"/>
      <w:r w:rsidRPr="00EC1DF5">
        <w:rPr>
          <w:color w:val="auto"/>
        </w:rPr>
        <w:t xml:space="preserve">, 1995; Carter </w:t>
      </w:r>
      <w:r w:rsidRPr="00EC1DF5">
        <w:rPr>
          <w:i/>
          <w:color w:val="auto"/>
        </w:rPr>
        <w:t>et al</w:t>
      </w:r>
      <w:r w:rsidRPr="00EC1DF5">
        <w:rPr>
          <w:color w:val="auto"/>
        </w:rPr>
        <w:t xml:space="preserve">., 2003; </w:t>
      </w:r>
      <w:proofErr w:type="spellStart"/>
      <w:r w:rsidRPr="00EC1DF5">
        <w:rPr>
          <w:color w:val="auto"/>
        </w:rPr>
        <w:t>Zagorchev</w:t>
      </w:r>
      <w:proofErr w:type="spellEnd"/>
      <w:r w:rsidRPr="00EC1DF5">
        <w:rPr>
          <w:color w:val="auto"/>
        </w:rPr>
        <w:t xml:space="preserve"> and Gao, 2015) or environmental disclosure (Al-</w:t>
      </w:r>
      <w:proofErr w:type="spellStart"/>
      <w:r w:rsidRPr="00EC1DF5">
        <w:rPr>
          <w:color w:val="auto"/>
        </w:rPr>
        <w:t>Arussi</w:t>
      </w:r>
      <w:proofErr w:type="spellEnd"/>
      <w:r w:rsidRPr="00EC1DF5">
        <w:rPr>
          <w:color w:val="auto"/>
        </w:rPr>
        <w:t xml:space="preserve"> </w:t>
      </w:r>
      <w:r w:rsidRPr="00EC1DF5">
        <w:rPr>
          <w:i/>
          <w:color w:val="auto"/>
        </w:rPr>
        <w:t>et al</w:t>
      </w:r>
      <w:r w:rsidRPr="00EC1DF5">
        <w:rPr>
          <w:color w:val="auto"/>
        </w:rPr>
        <w:t>., 2009)</w:t>
      </w:r>
      <w:r w:rsidR="001A33EF" w:rsidRPr="00EC1DF5">
        <w:rPr>
          <w:color w:val="auto"/>
        </w:rPr>
        <w:t>,</w:t>
      </w:r>
      <w:r w:rsidRPr="00EC1DF5">
        <w:rPr>
          <w:color w:val="auto"/>
        </w:rPr>
        <w:t xml:space="preserve"> </w:t>
      </w:r>
      <w:r w:rsidR="00F46A98" w:rsidRPr="00EC1DF5">
        <w:rPr>
          <w:color w:val="auto"/>
        </w:rPr>
        <w:t>with</w:t>
      </w:r>
      <w:r w:rsidRPr="00EC1DF5">
        <w:rPr>
          <w:color w:val="auto"/>
        </w:rPr>
        <w:t xml:space="preserve"> less attention </w:t>
      </w:r>
      <w:r w:rsidR="001A33EF" w:rsidRPr="00EC1DF5">
        <w:rPr>
          <w:color w:val="auto"/>
        </w:rPr>
        <w:t xml:space="preserve">paid to the </w:t>
      </w:r>
      <w:r w:rsidRPr="00EC1DF5">
        <w:rPr>
          <w:color w:val="auto"/>
        </w:rPr>
        <w:t xml:space="preserve">social aspect of sustainability (Lim </w:t>
      </w:r>
      <w:r w:rsidRPr="00EC1DF5">
        <w:rPr>
          <w:i/>
          <w:color w:val="auto"/>
        </w:rPr>
        <w:t>et al</w:t>
      </w:r>
      <w:r w:rsidRPr="00EC1DF5">
        <w:rPr>
          <w:color w:val="auto"/>
        </w:rPr>
        <w:t xml:space="preserve">., 2007). The focus of </w:t>
      </w:r>
      <w:r w:rsidR="00F46A98" w:rsidRPr="00EC1DF5">
        <w:rPr>
          <w:color w:val="auto"/>
        </w:rPr>
        <w:t>extant</w:t>
      </w:r>
      <w:r w:rsidRPr="00EC1DF5">
        <w:rPr>
          <w:color w:val="auto"/>
        </w:rPr>
        <w:t xml:space="preserve"> studies on CG characteristics and one dimension of sustainability has also resulted in studies </w:t>
      </w:r>
      <w:r w:rsidR="001A33EF" w:rsidRPr="00EC1DF5">
        <w:rPr>
          <w:color w:val="auto"/>
        </w:rPr>
        <w:t xml:space="preserve">being </w:t>
      </w:r>
      <w:r w:rsidRPr="00EC1DF5">
        <w:rPr>
          <w:color w:val="auto"/>
        </w:rPr>
        <w:t xml:space="preserve">mostly underpinned by </w:t>
      </w:r>
      <w:r w:rsidR="001A33EF" w:rsidRPr="00EC1DF5">
        <w:rPr>
          <w:color w:val="auto"/>
        </w:rPr>
        <w:t xml:space="preserve">a </w:t>
      </w:r>
      <w:r w:rsidRPr="00EC1DF5">
        <w:rPr>
          <w:color w:val="auto"/>
        </w:rPr>
        <w:t xml:space="preserve">single theory. Deegan (2002) noted that CG and sustainability studies have applied socio-political and economic theories to explain any existing link. However, the issue of how corporations are governed and how social business </w:t>
      </w:r>
      <w:r w:rsidR="008B671A" w:rsidRPr="00EC1DF5">
        <w:rPr>
          <w:color w:val="auto"/>
        </w:rPr>
        <w:t>behaviours</w:t>
      </w:r>
      <w:r w:rsidRPr="00EC1DF5">
        <w:rPr>
          <w:color w:val="auto"/>
        </w:rPr>
        <w:t xml:space="preserve"> are effectively influenced by the various governance structures is a complex </w:t>
      </w:r>
      <w:r w:rsidR="001A33EF" w:rsidRPr="00EC1DF5">
        <w:rPr>
          <w:color w:val="auto"/>
        </w:rPr>
        <w:t xml:space="preserve">one </w:t>
      </w:r>
      <w:r w:rsidRPr="00EC1DF5">
        <w:rPr>
          <w:color w:val="auto"/>
        </w:rPr>
        <w:t xml:space="preserve">(Wall </w:t>
      </w:r>
      <w:r w:rsidRPr="00EC1DF5">
        <w:rPr>
          <w:i/>
          <w:color w:val="auto"/>
        </w:rPr>
        <w:t>et al</w:t>
      </w:r>
      <w:r w:rsidRPr="00EC1DF5">
        <w:rPr>
          <w:color w:val="auto"/>
        </w:rPr>
        <w:t>.</w:t>
      </w:r>
      <w:r w:rsidR="0076575D" w:rsidRPr="00EC1DF5">
        <w:rPr>
          <w:color w:val="auto"/>
        </w:rPr>
        <w:t>,</w:t>
      </w:r>
      <w:r w:rsidRPr="00EC1DF5">
        <w:rPr>
          <w:color w:val="auto"/>
        </w:rPr>
        <w:t xml:space="preserve"> 2012). </w:t>
      </w:r>
    </w:p>
    <w:p w14:paraId="44A02694" w14:textId="50F2B6EC" w:rsidR="00A25BE1" w:rsidRPr="00EC1DF5" w:rsidRDefault="00A25BE1" w:rsidP="00CA4E3D">
      <w:pPr>
        <w:spacing w:line="480" w:lineRule="auto"/>
        <w:ind w:firstLine="720"/>
        <w:jc w:val="both"/>
        <w:rPr>
          <w:color w:val="auto"/>
        </w:rPr>
      </w:pPr>
      <w:r w:rsidRPr="00EC1DF5">
        <w:rPr>
          <w:color w:val="auto"/>
        </w:rPr>
        <w:t xml:space="preserve">Moreover, corporate sustainability issues contain elements of both accountability and public accountability (see Coy </w:t>
      </w:r>
      <w:r w:rsidRPr="00EC1DF5">
        <w:rPr>
          <w:i/>
          <w:color w:val="auto"/>
        </w:rPr>
        <w:t>et al</w:t>
      </w:r>
      <w:r w:rsidRPr="00EC1DF5">
        <w:rPr>
          <w:color w:val="auto"/>
        </w:rPr>
        <w:t>.</w:t>
      </w:r>
      <w:r w:rsidR="0076575D" w:rsidRPr="00EC1DF5">
        <w:rPr>
          <w:color w:val="auto"/>
        </w:rPr>
        <w:t>,</w:t>
      </w:r>
      <w:r w:rsidRPr="00EC1DF5">
        <w:rPr>
          <w:color w:val="auto"/>
        </w:rPr>
        <w:t xml:space="preserve"> 2014). As a result of the public accountability element, CG measures relating to sustainability must take into consideration the multiple expectations of various stakeholders and implement policies to align the corporation’s activities with these expectations (Donaldson and Preston, 1995). This implies that inward</w:t>
      </w:r>
      <w:r w:rsidR="001A33EF" w:rsidRPr="00EC1DF5">
        <w:rPr>
          <w:color w:val="auto"/>
        </w:rPr>
        <w:t>-</w:t>
      </w:r>
      <w:r w:rsidRPr="00EC1DF5">
        <w:rPr>
          <w:color w:val="auto"/>
        </w:rPr>
        <w:t xml:space="preserve">looking economic theories such as the dominant agency theory will fall short in explaining the link between CG-Sustainability. Therefore, </w:t>
      </w:r>
      <w:r w:rsidR="001A33EF" w:rsidRPr="00EC1DF5">
        <w:rPr>
          <w:color w:val="auto"/>
        </w:rPr>
        <w:t xml:space="preserve">a </w:t>
      </w:r>
      <w:r w:rsidRPr="00EC1DF5">
        <w:rPr>
          <w:color w:val="auto"/>
        </w:rPr>
        <w:t>multi-theoretical foundation is suggested</w:t>
      </w:r>
      <w:r w:rsidR="00F46A98" w:rsidRPr="00EC1DF5">
        <w:rPr>
          <w:color w:val="auto"/>
        </w:rPr>
        <w:t>, in this case, the combination of agency and stakeholder theories</w:t>
      </w:r>
      <w:r w:rsidRPr="00EC1DF5">
        <w:rPr>
          <w:color w:val="auto"/>
        </w:rPr>
        <w:t xml:space="preserve">. </w:t>
      </w:r>
    </w:p>
    <w:p w14:paraId="65734A2D" w14:textId="5D6E0CF7" w:rsidR="00C032EB" w:rsidRPr="00EC1DF5" w:rsidRDefault="00F46A98" w:rsidP="00CA4E3D">
      <w:pPr>
        <w:spacing w:line="480" w:lineRule="auto"/>
        <w:ind w:firstLine="720"/>
        <w:jc w:val="both"/>
        <w:rPr>
          <w:color w:val="auto"/>
        </w:rPr>
      </w:pPr>
      <w:r w:rsidRPr="00EC1DF5">
        <w:rPr>
          <w:color w:val="auto"/>
        </w:rPr>
        <w:t>Exploring the impact of the</w:t>
      </w:r>
      <w:r w:rsidR="008B671A" w:rsidRPr="00EC1DF5">
        <w:rPr>
          <w:color w:val="auto"/>
        </w:rPr>
        <w:t xml:space="preserve"> five main </w:t>
      </w:r>
      <w:r w:rsidR="00E35A8D" w:rsidRPr="00EC1DF5">
        <w:rPr>
          <w:color w:val="auto"/>
        </w:rPr>
        <w:t>pillars</w:t>
      </w:r>
      <w:r w:rsidR="008B671A" w:rsidRPr="00EC1DF5">
        <w:rPr>
          <w:color w:val="auto"/>
        </w:rPr>
        <w:t xml:space="preserve"> of corporate governance</w:t>
      </w:r>
      <w:r w:rsidRPr="00EC1DF5">
        <w:rPr>
          <w:color w:val="auto"/>
        </w:rPr>
        <w:t xml:space="preserve"> on sustainability dimensions, we collected data from large firms in the USA from 2002 to 2017</w:t>
      </w:r>
      <w:r w:rsidR="00453380" w:rsidRPr="00EC1DF5">
        <w:rPr>
          <w:color w:val="auto"/>
        </w:rPr>
        <w:t xml:space="preserve"> and developed five main hypotheses. </w:t>
      </w:r>
      <w:r w:rsidRPr="00EC1DF5">
        <w:rPr>
          <w:color w:val="auto"/>
        </w:rPr>
        <w:t xml:space="preserve"> Among the CG </w:t>
      </w:r>
      <w:r w:rsidR="00E35A8D" w:rsidRPr="00EC1DF5">
        <w:rPr>
          <w:color w:val="auto"/>
        </w:rPr>
        <w:t>pillars</w:t>
      </w:r>
      <w:r w:rsidRPr="00EC1DF5">
        <w:rPr>
          <w:color w:val="auto"/>
        </w:rPr>
        <w:t xml:space="preserve"> utilised in our analysis, board function specifically </w:t>
      </w:r>
      <w:r w:rsidR="00205483" w:rsidRPr="00EC1DF5">
        <w:rPr>
          <w:color w:val="auto"/>
        </w:rPr>
        <w:t xml:space="preserve">was discovered </w:t>
      </w:r>
      <w:r w:rsidRPr="00EC1DF5">
        <w:rPr>
          <w:color w:val="auto"/>
        </w:rPr>
        <w:t xml:space="preserve">to have </w:t>
      </w:r>
      <w:r w:rsidR="001A33EF" w:rsidRPr="00EC1DF5">
        <w:rPr>
          <w:color w:val="auto"/>
        </w:rPr>
        <w:t xml:space="preserve">a </w:t>
      </w:r>
      <w:r w:rsidR="00205483" w:rsidRPr="00EC1DF5">
        <w:rPr>
          <w:color w:val="auto"/>
        </w:rPr>
        <w:t xml:space="preserve">pertinent </w:t>
      </w:r>
      <w:r w:rsidR="008704BF" w:rsidRPr="00EC1DF5">
        <w:rPr>
          <w:color w:val="auto"/>
        </w:rPr>
        <w:t xml:space="preserve">effect across </w:t>
      </w:r>
      <w:r w:rsidR="00205483" w:rsidRPr="00EC1DF5">
        <w:rPr>
          <w:color w:val="auto"/>
        </w:rPr>
        <w:t>all three</w:t>
      </w:r>
      <w:r w:rsidR="008704BF" w:rsidRPr="00EC1DF5">
        <w:rPr>
          <w:color w:val="auto"/>
        </w:rPr>
        <w:t xml:space="preserve"> </w:t>
      </w:r>
      <w:r w:rsidR="00205483" w:rsidRPr="00EC1DF5">
        <w:rPr>
          <w:color w:val="auto"/>
        </w:rPr>
        <w:t>dimensions of business sustainability</w:t>
      </w:r>
      <w:r w:rsidR="00453380" w:rsidRPr="00EC1DF5">
        <w:rPr>
          <w:color w:val="auto"/>
        </w:rPr>
        <w:t xml:space="preserve">, thus, we accept all sub-hypotheses of H1. </w:t>
      </w:r>
      <w:r w:rsidR="00205483" w:rsidRPr="00EC1DF5">
        <w:rPr>
          <w:color w:val="auto"/>
        </w:rPr>
        <w:t xml:space="preserve">The results imply that priority should be given to the different board functions </w:t>
      </w:r>
      <w:r w:rsidR="0071734E" w:rsidRPr="00EC1DF5">
        <w:rPr>
          <w:color w:val="auto"/>
        </w:rPr>
        <w:t xml:space="preserve">such as </w:t>
      </w:r>
      <w:r w:rsidR="00205483" w:rsidRPr="00EC1DF5">
        <w:rPr>
          <w:color w:val="auto"/>
        </w:rPr>
        <w:t xml:space="preserve">board </w:t>
      </w:r>
      <w:r w:rsidR="008704BF" w:rsidRPr="00EC1DF5">
        <w:rPr>
          <w:color w:val="auto"/>
        </w:rPr>
        <w:t xml:space="preserve">meetings, independence and </w:t>
      </w:r>
      <w:r w:rsidR="00205483" w:rsidRPr="00EC1DF5">
        <w:rPr>
          <w:color w:val="auto"/>
        </w:rPr>
        <w:t xml:space="preserve">committees </w:t>
      </w:r>
      <w:r w:rsidR="008704BF" w:rsidRPr="00EC1DF5">
        <w:rPr>
          <w:color w:val="auto"/>
        </w:rPr>
        <w:t>which underscore</w:t>
      </w:r>
      <w:r w:rsidR="00205483" w:rsidRPr="00EC1DF5">
        <w:rPr>
          <w:color w:val="auto"/>
        </w:rPr>
        <w:t xml:space="preserve"> decision making. Furthermore, </w:t>
      </w:r>
      <w:r w:rsidR="00C032EB" w:rsidRPr="00EC1DF5">
        <w:rPr>
          <w:color w:val="auto"/>
        </w:rPr>
        <w:t>we failed to accept all</w:t>
      </w:r>
      <w:r w:rsidR="006D579B" w:rsidRPr="00EC1DF5">
        <w:rPr>
          <w:color w:val="auto"/>
        </w:rPr>
        <w:t xml:space="preserve"> sub-</w:t>
      </w:r>
      <w:r w:rsidR="00C032EB" w:rsidRPr="00EC1DF5">
        <w:rPr>
          <w:color w:val="auto"/>
        </w:rPr>
        <w:t xml:space="preserve">hypotheses of </w:t>
      </w:r>
      <w:r w:rsidR="00205483" w:rsidRPr="00EC1DF5">
        <w:rPr>
          <w:color w:val="auto"/>
        </w:rPr>
        <w:t>board structure</w:t>
      </w:r>
      <w:r w:rsidR="00C032EB" w:rsidRPr="00EC1DF5">
        <w:rPr>
          <w:color w:val="auto"/>
        </w:rPr>
        <w:t xml:space="preserve">, </w:t>
      </w:r>
      <w:r w:rsidR="005D59E4" w:rsidRPr="00EC1DF5">
        <w:rPr>
          <w:color w:val="auto"/>
        </w:rPr>
        <w:t>compensation</w:t>
      </w:r>
      <w:r w:rsidR="00C032EB" w:rsidRPr="00EC1DF5">
        <w:rPr>
          <w:color w:val="auto"/>
        </w:rPr>
        <w:t xml:space="preserve">, shareholder rights and strategy. </w:t>
      </w:r>
      <w:r w:rsidR="006D579B" w:rsidRPr="00EC1DF5">
        <w:rPr>
          <w:color w:val="auto"/>
        </w:rPr>
        <w:t>With board structure for instance, we found no empirical evidence to support</w:t>
      </w:r>
      <w:r w:rsidR="00205483" w:rsidRPr="00EC1DF5">
        <w:rPr>
          <w:color w:val="auto"/>
        </w:rPr>
        <w:t xml:space="preserve"> </w:t>
      </w:r>
      <w:r w:rsidR="006D579B" w:rsidRPr="00EC1DF5">
        <w:rPr>
          <w:i/>
          <w:iCs/>
          <w:color w:val="auto"/>
        </w:rPr>
        <w:t>H2a</w:t>
      </w:r>
      <w:r w:rsidR="006D579B" w:rsidRPr="00EC1DF5">
        <w:rPr>
          <w:color w:val="auto"/>
        </w:rPr>
        <w:t xml:space="preserve"> and </w:t>
      </w:r>
      <w:r w:rsidR="006D579B" w:rsidRPr="00EC1DF5">
        <w:rPr>
          <w:i/>
          <w:iCs/>
          <w:color w:val="auto"/>
        </w:rPr>
        <w:t>H2c</w:t>
      </w:r>
      <w:r w:rsidR="006D579B" w:rsidRPr="00EC1DF5">
        <w:rPr>
          <w:color w:val="auto"/>
        </w:rPr>
        <w:t xml:space="preserve">, however, we found that </w:t>
      </w:r>
      <w:r w:rsidR="00A964F4" w:rsidRPr="00EC1DF5">
        <w:rPr>
          <w:color w:val="auto"/>
        </w:rPr>
        <w:lastRenderedPageBreak/>
        <w:t>with a well</w:t>
      </w:r>
      <w:r w:rsidR="00B516B0" w:rsidRPr="00EC1DF5">
        <w:rPr>
          <w:color w:val="auto"/>
        </w:rPr>
        <w:t>-</w:t>
      </w:r>
      <w:r w:rsidR="00A964F4" w:rsidRPr="00EC1DF5">
        <w:rPr>
          <w:color w:val="auto"/>
        </w:rPr>
        <w:t xml:space="preserve">developed structure in place, companies can enhance their social performance significantly. </w:t>
      </w:r>
    </w:p>
    <w:p w14:paraId="59F11B2C" w14:textId="77777777" w:rsidR="00C032EB" w:rsidRPr="00EC1DF5" w:rsidRDefault="00C032EB" w:rsidP="00C032EB">
      <w:pPr>
        <w:spacing w:line="480" w:lineRule="auto"/>
        <w:jc w:val="both"/>
        <w:rPr>
          <w:color w:val="auto"/>
        </w:rPr>
      </w:pPr>
    </w:p>
    <w:p w14:paraId="3C4A97E4" w14:textId="12F19BC2" w:rsidR="00CA4E3D" w:rsidRPr="00EC1DF5" w:rsidRDefault="005D59E4" w:rsidP="00C032EB">
      <w:pPr>
        <w:spacing w:line="480" w:lineRule="auto"/>
        <w:jc w:val="both"/>
        <w:rPr>
          <w:color w:val="auto"/>
        </w:rPr>
      </w:pPr>
      <w:r w:rsidRPr="00EC1DF5">
        <w:rPr>
          <w:color w:val="auto"/>
        </w:rPr>
        <w:t>The findings of the study also indicate that high stakeholder engagement</w:t>
      </w:r>
      <w:r w:rsidR="001A33EF" w:rsidRPr="00EC1DF5">
        <w:rPr>
          <w:color w:val="auto"/>
        </w:rPr>
        <w:t xml:space="preserve"> has a</w:t>
      </w:r>
      <w:r w:rsidRPr="00EC1DF5">
        <w:rPr>
          <w:color w:val="auto"/>
        </w:rPr>
        <w:t xml:space="preserve"> positive significant impact on business sustainability</w:t>
      </w:r>
      <w:r w:rsidR="00FB28FA" w:rsidRPr="00EC1DF5">
        <w:rPr>
          <w:color w:val="auto"/>
        </w:rPr>
        <w:t xml:space="preserve">. </w:t>
      </w:r>
      <w:r w:rsidR="00ED6AFA" w:rsidRPr="00EC1DF5">
        <w:rPr>
          <w:color w:val="auto"/>
        </w:rPr>
        <w:t>Our</w:t>
      </w:r>
      <w:r w:rsidR="00FB28FA" w:rsidRPr="00EC1DF5">
        <w:rPr>
          <w:color w:val="auto"/>
        </w:rPr>
        <w:t xml:space="preserve"> study was</w:t>
      </w:r>
      <w:r w:rsidR="001A33EF" w:rsidRPr="00EC1DF5">
        <w:rPr>
          <w:color w:val="auto"/>
        </w:rPr>
        <w:t>,</w:t>
      </w:r>
      <w:r w:rsidR="00FB28FA" w:rsidRPr="00EC1DF5">
        <w:rPr>
          <w:color w:val="auto"/>
        </w:rPr>
        <w:t xml:space="preserve"> however, limited to selected large listed firms in the USA, hence the results are not representati</w:t>
      </w:r>
      <w:r w:rsidR="001A33EF" w:rsidRPr="00EC1DF5">
        <w:rPr>
          <w:color w:val="auto"/>
        </w:rPr>
        <w:t>ve</w:t>
      </w:r>
      <w:r w:rsidR="00FB28FA" w:rsidRPr="00EC1DF5">
        <w:rPr>
          <w:color w:val="auto"/>
        </w:rPr>
        <w:t xml:space="preserve"> of all large firms and cannot be generalised. </w:t>
      </w:r>
    </w:p>
    <w:p w14:paraId="2D746374" w14:textId="2307125E" w:rsidR="008B671A" w:rsidRPr="00EC1DF5" w:rsidRDefault="00FB28FA" w:rsidP="00CA4E3D">
      <w:pPr>
        <w:spacing w:line="480" w:lineRule="auto"/>
        <w:ind w:firstLine="720"/>
        <w:jc w:val="both"/>
        <w:rPr>
          <w:color w:val="auto"/>
        </w:rPr>
      </w:pPr>
      <w:r w:rsidRPr="00EC1DF5">
        <w:rPr>
          <w:color w:val="auto"/>
        </w:rPr>
        <w:t>Notwithstanding</w:t>
      </w:r>
      <w:r w:rsidR="001A33EF" w:rsidRPr="00EC1DF5">
        <w:rPr>
          <w:color w:val="auto"/>
        </w:rPr>
        <w:t xml:space="preserve"> the above</w:t>
      </w:r>
      <w:r w:rsidRPr="00EC1DF5">
        <w:rPr>
          <w:color w:val="auto"/>
        </w:rPr>
        <w:t xml:space="preserve">, </w:t>
      </w:r>
      <w:r w:rsidR="008704BF" w:rsidRPr="00EC1DF5">
        <w:rPr>
          <w:color w:val="auto"/>
        </w:rPr>
        <w:t>the</w:t>
      </w:r>
      <w:r w:rsidRPr="00EC1DF5">
        <w:rPr>
          <w:color w:val="auto"/>
        </w:rPr>
        <w:t xml:space="preserve"> research complements the findings of </w:t>
      </w:r>
      <w:proofErr w:type="spellStart"/>
      <w:r w:rsidRPr="00EC1DF5">
        <w:rPr>
          <w:color w:val="auto"/>
        </w:rPr>
        <w:t>Seow</w:t>
      </w:r>
      <w:proofErr w:type="spellEnd"/>
      <w:r w:rsidRPr="00EC1DF5">
        <w:rPr>
          <w:color w:val="auto"/>
        </w:rPr>
        <w:t xml:space="preserve"> </w:t>
      </w:r>
      <w:r w:rsidRPr="00EC1DF5">
        <w:rPr>
          <w:i/>
          <w:color w:val="auto"/>
        </w:rPr>
        <w:t>et al</w:t>
      </w:r>
      <w:r w:rsidRPr="00EC1DF5">
        <w:rPr>
          <w:color w:val="auto"/>
        </w:rPr>
        <w:t xml:space="preserve">. (2006) and Ntim and Soobaroyen (2013) associated with corporate governance, </w:t>
      </w:r>
      <w:proofErr w:type="gramStart"/>
      <w:r w:rsidRPr="00EC1DF5">
        <w:rPr>
          <w:color w:val="auto"/>
        </w:rPr>
        <w:t>sustainability</w:t>
      </w:r>
      <w:proofErr w:type="gramEnd"/>
      <w:r w:rsidRPr="00EC1DF5">
        <w:rPr>
          <w:color w:val="auto"/>
        </w:rPr>
        <w:t xml:space="preserve"> and stakeholder engagement in different sectors. </w:t>
      </w:r>
      <w:r w:rsidR="00D9065D" w:rsidRPr="00EC1DF5">
        <w:rPr>
          <w:color w:val="auto"/>
        </w:rPr>
        <w:t>The</w:t>
      </w:r>
      <w:r w:rsidR="00ED6AFA" w:rsidRPr="00EC1DF5">
        <w:rPr>
          <w:color w:val="auto"/>
        </w:rPr>
        <w:t>se</w:t>
      </w:r>
      <w:r w:rsidR="00D9065D" w:rsidRPr="00EC1DF5">
        <w:rPr>
          <w:color w:val="auto"/>
        </w:rPr>
        <w:t xml:space="preserve"> </w:t>
      </w:r>
      <w:r w:rsidR="00ED6AFA" w:rsidRPr="00EC1DF5">
        <w:rPr>
          <w:color w:val="auto"/>
        </w:rPr>
        <w:t>results</w:t>
      </w:r>
      <w:r w:rsidR="00D9065D" w:rsidRPr="00EC1DF5">
        <w:rPr>
          <w:color w:val="auto"/>
        </w:rPr>
        <w:t xml:space="preserve"> will </w:t>
      </w:r>
      <w:r w:rsidR="008704BF" w:rsidRPr="00EC1DF5">
        <w:rPr>
          <w:color w:val="auto"/>
        </w:rPr>
        <w:t>aid</w:t>
      </w:r>
      <w:r w:rsidR="00D9065D" w:rsidRPr="00EC1DF5">
        <w:rPr>
          <w:color w:val="auto"/>
        </w:rPr>
        <w:t xml:space="preserve"> corporate institutions, board</w:t>
      </w:r>
      <w:r w:rsidR="001A33EF" w:rsidRPr="00EC1DF5">
        <w:rPr>
          <w:color w:val="auto"/>
        </w:rPr>
        <w:t>s</w:t>
      </w:r>
      <w:r w:rsidR="00D9065D" w:rsidRPr="00EC1DF5">
        <w:rPr>
          <w:color w:val="auto"/>
        </w:rPr>
        <w:t xml:space="preserve"> of directors and policy makers to understand the relevance of </w:t>
      </w:r>
      <w:r w:rsidR="00BA0890" w:rsidRPr="00EC1DF5">
        <w:rPr>
          <w:color w:val="auto"/>
        </w:rPr>
        <w:t xml:space="preserve">the </w:t>
      </w:r>
      <w:r w:rsidR="00E35A8D" w:rsidRPr="00EC1DF5">
        <w:rPr>
          <w:color w:val="auto"/>
        </w:rPr>
        <w:t>pillars</w:t>
      </w:r>
      <w:r w:rsidR="00BA0890" w:rsidRPr="00EC1DF5">
        <w:rPr>
          <w:color w:val="auto"/>
        </w:rPr>
        <w:t xml:space="preserve"> of corporate governance in the quest to uphold sustainability standards. The research will also help fuel the discussion o</w:t>
      </w:r>
      <w:r w:rsidR="001504AD" w:rsidRPr="00EC1DF5">
        <w:rPr>
          <w:color w:val="auto"/>
        </w:rPr>
        <w:t>n</w:t>
      </w:r>
      <w:r w:rsidR="00BA0890" w:rsidRPr="00EC1DF5">
        <w:rPr>
          <w:color w:val="auto"/>
        </w:rPr>
        <w:t xml:space="preserve"> </w:t>
      </w:r>
      <w:r w:rsidR="00ED6AFA" w:rsidRPr="00EC1DF5">
        <w:rPr>
          <w:color w:val="auto"/>
        </w:rPr>
        <w:t>strategic</w:t>
      </w:r>
      <w:r w:rsidR="008704BF" w:rsidRPr="00EC1DF5">
        <w:rPr>
          <w:color w:val="auto"/>
        </w:rPr>
        <w:t xml:space="preserve">, </w:t>
      </w:r>
      <w:proofErr w:type="gramStart"/>
      <w:r w:rsidR="008704BF" w:rsidRPr="00EC1DF5">
        <w:rPr>
          <w:color w:val="auto"/>
        </w:rPr>
        <w:t>proactive</w:t>
      </w:r>
      <w:proofErr w:type="gramEnd"/>
      <w:r w:rsidR="00ED6AFA" w:rsidRPr="00EC1DF5">
        <w:rPr>
          <w:color w:val="auto"/>
        </w:rPr>
        <w:t xml:space="preserve"> </w:t>
      </w:r>
      <w:r w:rsidR="008704BF" w:rsidRPr="00EC1DF5">
        <w:rPr>
          <w:color w:val="auto"/>
        </w:rPr>
        <w:t xml:space="preserve">and intensive </w:t>
      </w:r>
      <w:r w:rsidR="00BA0890" w:rsidRPr="00EC1DF5">
        <w:rPr>
          <w:color w:val="auto"/>
        </w:rPr>
        <w:t>stakeholder engagement activities</w:t>
      </w:r>
      <w:r w:rsidR="001504AD" w:rsidRPr="00EC1DF5">
        <w:rPr>
          <w:color w:val="auto"/>
        </w:rPr>
        <w:t xml:space="preserve"> for compan</w:t>
      </w:r>
      <w:r w:rsidR="008704BF" w:rsidRPr="00EC1DF5">
        <w:rPr>
          <w:color w:val="auto"/>
        </w:rPr>
        <w:t>y executives.</w:t>
      </w:r>
      <w:r w:rsidR="00BA0890" w:rsidRPr="00EC1DF5">
        <w:rPr>
          <w:color w:val="auto"/>
        </w:rPr>
        <w:t xml:space="preserve"> </w:t>
      </w:r>
    </w:p>
    <w:p w14:paraId="2D0FD89E" w14:textId="24070BEB" w:rsidR="001504AD" w:rsidRPr="00EC1DF5" w:rsidRDefault="001504AD" w:rsidP="00CA4E3D">
      <w:pPr>
        <w:spacing w:line="480" w:lineRule="auto"/>
        <w:ind w:firstLine="720"/>
        <w:jc w:val="both"/>
        <w:rPr>
          <w:color w:val="auto"/>
        </w:rPr>
      </w:pPr>
      <w:r w:rsidRPr="00EC1DF5">
        <w:rPr>
          <w:color w:val="auto"/>
        </w:rPr>
        <w:t>From a managerial perspective, the study helps to make informed decisions for the implementation of sustainable practice</w:t>
      </w:r>
      <w:r w:rsidR="008E2EA6" w:rsidRPr="00EC1DF5">
        <w:rPr>
          <w:color w:val="auto"/>
        </w:rPr>
        <w:t>s</w:t>
      </w:r>
      <w:r w:rsidRPr="00EC1DF5">
        <w:rPr>
          <w:color w:val="auto"/>
        </w:rPr>
        <w:t xml:space="preserve">. Our empirical work sheds light on the key corporate governance </w:t>
      </w:r>
      <w:r w:rsidR="00E35A8D" w:rsidRPr="00EC1DF5">
        <w:rPr>
          <w:color w:val="auto"/>
        </w:rPr>
        <w:t>pillars</w:t>
      </w:r>
      <w:r w:rsidRPr="00EC1DF5">
        <w:rPr>
          <w:color w:val="auto"/>
        </w:rPr>
        <w:t xml:space="preserve"> </w:t>
      </w:r>
      <w:r w:rsidR="008704BF" w:rsidRPr="00EC1DF5">
        <w:rPr>
          <w:color w:val="auto"/>
        </w:rPr>
        <w:t>directors</w:t>
      </w:r>
      <w:r w:rsidR="008E2EA6" w:rsidRPr="00EC1DF5">
        <w:rPr>
          <w:color w:val="auto"/>
        </w:rPr>
        <w:t xml:space="preserve"> </w:t>
      </w:r>
      <w:r w:rsidR="008704BF" w:rsidRPr="00EC1DF5">
        <w:rPr>
          <w:color w:val="auto"/>
        </w:rPr>
        <w:t>need to stress</w:t>
      </w:r>
      <w:r w:rsidR="008E2EA6" w:rsidRPr="00EC1DF5">
        <w:rPr>
          <w:color w:val="auto"/>
        </w:rPr>
        <w:t xml:space="preserve"> to ensure improved sustainability. The study also contributes to the on-going research </w:t>
      </w:r>
      <w:r w:rsidR="008704BF" w:rsidRPr="00EC1DF5">
        <w:rPr>
          <w:color w:val="auto"/>
        </w:rPr>
        <w:t xml:space="preserve">on </w:t>
      </w:r>
      <w:r w:rsidR="008E2EA6" w:rsidRPr="00EC1DF5">
        <w:rPr>
          <w:color w:val="auto"/>
        </w:rPr>
        <w:t xml:space="preserve">stakeholder engagement and sustainability performance. It is evident that there is a need for companies to not only engage with stakeholders but also to ensure that the engagement and interactions are consistent. </w:t>
      </w:r>
    </w:p>
    <w:p w14:paraId="0176169A" w14:textId="5EB1D8ED" w:rsidR="008B671A" w:rsidRPr="00EC1DF5" w:rsidRDefault="00154BDD" w:rsidP="00CA4E3D">
      <w:pPr>
        <w:spacing w:line="480" w:lineRule="auto"/>
        <w:ind w:firstLine="567"/>
        <w:jc w:val="both"/>
        <w:rPr>
          <w:color w:val="auto"/>
        </w:rPr>
      </w:pPr>
      <w:r w:rsidRPr="00EC1DF5">
        <w:rPr>
          <w:color w:val="auto"/>
        </w:rPr>
        <w:t>Future studies can use different research methods including surveys and</w:t>
      </w:r>
      <w:r w:rsidR="008704BF" w:rsidRPr="00EC1DF5">
        <w:rPr>
          <w:color w:val="auto"/>
        </w:rPr>
        <w:t xml:space="preserve"> interviews</w:t>
      </w:r>
      <w:r w:rsidRPr="00EC1DF5">
        <w:rPr>
          <w:color w:val="auto"/>
        </w:rPr>
        <w:t xml:space="preserve"> to provide an in-depth insight into the CG and sustainability relationship. </w:t>
      </w:r>
      <w:r w:rsidR="00B705F7" w:rsidRPr="00EC1DF5">
        <w:rPr>
          <w:color w:val="auto"/>
        </w:rPr>
        <w:t>These methods can capture other demographic characteristics of firms and directors</w:t>
      </w:r>
      <w:r w:rsidR="006C4AE9" w:rsidRPr="00EC1DF5">
        <w:rPr>
          <w:color w:val="auto"/>
        </w:rPr>
        <w:t xml:space="preserve"> useful for understanding the underlying decisions for implementing sustainability practices. Also, a comparative </w:t>
      </w:r>
      <w:r w:rsidR="006C4AE9" w:rsidRPr="00EC1DF5">
        <w:rPr>
          <w:color w:val="auto"/>
        </w:rPr>
        <w:lastRenderedPageBreak/>
        <w:t xml:space="preserve">investigation of business sustainability from different countries and </w:t>
      </w:r>
      <w:r w:rsidR="001A33EF" w:rsidRPr="00EC1DF5">
        <w:rPr>
          <w:color w:val="auto"/>
        </w:rPr>
        <w:t xml:space="preserve">a </w:t>
      </w:r>
      <w:r w:rsidR="006C4AE9" w:rsidRPr="00EC1DF5">
        <w:rPr>
          <w:color w:val="auto"/>
        </w:rPr>
        <w:t xml:space="preserve">sectoral analysis would shed light on the relevance of corporate governance </w:t>
      </w:r>
      <w:r w:rsidR="007726BB" w:rsidRPr="00EC1DF5">
        <w:rPr>
          <w:color w:val="auto"/>
        </w:rPr>
        <w:t>i</w:t>
      </w:r>
      <w:r w:rsidR="008704BF" w:rsidRPr="00EC1DF5">
        <w:rPr>
          <w:color w:val="auto"/>
        </w:rPr>
        <w:t>n upholding and enhancing business sustainability.</w:t>
      </w:r>
    </w:p>
    <w:p w14:paraId="67DBE1A0" w14:textId="033F2087" w:rsidR="00921748" w:rsidRPr="00EC1DF5" w:rsidRDefault="00921748" w:rsidP="00CA4E3D">
      <w:pPr>
        <w:spacing w:line="480" w:lineRule="auto"/>
        <w:ind w:firstLine="567"/>
        <w:jc w:val="both"/>
        <w:rPr>
          <w:color w:val="auto"/>
        </w:rPr>
      </w:pPr>
    </w:p>
    <w:p w14:paraId="27CF859B" w14:textId="5F454561" w:rsidR="00581C4E" w:rsidRPr="00EC1DF5" w:rsidRDefault="00581C4E" w:rsidP="00CA4E3D">
      <w:pPr>
        <w:spacing w:line="480" w:lineRule="auto"/>
        <w:ind w:firstLine="567"/>
        <w:jc w:val="both"/>
        <w:rPr>
          <w:color w:val="auto"/>
        </w:rPr>
      </w:pPr>
    </w:p>
    <w:p w14:paraId="7F83824F" w14:textId="732B1C5D" w:rsidR="00581C4E" w:rsidRPr="00EC1DF5" w:rsidRDefault="00581C4E" w:rsidP="00CA4E3D">
      <w:pPr>
        <w:spacing w:line="480" w:lineRule="auto"/>
        <w:ind w:firstLine="567"/>
        <w:jc w:val="both"/>
        <w:rPr>
          <w:color w:val="auto"/>
        </w:rPr>
      </w:pPr>
    </w:p>
    <w:p w14:paraId="57EC0BCD" w14:textId="158DA698" w:rsidR="00581C4E" w:rsidRPr="00EC1DF5" w:rsidRDefault="00581C4E" w:rsidP="00CA4E3D">
      <w:pPr>
        <w:spacing w:line="480" w:lineRule="auto"/>
        <w:ind w:firstLine="567"/>
        <w:jc w:val="both"/>
        <w:rPr>
          <w:color w:val="auto"/>
        </w:rPr>
      </w:pPr>
    </w:p>
    <w:p w14:paraId="763CD701" w14:textId="17112DA3" w:rsidR="00581C4E" w:rsidRPr="00EC1DF5" w:rsidRDefault="00581C4E" w:rsidP="00CA4E3D">
      <w:pPr>
        <w:spacing w:line="480" w:lineRule="auto"/>
        <w:ind w:firstLine="567"/>
        <w:jc w:val="both"/>
        <w:rPr>
          <w:color w:val="auto"/>
        </w:rPr>
      </w:pPr>
    </w:p>
    <w:p w14:paraId="1C3ADF64" w14:textId="32344DEC" w:rsidR="00581C4E" w:rsidRPr="00EC1DF5" w:rsidRDefault="00581C4E" w:rsidP="006D579B">
      <w:pPr>
        <w:spacing w:line="480" w:lineRule="auto"/>
        <w:jc w:val="both"/>
        <w:rPr>
          <w:color w:val="auto"/>
        </w:rPr>
      </w:pPr>
    </w:p>
    <w:p w14:paraId="1B9E2410" w14:textId="1CDA3EAD" w:rsidR="00B60EF5" w:rsidRPr="00EC1DF5" w:rsidRDefault="00B60EF5" w:rsidP="006D579B">
      <w:pPr>
        <w:spacing w:line="480" w:lineRule="auto"/>
        <w:jc w:val="both"/>
        <w:rPr>
          <w:color w:val="auto"/>
        </w:rPr>
      </w:pPr>
    </w:p>
    <w:p w14:paraId="7BA3238C" w14:textId="3C97B49C" w:rsidR="00B60EF5" w:rsidRPr="00EC1DF5" w:rsidRDefault="00B60EF5" w:rsidP="006D579B">
      <w:pPr>
        <w:spacing w:line="480" w:lineRule="auto"/>
        <w:jc w:val="both"/>
        <w:rPr>
          <w:color w:val="auto"/>
        </w:rPr>
      </w:pPr>
    </w:p>
    <w:p w14:paraId="22F89D2A" w14:textId="36B21B97" w:rsidR="00B60EF5" w:rsidRPr="00EC1DF5" w:rsidRDefault="00B60EF5" w:rsidP="006D579B">
      <w:pPr>
        <w:spacing w:line="480" w:lineRule="auto"/>
        <w:jc w:val="both"/>
        <w:rPr>
          <w:color w:val="auto"/>
        </w:rPr>
      </w:pPr>
    </w:p>
    <w:p w14:paraId="69D946B2" w14:textId="4F7A0882" w:rsidR="00B60EF5" w:rsidRPr="00EC1DF5" w:rsidRDefault="00B60EF5" w:rsidP="006D579B">
      <w:pPr>
        <w:spacing w:line="480" w:lineRule="auto"/>
        <w:jc w:val="both"/>
        <w:rPr>
          <w:color w:val="auto"/>
        </w:rPr>
      </w:pPr>
    </w:p>
    <w:p w14:paraId="17A54802" w14:textId="3AC833F7" w:rsidR="00B60EF5" w:rsidRPr="00EC1DF5" w:rsidRDefault="00B60EF5" w:rsidP="006D579B">
      <w:pPr>
        <w:spacing w:line="480" w:lineRule="auto"/>
        <w:jc w:val="both"/>
        <w:rPr>
          <w:color w:val="auto"/>
        </w:rPr>
      </w:pPr>
    </w:p>
    <w:p w14:paraId="2D7E7042" w14:textId="66A57289" w:rsidR="00B60EF5" w:rsidRPr="00EC1DF5" w:rsidRDefault="00B60EF5" w:rsidP="006D579B">
      <w:pPr>
        <w:spacing w:line="480" w:lineRule="auto"/>
        <w:jc w:val="both"/>
        <w:rPr>
          <w:color w:val="auto"/>
        </w:rPr>
      </w:pPr>
    </w:p>
    <w:p w14:paraId="7427D472" w14:textId="370E2216" w:rsidR="00B60EF5" w:rsidRPr="00EC1DF5" w:rsidRDefault="00B60EF5" w:rsidP="006D579B">
      <w:pPr>
        <w:spacing w:line="480" w:lineRule="auto"/>
        <w:jc w:val="both"/>
        <w:rPr>
          <w:color w:val="auto"/>
        </w:rPr>
      </w:pPr>
    </w:p>
    <w:p w14:paraId="343E6575" w14:textId="58C70D92" w:rsidR="00B60EF5" w:rsidRPr="00EC1DF5" w:rsidRDefault="00B60EF5" w:rsidP="006D579B">
      <w:pPr>
        <w:spacing w:line="480" w:lineRule="auto"/>
        <w:jc w:val="both"/>
        <w:rPr>
          <w:color w:val="auto"/>
        </w:rPr>
      </w:pPr>
    </w:p>
    <w:p w14:paraId="67609299" w14:textId="7EE4DB62" w:rsidR="00B60EF5" w:rsidRPr="00EC1DF5" w:rsidRDefault="00B60EF5" w:rsidP="006D579B">
      <w:pPr>
        <w:spacing w:line="480" w:lineRule="auto"/>
        <w:jc w:val="both"/>
        <w:rPr>
          <w:color w:val="auto"/>
        </w:rPr>
      </w:pPr>
    </w:p>
    <w:p w14:paraId="2CC13CB5" w14:textId="0C42BA35" w:rsidR="00B60EF5" w:rsidRPr="00EC1DF5" w:rsidRDefault="00B60EF5" w:rsidP="006D579B">
      <w:pPr>
        <w:spacing w:line="480" w:lineRule="auto"/>
        <w:jc w:val="both"/>
        <w:rPr>
          <w:color w:val="auto"/>
        </w:rPr>
      </w:pPr>
    </w:p>
    <w:p w14:paraId="76EE3D8C" w14:textId="77777777" w:rsidR="00B60EF5" w:rsidRPr="00EC1DF5" w:rsidRDefault="00B60EF5" w:rsidP="006D579B">
      <w:pPr>
        <w:spacing w:line="480" w:lineRule="auto"/>
        <w:jc w:val="both"/>
        <w:rPr>
          <w:color w:val="auto"/>
        </w:rPr>
      </w:pPr>
    </w:p>
    <w:p w14:paraId="60A524B3" w14:textId="4E747156" w:rsidR="0012185B" w:rsidRPr="00EC1DF5" w:rsidRDefault="0012185B" w:rsidP="008D2349">
      <w:pPr>
        <w:rPr>
          <w:b/>
          <w:color w:val="auto"/>
          <w:u w:val="single"/>
        </w:rPr>
      </w:pPr>
      <w:r w:rsidRPr="00EC1DF5">
        <w:rPr>
          <w:b/>
          <w:color w:val="auto"/>
          <w:u w:val="single"/>
        </w:rPr>
        <w:lastRenderedPageBreak/>
        <w:t>List of References</w:t>
      </w:r>
    </w:p>
    <w:p w14:paraId="41665987" w14:textId="77777777" w:rsidR="00C7402A" w:rsidRPr="00EC1DF5" w:rsidRDefault="00C7402A" w:rsidP="0012185B">
      <w:pPr>
        <w:spacing w:before="240" w:after="0" w:line="276" w:lineRule="auto"/>
        <w:ind w:left="567" w:hanging="567"/>
        <w:rPr>
          <w:color w:val="auto"/>
        </w:rPr>
      </w:pPr>
      <w:proofErr w:type="spellStart"/>
      <w:r w:rsidRPr="00EC1DF5">
        <w:rPr>
          <w:color w:val="auto"/>
        </w:rPr>
        <w:t>Allegrini</w:t>
      </w:r>
      <w:proofErr w:type="spellEnd"/>
      <w:r w:rsidRPr="00EC1DF5">
        <w:rPr>
          <w:color w:val="auto"/>
        </w:rPr>
        <w:t>, M. &amp; Greco, G. (2013). Corporate boards, audit committees and voluntary disclosure: Evidence from Italian listed companies. </w:t>
      </w:r>
      <w:r w:rsidRPr="00EC1DF5">
        <w:rPr>
          <w:i/>
          <w:iCs/>
          <w:color w:val="auto"/>
        </w:rPr>
        <w:t>Journal of Management &amp; Governance</w:t>
      </w:r>
      <w:r w:rsidRPr="00EC1DF5">
        <w:rPr>
          <w:color w:val="auto"/>
        </w:rPr>
        <w:t>, </w:t>
      </w:r>
      <w:r w:rsidRPr="00EC1DF5">
        <w:rPr>
          <w:i/>
          <w:iCs/>
          <w:color w:val="auto"/>
        </w:rPr>
        <w:t>17</w:t>
      </w:r>
      <w:r w:rsidRPr="00EC1DF5">
        <w:rPr>
          <w:color w:val="auto"/>
        </w:rPr>
        <w:t>(1), pp.187-216.</w:t>
      </w:r>
    </w:p>
    <w:p w14:paraId="0E8557FA" w14:textId="77777777" w:rsidR="00C7402A" w:rsidRPr="00EC1DF5" w:rsidRDefault="00C7402A" w:rsidP="0012185B">
      <w:pPr>
        <w:spacing w:before="240" w:after="0" w:line="276" w:lineRule="auto"/>
        <w:ind w:left="567" w:hanging="567"/>
        <w:rPr>
          <w:color w:val="auto"/>
        </w:rPr>
      </w:pPr>
      <w:r w:rsidRPr="00EC1DF5">
        <w:rPr>
          <w:color w:val="auto"/>
        </w:rPr>
        <w:t>Al-</w:t>
      </w:r>
      <w:proofErr w:type="spellStart"/>
      <w:r w:rsidRPr="00EC1DF5">
        <w:rPr>
          <w:color w:val="auto"/>
        </w:rPr>
        <w:t>Tuwaijri</w:t>
      </w:r>
      <w:proofErr w:type="spellEnd"/>
      <w:r w:rsidRPr="00EC1DF5">
        <w:rPr>
          <w:color w:val="auto"/>
        </w:rPr>
        <w:t>, S.A., Christensen, T.E. &amp; Hughes, K.E. (2004). The relations among environmental disclosure, environmental performance, and economic performance: a simultaneous equations approach. </w:t>
      </w:r>
      <w:r w:rsidRPr="00EC1DF5">
        <w:rPr>
          <w:i/>
          <w:iCs/>
          <w:color w:val="auto"/>
        </w:rPr>
        <w:t>Accounting, Organizations and Society</w:t>
      </w:r>
      <w:r w:rsidRPr="00EC1DF5">
        <w:rPr>
          <w:color w:val="auto"/>
        </w:rPr>
        <w:t>, </w:t>
      </w:r>
      <w:r w:rsidRPr="00EC1DF5">
        <w:rPr>
          <w:i/>
          <w:iCs/>
          <w:color w:val="auto"/>
        </w:rPr>
        <w:t>29</w:t>
      </w:r>
      <w:r w:rsidRPr="00EC1DF5">
        <w:rPr>
          <w:color w:val="auto"/>
        </w:rPr>
        <w:t>(5-6), pp.447-471.</w:t>
      </w:r>
    </w:p>
    <w:p w14:paraId="2C8CD3AF" w14:textId="77777777" w:rsidR="00C7402A" w:rsidRPr="00EC1DF5" w:rsidRDefault="00C7402A" w:rsidP="0012185B">
      <w:pPr>
        <w:spacing w:before="240" w:after="0" w:line="276" w:lineRule="auto"/>
        <w:ind w:left="567" w:hanging="567"/>
        <w:rPr>
          <w:color w:val="auto"/>
        </w:rPr>
      </w:pPr>
      <w:r w:rsidRPr="00EC1DF5">
        <w:rPr>
          <w:color w:val="auto"/>
        </w:rPr>
        <w:t>Amor‐Esteban, V., Galindo‐</w:t>
      </w:r>
      <w:proofErr w:type="spellStart"/>
      <w:r w:rsidRPr="00EC1DF5">
        <w:rPr>
          <w:color w:val="auto"/>
        </w:rPr>
        <w:t>Villardón</w:t>
      </w:r>
      <w:proofErr w:type="spellEnd"/>
      <w:r w:rsidRPr="00EC1DF5">
        <w:rPr>
          <w:color w:val="auto"/>
        </w:rPr>
        <w:t>, M.P. &amp; García‐Sánchez, I.M. (2018). Useful information for stakeholder engagement: A multivariate proposal of an Industrial Corporate Social Responsibility Practices Index. </w:t>
      </w:r>
      <w:r w:rsidRPr="00EC1DF5">
        <w:rPr>
          <w:i/>
          <w:iCs/>
          <w:color w:val="auto"/>
        </w:rPr>
        <w:t>Sustainable Development</w:t>
      </w:r>
      <w:r w:rsidRPr="00EC1DF5">
        <w:rPr>
          <w:color w:val="auto"/>
        </w:rPr>
        <w:t>, </w:t>
      </w:r>
      <w:r w:rsidRPr="00EC1DF5">
        <w:rPr>
          <w:i/>
          <w:iCs/>
          <w:color w:val="auto"/>
        </w:rPr>
        <w:t>26</w:t>
      </w:r>
      <w:r w:rsidRPr="00EC1DF5">
        <w:rPr>
          <w:color w:val="auto"/>
        </w:rPr>
        <w:t>(6), pp.620-637.</w:t>
      </w:r>
    </w:p>
    <w:p w14:paraId="31A1AD74" w14:textId="77777777" w:rsidR="00C7402A" w:rsidRPr="00EC1DF5" w:rsidRDefault="00C7402A" w:rsidP="0012185B">
      <w:pPr>
        <w:spacing w:before="240" w:after="0" w:line="276" w:lineRule="auto"/>
        <w:ind w:left="567" w:hanging="567"/>
        <w:rPr>
          <w:color w:val="auto"/>
        </w:rPr>
      </w:pPr>
      <w:proofErr w:type="spellStart"/>
      <w:r w:rsidRPr="00EC1DF5">
        <w:rPr>
          <w:color w:val="auto"/>
        </w:rPr>
        <w:t>Amran</w:t>
      </w:r>
      <w:proofErr w:type="spellEnd"/>
      <w:r w:rsidRPr="00EC1DF5">
        <w:rPr>
          <w:color w:val="auto"/>
        </w:rPr>
        <w:t>, A., Lee, S.P. &amp; Devi, S.S. (2014). The influence of governance structure and strategic corporate social responsibility toward sustainability reporting quality. </w:t>
      </w:r>
      <w:r w:rsidRPr="00EC1DF5">
        <w:rPr>
          <w:i/>
          <w:iCs/>
          <w:color w:val="auto"/>
        </w:rPr>
        <w:t>Business Strategy and the Environment</w:t>
      </w:r>
      <w:r w:rsidRPr="00EC1DF5">
        <w:rPr>
          <w:color w:val="auto"/>
        </w:rPr>
        <w:t>, </w:t>
      </w:r>
      <w:r w:rsidRPr="00EC1DF5">
        <w:rPr>
          <w:i/>
          <w:iCs/>
          <w:color w:val="auto"/>
        </w:rPr>
        <w:t>23</w:t>
      </w:r>
      <w:r w:rsidRPr="00EC1DF5">
        <w:rPr>
          <w:color w:val="auto"/>
        </w:rPr>
        <w:t>(4), pp.217-235.</w:t>
      </w:r>
    </w:p>
    <w:p w14:paraId="2287FC8E" w14:textId="77777777" w:rsidR="00C7402A" w:rsidRPr="00EC1DF5" w:rsidRDefault="00C7402A" w:rsidP="0012185B">
      <w:pPr>
        <w:spacing w:before="240" w:after="0" w:line="276" w:lineRule="auto"/>
        <w:ind w:left="567" w:hanging="567"/>
        <w:rPr>
          <w:color w:val="auto"/>
        </w:rPr>
      </w:pPr>
      <w:r w:rsidRPr="00EC1DF5">
        <w:rPr>
          <w:color w:val="auto"/>
        </w:rPr>
        <w:t>Arellano, M. &amp; Bond, S. (1991). Some tests of specification for panel data: Monte Carlo evidence and an application to employment equations. </w:t>
      </w:r>
      <w:r w:rsidRPr="00EC1DF5">
        <w:rPr>
          <w:i/>
          <w:iCs/>
          <w:color w:val="auto"/>
        </w:rPr>
        <w:t>The Review of Economic Studies</w:t>
      </w:r>
      <w:r w:rsidRPr="00EC1DF5">
        <w:rPr>
          <w:color w:val="auto"/>
        </w:rPr>
        <w:t>, </w:t>
      </w:r>
      <w:r w:rsidRPr="00EC1DF5">
        <w:rPr>
          <w:i/>
          <w:iCs/>
          <w:color w:val="auto"/>
        </w:rPr>
        <w:t>58</w:t>
      </w:r>
      <w:r w:rsidRPr="00EC1DF5">
        <w:rPr>
          <w:color w:val="auto"/>
        </w:rPr>
        <w:t>(2), pp.277-297.</w:t>
      </w:r>
    </w:p>
    <w:p w14:paraId="55F09D04" w14:textId="77777777" w:rsidR="00C7402A" w:rsidRPr="00EC1DF5" w:rsidRDefault="00C7402A" w:rsidP="0012185B">
      <w:pPr>
        <w:spacing w:before="240" w:after="0" w:line="276" w:lineRule="auto"/>
        <w:ind w:left="567" w:hanging="567"/>
        <w:rPr>
          <w:color w:val="auto"/>
        </w:rPr>
      </w:pPr>
      <w:r w:rsidRPr="00EC1DF5">
        <w:rPr>
          <w:color w:val="auto"/>
        </w:rPr>
        <w:t xml:space="preserve">Arellano, M. &amp; </w:t>
      </w:r>
      <w:proofErr w:type="spellStart"/>
      <w:r w:rsidRPr="00EC1DF5">
        <w:rPr>
          <w:color w:val="auto"/>
        </w:rPr>
        <w:t>Bover</w:t>
      </w:r>
      <w:proofErr w:type="spellEnd"/>
      <w:r w:rsidRPr="00EC1DF5">
        <w:rPr>
          <w:color w:val="auto"/>
        </w:rPr>
        <w:t>, O. (1995). Another look at the instrumental variable estimation of error-components models. </w:t>
      </w:r>
      <w:r w:rsidRPr="00EC1DF5">
        <w:rPr>
          <w:i/>
          <w:iCs/>
          <w:color w:val="auto"/>
        </w:rPr>
        <w:t>Journal of Econometrics</w:t>
      </w:r>
      <w:r w:rsidRPr="00EC1DF5">
        <w:rPr>
          <w:color w:val="auto"/>
        </w:rPr>
        <w:t>, </w:t>
      </w:r>
      <w:r w:rsidRPr="00EC1DF5">
        <w:rPr>
          <w:i/>
          <w:iCs/>
          <w:color w:val="auto"/>
        </w:rPr>
        <w:t>68</w:t>
      </w:r>
      <w:r w:rsidRPr="00EC1DF5">
        <w:rPr>
          <w:color w:val="auto"/>
        </w:rPr>
        <w:t>(1), pp.29-51.</w:t>
      </w:r>
    </w:p>
    <w:p w14:paraId="0AC47C98" w14:textId="77777777" w:rsidR="00C7402A" w:rsidRPr="00EC1DF5" w:rsidRDefault="00C7402A" w:rsidP="0012185B">
      <w:pPr>
        <w:spacing w:before="240" w:after="0" w:line="276" w:lineRule="auto"/>
        <w:ind w:left="567" w:hanging="567"/>
        <w:rPr>
          <w:color w:val="auto"/>
        </w:rPr>
      </w:pPr>
      <w:r w:rsidRPr="00EC1DF5">
        <w:rPr>
          <w:color w:val="auto"/>
        </w:rPr>
        <w:t xml:space="preserve">Arena, C., </w:t>
      </w:r>
      <w:proofErr w:type="spellStart"/>
      <w:r w:rsidRPr="00EC1DF5">
        <w:rPr>
          <w:color w:val="auto"/>
        </w:rPr>
        <w:t>Bozzolan</w:t>
      </w:r>
      <w:proofErr w:type="spellEnd"/>
      <w:r w:rsidRPr="00EC1DF5">
        <w:rPr>
          <w:color w:val="auto"/>
        </w:rPr>
        <w:t xml:space="preserve">, S. &amp; </w:t>
      </w:r>
      <w:proofErr w:type="spellStart"/>
      <w:r w:rsidRPr="00EC1DF5">
        <w:rPr>
          <w:color w:val="auto"/>
        </w:rPr>
        <w:t>Michelon</w:t>
      </w:r>
      <w:proofErr w:type="spellEnd"/>
      <w:r w:rsidRPr="00EC1DF5">
        <w:rPr>
          <w:color w:val="auto"/>
        </w:rPr>
        <w:t>, G. (2015). Environmental reporting: Transparency to stakeholders or stakeholder manipulation? An analysis of disclosure tone and the role of the board of directors. </w:t>
      </w:r>
      <w:r w:rsidRPr="00EC1DF5">
        <w:rPr>
          <w:i/>
          <w:iCs/>
          <w:color w:val="auto"/>
        </w:rPr>
        <w:t>Corporate Social Responsibility and Environmental Management</w:t>
      </w:r>
      <w:r w:rsidRPr="00EC1DF5">
        <w:rPr>
          <w:color w:val="auto"/>
        </w:rPr>
        <w:t>, </w:t>
      </w:r>
      <w:r w:rsidRPr="00EC1DF5">
        <w:rPr>
          <w:i/>
          <w:iCs/>
          <w:color w:val="auto"/>
        </w:rPr>
        <w:t>22</w:t>
      </w:r>
      <w:r w:rsidRPr="00EC1DF5">
        <w:rPr>
          <w:color w:val="auto"/>
        </w:rPr>
        <w:t>(6), pp.346-361.</w:t>
      </w:r>
    </w:p>
    <w:p w14:paraId="2EEC9A67" w14:textId="77777777" w:rsidR="00C7402A" w:rsidRPr="00EC1DF5" w:rsidRDefault="00C7402A" w:rsidP="0012185B">
      <w:pPr>
        <w:spacing w:before="240" w:after="0" w:line="276" w:lineRule="auto"/>
        <w:ind w:left="567" w:hanging="567"/>
        <w:rPr>
          <w:color w:val="auto"/>
        </w:rPr>
      </w:pPr>
      <w:proofErr w:type="spellStart"/>
      <w:r w:rsidRPr="00EC1DF5">
        <w:rPr>
          <w:color w:val="auto"/>
        </w:rPr>
        <w:t>Baltagi</w:t>
      </w:r>
      <w:proofErr w:type="spellEnd"/>
      <w:r w:rsidRPr="00EC1DF5">
        <w:rPr>
          <w:color w:val="auto"/>
        </w:rPr>
        <w:t xml:space="preserve">, B.H., </w:t>
      </w:r>
      <w:proofErr w:type="spellStart"/>
      <w:r w:rsidRPr="00EC1DF5">
        <w:rPr>
          <w:color w:val="auto"/>
        </w:rPr>
        <w:t>Demetriades</w:t>
      </w:r>
      <w:proofErr w:type="spellEnd"/>
      <w:r w:rsidRPr="00EC1DF5">
        <w:rPr>
          <w:color w:val="auto"/>
        </w:rPr>
        <w:t>, P.O. &amp; Law, S.H. (2009). Financial development and openness: Evidence from panel data. </w:t>
      </w:r>
      <w:r w:rsidRPr="00EC1DF5">
        <w:rPr>
          <w:i/>
          <w:iCs/>
          <w:color w:val="auto"/>
        </w:rPr>
        <w:t>Journal of Development Economics</w:t>
      </w:r>
      <w:r w:rsidRPr="00EC1DF5">
        <w:rPr>
          <w:color w:val="auto"/>
        </w:rPr>
        <w:t>, </w:t>
      </w:r>
      <w:r w:rsidRPr="00EC1DF5">
        <w:rPr>
          <w:i/>
          <w:iCs/>
          <w:color w:val="auto"/>
        </w:rPr>
        <w:t>89</w:t>
      </w:r>
      <w:r w:rsidRPr="00EC1DF5">
        <w:rPr>
          <w:color w:val="auto"/>
        </w:rPr>
        <w:t>(2), pp.285-296.</w:t>
      </w:r>
    </w:p>
    <w:p w14:paraId="45EC2A53" w14:textId="77777777" w:rsidR="00C7402A" w:rsidRPr="00EC1DF5" w:rsidRDefault="00C7402A" w:rsidP="0012185B">
      <w:pPr>
        <w:spacing w:before="240" w:after="0" w:line="276" w:lineRule="auto"/>
        <w:ind w:left="567" w:hanging="567"/>
        <w:rPr>
          <w:color w:val="auto"/>
        </w:rPr>
      </w:pPr>
      <w:r w:rsidRPr="00EC1DF5">
        <w:rPr>
          <w:color w:val="auto"/>
        </w:rPr>
        <w:t xml:space="preserve">Barako, D.G., Hancock, P. &amp; </w:t>
      </w:r>
      <w:proofErr w:type="spellStart"/>
      <w:r w:rsidRPr="00EC1DF5">
        <w:rPr>
          <w:color w:val="auto"/>
        </w:rPr>
        <w:t>Izan</w:t>
      </w:r>
      <w:proofErr w:type="spellEnd"/>
      <w:r w:rsidRPr="00EC1DF5">
        <w:rPr>
          <w:color w:val="auto"/>
        </w:rPr>
        <w:t>, H.Y. (2006). Factors influencing voluntary corporate disclosure by Kenyan companies. </w:t>
      </w:r>
      <w:r w:rsidRPr="00EC1DF5">
        <w:rPr>
          <w:i/>
          <w:iCs/>
          <w:color w:val="auto"/>
        </w:rPr>
        <w:t>Corporate Governance: An International Review</w:t>
      </w:r>
      <w:r w:rsidRPr="00EC1DF5">
        <w:rPr>
          <w:color w:val="auto"/>
        </w:rPr>
        <w:t>, </w:t>
      </w:r>
      <w:r w:rsidRPr="00EC1DF5">
        <w:rPr>
          <w:i/>
          <w:iCs/>
          <w:color w:val="auto"/>
        </w:rPr>
        <w:t>14</w:t>
      </w:r>
      <w:r w:rsidRPr="00EC1DF5">
        <w:rPr>
          <w:color w:val="auto"/>
        </w:rPr>
        <w:t>(2), pp.107-125.</w:t>
      </w:r>
    </w:p>
    <w:p w14:paraId="102081E1" w14:textId="77777777" w:rsidR="00C7402A" w:rsidRPr="00EC1DF5" w:rsidRDefault="00C7402A" w:rsidP="0012185B">
      <w:pPr>
        <w:spacing w:before="240" w:after="0" w:line="276" w:lineRule="auto"/>
        <w:ind w:left="567" w:hanging="567"/>
        <w:rPr>
          <w:color w:val="auto"/>
        </w:rPr>
      </w:pPr>
      <w:proofErr w:type="spellStart"/>
      <w:r w:rsidRPr="00EC1DF5">
        <w:rPr>
          <w:color w:val="auto"/>
        </w:rPr>
        <w:t>Berrone</w:t>
      </w:r>
      <w:proofErr w:type="spellEnd"/>
      <w:r w:rsidRPr="00EC1DF5">
        <w:rPr>
          <w:color w:val="auto"/>
        </w:rPr>
        <w:t>, P. &amp; Gomez-Mejia, L.R. (2009). Environmental performance and executive compensation: An integrated agency-institutional perspective. </w:t>
      </w:r>
      <w:r w:rsidRPr="00EC1DF5">
        <w:rPr>
          <w:i/>
          <w:iCs/>
          <w:color w:val="auto"/>
        </w:rPr>
        <w:t>Academy of Management Journal</w:t>
      </w:r>
      <w:r w:rsidRPr="00EC1DF5">
        <w:rPr>
          <w:color w:val="auto"/>
        </w:rPr>
        <w:t>, </w:t>
      </w:r>
      <w:r w:rsidRPr="00EC1DF5">
        <w:rPr>
          <w:i/>
          <w:iCs/>
          <w:color w:val="auto"/>
        </w:rPr>
        <w:t>52</w:t>
      </w:r>
      <w:r w:rsidRPr="00EC1DF5">
        <w:rPr>
          <w:color w:val="auto"/>
        </w:rPr>
        <w:t>(1), pp.103-126.</w:t>
      </w:r>
    </w:p>
    <w:p w14:paraId="4A235267" w14:textId="77777777" w:rsidR="00C7402A" w:rsidRPr="00EC1DF5" w:rsidRDefault="00C7402A" w:rsidP="0012185B">
      <w:pPr>
        <w:spacing w:before="240" w:after="0" w:line="276" w:lineRule="auto"/>
        <w:ind w:left="567" w:hanging="567"/>
        <w:rPr>
          <w:color w:val="auto"/>
        </w:rPr>
      </w:pPr>
      <w:proofErr w:type="spellStart"/>
      <w:r w:rsidRPr="00EC1DF5">
        <w:rPr>
          <w:color w:val="auto"/>
        </w:rPr>
        <w:t>Berrone</w:t>
      </w:r>
      <w:proofErr w:type="spellEnd"/>
      <w:r w:rsidRPr="00EC1DF5">
        <w:rPr>
          <w:color w:val="auto"/>
        </w:rPr>
        <w:t>, P. &amp; Gomez‐Mejia, L.R. (2009). The pros and cons of rewarding social responsibility at the top. </w:t>
      </w:r>
      <w:r w:rsidRPr="00EC1DF5">
        <w:rPr>
          <w:i/>
          <w:iCs/>
          <w:color w:val="auto"/>
        </w:rPr>
        <w:t>Human Resource Management</w:t>
      </w:r>
      <w:r w:rsidRPr="00EC1DF5">
        <w:rPr>
          <w:color w:val="auto"/>
        </w:rPr>
        <w:t>, </w:t>
      </w:r>
      <w:r w:rsidRPr="00EC1DF5">
        <w:rPr>
          <w:i/>
          <w:iCs/>
          <w:color w:val="auto"/>
        </w:rPr>
        <w:t>48</w:t>
      </w:r>
      <w:r w:rsidRPr="00EC1DF5">
        <w:rPr>
          <w:color w:val="auto"/>
        </w:rPr>
        <w:t>(6), pp.959-971.</w:t>
      </w:r>
    </w:p>
    <w:p w14:paraId="481D2610" w14:textId="77777777" w:rsidR="00C7402A" w:rsidRPr="00EC1DF5" w:rsidRDefault="00C7402A" w:rsidP="0012185B">
      <w:pPr>
        <w:spacing w:before="240" w:after="0" w:line="276" w:lineRule="auto"/>
        <w:ind w:left="567" w:hanging="567"/>
        <w:rPr>
          <w:color w:val="auto"/>
        </w:rPr>
      </w:pPr>
      <w:r w:rsidRPr="00EC1DF5">
        <w:rPr>
          <w:color w:val="auto"/>
        </w:rPr>
        <w:lastRenderedPageBreak/>
        <w:t>Bliss, M. &amp; Balachandran, J. (2003). CEO duality, audit committee independence and voluntary disclosures in Malaysia. In </w:t>
      </w:r>
      <w:r w:rsidRPr="00EC1DF5">
        <w:rPr>
          <w:i/>
          <w:iCs/>
          <w:color w:val="auto"/>
        </w:rPr>
        <w:t>International Conference on Quality Financial Reporting and Corporate Governance-Building Public Trust, Integrity and Accountability”, Kuala Lumpur, Malaysia</w:t>
      </w:r>
      <w:r w:rsidRPr="00EC1DF5">
        <w:rPr>
          <w:color w:val="auto"/>
        </w:rPr>
        <w:t> (pp. 1-27).</w:t>
      </w:r>
    </w:p>
    <w:p w14:paraId="214A1C31" w14:textId="77777777" w:rsidR="00C7402A" w:rsidRPr="00EC1DF5" w:rsidRDefault="00C7402A" w:rsidP="0012185B">
      <w:pPr>
        <w:spacing w:before="240" w:after="0" w:line="276" w:lineRule="auto"/>
        <w:ind w:left="567" w:hanging="567"/>
        <w:rPr>
          <w:color w:val="auto"/>
        </w:rPr>
      </w:pPr>
      <w:r w:rsidRPr="001C0FD4">
        <w:rPr>
          <w:color w:val="auto"/>
          <w:lang w:val="de-DE"/>
        </w:rPr>
        <w:t xml:space="preserve">Bonner, S.E. &amp; Sprinkle, G.B. (2002). </w:t>
      </w:r>
      <w:r w:rsidRPr="00EC1DF5">
        <w:rPr>
          <w:color w:val="auto"/>
        </w:rPr>
        <w:t>The effects of monetary incentives on effort and task performance: theories, evidence, and a framework for research. </w:t>
      </w:r>
      <w:r w:rsidRPr="00EC1DF5">
        <w:rPr>
          <w:i/>
          <w:iCs/>
          <w:color w:val="auto"/>
        </w:rPr>
        <w:t xml:space="preserve">Accounting, </w:t>
      </w:r>
      <w:proofErr w:type="gramStart"/>
      <w:r w:rsidRPr="00EC1DF5">
        <w:rPr>
          <w:i/>
          <w:iCs/>
          <w:color w:val="auto"/>
        </w:rPr>
        <w:t>organizations</w:t>
      </w:r>
      <w:proofErr w:type="gramEnd"/>
      <w:r w:rsidRPr="00EC1DF5">
        <w:rPr>
          <w:i/>
          <w:iCs/>
          <w:color w:val="auto"/>
        </w:rPr>
        <w:t xml:space="preserve"> and society</w:t>
      </w:r>
      <w:r w:rsidRPr="00EC1DF5">
        <w:rPr>
          <w:color w:val="auto"/>
        </w:rPr>
        <w:t>, </w:t>
      </w:r>
      <w:r w:rsidRPr="00EC1DF5">
        <w:rPr>
          <w:i/>
          <w:iCs/>
          <w:color w:val="auto"/>
        </w:rPr>
        <w:t>27</w:t>
      </w:r>
      <w:r w:rsidRPr="00EC1DF5">
        <w:rPr>
          <w:color w:val="auto"/>
        </w:rPr>
        <w:t>(4-5), pp.303-345.</w:t>
      </w:r>
    </w:p>
    <w:p w14:paraId="33283840" w14:textId="77777777" w:rsidR="00C7402A" w:rsidRPr="00EC1DF5" w:rsidRDefault="00C7402A" w:rsidP="0012185B">
      <w:pPr>
        <w:spacing w:before="240" w:after="0" w:line="276" w:lineRule="auto"/>
        <w:ind w:left="567" w:hanging="567"/>
        <w:rPr>
          <w:color w:val="auto"/>
        </w:rPr>
      </w:pPr>
      <w:r w:rsidRPr="00EC1DF5">
        <w:rPr>
          <w:color w:val="auto"/>
        </w:rPr>
        <w:t xml:space="preserve">Brammer, S. &amp; </w:t>
      </w:r>
      <w:proofErr w:type="spellStart"/>
      <w:r w:rsidRPr="00EC1DF5">
        <w:rPr>
          <w:color w:val="auto"/>
        </w:rPr>
        <w:t>Pavelin</w:t>
      </w:r>
      <w:proofErr w:type="spellEnd"/>
      <w:r w:rsidRPr="00EC1DF5">
        <w:rPr>
          <w:color w:val="auto"/>
        </w:rPr>
        <w:t>, S. (2006). Voluntary environmental disclosures by large UK companies. </w:t>
      </w:r>
      <w:r w:rsidRPr="00EC1DF5">
        <w:rPr>
          <w:i/>
          <w:iCs/>
          <w:color w:val="auto"/>
        </w:rPr>
        <w:t>Journal of Business Finance &amp; Accounting</w:t>
      </w:r>
      <w:r w:rsidRPr="00EC1DF5">
        <w:rPr>
          <w:color w:val="auto"/>
        </w:rPr>
        <w:t>, </w:t>
      </w:r>
      <w:r w:rsidRPr="00EC1DF5">
        <w:rPr>
          <w:i/>
          <w:iCs/>
          <w:color w:val="auto"/>
        </w:rPr>
        <w:t>33</w:t>
      </w:r>
      <w:r w:rsidRPr="00EC1DF5">
        <w:rPr>
          <w:color w:val="auto"/>
        </w:rPr>
        <w:t>(7‐8), pp.1168-1188.</w:t>
      </w:r>
    </w:p>
    <w:p w14:paraId="2902CEC9" w14:textId="77777777" w:rsidR="00C7402A" w:rsidRPr="00EC1DF5" w:rsidRDefault="00C7402A" w:rsidP="0012185B">
      <w:pPr>
        <w:spacing w:before="240" w:after="0" w:line="276" w:lineRule="auto"/>
        <w:ind w:left="567" w:hanging="567"/>
        <w:rPr>
          <w:color w:val="auto"/>
        </w:rPr>
      </w:pPr>
      <w:r w:rsidRPr="00EC1DF5">
        <w:rPr>
          <w:color w:val="auto"/>
        </w:rPr>
        <w:t xml:space="preserve">Brundtland Commission (1987). Our Common Future: The world commission on environment and development. </w:t>
      </w:r>
      <w:r w:rsidRPr="00EC1DF5">
        <w:rPr>
          <w:i/>
          <w:color w:val="auto"/>
        </w:rPr>
        <w:t>Oxford University Press: Oxford</w:t>
      </w:r>
      <w:r w:rsidRPr="00EC1DF5">
        <w:rPr>
          <w:color w:val="auto"/>
        </w:rPr>
        <w:t>.</w:t>
      </w:r>
    </w:p>
    <w:p w14:paraId="6BC3BF32" w14:textId="4C5ED843" w:rsidR="00C7402A" w:rsidRPr="00EC1DF5" w:rsidRDefault="00C7402A" w:rsidP="0012185B">
      <w:pPr>
        <w:spacing w:before="240" w:after="0" w:line="276" w:lineRule="auto"/>
        <w:ind w:left="567" w:hanging="567"/>
        <w:rPr>
          <w:color w:val="auto"/>
        </w:rPr>
      </w:pPr>
      <w:proofErr w:type="spellStart"/>
      <w:r w:rsidRPr="00EC1DF5">
        <w:rPr>
          <w:color w:val="auto"/>
        </w:rPr>
        <w:t>Buniamin</w:t>
      </w:r>
      <w:proofErr w:type="spellEnd"/>
      <w:r w:rsidRPr="00EC1DF5">
        <w:rPr>
          <w:color w:val="auto"/>
        </w:rPr>
        <w:t xml:space="preserve">, S., </w:t>
      </w:r>
      <w:proofErr w:type="spellStart"/>
      <w:r w:rsidRPr="00EC1DF5">
        <w:rPr>
          <w:color w:val="auto"/>
        </w:rPr>
        <w:t>Alrazi</w:t>
      </w:r>
      <w:proofErr w:type="spellEnd"/>
      <w:r w:rsidRPr="00EC1DF5">
        <w:rPr>
          <w:color w:val="auto"/>
        </w:rPr>
        <w:t>, B., Johari, N.H. &amp; Rahman, N.R.A. (2011). Corporate governance practices and environmental reporting of companies in Malaysia: Finding possibilities of double thumbs up. </w:t>
      </w:r>
      <w:r w:rsidRPr="00EC1DF5">
        <w:rPr>
          <w:i/>
          <w:iCs/>
          <w:color w:val="auto"/>
        </w:rPr>
        <w:t xml:space="preserve">Journal </w:t>
      </w:r>
      <w:proofErr w:type="spellStart"/>
      <w:r w:rsidRPr="00EC1DF5">
        <w:rPr>
          <w:i/>
          <w:iCs/>
          <w:color w:val="auto"/>
        </w:rPr>
        <w:t>Pengurusan</w:t>
      </w:r>
      <w:proofErr w:type="spellEnd"/>
      <w:r w:rsidRPr="00EC1DF5">
        <w:rPr>
          <w:color w:val="auto"/>
        </w:rPr>
        <w:t>, </w:t>
      </w:r>
      <w:r w:rsidRPr="00EC1DF5">
        <w:rPr>
          <w:i/>
          <w:iCs/>
          <w:color w:val="auto"/>
        </w:rPr>
        <w:t>32</w:t>
      </w:r>
      <w:r w:rsidRPr="00EC1DF5">
        <w:rPr>
          <w:color w:val="auto"/>
        </w:rPr>
        <w:t>(2011), pp.55-71.</w:t>
      </w:r>
    </w:p>
    <w:p w14:paraId="6D9B52F6" w14:textId="1F5D2749" w:rsidR="001569C0" w:rsidRPr="00EC1DF5" w:rsidRDefault="001569C0" w:rsidP="0012185B">
      <w:pPr>
        <w:spacing w:before="240" w:after="0" w:line="276" w:lineRule="auto"/>
        <w:ind w:left="567" w:hanging="567"/>
        <w:rPr>
          <w:color w:val="auto"/>
        </w:rPr>
      </w:pPr>
      <w:r w:rsidRPr="00EC1DF5">
        <w:rPr>
          <w:color w:val="auto"/>
        </w:rPr>
        <w:t xml:space="preserve">Burke, J.J., </w:t>
      </w:r>
      <w:proofErr w:type="spellStart"/>
      <w:r w:rsidRPr="00EC1DF5">
        <w:rPr>
          <w:color w:val="auto"/>
        </w:rPr>
        <w:t>Hoitash</w:t>
      </w:r>
      <w:proofErr w:type="spellEnd"/>
      <w:r w:rsidRPr="00EC1DF5">
        <w:rPr>
          <w:color w:val="auto"/>
        </w:rPr>
        <w:t xml:space="preserve">, R. and </w:t>
      </w:r>
      <w:proofErr w:type="spellStart"/>
      <w:r w:rsidRPr="00EC1DF5">
        <w:rPr>
          <w:color w:val="auto"/>
        </w:rPr>
        <w:t>Hoitash</w:t>
      </w:r>
      <w:proofErr w:type="spellEnd"/>
      <w:r w:rsidRPr="00EC1DF5">
        <w:rPr>
          <w:color w:val="auto"/>
        </w:rPr>
        <w:t>, U., 2019. The heterogeneity of board-level sustainability committees and corporate social performance. </w:t>
      </w:r>
      <w:r w:rsidRPr="00EC1DF5">
        <w:rPr>
          <w:i/>
          <w:iCs/>
          <w:color w:val="auto"/>
        </w:rPr>
        <w:t>Journal of Business Ethics</w:t>
      </w:r>
      <w:r w:rsidRPr="00EC1DF5">
        <w:rPr>
          <w:color w:val="auto"/>
        </w:rPr>
        <w:t>, </w:t>
      </w:r>
      <w:r w:rsidRPr="00EC1DF5">
        <w:rPr>
          <w:i/>
          <w:iCs/>
          <w:color w:val="auto"/>
        </w:rPr>
        <w:t>154</w:t>
      </w:r>
      <w:r w:rsidRPr="00EC1DF5">
        <w:rPr>
          <w:color w:val="auto"/>
        </w:rPr>
        <w:t>(4), pp.1161-1186.</w:t>
      </w:r>
    </w:p>
    <w:p w14:paraId="4F8ADA9F" w14:textId="77777777" w:rsidR="00C7402A" w:rsidRPr="00EC1DF5" w:rsidRDefault="00C7402A" w:rsidP="0012185B">
      <w:pPr>
        <w:spacing w:before="240" w:after="0" w:line="276" w:lineRule="auto"/>
        <w:ind w:left="567" w:hanging="567"/>
        <w:rPr>
          <w:color w:val="auto"/>
        </w:rPr>
      </w:pPr>
      <w:r w:rsidRPr="00EC1DF5">
        <w:rPr>
          <w:color w:val="auto"/>
        </w:rPr>
        <w:t>Cai, Y., Jo, H. &amp; Pan, C. (2011). Vice or virtue? The impact of corporate social responsibility on executive compensation. </w:t>
      </w:r>
      <w:r w:rsidRPr="00EC1DF5">
        <w:rPr>
          <w:i/>
          <w:iCs/>
          <w:color w:val="auto"/>
        </w:rPr>
        <w:t>Journal of Business Ethics</w:t>
      </w:r>
      <w:r w:rsidRPr="00EC1DF5">
        <w:rPr>
          <w:color w:val="auto"/>
        </w:rPr>
        <w:t>, </w:t>
      </w:r>
      <w:r w:rsidRPr="00EC1DF5">
        <w:rPr>
          <w:i/>
          <w:iCs/>
          <w:color w:val="auto"/>
        </w:rPr>
        <w:t>104</w:t>
      </w:r>
      <w:r w:rsidRPr="00EC1DF5">
        <w:rPr>
          <w:color w:val="auto"/>
        </w:rPr>
        <w:t>(2), pp.159-173.</w:t>
      </w:r>
    </w:p>
    <w:p w14:paraId="1CF1F089" w14:textId="77777777" w:rsidR="00C7402A" w:rsidRPr="00EC1DF5" w:rsidRDefault="00C7402A" w:rsidP="0012185B">
      <w:pPr>
        <w:spacing w:before="240" w:after="0" w:line="276" w:lineRule="auto"/>
        <w:ind w:left="567" w:hanging="567"/>
        <w:rPr>
          <w:color w:val="auto"/>
        </w:rPr>
      </w:pPr>
      <w:r w:rsidRPr="00EC1DF5">
        <w:rPr>
          <w:color w:val="auto"/>
        </w:rPr>
        <w:t>Callan, S.J. &amp; Thomas, J.M. (2011). Executive compensation, corporate social responsibility, and corporate financial performance: a multi‐equation framework. </w:t>
      </w:r>
      <w:r w:rsidRPr="00EC1DF5">
        <w:rPr>
          <w:i/>
          <w:iCs/>
          <w:color w:val="auto"/>
        </w:rPr>
        <w:t>Corporate Social Responsibility and Environmental Management</w:t>
      </w:r>
      <w:r w:rsidRPr="00EC1DF5">
        <w:rPr>
          <w:color w:val="auto"/>
        </w:rPr>
        <w:t>, </w:t>
      </w:r>
      <w:r w:rsidRPr="00EC1DF5">
        <w:rPr>
          <w:i/>
          <w:iCs/>
          <w:color w:val="auto"/>
        </w:rPr>
        <w:t>18</w:t>
      </w:r>
      <w:r w:rsidRPr="00EC1DF5">
        <w:rPr>
          <w:color w:val="auto"/>
        </w:rPr>
        <w:t>(6), pp.332-351.</w:t>
      </w:r>
    </w:p>
    <w:p w14:paraId="08A58B65" w14:textId="77777777" w:rsidR="00C7402A" w:rsidRPr="00EC1DF5" w:rsidRDefault="00C7402A" w:rsidP="0012185B">
      <w:pPr>
        <w:spacing w:before="240" w:after="0" w:line="276" w:lineRule="auto"/>
        <w:ind w:left="567" w:hanging="567"/>
        <w:rPr>
          <w:color w:val="auto"/>
        </w:rPr>
      </w:pPr>
      <w:r w:rsidRPr="00EC1DF5">
        <w:rPr>
          <w:color w:val="auto"/>
        </w:rPr>
        <w:t>Carter, D.A., Simkins, B.J. &amp; Simpson, W.G. (2003). Corporate governance, board diversity, and firm value. </w:t>
      </w:r>
      <w:r w:rsidRPr="00EC1DF5">
        <w:rPr>
          <w:i/>
          <w:iCs/>
          <w:color w:val="auto"/>
        </w:rPr>
        <w:t>Financial Review</w:t>
      </w:r>
      <w:r w:rsidRPr="00EC1DF5">
        <w:rPr>
          <w:color w:val="auto"/>
        </w:rPr>
        <w:t>, </w:t>
      </w:r>
      <w:r w:rsidRPr="00EC1DF5">
        <w:rPr>
          <w:i/>
          <w:iCs/>
          <w:color w:val="auto"/>
        </w:rPr>
        <w:t>38</w:t>
      </w:r>
      <w:r w:rsidRPr="00EC1DF5">
        <w:rPr>
          <w:color w:val="auto"/>
        </w:rPr>
        <w:t>(1), pp.33-53.</w:t>
      </w:r>
    </w:p>
    <w:p w14:paraId="51E14A14" w14:textId="77777777" w:rsidR="00C7402A" w:rsidRPr="00EC1DF5" w:rsidRDefault="00C7402A" w:rsidP="0012185B">
      <w:pPr>
        <w:spacing w:before="240" w:after="0" w:line="276" w:lineRule="auto"/>
        <w:ind w:left="567" w:hanging="567"/>
        <w:rPr>
          <w:color w:val="auto"/>
        </w:rPr>
      </w:pPr>
      <w:r w:rsidRPr="00EC1DF5">
        <w:rPr>
          <w:color w:val="auto"/>
        </w:rPr>
        <w:t xml:space="preserve">Cheng, B., Ioannou, I. &amp; </w:t>
      </w:r>
      <w:proofErr w:type="spellStart"/>
      <w:r w:rsidRPr="00EC1DF5">
        <w:rPr>
          <w:color w:val="auto"/>
        </w:rPr>
        <w:t>Serafeim</w:t>
      </w:r>
      <w:proofErr w:type="spellEnd"/>
      <w:r w:rsidRPr="00EC1DF5">
        <w:rPr>
          <w:color w:val="auto"/>
        </w:rPr>
        <w:t>, G. (2014). Corporate social responsibility and access to finance. </w:t>
      </w:r>
      <w:r w:rsidRPr="00EC1DF5">
        <w:rPr>
          <w:i/>
          <w:iCs/>
          <w:color w:val="auto"/>
        </w:rPr>
        <w:t>Strategic Management Journal</w:t>
      </w:r>
      <w:r w:rsidRPr="00EC1DF5">
        <w:rPr>
          <w:color w:val="auto"/>
        </w:rPr>
        <w:t>, </w:t>
      </w:r>
      <w:r w:rsidRPr="00EC1DF5">
        <w:rPr>
          <w:i/>
          <w:iCs/>
          <w:color w:val="auto"/>
        </w:rPr>
        <w:t>35</w:t>
      </w:r>
      <w:r w:rsidRPr="00EC1DF5">
        <w:rPr>
          <w:color w:val="auto"/>
        </w:rPr>
        <w:t>(1), pp.1-23.</w:t>
      </w:r>
    </w:p>
    <w:p w14:paraId="4AE3B76F" w14:textId="77777777" w:rsidR="00C7402A" w:rsidRPr="00EC1DF5" w:rsidRDefault="00C7402A" w:rsidP="0012185B">
      <w:pPr>
        <w:spacing w:before="240" w:after="0" w:line="276" w:lineRule="auto"/>
        <w:ind w:left="567" w:hanging="567"/>
        <w:rPr>
          <w:color w:val="auto"/>
        </w:rPr>
      </w:pPr>
      <w:proofErr w:type="spellStart"/>
      <w:r w:rsidRPr="00EC1DF5">
        <w:rPr>
          <w:color w:val="auto"/>
        </w:rPr>
        <w:t>Chithambo</w:t>
      </w:r>
      <w:proofErr w:type="spellEnd"/>
      <w:r w:rsidRPr="00EC1DF5">
        <w:rPr>
          <w:color w:val="auto"/>
        </w:rPr>
        <w:t>, L. &amp; Tauringana, V. (2014). Company specific determinants of greenhouse gases disclosures. </w:t>
      </w:r>
      <w:r w:rsidRPr="00EC1DF5">
        <w:rPr>
          <w:i/>
          <w:iCs/>
          <w:color w:val="auto"/>
        </w:rPr>
        <w:t>Journal of Applied Accounting Research</w:t>
      </w:r>
      <w:r w:rsidRPr="00EC1DF5">
        <w:rPr>
          <w:color w:val="auto"/>
        </w:rPr>
        <w:t>, </w:t>
      </w:r>
      <w:r w:rsidRPr="00EC1DF5">
        <w:rPr>
          <w:i/>
          <w:iCs/>
          <w:color w:val="auto"/>
        </w:rPr>
        <w:t>15</w:t>
      </w:r>
      <w:r w:rsidRPr="00EC1DF5">
        <w:rPr>
          <w:color w:val="auto"/>
        </w:rPr>
        <w:t>(3), pp.323-338.</w:t>
      </w:r>
    </w:p>
    <w:p w14:paraId="1D00F2D2" w14:textId="77777777" w:rsidR="00C7402A" w:rsidRPr="00EC1DF5" w:rsidRDefault="00C7402A" w:rsidP="0012185B">
      <w:pPr>
        <w:spacing w:before="240" w:after="0" w:line="276" w:lineRule="auto"/>
        <w:ind w:left="567" w:hanging="567"/>
        <w:rPr>
          <w:color w:val="auto"/>
        </w:rPr>
      </w:pPr>
      <w:proofErr w:type="spellStart"/>
      <w:r w:rsidRPr="00EC1DF5">
        <w:rPr>
          <w:color w:val="auto"/>
        </w:rPr>
        <w:t>Chugh</w:t>
      </w:r>
      <w:proofErr w:type="spellEnd"/>
      <w:r w:rsidRPr="00EC1DF5">
        <w:rPr>
          <w:color w:val="auto"/>
        </w:rPr>
        <w:t>, L.C., Meador, J.W. &amp; Meador, M.W. (2010). Corporate governance: shareholder rights and firm performance. </w:t>
      </w:r>
      <w:r w:rsidRPr="00EC1DF5">
        <w:rPr>
          <w:i/>
          <w:iCs/>
          <w:color w:val="auto"/>
        </w:rPr>
        <w:t>Journal of Business &amp; Economics Research (JBER)</w:t>
      </w:r>
      <w:r w:rsidRPr="00EC1DF5">
        <w:rPr>
          <w:color w:val="auto"/>
        </w:rPr>
        <w:t>, </w:t>
      </w:r>
      <w:r w:rsidRPr="00EC1DF5">
        <w:rPr>
          <w:i/>
          <w:iCs/>
          <w:color w:val="auto"/>
        </w:rPr>
        <w:t>8</w:t>
      </w:r>
      <w:r w:rsidRPr="00EC1DF5">
        <w:rPr>
          <w:color w:val="auto"/>
        </w:rPr>
        <w:t>(9).</w:t>
      </w:r>
    </w:p>
    <w:p w14:paraId="48701F6E" w14:textId="23325C99" w:rsidR="00C7402A" w:rsidRPr="00EC1DF5" w:rsidRDefault="00C7402A" w:rsidP="0012185B">
      <w:pPr>
        <w:spacing w:before="240" w:after="0" w:line="276" w:lineRule="auto"/>
        <w:ind w:left="567" w:hanging="567"/>
        <w:rPr>
          <w:color w:val="auto"/>
        </w:rPr>
      </w:pPr>
      <w:r w:rsidRPr="00EC1DF5">
        <w:rPr>
          <w:color w:val="auto"/>
        </w:rPr>
        <w:t>Clark, T.S. &amp; Linzer, D.A. (2015). Should I use fixed or random effects? </w:t>
      </w:r>
      <w:r w:rsidRPr="00EC1DF5">
        <w:rPr>
          <w:i/>
          <w:iCs/>
          <w:color w:val="auto"/>
        </w:rPr>
        <w:t>Political Science Research and Methods</w:t>
      </w:r>
      <w:r w:rsidRPr="00EC1DF5">
        <w:rPr>
          <w:color w:val="auto"/>
        </w:rPr>
        <w:t>, </w:t>
      </w:r>
      <w:r w:rsidRPr="00EC1DF5">
        <w:rPr>
          <w:i/>
          <w:iCs/>
          <w:color w:val="auto"/>
        </w:rPr>
        <w:t>3</w:t>
      </w:r>
      <w:r w:rsidRPr="00EC1DF5">
        <w:rPr>
          <w:color w:val="auto"/>
        </w:rPr>
        <w:t>(2), pp.399-408.</w:t>
      </w:r>
    </w:p>
    <w:p w14:paraId="5E170D22" w14:textId="15ECA2F5" w:rsidR="00B60EF5" w:rsidRPr="00EC1DF5" w:rsidRDefault="00B60EF5" w:rsidP="00B60EF5">
      <w:pPr>
        <w:spacing w:before="240" w:after="0" w:line="276" w:lineRule="auto"/>
        <w:ind w:left="567" w:hanging="567"/>
        <w:rPr>
          <w:color w:val="auto"/>
          <w:lang w:val="en-US"/>
        </w:rPr>
      </w:pPr>
      <w:r w:rsidRPr="00EC1DF5">
        <w:rPr>
          <w:color w:val="auto"/>
          <w:lang w:val="en-US"/>
        </w:rPr>
        <w:t xml:space="preserve">Clarkson, M. B. E. (1995). A stakeholder framework for analyzing and evaluating corporate social performance. </w:t>
      </w:r>
      <w:r w:rsidRPr="00EC1DF5">
        <w:rPr>
          <w:i/>
          <w:iCs/>
          <w:color w:val="auto"/>
          <w:lang w:val="en-US"/>
        </w:rPr>
        <w:t>Academy of Management Review</w:t>
      </w:r>
      <w:r w:rsidRPr="00EC1DF5">
        <w:rPr>
          <w:color w:val="auto"/>
          <w:lang w:val="en-US"/>
        </w:rPr>
        <w:t xml:space="preserve">, </w:t>
      </w:r>
      <w:r w:rsidRPr="00EC1DF5">
        <w:rPr>
          <w:i/>
          <w:iCs/>
          <w:color w:val="auto"/>
          <w:lang w:val="en-US"/>
        </w:rPr>
        <w:t>20</w:t>
      </w:r>
      <w:r w:rsidRPr="00EC1DF5">
        <w:rPr>
          <w:color w:val="auto"/>
          <w:lang w:val="en-US"/>
        </w:rPr>
        <w:t xml:space="preserve">, 92-117. </w:t>
      </w:r>
    </w:p>
    <w:p w14:paraId="1072A132" w14:textId="77777777" w:rsidR="00C7402A" w:rsidRPr="00EC1DF5" w:rsidRDefault="00C7402A" w:rsidP="0012185B">
      <w:pPr>
        <w:spacing w:before="240" w:after="0" w:line="276" w:lineRule="auto"/>
        <w:ind w:left="567" w:hanging="567"/>
        <w:rPr>
          <w:color w:val="auto"/>
        </w:rPr>
      </w:pPr>
      <w:r w:rsidRPr="00EC1DF5">
        <w:rPr>
          <w:color w:val="auto"/>
        </w:rPr>
        <w:lastRenderedPageBreak/>
        <w:t>Coombs, J.E. &amp; Gilley, K.M. (2005). Stakeholder management as a predictor of CEO compensation: Main effects and interactions with financial performance. </w:t>
      </w:r>
      <w:r w:rsidRPr="00EC1DF5">
        <w:rPr>
          <w:i/>
          <w:iCs/>
          <w:color w:val="auto"/>
        </w:rPr>
        <w:t>Strategic Management Journal</w:t>
      </w:r>
      <w:r w:rsidRPr="00EC1DF5">
        <w:rPr>
          <w:color w:val="auto"/>
        </w:rPr>
        <w:t>, </w:t>
      </w:r>
      <w:r w:rsidRPr="00EC1DF5">
        <w:rPr>
          <w:i/>
          <w:iCs/>
          <w:color w:val="auto"/>
        </w:rPr>
        <w:t>26</w:t>
      </w:r>
      <w:r w:rsidRPr="00EC1DF5">
        <w:rPr>
          <w:color w:val="auto"/>
        </w:rPr>
        <w:t>(9), pp.827-840.</w:t>
      </w:r>
    </w:p>
    <w:p w14:paraId="189EB3AA" w14:textId="77777777" w:rsidR="00C7402A" w:rsidRPr="00EC1DF5" w:rsidRDefault="00C7402A" w:rsidP="0012185B">
      <w:pPr>
        <w:spacing w:before="240" w:after="0" w:line="276" w:lineRule="auto"/>
        <w:ind w:left="567" w:hanging="567"/>
        <w:rPr>
          <w:color w:val="auto"/>
        </w:rPr>
      </w:pPr>
      <w:r w:rsidRPr="00EC1DF5">
        <w:rPr>
          <w:color w:val="auto"/>
        </w:rPr>
        <w:t xml:space="preserve">Cordeiro, J.J. &amp; Sarkis, J. (1997). Environmental </w:t>
      </w:r>
      <w:proofErr w:type="spellStart"/>
      <w:r w:rsidRPr="00EC1DF5">
        <w:rPr>
          <w:color w:val="auto"/>
        </w:rPr>
        <w:t>proactivism</w:t>
      </w:r>
      <w:proofErr w:type="spellEnd"/>
      <w:r w:rsidRPr="00EC1DF5">
        <w:rPr>
          <w:color w:val="auto"/>
        </w:rPr>
        <w:t xml:space="preserve"> and firm performance: evidence from security analyst earnings forecasts. </w:t>
      </w:r>
      <w:r w:rsidRPr="00EC1DF5">
        <w:rPr>
          <w:i/>
          <w:iCs/>
          <w:color w:val="auto"/>
        </w:rPr>
        <w:t>Business Strategy and the Environment</w:t>
      </w:r>
      <w:r w:rsidRPr="00EC1DF5">
        <w:rPr>
          <w:color w:val="auto"/>
        </w:rPr>
        <w:t>, </w:t>
      </w:r>
      <w:r w:rsidRPr="00EC1DF5">
        <w:rPr>
          <w:i/>
          <w:iCs/>
          <w:color w:val="auto"/>
        </w:rPr>
        <w:t>6</w:t>
      </w:r>
      <w:r w:rsidRPr="00EC1DF5">
        <w:rPr>
          <w:color w:val="auto"/>
        </w:rPr>
        <w:t>(2), pp.104-114.</w:t>
      </w:r>
    </w:p>
    <w:p w14:paraId="1B5F3296" w14:textId="77777777" w:rsidR="00C7402A" w:rsidRPr="00EC1DF5" w:rsidRDefault="00C7402A" w:rsidP="0012185B">
      <w:pPr>
        <w:spacing w:before="240" w:after="0" w:line="276" w:lineRule="auto"/>
        <w:ind w:left="567" w:hanging="567"/>
        <w:rPr>
          <w:color w:val="auto"/>
        </w:rPr>
      </w:pPr>
      <w:r w:rsidRPr="00EC1DF5">
        <w:rPr>
          <w:color w:val="auto"/>
        </w:rPr>
        <w:t>Cordeiro, J.J. &amp; Sarkis, J. (2008). Does explicit contracting effectively link CEO compensation to environmental performance? </w:t>
      </w:r>
      <w:r w:rsidRPr="00EC1DF5">
        <w:rPr>
          <w:i/>
          <w:iCs/>
          <w:color w:val="auto"/>
        </w:rPr>
        <w:t>Business Strategy and the Environment</w:t>
      </w:r>
      <w:r w:rsidRPr="00EC1DF5">
        <w:rPr>
          <w:color w:val="auto"/>
        </w:rPr>
        <w:t>, </w:t>
      </w:r>
      <w:r w:rsidRPr="00EC1DF5">
        <w:rPr>
          <w:i/>
          <w:iCs/>
          <w:color w:val="auto"/>
        </w:rPr>
        <w:t>17</w:t>
      </w:r>
      <w:r w:rsidRPr="00EC1DF5">
        <w:rPr>
          <w:color w:val="auto"/>
        </w:rPr>
        <w:t>(5), pp.304-317.</w:t>
      </w:r>
    </w:p>
    <w:p w14:paraId="2E247651" w14:textId="77777777" w:rsidR="00C7402A" w:rsidRPr="00EC1DF5" w:rsidRDefault="00C7402A" w:rsidP="0012185B">
      <w:pPr>
        <w:spacing w:before="240" w:after="0" w:line="276" w:lineRule="auto"/>
        <w:ind w:left="567" w:hanging="567"/>
        <w:rPr>
          <w:color w:val="auto"/>
        </w:rPr>
      </w:pPr>
      <w:r w:rsidRPr="00EC1DF5">
        <w:rPr>
          <w:color w:val="auto"/>
        </w:rPr>
        <w:t xml:space="preserve">Cormier, D., Ledoux, M.J. &amp; </w:t>
      </w:r>
      <w:proofErr w:type="spellStart"/>
      <w:r w:rsidRPr="00EC1DF5">
        <w:rPr>
          <w:color w:val="auto"/>
        </w:rPr>
        <w:t>Magnan</w:t>
      </w:r>
      <w:proofErr w:type="spellEnd"/>
      <w:r w:rsidRPr="00EC1DF5">
        <w:rPr>
          <w:color w:val="auto"/>
        </w:rPr>
        <w:t>, M. (2011). The informational contribution of social and environmental disclosures for investors. </w:t>
      </w:r>
      <w:r w:rsidRPr="00EC1DF5">
        <w:rPr>
          <w:i/>
          <w:iCs/>
          <w:color w:val="auto"/>
        </w:rPr>
        <w:t>Management Decision</w:t>
      </w:r>
      <w:r w:rsidRPr="00EC1DF5">
        <w:rPr>
          <w:color w:val="auto"/>
        </w:rPr>
        <w:t>, </w:t>
      </w:r>
      <w:r w:rsidRPr="00EC1DF5">
        <w:rPr>
          <w:i/>
          <w:iCs/>
          <w:color w:val="auto"/>
        </w:rPr>
        <w:t>49</w:t>
      </w:r>
      <w:r w:rsidRPr="00EC1DF5">
        <w:rPr>
          <w:color w:val="auto"/>
        </w:rPr>
        <w:t>(8), pp.1276-1304.</w:t>
      </w:r>
    </w:p>
    <w:p w14:paraId="47DBC263" w14:textId="77777777" w:rsidR="00C7402A" w:rsidRPr="00EC1DF5" w:rsidRDefault="00C7402A" w:rsidP="0012185B">
      <w:pPr>
        <w:spacing w:before="240" w:after="0" w:line="276" w:lineRule="auto"/>
        <w:ind w:left="567" w:hanging="567"/>
        <w:rPr>
          <w:color w:val="auto"/>
        </w:rPr>
      </w:pPr>
      <w:r w:rsidRPr="00EC1DF5">
        <w:rPr>
          <w:color w:val="auto"/>
        </w:rPr>
        <w:t>Daily, C.M. &amp; Dalton, D.R. (2003). Women in the boardroom: A business imperative. </w:t>
      </w:r>
      <w:r w:rsidRPr="00EC1DF5">
        <w:rPr>
          <w:i/>
          <w:iCs/>
          <w:color w:val="auto"/>
        </w:rPr>
        <w:t>Journal of Business strategy</w:t>
      </w:r>
      <w:r w:rsidRPr="00EC1DF5">
        <w:rPr>
          <w:color w:val="auto"/>
        </w:rPr>
        <w:t>, </w:t>
      </w:r>
      <w:r w:rsidRPr="00EC1DF5">
        <w:rPr>
          <w:i/>
          <w:iCs/>
          <w:color w:val="auto"/>
        </w:rPr>
        <w:t>24</w:t>
      </w:r>
      <w:r w:rsidRPr="00EC1DF5">
        <w:rPr>
          <w:color w:val="auto"/>
        </w:rPr>
        <w:t>(5).</w:t>
      </w:r>
    </w:p>
    <w:p w14:paraId="54BD3C4F" w14:textId="77777777" w:rsidR="00C7402A" w:rsidRPr="00EC1DF5" w:rsidRDefault="00C7402A" w:rsidP="0012185B">
      <w:pPr>
        <w:spacing w:before="240" w:after="0" w:line="276" w:lineRule="auto"/>
        <w:ind w:left="567" w:hanging="567"/>
        <w:rPr>
          <w:color w:val="auto"/>
        </w:rPr>
      </w:pPr>
      <w:r w:rsidRPr="00EC1DF5">
        <w:rPr>
          <w:color w:val="auto"/>
        </w:rPr>
        <w:t>Dawkins, C. (2015). Agonistic pluralism and stakeholder engagement. </w:t>
      </w:r>
      <w:r w:rsidRPr="00EC1DF5">
        <w:rPr>
          <w:i/>
          <w:iCs/>
          <w:color w:val="auto"/>
        </w:rPr>
        <w:t>Business Ethics Quarterly</w:t>
      </w:r>
      <w:r w:rsidRPr="00EC1DF5">
        <w:rPr>
          <w:color w:val="auto"/>
        </w:rPr>
        <w:t>, </w:t>
      </w:r>
      <w:r w:rsidRPr="00EC1DF5">
        <w:rPr>
          <w:i/>
          <w:iCs/>
          <w:color w:val="auto"/>
        </w:rPr>
        <w:t>25</w:t>
      </w:r>
      <w:r w:rsidRPr="00EC1DF5">
        <w:rPr>
          <w:color w:val="auto"/>
        </w:rPr>
        <w:t>(1), pp.1-28.</w:t>
      </w:r>
    </w:p>
    <w:p w14:paraId="7ABF9590" w14:textId="77777777" w:rsidR="00C7402A" w:rsidRPr="00EC1DF5" w:rsidRDefault="00C7402A" w:rsidP="0012185B">
      <w:pPr>
        <w:spacing w:before="240" w:after="0" w:line="276" w:lineRule="auto"/>
        <w:ind w:left="567" w:hanging="567"/>
        <w:rPr>
          <w:color w:val="auto"/>
        </w:rPr>
      </w:pPr>
      <w:r w:rsidRPr="00EC1DF5">
        <w:rPr>
          <w:color w:val="auto"/>
        </w:rPr>
        <w:t xml:space="preserve">Deegan, C. (2000). Financial Accounting Theory. Roseville, NSW: </w:t>
      </w:r>
      <w:r w:rsidRPr="00EC1DF5">
        <w:rPr>
          <w:i/>
          <w:iCs/>
          <w:color w:val="auto"/>
        </w:rPr>
        <w:t>McGraw-Hill</w:t>
      </w:r>
    </w:p>
    <w:p w14:paraId="22D9A09D" w14:textId="77777777" w:rsidR="00C7402A" w:rsidRPr="00EC1DF5" w:rsidRDefault="00C7402A" w:rsidP="0012185B">
      <w:pPr>
        <w:spacing w:before="240" w:after="0" w:line="276" w:lineRule="auto"/>
        <w:ind w:left="567" w:hanging="567"/>
        <w:rPr>
          <w:color w:val="auto"/>
        </w:rPr>
      </w:pPr>
      <w:r w:rsidRPr="00EC1DF5">
        <w:rPr>
          <w:color w:val="auto"/>
        </w:rPr>
        <w:t>Donaldson, T. &amp; Preston, L.E. (1995). The stakeholder theory of the corporation: Concepts, evidence, and implications. </w:t>
      </w:r>
      <w:r w:rsidRPr="00EC1DF5">
        <w:rPr>
          <w:i/>
          <w:iCs/>
          <w:color w:val="auto"/>
        </w:rPr>
        <w:t>Academy of Management Review</w:t>
      </w:r>
      <w:r w:rsidRPr="00EC1DF5">
        <w:rPr>
          <w:color w:val="auto"/>
        </w:rPr>
        <w:t>, </w:t>
      </w:r>
      <w:r w:rsidRPr="00EC1DF5">
        <w:rPr>
          <w:i/>
          <w:iCs/>
          <w:color w:val="auto"/>
        </w:rPr>
        <w:t>20</w:t>
      </w:r>
      <w:r w:rsidRPr="00EC1DF5">
        <w:rPr>
          <w:color w:val="auto"/>
        </w:rPr>
        <w:t>(1), pp.65-91.</w:t>
      </w:r>
    </w:p>
    <w:p w14:paraId="11F35EB6" w14:textId="77777777" w:rsidR="00C7402A" w:rsidRPr="00EC1DF5" w:rsidRDefault="00C7402A" w:rsidP="0012185B">
      <w:pPr>
        <w:spacing w:before="240" w:after="0" w:line="276" w:lineRule="auto"/>
        <w:ind w:left="567" w:hanging="567"/>
        <w:rPr>
          <w:color w:val="auto"/>
        </w:rPr>
      </w:pPr>
      <w:r w:rsidRPr="00EC1DF5">
        <w:rPr>
          <w:color w:val="auto"/>
        </w:rPr>
        <w:t xml:space="preserve">Dunn, P. &amp; </w:t>
      </w:r>
      <w:proofErr w:type="spellStart"/>
      <w:r w:rsidRPr="00EC1DF5">
        <w:rPr>
          <w:color w:val="auto"/>
        </w:rPr>
        <w:t>Sainty</w:t>
      </w:r>
      <w:proofErr w:type="spellEnd"/>
      <w:r w:rsidRPr="00EC1DF5">
        <w:rPr>
          <w:color w:val="auto"/>
        </w:rPr>
        <w:t xml:space="preserve">, B. (2009). The relationship among board of director characteristics, corporate social </w:t>
      </w:r>
      <w:proofErr w:type="gramStart"/>
      <w:r w:rsidRPr="00EC1DF5">
        <w:rPr>
          <w:color w:val="auto"/>
        </w:rPr>
        <w:t>performance</w:t>
      </w:r>
      <w:proofErr w:type="gramEnd"/>
      <w:r w:rsidRPr="00EC1DF5">
        <w:rPr>
          <w:color w:val="auto"/>
        </w:rPr>
        <w:t xml:space="preserve"> and corporate financial performance. </w:t>
      </w:r>
      <w:r w:rsidRPr="00EC1DF5">
        <w:rPr>
          <w:i/>
          <w:iCs/>
          <w:color w:val="auto"/>
        </w:rPr>
        <w:t>International Journal of Managerial Finance</w:t>
      </w:r>
      <w:r w:rsidRPr="00EC1DF5">
        <w:rPr>
          <w:color w:val="auto"/>
        </w:rPr>
        <w:t>, </w:t>
      </w:r>
      <w:r w:rsidRPr="00EC1DF5">
        <w:rPr>
          <w:i/>
          <w:iCs/>
          <w:color w:val="auto"/>
        </w:rPr>
        <w:t>5</w:t>
      </w:r>
      <w:r w:rsidRPr="00EC1DF5">
        <w:rPr>
          <w:color w:val="auto"/>
        </w:rPr>
        <w:t>(4), pp.407-423.</w:t>
      </w:r>
    </w:p>
    <w:p w14:paraId="40851E05" w14:textId="77777777" w:rsidR="00C7402A" w:rsidRPr="00EC1DF5" w:rsidRDefault="00C7402A" w:rsidP="0012185B">
      <w:pPr>
        <w:spacing w:before="240" w:after="0" w:line="276" w:lineRule="auto"/>
        <w:ind w:left="567" w:hanging="567"/>
        <w:rPr>
          <w:color w:val="auto"/>
        </w:rPr>
      </w:pPr>
      <w:r w:rsidRPr="00EC1DF5">
        <w:rPr>
          <w:color w:val="auto"/>
        </w:rPr>
        <w:t xml:space="preserve">Eccles, R.G., </w:t>
      </w:r>
      <w:proofErr w:type="spellStart"/>
      <w:r w:rsidRPr="00EC1DF5">
        <w:rPr>
          <w:color w:val="auto"/>
        </w:rPr>
        <w:t>Serafeim</w:t>
      </w:r>
      <w:proofErr w:type="spellEnd"/>
      <w:r w:rsidRPr="00EC1DF5">
        <w:rPr>
          <w:color w:val="auto"/>
        </w:rPr>
        <w:t>, G. &amp; Andrews, P. (2011). Mandatory environmental, social, and governance disclosure in the European Union. </w:t>
      </w:r>
      <w:r w:rsidRPr="00EC1DF5">
        <w:rPr>
          <w:i/>
          <w:iCs/>
          <w:color w:val="auto"/>
        </w:rPr>
        <w:t>Harvard Business School Accounting &amp; Management Unit Case</w:t>
      </w:r>
      <w:r w:rsidRPr="00EC1DF5">
        <w:rPr>
          <w:color w:val="auto"/>
        </w:rPr>
        <w:t>, (111-120).</w:t>
      </w:r>
    </w:p>
    <w:p w14:paraId="4DDD7E9B" w14:textId="77777777" w:rsidR="00C7402A" w:rsidRPr="00EC1DF5" w:rsidRDefault="00C7402A" w:rsidP="0012185B">
      <w:pPr>
        <w:spacing w:before="240" w:after="0" w:line="276" w:lineRule="auto"/>
        <w:ind w:left="567" w:hanging="567"/>
        <w:rPr>
          <w:color w:val="auto"/>
        </w:rPr>
      </w:pPr>
      <w:r w:rsidRPr="00EC1DF5">
        <w:rPr>
          <w:color w:val="auto"/>
        </w:rPr>
        <w:t xml:space="preserve">Elkington, J. (1997). Cannibals with forks: the triple bottom line of twenty-first century business. </w:t>
      </w:r>
      <w:r w:rsidRPr="00EC1DF5">
        <w:rPr>
          <w:i/>
          <w:color w:val="auto"/>
        </w:rPr>
        <w:t>Capstone.</w:t>
      </w:r>
      <w:r w:rsidRPr="00EC1DF5">
        <w:rPr>
          <w:color w:val="auto"/>
        </w:rPr>
        <w:t xml:space="preserve"> </w:t>
      </w:r>
      <w:r w:rsidRPr="00EC1DF5">
        <w:rPr>
          <w:i/>
          <w:color w:val="auto"/>
        </w:rPr>
        <w:t>Stoney Creek, CT: New Society Publishers.</w:t>
      </w:r>
    </w:p>
    <w:p w14:paraId="454EE383" w14:textId="77777777" w:rsidR="00C7402A" w:rsidRPr="00EC1DF5" w:rsidRDefault="00C7402A" w:rsidP="0012185B">
      <w:pPr>
        <w:spacing w:before="240" w:after="0" w:line="276" w:lineRule="auto"/>
        <w:ind w:left="567" w:hanging="567"/>
        <w:rPr>
          <w:color w:val="auto"/>
        </w:rPr>
      </w:pPr>
      <w:proofErr w:type="spellStart"/>
      <w:r w:rsidRPr="00EC1DF5">
        <w:rPr>
          <w:color w:val="auto"/>
        </w:rPr>
        <w:t>Eng</w:t>
      </w:r>
      <w:proofErr w:type="spellEnd"/>
      <w:r w:rsidRPr="00EC1DF5">
        <w:rPr>
          <w:color w:val="auto"/>
        </w:rPr>
        <w:t xml:space="preserve">, L.L. &amp; </w:t>
      </w:r>
      <w:proofErr w:type="spellStart"/>
      <w:r w:rsidRPr="00EC1DF5">
        <w:rPr>
          <w:color w:val="auto"/>
        </w:rPr>
        <w:t>Mak</w:t>
      </w:r>
      <w:proofErr w:type="spellEnd"/>
      <w:r w:rsidRPr="00EC1DF5">
        <w:rPr>
          <w:color w:val="auto"/>
        </w:rPr>
        <w:t>, Y.T. (2003). Corporate governance and voluntary disclosure. </w:t>
      </w:r>
      <w:r w:rsidRPr="00EC1DF5">
        <w:rPr>
          <w:i/>
          <w:iCs/>
          <w:color w:val="auto"/>
        </w:rPr>
        <w:t>Journal of Accounting and Public Policy</w:t>
      </w:r>
      <w:r w:rsidRPr="00EC1DF5">
        <w:rPr>
          <w:color w:val="auto"/>
        </w:rPr>
        <w:t>, </w:t>
      </w:r>
      <w:r w:rsidRPr="00EC1DF5">
        <w:rPr>
          <w:i/>
          <w:iCs/>
          <w:color w:val="auto"/>
        </w:rPr>
        <w:t>22</w:t>
      </w:r>
      <w:r w:rsidRPr="00EC1DF5">
        <w:rPr>
          <w:color w:val="auto"/>
        </w:rPr>
        <w:t>(4), pp.325-345.</w:t>
      </w:r>
    </w:p>
    <w:p w14:paraId="7E7B054F" w14:textId="77777777" w:rsidR="00C7402A" w:rsidRPr="00EC1DF5" w:rsidRDefault="00C7402A" w:rsidP="0012185B">
      <w:pPr>
        <w:spacing w:before="240" w:after="0" w:line="276" w:lineRule="auto"/>
        <w:ind w:left="567" w:hanging="567"/>
        <w:rPr>
          <w:color w:val="auto"/>
        </w:rPr>
      </w:pPr>
      <w:proofErr w:type="spellStart"/>
      <w:r w:rsidRPr="00EC1DF5">
        <w:rPr>
          <w:color w:val="auto"/>
        </w:rPr>
        <w:t>Enric</w:t>
      </w:r>
      <w:proofErr w:type="spellEnd"/>
      <w:r w:rsidRPr="00EC1DF5">
        <w:rPr>
          <w:color w:val="auto"/>
        </w:rPr>
        <w:t xml:space="preserve">, R. J., </w:t>
      </w:r>
      <w:proofErr w:type="spellStart"/>
      <w:r w:rsidRPr="00EC1DF5">
        <w:rPr>
          <w:color w:val="auto"/>
        </w:rPr>
        <w:t>Ángel</w:t>
      </w:r>
      <w:proofErr w:type="spellEnd"/>
      <w:r w:rsidRPr="00EC1DF5">
        <w:rPr>
          <w:color w:val="auto"/>
        </w:rPr>
        <w:t>, R.M. &amp; Sánchez, P. (2005). Sustainability in the boardroom: An empirical examination of Dow Jones Sustainability World Index leaders. </w:t>
      </w:r>
      <w:r w:rsidRPr="00EC1DF5">
        <w:rPr>
          <w:i/>
          <w:iCs/>
          <w:color w:val="auto"/>
        </w:rPr>
        <w:t>Corporate Governance: The International Journal of Business in Society</w:t>
      </w:r>
      <w:r w:rsidRPr="00EC1DF5">
        <w:rPr>
          <w:color w:val="auto"/>
        </w:rPr>
        <w:t>, </w:t>
      </w:r>
      <w:r w:rsidRPr="00EC1DF5">
        <w:rPr>
          <w:i/>
          <w:iCs/>
          <w:color w:val="auto"/>
        </w:rPr>
        <w:t>5</w:t>
      </w:r>
      <w:r w:rsidRPr="00EC1DF5">
        <w:rPr>
          <w:color w:val="auto"/>
        </w:rPr>
        <w:t>(3), pp.24-41.</w:t>
      </w:r>
    </w:p>
    <w:p w14:paraId="5087970B" w14:textId="77777777" w:rsidR="00C7402A" w:rsidRPr="00EC1DF5" w:rsidRDefault="00C7402A" w:rsidP="0012185B">
      <w:pPr>
        <w:spacing w:before="240" w:after="0" w:line="276" w:lineRule="auto"/>
        <w:ind w:left="567" w:hanging="567"/>
        <w:rPr>
          <w:color w:val="auto"/>
        </w:rPr>
      </w:pPr>
      <w:proofErr w:type="spellStart"/>
      <w:r w:rsidRPr="00EC1DF5">
        <w:rPr>
          <w:color w:val="auto"/>
        </w:rPr>
        <w:lastRenderedPageBreak/>
        <w:t>Ertimur</w:t>
      </w:r>
      <w:proofErr w:type="spellEnd"/>
      <w:r w:rsidRPr="00EC1DF5">
        <w:rPr>
          <w:color w:val="auto"/>
        </w:rPr>
        <w:t xml:space="preserve">, Y., </w:t>
      </w:r>
      <w:proofErr w:type="spellStart"/>
      <w:r w:rsidRPr="00EC1DF5">
        <w:rPr>
          <w:color w:val="auto"/>
        </w:rPr>
        <w:t>Ferri</w:t>
      </w:r>
      <w:proofErr w:type="spellEnd"/>
      <w:r w:rsidRPr="00EC1DF5">
        <w:rPr>
          <w:color w:val="auto"/>
        </w:rPr>
        <w:t xml:space="preserve">, F. &amp; </w:t>
      </w:r>
      <w:proofErr w:type="spellStart"/>
      <w:r w:rsidRPr="00EC1DF5">
        <w:rPr>
          <w:color w:val="auto"/>
        </w:rPr>
        <w:t>Stubben</w:t>
      </w:r>
      <w:proofErr w:type="spellEnd"/>
      <w:r w:rsidRPr="00EC1DF5">
        <w:rPr>
          <w:color w:val="auto"/>
        </w:rPr>
        <w:t xml:space="preserve">, S.R. (2010). Board of directors' responsiveness to shareholders: Evidence from shareholder proposals. </w:t>
      </w:r>
      <w:r w:rsidRPr="00EC1DF5">
        <w:rPr>
          <w:i/>
          <w:color w:val="auto"/>
        </w:rPr>
        <w:t>Journal of Corporate Finance, 16(1),</w:t>
      </w:r>
      <w:r w:rsidRPr="00EC1DF5">
        <w:rPr>
          <w:color w:val="auto"/>
        </w:rPr>
        <w:t xml:space="preserve"> pp.53-72.</w:t>
      </w:r>
    </w:p>
    <w:p w14:paraId="7CBA57D6" w14:textId="77777777" w:rsidR="00C7402A" w:rsidRPr="00EC1DF5" w:rsidRDefault="00C7402A" w:rsidP="0012185B">
      <w:pPr>
        <w:spacing w:before="240" w:after="0" w:line="276" w:lineRule="auto"/>
        <w:ind w:left="567" w:hanging="567"/>
        <w:rPr>
          <w:color w:val="auto"/>
        </w:rPr>
      </w:pPr>
      <w:r w:rsidRPr="00EC1DF5">
        <w:rPr>
          <w:color w:val="auto"/>
        </w:rPr>
        <w:t>Fernandez-</w:t>
      </w:r>
      <w:proofErr w:type="spellStart"/>
      <w:r w:rsidRPr="00EC1DF5">
        <w:rPr>
          <w:color w:val="auto"/>
        </w:rPr>
        <w:t>Feijoo</w:t>
      </w:r>
      <w:proofErr w:type="spellEnd"/>
      <w:r w:rsidRPr="00EC1DF5">
        <w:rPr>
          <w:color w:val="auto"/>
        </w:rPr>
        <w:t>, B., Romero, S. &amp; Ruiz, S. (2012). Does board gender composition affect corporate social responsibility reporting? </w:t>
      </w:r>
      <w:r w:rsidRPr="00EC1DF5">
        <w:rPr>
          <w:i/>
          <w:iCs/>
          <w:color w:val="auto"/>
        </w:rPr>
        <w:t>International Journal of Business and Social Science</w:t>
      </w:r>
      <w:r w:rsidRPr="00EC1DF5">
        <w:rPr>
          <w:color w:val="auto"/>
        </w:rPr>
        <w:t>, </w:t>
      </w:r>
      <w:r w:rsidRPr="00EC1DF5">
        <w:rPr>
          <w:i/>
          <w:iCs/>
          <w:color w:val="auto"/>
        </w:rPr>
        <w:t>3</w:t>
      </w:r>
      <w:r w:rsidRPr="00EC1DF5">
        <w:rPr>
          <w:color w:val="auto"/>
        </w:rPr>
        <w:t>(1), pp.31-38.</w:t>
      </w:r>
    </w:p>
    <w:p w14:paraId="13C89A97" w14:textId="77777777" w:rsidR="00C7402A" w:rsidRPr="00EC1DF5" w:rsidRDefault="00C7402A" w:rsidP="0012185B">
      <w:pPr>
        <w:spacing w:before="240" w:after="0" w:line="276" w:lineRule="auto"/>
        <w:ind w:left="567" w:hanging="567"/>
        <w:rPr>
          <w:color w:val="auto"/>
        </w:rPr>
      </w:pPr>
      <w:r w:rsidRPr="00EC1DF5">
        <w:rPr>
          <w:color w:val="auto"/>
        </w:rPr>
        <w:t>Fodio, M.I. &amp; Oba, V.C. (2012). Boards’ gender mix and extent of environmental responsibility information disclosure in Nigeria: An empirical study. </w:t>
      </w:r>
      <w:r w:rsidRPr="00EC1DF5">
        <w:rPr>
          <w:i/>
          <w:iCs/>
          <w:color w:val="auto"/>
        </w:rPr>
        <w:t>European Journal of Business and Management</w:t>
      </w:r>
      <w:r w:rsidRPr="00EC1DF5">
        <w:rPr>
          <w:color w:val="auto"/>
        </w:rPr>
        <w:t>, </w:t>
      </w:r>
      <w:r w:rsidRPr="00EC1DF5">
        <w:rPr>
          <w:i/>
          <w:iCs/>
          <w:color w:val="auto"/>
        </w:rPr>
        <w:t>4</w:t>
      </w:r>
      <w:r w:rsidRPr="00EC1DF5">
        <w:rPr>
          <w:color w:val="auto"/>
        </w:rPr>
        <w:t>(14), pp.163-169.</w:t>
      </w:r>
    </w:p>
    <w:p w14:paraId="11DF516C" w14:textId="77777777" w:rsidR="00C7402A" w:rsidRPr="00EC1DF5" w:rsidRDefault="00C7402A" w:rsidP="0012185B">
      <w:pPr>
        <w:spacing w:before="240" w:after="0" w:line="276" w:lineRule="auto"/>
        <w:ind w:left="567" w:hanging="567"/>
        <w:rPr>
          <w:color w:val="auto"/>
        </w:rPr>
      </w:pPr>
      <w:r w:rsidRPr="00EC1DF5">
        <w:rPr>
          <w:color w:val="auto"/>
        </w:rPr>
        <w:t>Freeman, R.E. &amp; Evan, W.M. (1990). Corporate governance: A stakeholder interpretation. </w:t>
      </w:r>
      <w:r w:rsidRPr="00EC1DF5">
        <w:rPr>
          <w:i/>
          <w:iCs/>
          <w:color w:val="auto"/>
        </w:rPr>
        <w:t xml:space="preserve">Journal of </w:t>
      </w:r>
      <w:proofErr w:type="spellStart"/>
      <w:r w:rsidRPr="00EC1DF5">
        <w:rPr>
          <w:i/>
          <w:iCs/>
          <w:color w:val="auto"/>
        </w:rPr>
        <w:t>Behavioral</w:t>
      </w:r>
      <w:proofErr w:type="spellEnd"/>
      <w:r w:rsidRPr="00EC1DF5">
        <w:rPr>
          <w:i/>
          <w:iCs/>
          <w:color w:val="auto"/>
        </w:rPr>
        <w:t xml:space="preserve"> Economics</w:t>
      </w:r>
      <w:r w:rsidRPr="00EC1DF5">
        <w:rPr>
          <w:color w:val="auto"/>
        </w:rPr>
        <w:t>, </w:t>
      </w:r>
      <w:r w:rsidRPr="00EC1DF5">
        <w:rPr>
          <w:i/>
          <w:iCs/>
          <w:color w:val="auto"/>
        </w:rPr>
        <w:t>19</w:t>
      </w:r>
      <w:r w:rsidRPr="00EC1DF5">
        <w:rPr>
          <w:color w:val="auto"/>
        </w:rPr>
        <w:t>(4), pp.337-359.</w:t>
      </w:r>
    </w:p>
    <w:p w14:paraId="3F436969" w14:textId="77777777" w:rsidR="00C7402A" w:rsidRPr="00EC1DF5" w:rsidRDefault="00C7402A" w:rsidP="0012185B">
      <w:pPr>
        <w:spacing w:before="240" w:after="0" w:line="276" w:lineRule="auto"/>
        <w:ind w:left="567" w:hanging="567"/>
        <w:rPr>
          <w:color w:val="auto"/>
        </w:rPr>
      </w:pPr>
      <w:proofErr w:type="spellStart"/>
      <w:r w:rsidRPr="00EC1DF5">
        <w:rPr>
          <w:color w:val="auto"/>
        </w:rPr>
        <w:t>Frooman</w:t>
      </w:r>
      <w:proofErr w:type="spellEnd"/>
      <w:r w:rsidRPr="00EC1DF5">
        <w:rPr>
          <w:color w:val="auto"/>
        </w:rPr>
        <w:t>, J. (1999). Stakeholder influence strategies. </w:t>
      </w:r>
      <w:r w:rsidRPr="00EC1DF5">
        <w:rPr>
          <w:i/>
          <w:iCs/>
          <w:color w:val="auto"/>
        </w:rPr>
        <w:t>Academy of Management Review</w:t>
      </w:r>
      <w:r w:rsidRPr="00EC1DF5">
        <w:rPr>
          <w:color w:val="auto"/>
        </w:rPr>
        <w:t>, </w:t>
      </w:r>
      <w:r w:rsidRPr="00EC1DF5">
        <w:rPr>
          <w:i/>
          <w:iCs/>
          <w:color w:val="auto"/>
        </w:rPr>
        <w:t>24</w:t>
      </w:r>
      <w:r w:rsidRPr="00EC1DF5">
        <w:rPr>
          <w:color w:val="auto"/>
        </w:rPr>
        <w:t>(2), pp.191-205.</w:t>
      </w:r>
    </w:p>
    <w:p w14:paraId="182FBE6F" w14:textId="47D619EB" w:rsidR="00C7402A" w:rsidRPr="00EC1DF5" w:rsidRDefault="00C7402A" w:rsidP="0012185B">
      <w:pPr>
        <w:spacing w:before="240" w:after="0" w:line="276" w:lineRule="auto"/>
        <w:ind w:left="567" w:hanging="567"/>
        <w:rPr>
          <w:color w:val="auto"/>
        </w:rPr>
      </w:pPr>
      <w:r w:rsidRPr="00EC1DF5">
        <w:rPr>
          <w:color w:val="auto"/>
        </w:rPr>
        <w:t>Galbreath, J. (2011). Are there gender-related influences on corporate sustainability? A study of women on boards of directors. </w:t>
      </w:r>
      <w:r w:rsidRPr="00EC1DF5">
        <w:rPr>
          <w:i/>
          <w:iCs/>
          <w:color w:val="auto"/>
        </w:rPr>
        <w:t>Journal of Management &amp; Organization</w:t>
      </w:r>
      <w:r w:rsidRPr="00EC1DF5">
        <w:rPr>
          <w:color w:val="auto"/>
        </w:rPr>
        <w:t>, </w:t>
      </w:r>
      <w:r w:rsidRPr="00EC1DF5">
        <w:rPr>
          <w:i/>
          <w:iCs/>
          <w:color w:val="auto"/>
        </w:rPr>
        <w:t>17</w:t>
      </w:r>
      <w:r w:rsidRPr="00EC1DF5">
        <w:rPr>
          <w:color w:val="auto"/>
        </w:rPr>
        <w:t>(1), pp.17-38.</w:t>
      </w:r>
    </w:p>
    <w:p w14:paraId="7BAD156C" w14:textId="034E9079" w:rsidR="00B60EF5" w:rsidRPr="00EC1DF5" w:rsidRDefault="00B60EF5" w:rsidP="00B60EF5">
      <w:pPr>
        <w:spacing w:before="240" w:after="0" w:line="276" w:lineRule="auto"/>
        <w:ind w:left="567" w:hanging="567"/>
        <w:rPr>
          <w:color w:val="auto"/>
          <w:lang w:val="en-US"/>
        </w:rPr>
      </w:pPr>
      <w:r w:rsidRPr="00EC1DF5">
        <w:rPr>
          <w:color w:val="auto"/>
          <w:lang w:val="en-US"/>
        </w:rPr>
        <w:t xml:space="preserve">Galbreath, J. (2012). Are boards on board? A model of corporate board influence on sustainability performance. </w:t>
      </w:r>
      <w:r w:rsidRPr="00EC1DF5">
        <w:rPr>
          <w:i/>
          <w:iCs/>
          <w:color w:val="auto"/>
          <w:lang w:val="en-US"/>
        </w:rPr>
        <w:t>Journal of Management &amp; Organization</w:t>
      </w:r>
      <w:r w:rsidRPr="00EC1DF5">
        <w:rPr>
          <w:color w:val="auto"/>
          <w:lang w:val="en-US"/>
        </w:rPr>
        <w:t xml:space="preserve">, </w:t>
      </w:r>
      <w:r w:rsidRPr="00EC1DF5">
        <w:rPr>
          <w:i/>
          <w:iCs/>
          <w:color w:val="auto"/>
          <w:lang w:val="en-US"/>
        </w:rPr>
        <w:t>18</w:t>
      </w:r>
      <w:r w:rsidRPr="00EC1DF5">
        <w:rPr>
          <w:color w:val="auto"/>
          <w:lang w:val="en-US"/>
        </w:rPr>
        <w:t xml:space="preserve">, 445-460. </w:t>
      </w:r>
    </w:p>
    <w:p w14:paraId="7AA96144" w14:textId="77777777" w:rsidR="00C7402A" w:rsidRPr="00EC1DF5" w:rsidRDefault="00C7402A" w:rsidP="0012185B">
      <w:pPr>
        <w:spacing w:before="240" w:after="0" w:line="276" w:lineRule="auto"/>
        <w:ind w:left="567" w:hanging="567"/>
        <w:rPr>
          <w:color w:val="auto"/>
        </w:rPr>
      </w:pPr>
      <w:proofErr w:type="spellStart"/>
      <w:r w:rsidRPr="00EC1DF5">
        <w:rPr>
          <w:color w:val="auto"/>
        </w:rPr>
        <w:t>Gillan</w:t>
      </w:r>
      <w:proofErr w:type="spellEnd"/>
      <w:r w:rsidRPr="00EC1DF5">
        <w:rPr>
          <w:color w:val="auto"/>
        </w:rPr>
        <w:t>, S.L. &amp; Starks, L.T. (2007). The evolution of shareholder activism in the United States. </w:t>
      </w:r>
      <w:r w:rsidRPr="00EC1DF5">
        <w:rPr>
          <w:i/>
          <w:iCs/>
          <w:color w:val="auto"/>
        </w:rPr>
        <w:t>Journal of Applied Corporate Finance</w:t>
      </w:r>
      <w:r w:rsidRPr="00EC1DF5">
        <w:rPr>
          <w:color w:val="auto"/>
        </w:rPr>
        <w:t>, </w:t>
      </w:r>
      <w:r w:rsidRPr="00EC1DF5">
        <w:rPr>
          <w:i/>
          <w:iCs/>
          <w:color w:val="auto"/>
        </w:rPr>
        <w:t>19</w:t>
      </w:r>
      <w:r w:rsidRPr="00EC1DF5">
        <w:rPr>
          <w:color w:val="auto"/>
        </w:rPr>
        <w:t>(1), pp.55-73.</w:t>
      </w:r>
    </w:p>
    <w:p w14:paraId="4F056FB4" w14:textId="77777777" w:rsidR="00C7402A" w:rsidRPr="00EC1DF5" w:rsidRDefault="00C7402A" w:rsidP="00C7402A">
      <w:pPr>
        <w:spacing w:before="240" w:after="0" w:line="276" w:lineRule="auto"/>
        <w:ind w:left="567" w:hanging="567"/>
        <w:rPr>
          <w:color w:val="auto"/>
        </w:rPr>
      </w:pPr>
      <w:proofErr w:type="spellStart"/>
      <w:r w:rsidRPr="00EC1DF5">
        <w:rPr>
          <w:color w:val="auto"/>
        </w:rPr>
        <w:t>Gliedt</w:t>
      </w:r>
      <w:proofErr w:type="spellEnd"/>
      <w:r w:rsidRPr="00EC1DF5">
        <w:rPr>
          <w:color w:val="auto"/>
        </w:rPr>
        <w:t xml:space="preserve">, T., </w:t>
      </w:r>
      <w:proofErr w:type="spellStart"/>
      <w:r w:rsidRPr="00EC1DF5">
        <w:rPr>
          <w:color w:val="auto"/>
        </w:rPr>
        <w:t>Hoicka</w:t>
      </w:r>
      <w:proofErr w:type="spellEnd"/>
      <w:r w:rsidRPr="00EC1DF5">
        <w:rPr>
          <w:color w:val="auto"/>
        </w:rPr>
        <w:t>, C.E. and Jackson, N., 2018. Innovation intermediaries accelerating environmental sustainability transitions. </w:t>
      </w:r>
      <w:r w:rsidRPr="00EC1DF5">
        <w:rPr>
          <w:i/>
          <w:iCs/>
          <w:color w:val="auto"/>
        </w:rPr>
        <w:t>Journal of Cleaner Production</w:t>
      </w:r>
      <w:r w:rsidRPr="00EC1DF5">
        <w:rPr>
          <w:color w:val="auto"/>
        </w:rPr>
        <w:t>, </w:t>
      </w:r>
      <w:r w:rsidRPr="00EC1DF5">
        <w:rPr>
          <w:i/>
          <w:iCs/>
          <w:color w:val="auto"/>
        </w:rPr>
        <w:t>174</w:t>
      </w:r>
      <w:r w:rsidRPr="00EC1DF5">
        <w:rPr>
          <w:color w:val="auto"/>
        </w:rPr>
        <w:t>, pp.1247-1261.</w:t>
      </w:r>
    </w:p>
    <w:p w14:paraId="1E9B2BED" w14:textId="77777777" w:rsidR="00C7402A" w:rsidRPr="00EC1DF5" w:rsidRDefault="00C7402A" w:rsidP="0012185B">
      <w:pPr>
        <w:spacing w:before="240" w:after="0" w:line="276" w:lineRule="auto"/>
        <w:ind w:left="567" w:hanging="567"/>
        <w:rPr>
          <w:color w:val="auto"/>
        </w:rPr>
      </w:pPr>
      <w:r w:rsidRPr="00EC1DF5">
        <w:rPr>
          <w:color w:val="auto"/>
        </w:rPr>
        <w:t xml:space="preserve">Gompers, P., Ishii, J. &amp; </w:t>
      </w:r>
      <w:proofErr w:type="spellStart"/>
      <w:r w:rsidRPr="00EC1DF5">
        <w:rPr>
          <w:color w:val="auto"/>
        </w:rPr>
        <w:t>Metrick</w:t>
      </w:r>
      <w:proofErr w:type="spellEnd"/>
      <w:r w:rsidRPr="00EC1DF5">
        <w:rPr>
          <w:color w:val="auto"/>
        </w:rPr>
        <w:t>, A. (2003). Corporate governance and equity prices. </w:t>
      </w:r>
      <w:r w:rsidRPr="00EC1DF5">
        <w:rPr>
          <w:i/>
          <w:iCs/>
          <w:color w:val="auto"/>
        </w:rPr>
        <w:t>The Quarterly Journal of Economics</w:t>
      </w:r>
      <w:r w:rsidRPr="00EC1DF5">
        <w:rPr>
          <w:color w:val="auto"/>
        </w:rPr>
        <w:t>, </w:t>
      </w:r>
      <w:r w:rsidRPr="00EC1DF5">
        <w:rPr>
          <w:i/>
          <w:iCs/>
          <w:color w:val="auto"/>
        </w:rPr>
        <w:t>118</w:t>
      </w:r>
      <w:r w:rsidRPr="00EC1DF5">
        <w:rPr>
          <w:color w:val="auto"/>
        </w:rPr>
        <w:t>(1), pp.107-156.</w:t>
      </w:r>
    </w:p>
    <w:p w14:paraId="41F0ED47" w14:textId="77777777" w:rsidR="00C7402A" w:rsidRPr="00EC1DF5" w:rsidRDefault="00C7402A" w:rsidP="0012185B">
      <w:pPr>
        <w:spacing w:before="240" w:after="0" w:line="276" w:lineRule="auto"/>
        <w:ind w:left="567" w:hanging="567"/>
        <w:rPr>
          <w:color w:val="auto"/>
        </w:rPr>
      </w:pPr>
      <w:r w:rsidRPr="00EC1DF5">
        <w:rPr>
          <w:color w:val="auto"/>
        </w:rPr>
        <w:t>Greenwood, M. (2007). Stakeholder engagement: Beyond the myth of corporate responsibility. </w:t>
      </w:r>
      <w:r w:rsidRPr="00EC1DF5">
        <w:rPr>
          <w:i/>
          <w:iCs/>
          <w:color w:val="auto"/>
        </w:rPr>
        <w:t>Journal of Business ethics</w:t>
      </w:r>
      <w:r w:rsidRPr="00EC1DF5">
        <w:rPr>
          <w:color w:val="auto"/>
        </w:rPr>
        <w:t>, </w:t>
      </w:r>
      <w:r w:rsidRPr="00EC1DF5">
        <w:rPr>
          <w:i/>
          <w:iCs/>
          <w:color w:val="auto"/>
        </w:rPr>
        <w:t>74</w:t>
      </w:r>
      <w:r w:rsidRPr="00EC1DF5">
        <w:rPr>
          <w:color w:val="auto"/>
        </w:rPr>
        <w:t>(4), pp.315-327.</w:t>
      </w:r>
    </w:p>
    <w:p w14:paraId="52CB8FE3" w14:textId="77777777" w:rsidR="00C7402A" w:rsidRPr="00EC1DF5" w:rsidRDefault="00C7402A" w:rsidP="0012185B">
      <w:pPr>
        <w:spacing w:before="240" w:after="0" w:line="276" w:lineRule="auto"/>
        <w:ind w:left="567" w:hanging="567"/>
        <w:rPr>
          <w:color w:val="auto"/>
        </w:rPr>
      </w:pPr>
      <w:r w:rsidRPr="00EC1DF5">
        <w:rPr>
          <w:color w:val="auto"/>
        </w:rPr>
        <w:t>Gul, F.A. &amp; Leung, S. (2004). Board leadership, outside directors’ expertise and voluntary corporate disclosures. </w:t>
      </w:r>
      <w:r w:rsidRPr="00EC1DF5">
        <w:rPr>
          <w:i/>
          <w:iCs/>
          <w:color w:val="auto"/>
        </w:rPr>
        <w:t>Journal of Accounting and Public Policy</w:t>
      </w:r>
      <w:r w:rsidRPr="00EC1DF5">
        <w:rPr>
          <w:color w:val="auto"/>
        </w:rPr>
        <w:t>, </w:t>
      </w:r>
      <w:r w:rsidRPr="00EC1DF5">
        <w:rPr>
          <w:i/>
          <w:iCs/>
          <w:color w:val="auto"/>
        </w:rPr>
        <w:t>23</w:t>
      </w:r>
      <w:r w:rsidRPr="00EC1DF5">
        <w:rPr>
          <w:color w:val="auto"/>
        </w:rPr>
        <w:t>(5), pp.351-379.</w:t>
      </w:r>
    </w:p>
    <w:p w14:paraId="665BE229" w14:textId="77777777" w:rsidR="00C7402A" w:rsidRPr="00EC1DF5" w:rsidRDefault="00C7402A" w:rsidP="0012185B">
      <w:pPr>
        <w:spacing w:before="240" w:after="0" w:line="276" w:lineRule="auto"/>
        <w:ind w:left="567" w:hanging="567"/>
        <w:rPr>
          <w:color w:val="auto"/>
        </w:rPr>
      </w:pPr>
      <w:proofErr w:type="spellStart"/>
      <w:r w:rsidRPr="00EC1DF5">
        <w:rPr>
          <w:color w:val="auto"/>
        </w:rPr>
        <w:t>Halme</w:t>
      </w:r>
      <w:proofErr w:type="spellEnd"/>
      <w:r w:rsidRPr="00EC1DF5">
        <w:rPr>
          <w:color w:val="auto"/>
        </w:rPr>
        <w:t xml:space="preserve">, M. &amp; </w:t>
      </w:r>
      <w:proofErr w:type="spellStart"/>
      <w:r w:rsidRPr="00EC1DF5">
        <w:rPr>
          <w:color w:val="auto"/>
        </w:rPr>
        <w:t>Huse</w:t>
      </w:r>
      <w:proofErr w:type="spellEnd"/>
      <w:r w:rsidRPr="00EC1DF5">
        <w:rPr>
          <w:color w:val="auto"/>
        </w:rPr>
        <w:t xml:space="preserve">, M. (1997). The influence of corporate governance, </w:t>
      </w:r>
      <w:proofErr w:type="gramStart"/>
      <w:r w:rsidRPr="00EC1DF5">
        <w:rPr>
          <w:color w:val="auto"/>
        </w:rPr>
        <w:t>industry</w:t>
      </w:r>
      <w:proofErr w:type="gramEnd"/>
      <w:r w:rsidRPr="00EC1DF5">
        <w:rPr>
          <w:color w:val="auto"/>
        </w:rPr>
        <w:t xml:space="preserve"> and country factors on environmental reporting. </w:t>
      </w:r>
      <w:r w:rsidRPr="00EC1DF5">
        <w:rPr>
          <w:i/>
          <w:iCs/>
          <w:color w:val="auto"/>
        </w:rPr>
        <w:t>Scandinavian Journal of Management</w:t>
      </w:r>
      <w:r w:rsidRPr="00EC1DF5">
        <w:rPr>
          <w:color w:val="auto"/>
        </w:rPr>
        <w:t>, </w:t>
      </w:r>
      <w:r w:rsidRPr="00EC1DF5">
        <w:rPr>
          <w:i/>
          <w:iCs/>
          <w:color w:val="auto"/>
        </w:rPr>
        <w:t>13</w:t>
      </w:r>
      <w:r w:rsidRPr="00EC1DF5">
        <w:rPr>
          <w:color w:val="auto"/>
        </w:rPr>
        <w:t>(2), pp.137-157.</w:t>
      </w:r>
    </w:p>
    <w:p w14:paraId="6E0031E8" w14:textId="77777777" w:rsidR="00C7402A" w:rsidRPr="00EC1DF5" w:rsidRDefault="00C7402A" w:rsidP="0012185B">
      <w:pPr>
        <w:spacing w:before="240" w:after="0" w:line="276" w:lineRule="auto"/>
        <w:ind w:left="567" w:hanging="567"/>
        <w:rPr>
          <w:color w:val="auto"/>
        </w:rPr>
      </w:pPr>
      <w:proofErr w:type="spellStart"/>
      <w:r w:rsidRPr="00EC1DF5">
        <w:rPr>
          <w:color w:val="auto"/>
        </w:rPr>
        <w:t>Haniffa</w:t>
      </w:r>
      <w:proofErr w:type="spellEnd"/>
      <w:r w:rsidRPr="00EC1DF5">
        <w:rPr>
          <w:color w:val="auto"/>
        </w:rPr>
        <w:t xml:space="preserve">, R.M. &amp; Cooke, T.E. (2002). Culture, corporate </w:t>
      </w:r>
      <w:proofErr w:type="gramStart"/>
      <w:r w:rsidRPr="00EC1DF5">
        <w:rPr>
          <w:color w:val="auto"/>
        </w:rPr>
        <w:t>governance</w:t>
      </w:r>
      <w:proofErr w:type="gramEnd"/>
      <w:r w:rsidRPr="00EC1DF5">
        <w:rPr>
          <w:color w:val="auto"/>
        </w:rPr>
        <w:t xml:space="preserve"> and disclosure in Malaysian corporations. </w:t>
      </w:r>
      <w:r w:rsidRPr="00EC1DF5">
        <w:rPr>
          <w:i/>
          <w:iCs/>
          <w:color w:val="auto"/>
        </w:rPr>
        <w:t>Abacus</w:t>
      </w:r>
      <w:r w:rsidRPr="00EC1DF5">
        <w:rPr>
          <w:color w:val="auto"/>
        </w:rPr>
        <w:t>, </w:t>
      </w:r>
      <w:r w:rsidRPr="00EC1DF5">
        <w:rPr>
          <w:i/>
          <w:iCs/>
          <w:color w:val="auto"/>
        </w:rPr>
        <w:t>38</w:t>
      </w:r>
      <w:r w:rsidRPr="00EC1DF5">
        <w:rPr>
          <w:color w:val="auto"/>
        </w:rPr>
        <w:t>(3), pp.317-349.</w:t>
      </w:r>
    </w:p>
    <w:p w14:paraId="18878A85" w14:textId="68F87C65" w:rsidR="00C7402A" w:rsidRPr="00EC1DF5" w:rsidRDefault="00C7402A" w:rsidP="0012185B">
      <w:pPr>
        <w:spacing w:before="240" w:after="0" w:line="276" w:lineRule="auto"/>
        <w:ind w:left="567" w:hanging="567"/>
        <w:rPr>
          <w:color w:val="auto"/>
        </w:rPr>
      </w:pPr>
      <w:proofErr w:type="spellStart"/>
      <w:r w:rsidRPr="00EC1DF5">
        <w:rPr>
          <w:color w:val="auto"/>
        </w:rPr>
        <w:lastRenderedPageBreak/>
        <w:t>Haniffa</w:t>
      </w:r>
      <w:proofErr w:type="spellEnd"/>
      <w:r w:rsidRPr="00EC1DF5">
        <w:rPr>
          <w:color w:val="auto"/>
        </w:rPr>
        <w:t>, R.M. &amp; Cooke, T.E. (2005). The impact of culture and governance on corporate social reporting. </w:t>
      </w:r>
      <w:r w:rsidRPr="00EC1DF5">
        <w:rPr>
          <w:i/>
          <w:iCs/>
          <w:color w:val="auto"/>
        </w:rPr>
        <w:t>Journal of Accounting and Public Policy</w:t>
      </w:r>
      <w:r w:rsidRPr="00EC1DF5">
        <w:rPr>
          <w:color w:val="auto"/>
        </w:rPr>
        <w:t>, </w:t>
      </w:r>
      <w:r w:rsidRPr="00EC1DF5">
        <w:rPr>
          <w:i/>
          <w:iCs/>
          <w:color w:val="auto"/>
        </w:rPr>
        <w:t>24</w:t>
      </w:r>
      <w:r w:rsidRPr="00EC1DF5">
        <w:rPr>
          <w:color w:val="auto"/>
        </w:rPr>
        <w:t>(5), pp.391-430.</w:t>
      </w:r>
    </w:p>
    <w:p w14:paraId="1FC92335" w14:textId="63CE7AEC" w:rsidR="00B60EF5" w:rsidRPr="00EC1DF5" w:rsidRDefault="00B60EF5" w:rsidP="00B60EF5">
      <w:pPr>
        <w:spacing w:before="240" w:after="0" w:line="276" w:lineRule="auto"/>
        <w:ind w:left="567" w:hanging="567"/>
        <w:rPr>
          <w:color w:val="auto"/>
          <w:lang w:val="en-US"/>
        </w:rPr>
      </w:pPr>
      <w:proofErr w:type="spellStart"/>
      <w:r w:rsidRPr="00EC1DF5">
        <w:rPr>
          <w:color w:val="auto"/>
          <w:lang w:val="en-US"/>
        </w:rPr>
        <w:t>Harjoto</w:t>
      </w:r>
      <w:proofErr w:type="spellEnd"/>
      <w:r w:rsidRPr="00EC1DF5">
        <w:rPr>
          <w:color w:val="auto"/>
          <w:lang w:val="en-US"/>
        </w:rPr>
        <w:t xml:space="preserve">, M., </w:t>
      </w:r>
      <w:proofErr w:type="spellStart"/>
      <w:r w:rsidRPr="00EC1DF5">
        <w:rPr>
          <w:color w:val="auto"/>
          <w:lang w:val="en-US"/>
        </w:rPr>
        <w:t>Laksmana</w:t>
      </w:r>
      <w:proofErr w:type="spellEnd"/>
      <w:r w:rsidRPr="00EC1DF5">
        <w:rPr>
          <w:color w:val="auto"/>
          <w:lang w:val="en-US"/>
        </w:rPr>
        <w:t xml:space="preserve">, I., &amp; Lee, R. (2015). Board diversity and corporate social responsibility. </w:t>
      </w:r>
      <w:r w:rsidRPr="00EC1DF5">
        <w:rPr>
          <w:i/>
          <w:iCs/>
          <w:color w:val="auto"/>
          <w:lang w:val="en-US"/>
        </w:rPr>
        <w:t>Journal of Business Ethics, 132</w:t>
      </w:r>
      <w:r w:rsidRPr="00EC1DF5">
        <w:rPr>
          <w:color w:val="auto"/>
          <w:lang w:val="en-US"/>
        </w:rPr>
        <w:t>, 641-660.</w:t>
      </w:r>
    </w:p>
    <w:p w14:paraId="22D9BFE6" w14:textId="77777777" w:rsidR="00C7402A" w:rsidRPr="00EC1DF5" w:rsidRDefault="00C7402A" w:rsidP="0012185B">
      <w:pPr>
        <w:spacing w:before="240" w:after="0" w:line="276" w:lineRule="auto"/>
        <w:ind w:left="567" w:hanging="567"/>
        <w:rPr>
          <w:color w:val="auto"/>
        </w:rPr>
      </w:pPr>
      <w:r w:rsidRPr="00EC1DF5">
        <w:rPr>
          <w:color w:val="auto"/>
        </w:rPr>
        <w:t>Hausman, J.A. (1978). Specification tests in econometrics. </w:t>
      </w:r>
      <w:proofErr w:type="spellStart"/>
      <w:r w:rsidRPr="00EC1DF5">
        <w:rPr>
          <w:i/>
          <w:iCs/>
          <w:color w:val="auto"/>
        </w:rPr>
        <w:t>Econometrica</w:t>
      </w:r>
      <w:proofErr w:type="spellEnd"/>
      <w:r w:rsidRPr="00EC1DF5">
        <w:rPr>
          <w:i/>
          <w:iCs/>
          <w:color w:val="auto"/>
        </w:rPr>
        <w:t>: Journal of the Econometric Society</w:t>
      </w:r>
      <w:r w:rsidRPr="00EC1DF5">
        <w:rPr>
          <w:color w:val="auto"/>
        </w:rPr>
        <w:t>, pp.1251-1271.</w:t>
      </w:r>
    </w:p>
    <w:p w14:paraId="16A39B25" w14:textId="77777777" w:rsidR="00C7402A" w:rsidRPr="00EC1DF5" w:rsidRDefault="00C7402A" w:rsidP="0012185B">
      <w:pPr>
        <w:spacing w:before="240" w:after="0" w:line="276" w:lineRule="auto"/>
        <w:ind w:left="567" w:hanging="567"/>
        <w:rPr>
          <w:color w:val="auto"/>
        </w:rPr>
      </w:pPr>
      <w:r w:rsidRPr="00EC1DF5">
        <w:rPr>
          <w:color w:val="auto"/>
        </w:rPr>
        <w:t>Hill, C.W. &amp; Jones, T.M. (1992). Stakeholder‐agency theory. </w:t>
      </w:r>
      <w:r w:rsidRPr="00EC1DF5">
        <w:rPr>
          <w:i/>
          <w:iCs/>
          <w:color w:val="auto"/>
        </w:rPr>
        <w:t>Journal of Management Studies</w:t>
      </w:r>
      <w:r w:rsidRPr="00EC1DF5">
        <w:rPr>
          <w:color w:val="auto"/>
        </w:rPr>
        <w:t>, </w:t>
      </w:r>
      <w:r w:rsidRPr="00EC1DF5">
        <w:rPr>
          <w:i/>
          <w:iCs/>
          <w:color w:val="auto"/>
        </w:rPr>
        <w:t>29</w:t>
      </w:r>
      <w:r w:rsidRPr="00EC1DF5">
        <w:rPr>
          <w:color w:val="auto"/>
        </w:rPr>
        <w:t>(2), pp.131-154.</w:t>
      </w:r>
    </w:p>
    <w:p w14:paraId="1D83A3F3" w14:textId="77777777" w:rsidR="00C7402A" w:rsidRPr="00EC1DF5" w:rsidRDefault="00C7402A" w:rsidP="0012185B">
      <w:pPr>
        <w:spacing w:before="240" w:after="0" w:line="276" w:lineRule="auto"/>
        <w:ind w:left="567" w:hanging="567"/>
        <w:rPr>
          <w:color w:val="auto"/>
        </w:rPr>
      </w:pPr>
      <w:r w:rsidRPr="00EC1DF5">
        <w:rPr>
          <w:color w:val="auto"/>
        </w:rPr>
        <w:t xml:space="preserve">Hussain, N., </w:t>
      </w:r>
      <w:proofErr w:type="spellStart"/>
      <w:r w:rsidRPr="00EC1DF5">
        <w:rPr>
          <w:color w:val="auto"/>
        </w:rPr>
        <w:t>Rigoni</w:t>
      </w:r>
      <w:proofErr w:type="spellEnd"/>
      <w:r w:rsidRPr="00EC1DF5">
        <w:rPr>
          <w:color w:val="auto"/>
        </w:rPr>
        <w:t xml:space="preserve">, U. &amp; </w:t>
      </w:r>
      <w:proofErr w:type="spellStart"/>
      <w:r w:rsidRPr="00EC1DF5">
        <w:rPr>
          <w:color w:val="auto"/>
        </w:rPr>
        <w:t>Orij</w:t>
      </w:r>
      <w:proofErr w:type="spellEnd"/>
      <w:r w:rsidRPr="00EC1DF5">
        <w:rPr>
          <w:color w:val="auto"/>
        </w:rPr>
        <w:t>, R.P. (2018). Corporate governance and sustainability performance: Analysis of triple bottom line performance. </w:t>
      </w:r>
      <w:r w:rsidRPr="00EC1DF5">
        <w:rPr>
          <w:i/>
          <w:iCs/>
          <w:color w:val="auto"/>
        </w:rPr>
        <w:t>Journal of Business Ethics</w:t>
      </w:r>
      <w:r w:rsidRPr="00EC1DF5">
        <w:rPr>
          <w:color w:val="auto"/>
        </w:rPr>
        <w:t>, </w:t>
      </w:r>
      <w:r w:rsidRPr="00EC1DF5">
        <w:rPr>
          <w:i/>
          <w:iCs/>
          <w:color w:val="auto"/>
        </w:rPr>
        <w:t>149</w:t>
      </w:r>
      <w:r w:rsidRPr="00EC1DF5">
        <w:rPr>
          <w:color w:val="auto"/>
        </w:rPr>
        <w:t xml:space="preserve">(2), pp.411-432. </w:t>
      </w:r>
    </w:p>
    <w:p w14:paraId="5E355C05" w14:textId="77777777" w:rsidR="00C7402A" w:rsidRPr="00EC1DF5" w:rsidRDefault="00C7402A" w:rsidP="0012185B">
      <w:pPr>
        <w:spacing w:before="240" w:after="0" w:line="276" w:lineRule="auto"/>
        <w:ind w:left="567" w:hanging="567"/>
        <w:rPr>
          <w:color w:val="auto"/>
        </w:rPr>
      </w:pPr>
      <w:r w:rsidRPr="00EC1DF5">
        <w:rPr>
          <w:color w:val="auto"/>
        </w:rPr>
        <w:t>Husted, B.W. &amp; de Sousa-Filho, J.M. (2019). Board structure and environmental, social, and governance disclosure in Latin America. </w:t>
      </w:r>
      <w:r w:rsidRPr="00EC1DF5">
        <w:rPr>
          <w:i/>
          <w:iCs/>
          <w:color w:val="auto"/>
        </w:rPr>
        <w:t>Journal of Business Research</w:t>
      </w:r>
      <w:r w:rsidRPr="00EC1DF5">
        <w:rPr>
          <w:color w:val="auto"/>
        </w:rPr>
        <w:t>, </w:t>
      </w:r>
      <w:r w:rsidRPr="00EC1DF5">
        <w:rPr>
          <w:i/>
          <w:iCs/>
          <w:color w:val="auto"/>
        </w:rPr>
        <w:t>102</w:t>
      </w:r>
      <w:r w:rsidRPr="00EC1DF5">
        <w:rPr>
          <w:color w:val="auto"/>
        </w:rPr>
        <w:t>, pp.220-227.</w:t>
      </w:r>
    </w:p>
    <w:p w14:paraId="4018153E" w14:textId="77777777" w:rsidR="00C7402A" w:rsidRPr="00EC1DF5" w:rsidRDefault="00C7402A" w:rsidP="0012185B">
      <w:pPr>
        <w:spacing w:before="240" w:after="0" w:line="276" w:lineRule="auto"/>
        <w:ind w:left="567" w:hanging="567"/>
        <w:rPr>
          <w:color w:val="auto"/>
        </w:rPr>
      </w:pPr>
      <w:r w:rsidRPr="00EC1DF5">
        <w:rPr>
          <w:color w:val="auto"/>
        </w:rPr>
        <w:t xml:space="preserve">Ibrahim, N.A. &amp; </w:t>
      </w:r>
      <w:proofErr w:type="spellStart"/>
      <w:r w:rsidRPr="00EC1DF5">
        <w:rPr>
          <w:color w:val="auto"/>
        </w:rPr>
        <w:t>Angelidis</w:t>
      </w:r>
      <w:proofErr w:type="spellEnd"/>
      <w:r w:rsidRPr="00EC1DF5">
        <w:rPr>
          <w:color w:val="auto"/>
        </w:rPr>
        <w:t>, J.P. (1994). Effect of board members' gender on corporate social responsiveness orientation. </w:t>
      </w:r>
      <w:r w:rsidRPr="00EC1DF5">
        <w:rPr>
          <w:i/>
          <w:iCs/>
          <w:color w:val="auto"/>
        </w:rPr>
        <w:t>Journal of Applied Business Research</w:t>
      </w:r>
      <w:r w:rsidRPr="00EC1DF5">
        <w:rPr>
          <w:color w:val="auto"/>
        </w:rPr>
        <w:t>, </w:t>
      </w:r>
      <w:r w:rsidRPr="00EC1DF5">
        <w:rPr>
          <w:i/>
          <w:iCs/>
          <w:color w:val="auto"/>
        </w:rPr>
        <w:t>10</w:t>
      </w:r>
      <w:r w:rsidRPr="00EC1DF5">
        <w:rPr>
          <w:color w:val="auto"/>
        </w:rPr>
        <w:t>(1), p.35.</w:t>
      </w:r>
    </w:p>
    <w:p w14:paraId="76F3B4CD" w14:textId="77777777" w:rsidR="00C7402A" w:rsidRPr="00EC1DF5" w:rsidRDefault="00C7402A" w:rsidP="0012185B">
      <w:pPr>
        <w:spacing w:before="240" w:after="0" w:line="276" w:lineRule="auto"/>
        <w:ind w:left="567" w:hanging="567"/>
        <w:rPr>
          <w:color w:val="auto"/>
        </w:rPr>
      </w:pPr>
      <w:proofErr w:type="spellStart"/>
      <w:r w:rsidRPr="00EC1DF5">
        <w:rPr>
          <w:color w:val="auto"/>
        </w:rPr>
        <w:t>Ienciu</w:t>
      </w:r>
      <w:proofErr w:type="spellEnd"/>
      <w:r w:rsidRPr="00EC1DF5">
        <w:rPr>
          <w:color w:val="auto"/>
        </w:rPr>
        <w:t xml:space="preserve">, I.A., Popa, I.E. &amp; </w:t>
      </w:r>
      <w:proofErr w:type="spellStart"/>
      <w:r w:rsidRPr="00EC1DF5">
        <w:rPr>
          <w:color w:val="auto"/>
        </w:rPr>
        <w:t>Ienciu</w:t>
      </w:r>
      <w:proofErr w:type="spellEnd"/>
      <w:r w:rsidRPr="00EC1DF5">
        <w:rPr>
          <w:color w:val="auto"/>
        </w:rPr>
        <w:t>, N.M. (2012). Environmental reporting and good practice of corporate governance: Petroleum industry case study. </w:t>
      </w:r>
      <w:r w:rsidRPr="00EC1DF5">
        <w:rPr>
          <w:i/>
          <w:iCs/>
          <w:color w:val="auto"/>
        </w:rPr>
        <w:t>Procedia Economics and Finance</w:t>
      </w:r>
      <w:r w:rsidRPr="00EC1DF5">
        <w:rPr>
          <w:color w:val="auto"/>
        </w:rPr>
        <w:t>, </w:t>
      </w:r>
      <w:r w:rsidRPr="00EC1DF5">
        <w:rPr>
          <w:i/>
          <w:iCs/>
          <w:color w:val="auto"/>
        </w:rPr>
        <w:t>3</w:t>
      </w:r>
      <w:r w:rsidRPr="00EC1DF5">
        <w:rPr>
          <w:color w:val="auto"/>
        </w:rPr>
        <w:t>, pp.961-967.</w:t>
      </w:r>
    </w:p>
    <w:p w14:paraId="7E6C0F09" w14:textId="77777777" w:rsidR="00C7402A" w:rsidRPr="00EC1DF5" w:rsidRDefault="00C7402A" w:rsidP="0012185B">
      <w:pPr>
        <w:spacing w:before="240" w:after="0" w:line="276" w:lineRule="auto"/>
        <w:ind w:left="567" w:hanging="567"/>
        <w:rPr>
          <w:color w:val="auto"/>
        </w:rPr>
      </w:pPr>
      <w:r w:rsidRPr="00EC1DF5">
        <w:rPr>
          <w:color w:val="auto"/>
        </w:rPr>
        <w:t xml:space="preserve">Ioannou, I. &amp; </w:t>
      </w:r>
      <w:proofErr w:type="spellStart"/>
      <w:r w:rsidRPr="00EC1DF5">
        <w:rPr>
          <w:color w:val="auto"/>
        </w:rPr>
        <w:t>Serafeim</w:t>
      </w:r>
      <w:proofErr w:type="spellEnd"/>
      <w:r w:rsidRPr="00EC1DF5">
        <w:rPr>
          <w:color w:val="auto"/>
        </w:rPr>
        <w:t>, G. (2012). What drives corporate social performance? The role of nation-level institutions. </w:t>
      </w:r>
      <w:r w:rsidRPr="00EC1DF5">
        <w:rPr>
          <w:i/>
          <w:iCs/>
          <w:color w:val="auto"/>
        </w:rPr>
        <w:t>Journal of International Business Studies</w:t>
      </w:r>
      <w:r w:rsidRPr="00EC1DF5">
        <w:rPr>
          <w:color w:val="auto"/>
        </w:rPr>
        <w:t>, </w:t>
      </w:r>
      <w:r w:rsidRPr="00EC1DF5">
        <w:rPr>
          <w:i/>
          <w:iCs/>
          <w:color w:val="auto"/>
        </w:rPr>
        <w:t>43</w:t>
      </w:r>
      <w:r w:rsidRPr="00EC1DF5">
        <w:rPr>
          <w:color w:val="auto"/>
        </w:rPr>
        <w:t>(9), pp.834-864.</w:t>
      </w:r>
    </w:p>
    <w:p w14:paraId="1289C223" w14:textId="77777777" w:rsidR="00C7402A" w:rsidRPr="00EC1DF5" w:rsidRDefault="00C7402A" w:rsidP="0012185B">
      <w:pPr>
        <w:spacing w:before="240" w:after="0" w:line="276" w:lineRule="auto"/>
        <w:ind w:left="567" w:hanging="567"/>
        <w:rPr>
          <w:color w:val="auto"/>
        </w:rPr>
      </w:pPr>
      <w:proofErr w:type="spellStart"/>
      <w:r w:rsidRPr="00EC1DF5">
        <w:rPr>
          <w:color w:val="auto"/>
        </w:rPr>
        <w:t>Izquierdo</w:t>
      </w:r>
      <w:proofErr w:type="spellEnd"/>
      <w:r w:rsidRPr="00EC1DF5">
        <w:rPr>
          <w:color w:val="auto"/>
        </w:rPr>
        <w:t xml:space="preserve">, R.J.S. &amp; </w:t>
      </w:r>
      <w:proofErr w:type="spellStart"/>
      <w:r w:rsidRPr="00EC1DF5">
        <w:rPr>
          <w:color w:val="auto"/>
        </w:rPr>
        <w:t>Grañana</w:t>
      </w:r>
      <w:proofErr w:type="spellEnd"/>
      <w:r w:rsidRPr="00EC1DF5">
        <w:rPr>
          <w:color w:val="auto"/>
        </w:rPr>
        <w:t>, I.V. (2005). Corporate Social Responsibility (CSR) and its integrated management. </w:t>
      </w:r>
      <w:r w:rsidRPr="00EC1DF5">
        <w:rPr>
          <w:i/>
          <w:iCs/>
          <w:color w:val="auto"/>
        </w:rPr>
        <w:t>CIRIEC-Spain, Magazine of Public, Social and Cooperative Economy</w:t>
      </w:r>
      <w:r w:rsidRPr="00EC1DF5">
        <w:rPr>
          <w:color w:val="auto"/>
        </w:rPr>
        <w:t>, (53), pp. 137-161.</w:t>
      </w:r>
    </w:p>
    <w:p w14:paraId="49E9618D" w14:textId="0EF7ACEE" w:rsidR="00C7402A" w:rsidRPr="00EC1DF5" w:rsidRDefault="00C7402A" w:rsidP="0012185B">
      <w:pPr>
        <w:spacing w:before="240" w:after="0" w:line="276" w:lineRule="auto"/>
        <w:ind w:left="567" w:hanging="567"/>
        <w:rPr>
          <w:color w:val="auto"/>
        </w:rPr>
      </w:pPr>
      <w:r w:rsidRPr="00EC1DF5">
        <w:rPr>
          <w:color w:val="auto"/>
        </w:rPr>
        <w:t xml:space="preserve">Jensen, M.C. &amp; </w:t>
      </w:r>
      <w:proofErr w:type="spellStart"/>
      <w:r w:rsidRPr="00EC1DF5">
        <w:rPr>
          <w:color w:val="auto"/>
        </w:rPr>
        <w:t>Meckling</w:t>
      </w:r>
      <w:proofErr w:type="spellEnd"/>
      <w:r w:rsidRPr="00EC1DF5">
        <w:rPr>
          <w:color w:val="auto"/>
        </w:rPr>
        <w:t xml:space="preserve">, W.H. (1976). Theory of the firm: Managerial </w:t>
      </w:r>
      <w:proofErr w:type="spellStart"/>
      <w:r w:rsidRPr="00EC1DF5">
        <w:rPr>
          <w:color w:val="auto"/>
        </w:rPr>
        <w:t>behavior</w:t>
      </w:r>
      <w:proofErr w:type="spellEnd"/>
      <w:r w:rsidRPr="00EC1DF5">
        <w:rPr>
          <w:color w:val="auto"/>
        </w:rPr>
        <w:t>, agency costs and ownership structure. </w:t>
      </w:r>
      <w:r w:rsidRPr="00EC1DF5">
        <w:rPr>
          <w:i/>
          <w:iCs/>
          <w:color w:val="auto"/>
        </w:rPr>
        <w:t>Journal of Financial Economics</w:t>
      </w:r>
      <w:r w:rsidRPr="00EC1DF5">
        <w:rPr>
          <w:color w:val="auto"/>
        </w:rPr>
        <w:t>, </w:t>
      </w:r>
      <w:r w:rsidRPr="00EC1DF5">
        <w:rPr>
          <w:i/>
          <w:iCs/>
          <w:color w:val="auto"/>
        </w:rPr>
        <w:t>3</w:t>
      </w:r>
      <w:r w:rsidRPr="00EC1DF5">
        <w:rPr>
          <w:color w:val="auto"/>
        </w:rPr>
        <w:t>(4), pp.305-360.</w:t>
      </w:r>
    </w:p>
    <w:p w14:paraId="4EB1D417" w14:textId="47C175BC" w:rsidR="00B60EF5" w:rsidRPr="00EC1DF5" w:rsidRDefault="00B60EF5" w:rsidP="00B60EF5">
      <w:pPr>
        <w:spacing w:before="240" w:after="0" w:line="276" w:lineRule="auto"/>
        <w:ind w:left="567" w:hanging="567"/>
        <w:rPr>
          <w:color w:val="auto"/>
          <w:lang w:val="en-US"/>
        </w:rPr>
      </w:pPr>
      <w:r w:rsidRPr="00EC1DF5">
        <w:rPr>
          <w:color w:val="auto"/>
          <w:lang w:val="en-US"/>
        </w:rPr>
        <w:t xml:space="preserve">Jain, T., &amp; Jamali, D. (2016). Looking inside the black box: The effect of corporate governance on corporate social responsibility. </w:t>
      </w:r>
      <w:r w:rsidRPr="00EC1DF5">
        <w:rPr>
          <w:i/>
          <w:iCs/>
          <w:color w:val="auto"/>
          <w:lang w:val="en-US"/>
        </w:rPr>
        <w:t>Corporate Governance: An</w:t>
      </w:r>
      <w:r w:rsidRPr="00EC1DF5">
        <w:rPr>
          <w:color w:val="auto"/>
          <w:lang w:val="en-US"/>
        </w:rPr>
        <w:t xml:space="preserve"> </w:t>
      </w:r>
      <w:r w:rsidRPr="00EC1DF5">
        <w:rPr>
          <w:i/>
          <w:iCs/>
          <w:color w:val="auto"/>
          <w:lang w:val="en-US"/>
        </w:rPr>
        <w:t>International Review</w:t>
      </w:r>
      <w:r w:rsidRPr="00EC1DF5">
        <w:rPr>
          <w:color w:val="auto"/>
          <w:lang w:val="en-US"/>
        </w:rPr>
        <w:t xml:space="preserve">, </w:t>
      </w:r>
      <w:r w:rsidRPr="00EC1DF5">
        <w:rPr>
          <w:i/>
          <w:iCs/>
          <w:color w:val="auto"/>
          <w:lang w:val="en-US"/>
        </w:rPr>
        <w:t>24</w:t>
      </w:r>
      <w:r w:rsidRPr="00EC1DF5">
        <w:rPr>
          <w:color w:val="auto"/>
          <w:lang w:val="en-US"/>
        </w:rPr>
        <w:t>, 253-273.</w:t>
      </w:r>
    </w:p>
    <w:p w14:paraId="195037D7" w14:textId="77777777" w:rsidR="00C7402A" w:rsidRPr="00EC1DF5" w:rsidRDefault="00C7402A" w:rsidP="0012185B">
      <w:pPr>
        <w:spacing w:before="240" w:after="0" w:line="276" w:lineRule="auto"/>
        <w:ind w:left="567" w:hanging="567"/>
        <w:rPr>
          <w:color w:val="auto"/>
        </w:rPr>
      </w:pPr>
      <w:r w:rsidRPr="00EC1DF5">
        <w:rPr>
          <w:color w:val="auto"/>
        </w:rPr>
        <w:t xml:space="preserve">Jiang, W. &amp; </w:t>
      </w:r>
      <w:proofErr w:type="spellStart"/>
      <w:r w:rsidRPr="00EC1DF5">
        <w:rPr>
          <w:color w:val="auto"/>
        </w:rPr>
        <w:t>Anandarajan</w:t>
      </w:r>
      <w:proofErr w:type="spellEnd"/>
      <w:r w:rsidRPr="00EC1DF5">
        <w:rPr>
          <w:color w:val="auto"/>
        </w:rPr>
        <w:t xml:space="preserve">, A. (2009). Shareholder rights, corporate </w:t>
      </w:r>
      <w:proofErr w:type="gramStart"/>
      <w:r w:rsidRPr="00EC1DF5">
        <w:rPr>
          <w:color w:val="auto"/>
        </w:rPr>
        <w:t>governance</w:t>
      </w:r>
      <w:proofErr w:type="gramEnd"/>
      <w:r w:rsidRPr="00EC1DF5">
        <w:rPr>
          <w:color w:val="auto"/>
        </w:rPr>
        <w:t xml:space="preserve"> and earnings quality: The influence of institutional investors. </w:t>
      </w:r>
      <w:r w:rsidRPr="00EC1DF5">
        <w:rPr>
          <w:i/>
          <w:iCs/>
          <w:color w:val="auto"/>
        </w:rPr>
        <w:t>Managerial Auditing Journal</w:t>
      </w:r>
      <w:r w:rsidRPr="00EC1DF5">
        <w:rPr>
          <w:color w:val="auto"/>
        </w:rPr>
        <w:t>, </w:t>
      </w:r>
      <w:r w:rsidRPr="00EC1DF5">
        <w:rPr>
          <w:i/>
          <w:iCs/>
          <w:color w:val="auto"/>
        </w:rPr>
        <w:t>24</w:t>
      </w:r>
      <w:r w:rsidRPr="00EC1DF5">
        <w:rPr>
          <w:color w:val="auto"/>
        </w:rPr>
        <w:t>(8), pp.767-791.</w:t>
      </w:r>
    </w:p>
    <w:p w14:paraId="357AEFE0" w14:textId="77777777" w:rsidR="00C7402A" w:rsidRPr="00EC1DF5" w:rsidRDefault="00C7402A" w:rsidP="0012185B">
      <w:pPr>
        <w:spacing w:before="240" w:after="0" w:line="276" w:lineRule="auto"/>
        <w:ind w:left="567" w:hanging="567"/>
        <w:rPr>
          <w:color w:val="auto"/>
        </w:rPr>
      </w:pPr>
      <w:r w:rsidRPr="00EC1DF5">
        <w:rPr>
          <w:color w:val="auto"/>
        </w:rPr>
        <w:t>Jiao, Y. (2010). Stakeholder welfare and firm value. </w:t>
      </w:r>
      <w:r w:rsidRPr="00EC1DF5">
        <w:rPr>
          <w:i/>
          <w:iCs/>
          <w:color w:val="auto"/>
        </w:rPr>
        <w:t>Journal of Banking &amp; Finance</w:t>
      </w:r>
      <w:r w:rsidRPr="00EC1DF5">
        <w:rPr>
          <w:color w:val="auto"/>
        </w:rPr>
        <w:t>, </w:t>
      </w:r>
      <w:r w:rsidRPr="00EC1DF5">
        <w:rPr>
          <w:i/>
          <w:iCs/>
          <w:color w:val="auto"/>
        </w:rPr>
        <w:t>34</w:t>
      </w:r>
      <w:r w:rsidRPr="00EC1DF5">
        <w:rPr>
          <w:color w:val="auto"/>
        </w:rPr>
        <w:t>(10), pp.2549-2561.</w:t>
      </w:r>
    </w:p>
    <w:p w14:paraId="485123C4" w14:textId="77777777" w:rsidR="00C7402A" w:rsidRPr="00EC1DF5" w:rsidRDefault="00C7402A" w:rsidP="0012185B">
      <w:pPr>
        <w:spacing w:before="240" w:after="0" w:line="276" w:lineRule="auto"/>
        <w:ind w:left="567" w:hanging="567"/>
        <w:rPr>
          <w:color w:val="auto"/>
        </w:rPr>
      </w:pPr>
      <w:r w:rsidRPr="00EC1DF5">
        <w:rPr>
          <w:color w:val="auto"/>
        </w:rPr>
        <w:lastRenderedPageBreak/>
        <w:t xml:space="preserve">Jo, H. &amp; </w:t>
      </w:r>
      <w:proofErr w:type="spellStart"/>
      <w:r w:rsidRPr="00EC1DF5">
        <w:rPr>
          <w:color w:val="auto"/>
        </w:rPr>
        <w:t>Harjoto</w:t>
      </w:r>
      <w:proofErr w:type="spellEnd"/>
      <w:r w:rsidRPr="00EC1DF5">
        <w:rPr>
          <w:color w:val="auto"/>
        </w:rPr>
        <w:t>, M.A. (2011). Corporate governance and firm value: The impact of corporate social responsibility. </w:t>
      </w:r>
      <w:r w:rsidRPr="00EC1DF5">
        <w:rPr>
          <w:i/>
          <w:iCs/>
          <w:color w:val="auto"/>
        </w:rPr>
        <w:t>Journal of Business Ethics</w:t>
      </w:r>
      <w:r w:rsidRPr="00EC1DF5">
        <w:rPr>
          <w:color w:val="auto"/>
        </w:rPr>
        <w:t>, </w:t>
      </w:r>
      <w:r w:rsidRPr="00EC1DF5">
        <w:rPr>
          <w:i/>
          <w:iCs/>
          <w:color w:val="auto"/>
        </w:rPr>
        <w:t>103</w:t>
      </w:r>
      <w:r w:rsidRPr="00EC1DF5">
        <w:rPr>
          <w:color w:val="auto"/>
        </w:rPr>
        <w:t>(3), pp.351-383.</w:t>
      </w:r>
    </w:p>
    <w:p w14:paraId="6BD5E34D" w14:textId="77777777" w:rsidR="00C7402A" w:rsidRPr="00EC1DF5" w:rsidRDefault="00C7402A" w:rsidP="0012185B">
      <w:pPr>
        <w:spacing w:before="240" w:after="0" w:line="276" w:lineRule="auto"/>
        <w:ind w:left="567" w:hanging="567"/>
        <w:rPr>
          <w:color w:val="auto"/>
        </w:rPr>
      </w:pPr>
      <w:r w:rsidRPr="00EC1DF5">
        <w:rPr>
          <w:color w:val="auto"/>
        </w:rPr>
        <w:t xml:space="preserve">Kim, K.A., </w:t>
      </w:r>
      <w:proofErr w:type="spellStart"/>
      <w:r w:rsidRPr="00EC1DF5">
        <w:rPr>
          <w:color w:val="auto"/>
        </w:rPr>
        <w:t>Kitsabunnarat-Chatjuthamard</w:t>
      </w:r>
      <w:proofErr w:type="spellEnd"/>
      <w:r w:rsidRPr="00EC1DF5">
        <w:rPr>
          <w:color w:val="auto"/>
        </w:rPr>
        <w:t xml:space="preserve">, P. &amp; </w:t>
      </w:r>
      <w:proofErr w:type="spellStart"/>
      <w:r w:rsidRPr="00EC1DF5">
        <w:rPr>
          <w:color w:val="auto"/>
        </w:rPr>
        <w:t>Nofsinger</w:t>
      </w:r>
      <w:proofErr w:type="spellEnd"/>
      <w:r w:rsidRPr="00EC1DF5">
        <w:rPr>
          <w:color w:val="auto"/>
        </w:rPr>
        <w:t>, J.R. (2007). Large shareholders, board independence, and minority shareholder rights: Evidence from Europe. </w:t>
      </w:r>
      <w:r w:rsidRPr="00EC1DF5">
        <w:rPr>
          <w:i/>
          <w:iCs/>
          <w:color w:val="auto"/>
        </w:rPr>
        <w:t>Journal of Corporate Finance</w:t>
      </w:r>
      <w:r w:rsidRPr="00EC1DF5">
        <w:rPr>
          <w:color w:val="auto"/>
        </w:rPr>
        <w:t>, </w:t>
      </w:r>
      <w:r w:rsidRPr="00EC1DF5">
        <w:rPr>
          <w:i/>
          <w:iCs/>
          <w:color w:val="auto"/>
        </w:rPr>
        <w:t>13</w:t>
      </w:r>
      <w:r w:rsidRPr="00EC1DF5">
        <w:rPr>
          <w:color w:val="auto"/>
        </w:rPr>
        <w:t>(5), pp.859-880.</w:t>
      </w:r>
    </w:p>
    <w:p w14:paraId="077DFDA8" w14:textId="77777777" w:rsidR="00C7402A" w:rsidRPr="00EC1DF5" w:rsidRDefault="00C7402A" w:rsidP="0012185B">
      <w:pPr>
        <w:spacing w:before="240" w:after="0" w:line="276" w:lineRule="auto"/>
        <w:ind w:left="567" w:hanging="567"/>
        <w:rPr>
          <w:color w:val="auto"/>
        </w:rPr>
      </w:pPr>
      <w:r w:rsidRPr="00EC1DF5">
        <w:rPr>
          <w:color w:val="auto"/>
        </w:rPr>
        <w:t xml:space="preserve">Kolk, A. (2008). Sustainability, </w:t>
      </w:r>
      <w:proofErr w:type="gramStart"/>
      <w:r w:rsidRPr="00EC1DF5">
        <w:rPr>
          <w:color w:val="auto"/>
        </w:rPr>
        <w:t>accountability</w:t>
      </w:r>
      <w:proofErr w:type="gramEnd"/>
      <w:r w:rsidRPr="00EC1DF5">
        <w:rPr>
          <w:color w:val="auto"/>
        </w:rPr>
        <w:t xml:space="preserve"> and corporate governance: exploring multinationals' reporting practices. </w:t>
      </w:r>
      <w:r w:rsidRPr="00EC1DF5">
        <w:rPr>
          <w:i/>
          <w:iCs/>
          <w:color w:val="auto"/>
        </w:rPr>
        <w:t>Business Strategy and the Environment</w:t>
      </w:r>
      <w:r w:rsidRPr="00EC1DF5">
        <w:rPr>
          <w:color w:val="auto"/>
        </w:rPr>
        <w:t>, </w:t>
      </w:r>
      <w:r w:rsidRPr="00EC1DF5">
        <w:rPr>
          <w:i/>
          <w:iCs/>
          <w:color w:val="auto"/>
        </w:rPr>
        <w:t>17</w:t>
      </w:r>
      <w:r w:rsidRPr="00EC1DF5">
        <w:rPr>
          <w:color w:val="auto"/>
        </w:rPr>
        <w:t>(1), pp.1-15.</w:t>
      </w:r>
    </w:p>
    <w:p w14:paraId="0778D31A" w14:textId="77777777" w:rsidR="00C7402A" w:rsidRPr="00EC1DF5" w:rsidRDefault="00C7402A" w:rsidP="0012185B">
      <w:pPr>
        <w:spacing w:before="240" w:after="0" w:line="276" w:lineRule="auto"/>
        <w:ind w:left="567" w:hanging="567"/>
        <w:rPr>
          <w:color w:val="auto"/>
        </w:rPr>
      </w:pPr>
      <w:proofErr w:type="spellStart"/>
      <w:r w:rsidRPr="00EC1DF5">
        <w:rPr>
          <w:color w:val="auto"/>
        </w:rPr>
        <w:t>Kreiken</w:t>
      </w:r>
      <w:proofErr w:type="spellEnd"/>
      <w:r w:rsidRPr="00EC1DF5">
        <w:rPr>
          <w:color w:val="auto"/>
        </w:rPr>
        <w:t>, J. (1985). The board's role in strategic planning and resource allocation. </w:t>
      </w:r>
      <w:r w:rsidRPr="00EC1DF5">
        <w:rPr>
          <w:i/>
          <w:iCs/>
          <w:color w:val="auto"/>
        </w:rPr>
        <w:t>Handbook for Corporate Directors, New York: McGraw-Hill Book Company</w:t>
      </w:r>
      <w:r w:rsidRPr="00EC1DF5">
        <w:rPr>
          <w:color w:val="auto"/>
        </w:rPr>
        <w:t>.</w:t>
      </w:r>
    </w:p>
    <w:p w14:paraId="41474158" w14:textId="77777777" w:rsidR="00C7402A" w:rsidRPr="00EC1DF5" w:rsidRDefault="00C7402A" w:rsidP="0012185B">
      <w:pPr>
        <w:spacing w:before="240" w:after="0" w:line="276" w:lineRule="auto"/>
        <w:ind w:left="567" w:hanging="567"/>
        <w:rPr>
          <w:color w:val="auto"/>
        </w:rPr>
      </w:pPr>
      <w:r w:rsidRPr="00EC1DF5">
        <w:rPr>
          <w:color w:val="auto"/>
        </w:rPr>
        <w:t xml:space="preserve">La Porta, R., Lopez‐de‐Silanes, F., Shleifer, A. &amp; </w:t>
      </w:r>
      <w:proofErr w:type="spellStart"/>
      <w:r w:rsidRPr="00EC1DF5">
        <w:rPr>
          <w:color w:val="auto"/>
        </w:rPr>
        <w:t>Vishny</w:t>
      </w:r>
      <w:proofErr w:type="spellEnd"/>
      <w:r w:rsidRPr="00EC1DF5">
        <w:rPr>
          <w:color w:val="auto"/>
        </w:rPr>
        <w:t>, R. (2002). Investor protection and corporate valuation. </w:t>
      </w:r>
      <w:r w:rsidRPr="00EC1DF5">
        <w:rPr>
          <w:i/>
          <w:iCs/>
          <w:color w:val="auto"/>
        </w:rPr>
        <w:t>The Journal of Finance</w:t>
      </w:r>
      <w:r w:rsidRPr="00EC1DF5">
        <w:rPr>
          <w:color w:val="auto"/>
        </w:rPr>
        <w:t>, </w:t>
      </w:r>
      <w:r w:rsidRPr="00EC1DF5">
        <w:rPr>
          <w:i/>
          <w:iCs/>
          <w:color w:val="auto"/>
        </w:rPr>
        <w:t>57</w:t>
      </w:r>
      <w:r w:rsidRPr="00EC1DF5">
        <w:rPr>
          <w:color w:val="auto"/>
        </w:rPr>
        <w:t>(3), pp.1147-1170.</w:t>
      </w:r>
    </w:p>
    <w:p w14:paraId="65A2AFF2" w14:textId="77777777" w:rsidR="00C7402A" w:rsidRPr="00EC1DF5" w:rsidRDefault="00C7402A" w:rsidP="0012185B">
      <w:pPr>
        <w:spacing w:before="240" w:after="0" w:line="276" w:lineRule="auto"/>
        <w:ind w:left="567" w:hanging="567"/>
        <w:rPr>
          <w:color w:val="auto"/>
        </w:rPr>
      </w:pPr>
      <w:proofErr w:type="spellStart"/>
      <w:r w:rsidRPr="00EC1DF5">
        <w:rPr>
          <w:color w:val="auto"/>
        </w:rPr>
        <w:t>Laksmana</w:t>
      </w:r>
      <w:proofErr w:type="spellEnd"/>
      <w:r w:rsidRPr="00EC1DF5">
        <w:rPr>
          <w:color w:val="auto"/>
        </w:rPr>
        <w:t>, I. (2008). Corporate board governance and voluntary disclosure of executive compensation practices. </w:t>
      </w:r>
      <w:r w:rsidRPr="00EC1DF5">
        <w:rPr>
          <w:i/>
          <w:iCs/>
          <w:color w:val="auto"/>
        </w:rPr>
        <w:t>Contemporary Accounting Research</w:t>
      </w:r>
      <w:r w:rsidRPr="00EC1DF5">
        <w:rPr>
          <w:color w:val="auto"/>
        </w:rPr>
        <w:t>, </w:t>
      </w:r>
      <w:r w:rsidRPr="00EC1DF5">
        <w:rPr>
          <w:i/>
          <w:iCs/>
          <w:color w:val="auto"/>
        </w:rPr>
        <w:t>25</w:t>
      </w:r>
      <w:r w:rsidRPr="00EC1DF5">
        <w:rPr>
          <w:color w:val="auto"/>
        </w:rPr>
        <w:t>(4), pp.1147-1182.</w:t>
      </w:r>
    </w:p>
    <w:p w14:paraId="2D44D518" w14:textId="77777777" w:rsidR="00C7402A" w:rsidRPr="00EC1DF5" w:rsidRDefault="00C7402A" w:rsidP="0012185B">
      <w:pPr>
        <w:spacing w:before="240" w:after="0" w:line="276" w:lineRule="auto"/>
        <w:ind w:left="567" w:hanging="567"/>
        <w:rPr>
          <w:color w:val="auto"/>
        </w:rPr>
      </w:pPr>
      <w:proofErr w:type="spellStart"/>
      <w:r w:rsidRPr="00EC1DF5">
        <w:rPr>
          <w:color w:val="auto"/>
        </w:rPr>
        <w:t>Lhuillery</w:t>
      </w:r>
      <w:proofErr w:type="spellEnd"/>
      <w:r w:rsidRPr="00EC1DF5">
        <w:rPr>
          <w:color w:val="auto"/>
        </w:rPr>
        <w:t>, S. (2011). The impact of corporate governance practices on R&amp;D efforts: a look at shareholders’ rights, cross-listing, and control pyramid. </w:t>
      </w:r>
      <w:r w:rsidRPr="00EC1DF5">
        <w:rPr>
          <w:i/>
          <w:iCs/>
          <w:color w:val="auto"/>
        </w:rPr>
        <w:t>Industrial and Corporate Change</w:t>
      </w:r>
      <w:r w:rsidRPr="00EC1DF5">
        <w:rPr>
          <w:color w:val="auto"/>
        </w:rPr>
        <w:t>, </w:t>
      </w:r>
      <w:r w:rsidRPr="00EC1DF5">
        <w:rPr>
          <w:i/>
          <w:iCs/>
          <w:color w:val="auto"/>
        </w:rPr>
        <w:t>20</w:t>
      </w:r>
      <w:r w:rsidRPr="00EC1DF5">
        <w:rPr>
          <w:color w:val="auto"/>
        </w:rPr>
        <w:t>(5), pp.1475-1513.</w:t>
      </w:r>
    </w:p>
    <w:p w14:paraId="44AFCF10" w14:textId="77777777" w:rsidR="00C7402A" w:rsidRPr="00EC1DF5" w:rsidRDefault="00C7402A" w:rsidP="0012185B">
      <w:pPr>
        <w:spacing w:before="240" w:after="0" w:line="276" w:lineRule="auto"/>
        <w:ind w:left="567" w:hanging="567"/>
        <w:rPr>
          <w:color w:val="auto"/>
        </w:rPr>
      </w:pPr>
      <w:r w:rsidRPr="00EC1DF5">
        <w:rPr>
          <w:color w:val="auto"/>
        </w:rPr>
        <w:t xml:space="preserve">Liao, L., Luo, L. &amp; Tang, Q. (2015). Gender diversity, board independence, environmental </w:t>
      </w:r>
      <w:proofErr w:type="gramStart"/>
      <w:r w:rsidRPr="00EC1DF5">
        <w:rPr>
          <w:color w:val="auto"/>
        </w:rPr>
        <w:t>committee</w:t>
      </w:r>
      <w:proofErr w:type="gramEnd"/>
      <w:r w:rsidRPr="00EC1DF5">
        <w:rPr>
          <w:color w:val="auto"/>
        </w:rPr>
        <w:t xml:space="preserve"> and greenhouse gas disclosure. </w:t>
      </w:r>
      <w:r w:rsidRPr="00EC1DF5">
        <w:rPr>
          <w:i/>
          <w:iCs/>
          <w:color w:val="auto"/>
        </w:rPr>
        <w:t>The British Accounting Review</w:t>
      </w:r>
      <w:r w:rsidRPr="00EC1DF5">
        <w:rPr>
          <w:color w:val="auto"/>
        </w:rPr>
        <w:t>, </w:t>
      </w:r>
      <w:r w:rsidRPr="00EC1DF5">
        <w:rPr>
          <w:i/>
          <w:iCs/>
          <w:color w:val="auto"/>
        </w:rPr>
        <w:t>47</w:t>
      </w:r>
      <w:r w:rsidRPr="00EC1DF5">
        <w:rPr>
          <w:color w:val="auto"/>
        </w:rPr>
        <w:t>(4), pp.409-424.</w:t>
      </w:r>
    </w:p>
    <w:p w14:paraId="27A76E62" w14:textId="77777777" w:rsidR="00C7402A" w:rsidRPr="00EC1DF5" w:rsidRDefault="00C7402A" w:rsidP="0012185B">
      <w:pPr>
        <w:spacing w:before="240" w:after="0" w:line="276" w:lineRule="auto"/>
        <w:ind w:left="567" w:hanging="567"/>
        <w:rPr>
          <w:color w:val="auto"/>
        </w:rPr>
      </w:pPr>
      <w:r w:rsidRPr="00EC1DF5">
        <w:rPr>
          <w:color w:val="auto"/>
        </w:rPr>
        <w:t>Lipton, M. &amp; Lorsch, J.W. (1992). A modest proposal for improved corporate governance. </w:t>
      </w:r>
      <w:r w:rsidRPr="00EC1DF5">
        <w:rPr>
          <w:i/>
          <w:iCs/>
          <w:color w:val="auto"/>
        </w:rPr>
        <w:t>The Business Lawyer</w:t>
      </w:r>
      <w:r w:rsidRPr="00EC1DF5">
        <w:rPr>
          <w:color w:val="auto"/>
        </w:rPr>
        <w:t>, pp.59-77.</w:t>
      </w:r>
    </w:p>
    <w:p w14:paraId="5D4269B6" w14:textId="77777777" w:rsidR="00C7402A" w:rsidRPr="00EC1DF5" w:rsidRDefault="00C7402A" w:rsidP="0012185B">
      <w:pPr>
        <w:spacing w:before="240" w:after="0" w:line="276" w:lineRule="auto"/>
        <w:ind w:left="567" w:hanging="567"/>
        <w:rPr>
          <w:color w:val="auto"/>
        </w:rPr>
      </w:pPr>
      <w:r w:rsidRPr="00EC1DF5">
        <w:rPr>
          <w:color w:val="auto"/>
        </w:rPr>
        <w:t xml:space="preserve">Lux, S., Crook, T.R. &amp; </w:t>
      </w:r>
      <w:proofErr w:type="spellStart"/>
      <w:r w:rsidRPr="00EC1DF5">
        <w:rPr>
          <w:color w:val="auto"/>
        </w:rPr>
        <w:t>Woehr</w:t>
      </w:r>
      <w:proofErr w:type="spellEnd"/>
      <w:r w:rsidRPr="00EC1DF5">
        <w:rPr>
          <w:color w:val="auto"/>
        </w:rPr>
        <w:t>, D.J. (2011). Mixing business with politics: A meta-analysis of the antecedents and outcomes of corporate political activity. </w:t>
      </w:r>
      <w:r w:rsidRPr="00EC1DF5">
        <w:rPr>
          <w:i/>
          <w:iCs/>
          <w:color w:val="auto"/>
        </w:rPr>
        <w:t>Journal of Management</w:t>
      </w:r>
      <w:r w:rsidRPr="00EC1DF5">
        <w:rPr>
          <w:color w:val="auto"/>
        </w:rPr>
        <w:t>, </w:t>
      </w:r>
      <w:r w:rsidRPr="00EC1DF5">
        <w:rPr>
          <w:i/>
          <w:iCs/>
          <w:color w:val="auto"/>
        </w:rPr>
        <w:t>37</w:t>
      </w:r>
      <w:r w:rsidRPr="00EC1DF5">
        <w:rPr>
          <w:color w:val="auto"/>
        </w:rPr>
        <w:t>(1), pp.223-247.</w:t>
      </w:r>
    </w:p>
    <w:p w14:paraId="57DE493A" w14:textId="77777777" w:rsidR="00C7402A" w:rsidRPr="00EC1DF5" w:rsidRDefault="00C7402A" w:rsidP="0012185B">
      <w:pPr>
        <w:spacing w:before="240" w:after="0" w:line="276" w:lineRule="auto"/>
        <w:ind w:left="567" w:hanging="567"/>
        <w:rPr>
          <w:color w:val="auto"/>
        </w:rPr>
      </w:pPr>
      <w:r w:rsidRPr="00EC1DF5">
        <w:rPr>
          <w:color w:val="auto"/>
        </w:rPr>
        <w:t>Mahoney, L.S. &amp; Thorne, L. (2005). Corporate social responsibility and long-term compensation: Evidence from Canada. </w:t>
      </w:r>
      <w:r w:rsidRPr="00EC1DF5">
        <w:rPr>
          <w:i/>
          <w:iCs/>
          <w:color w:val="auto"/>
        </w:rPr>
        <w:t>Journal of Business Ethics</w:t>
      </w:r>
      <w:r w:rsidRPr="00EC1DF5">
        <w:rPr>
          <w:color w:val="auto"/>
        </w:rPr>
        <w:t>, </w:t>
      </w:r>
      <w:r w:rsidRPr="00EC1DF5">
        <w:rPr>
          <w:i/>
          <w:iCs/>
          <w:color w:val="auto"/>
        </w:rPr>
        <w:t>57</w:t>
      </w:r>
      <w:r w:rsidRPr="00EC1DF5">
        <w:rPr>
          <w:color w:val="auto"/>
        </w:rPr>
        <w:t>(3), pp.241-253.</w:t>
      </w:r>
    </w:p>
    <w:p w14:paraId="05AC154F" w14:textId="77777777" w:rsidR="00C7402A" w:rsidRPr="00EC1DF5" w:rsidRDefault="00C7402A" w:rsidP="0012185B">
      <w:pPr>
        <w:spacing w:before="240" w:after="0" w:line="276" w:lineRule="auto"/>
        <w:ind w:left="567" w:hanging="567"/>
        <w:rPr>
          <w:color w:val="auto"/>
        </w:rPr>
      </w:pPr>
      <w:proofErr w:type="spellStart"/>
      <w:r w:rsidRPr="00EC1DF5">
        <w:rPr>
          <w:color w:val="auto"/>
        </w:rPr>
        <w:t>Makri</w:t>
      </w:r>
      <w:proofErr w:type="spellEnd"/>
      <w:r w:rsidRPr="00EC1DF5">
        <w:rPr>
          <w:color w:val="auto"/>
        </w:rPr>
        <w:t xml:space="preserve">, M., Lane, P.J. &amp; Gomez‐Mejia, L.R. (2006). CEO incentives, innovation, and performance in technology‐intensive firms: a reconciliation of outcome and </w:t>
      </w:r>
      <w:proofErr w:type="spellStart"/>
      <w:r w:rsidRPr="00EC1DF5">
        <w:rPr>
          <w:color w:val="auto"/>
        </w:rPr>
        <w:t>behavior</w:t>
      </w:r>
      <w:proofErr w:type="spellEnd"/>
      <w:r w:rsidRPr="00EC1DF5">
        <w:rPr>
          <w:color w:val="auto"/>
        </w:rPr>
        <w:t>‐based incentive schemes. </w:t>
      </w:r>
      <w:r w:rsidRPr="00EC1DF5">
        <w:rPr>
          <w:i/>
          <w:iCs/>
          <w:color w:val="auto"/>
        </w:rPr>
        <w:t>Strategic Management Journal</w:t>
      </w:r>
      <w:r w:rsidRPr="00EC1DF5">
        <w:rPr>
          <w:color w:val="auto"/>
        </w:rPr>
        <w:t>, </w:t>
      </w:r>
      <w:r w:rsidRPr="00EC1DF5">
        <w:rPr>
          <w:i/>
          <w:iCs/>
          <w:color w:val="auto"/>
        </w:rPr>
        <w:t>27</w:t>
      </w:r>
      <w:r w:rsidRPr="00EC1DF5">
        <w:rPr>
          <w:color w:val="auto"/>
        </w:rPr>
        <w:t>(11), pp.1057-1080.</w:t>
      </w:r>
    </w:p>
    <w:p w14:paraId="35BA2602" w14:textId="77777777" w:rsidR="00C7402A" w:rsidRPr="00EC1DF5" w:rsidRDefault="00C7402A" w:rsidP="0012185B">
      <w:pPr>
        <w:spacing w:before="240" w:after="0" w:line="276" w:lineRule="auto"/>
        <w:ind w:left="567" w:hanging="567"/>
        <w:rPr>
          <w:color w:val="auto"/>
        </w:rPr>
      </w:pPr>
      <w:proofErr w:type="spellStart"/>
      <w:r w:rsidRPr="00EC1DF5">
        <w:rPr>
          <w:color w:val="auto"/>
        </w:rPr>
        <w:t>Mallin</w:t>
      </w:r>
      <w:proofErr w:type="spellEnd"/>
      <w:r w:rsidRPr="00EC1DF5">
        <w:rPr>
          <w:color w:val="auto"/>
        </w:rPr>
        <w:t xml:space="preserve">, C. &amp; </w:t>
      </w:r>
      <w:proofErr w:type="spellStart"/>
      <w:r w:rsidRPr="00EC1DF5">
        <w:rPr>
          <w:color w:val="auto"/>
        </w:rPr>
        <w:t>Melis</w:t>
      </w:r>
      <w:proofErr w:type="spellEnd"/>
      <w:r w:rsidRPr="00EC1DF5">
        <w:rPr>
          <w:color w:val="auto"/>
        </w:rPr>
        <w:t>, A. (2012). Shareholder rights, shareholder voting, and corporate performance. </w:t>
      </w:r>
      <w:r w:rsidRPr="00EC1DF5">
        <w:rPr>
          <w:i/>
          <w:iCs/>
          <w:color w:val="auto"/>
        </w:rPr>
        <w:t>Journal of Management &amp; Governance</w:t>
      </w:r>
      <w:r w:rsidRPr="00EC1DF5">
        <w:rPr>
          <w:color w:val="auto"/>
        </w:rPr>
        <w:t>, </w:t>
      </w:r>
      <w:r w:rsidRPr="00EC1DF5">
        <w:rPr>
          <w:i/>
          <w:iCs/>
          <w:color w:val="auto"/>
        </w:rPr>
        <w:t>16</w:t>
      </w:r>
      <w:r w:rsidRPr="00EC1DF5">
        <w:rPr>
          <w:color w:val="auto"/>
        </w:rPr>
        <w:t>(2), pp.171-176.</w:t>
      </w:r>
    </w:p>
    <w:p w14:paraId="4150D7F1" w14:textId="77777777" w:rsidR="00C7402A" w:rsidRPr="00EC1DF5" w:rsidRDefault="00C7402A" w:rsidP="0012185B">
      <w:pPr>
        <w:spacing w:before="240" w:after="0" w:line="276" w:lineRule="auto"/>
        <w:ind w:left="567" w:hanging="567"/>
        <w:rPr>
          <w:color w:val="auto"/>
        </w:rPr>
      </w:pPr>
      <w:proofErr w:type="spellStart"/>
      <w:r w:rsidRPr="00EC1DF5">
        <w:rPr>
          <w:color w:val="auto"/>
        </w:rPr>
        <w:lastRenderedPageBreak/>
        <w:t>Mallin</w:t>
      </w:r>
      <w:proofErr w:type="spellEnd"/>
      <w:r w:rsidRPr="00EC1DF5">
        <w:rPr>
          <w:color w:val="auto"/>
        </w:rPr>
        <w:t xml:space="preserve">, C., </w:t>
      </w:r>
      <w:proofErr w:type="spellStart"/>
      <w:r w:rsidRPr="00EC1DF5">
        <w:rPr>
          <w:color w:val="auto"/>
        </w:rPr>
        <w:t>Michelon</w:t>
      </w:r>
      <w:proofErr w:type="spellEnd"/>
      <w:r w:rsidRPr="00EC1DF5">
        <w:rPr>
          <w:color w:val="auto"/>
        </w:rPr>
        <w:t xml:space="preserve">, G. &amp; Raggi, D. (2013). Monitoring intensity and stakeholders’ orientation: how does governance affect social and environmental disclosure? </w:t>
      </w:r>
      <w:r w:rsidRPr="00EC1DF5">
        <w:rPr>
          <w:i/>
          <w:iCs/>
          <w:color w:val="auto"/>
        </w:rPr>
        <w:t>Journal of Business Ethics</w:t>
      </w:r>
      <w:r w:rsidRPr="00EC1DF5">
        <w:rPr>
          <w:color w:val="auto"/>
        </w:rPr>
        <w:t>, </w:t>
      </w:r>
      <w:r w:rsidRPr="00EC1DF5">
        <w:rPr>
          <w:i/>
          <w:iCs/>
          <w:color w:val="auto"/>
        </w:rPr>
        <w:t>114</w:t>
      </w:r>
      <w:r w:rsidRPr="00EC1DF5">
        <w:rPr>
          <w:color w:val="auto"/>
        </w:rPr>
        <w:t>(1), pp.29-43.</w:t>
      </w:r>
    </w:p>
    <w:p w14:paraId="557921C0" w14:textId="7A4F5FCB" w:rsidR="00C7402A" w:rsidRPr="00EC1DF5" w:rsidRDefault="00C7402A" w:rsidP="0012185B">
      <w:pPr>
        <w:spacing w:before="240" w:after="0" w:line="276" w:lineRule="auto"/>
        <w:ind w:left="567" w:hanging="567"/>
        <w:rPr>
          <w:color w:val="auto"/>
        </w:rPr>
      </w:pPr>
      <w:r w:rsidRPr="00EC1DF5">
        <w:rPr>
          <w:color w:val="auto"/>
        </w:rPr>
        <w:t xml:space="preserve">Markovic, S. &amp; Bagherzadeh, M. (2018). How does breadth of external stakeholder co-creation influence innovation performance? </w:t>
      </w:r>
      <w:proofErr w:type="spellStart"/>
      <w:r w:rsidRPr="00EC1DF5">
        <w:rPr>
          <w:color w:val="auto"/>
        </w:rPr>
        <w:t>Analyzing</w:t>
      </w:r>
      <w:proofErr w:type="spellEnd"/>
      <w:r w:rsidRPr="00EC1DF5">
        <w:rPr>
          <w:color w:val="auto"/>
        </w:rPr>
        <w:t xml:space="preserve"> the mediating roles of knowledge sharing and product innovation. </w:t>
      </w:r>
      <w:r w:rsidRPr="00EC1DF5">
        <w:rPr>
          <w:i/>
          <w:iCs/>
          <w:color w:val="auto"/>
        </w:rPr>
        <w:t>Journal of Business Research</w:t>
      </w:r>
      <w:r w:rsidRPr="00EC1DF5">
        <w:rPr>
          <w:color w:val="auto"/>
        </w:rPr>
        <w:t>, </w:t>
      </w:r>
      <w:r w:rsidRPr="00EC1DF5">
        <w:rPr>
          <w:i/>
          <w:iCs/>
          <w:color w:val="auto"/>
        </w:rPr>
        <w:t>88</w:t>
      </w:r>
      <w:r w:rsidRPr="00EC1DF5">
        <w:rPr>
          <w:color w:val="auto"/>
        </w:rPr>
        <w:t>, pp.173-186.</w:t>
      </w:r>
    </w:p>
    <w:p w14:paraId="521ADC4A" w14:textId="2C7EC978" w:rsidR="00B60EF5" w:rsidRPr="00EC1DF5" w:rsidRDefault="00B60EF5" w:rsidP="0012185B">
      <w:pPr>
        <w:spacing w:before="240" w:after="0" w:line="276" w:lineRule="auto"/>
        <w:ind w:left="567" w:hanging="567"/>
        <w:rPr>
          <w:color w:val="auto"/>
        </w:rPr>
      </w:pPr>
      <w:r w:rsidRPr="00EC1DF5">
        <w:rPr>
          <w:color w:val="auto"/>
        </w:rPr>
        <w:t>Martínez‐Ferrero, J., &amp; Frias‐</w:t>
      </w:r>
      <w:proofErr w:type="spellStart"/>
      <w:r w:rsidRPr="00EC1DF5">
        <w:rPr>
          <w:color w:val="auto"/>
        </w:rPr>
        <w:t>Aceituno</w:t>
      </w:r>
      <w:proofErr w:type="spellEnd"/>
      <w:r w:rsidRPr="00EC1DF5">
        <w:rPr>
          <w:color w:val="auto"/>
        </w:rPr>
        <w:t>, J. V. (2015). Relationship between sustainable development and financial performance: international empirical research. </w:t>
      </w:r>
      <w:r w:rsidRPr="00EC1DF5">
        <w:rPr>
          <w:i/>
          <w:iCs/>
          <w:color w:val="auto"/>
        </w:rPr>
        <w:t>Business Strategy and the Environment</w:t>
      </w:r>
      <w:r w:rsidRPr="00EC1DF5">
        <w:rPr>
          <w:color w:val="auto"/>
        </w:rPr>
        <w:t>, </w:t>
      </w:r>
      <w:r w:rsidRPr="00EC1DF5">
        <w:rPr>
          <w:i/>
          <w:iCs/>
          <w:color w:val="auto"/>
        </w:rPr>
        <w:t>24</w:t>
      </w:r>
      <w:r w:rsidRPr="00EC1DF5">
        <w:rPr>
          <w:color w:val="auto"/>
        </w:rPr>
        <w:t>(1), 20-39.</w:t>
      </w:r>
    </w:p>
    <w:p w14:paraId="23109D7E" w14:textId="77777777" w:rsidR="00C7402A" w:rsidRPr="00EC1DF5" w:rsidRDefault="00C7402A" w:rsidP="0012185B">
      <w:pPr>
        <w:spacing w:before="240" w:after="0" w:line="276" w:lineRule="auto"/>
        <w:ind w:left="567" w:hanging="567"/>
        <w:rPr>
          <w:color w:val="auto"/>
        </w:rPr>
      </w:pPr>
      <w:proofErr w:type="spellStart"/>
      <w:r w:rsidRPr="00EC1DF5">
        <w:rPr>
          <w:color w:val="auto"/>
        </w:rPr>
        <w:t>McKendall</w:t>
      </w:r>
      <w:proofErr w:type="spellEnd"/>
      <w:r w:rsidRPr="00EC1DF5">
        <w:rPr>
          <w:color w:val="auto"/>
        </w:rPr>
        <w:t>, M., Sánchez, C. &amp; Sicilian, P. (1999). Corporate governance and corporate illegality: The effects of board structure on environmental violations. </w:t>
      </w:r>
      <w:r w:rsidRPr="00EC1DF5">
        <w:rPr>
          <w:i/>
          <w:iCs/>
          <w:color w:val="auto"/>
        </w:rPr>
        <w:t>The International Journal of Organizational Analysis</w:t>
      </w:r>
      <w:r w:rsidRPr="00EC1DF5">
        <w:rPr>
          <w:color w:val="auto"/>
        </w:rPr>
        <w:t>, </w:t>
      </w:r>
      <w:r w:rsidRPr="00EC1DF5">
        <w:rPr>
          <w:i/>
          <w:iCs/>
          <w:color w:val="auto"/>
        </w:rPr>
        <w:t>7</w:t>
      </w:r>
      <w:r w:rsidRPr="00EC1DF5">
        <w:rPr>
          <w:color w:val="auto"/>
        </w:rPr>
        <w:t>(3), pp.201-223.</w:t>
      </w:r>
    </w:p>
    <w:p w14:paraId="4F769CFA" w14:textId="77777777" w:rsidR="00C7402A" w:rsidRPr="00EC1DF5" w:rsidRDefault="00C7402A" w:rsidP="0012185B">
      <w:pPr>
        <w:spacing w:before="240" w:after="0" w:line="276" w:lineRule="auto"/>
        <w:ind w:left="567" w:hanging="567"/>
        <w:rPr>
          <w:color w:val="auto"/>
        </w:rPr>
      </w:pPr>
      <w:proofErr w:type="spellStart"/>
      <w:r w:rsidRPr="00EC1DF5">
        <w:rPr>
          <w:color w:val="auto"/>
        </w:rPr>
        <w:t>Michelon</w:t>
      </w:r>
      <w:proofErr w:type="spellEnd"/>
      <w:r w:rsidRPr="00EC1DF5">
        <w:rPr>
          <w:color w:val="auto"/>
        </w:rPr>
        <w:t xml:space="preserve">, G. &amp; </w:t>
      </w:r>
      <w:proofErr w:type="spellStart"/>
      <w:r w:rsidRPr="00EC1DF5">
        <w:rPr>
          <w:color w:val="auto"/>
        </w:rPr>
        <w:t>Parbonetti</w:t>
      </w:r>
      <w:proofErr w:type="spellEnd"/>
      <w:r w:rsidRPr="00EC1DF5">
        <w:rPr>
          <w:color w:val="auto"/>
        </w:rPr>
        <w:t>, A. (2012). The effect of corporate governance on sustainability disclosure. </w:t>
      </w:r>
      <w:r w:rsidRPr="00EC1DF5">
        <w:rPr>
          <w:i/>
          <w:iCs/>
          <w:color w:val="auto"/>
        </w:rPr>
        <w:t>Journal of Management &amp; Governance</w:t>
      </w:r>
      <w:r w:rsidRPr="00EC1DF5">
        <w:rPr>
          <w:color w:val="auto"/>
        </w:rPr>
        <w:t>, </w:t>
      </w:r>
      <w:r w:rsidRPr="00EC1DF5">
        <w:rPr>
          <w:i/>
          <w:iCs/>
          <w:color w:val="auto"/>
        </w:rPr>
        <w:t>16</w:t>
      </w:r>
      <w:r w:rsidRPr="00EC1DF5">
        <w:rPr>
          <w:color w:val="auto"/>
        </w:rPr>
        <w:t>(3), pp.477-509.</w:t>
      </w:r>
    </w:p>
    <w:p w14:paraId="1470F120" w14:textId="77777777" w:rsidR="00C7402A" w:rsidRPr="00EC1DF5" w:rsidRDefault="00C7402A" w:rsidP="0012185B">
      <w:pPr>
        <w:spacing w:before="240" w:after="0" w:line="276" w:lineRule="auto"/>
        <w:ind w:left="567" w:hanging="567"/>
        <w:rPr>
          <w:color w:val="auto"/>
        </w:rPr>
      </w:pPr>
      <w:r w:rsidRPr="00EC1DF5">
        <w:rPr>
          <w:color w:val="auto"/>
        </w:rPr>
        <w:t>Miles, R.E., Snow, C.C., Meyer, A.D. &amp; Coleman Jr, H.J. (1978). Organizational strategy, structure, and process. </w:t>
      </w:r>
      <w:r w:rsidRPr="00EC1DF5">
        <w:rPr>
          <w:i/>
          <w:iCs/>
          <w:color w:val="auto"/>
        </w:rPr>
        <w:t>Academy of Management Review</w:t>
      </w:r>
      <w:r w:rsidRPr="00EC1DF5">
        <w:rPr>
          <w:color w:val="auto"/>
        </w:rPr>
        <w:t>, </w:t>
      </w:r>
      <w:r w:rsidRPr="00EC1DF5">
        <w:rPr>
          <w:i/>
          <w:iCs/>
          <w:color w:val="auto"/>
        </w:rPr>
        <w:t>3</w:t>
      </w:r>
      <w:r w:rsidRPr="00EC1DF5">
        <w:rPr>
          <w:color w:val="auto"/>
        </w:rPr>
        <w:t>(3), pp.546-562.</w:t>
      </w:r>
    </w:p>
    <w:p w14:paraId="4BDF04FB" w14:textId="77777777" w:rsidR="00C7402A" w:rsidRPr="00EC1DF5" w:rsidRDefault="00C7402A" w:rsidP="0012185B">
      <w:pPr>
        <w:spacing w:before="240" w:after="0" w:line="276" w:lineRule="auto"/>
        <w:ind w:left="567" w:hanging="567"/>
        <w:rPr>
          <w:color w:val="auto"/>
        </w:rPr>
      </w:pPr>
      <w:r w:rsidRPr="00EC1DF5">
        <w:rPr>
          <w:color w:val="auto"/>
        </w:rPr>
        <w:t>Murphy, K.J. (1999). Executive compensation. </w:t>
      </w:r>
      <w:r w:rsidRPr="00EC1DF5">
        <w:rPr>
          <w:i/>
          <w:iCs/>
          <w:color w:val="auto"/>
        </w:rPr>
        <w:t>Handbook of Labour Economics</w:t>
      </w:r>
      <w:r w:rsidRPr="00EC1DF5">
        <w:rPr>
          <w:color w:val="auto"/>
        </w:rPr>
        <w:t>, </w:t>
      </w:r>
      <w:r w:rsidRPr="00EC1DF5">
        <w:rPr>
          <w:i/>
          <w:iCs/>
          <w:color w:val="auto"/>
        </w:rPr>
        <w:t>3</w:t>
      </w:r>
      <w:r w:rsidRPr="00EC1DF5">
        <w:rPr>
          <w:color w:val="auto"/>
        </w:rPr>
        <w:t>, pp.2485-2563.</w:t>
      </w:r>
    </w:p>
    <w:p w14:paraId="45CEFF67" w14:textId="77777777" w:rsidR="00C7402A" w:rsidRPr="00EC1DF5" w:rsidRDefault="00C7402A" w:rsidP="0012185B">
      <w:pPr>
        <w:spacing w:before="240" w:after="0" w:line="276" w:lineRule="auto"/>
        <w:ind w:left="567" w:hanging="567"/>
        <w:rPr>
          <w:color w:val="auto"/>
        </w:rPr>
      </w:pPr>
      <w:r w:rsidRPr="00EC1DF5">
        <w:rPr>
          <w:color w:val="auto"/>
        </w:rPr>
        <w:t>Noland, J. &amp; Phillips, R. (2010). Stakeholder engagement, discourse ethics and strategic management. </w:t>
      </w:r>
      <w:r w:rsidRPr="00EC1DF5">
        <w:rPr>
          <w:i/>
          <w:iCs/>
          <w:color w:val="auto"/>
        </w:rPr>
        <w:t>International Journal of Management Reviews</w:t>
      </w:r>
      <w:r w:rsidRPr="00EC1DF5">
        <w:rPr>
          <w:color w:val="auto"/>
        </w:rPr>
        <w:t>, </w:t>
      </w:r>
      <w:r w:rsidRPr="00EC1DF5">
        <w:rPr>
          <w:i/>
          <w:iCs/>
          <w:color w:val="auto"/>
        </w:rPr>
        <w:t>12</w:t>
      </w:r>
      <w:r w:rsidRPr="00EC1DF5">
        <w:rPr>
          <w:color w:val="auto"/>
        </w:rPr>
        <w:t>(1), pp.39-49.</w:t>
      </w:r>
    </w:p>
    <w:p w14:paraId="3128F3AD" w14:textId="77777777" w:rsidR="00C7402A" w:rsidRPr="00EC1DF5" w:rsidRDefault="00C7402A" w:rsidP="0012185B">
      <w:pPr>
        <w:spacing w:before="240" w:after="0" w:line="276" w:lineRule="auto"/>
        <w:ind w:left="567" w:hanging="567"/>
        <w:rPr>
          <w:color w:val="auto"/>
        </w:rPr>
      </w:pPr>
      <w:r w:rsidRPr="00EC1DF5">
        <w:rPr>
          <w:color w:val="auto"/>
        </w:rPr>
        <w:t>Ntim, C.G. &amp; Soobaroyen, T. (2013). Corporate governance and performance in socially responsible corporations: New empirical insights from a Neo‐Institutional framework. </w:t>
      </w:r>
      <w:r w:rsidRPr="00EC1DF5">
        <w:rPr>
          <w:i/>
          <w:iCs/>
          <w:color w:val="auto"/>
        </w:rPr>
        <w:t>Corporate Governance: An International Review</w:t>
      </w:r>
      <w:r w:rsidRPr="00EC1DF5">
        <w:rPr>
          <w:color w:val="auto"/>
        </w:rPr>
        <w:t>, </w:t>
      </w:r>
      <w:r w:rsidRPr="00EC1DF5">
        <w:rPr>
          <w:i/>
          <w:iCs/>
          <w:color w:val="auto"/>
        </w:rPr>
        <w:t>21</w:t>
      </w:r>
      <w:r w:rsidRPr="00EC1DF5">
        <w:rPr>
          <w:color w:val="auto"/>
        </w:rPr>
        <w:t>(5), pp.468-494.</w:t>
      </w:r>
    </w:p>
    <w:p w14:paraId="0B1904D9" w14:textId="77777777" w:rsidR="00C7402A" w:rsidRPr="00EC1DF5" w:rsidRDefault="00C7402A" w:rsidP="0012185B">
      <w:pPr>
        <w:spacing w:before="240" w:after="0" w:line="276" w:lineRule="auto"/>
        <w:ind w:left="567" w:hanging="567"/>
        <w:rPr>
          <w:color w:val="auto"/>
        </w:rPr>
      </w:pPr>
      <w:r w:rsidRPr="00EC1DF5">
        <w:rPr>
          <w:color w:val="auto"/>
        </w:rPr>
        <w:t>Ong, C.H. &amp; Lee, S.H. (2000). Board functions and firm performance: A review and directions for future research. </w:t>
      </w:r>
      <w:r w:rsidRPr="00EC1DF5">
        <w:rPr>
          <w:i/>
          <w:iCs/>
          <w:color w:val="auto"/>
        </w:rPr>
        <w:t>Journal of Comparative International Management</w:t>
      </w:r>
      <w:r w:rsidRPr="00EC1DF5">
        <w:rPr>
          <w:color w:val="auto"/>
        </w:rPr>
        <w:t>, </w:t>
      </w:r>
      <w:r w:rsidRPr="00EC1DF5">
        <w:rPr>
          <w:i/>
          <w:iCs/>
          <w:color w:val="auto"/>
        </w:rPr>
        <w:t>3</w:t>
      </w:r>
      <w:r w:rsidRPr="00EC1DF5">
        <w:rPr>
          <w:color w:val="auto"/>
        </w:rPr>
        <w:t>(1).</w:t>
      </w:r>
    </w:p>
    <w:p w14:paraId="59DBB9DE" w14:textId="77777777" w:rsidR="00C7402A" w:rsidRPr="00EC1DF5" w:rsidRDefault="00C7402A" w:rsidP="0012185B">
      <w:pPr>
        <w:spacing w:before="240" w:after="0" w:line="276" w:lineRule="auto"/>
        <w:ind w:left="567" w:hanging="567"/>
        <w:rPr>
          <w:color w:val="auto"/>
        </w:rPr>
      </w:pPr>
      <w:proofErr w:type="spellStart"/>
      <w:r w:rsidRPr="00EC1DF5">
        <w:rPr>
          <w:color w:val="auto"/>
        </w:rPr>
        <w:t>Orij</w:t>
      </w:r>
      <w:proofErr w:type="spellEnd"/>
      <w:r w:rsidRPr="00EC1DF5">
        <w:rPr>
          <w:color w:val="auto"/>
        </w:rPr>
        <w:t xml:space="preserve">, R. (2010). Corporate social disclosures in the context of national cultures and stakeholder theory. </w:t>
      </w:r>
      <w:r w:rsidRPr="00EC1DF5">
        <w:rPr>
          <w:i/>
          <w:color w:val="auto"/>
        </w:rPr>
        <w:t>Accounting, Auditing &amp; Accountability</w:t>
      </w:r>
      <w:r w:rsidRPr="00EC1DF5">
        <w:rPr>
          <w:color w:val="auto"/>
        </w:rPr>
        <w:t xml:space="preserve"> </w:t>
      </w:r>
      <w:r w:rsidRPr="00EC1DF5">
        <w:rPr>
          <w:i/>
          <w:color w:val="auto"/>
        </w:rPr>
        <w:t>Journal, 23(7), 868–889</w:t>
      </w:r>
      <w:r w:rsidRPr="00EC1DF5">
        <w:rPr>
          <w:color w:val="auto"/>
        </w:rPr>
        <w:t>.</w:t>
      </w:r>
    </w:p>
    <w:p w14:paraId="5D766CF6" w14:textId="77777777" w:rsidR="00C7402A" w:rsidRPr="00EC1DF5" w:rsidRDefault="00C7402A" w:rsidP="0012185B">
      <w:pPr>
        <w:spacing w:before="240" w:after="0" w:line="276" w:lineRule="auto"/>
        <w:ind w:left="567" w:hanging="567"/>
        <w:rPr>
          <w:color w:val="auto"/>
        </w:rPr>
      </w:pPr>
      <w:r w:rsidRPr="00EC1DF5">
        <w:rPr>
          <w:color w:val="auto"/>
        </w:rPr>
        <w:t>Pathan, S. &amp; Faff, R. (2013). Does board structure in banks really affect their performance? </w:t>
      </w:r>
      <w:r w:rsidRPr="00EC1DF5">
        <w:rPr>
          <w:i/>
          <w:iCs/>
          <w:color w:val="auto"/>
        </w:rPr>
        <w:t>Journal of Banking &amp; Finance</w:t>
      </w:r>
      <w:r w:rsidRPr="00EC1DF5">
        <w:rPr>
          <w:color w:val="auto"/>
        </w:rPr>
        <w:t>, </w:t>
      </w:r>
      <w:r w:rsidRPr="00EC1DF5">
        <w:rPr>
          <w:i/>
          <w:iCs/>
          <w:color w:val="auto"/>
        </w:rPr>
        <w:t>37</w:t>
      </w:r>
      <w:r w:rsidRPr="00EC1DF5">
        <w:rPr>
          <w:color w:val="auto"/>
        </w:rPr>
        <w:t xml:space="preserve">(5), pp.1573-1589. </w:t>
      </w:r>
    </w:p>
    <w:p w14:paraId="233F081D" w14:textId="77777777" w:rsidR="00C7402A" w:rsidRPr="00EC1DF5" w:rsidRDefault="00C7402A" w:rsidP="0012185B">
      <w:pPr>
        <w:spacing w:before="240" w:after="0" w:line="276" w:lineRule="auto"/>
        <w:ind w:left="567" w:hanging="567"/>
        <w:rPr>
          <w:color w:val="auto"/>
        </w:rPr>
      </w:pPr>
      <w:r w:rsidRPr="00EC1DF5">
        <w:rPr>
          <w:color w:val="auto"/>
        </w:rPr>
        <w:t>Phillips, R.A. (1997). Stakeholder theory and a principle of fairness. </w:t>
      </w:r>
      <w:r w:rsidRPr="00EC1DF5">
        <w:rPr>
          <w:i/>
          <w:iCs/>
          <w:color w:val="auto"/>
        </w:rPr>
        <w:t>Business Ethics Quarterly</w:t>
      </w:r>
      <w:r w:rsidRPr="00EC1DF5">
        <w:rPr>
          <w:color w:val="auto"/>
        </w:rPr>
        <w:t>, </w:t>
      </w:r>
      <w:r w:rsidRPr="00EC1DF5">
        <w:rPr>
          <w:i/>
          <w:iCs/>
          <w:color w:val="auto"/>
        </w:rPr>
        <w:t>7</w:t>
      </w:r>
      <w:r w:rsidRPr="00EC1DF5">
        <w:rPr>
          <w:color w:val="auto"/>
        </w:rPr>
        <w:t>(1), pp.51-66.</w:t>
      </w:r>
    </w:p>
    <w:p w14:paraId="442705D8" w14:textId="77777777" w:rsidR="00C7402A" w:rsidRPr="00EC1DF5" w:rsidRDefault="00C7402A" w:rsidP="0012185B">
      <w:pPr>
        <w:spacing w:before="240" w:after="0" w:line="276" w:lineRule="auto"/>
        <w:ind w:left="567" w:hanging="567"/>
        <w:rPr>
          <w:color w:val="auto"/>
        </w:rPr>
      </w:pPr>
      <w:r w:rsidRPr="00EC1DF5">
        <w:rPr>
          <w:color w:val="auto"/>
        </w:rPr>
        <w:t xml:space="preserve">Porter, M.E. (1991). </w:t>
      </w:r>
      <w:r w:rsidRPr="00EC1DF5">
        <w:rPr>
          <w:i/>
          <w:color w:val="auto"/>
        </w:rPr>
        <w:t>America's Green Strategy,</w:t>
      </w:r>
      <w:r w:rsidRPr="00EC1DF5">
        <w:rPr>
          <w:color w:val="auto"/>
        </w:rPr>
        <w:t xml:space="preserve"> 264 Sci. </w:t>
      </w:r>
      <w:r w:rsidRPr="00EC1DF5">
        <w:rPr>
          <w:i/>
          <w:iCs/>
          <w:color w:val="auto"/>
        </w:rPr>
        <w:t>Am</w:t>
      </w:r>
      <w:r w:rsidRPr="00EC1DF5">
        <w:rPr>
          <w:color w:val="auto"/>
        </w:rPr>
        <w:t>, </w:t>
      </w:r>
      <w:r w:rsidRPr="00EC1DF5">
        <w:rPr>
          <w:i/>
          <w:iCs/>
          <w:color w:val="auto"/>
        </w:rPr>
        <w:t>68</w:t>
      </w:r>
      <w:r w:rsidRPr="00EC1DF5">
        <w:rPr>
          <w:color w:val="auto"/>
        </w:rPr>
        <w:t>, p.168.</w:t>
      </w:r>
    </w:p>
    <w:p w14:paraId="281809FC" w14:textId="77777777" w:rsidR="00C7402A" w:rsidRPr="00EC1DF5" w:rsidRDefault="00C7402A" w:rsidP="0012185B">
      <w:pPr>
        <w:spacing w:before="240" w:after="0" w:line="276" w:lineRule="auto"/>
        <w:ind w:left="567" w:hanging="567"/>
        <w:rPr>
          <w:color w:val="auto"/>
        </w:rPr>
      </w:pPr>
      <w:r w:rsidRPr="00EC1DF5">
        <w:rPr>
          <w:color w:val="auto"/>
        </w:rPr>
        <w:lastRenderedPageBreak/>
        <w:t xml:space="preserve">Post, C., Rahman, N. &amp; </w:t>
      </w:r>
      <w:proofErr w:type="spellStart"/>
      <w:r w:rsidRPr="00EC1DF5">
        <w:rPr>
          <w:color w:val="auto"/>
        </w:rPr>
        <w:t>McQuillen</w:t>
      </w:r>
      <w:proofErr w:type="spellEnd"/>
      <w:r w:rsidRPr="00EC1DF5">
        <w:rPr>
          <w:color w:val="auto"/>
        </w:rPr>
        <w:t>, C. (2015). From board composition to corporate environmental performance through sustainability-themed alliances. </w:t>
      </w:r>
      <w:r w:rsidRPr="00EC1DF5">
        <w:rPr>
          <w:i/>
          <w:iCs/>
          <w:color w:val="auto"/>
        </w:rPr>
        <w:t>Journal of Business Ethics</w:t>
      </w:r>
      <w:r w:rsidRPr="00EC1DF5">
        <w:rPr>
          <w:color w:val="auto"/>
        </w:rPr>
        <w:t>, </w:t>
      </w:r>
      <w:r w:rsidRPr="00EC1DF5">
        <w:rPr>
          <w:i/>
          <w:iCs/>
          <w:color w:val="auto"/>
        </w:rPr>
        <w:t>130</w:t>
      </w:r>
      <w:r w:rsidRPr="00EC1DF5">
        <w:rPr>
          <w:color w:val="auto"/>
        </w:rPr>
        <w:t>(2), pp.423-435.</w:t>
      </w:r>
    </w:p>
    <w:p w14:paraId="3D43CC35" w14:textId="77777777" w:rsidR="00C7402A" w:rsidRPr="00EC1DF5" w:rsidRDefault="00C7402A" w:rsidP="0012185B">
      <w:pPr>
        <w:spacing w:before="240" w:after="0" w:line="276" w:lineRule="auto"/>
        <w:ind w:left="567" w:hanging="567"/>
        <w:rPr>
          <w:color w:val="auto"/>
        </w:rPr>
      </w:pPr>
      <w:r w:rsidRPr="00EC1DF5">
        <w:rPr>
          <w:color w:val="auto"/>
        </w:rPr>
        <w:t>Prado-Lorenzo, J.M. &amp; Garcia-Sanchez, I.M. (2010). The role of the board of directors in disseminating relevant information on greenhouse gases. </w:t>
      </w:r>
      <w:r w:rsidRPr="00EC1DF5">
        <w:rPr>
          <w:i/>
          <w:iCs/>
          <w:color w:val="auto"/>
        </w:rPr>
        <w:t>Journal of Business Ethics</w:t>
      </w:r>
      <w:r w:rsidRPr="00EC1DF5">
        <w:rPr>
          <w:color w:val="auto"/>
        </w:rPr>
        <w:t>, </w:t>
      </w:r>
      <w:r w:rsidRPr="00EC1DF5">
        <w:rPr>
          <w:i/>
          <w:iCs/>
          <w:color w:val="auto"/>
        </w:rPr>
        <w:t>97</w:t>
      </w:r>
      <w:r w:rsidRPr="00EC1DF5">
        <w:rPr>
          <w:color w:val="auto"/>
        </w:rPr>
        <w:t>(3), pp.391-424.</w:t>
      </w:r>
    </w:p>
    <w:p w14:paraId="6CFDE7EA" w14:textId="77777777" w:rsidR="00C7402A" w:rsidRPr="00EC1DF5" w:rsidRDefault="00C7402A" w:rsidP="0012185B">
      <w:pPr>
        <w:spacing w:before="240" w:after="0" w:line="276" w:lineRule="auto"/>
        <w:ind w:left="567" w:hanging="567"/>
        <w:rPr>
          <w:color w:val="auto"/>
        </w:rPr>
      </w:pPr>
      <w:proofErr w:type="spellStart"/>
      <w:r w:rsidRPr="00EC1DF5">
        <w:rPr>
          <w:color w:val="auto"/>
        </w:rPr>
        <w:t>Qiu</w:t>
      </w:r>
      <w:proofErr w:type="spellEnd"/>
      <w:r w:rsidRPr="00EC1DF5">
        <w:rPr>
          <w:color w:val="auto"/>
        </w:rPr>
        <w:t xml:space="preserve">, Y., Shaukat, A., &amp; </w:t>
      </w:r>
      <w:proofErr w:type="spellStart"/>
      <w:r w:rsidRPr="00EC1DF5">
        <w:rPr>
          <w:color w:val="auto"/>
        </w:rPr>
        <w:t>Tharyan</w:t>
      </w:r>
      <w:proofErr w:type="spellEnd"/>
      <w:r w:rsidRPr="00EC1DF5">
        <w:rPr>
          <w:color w:val="auto"/>
        </w:rPr>
        <w:t>, R. (2016). Environmental and social disclosures: Link with corporate financial performance. </w:t>
      </w:r>
      <w:r w:rsidRPr="00EC1DF5">
        <w:rPr>
          <w:i/>
          <w:iCs/>
          <w:color w:val="auto"/>
        </w:rPr>
        <w:t>The British Accounting Review</w:t>
      </w:r>
      <w:r w:rsidRPr="00EC1DF5">
        <w:rPr>
          <w:color w:val="auto"/>
        </w:rPr>
        <w:t>, </w:t>
      </w:r>
      <w:r w:rsidRPr="00EC1DF5">
        <w:rPr>
          <w:i/>
          <w:iCs/>
          <w:color w:val="auto"/>
        </w:rPr>
        <w:t>48</w:t>
      </w:r>
      <w:r w:rsidRPr="00EC1DF5">
        <w:rPr>
          <w:color w:val="auto"/>
        </w:rPr>
        <w:t>(1), 102-116.</w:t>
      </w:r>
    </w:p>
    <w:p w14:paraId="63B6F3F7" w14:textId="77777777" w:rsidR="00C7402A" w:rsidRPr="00EC1DF5" w:rsidRDefault="00C7402A" w:rsidP="0012185B">
      <w:pPr>
        <w:spacing w:before="240" w:after="0" w:line="276" w:lineRule="auto"/>
        <w:ind w:left="567" w:hanging="567"/>
        <w:rPr>
          <w:color w:val="auto"/>
        </w:rPr>
      </w:pPr>
      <w:r w:rsidRPr="00EC1DF5">
        <w:rPr>
          <w:color w:val="auto"/>
        </w:rPr>
        <w:t>Raheja, C.G. (2005). Determinants of board size and composition: A theory of corporate boards. </w:t>
      </w:r>
      <w:r w:rsidRPr="00EC1DF5">
        <w:rPr>
          <w:i/>
          <w:iCs/>
          <w:color w:val="auto"/>
        </w:rPr>
        <w:t>Journal of Financial and Quantitative Analysis</w:t>
      </w:r>
      <w:r w:rsidRPr="00EC1DF5">
        <w:rPr>
          <w:color w:val="auto"/>
        </w:rPr>
        <w:t>, </w:t>
      </w:r>
      <w:r w:rsidRPr="00EC1DF5">
        <w:rPr>
          <w:i/>
          <w:iCs/>
          <w:color w:val="auto"/>
        </w:rPr>
        <w:t>40</w:t>
      </w:r>
      <w:r w:rsidRPr="00EC1DF5">
        <w:rPr>
          <w:color w:val="auto"/>
        </w:rPr>
        <w:t>(2), pp.283-306.</w:t>
      </w:r>
    </w:p>
    <w:p w14:paraId="7CBA4396" w14:textId="0F3CA2A3" w:rsidR="00C7402A" w:rsidRPr="00EC1DF5" w:rsidRDefault="00C7402A" w:rsidP="0012185B">
      <w:pPr>
        <w:spacing w:before="240" w:after="0" w:line="276" w:lineRule="auto"/>
        <w:ind w:left="567" w:hanging="567"/>
        <w:rPr>
          <w:color w:val="auto"/>
        </w:rPr>
      </w:pPr>
      <w:proofErr w:type="spellStart"/>
      <w:r w:rsidRPr="00EC1DF5">
        <w:rPr>
          <w:color w:val="auto"/>
        </w:rPr>
        <w:t>Rechner</w:t>
      </w:r>
      <w:proofErr w:type="spellEnd"/>
      <w:r w:rsidRPr="00EC1DF5">
        <w:rPr>
          <w:color w:val="auto"/>
        </w:rPr>
        <w:t>, P.L. &amp; Dalton, D.R. (1991). CEO duality and organizational performance: A longitudinal analysis. </w:t>
      </w:r>
      <w:r w:rsidRPr="00EC1DF5">
        <w:rPr>
          <w:i/>
          <w:iCs/>
          <w:color w:val="auto"/>
        </w:rPr>
        <w:t>Strategic Management Journal</w:t>
      </w:r>
      <w:r w:rsidRPr="00EC1DF5">
        <w:rPr>
          <w:color w:val="auto"/>
        </w:rPr>
        <w:t>, </w:t>
      </w:r>
      <w:r w:rsidRPr="00EC1DF5">
        <w:rPr>
          <w:i/>
          <w:iCs/>
          <w:color w:val="auto"/>
        </w:rPr>
        <w:t>12</w:t>
      </w:r>
      <w:r w:rsidRPr="00EC1DF5">
        <w:rPr>
          <w:color w:val="auto"/>
        </w:rPr>
        <w:t>(2), pp.155-160.</w:t>
      </w:r>
    </w:p>
    <w:p w14:paraId="2437F573" w14:textId="4E33EC4E" w:rsidR="00B60EF5" w:rsidRPr="00EC1DF5" w:rsidRDefault="00B60EF5" w:rsidP="0012185B">
      <w:pPr>
        <w:spacing w:before="240" w:after="0" w:line="276" w:lineRule="auto"/>
        <w:ind w:left="567" w:hanging="567"/>
        <w:rPr>
          <w:color w:val="auto"/>
        </w:rPr>
      </w:pPr>
      <w:r w:rsidRPr="00EC1DF5">
        <w:rPr>
          <w:color w:val="auto"/>
        </w:rPr>
        <w:t xml:space="preserve">Robinson, G., &amp; </w:t>
      </w:r>
      <w:proofErr w:type="spellStart"/>
      <w:r w:rsidRPr="00EC1DF5">
        <w:rPr>
          <w:color w:val="auto"/>
        </w:rPr>
        <w:t>Dechant</w:t>
      </w:r>
      <w:proofErr w:type="spellEnd"/>
      <w:r w:rsidRPr="00EC1DF5">
        <w:rPr>
          <w:color w:val="auto"/>
        </w:rPr>
        <w:t>, K. (1997). Building a business case for diversity. </w:t>
      </w:r>
      <w:r w:rsidRPr="00EC1DF5">
        <w:rPr>
          <w:i/>
          <w:iCs/>
          <w:color w:val="auto"/>
        </w:rPr>
        <w:t>Academy of Management Perspectives</w:t>
      </w:r>
      <w:r w:rsidRPr="00EC1DF5">
        <w:rPr>
          <w:color w:val="auto"/>
        </w:rPr>
        <w:t>, </w:t>
      </w:r>
      <w:r w:rsidRPr="00EC1DF5">
        <w:rPr>
          <w:i/>
          <w:iCs/>
          <w:color w:val="auto"/>
        </w:rPr>
        <w:t>11</w:t>
      </w:r>
      <w:r w:rsidRPr="00EC1DF5">
        <w:rPr>
          <w:color w:val="auto"/>
        </w:rPr>
        <w:t>(3), 21-31.</w:t>
      </w:r>
    </w:p>
    <w:p w14:paraId="10BFD12C" w14:textId="77777777" w:rsidR="00C7402A" w:rsidRPr="00EC1DF5" w:rsidRDefault="00C7402A" w:rsidP="0012185B">
      <w:pPr>
        <w:spacing w:before="240" w:after="0" w:line="276" w:lineRule="auto"/>
        <w:ind w:left="567" w:hanging="567"/>
        <w:rPr>
          <w:color w:val="auto"/>
        </w:rPr>
      </w:pPr>
      <w:r w:rsidRPr="00EC1DF5">
        <w:rPr>
          <w:color w:val="auto"/>
        </w:rPr>
        <w:t xml:space="preserve">Rodrigue, M., </w:t>
      </w:r>
      <w:proofErr w:type="spellStart"/>
      <w:r w:rsidRPr="00EC1DF5">
        <w:rPr>
          <w:color w:val="auto"/>
        </w:rPr>
        <w:t>Magnan</w:t>
      </w:r>
      <w:proofErr w:type="spellEnd"/>
      <w:r w:rsidRPr="00EC1DF5">
        <w:rPr>
          <w:color w:val="auto"/>
        </w:rPr>
        <w:t xml:space="preserve">, M. &amp; Cho, C.H. (2013). Is environmental governance </w:t>
      </w:r>
      <w:proofErr w:type="spellStart"/>
      <w:r w:rsidRPr="00EC1DF5">
        <w:rPr>
          <w:color w:val="auto"/>
        </w:rPr>
        <w:t>su</w:t>
      </w:r>
      <w:r w:rsidRPr="00EC1DF5">
        <w:rPr>
          <w:i/>
          <w:color w:val="auto"/>
        </w:rPr>
        <w:t>BST</w:t>
      </w:r>
      <w:r w:rsidRPr="00EC1DF5">
        <w:rPr>
          <w:color w:val="auto"/>
        </w:rPr>
        <w:t>antive</w:t>
      </w:r>
      <w:proofErr w:type="spellEnd"/>
      <w:r w:rsidRPr="00EC1DF5">
        <w:rPr>
          <w:color w:val="auto"/>
        </w:rPr>
        <w:t xml:space="preserve"> or symbolic? An empirical investigation. </w:t>
      </w:r>
      <w:r w:rsidRPr="00EC1DF5">
        <w:rPr>
          <w:i/>
          <w:iCs/>
          <w:color w:val="auto"/>
        </w:rPr>
        <w:t>Journal of Business Ethics</w:t>
      </w:r>
      <w:r w:rsidRPr="00EC1DF5">
        <w:rPr>
          <w:color w:val="auto"/>
        </w:rPr>
        <w:t>, </w:t>
      </w:r>
      <w:r w:rsidRPr="00EC1DF5">
        <w:rPr>
          <w:i/>
          <w:iCs/>
          <w:color w:val="auto"/>
        </w:rPr>
        <w:t>114</w:t>
      </w:r>
      <w:r w:rsidRPr="00EC1DF5">
        <w:rPr>
          <w:color w:val="auto"/>
        </w:rPr>
        <w:t>(1), pp.107-129.</w:t>
      </w:r>
    </w:p>
    <w:p w14:paraId="29C84C3E" w14:textId="194F6764" w:rsidR="00C7402A" w:rsidRPr="00EC1DF5" w:rsidRDefault="00C7402A" w:rsidP="00C7402A">
      <w:pPr>
        <w:spacing w:before="240" w:after="0" w:line="276" w:lineRule="auto"/>
        <w:ind w:left="567" w:hanging="567"/>
        <w:rPr>
          <w:color w:val="auto"/>
        </w:rPr>
      </w:pPr>
      <w:r w:rsidRPr="001C0FD4">
        <w:rPr>
          <w:color w:val="auto"/>
          <w:lang w:val="fr-FR"/>
        </w:rPr>
        <w:t xml:space="preserve">Rogers, D.S., Duraiappah, A.K., Antons, D.C., Munoz, P., Bai, X., Fragkias, M. &amp; Gutscher, H. </w:t>
      </w:r>
      <w:r w:rsidR="00642409" w:rsidRPr="001C0FD4">
        <w:rPr>
          <w:color w:val="auto"/>
          <w:lang w:val="fr-FR"/>
        </w:rPr>
        <w:t>(</w:t>
      </w:r>
      <w:r w:rsidRPr="001C0FD4">
        <w:rPr>
          <w:color w:val="auto"/>
          <w:lang w:val="fr-FR"/>
        </w:rPr>
        <w:t>2012</w:t>
      </w:r>
      <w:r w:rsidR="00642409" w:rsidRPr="001C0FD4">
        <w:rPr>
          <w:color w:val="auto"/>
          <w:lang w:val="fr-FR"/>
        </w:rPr>
        <w:t xml:space="preserve">). </w:t>
      </w:r>
      <w:r w:rsidRPr="00EC1DF5">
        <w:rPr>
          <w:color w:val="auto"/>
        </w:rPr>
        <w:t>A vision for human well-being: transition to social sustainability</w:t>
      </w:r>
      <w:r w:rsidR="00642409" w:rsidRPr="00EC1DF5">
        <w:rPr>
          <w:color w:val="auto"/>
        </w:rPr>
        <w:t xml:space="preserve">. </w:t>
      </w:r>
      <w:r w:rsidRPr="00EC1DF5">
        <w:rPr>
          <w:i/>
          <w:color w:val="auto"/>
        </w:rPr>
        <w:t xml:space="preserve">Current </w:t>
      </w:r>
      <w:r w:rsidR="00642409" w:rsidRPr="00EC1DF5">
        <w:rPr>
          <w:i/>
          <w:color w:val="auto"/>
        </w:rPr>
        <w:t>O</w:t>
      </w:r>
      <w:r w:rsidRPr="00EC1DF5">
        <w:rPr>
          <w:i/>
          <w:color w:val="auto"/>
        </w:rPr>
        <w:t xml:space="preserve">pinion in </w:t>
      </w:r>
      <w:r w:rsidR="00642409" w:rsidRPr="00EC1DF5">
        <w:rPr>
          <w:i/>
          <w:color w:val="auto"/>
        </w:rPr>
        <w:t>E</w:t>
      </w:r>
      <w:r w:rsidRPr="00EC1DF5">
        <w:rPr>
          <w:i/>
          <w:color w:val="auto"/>
        </w:rPr>
        <w:t xml:space="preserve">nvironmental </w:t>
      </w:r>
      <w:r w:rsidR="00642409" w:rsidRPr="00EC1DF5">
        <w:rPr>
          <w:i/>
          <w:color w:val="auto"/>
        </w:rPr>
        <w:t>S</w:t>
      </w:r>
      <w:r w:rsidRPr="00EC1DF5">
        <w:rPr>
          <w:i/>
          <w:color w:val="auto"/>
        </w:rPr>
        <w:t>ustainability</w:t>
      </w:r>
      <w:r w:rsidRPr="00EC1DF5">
        <w:rPr>
          <w:color w:val="auto"/>
        </w:rPr>
        <w:t>, 4 (1</w:t>
      </w:r>
      <w:proofErr w:type="gramStart"/>
      <w:r w:rsidRPr="00EC1DF5">
        <w:rPr>
          <w:color w:val="auto"/>
        </w:rPr>
        <w:t>),  61</w:t>
      </w:r>
      <w:proofErr w:type="gramEnd"/>
      <w:r w:rsidRPr="00EC1DF5">
        <w:rPr>
          <w:color w:val="auto"/>
        </w:rPr>
        <w:t>-73.</w:t>
      </w:r>
    </w:p>
    <w:p w14:paraId="0421B667" w14:textId="77777777" w:rsidR="00C7402A" w:rsidRPr="00EC1DF5" w:rsidRDefault="00C7402A" w:rsidP="0012185B">
      <w:pPr>
        <w:spacing w:before="240" w:after="0" w:line="276" w:lineRule="auto"/>
        <w:ind w:left="567" w:hanging="567"/>
        <w:rPr>
          <w:color w:val="auto"/>
        </w:rPr>
      </w:pPr>
      <w:proofErr w:type="spellStart"/>
      <w:r w:rsidRPr="00EC1DF5">
        <w:rPr>
          <w:color w:val="auto"/>
        </w:rPr>
        <w:t>Rupley</w:t>
      </w:r>
      <w:proofErr w:type="spellEnd"/>
      <w:r w:rsidRPr="00EC1DF5">
        <w:rPr>
          <w:color w:val="auto"/>
        </w:rPr>
        <w:t xml:space="preserve">, K.H., Brown, D. &amp; Marshall, R.S. (2012). Governance, </w:t>
      </w:r>
      <w:proofErr w:type="gramStart"/>
      <w:r w:rsidRPr="00EC1DF5">
        <w:rPr>
          <w:color w:val="auto"/>
        </w:rPr>
        <w:t>media</w:t>
      </w:r>
      <w:proofErr w:type="gramEnd"/>
      <w:r w:rsidRPr="00EC1DF5">
        <w:rPr>
          <w:color w:val="auto"/>
        </w:rPr>
        <w:t xml:space="preserve"> and the quality of environmental disclosure. </w:t>
      </w:r>
      <w:r w:rsidRPr="00EC1DF5">
        <w:rPr>
          <w:i/>
          <w:iCs/>
          <w:color w:val="auto"/>
        </w:rPr>
        <w:t>Journal of Accounting and Public Policy</w:t>
      </w:r>
      <w:r w:rsidRPr="00EC1DF5">
        <w:rPr>
          <w:color w:val="auto"/>
        </w:rPr>
        <w:t>, </w:t>
      </w:r>
      <w:r w:rsidRPr="00EC1DF5">
        <w:rPr>
          <w:i/>
          <w:iCs/>
          <w:color w:val="auto"/>
        </w:rPr>
        <w:t>31</w:t>
      </w:r>
      <w:r w:rsidRPr="00EC1DF5">
        <w:rPr>
          <w:color w:val="auto"/>
        </w:rPr>
        <w:t>(6), pp.610-640.</w:t>
      </w:r>
    </w:p>
    <w:p w14:paraId="1C5F32A9" w14:textId="77777777" w:rsidR="00C7402A" w:rsidRPr="00EC1DF5" w:rsidRDefault="00C7402A" w:rsidP="0012185B">
      <w:pPr>
        <w:spacing w:before="240" w:after="0" w:line="276" w:lineRule="auto"/>
        <w:ind w:left="567" w:hanging="567"/>
        <w:rPr>
          <w:color w:val="auto"/>
        </w:rPr>
      </w:pPr>
      <w:r w:rsidRPr="00EC1DF5">
        <w:rPr>
          <w:color w:val="auto"/>
        </w:rPr>
        <w:t>Russo, M.V. &amp; Harrison, N.S. (2005). Organizational design and environmental performance: Clues from the electronics industry. </w:t>
      </w:r>
      <w:r w:rsidRPr="00EC1DF5">
        <w:rPr>
          <w:i/>
          <w:iCs/>
          <w:color w:val="auto"/>
        </w:rPr>
        <w:t>Academy of Management Journal</w:t>
      </w:r>
      <w:r w:rsidRPr="00EC1DF5">
        <w:rPr>
          <w:color w:val="auto"/>
        </w:rPr>
        <w:t>, </w:t>
      </w:r>
      <w:r w:rsidRPr="00EC1DF5">
        <w:rPr>
          <w:i/>
          <w:iCs/>
          <w:color w:val="auto"/>
        </w:rPr>
        <w:t>48</w:t>
      </w:r>
      <w:r w:rsidRPr="00EC1DF5">
        <w:rPr>
          <w:color w:val="auto"/>
        </w:rPr>
        <w:t>(4), pp.582-593.</w:t>
      </w:r>
    </w:p>
    <w:p w14:paraId="0B273B70" w14:textId="77777777" w:rsidR="00C7402A" w:rsidRPr="00EC1DF5" w:rsidRDefault="00C7402A" w:rsidP="0012185B">
      <w:pPr>
        <w:spacing w:before="240" w:after="0" w:line="276" w:lineRule="auto"/>
        <w:ind w:left="567" w:hanging="567"/>
        <w:rPr>
          <w:color w:val="auto"/>
        </w:rPr>
      </w:pPr>
      <w:r w:rsidRPr="00EC1DF5">
        <w:rPr>
          <w:color w:val="auto"/>
        </w:rPr>
        <w:t xml:space="preserve">Said, R., </w:t>
      </w:r>
      <w:proofErr w:type="spellStart"/>
      <w:r w:rsidRPr="00EC1DF5">
        <w:rPr>
          <w:color w:val="auto"/>
        </w:rPr>
        <w:t>Hj</w:t>
      </w:r>
      <w:proofErr w:type="spellEnd"/>
      <w:r w:rsidRPr="00EC1DF5">
        <w:rPr>
          <w:color w:val="auto"/>
        </w:rPr>
        <w:t xml:space="preserve"> Zainuddin, Y. &amp; </w:t>
      </w:r>
      <w:proofErr w:type="spellStart"/>
      <w:r w:rsidRPr="00EC1DF5">
        <w:rPr>
          <w:color w:val="auto"/>
        </w:rPr>
        <w:t>Haron</w:t>
      </w:r>
      <w:proofErr w:type="spellEnd"/>
      <w:r w:rsidRPr="00EC1DF5">
        <w:rPr>
          <w:color w:val="auto"/>
        </w:rPr>
        <w:t>, H. (2009). The relationship between corporate social responsibility disclosure and corporate governance characteristics in Malaysian public listed companies. </w:t>
      </w:r>
      <w:r w:rsidRPr="00EC1DF5">
        <w:rPr>
          <w:i/>
          <w:iCs/>
          <w:color w:val="auto"/>
        </w:rPr>
        <w:t>Social Responsibility Journal</w:t>
      </w:r>
      <w:r w:rsidRPr="00EC1DF5">
        <w:rPr>
          <w:color w:val="auto"/>
        </w:rPr>
        <w:t>, </w:t>
      </w:r>
      <w:r w:rsidRPr="00EC1DF5">
        <w:rPr>
          <w:i/>
          <w:iCs/>
          <w:color w:val="auto"/>
        </w:rPr>
        <w:t>5</w:t>
      </w:r>
      <w:r w:rsidRPr="00EC1DF5">
        <w:rPr>
          <w:color w:val="auto"/>
        </w:rPr>
        <w:t>(2), pp.212-226.</w:t>
      </w:r>
    </w:p>
    <w:p w14:paraId="7B1FFA72" w14:textId="77777777" w:rsidR="00C7402A" w:rsidRPr="00EC1DF5" w:rsidRDefault="00C7402A" w:rsidP="0012185B">
      <w:pPr>
        <w:spacing w:before="240" w:after="0" w:line="276" w:lineRule="auto"/>
        <w:ind w:left="567" w:hanging="567"/>
        <w:rPr>
          <w:color w:val="auto"/>
        </w:rPr>
      </w:pPr>
      <w:proofErr w:type="spellStart"/>
      <w:r w:rsidRPr="00EC1DF5">
        <w:rPr>
          <w:color w:val="auto"/>
        </w:rPr>
        <w:t>Salhofer</w:t>
      </w:r>
      <w:proofErr w:type="spellEnd"/>
      <w:r w:rsidRPr="00EC1DF5">
        <w:rPr>
          <w:color w:val="auto"/>
        </w:rPr>
        <w:t xml:space="preserve">, S., </w:t>
      </w:r>
      <w:proofErr w:type="spellStart"/>
      <w:r w:rsidRPr="00EC1DF5">
        <w:rPr>
          <w:color w:val="auto"/>
        </w:rPr>
        <w:t>Obersteiner</w:t>
      </w:r>
      <w:proofErr w:type="spellEnd"/>
      <w:r w:rsidRPr="00EC1DF5">
        <w:rPr>
          <w:color w:val="auto"/>
        </w:rPr>
        <w:t xml:space="preserve">, G., Schneider, F. &amp; </w:t>
      </w:r>
      <w:proofErr w:type="spellStart"/>
      <w:r w:rsidRPr="00EC1DF5">
        <w:rPr>
          <w:color w:val="auto"/>
        </w:rPr>
        <w:t>Lebersorger</w:t>
      </w:r>
      <w:proofErr w:type="spellEnd"/>
      <w:r w:rsidRPr="00EC1DF5">
        <w:rPr>
          <w:color w:val="auto"/>
        </w:rPr>
        <w:t>, S. (2008). Potentials for the prevention of municipal solid waste. </w:t>
      </w:r>
      <w:r w:rsidRPr="00EC1DF5">
        <w:rPr>
          <w:i/>
          <w:iCs/>
          <w:color w:val="auto"/>
        </w:rPr>
        <w:t>Waste Management</w:t>
      </w:r>
      <w:r w:rsidRPr="00EC1DF5">
        <w:rPr>
          <w:color w:val="auto"/>
        </w:rPr>
        <w:t>, </w:t>
      </w:r>
      <w:r w:rsidRPr="00EC1DF5">
        <w:rPr>
          <w:i/>
          <w:iCs/>
          <w:color w:val="auto"/>
        </w:rPr>
        <w:t>28</w:t>
      </w:r>
      <w:r w:rsidRPr="00EC1DF5">
        <w:rPr>
          <w:color w:val="auto"/>
        </w:rPr>
        <w:t>(2), pp.245-259.</w:t>
      </w:r>
    </w:p>
    <w:p w14:paraId="14D7E18D" w14:textId="77777777" w:rsidR="00C7402A" w:rsidRPr="00EC1DF5" w:rsidRDefault="00C7402A" w:rsidP="00C7402A">
      <w:pPr>
        <w:spacing w:before="240" w:after="0" w:line="276" w:lineRule="auto"/>
        <w:ind w:left="567" w:hanging="567"/>
        <w:rPr>
          <w:color w:val="auto"/>
        </w:rPr>
      </w:pPr>
      <w:r w:rsidRPr="00EC1DF5">
        <w:rPr>
          <w:color w:val="auto"/>
        </w:rPr>
        <w:t>Sarkis, J. and Zhu, Q., 2018. Environmental sustainability and production: taking the road less travelled. </w:t>
      </w:r>
      <w:r w:rsidRPr="00EC1DF5">
        <w:rPr>
          <w:i/>
          <w:iCs/>
          <w:color w:val="auto"/>
        </w:rPr>
        <w:t>International Journal of Production Research</w:t>
      </w:r>
      <w:r w:rsidRPr="00EC1DF5">
        <w:rPr>
          <w:color w:val="auto"/>
        </w:rPr>
        <w:t>, </w:t>
      </w:r>
      <w:r w:rsidRPr="00EC1DF5">
        <w:rPr>
          <w:i/>
          <w:iCs/>
          <w:color w:val="auto"/>
        </w:rPr>
        <w:t>56</w:t>
      </w:r>
      <w:r w:rsidRPr="00EC1DF5">
        <w:rPr>
          <w:color w:val="auto"/>
        </w:rPr>
        <w:t>(1-2), pp.743-759.</w:t>
      </w:r>
    </w:p>
    <w:p w14:paraId="38F494B2" w14:textId="213B9A3A" w:rsidR="00C7402A" w:rsidRPr="00EC1DF5" w:rsidRDefault="00C7402A" w:rsidP="0012185B">
      <w:pPr>
        <w:spacing w:before="240" w:after="0" w:line="276" w:lineRule="auto"/>
        <w:ind w:left="567" w:hanging="567"/>
        <w:rPr>
          <w:color w:val="auto"/>
        </w:rPr>
      </w:pPr>
      <w:r w:rsidRPr="00EC1DF5">
        <w:rPr>
          <w:color w:val="auto"/>
        </w:rPr>
        <w:t>Schultz, E.L., Tan, D.T. &amp; Walsh, K.D. (2010). Endogeneity and the corporate governance-performance relation. </w:t>
      </w:r>
      <w:r w:rsidRPr="00EC1DF5">
        <w:rPr>
          <w:i/>
          <w:iCs/>
          <w:color w:val="auto"/>
        </w:rPr>
        <w:t>Australian Journal of Management</w:t>
      </w:r>
      <w:r w:rsidRPr="00EC1DF5">
        <w:rPr>
          <w:color w:val="auto"/>
        </w:rPr>
        <w:t>, </w:t>
      </w:r>
      <w:r w:rsidRPr="00EC1DF5">
        <w:rPr>
          <w:i/>
          <w:iCs/>
          <w:color w:val="auto"/>
        </w:rPr>
        <w:t>35</w:t>
      </w:r>
      <w:r w:rsidRPr="00EC1DF5">
        <w:rPr>
          <w:color w:val="auto"/>
        </w:rPr>
        <w:t>(2), pp.145-163.</w:t>
      </w:r>
    </w:p>
    <w:p w14:paraId="069860E4" w14:textId="48007E4B" w:rsidR="00B60EF5" w:rsidRPr="00EC1DF5" w:rsidRDefault="00B60EF5" w:rsidP="0012185B">
      <w:pPr>
        <w:spacing w:before="240" w:after="0" w:line="276" w:lineRule="auto"/>
        <w:ind w:left="567" w:hanging="567"/>
        <w:rPr>
          <w:color w:val="auto"/>
        </w:rPr>
      </w:pPr>
      <w:r w:rsidRPr="00EC1DF5">
        <w:rPr>
          <w:color w:val="auto"/>
        </w:rPr>
        <w:lastRenderedPageBreak/>
        <w:t>Sen, S., &amp; Cowley, J. (2013). The relevance of stakeholder theory and social capital theory in the context of CSR in SMEs: An Australian perspective. </w:t>
      </w:r>
      <w:r w:rsidRPr="00EC1DF5">
        <w:rPr>
          <w:i/>
          <w:iCs/>
          <w:color w:val="auto"/>
        </w:rPr>
        <w:t>Journal of Business Ethics</w:t>
      </w:r>
      <w:r w:rsidRPr="00EC1DF5">
        <w:rPr>
          <w:color w:val="auto"/>
        </w:rPr>
        <w:t>, </w:t>
      </w:r>
      <w:r w:rsidRPr="00EC1DF5">
        <w:rPr>
          <w:i/>
          <w:iCs/>
          <w:color w:val="auto"/>
        </w:rPr>
        <w:t>118</w:t>
      </w:r>
      <w:r w:rsidRPr="00EC1DF5">
        <w:rPr>
          <w:color w:val="auto"/>
        </w:rPr>
        <w:t>(2), 413-427.</w:t>
      </w:r>
    </w:p>
    <w:p w14:paraId="19F94C87" w14:textId="77777777" w:rsidR="00C7402A" w:rsidRPr="00EC1DF5" w:rsidRDefault="00C7402A" w:rsidP="0012185B">
      <w:pPr>
        <w:spacing w:before="240" w:after="0" w:line="276" w:lineRule="auto"/>
        <w:ind w:left="567" w:hanging="567"/>
        <w:rPr>
          <w:color w:val="auto"/>
        </w:rPr>
      </w:pPr>
      <w:proofErr w:type="spellStart"/>
      <w:r w:rsidRPr="00EC1DF5">
        <w:rPr>
          <w:color w:val="auto"/>
        </w:rPr>
        <w:t>Seow</w:t>
      </w:r>
      <w:proofErr w:type="spellEnd"/>
      <w:r w:rsidRPr="00EC1DF5">
        <w:rPr>
          <w:color w:val="auto"/>
        </w:rPr>
        <w:t xml:space="preserve">, C., Hillary, R., Gao, S.S. &amp; Zhang, J.J. (2006). Stakeholder engagement, social </w:t>
      </w:r>
      <w:proofErr w:type="gramStart"/>
      <w:r w:rsidRPr="00EC1DF5">
        <w:rPr>
          <w:color w:val="auto"/>
        </w:rPr>
        <w:t>auditing</w:t>
      </w:r>
      <w:proofErr w:type="gramEnd"/>
      <w:r w:rsidRPr="00EC1DF5">
        <w:rPr>
          <w:color w:val="auto"/>
        </w:rPr>
        <w:t xml:space="preserve"> and corporate sustainability. </w:t>
      </w:r>
      <w:r w:rsidRPr="00EC1DF5">
        <w:rPr>
          <w:i/>
          <w:iCs/>
          <w:color w:val="auto"/>
        </w:rPr>
        <w:t>Business Process Management Journal</w:t>
      </w:r>
      <w:r w:rsidRPr="00EC1DF5">
        <w:rPr>
          <w:color w:val="auto"/>
        </w:rPr>
        <w:t xml:space="preserve">. Vol. 12 No. 6, pp. 722-740 </w:t>
      </w:r>
    </w:p>
    <w:p w14:paraId="0BF9A50C" w14:textId="77777777" w:rsidR="00C7402A" w:rsidRPr="00EC1DF5" w:rsidRDefault="00C7402A" w:rsidP="0012185B">
      <w:pPr>
        <w:spacing w:before="240" w:after="0" w:line="276" w:lineRule="auto"/>
        <w:ind w:left="567" w:hanging="567"/>
        <w:rPr>
          <w:color w:val="auto"/>
        </w:rPr>
      </w:pPr>
      <w:r w:rsidRPr="00EC1DF5">
        <w:rPr>
          <w:color w:val="auto"/>
        </w:rPr>
        <w:t xml:space="preserve">Shaukat, A., </w:t>
      </w:r>
      <w:proofErr w:type="spellStart"/>
      <w:r w:rsidRPr="00EC1DF5">
        <w:rPr>
          <w:color w:val="auto"/>
        </w:rPr>
        <w:t>Qiu</w:t>
      </w:r>
      <w:proofErr w:type="spellEnd"/>
      <w:r w:rsidRPr="00EC1DF5">
        <w:rPr>
          <w:color w:val="auto"/>
        </w:rPr>
        <w:t xml:space="preserve">, Y. &amp; </w:t>
      </w:r>
      <w:proofErr w:type="spellStart"/>
      <w:r w:rsidRPr="00EC1DF5">
        <w:rPr>
          <w:color w:val="auto"/>
        </w:rPr>
        <w:t>Trojanowski</w:t>
      </w:r>
      <w:proofErr w:type="spellEnd"/>
      <w:r w:rsidRPr="00EC1DF5">
        <w:rPr>
          <w:color w:val="auto"/>
        </w:rPr>
        <w:t>, G. (2016). Board attributes, corporate social responsibility strategy, and corporate environmental and social performance. </w:t>
      </w:r>
      <w:r w:rsidRPr="00EC1DF5">
        <w:rPr>
          <w:i/>
          <w:iCs/>
          <w:color w:val="auto"/>
        </w:rPr>
        <w:t>Journal of Business Ethics</w:t>
      </w:r>
      <w:r w:rsidRPr="00EC1DF5">
        <w:rPr>
          <w:color w:val="auto"/>
        </w:rPr>
        <w:t>, </w:t>
      </w:r>
      <w:r w:rsidRPr="00EC1DF5">
        <w:rPr>
          <w:i/>
          <w:iCs/>
          <w:color w:val="auto"/>
        </w:rPr>
        <w:t>135</w:t>
      </w:r>
      <w:r w:rsidRPr="00EC1DF5">
        <w:rPr>
          <w:color w:val="auto"/>
        </w:rPr>
        <w:t>(3), pp.569-585.</w:t>
      </w:r>
    </w:p>
    <w:p w14:paraId="033D7436" w14:textId="77777777" w:rsidR="00C7402A" w:rsidRPr="00EC1DF5" w:rsidRDefault="00C7402A" w:rsidP="0012185B">
      <w:pPr>
        <w:spacing w:before="240" w:after="0" w:line="276" w:lineRule="auto"/>
        <w:ind w:left="567" w:hanging="567"/>
        <w:rPr>
          <w:color w:val="auto"/>
        </w:rPr>
      </w:pPr>
      <w:r w:rsidRPr="00EC1DF5">
        <w:rPr>
          <w:color w:val="auto"/>
        </w:rPr>
        <w:t xml:space="preserve">Shleifer, A. &amp; </w:t>
      </w:r>
      <w:proofErr w:type="spellStart"/>
      <w:r w:rsidRPr="00EC1DF5">
        <w:rPr>
          <w:color w:val="auto"/>
        </w:rPr>
        <w:t>Vishny</w:t>
      </w:r>
      <w:proofErr w:type="spellEnd"/>
      <w:r w:rsidRPr="00EC1DF5">
        <w:rPr>
          <w:color w:val="auto"/>
        </w:rPr>
        <w:t>, R.W. (1997). A survey of corporate governance. </w:t>
      </w:r>
      <w:r w:rsidRPr="00EC1DF5">
        <w:rPr>
          <w:i/>
          <w:iCs/>
          <w:color w:val="auto"/>
        </w:rPr>
        <w:t>The Journal of Finance</w:t>
      </w:r>
      <w:r w:rsidRPr="00EC1DF5">
        <w:rPr>
          <w:color w:val="auto"/>
        </w:rPr>
        <w:t>, </w:t>
      </w:r>
      <w:r w:rsidRPr="00EC1DF5">
        <w:rPr>
          <w:i/>
          <w:iCs/>
          <w:color w:val="auto"/>
        </w:rPr>
        <w:t>52</w:t>
      </w:r>
      <w:r w:rsidRPr="00EC1DF5">
        <w:rPr>
          <w:color w:val="auto"/>
        </w:rPr>
        <w:t>(2), pp.737-783.</w:t>
      </w:r>
    </w:p>
    <w:p w14:paraId="679FED98" w14:textId="1BEBB194" w:rsidR="00C7402A" w:rsidRPr="00EC1DF5" w:rsidRDefault="00C7402A" w:rsidP="0012185B">
      <w:pPr>
        <w:spacing w:before="240" w:after="0" w:line="276" w:lineRule="auto"/>
        <w:ind w:left="567" w:hanging="567"/>
        <w:rPr>
          <w:color w:val="auto"/>
        </w:rPr>
      </w:pPr>
      <w:proofErr w:type="spellStart"/>
      <w:r w:rsidRPr="00EC1DF5">
        <w:rPr>
          <w:color w:val="auto"/>
        </w:rPr>
        <w:t>Spitzeck</w:t>
      </w:r>
      <w:proofErr w:type="spellEnd"/>
      <w:r w:rsidRPr="00EC1DF5">
        <w:rPr>
          <w:color w:val="auto"/>
        </w:rPr>
        <w:t>, H. (2009). The development of governance structures for corporate responsibility. </w:t>
      </w:r>
      <w:r w:rsidRPr="00EC1DF5">
        <w:rPr>
          <w:i/>
          <w:iCs/>
          <w:color w:val="auto"/>
        </w:rPr>
        <w:t>Corporate Governance: The International Journal of Business in Society</w:t>
      </w:r>
      <w:r w:rsidRPr="00EC1DF5">
        <w:rPr>
          <w:color w:val="auto"/>
        </w:rPr>
        <w:t>, </w:t>
      </w:r>
      <w:r w:rsidRPr="00EC1DF5">
        <w:rPr>
          <w:i/>
          <w:iCs/>
          <w:color w:val="auto"/>
        </w:rPr>
        <w:t>9</w:t>
      </w:r>
      <w:r w:rsidRPr="00EC1DF5">
        <w:rPr>
          <w:color w:val="auto"/>
        </w:rPr>
        <w:t>(4), pp.495-505.</w:t>
      </w:r>
    </w:p>
    <w:p w14:paraId="3C084745" w14:textId="397E8413" w:rsidR="00B60EF5" w:rsidRPr="00EC1DF5" w:rsidRDefault="00B60EF5" w:rsidP="0012185B">
      <w:pPr>
        <w:spacing w:before="240" w:after="0" w:line="276" w:lineRule="auto"/>
        <w:ind w:left="567" w:hanging="567"/>
        <w:rPr>
          <w:color w:val="auto"/>
        </w:rPr>
      </w:pPr>
      <w:proofErr w:type="spellStart"/>
      <w:r w:rsidRPr="00EC1DF5">
        <w:rPr>
          <w:color w:val="auto"/>
        </w:rPr>
        <w:t>Su</w:t>
      </w:r>
      <w:proofErr w:type="spellEnd"/>
      <w:r w:rsidRPr="00EC1DF5">
        <w:rPr>
          <w:color w:val="auto"/>
        </w:rPr>
        <w:t xml:space="preserve">, W., &amp; </w:t>
      </w:r>
      <w:proofErr w:type="spellStart"/>
      <w:r w:rsidRPr="00EC1DF5">
        <w:rPr>
          <w:color w:val="auto"/>
        </w:rPr>
        <w:t>Sauerwald</w:t>
      </w:r>
      <w:proofErr w:type="spellEnd"/>
      <w:r w:rsidRPr="00EC1DF5">
        <w:rPr>
          <w:color w:val="auto"/>
        </w:rPr>
        <w:t>, S. (2018). Does corporate philanthropy increase firm value? The moderating role of corporate governance. </w:t>
      </w:r>
      <w:r w:rsidRPr="00EC1DF5">
        <w:rPr>
          <w:i/>
          <w:iCs/>
          <w:color w:val="auto"/>
        </w:rPr>
        <w:t>Business &amp; Society</w:t>
      </w:r>
      <w:r w:rsidRPr="00EC1DF5">
        <w:rPr>
          <w:color w:val="auto"/>
        </w:rPr>
        <w:t>, </w:t>
      </w:r>
      <w:r w:rsidRPr="00EC1DF5">
        <w:rPr>
          <w:i/>
          <w:iCs/>
          <w:color w:val="auto"/>
        </w:rPr>
        <w:t>57</w:t>
      </w:r>
      <w:r w:rsidRPr="00EC1DF5">
        <w:rPr>
          <w:color w:val="auto"/>
        </w:rPr>
        <w:t>(4), 599-635.</w:t>
      </w:r>
    </w:p>
    <w:p w14:paraId="7D6ABFFA" w14:textId="77777777" w:rsidR="00C7402A" w:rsidRPr="00EC1DF5" w:rsidRDefault="00C7402A" w:rsidP="0012185B">
      <w:pPr>
        <w:spacing w:before="240" w:after="0" w:line="276" w:lineRule="auto"/>
        <w:ind w:left="567" w:hanging="567"/>
        <w:rPr>
          <w:color w:val="auto"/>
        </w:rPr>
      </w:pPr>
      <w:r w:rsidRPr="00EC1DF5">
        <w:rPr>
          <w:color w:val="auto"/>
        </w:rPr>
        <w:t>Thomas, R.S. &amp; Cotter, J.F. (2007). Shareholder proposals in the new millennium: Shareholder support, board response, and market reaction. </w:t>
      </w:r>
      <w:r w:rsidRPr="00EC1DF5">
        <w:rPr>
          <w:i/>
          <w:iCs/>
          <w:color w:val="auto"/>
        </w:rPr>
        <w:t>Journal of Corporate Finance</w:t>
      </w:r>
      <w:r w:rsidRPr="00EC1DF5">
        <w:rPr>
          <w:color w:val="auto"/>
        </w:rPr>
        <w:t>, </w:t>
      </w:r>
      <w:r w:rsidRPr="00EC1DF5">
        <w:rPr>
          <w:i/>
          <w:iCs/>
          <w:color w:val="auto"/>
        </w:rPr>
        <w:t>13</w:t>
      </w:r>
      <w:r w:rsidRPr="00EC1DF5">
        <w:rPr>
          <w:color w:val="auto"/>
        </w:rPr>
        <w:t>(2-3), pp.368-391.</w:t>
      </w:r>
    </w:p>
    <w:p w14:paraId="0353CFE9" w14:textId="77777777" w:rsidR="00C7402A" w:rsidRPr="00EC1DF5" w:rsidRDefault="00C7402A" w:rsidP="0012185B">
      <w:pPr>
        <w:spacing w:before="240" w:after="0" w:line="276" w:lineRule="auto"/>
        <w:ind w:left="567" w:hanging="567"/>
        <w:rPr>
          <w:color w:val="auto"/>
        </w:rPr>
      </w:pPr>
      <w:r w:rsidRPr="00EC1DF5">
        <w:rPr>
          <w:color w:val="auto"/>
        </w:rPr>
        <w:t xml:space="preserve">Ullah, S., Akhtar, P. &amp; </w:t>
      </w:r>
      <w:proofErr w:type="spellStart"/>
      <w:r w:rsidRPr="00EC1DF5">
        <w:rPr>
          <w:color w:val="auto"/>
        </w:rPr>
        <w:t>Zaefarian</w:t>
      </w:r>
      <w:proofErr w:type="spellEnd"/>
      <w:r w:rsidRPr="00EC1DF5">
        <w:rPr>
          <w:color w:val="auto"/>
        </w:rPr>
        <w:t>, G. (2018). Dealing with endogeneity bias: The generalized method of moments (GMM) for panel data. </w:t>
      </w:r>
      <w:r w:rsidRPr="00EC1DF5">
        <w:rPr>
          <w:i/>
          <w:iCs/>
          <w:color w:val="auto"/>
        </w:rPr>
        <w:t>Industrial Marketing Management</w:t>
      </w:r>
      <w:r w:rsidRPr="00EC1DF5">
        <w:rPr>
          <w:color w:val="auto"/>
        </w:rPr>
        <w:t>, </w:t>
      </w:r>
      <w:r w:rsidRPr="00EC1DF5">
        <w:rPr>
          <w:i/>
          <w:iCs/>
          <w:color w:val="auto"/>
        </w:rPr>
        <w:t>71</w:t>
      </w:r>
      <w:r w:rsidRPr="00EC1DF5">
        <w:rPr>
          <w:color w:val="auto"/>
        </w:rPr>
        <w:t>, pp.69-78.</w:t>
      </w:r>
    </w:p>
    <w:p w14:paraId="415BDB50" w14:textId="77777777" w:rsidR="00C7402A" w:rsidRPr="00EC1DF5" w:rsidRDefault="00C7402A" w:rsidP="0012185B">
      <w:pPr>
        <w:spacing w:before="240" w:after="0" w:line="276" w:lineRule="auto"/>
        <w:ind w:left="567" w:hanging="567"/>
        <w:rPr>
          <w:color w:val="auto"/>
        </w:rPr>
      </w:pPr>
      <w:proofErr w:type="spellStart"/>
      <w:r w:rsidRPr="00EC1DF5">
        <w:rPr>
          <w:color w:val="auto"/>
        </w:rPr>
        <w:t>Vafeas</w:t>
      </w:r>
      <w:proofErr w:type="spellEnd"/>
      <w:r w:rsidRPr="00EC1DF5">
        <w:rPr>
          <w:color w:val="auto"/>
        </w:rPr>
        <w:t xml:space="preserve">, N. &amp; </w:t>
      </w:r>
      <w:proofErr w:type="spellStart"/>
      <w:r w:rsidRPr="00EC1DF5">
        <w:rPr>
          <w:color w:val="auto"/>
        </w:rPr>
        <w:t>Theodorou</w:t>
      </w:r>
      <w:proofErr w:type="spellEnd"/>
      <w:r w:rsidRPr="00EC1DF5">
        <w:rPr>
          <w:color w:val="auto"/>
        </w:rPr>
        <w:t>, E. (1998). The relationship between board structure and firm performance in the UK. </w:t>
      </w:r>
      <w:r w:rsidRPr="00EC1DF5">
        <w:rPr>
          <w:i/>
          <w:iCs/>
          <w:color w:val="auto"/>
        </w:rPr>
        <w:t>The British Accounting Review</w:t>
      </w:r>
      <w:r w:rsidRPr="00EC1DF5">
        <w:rPr>
          <w:color w:val="auto"/>
        </w:rPr>
        <w:t>, </w:t>
      </w:r>
      <w:r w:rsidRPr="00EC1DF5">
        <w:rPr>
          <w:i/>
          <w:iCs/>
          <w:color w:val="auto"/>
        </w:rPr>
        <w:t>30</w:t>
      </w:r>
      <w:r w:rsidRPr="00EC1DF5">
        <w:rPr>
          <w:color w:val="auto"/>
        </w:rPr>
        <w:t>(4), pp.383-407.</w:t>
      </w:r>
    </w:p>
    <w:p w14:paraId="7BF95258" w14:textId="77777777" w:rsidR="00C7402A" w:rsidRPr="00EC1DF5" w:rsidRDefault="00C7402A" w:rsidP="0012185B">
      <w:pPr>
        <w:spacing w:before="240" w:after="0" w:line="276" w:lineRule="auto"/>
        <w:ind w:left="567" w:hanging="567"/>
        <w:rPr>
          <w:color w:val="auto"/>
        </w:rPr>
      </w:pPr>
      <w:r w:rsidRPr="00EC1DF5">
        <w:rPr>
          <w:color w:val="auto"/>
        </w:rPr>
        <w:t xml:space="preserve">Walls, J.L., </w:t>
      </w:r>
      <w:proofErr w:type="spellStart"/>
      <w:r w:rsidRPr="00EC1DF5">
        <w:rPr>
          <w:color w:val="auto"/>
        </w:rPr>
        <w:t>Berrone</w:t>
      </w:r>
      <w:proofErr w:type="spellEnd"/>
      <w:r w:rsidRPr="00EC1DF5">
        <w:rPr>
          <w:color w:val="auto"/>
        </w:rPr>
        <w:t xml:space="preserve">, P. &amp; Phan, P.H. (2012). Corporate governance and environmental performance: </w:t>
      </w:r>
      <w:proofErr w:type="gramStart"/>
      <w:r w:rsidRPr="00EC1DF5">
        <w:rPr>
          <w:color w:val="auto"/>
        </w:rPr>
        <w:t>Is</w:t>
      </w:r>
      <w:proofErr w:type="gramEnd"/>
      <w:r w:rsidRPr="00EC1DF5">
        <w:rPr>
          <w:color w:val="auto"/>
        </w:rPr>
        <w:t xml:space="preserve"> there really a link? </w:t>
      </w:r>
      <w:r w:rsidRPr="00EC1DF5">
        <w:rPr>
          <w:i/>
          <w:iCs/>
          <w:color w:val="auto"/>
        </w:rPr>
        <w:t>Strategic Management Journal</w:t>
      </w:r>
      <w:r w:rsidRPr="00EC1DF5">
        <w:rPr>
          <w:color w:val="auto"/>
        </w:rPr>
        <w:t>, </w:t>
      </w:r>
      <w:r w:rsidRPr="00EC1DF5">
        <w:rPr>
          <w:i/>
          <w:iCs/>
          <w:color w:val="auto"/>
        </w:rPr>
        <w:t>33</w:t>
      </w:r>
      <w:r w:rsidRPr="00EC1DF5">
        <w:rPr>
          <w:color w:val="auto"/>
        </w:rPr>
        <w:t>(8), pp.885-913.</w:t>
      </w:r>
    </w:p>
    <w:p w14:paraId="26D8F959" w14:textId="77777777" w:rsidR="00C7402A" w:rsidRPr="00EC1DF5" w:rsidRDefault="00C7402A" w:rsidP="0012185B">
      <w:pPr>
        <w:spacing w:before="240" w:after="0" w:line="276" w:lineRule="auto"/>
        <w:ind w:left="567" w:hanging="567"/>
        <w:rPr>
          <w:color w:val="auto"/>
        </w:rPr>
      </w:pPr>
      <w:r w:rsidRPr="00EC1DF5">
        <w:rPr>
          <w:color w:val="auto"/>
        </w:rPr>
        <w:t>Williams, R.J. (2003). Women on corporate boards of directors and their influence on corporate philanthropy. </w:t>
      </w:r>
      <w:r w:rsidRPr="00EC1DF5">
        <w:rPr>
          <w:i/>
          <w:iCs/>
          <w:color w:val="auto"/>
        </w:rPr>
        <w:t>Journal of Business Ethics</w:t>
      </w:r>
      <w:r w:rsidRPr="00EC1DF5">
        <w:rPr>
          <w:color w:val="auto"/>
        </w:rPr>
        <w:t>, </w:t>
      </w:r>
      <w:r w:rsidRPr="00EC1DF5">
        <w:rPr>
          <w:i/>
          <w:iCs/>
          <w:color w:val="auto"/>
        </w:rPr>
        <w:t>42</w:t>
      </w:r>
      <w:r w:rsidRPr="00EC1DF5">
        <w:rPr>
          <w:color w:val="auto"/>
        </w:rPr>
        <w:t>(1), pp.1-10.</w:t>
      </w:r>
    </w:p>
    <w:p w14:paraId="6CE29D14" w14:textId="77777777" w:rsidR="00C7402A" w:rsidRPr="00EC1DF5" w:rsidRDefault="00C7402A" w:rsidP="00C7402A">
      <w:pPr>
        <w:spacing w:before="240" w:after="0" w:line="276" w:lineRule="auto"/>
        <w:ind w:left="567" w:hanging="567"/>
        <w:rPr>
          <w:color w:val="auto"/>
        </w:rPr>
      </w:pPr>
      <w:proofErr w:type="spellStart"/>
      <w:r w:rsidRPr="00EC1DF5">
        <w:rPr>
          <w:color w:val="auto"/>
        </w:rPr>
        <w:t>Zagorchev</w:t>
      </w:r>
      <w:proofErr w:type="spellEnd"/>
      <w:r w:rsidRPr="00EC1DF5">
        <w:rPr>
          <w:color w:val="auto"/>
        </w:rPr>
        <w:t>, A. &amp; Gao, L. (2015). Corporate governance and performance of financial institutions. </w:t>
      </w:r>
      <w:r w:rsidRPr="00EC1DF5">
        <w:rPr>
          <w:i/>
          <w:iCs/>
          <w:color w:val="auto"/>
        </w:rPr>
        <w:t>Journal of Economics and Business</w:t>
      </w:r>
      <w:r w:rsidRPr="00EC1DF5">
        <w:rPr>
          <w:color w:val="auto"/>
        </w:rPr>
        <w:t>, </w:t>
      </w:r>
      <w:r w:rsidRPr="00EC1DF5">
        <w:rPr>
          <w:i/>
          <w:iCs/>
          <w:color w:val="auto"/>
        </w:rPr>
        <w:t>82</w:t>
      </w:r>
      <w:r w:rsidRPr="00EC1DF5">
        <w:rPr>
          <w:color w:val="auto"/>
        </w:rPr>
        <w:t>, pp.17-41.</w:t>
      </w:r>
    </w:p>
    <w:p w14:paraId="103D3B52" w14:textId="18196081" w:rsidR="00AB41CC" w:rsidRPr="00EC1DF5" w:rsidRDefault="00AB41CC" w:rsidP="0012185B">
      <w:pPr>
        <w:spacing w:before="240" w:after="0" w:line="276" w:lineRule="auto"/>
        <w:ind w:left="567" w:hanging="567"/>
        <w:rPr>
          <w:color w:val="auto"/>
        </w:rPr>
      </w:pPr>
    </w:p>
    <w:p w14:paraId="2097F2AE" w14:textId="0045D16F" w:rsidR="00AB41CC" w:rsidRPr="00EC1DF5" w:rsidRDefault="00AB41CC" w:rsidP="0012185B">
      <w:pPr>
        <w:spacing w:before="240" w:after="0" w:line="276" w:lineRule="auto"/>
        <w:ind w:left="567" w:hanging="567"/>
        <w:rPr>
          <w:color w:val="auto"/>
        </w:rPr>
      </w:pPr>
    </w:p>
    <w:p w14:paraId="11804919" w14:textId="0180F949" w:rsidR="00AB41CC" w:rsidRPr="00EC1DF5" w:rsidRDefault="00AB41CC" w:rsidP="0012185B">
      <w:pPr>
        <w:spacing w:before="240" w:after="0" w:line="276" w:lineRule="auto"/>
        <w:ind w:left="567" w:hanging="567"/>
        <w:rPr>
          <w:color w:val="auto"/>
        </w:rPr>
      </w:pPr>
    </w:p>
    <w:p w14:paraId="4BE82603" w14:textId="240731D7" w:rsidR="00AB41CC" w:rsidRPr="00EC1DF5" w:rsidRDefault="00AB41CC" w:rsidP="0012185B">
      <w:pPr>
        <w:spacing w:before="240" w:after="0" w:line="276" w:lineRule="auto"/>
        <w:ind w:left="567" w:hanging="567"/>
        <w:rPr>
          <w:color w:val="auto"/>
        </w:rPr>
      </w:pPr>
    </w:p>
    <w:p w14:paraId="0BDA10C1" w14:textId="77777777" w:rsidR="00B60EF5" w:rsidRPr="00EC1DF5" w:rsidRDefault="00B60EF5" w:rsidP="00C7402A">
      <w:pPr>
        <w:spacing w:before="240" w:after="0" w:line="276" w:lineRule="auto"/>
        <w:rPr>
          <w:color w:val="auto"/>
        </w:rPr>
      </w:pPr>
    </w:p>
    <w:p w14:paraId="6BC3AAFC" w14:textId="77777777" w:rsidR="00AB41CC" w:rsidRPr="00EC1DF5" w:rsidRDefault="00AB41CC" w:rsidP="00AB41CC">
      <w:pPr>
        <w:pStyle w:val="Caption"/>
        <w:keepNext/>
        <w:rPr>
          <w:b/>
          <w:i w:val="0"/>
          <w:color w:val="auto"/>
          <w:sz w:val="20"/>
          <w:szCs w:val="20"/>
        </w:rPr>
      </w:pPr>
      <w:r w:rsidRPr="00EC1DF5">
        <w:rPr>
          <w:b/>
          <w:i w:val="0"/>
          <w:color w:val="auto"/>
          <w:sz w:val="20"/>
          <w:szCs w:val="20"/>
        </w:rPr>
        <w:t>Table 1</w:t>
      </w:r>
      <w:r w:rsidRPr="00EC1DF5">
        <w:rPr>
          <w:i w:val="0"/>
          <w:color w:val="auto"/>
          <w:sz w:val="20"/>
          <w:szCs w:val="20"/>
        </w:rPr>
        <w:t xml:space="preserve">: </w:t>
      </w:r>
      <w:r w:rsidRPr="00EC1DF5">
        <w:rPr>
          <w:b/>
          <w:i w:val="0"/>
          <w:color w:val="auto"/>
          <w:sz w:val="20"/>
          <w:szCs w:val="20"/>
        </w:rPr>
        <w:t>Variables’ Measurement and Definition</w:t>
      </w:r>
    </w:p>
    <w:tbl>
      <w:tblPr>
        <w:tblW w:w="9923" w:type="dxa"/>
        <w:tblLook w:val="04A0" w:firstRow="1" w:lastRow="0" w:firstColumn="1" w:lastColumn="0" w:noHBand="0" w:noVBand="1"/>
      </w:tblPr>
      <w:tblGrid>
        <w:gridCol w:w="1205"/>
        <w:gridCol w:w="2482"/>
        <w:gridCol w:w="1692"/>
        <w:gridCol w:w="4544"/>
      </w:tblGrid>
      <w:tr w:rsidR="00EC1DF5" w:rsidRPr="00EC1DF5" w14:paraId="6B97FB78" w14:textId="77777777" w:rsidTr="00453380">
        <w:trPr>
          <w:trHeight w:val="416"/>
        </w:trPr>
        <w:tc>
          <w:tcPr>
            <w:tcW w:w="1205" w:type="dxa"/>
            <w:tcBorders>
              <w:top w:val="single" w:sz="4" w:space="0" w:color="auto"/>
              <w:bottom w:val="single" w:sz="4" w:space="0" w:color="auto"/>
            </w:tcBorders>
            <w:vAlign w:val="center"/>
          </w:tcPr>
          <w:p w14:paraId="4C837544" w14:textId="77777777" w:rsidR="00AB41CC" w:rsidRPr="00EC1DF5" w:rsidRDefault="00AB41CC" w:rsidP="00453380">
            <w:pPr>
              <w:spacing w:after="0" w:line="240" w:lineRule="auto"/>
              <w:rPr>
                <w:b/>
                <w:color w:val="auto"/>
                <w:sz w:val="20"/>
                <w:szCs w:val="20"/>
              </w:rPr>
            </w:pPr>
            <w:r w:rsidRPr="00EC1DF5">
              <w:rPr>
                <w:b/>
                <w:color w:val="auto"/>
                <w:sz w:val="20"/>
                <w:szCs w:val="20"/>
              </w:rPr>
              <w:t>Category</w:t>
            </w:r>
          </w:p>
        </w:tc>
        <w:tc>
          <w:tcPr>
            <w:tcW w:w="2482" w:type="dxa"/>
            <w:tcBorders>
              <w:top w:val="single" w:sz="4" w:space="0" w:color="auto"/>
              <w:bottom w:val="single" w:sz="4" w:space="0" w:color="auto"/>
            </w:tcBorders>
            <w:vAlign w:val="center"/>
          </w:tcPr>
          <w:p w14:paraId="6A3684F2" w14:textId="77777777" w:rsidR="00AB41CC" w:rsidRPr="00EC1DF5" w:rsidRDefault="00AB41CC" w:rsidP="00453380">
            <w:pPr>
              <w:spacing w:after="0" w:line="240" w:lineRule="auto"/>
              <w:rPr>
                <w:b/>
                <w:color w:val="auto"/>
                <w:sz w:val="20"/>
                <w:szCs w:val="20"/>
              </w:rPr>
            </w:pPr>
            <w:r w:rsidRPr="00EC1DF5">
              <w:rPr>
                <w:b/>
                <w:color w:val="auto"/>
                <w:sz w:val="20"/>
                <w:szCs w:val="20"/>
              </w:rPr>
              <w:t>Measures</w:t>
            </w:r>
          </w:p>
        </w:tc>
        <w:tc>
          <w:tcPr>
            <w:tcW w:w="1692" w:type="dxa"/>
            <w:tcBorders>
              <w:top w:val="single" w:sz="4" w:space="0" w:color="auto"/>
              <w:bottom w:val="single" w:sz="4" w:space="0" w:color="auto"/>
            </w:tcBorders>
            <w:vAlign w:val="center"/>
          </w:tcPr>
          <w:p w14:paraId="4897308C" w14:textId="77777777" w:rsidR="00AB41CC" w:rsidRPr="00EC1DF5" w:rsidRDefault="00AB41CC" w:rsidP="00453380">
            <w:pPr>
              <w:spacing w:after="0" w:line="240" w:lineRule="auto"/>
              <w:rPr>
                <w:b/>
                <w:color w:val="auto"/>
                <w:sz w:val="20"/>
                <w:szCs w:val="20"/>
              </w:rPr>
            </w:pPr>
            <w:r w:rsidRPr="00EC1DF5">
              <w:rPr>
                <w:b/>
                <w:color w:val="auto"/>
                <w:sz w:val="20"/>
                <w:szCs w:val="20"/>
              </w:rPr>
              <w:t>Mnemonic</w:t>
            </w:r>
          </w:p>
        </w:tc>
        <w:tc>
          <w:tcPr>
            <w:tcW w:w="4544" w:type="dxa"/>
            <w:tcBorders>
              <w:top w:val="single" w:sz="4" w:space="0" w:color="auto"/>
              <w:bottom w:val="single" w:sz="4" w:space="0" w:color="auto"/>
            </w:tcBorders>
            <w:vAlign w:val="center"/>
          </w:tcPr>
          <w:p w14:paraId="6B2E55A1" w14:textId="77777777" w:rsidR="00AB41CC" w:rsidRPr="00EC1DF5" w:rsidRDefault="00AB41CC" w:rsidP="00453380">
            <w:pPr>
              <w:spacing w:after="0" w:line="240" w:lineRule="auto"/>
              <w:rPr>
                <w:b/>
                <w:color w:val="auto"/>
                <w:sz w:val="20"/>
                <w:szCs w:val="20"/>
              </w:rPr>
            </w:pPr>
            <w:r w:rsidRPr="00EC1DF5">
              <w:rPr>
                <w:b/>
                <w:color w:val="auto"/>
                <w:sz w:val="20"/>
                <w:szCs w:val="20"/>
              </w:rPr>
              <w:t>Definition/Measurement</w:t>
            </w:r>
          </w:p>
        </w:tc>
      </w:tr>
      <w:tr w:rsidR="00EC1DF5" w:rsidRPr="00EC1DF5" w14:paraId="3BC62C4D" w14:textId="77777777" w:rsidTr="00453380">
        <w:trPr>
          <w:trHeight w:val="422"/>
        </w:trPr>
        <w:tc>
          <w:tcPr>
            <w:tcW w:w="1205" w:type="dxa"/>
          </w:tcPr>
          <w:p w14:paraId="40971FB5" w14:textId="77777777" w:rsidR="00AB41CC" w:rsidRPr="00EC1DF5" w:rsidRDefault="00AB41CC" w:rsidP="00453380">
            <w:pPr>
              <w:spacing w:after="0" w:line="240" w:lineRule="auto"/>
              <w:rPr>
                <w:color w:val="auto"/>
                <w:sz w:val="20"/>
                <w:szCs w:val="20"/>
              </w:rPr>
            </w:pPr>
            <w:r w:rsidRPr="00EC1DF5">
              <w:rPr>
                <w:color w:val="auto"/>
                <w:sz w:val="20"/>
                <w:szCs w:val="20"/>
              </w:rPr>
              <w:t>Independent variables</w:t>
            </w:r>
          </w:p>
        </w:tc>
        <w:tc>
          <w:tcPr>
            <w:tcW w:w="2482" w:type="dxa"/>
          </w:tcPr>
          <w:p w14:paraId="00A83900" w14:textId="77777777" w:rsidR="00AB41CC" w:rsidRPr="00EC1DF5" w:rsidRDefault="00AB41CC" w:rsidP="00453380">
            <w:pPr>
              <w:spacing w:after="0" w:line="240" w:lineRule="auto"/>
              <w:rPr>
                <w:color w:val="auto"/>
                <w:sz w:val="20"/>
                <w:szCs w:val="20"/>
              </w:rPr>
            </w:pPr>
            <w:r w:rsidRPr="00EC1DF5">
              <w:rPr>
                <w:color w:val="auto"/>
                <w:sz w:val="20"/>
                <w:szCs w:val="20"/>
              </w:rPr>
              <w:t>Board Functions</w:t>
            </w:r>
          </w:p>
        </w:tc>
        <w:tc>
          <w:tcPr>
            <w:tcW w:w="1692" w:type="dxa"/>
          </w:tcPr>
          <w:p w14:paraId="509F6B19" w14:textId="77777777" w:rsidR="00AB41CC" w:rsidRPr="00EC1DF5" w:rsidRDefault="00AB41CC" w:rsidP="00453380">
            <w:pPr>
              <w:spacing w:after="0" w:line="240" w:lineRule="auto"/>
              <w:rPr>
                <w:color w:val="auto"/>
                <w:sz w:val="20"/>
                <w:szCs w:val="20"/>
              </w:rPr>
            </w:pPr>
            <w:r w:rsidRPr="00EC1DF5">
              <w:rPr>
                <w:i/>
                <w:color w:val="auto"/>
                <w:sz w:val="20"/>
                <w:szCs w:val="20"/>
              </w:rPr>
              <w:t>BF</w:t>
            </w:r>
          </w:p>
        </w:tc>
        <w:tc>
          <w:tcPr>
            <w:tcW w:w="4544" w:type="dxa"/>
          </w:tcPr>
          <w:p w14:paraId="0EDC7D78" w14:textId="77777777" w:rsidR="00AB41CC" w:rsidRPr="00EC1DF5" w:rsidRDefault="00AB41CC" w:rsidP="00453380">
            <w:pPr>
              <w:spacing w:after="0" w:line="240" w:lineRule="auto"/>
              <w:rPr>
                <w:color w:val="auto"/>
                <w:sz w:val="20"/>
                <w:szCs w:val="20"/>
              </w:rPr>
            </w:pPr>
            <w:r w:rsidRPr="00EC1DF5">
              <w:rPr>
                <w:color w:val="auto"/>
                <w:sz w:val="20"/>
                <w:szCs w:val="20"/>
              </w:rPr>
              <w:t>Relative measure of board effectiveness in allocating tasks and responsibilities to board committees.</w:t>
            </w:r>
          </w:p>
        </w:tc>
      </w:tr>
      <w:tr w:rsidR="00EC1DF5" w:rsidRPr="00EC1DF5" w14:paraId="7784067B" w14:textId="77777777" w:rsidTr="00453380">
        <w:trPr>
          <w:trHeight w:val="412"/>
        </w:trPr>
        <w:tc>
          <w:tcPr>
            <w:tcW w:w="1205" w:type="dxa"/>
          </w:tcPr>
          <w:p w14:paraId="3C9E594B" w14:textId="77777777" w:rsidR="00AB41CC" w:rsidRPr="00EC1DF5" w:rsidRDefault="00AB41CC" w:rsidP="00453380">
            <w:pPr>
              <w:spacing w:after="0" w:line="240" w:lineRule="auto"/>
              <w:rPr>
                <w:color w:val="auto"/>
                <w:sz w:val="20"/>
                <w:szCs w:val="20"/>
              </w:rPr>
            </w:pPr>
          </w:p>
        </w:tc>
        <w:tc>
          <w:tcPr>
            <w:tcW w:w="2482" w:type="dxa"/>
          </w:tcPr>
          <w:p w14:paraId="21D46B7D" w14:textId="77777777" w:rsidR="00AB41CC" w:rsidRPr="00EC1DF5" w:rsidRDefault="00AB41CC" w:rsidP="00453380">
            <w:pPr>
              <w:spacing w:after="0" w:line="240" w:lineRule="auto"/>
              <w:rPr>
                <w:color w:val="auto"/>
                <w:sz w:val="20"/>
                <w:szCs w:val="20"/>
              </w:rPr>
            </w:pPr>
            <w:r w:rsidRPr="00EC1DF5">
              <w:rPr>
                <w:color w:val="auto"/>
                <w:sz w:val="20"/>
                <w:szCs w:val="20"/>
              </w:rPr>
              <w:t>Board Structure</w:t>
            </w:r>
          </w:p>
        </w:tc>
        <w:tc>
          <w:tcPr>
            <w:tcW w:w="1692" w:type="dxa"/>
          </w:tcPr>
          <w:p w14:paraId="6D2C5AB2" w14:textId="77777777" w:rsidR="00AB41CC" w:rsidRPr="00EC1DF5" w:rsidRDefault="00AB41CC" w:rsidP="00453380">
            <w:pPr>
              <w:spacing w:after="0" w:line="240" w:lineRule="auto"/>
              <w:rPr>
                <w:color w:val="auto"/>
                <w:sz w:val="20"/>
                <w:szCs w:val="20"/>
              </w:rPr>
            </w:pPr>
            <w:r w:rsidRPr="00EC1DF5">
              <w:rPr>
                <w:i/>
                <w:color w:val="auto"/>
                <w:sz w:val="20"/>
                <w:szCs w:val="20"/>
              </w:rPr>
              <w:t>BST</w:t>
            </w:r>
          </w:p>
        </w:tc>
        <w:tc>
          <w:tcPr>
            <w:tcW w:w="4544" w:type="dxa"/>
          </w:tcPr>
          <w:p w14:paraId="59A05905" w14:textId="77777777" w:rsidR="00AB41CC" w:rsidRPr="00EC1DF5" w:rsidRDefault="00AB41CC" w:rsidP="00453380">
            <w:pPr>
              <w:spacing w:after="0" w:line="240" w:lineRule="auto"/>
              <w:rPr>
                <w:color w:val="auto"/>
                <w:sz w:val="20"/>
                <w:szCs w:val="20"/>
              </w:rPr>
            </w:pPr>
            <w:r w:rsidRPr="00EC1DF5">
              <w:rPr>
                <w:color w:val="auto"/>
                <w:sz w:val="20"/>
                <w:szCs w:val="20"/>
              </w:rPr>
              <w:t xml:space="preserve">Relative measure of well-balanced board including experience, </w:t>
            </w:r>
            <w:proofErr w:type="gramStart"/>
            <w:r w:rsidRPr="00EC1DF5">
              <w:rPr>
                <w:color w:val="auto"/>
                <w:sz w:val="20"/>
                <w:szCs w:val="20"/>
              </w:rPr>
              <w:t>diversity</w:t>
            </w:r>
            <w:proofErr w:type="gramEnd"/>
            <w:r w:rsidRPr="00EC1DF5">
              <w:rPr>
                <w:color w:val="auto"/>
                <w:sz w:val="20"/>
                <w:szCs w:val="20"/>
              </w:rPr>
              <w:t xml:space="preserve"> and independence.</w:t>
            </w:r>
          </w:p>
        </w:tc>
      </w:tr>
      <w:tr w:rsidR="00EC1DF5" w:rsidRPr="00EC1DF5" w14:paraId="32FA62DC" w14:textId="77777777" w:rsidTr="00453380">
        <w:trPr>
          <w:trHeight w:val="858"/>
        </w:trPr>
        <w:tc>
          <w:tcPr>
            <w:tcW w:w="1205" w:type="dxa"/>
          </w:tcPr>
          <w:p w14:paraId="1EF98B94" w14:textId="77777777" w:rsidR="00AB41CC" w:rsidRPr="00EC1DF5" w:rsidRDefault="00AB41CC" w:rsidP="00453380">
            <w:pPr>
              <w:spacing w:after="0" w:line="240" w:lineRule="auto"/>
              <w:rPr>
                <w:color w:val="auto"/>
                <w:sz w:val="20"/>
                <w:szCs w:val="20"/>
              </w:rPr>
            </w:pPr>
          </w:p>
        </w:tc>
        <w:tc>
          <w:tcPr>
            <w:tcW w:w="2482" w:type="dxa"/>
          </w:tcPr>
          <w:p w14:paraId="666C8002" w14:textId="77777777" w:rsidR="00AB41CC" w:rsidRPr="00EC1DF5" w:rsidRDefault="00AB41CC" w:rsidP="00453380">
            <w:pPr>
              <w:spacing w:after="0" w:line="240" w:lineRule="auto"/>
              <w:rPr>
                <w:color w:val="auto"/>
                <w:sz w:val="20"/>
                <w:szCs w:val="20"/>
              </w:rPr>
            </w:pPr>
            <w:r w:rsidRPr="00EC1DF5">
              <w:rPr>
                <w:color w:val="auto"/>
                <w:sz w:val="20"/>
                <w:szCs w:val="20"/>
              </w:rPr>
              <w:t>Board Compensation</w:t>
            </w:r>
          </w:p>
        </w:tc>
        <w:tc>
          <w:tcPr>
            <w:tcW w:w="1692" w:type="dxa"/>
          </w:tcPr>
          <w:p w14:paraId="6B77C55C" w14:textId="77777777" w:rsidR="00AB41CC" w:rsidRPr="00EC1DF5" w:rsidRDefault="00AB41CC" w:rsidP="00453380">
            <w:pPr>
              <w:spacing w:after="0" w:line="240" w:lineRule="auto"/>
              <w:rPr>
                <w:color w:val="auto"/>
                <w:sz w:val="20"/>
                <w:szCs w:val="20"/>
              </w:rPr>
            </w:pPr>
            <w:r w:rsidRPr="00EC1DF5">
              <w:rPr>
                <w:i/>
                <w:color w:val="auto"/>
                <w:sz w:val="20"/>
                <w:szCs w:val="20"/>
              </w:rPr>
              <w:t>BC</w:t>
            </w:r>
          </w:p>
        </w:tc>
        <w:tc>
          <w:tcPr>
            <w:tcW w:w="4544" w:type="dxa"/>
          </w:tcPr>
          <w:p w14:paraId="6CDB4531" w14:textId="77777777" w:rsidR="00AB41CC" w:rsidRPr="00EC1DF5" w:rsidRDefault="00AB41CC" w:rsidP="00453380">
            <w:pPr>
              <w:spacing w:after="0" w:line="240" w:lineRule="auto"/>
              <w:rPr>
                <w:color w:val="auto"/>
                <w:sz w:val="20"/>
                <w:szCs w:val="20"/>
              </w:rPr>
            </w:pPr>
            <w:r w:rsidRPr="00EC1DF5">
              <w:rPr>
                <w:color w:val="auto"/>
                <w:sz w:val="20"/>
                <w:szCs w:val="20"/>
              </w:rPr>
              <w:t>Relative measure of competitive and proportionate management compensation including links to individual or company-wide financial or extra-financial targets.</w:t>
            </w:r>
          </w:p>
        </w:tc>
      </w:tr>
      <w:tr w:rsidR="00EC1DF5" w:rsidRPr="00EC1DF5" w14:paraId="50E38F53" w14:textId="77777777" w:rsidTr="00453380">
        <w:trPr>
          <w:trHeight w:val="427"/>
        </w:trPr>
        <w:tc>
          <w:tcPr>
            <w:tcW w:w="1205" w:type="dxa"/>
          </w:tcPr>
          <w:p w14:paraId="4AAF67B7" w14:textId="77777777" w:rsidR="00AB41CC" w:rsidRPr="00EC1DF5" w:rsidRDefault="00AB41CC" w:rsidP="00453380">
            <w:pPr>
              <w:spacing w:after="0" w:line="240" w:lineRule="auto"/>
              <w:rPr>
                <w:color w:val="auto"/>
                <w:sz w:val="20"/>
                <w:szCs w:val="20"/>
              </w:rPr>
            </w:pPr>
          </w:p>
        </w:tc>
        <w:tc>
          <w:tcPr>
            <w:tcW w:w="2482" w:type="dxa"/>
          </w:tcPr>
          <w:p w14:paraId="462AB07F" w14:textId="77777777" w:rsidR="00AB41CC" w:rsidRPr="00EC1DF5" w:rsidRDefault="00AB41CC" w:rsidP="00453380">
            <w:pPr>
              <w:spacing w:after="0" w:line="240" w:lineRule="auto"/>
              <w:rPr>
                <w:color w:val="auto"/>
                <w:sz w:val="20"/>
                <w:szCs w:val="20"/>
              </w:rPr>
            </w:pPr>
            <w:r w:rsidRPr="00EC1DF5">
              <w:rPr>
                <w:color w:val="auto"/>
                <w:sz w:val="20"/>
                <w:szCs w:val="20"/>
              </w:rPr>
              <w:t>Board Shareholder Rights</w:t>
            </w:r>
          </w:p>
          <w:p w14:paraId="6EC1C9E2" w14:textId="77777777" w:rsidR="00AB41CC" w:rsidRPr="00EC1DF5" w:rsidRDefault="00AB41CC" w:rsidP="00453380">
            <w:pPr>
              <w:spacing w:after="0" w:line="240" w:lineRule="auto"/>
              <w:rPr>
                <w:color w:val="auto"/>
                <w:sz w:val="20"/>
                <w:szCs w:val="20"/>
              </w:rPr>
            </w:pPr>
          </w:p>
        </w:tc>
        <w:tc>
          <w:tcPr>
            <w:tcW w:w="1692" w:type="dxa"/>
          </w:tcPr>
          <w:p w14:paraId="1B6AC376" w14:textId="77777777" w:rsidR="00AB41CC" w:rsidRPr="00EC1DF5" w:rsidRDefault="00AB41CC" w:rsidP="00453380">
            <w:pPr>
              <w:spacing w:after="0" w:line="240" w:lineRule="auto"/>
              <w:rPr>
                <w:color w:val="auto"/>
                <w:sz w:val="20"/>
                <w:szCs w:val="20"/>
              </w:rPr>
            </w:pPr>
            <w:r w:rsidRPr="00EC1DF5">
              <w:rPr>
                <w:i/>
                <w:color w:val="auto"/>
                <w:sz w:val="20"/>
                <w:szCs w:val="20"/>
              </w:rPr>
              <w:t>BSR</w:t>
            </w:r>
          </w:p>
        </w:tc>
        <w:tc>
          <w:tcPr>
            <w:tcW w:w="4544" w:type="dxa"/>
          </w:tcPr>
          <w:p w14:paraId="69D9501E" w14:textId="77777777" w:rsidR="00AB41CC" w:rsidRPr="00EC1DF5" w:rsidRDefault="00AB41CC" w:rsidP="00453380">
            <w:pPr>
              <w:spacing w:after="0" w:line="240" w:lineRule="auto"/>
              <w:rPr>
                <w:color w:val="auto"/>
                <w:sz w:val="20"/>
                <w:szCs w:val="20"/>
              </w:rPr>
            </w:pPr>
            <w:r w:rsidRPr="00EC1DF5">
              <w:rPr>
                <w:color w:val="auto"/>
                <w:sz w:val="20"/>
                <w:szCs w:val="20"/>
              </w:rPr>
              <w:t>Relative measure of shareholder policies and equal treatment of shareholder.</w:t>
            </w:r>
          </w:p>
        </w:tc>
      </w:tr>
      <w:tr w:rsidR="00EC1DF5" w:rsidRPr="00EC1DF5" w14:paraId="7811623F" w14:textId="77777777" w:rsidTr="00453380">
        <w:trPr>
          <w:trHeight w:val="985"/>
        </w:trPr>
        <w:tc>
          <w:tcPr>
            <w:tcW w:w="1205" w:type="dxa"/>
          </w:tcPr>
          <w:p w14:paraId="44FE49BB" w14:textId="77777777" w:rsidR="00AB41CC" w:rsidRPr="00EC1DF5" w:rsidRDefault="00AB41CC" w:rsidP="00453380">
            <w:pPr>
              <w:spacing w:after="0" w:line="240" w:lineRule="auto"/>
              <w:rPr>
                <w:color w:val="auto"/>
                <w:sz w:val="20"/>
                <w:szCs w:val="20"/>
              </w:rPr>
            </w:pPr>
          </w:p>
        </w:tc>
        <w:tc>
          <w:tcPr>
            <w:tcW w:w="2482" w:type="dxa"/>
          </w:tcPr>
          <w:p w14:paraId="6A5F57F5" w14:textId="77777777" w:rsidR="00AB41CC" w:rsidRPr="00EC1DF5" w:rsidRDefault="00AB41CC" w:rsidP="00453380">
            <w:pPr>
              <w:spacing w:after="0" w:line="240" w:lineRule="auto"/>
              <w:rPr>
                <w:color w:val="auto"/>
                <w:sz w:val="20"/>
                <w:szCs w:val="20"/>
              </w:rPr>
            </w:pPr>
            <w:r w:rsidRPr="00EC1DF5">
              <w:rPr>
                <w:color w:val="auto"/>
                <w:sz w:val="20"/>
                <w:szCs w:val="20"/>
              </w:rPr>
              <w:t>Board Strategy</w:t>
            </w:r>
          </w:p>
        </w:tc>
        <w:tc>
          <w:tcPr>
            <w:tcW w:w="1692" w:type="dxa"/>
          </w:tcPr>
          <w:p w14:paraId="66BE47B7" w14:textId="77777777" w:rsidR="00AB41CC" w:rsidRPr="00EC1DF5" w:rsidRDefault="00AB41CC" w:rsidP="00453380">
            <w:pPr>
              <w:spacing w:after="0" w:line="240" w:lineRule="auto"/>
              <w:rPr>
                <w:color w:val="auto"/>
                <w:sz w:val="20"/>
                <w:szCs w:val="20"/>
              </w:rPr>
            </w:pPr>
            <w:r w:rsidRPr="00EC1DF5">
              <w:rPr>
                <w:i/>
                <w:color w:val="auto"/>
                <w:sz w:val="20"/>
                <w:szCs w:val="20"/>
              </w:rPr>
              <w:t>BSTR</w:t>
            </w:r>
          </w:p>
        </w:tc>
        <w:tc>
          <w:tcPr>
            <w:tcW w:w="4544" w:type="dxa"/>
          </w:tcPr>
          <w:p w14:paraId="2CD21F08" w14:textId="77777777" w:rsidR="00AB41CC" w:rsidRPr="00EC1DF5" w:rsidRDefault="00AB41CC" w:rsidP="00453380">
            <w:pPr>
              <w:spacing w:after="0" w:line="240" w:lineRule="auto"/>
              <w:rPr>
                <w:color w:val="auto"/>
                <w:sz w:val="20"/>
                <w:szCs w:val="20"/>
              </w:rPr>
            </w:pPr>
            <w:r w:rsidRPr="00EC1DF5">
              <w:rPr>
                <w:color w:val="auto"/>
                <w:sz w:val="20"/>
                <w:szCs w:val="20"/>
              </w:rPr>
              <w:t>Relative measure of vision and strategy, which integrated financial and extra financial aspects in the day-to-day decision-making processes.</w:t>
            </w:r>
          </w:p>
          <w:p w14:paraId="13FD50CC" w14:textId="77777777" w:rsidR="00AB41CC" w:rsidRPr="00EC1DF5" w:rsidRDefault="00AB41CC" w:rsidP="00453380">
            <w:pPr>
              <w:spacing w:after="0" w:line="240" w:lineRule="auto"/>
              <w:rPr>
                <w:color w:val="auto"/>
                <w:sz w:val="20"/>
                <w:szCs w:val="20"/>
              </w:rPr>
            </w:pPr>
          </w:p>
        </w:tc>
      </w:tr>
      <w:tr w:rsidR="00EC1DF5" w:rsidRPr="00EC1DF5" w14:paraId="510A9414" w14:textId="77777777" w:rsidTr="00453380">
        <w:trPr>
          <w:trHeight w:val="597"/>
        </w:trPr>
        <w:tc>
          <w:tcPr>
            <w:tcW w:w="1205" w:type="dxa"/>
          </w:tcPr>
          <w:p w14:paraId="4DF2F74F" w14:textId="77777777" w:rsidR="00AB41CC" w:rsidRPr="00EC1DF5" w:rsidRDefault="00AB41CC" w:rsidP="00453380">
            <w:pPr>
              <w:spacing w:after="0" w:line="240" w:lineRule="auto"/>
              <w:rPr>
                <w:color w:val="auto"/>
                <w:sz w:val="20"/>
                <w:szCs w:val="20"/>
              </w:rPr>
            </w:pPr>
            <w:r w:rsidRPr="00EC1DF5">
              <w:rPr>
                <w:color w:val="auto"/>
                <w:sz w:val="20"/>
                <w:szCs w:val="20"/>
              </w:rPr>
              <w:t>Dependent variables</w:t>
            </w:r>
          </w:p>
        </w:tc>
        <w:tc>
          <w:tcPr>
            <w:tcW w:w="2482" w:type="dxa"/>
          </w:tcPr>
          <w:p w14:paraId="7D06653E" w14:textId="77777777" w:rsidR="00AB41CC" w:rsidRPr="00EC1DF5" w:rsidRDefault="00AB41CC" w:rsidP="00453380">
            <w:pPr>
              <w:spacing w:after="0" w:line="240" w:lineRule="auto"/>
              <w:rPr>
                <w:color w:val="auto"/>
                <w:sz w:val="20"/>
                <w:szCs w:val="20"/>
              </w:rPr>
            </w:pPr>
            <w:r w:rsidRPr="00EC1DF5">
              <w:rPr>
                <w:color w:val="auto"/>
                <w:sz w:val="20"/>
                <w:szCs w:val="20"/>
              </w:rPr>
              <w:t>Financial sustainability (</w:t>
            </w:r>
            <w:proofErr w:type="spellStart"/>
            <w:r w:rsidRPr="00EC1DF5">
              <w:rPr>
                <w:color w:val="auto"/>
                <w:sz w:val="20"/>
                <w:szCs w:val="20"/>
              </w:rPr>
              <w:t>Tobins</w:t>
            </w:r>
            <w:proofErr w:type="spellEnd"/>
            <w:r w:rsidRPr="00EC1DF5">
              <w:rPr>
                <w:color w:val="auto"/>
                <w:sz w:val="20"/>
                <w:szCs w:val="20"/>
              </w:rPr>
              <w:t xml:space="preserve"> Q)</w:t>
            </w:r>
          </w:p>
        </w:tc>
        <w:tc>
          <w:tcPr>
            <w:tcW w:w="1692" w:type="dxa"/>
          </w:tcPr>
          <w:p w14:paraId="7966E9AA" w14:textId="77777777" w:rsidR="00AB41CC" w:rsidRPr="00EC1DF5" w:rsidRDefault="00AB41CC" w:rsidP="00453380">
            <w:pPr>
              <w:spacing w:after="0" w:line="240" w:lineRule="auto"/>
              <w:rPr>
                <w:color w:val="auto"/>
                <w:sz w:val="20"/>
                <w:szCs w:val="20"/>
              </w:rPr>
            </w:pPr>
            <w:proofErr w:type="spellStart"/>
            <w:r w:rsidRPr="00EC1DF5">
              <w:rPr>
                <w:color w:val="auto"/>
                <w:sz w:val="20"/>
                <w:szCs w:val="20"/>
              </w:rPr>
              <w:t>Tobins</w:t>
            </w:r>
            <w:proofErr w:type="spellEnd"/>
            <w:r w:rsidRPr="00EC1DF5">
              <w:rPr>
                <w:color w:val="auto"/>
                <w:sz w:val="20"/>
                <w:szCs w:val="20"/>
              </w:rPr>
              <w:t xml:space="preserve"> Q</w:t>
            </w:r>
          </w:p>
        </w:tc>
        <w:tc>
          <w:tcPr>
            <w:tcW w:w="4544" w:type="dxa"/>
          </w:tcPr>
          <w:p w14:paraId="7C1F1F8E" w14:textId="77777777" w:rsidR="00AB41CC" w:rsidRPr="00EC1DF5" w:rsidRDefault="00AB41CC" w:rsidP="00453380">
            <w:pPr>
              <w:spacing w:after="0" w:line="240" w:lineRule="auto"/>
              <w:rPr>
                <w:color w:val="auto"/>
                <w:sz w:val="20"/>
                <w:szCs w:val="20"/>
              </w:rPr>
            </w:pPr>
            <w:r w:rsidRPr="00EC1DF5">
              <w:rPr>
                <w:color w:val="auto"/>
                <w:sz w:val="20"/>
                <w:szCs w:val="20"/>
              </w:rPr>
              <w:t>Firm equity plus long-term debt plus liabilities divided by total assets (</w:t>
            </w:r>
            <w:proofErr w:type="spellStart"/>
            <w:r w:rsidRPr="00EC1DF5">
              <w:rPr>
                <w:color w:val="auto"/>
                <w:sz w:val="20"/>
                <w:szCs w:val="20"/>
              </w:rPr>
              <w:t>Dushnitsky</w:t>
            </w:r>
            <w:proofErr w:type="spellEnd"/>
            <w:r w:rsidRPr="00EC1DF5">
              <w:rPr>
                <w:color w:val="auto"/>
                <w:sz w:val="20"/>
                <w:szCs w:val="20"/>
              </w:rPr>
              <w:t xml:space="preserve"> and Lenox, 2006)</w:t>
            </w:r>
          </w:p>
        </w:tc>
      </w:tr>
      <w:tr w:rsidR="00EC1DF5" w:rsidRPr="00EC1DF5" w14:paraId="598009C7" w14:textId="77777777" w:rsidTr="00453380">
        <w:trPr>
          <w:trHeight w:val="848"/>
        </w:trPr>
        <w:tc>
          <w:tcPr>
            <w:tcW w:w="1205" w:type="dxa"/>
          </w:tcPr>
          <w:p w14:paraId="1DDFA918" w14:textId="77777777" w:rsidR="00AB41CC" w:rsidRPr="00EC1DF5" w:rsidRDefault="00AB41CC" w:rsidP="00453380">
            <w:pPr>
              <w:spacing w:after="0" w:line="240" w:lineRule="auto"/>
              <w:rPr>
                <w:color w:val="auto"/>
                <w:sz w:val="20"/>
                <w:szCs w:val="20"/>
              </w:rPr>
            </w:pPr>
          </w:p>
        </w:tc>
        <w:tc>
          <w:tcPr>
            <w:tcW w:w="2482" w:type="dxa"/>
          </w:tcPr>
          <w:p w14:paraId="2866D1CA" w14:textId="77777777" w:rsidR="00AB41CC" w:rsidRPr="00EC1DF5" w:rsidRDefault="00AB41CC" w:rsidP="00453380">
            <w:pPr>
              <w:spacing w:after="0" w:line="240" w:lineRule="auto"/>
              <w:rPr>
                <w:color w:val="auto"/>
                <w:sz w:val="20"/>
                <w:szCs w:val="20"/>
              </w:rPr>
            </w:pPr>
            <w:r w:rsidRPr="00EC1DF5">
              <w:rPr>
                <w:color w:val="auto"/>
                <w:sz w:val="20"/>
                <w:szCs w:val="20"/>
              </w:rPr>
              <w:t xml:space="preserve">Social sustainability </w:t>
            </w:r>
          </w:p>
        </w:tc>
        <w:tc>
          <w:tcPr>
            <w:tcW w:w="1692" w:type="dxa"/>
          </w:tcPr>
          <w:p w14:paraId="0B8B0495" w14:textId="77777777" w:rsidR="00AB41CC" w:rsidRPr="00EC1DF5" w:rsidRDefault="00AB41CC" w:rsidP="00453380">
            <w:pPr>
              <w:spacing w:after="0" w:line="240" w:lineRule="auto"/>
              <w:rPr>
                <w:color w:val="auto"/>
                <w:sz w:val="20"/>
                <w:szCs w:val="20"/>
              </w:rPr>
            </w:pPr>
            <w:r w:rsidRPr="00EC1DF5">
              <w:rPr>
                <w:color w:val="auto"/>
                <w:sz w:val="20"/>
                <w:szCs w:val="20"/>
              </w:rPr>
              <w:t>Social</w:t>
            </w:r>
          </w:p>
        </w:tc>
        <w:tc>
          <w:tcPr>
            <w:tcW w:w="4544" w:type="dxa"/>
          </w:tcPr>
          <w:p w14:paraId="6F3B8591" w14:textId="77777777" w:rsidR="00AB41CC" w:rsidRPr="00EC1DF5" w:rsidRDefault="00AB41CC" w:rsidP="00453380">
            <w:pPr>
              <w:spacing w:after="0" w:line="240" w:lineRule="auto"/>
              <w:rPr>
                <w:color w:val="auto"/>
                <w:sz w:val="20"/>
                <w:szCs w:val="20"/>
              </w:rPr>
            </w:pPr>
            <w:r w:rsidRPr="00EC1DF5">
              <w:rPr>
                <w:color w:val="auto"/>
                <w:sz w:val="20"/>
                <w:szCs w:val="20"/>
              </w:rPr>
              <w:t xml:space="preserve">Relative measure of a company's capacity to generate trust and loyalty with its workforce, </w:t>
            </w:r>
            <w:proofErr w:type="gramStart"/>
            <w:r w:rsidRPr="00EC1DF5">
              <w:rPr>
                <w:color w:val="auto"/>
                <w:sz w:val="20"/>
                <w:szCs w:val="20"/>
              </w:rPr>
              <w:t>customers</w:t>
            </w:r>
            <w:proofErr w:type="gramEnd"/>
            <w:r w:rsidRPr="00EC1DF5">
              <w:rPr>
                <w:color w:val="auto"/>
                <w:sz w:val="20"/>
                <w:szCs w:val="20"/>
              </w:rPr>
              <w:t xml:space="preserve"> and society, through its use of best management practices (</w:t>
            </w:r>
            <w:proofErr w:type="spellStart"/>
            <w:r w:rsidRPr="00EC1DF5">
              <w:rPr>
                <w:color w:val="auto"/>
                <w:sz w:val="20"/>
                <w:szCs w:val="20"/>
              </w:rPr>
              <w:t>Qiu</w:t>
            </w:r>
            <w:proofErr w:type="spellEnd"/>
            <w:r w:rsidRPr="00EC1DF5">
              <w:rPr>
                <w:color w:val="auto"/>
                <w:sz w:val="20"/>
                <w:szCs w:val="20"/>
              </w:rPr>
              <w:t xml:space="preserve"> et al., 2016)</w:t>
            </w:r>
          </w:p>
        </w:tc>
      </w:tr>
      <w:tr w:rsidR="00EC1DF5" w:rsidRPr="00EC1DF5" w14:paraId="10FFB64C" w14:textId="77777777" w:rsidTr="00453380">
        <w:trPr>
          <w:trHeight w:val="1002"/>
        </w:trPr>
        <w:tc>
          <w:tcPr>
            <w:tcW w:w="1205" w:type="dxa"/>
          </w:tcPr>
          <w:p w14:paraId="20040C1C" w14:textId="77777777" w:rsidR="00AB41CC" w:rsidRPr="00EC1DF5" w:rsidRDefault="00AB41CC" w:rsidP="00453380">
            <w:pPr>
              <w:spacing w:after="0" w:line="240" w:lineRule="auto"/>
              <w:rPr>
                <w:color w:val="auto"/>
                <w:sz w:val="20"/>
                <w:szCs w:val="20"/>
              </w:rPr>
            </w:pPr>
          </w:p>
        </w:tc>
        <w:tc>
          <w:tcPr>
            <w:tcW w:w="2482" w:type="dxa"/>
          </w:tcPr>
          <w:p w14:paraId="56514877" w14:textId="77777777" w:rsidR="00AB41CC" w:rsidRPr="00EC1DF5" w:rsidRDefault="00AB41CC" w:rsidP="00453380">
            <w:pPr>
              <w:spacing w:after="0" w:line="240" w:lineRule="auto"/>
              <w:rPr>
                <w:color w:val="auto"/>
                <w:sz w:val="20"/>
                <w:szCs w:val="20"/>
              </w:rPr>
            </w:pPr>
            <w:r w:rsidRPr="00EC1DF5">
              <w:rPr>
                <w:color w:val="auto"/>
                <w:sz w:val="20"/>
                <w:szCs w:val="20"/>
              </w:rPr>
              <w:t>Environmental sustainability</w:t>
            </w:r>
          </w:p>
        </w:tc>
        <w:tc>
          <w:tcPr>
            <w:tcW w:w="1692" w:type="dxa"/>
          </w:tcPr>
          <w:p w14:paraId="0755E336" w14:textId="77777777" w:rsidR="00AB41CC" w:rsidRPr="00EC1DF5" w:rsidRDefault="00AB41CC" w:rsidP="00453380">
            <w:pPr>
              <w:spacing w:after="0" w:line="240" w:lineRule="auto"/>
              <w:rPr>
                <w:color w:val="auto"/>
                <w:sz w:val="20"/>
                <w:szCs w:val="20"/>
              </w:rPr>
            </w:pPr>
            <w:r w:rsidRPr="00EC1DF5">
              <w:rPr>
                <w:color w:val="auto"/>
                <w:sz w:val="20"/>
                <w:szCs w:val="20"/>
              </w:rPr>
              <w:t>Envtal</w:t>
            </w:r>
          </w:p>
        </w:tc>
        <w:tc>
          <w:tcPr>
            <w:tcW w:w="4544" w:type="dxa"/>
          </w:tcPr>
          <w:p w14:paraId="04FA4A44" w14:textId="77777777" w:rsidR="00AB41CC" w:rsidRPr="00EC1DF5" w:rsidRDefault="00AB41CC" w:rsidP="00453380">
            <w:pPr>
              <w:spacing w:after="0" w:line="240" w:lineRule="auto"/>
              <w:rPr>
                <w:color w:val="auto"/>
                <w:sz w:val="20"/>
                <w:szCs w:val="20"/>
              </w:rPr>
            </w:pPr>
            <w:r w:rsidRPr="00EC1DF5">
              <w:rPr>
                <w:color w:val="auto"/>
                <w:sz w:val="20"/>
                <w:szCs w:val="20"/>
              </w:rPr>
              <w:t xml:space="preserve">Relative measure of a company's impact on living and non-living natural systems, including the air, </w:t>
            </w:r>
            <w:proofErr w:type="gramStart"/>
            <w:r w:rsidRPr="00EC1DF5">
              <w:rPr>
                <w:color w:val="auto"/>
                <w:sz w:val="20"/>
                <w:szCs w:val="20"/>
              </w:rPr>
              <w:t>land</w:t>
            </w:r>
            <w:proofErr w:type="gramEnd"/>
            <w:r w:rsidRPr="00EC1DF5">
              <w:rPr>
                <w:color w:val="auto"/>
                <w:sz w:val="20"/>
                <w:szCs w:val="20"/>
              </w:rPr>
              <w:t xml:space="preserve"> and water, as well as complete ecosystems (</w:t>
            </w:r>
            <w:proofErr w:type="spellStart"/>
            <w:r w:rsidRPr="00EC1DF5">
              <w:rPr>
                <w:color w:val="auto"/>
                <w:sz w:val="20"/>
                <w:szCs w:val="20"/>
              </w:rPr>
              <w:t>Qiu</w:t>
            </w:r>
            <w:proofErr w:type="spellEnd"/>
            <w:r w:rsidRPr="00EC1DF5">
              <w:rPr>
                <w:color w:val="auto"/>
                <w:sz w:val="20"/>
                <w:szCs w:val="20"/>
              </w:rPr>
              <w:t xml:space="preserve"> et al., 2016)</w:t>
            </w:r>
          </w:p>
        </w:tc>
      </w:tr>
      <w:tr w:rsidR="00EC1DF5" w:rsidRPr="00EC1DF5" w14:paraId="5C44CD6C" w14:textId="77777777" w:rsidTr="00453380">
        <w:trPr>
          <w:trHeight w:val="846"/>
        </w:trPr>
        <w:tc>
          <w:tcPr>
            <w:tcW w:w="1205" w:type="dxa"/>
          </w:tcPr>
          <w:p w14:paraId="3D013FCD" w14:textId="77777777" w:rsidR="00AB41CC" w:rsidRPr="00EC1DF5" w:rsidRDefault="00AB41CC" w:rsidP="00453380">
            <w:pPr>
              <w:spacing w:after="0" w:line="240" w:lineRule="auto"/>
              <w:rPr>
                <w:color w:val="auto"/>
                <w:sz w:val="20"/>
                <w:szCs w:val="20"/>
              </w:rPr>
            </w:pPr>
            <w:r w:rsidRPr="00EC1DF5">
              <w:rPr>
                <w:color w:val="auto"/>
                <w:sz w:val="20"/>
                <w:szCs w:val="20"/>
              </w:rPr>
              <w:t>Moderating variable</w:t>
            </w:r>
          </w:p>
        </w:tc>
        <w:tc>
          <w:tcPr>
            <w:tcW w:w="2482" w:type="dxa"/>
          </w:tcPr>
          <w:p w14:paraId="73F96C2B" w14:textId="77777777" w:rsidR="00AB41CC" w:rsidRPr="00EC1DF5" w:rsidRDefault="00AB41CC" w:rsidP="00453380">
            <w:pPr>
              <w:spacing w:after="0" w:line="240" w:lineRule="auto"/>
              <w:rPr>
                <w:color w:val="auto"/>
                <w:sz w:val="20"/>
                <w:szCs w:val="20"/>
              </w:rPr>
            </w:pPr>
            <w:r w:rsidRPr="00EC1DF5">
              <w:rPr>
                <w:color w:val="auto"/>
                <w:sz w:val="20"/>
                <w:szCs w:val="20"/>
              </w:rPr>
              <w:t>Stakeholder engagement</w:t>
            </w:r>
          </w:p>
        </w:tc>
        <w:tc>
          <w:tcPr>
            <w:tcW w:w="1692" w:type="dxa"/>
          </w:tcPr>
          <w:p w14:paraId="42B79F83" w14:textId="77777777" w:rsidR="00AB41CC" w:rsidRPr="00EC1DF5" w:rsidRDefault="00AB41CC" w:rsidP="00453380">
            <w:pPr>
              <w:spacing w:after="0" w:line="240" w:lineRule="auto"/>
              <w:rPr>
                <w:color w:val="auto"/>
                <w:sz w:val="20"/>
                <w:szCs w:val="20"/>
              </w:rPr>
            </w:pPr>
            <w:r w:rsidRPr="00EC1DF5">
              <w:rPr>
                <w:color w:val="auto"/>
                <w:sz w:val="20"/>
                <w:szCs w:val="20"/>
              </w:rPr>
              <w:t>Stake</w:t>
            </w:r>
          </w:p>
        </w:tc>
        <w:tc>
          <w:tcPr>
            <w:tcW w:w="4544" w:type="dxa"/>
          </w:tcPr>
          <w:p w14:paraId="196F4207" w14:textId="77777777" w:rsidR="00AB41CC" w:rsidRPr="00EC1DF5" w:rsidRDefault="00AB41CC" w:rsidP="00453380">
            <w:pPr>
              <w:spacing w:after="0" w:line="240" w:lineRule="auto"/>
              <w:rPr>
                <w:color w:val="auto"/>
                <w:sz w:val="20"/>
                <w:szCs w:val="20"/>
              </w:rPr>
            </w:pPr>
            <w:r w:rsidRPr="00EC1DF5">
              <w:rPr>
                <w:color w:val="auto"/>
                <w:sz w:val="20"/>
                <w:szCs w:val="20"/>
              </w:rPr>
              <w:t xml:space="preserve">The percentage measure of </w:t>
            </w:r>
            <w:proofErr w:type="gramStart"/>
            <w:r w:rsidRPr="00EC1DF5">
              <w:rPr>
                <w:color w:val="auto"/>
                <w:sz w:val="20"/>
                <w:szCs w:val="20"/>
              </w:rPr>
              <w:t>companies</w:t>
            </w:r>
            <w:proofErr w:type="gramEnd"/>
            <w:r w:rsidRPr="00EC1DF5">
              <w:rPr>
                <w:color w:val="auto"/>
                <w:sz w:val="20"/>
                <w:szCs w:val="20"/>
              </w:rPr>
              <w:t xml:space="preserve"> explanation of how they engage with their stakeholders (Dal </w:t>
            </w:r>
            <w:proofErr w:type="spellStart"/>
            <w:r w:rsidRPr="00EC1DF5">
              <w:rPr>
                <w:color w:val="auto"/>
                <w:sz w:val="20"/>
                <w:szCs w:val="20"/>
              </w:rPr>
              <w:t>Maso</w:t>
            </w:r>
            <w:proofErr w:type="spellEnd"/>
            <w:r w:rsidRPr="00EC1DF5">
              <w:rPr>
                <w:color w:val="auto"/>
                <w:sz w:val="20"/>
                <w:szCs w:val="20"/>
              </w:rPr>
              <w:t xml:space="preserve"> et al., 2017)</w:t>
            </w:r>
          </w:p>
        </w:tc>
      </w:tr>
      <w:tr w:rsidR="00EC1DF5" w:rsidRPr="00EC1DF5" w14:paraId="35766846" w14:textId="77777777" w:rsidTr="00453380">
        <w:trPr>
          <w:trHeight w:val="424"/>
        </w:trPr>
        <w:tc>
          <w:tcPr>
            <w:tcW w:w="1205" w:type="dxa"/>
          </w:tcPr>
          <w:p w14:paraId="5689A1FE" w14:textId="77777777" w:rsidR="00AB41CC" w:rsidRPr="00EC1DF5" w:rsidRDefault="00AB41CC" w:rsidP="00453380">
            <w:pPr>
              <w:spacing w:after="0" w:line="240" w:lineRule="auto"/>
              <w:rPr>
                <w:color w:val="auto"/>
                <w:sz w:val="20"/>
                <w:szCs w:val="20"/>
              </w:rPr>
            </w:pPr>
            <w:r w:rsidRPr="00EC1DF5">
              <w:rPr>
                <w:color w:val="auto"/>
                <w:sz w:val="20"/>
                <w:szCs w:val="20"/>
              </w:rPr>
              <w:t>Control variables</w:t>
            </w:r>
          </w:p>
        </w:tc>
        <w:tc>
          <w:tcPr>
            <w:tcW w:w="2482" w:type="dxa"/>
          </w:tcPr>
          <w:p w14:paraId="79186D7A" w14:textId="77777777" w:rsidR="00AB41CC" w:rsidRPr="00EC1DF5" w:rsidRDefault="00AB41CC" w:rsidP="00453380">
            <w:pPr>
              <w:spacing w:after="0" w:line="240" w:lineRule="auto"/>
              <w:rPr>
                <w:color w:val="auto"/>
                <w:sz w:val="20"/>
                <w:szCs w:val="20"/>
              </w:rPr>
            </w:pPr>
            <w:r w:rsidRPr="00EC1DF5">
              <w:rPr>
                <w:color w:val="auto"/>
                <w:sz w:val="20"/>
                <w:szCs w:val="20"/>
              </w:rPr>
              <w:t>Slack Resources</w:t>
            </w:r>
          </w:p>
        </w:tc>
        <w:tc>
          <w:tcPr>
            <w:tcW w:w="1692" w:type="dxa"/>
          </w:tcPr>
          <w:p w14:paraId="392CEA37" w14:textId="77777777" w:rsidR="00AB41CC" w:rsidRPr="00EC1DF5" w:rsidRDefault="00AB41CC" w:rsidP="00453380">
            <w:pPr>
              <w:spacing w:after="0" w:line="240" w:lineRule="auto"/>
              <w:rPr>
                <w:color w:val="auto"/>
                <w:sz w:val="20"/>
                <w:szCs w:val="20"/>
              </w:rPr>
            </w:pPr>
            <w:r w:rsidRPr="00EC1DF5">
              <w:rPr>
                <w:color w:val="auto"/>
                <w:sz w:val="20"/>
                <w:szCs w:val="20"/>
              </w:rPr>
              <w:t>Slack</w:t>
            </w:r>
          </w:p>
        </w:tc>
        <w:tc>
          <w:tcPr>
            <w:tcW w:w="4544" w:type="dxa"/>
          </w:tcPr>
          <w:p w14:paraId="0B22146E" w14:textId="77777777" w:rsidR="00AB41CC" w:rsidRPr="00EC1DF5" w:rsidRDefault="00AB41CC" w:rsidP="00453380">
            <w:pPr>
              <w:spacing w:after="0" w:line="240" w:lineRule="auto"/>
              <w:rPr>
                <w:color w:val="auto"/>
                <w:sz w:val="20"/>
                <w:szCs w:val="20"/>
              </w:rPr>
            </w:pPr>
            <w:r w:rsidRPr="00EC1DF5">
              <w:rPr>
                <w:color w:val="auto"/>
                <w:sz w:val="20"/>
                <w:szCs w:val="20"/>
              </w:rPr>
              <w:t>Cash and cash equivalent plus short term investment divided by current liabilities</w:t>
            </w:r>
          </w:p>
        </w:tc>
      </w:tr>
      <w:tr w:rsidR="00EC1DF5" w:rsidRPr="00EC1DF5" w14:paraId="1B6622A3" w14:textId="77777777" w:rsidTr="00453380">
        <w:trPr>
          <w:trHeight w:val="417"/>
        </w:trPr>
        <w:tc>
          <w:tcPr>
            <w:tcW w:w="1205" w:type="dxa"/>
          </w:tcPr>
          <w:p w14:paraId="1A8B14A2" w14:textId="77777777" w:rsidR="00AB41CC" w:rsidRPr="00EC1DF5" w:rsidRDefault="00AB41CC" w:rsidP="00453380">
            <w:pPr>
              <w:spacing w:after="0" w:line="240" w:lineRule="auto"/>
              <w:rPr>
                <w:color w:val="auto"/>
                <w:sz w:val="20"/>
                <w:szCs w:val="20"/>
              </w:rPr>
            </w:pPr>
          </w:p>
        </w:tc>
        <w:tc>
          <w:tcPr>
            <w:tcW w:w="2482" w:type="dxa"/>
          </w:tcPr>
          <w:p w14:paraId="64A33E1A" w14:textId="77777777" w:rsidR="00AB41CC" w:rsidRPr="00EC1DF5" w:rsidRDefault="00AB41CC" w:rsidP="00453380">
            <w:pPr>
              <w:spacing w:after="0" w:line="240" w:lineRule="auto"/>
              <w:rPr>
                <w:color w:val="auto"/>
                <w:sz w:val="20"/>
                <w:szCs w:val="20"/>
              </w:rPr>
            </w:pPr>
            <w:r w:rsidRPr="00EC1DF5">
              <w:rPr>
                <w:color w:val="auto"/>
                <w:sz w:val="20"/>
                <w:szCs w:val="20"/>
              </w:rPr>
              <w:t>Research and Development</w:t>
            </w:r>
          </w:p>
        </w:tc>
        <w:tc>
          <w:tcPr>
            <w:tcW w:w="1692" w:type="dxa"/>
          </w:tcPr>
          <w:p w14:paraId="65924E93" w14:textId="77777777" w:rsidR="00AB41CC" w:rsidRPr="00EC1DF5" w:rsidRDefault="00AB41CC" w:rsidP="00453380">
            <w:pPr>
              <w:spacing w:after="0" w:line="240" w:lineRule="auto"/>
              <w:rPr>
                <w:color w:val="auto"/>
                <w:sz w:val="20"/>
                <w:szCs w:val="20"/>
              </w:rPr>
            </w:pPr>
            <w:r w:rsidRPr="00EC1DF5">
              <w:rPr>
                <w:color w:val="auto"/>
                <w:sz w:val="20"/>
                <w:szCs w:val="20"/>
              </w:rPr>
              <w:t>R&amp;D</w:t>
            </w:r>
          </w:p>
        </w:tc>
        <w:tc>
          <w:tcPr>
            <w:tcW w:w="4544" w:type="dxa"/>
          </w:tcPr>
          <w:p w14:paraId="38DD4328" w14:textId="77777777" w:rsidR="00AB41CC" w:rsidRPr="00EC1DF5" w:rsidRDefault="00AB41CC" w:rsidP="00453380">
            <w:pPr>
              <w:spacing w:after="0" w:line="240" w:lineRule="auto"/>
              <w:rPr>
                <w:color w:val="auto"/>
                <w:sz w:val="20"/>
                <w:szCs w:val="20"/>
              </w:rPr>
            </w:pPr>
            <w:r w:rsidRPr="00EC1DF5">
              <w:rPr>
                <w:color w:val="auto"/>
                <w:sz w:val="20"/>
                <w:szCs w:val="20"/>
              </w:rPr>
              <w:t>Research and development expenses divided by revenue</w:t>
            </w:r>
          </w:p>
        </w:tc>
      </w:tr>
      <w:tr w:rsidR="00EC1DF5" w:rsidRPr="00EC1DF5" w14:paraId="036925DE" w14:textId="77777777" w:rsidTr="00453380">
        <w:trPr>
          <w:trHeight w:val="271"/>
        </w:trPr>
        <w:tc>
          <w:tcPr>
            <w:tcW w:w="1205" w:type="dxa"/>
          </w:tcPr>
          <w:p w14:paraId="384B772B" w14:textId="77777777" w:rsidR="00AB41CC" w:rsidRPr="00EC1DF5" w:rsidRDefault="00AB41CC" w:rsidP="00453380">
            <w:pPr>
              <w:spacing w:after="0" w:line="240" w:lineRule="auto"/>
              <w:rPr>
                <w:color w:val="auto"/>
                <w:sz w:val="20"/>
                <w:szCs w:val="20"/>
              </w:rPr>
            </w:pPr>
          </w:p>
        </w:tc>
        <w:tc>
          <w:tcPr>
            <w:tcW w:w="2482" w:type="dxa"/>
          </w:tcPr>
          <w:p w14:paraId="4227900D" w14:textId="77777777" w:rsidR="00AB41CC" w:rsidRPr="00EC1DF5" w:rsidRDefault="00AB41CC" w:rsidP="00453380">
            <w:pPr>
              <w:spacing w:after="0" w:line="240" w:lineRule="auto"/>
              <w:rPr>
                <w:color w:val="auto"/>
                <w:sz w:val="20"/>
                <w:szCs w:val="20"/>
              </w:rPr>
            </w:pPr>
            <w:r w:rsidRPr="00EC1DF5">
              <w:rPr>
                <w:color w:val="auto"/>
                <w:sz w:val="20"/>
                <w:szCs w:val="20"/>
              </w:rPr>
              <w:t>Firm Size</w:t>
            </w:r>
          </w:p>
        </w:tc>
        <w:tc>
          <w:tcPr>
            <w:tcW w:w="1692" w:type="dxa"/>
          </w:tcPr>
          <w:p w14:paraId="02CE1DFD" w14:textId="77777777" w:rsidR="00AB41CC" w:rsidRPr="00EC1DF5" w:rsidRDefault="00AB41CC" w:rsidP="00453380">
            <w:pPr>
              <w:spacing w:after="0" w:line="240" w:lineRule="auto"/>
              <w:rPr>
                <w:color w:val="auto"/>
                <w:sz w:val="20"/>
                <w:szCs w:val="20"/>
              </w:rPr>
            </w:pPr>
            <w:r w:rsidRPr="00EC1DF5">
              <w:rPr>
                <w:color w:val="auto"/>
                <w:sz w:val="20"/>
                <w:szCs w:val="20"/>
              </w:rPr>
              <w:t>Size</w:t>
            </w:r>
          </w:p>
        </w:tc>
        <w:tc>
          <w:tcPr>
            <w:tcW w:w="4544" w:type="dxa"/>
          </w:tcPr>
          <w:p w14:paraId="38612F87" w14:textId="77777777" w:rsidR="00AB41CC" w:rsidRPr="00EC1DF5" w:rsidRDefault="00AB41CC" w:rsidP="00453380">
            <w:pPr>
              <w:spacing w:after="0" w:line="240" w:lineRule="auto"/>
              <w:rPr>
                <w:color w:val="auto"/>
                <w:sz w:val="20"/>
                <w:szCs w:val="20"/>
              </w:rPr>
            </w:pPr>
            <w:r w:rsidRPr="00EC1DF5">
              <w:rPr>
                <w:color w:val="auto"/>
                <w:sz w:val="20"/>
                <w:szCs w:val="20"/>
              </w:rPr>
              <w:t>Natural logarithm of Total Asset</w:t>
            </w:r>
          </w:p>
        </w:tc>
      </w:tr>
      <w:tr w:rsidR="00EC1DF5" w:rsidRPr="00EC1DF5" w14:paraId="7AFB7AED" w14:textId="77777777" w:rsidTr="00453380">
        <w:trPr>
          <w:trHeight w:val="157"/>
        </w:trPr>
        <w:tc>
          <w:tcPr>
            <w:tcW w:w="1205" w:type="dxa"/>
          </w:tcPr>
          <w:p w14:paraId="73DE5544" w14:textId="77777777" w:rsidR="00AB41CC" w:rsidRPr="00EC1DF5" w:rsidRDefault="00AB41CC" w:rsidP="00453380">
            <w:pPr>
              <w:spacing w:after="0" w:line="240" w:lineRule="auto"/>
              <w:rPr>
                <w:color w:val="auto"/>
                <w:sz w:val="20"/>
                <w:szCs w:val="20"/>
              </w:rPr>
            </w:pPr>
          </w:p>
        </w:tc>
        <w:tc>
          <w:tcPr>
            <w:tcW w:w="2482" w:type="dxa"/>
          </w:tcPr>
          <w:p w14:paraId="337A0492" w14:textId="77777777" w:rsidR="00AB41CC" w:rsidRPr="00EC1DF5" w:rsidRDefault="00AB41CC" w:rsidP="00453380">
            <w:pPr>
              <w:spacing w:after="0" w:line="240" w:lineRule="auto"/>
              <w:rPr>
                <w:color w:val="auto"/>
                <w:sz w:val="20"/>
                <w:szCs w:val="20"/>
              </w:rPr>
            </w:pPr>
            <w:r w:rsidRPr="00EC1DF5">
              <w:rPr>
                <w:color w:val="auto"/>
                <w:sz w:val="20"/>
                <w:szCs w:val="20"/>
              </w:rPr>
              <w:t>Leverage</w:t>
            </w:r>
          </w:p>
        </w:tc>
        <w:tc>
          <w:tcPr>
            <w:tcW w:w="1692" w:type="dxa"/>
          </w:tcPr>
          <w:p w14:paraId="6B0E1A0C" w14:textId="77777777" w:rsidR="00AB41CC" w:rsidRPr="00EC1DF5" w:rsidRDefault="00AB41CC" w:rsidP="00453380">
            <w:pPr>
              <w:spacing w:after="0" w:line="240" w:lineRule="auto"/>
              <w:rPr>
                <w:color w:val="auto"/>
                <w:sz w:val="20"/>
                <w:szCs w:val="20"/>
              </w:rPr>
            </w:pPr>
            <w:r w:rsidRPr="00EC1DF5">
              <w:rPr>
                <w:color w:val="auto"/>
                <w:sz w:val="20"/>
                <w:szCs w:val="20"/>
              </w:rPr>
              <w:t>Leverage</w:t>
            </w:r>
          </w:p>
        </w:tc>
        <w:tc>
          <w:tcPr>
            <w:tcW w:w="4544" w:type="dxa"/>
          </w:tcPr>
          <w:p w14:paraId="170A235E" w14:textId="77777777" w:rsidR="00AB41CC" w:rsidRPr="00EC1DF5" w:rsidRDefault="00AB41CC" w:rsidP="00453380">
            <w:pPr>
              <w:spacing w:after="0" w:line="240" w:lineRule="auto"/>
              <w:rPr>
                <w:color w:val="auto"/>
                <w:sz w:val="20"/>
                <w:szCs w:val="20"/>
              </w:rPr>
            </w:pPr>
            <w:r w:rsidRPr="00EC1DF5">
              <w:rPr>
                <w:color w:val="auto"/>
                <w:sz w:val="20"/>
                <w:szCs w:val="20"/>
              </w:rPr>
              <w:t>Total debt divided by total assets (Jiao, 2010)</w:t>
            </w:r>
          </w:p>
        </w:tc>
      </w:tr>
      <w:tr w:rsidR="00EC1DF5" w:rsidRPr="00EC1DF5" w14:paraId="7FAA0C62" w14:textId="77777777" w:rsidTr="00453380">
        <w:trPr>
          <w:trHeight w:val="232"/>
        </w:trPr>
        <w:tc>
          <w:tcPr>
            <w:tcW w:w="1205" w:type="dxa"/>
          </w:tcPr>
          <w:p w14:paraId="1CA7D5A1" w14:textId="77777777" w:rsidR="00AB41CC" w:rsidRPr="00EC1DF5" w:rsidRDefault="00AB41CC" w:rsidP="00453380">
            <w:pPr>
              <w:spacing w:after="0" w:line="240" w:lineRule="auto"/>
              <w:rPr>
                <w:color w:val="auto"/>
                <w:sz w:val="20"/>
                <w:szCs w:val="20"/>
              </w:rPr>
            </w:pPr>
          </w:p>
        </w:tc>
        <w:tc>
          <w:tcPr>
            <w:tcW w:w="2482" w:type="dxa"/>
          </w:tcPr>
          <w:p w14:paraId="6DBB3AF5" w14:textId="77777777" w:rsidR="00AB41CC" w:rsidRPr="00EC1DF5" w:rsidRDefault="00AB41CC" w:rsidP="00453380">
            <w:pPr>
              <w:spacing w:after="0" w:line="240" w:lineRule="auto"/>
              <w:rPr>
                <w:color w:val="auto"/>
                <w:sz w:val="20"/>
                <w:szCs w:val="20"/>
              </w:rPr>
            </w:pPr>
            <w:r w:rsidRPr="00EC1DF5">
              <w:rPr>
                <w:color w:val="auto"/>
                <w:sz w:val="20"/>
                <w:szCs w:val="20"/>
              </w:rPr>
              <w:t>Revenue Growth</w:t>
            </w:r>
          </w:p>
        </w:tc>
        <w:tc>
          <w:tcPr>
            <w:tcW w:w="1692" w:type="dxa"/>
          </w:tcPr>
          <w:p w14:paraId="42D1AF0E" w14:textId="77777777" w:rsidR="00AB41CC" w:rsidRPr="00EC1DF5" w:rsidRDefault="00AB41CC" w:rsidP="00453380">
            <w:pPr>
              <w:spacing w:after="0" w:line="240" w:lineRule="auto"/>
              <w:rPr>
                <w:color w:val="auto"/>
                <w:sz w:val="20"/>
                <w:szCs w:val="20"/>
              </w:rPr>
            </w:pPr>
            <w:r w:rsidRPr="00EC1DF5">
              <w:rPr>
                <w:color w:val="auto"/>
                <w:sz w:val="20"/>
                <w:szCs w:val="20"/>
              </w:rPr>
              <w:t>Growth</w:t>
            </w:r>
          </w:p>
        </w:tc>
        <w:tc>
          <w:tcPr>
            <w:tcW w:w="4544" w:type="dxa"/>
          </w:tcPr>
          <w:p w14:paraId="01359537" w14:textId="77777777" w:rsidR="00AB41CC" w:rsidRPr="00EC1DF5" w:rsidRDefault="00AB41CC" w:rsidP="00453380">
            <w:pPr>
              <w:spacing w:after="0" w:line="240" w:lineRule="auto"/>
              <w:rPr>
                <w:color w:val="auto"/>
                <w:sz w:val="20"/>
                <w:szCs w:val="20"/>
              </w:rPr>
            </w:pPr>
            <w:r w:rsidRPr="00EC1DF5">
              <w:rPr>
                <w:color w:val="auto"/>
                <w:sz w:val="20"/>
                <w:szCs w:val="20"/>
              </w:rPr>
              <w:t>Net revenue one-year growth</w:t>
            </w:r>
          </w:p>
        </w:tc>
      </w:tr>
      <w:tr w:rsidR="00EC1DF5" w:rsidRPr="00EC1DF5" w14:paraId="4ABC5B54" w14:textId="77777777" w:rsidTr="00453380">
        <w:trPr>
          <w:trHeight w:val="149"/>
        </w:trPr>
        <w:tc>
          <w:tcPr>
            <w:tcW w:w="1205" w:type="dxa"/>
          </w:tcPr>
          <w:p w14:paraId="39AA0EA7" w14:textId="77777777" w:rsidR="00AB41CC" w:rsidRPr="00EC1DF5" w:rsidRDefault="00AB41CC" w:rsidP="00453380">
            <w:pPr>
              <w:spacing w:after="0" w:line="240" w:lineRule="auto"/>
              <w:rPr>
                <w:color w:val="auto"/>
                <w:sz w:val="20"/>
                <w:szCs w:val="20"/>
              </w:rPr>
            </w:pPr>
          </w:p>
        </w:tc>
        <w:tc>
          <w:tcPr>
            <w:tcW w:w="2482" w:type="dxa"/>
          </w:tcPr>
          <w:p w14:paraId="4C00F635" w14:textId="77777777" w:rsidR="00AB41CC" w:rsidRPr="00EC1DF5" w:rsidRDefault="00AB41CC" w:rsidP="00453380">
            <w:pPr>
              <w:spacing w:after="0" w:line="240" w:lineRule="auto"/>
              <w:rPr>
                <w:color w:val="auto"/>
                <w:sz w:val="20"/>
                <w:szCs w:val="20"/>
              </w:rPr>
            </w:pPr>
            <w:r w:rsidRPr="00EC1DF5">
              <w:rPr>
                <w:color w:val="auto"/>
                <w:sz w:val="20"/>
                <w:szCs w:val="20"/>
              </w:rPr>
              <w:t>Beta</w:t>
            </w:r>
          </w:p>
        </w:tc>
        <w:tc>
          <w:tcPr>
            <w:tcW w:w="1692" w:type="dxa"/>
          </w:tcPr>
          <w:p w14:paraId="5BF22B6A" w14:textId="77777777" w:rsidR="00AB41CC" w:rsidRPr="00EC1DF5" w:rsidRDefault="00AB41CC" w:rsidP="00453380">
            <w:pPr>
              <w:spacing w:after="0" w:line="240" w:lineRule="auto"/>
              <w:rPr>
                <w:color w:val="auto"/>
                <w:sz w:val="20"/>
                <w:szCs w:val="20"/>
              </w:rPr>
            </w:pPr>
            <w:r w:rsidRPr="00EC1DF5">
              <w:rPr>
                <w:color w:val="auto"/>
                <w:sz w:val="20"/>
                <w:szCs w:val="20"/>
              </w:rPr>
              <w:t>Beta</w:t>
            </w:r>
          </w:p>
        </w:tc>
        <w:tc>
          <w:tcPr>
            <w:tcW w:w="4544" w:type="dxa"/>
          </w:tcPr>
          <w:p w14:paraId="74786B61" w14:textId="77777777" w:rsidR="00AB41CC" w:rsidRPr="00EC1DF5" w:rsidRDefault="00AB41CC" w:rsidP="00453380">
            <w:pPr>
              <w:spacing w:after="0" w:line="240" w:lineRule="auto"/>
              <w:rPr>
                <w:color w:val="auto"/>
                <w:sz w:val="20"/>
                <w:szCs w:val="20"/>
              </w:rPr>
            </w:pPr>
            <w:r w:rsidRPr="00EC1DF5">
              <w:rPr>
                <w:color w:val="auto"/>
                <w:sz w:val="20"/>
                <w:szCs w:val="20"/>
              </w:rPr>
              <w:t>The measure of stock price volatility</w:t>
            </w:r>
          </w:p>
        </w:tc>
      </w:tr>
      <w:tr w:rsidR="00EC1DF5" w:rsidRPr="00EC1DF5" w14:paraId="1A61E4FE" w14:textId="77777777" w:rsidTr="00453380">
        <w:trPr>
          <w:trHeight w:val="209"/>
        </w:trPr>
        <w:tc>
          <w:tcPr>
            <w:tcW w:w="1205" w:type="dxa"/>
          </w:tcPr>
          <w:p w14:paraId="37087F5B" w14:textId="77777777" w:rsidR="00AB41CC" w:rsidRPr="00EC1DF5" w:rsidRDefault="00AB41CC" w:rsidP="00453380">
            <w:pPr>
              <w:spacing w:after="0" w:line="240" w:lineRule="auto"/>
              <w:rPr>
                <w:color w:val="auto"/>
                <w:sz w:val="20"/>
                <w:szCs w:val="20"/>
              </w:rPr>
            </w:pPr>
          </w:p>
        </w:tc>
        <w:tc>
          <w:tcPr>
            <w:tcW w:w="2482" w:type="dxa"/>
          </w:tcPr>
          <w:p w14:paraId="5C0A97BB" w14:textId="77777777" w:rsidR="00AB41CC" w:rsidRPr="00EC1DF5" w:rsidRDefault="00AB41CC" w:rsidP="00453380">
            <w:pPr>
              <w:spacing w:after="0" w:line="240" w:lineRule="auto"/>
              <w:rPr>
                <w:color w:val="auto"/>
                <w:sz w:val="20"/>
                <w:szCs w:val="20"/>
              </w:rPr>
            </w:pPr>
            <w:r w:rsidRPr="00EC1DF5">
              <w:rPr>
                <w:color w:val="auto"/>
                <w:sz w:val="20"/>
                <w:szCs w:val="20"/>
              </w:rPr>
              <w:t>Capital Intensity</w:t>
            </w:r>
          </w:p>
        </w:tc>
        <w:tc>
          <w:tcPr>
            <w:tcW w:w="1692" w:type="dxa"/>
          </w:tcPr>
          <w:p w14:paraId="1D6BBA53" w14:textId="77777777" w:rsidR="00AB41CC" w:rsidRPr="00EC1DF5" w:rsidRDefault="00AB41CC" w:rsidP="00453380">
            <w:pPr>
              <w:spacing w:after="0" w:line="240" w:lineRule="auto"/>
              <w:rPr>
                <w:color w:val="auto"/>
                <w:sz w:val="20"/>
                <w:szCs w:val="20"/>
              </w:rPr>
            </w:pPr>
            <w:r w:rsidRPr="00EC1DF5">
              <w:rPr>
                <w:color w:val="auto"/>
                <w:sz w:val="20"/>
                <w:szCs w:val="20"/>
              </w:rPr>
              <w:t>Capex</w:t>
            </w:r>
          </w:p>
        </w:tc>
        <w:tc>
          <w:tcPr>
            <w:tcW w:w="4544" w:type="dxa"/>
          </w:tcPr>
          <w:p w14:paraId="48D7D061" w14:textId="77777777" w:rsidR="00AB41CC" w:rsidRPr="00EC1DF5" w:rsidRDefault="00AB41CC" w:rsidP="00453380">
            <w:pPr>
              <w:spacing w:after="0" w:line="240" w:lineRule="auto"/>
              <w:rPr>
                <w:color w:val="auto"/>
                <w:sz w:val="20"/>
                <w:szCs w:val="20"/>
              </w:rPr>
            </w:pPr>
            <w:r w:rsidRPr="00EC1DF5">
              <w:rPr>
                <w:color w:val="auto"/>
                <w:sz w:val="20"/>
                <w:szCs w:val="20"/>
              </w:rPr>
              <w:t>Capital expenditure to total assets</w:t>
            </w:r>
          </w:p>
        </w:tc>
      </w:tr>
      <w:tr w:rsidR="00EC1DF5" w:rsidRPr="00EC1DF5" w14:paraId="590B8C1C" w14:textId="77777777" w:rsidTr="00453380">
        <w:trPr>
          <w:trHeight w:val="425"/>
        </w:trPr>
        <w:tc>
          <w:tcPr>
            <w:tcW w:w="1205" w:type="dxa"/>
          </w:tcPr>
          <w:p w14:paraId="389AB040" w14:textId="77777777" w:rsidR="00AB41CC" w:rsidRPr="00EC1DF5" w:rsidRDefault="00AB41CC" w:rsidP="00453380">
            <w:pPr>
              <w:spacing w:after="0" w:line="240" w:lineRule="auto"/>
              <w:rPr>
                <w:color w:val="auto"/>
                <w:sz w:val="20"/>
                <w:szCs w:val="20"/>
              </w:rPr>
            </w:pPr>
          </w:p>
        </w:tc>
        <w:tc>
          <w:tcPr>
            <w:tcW w:w="2482" w:type="dxa"/>
          </w:tcPr>
          <w:p w14:paraId="21686822" w14:textId="77777777" w:rsidR="00AB41CC" w:rsidRPr="00EC1DF5" w:rsidRDefault="00AB41CC" w:rsidP="00453380">
            <w:pPr>
              <w:spacing w:after="0" w:line="240" w:lineRule="auto"/>
              <w:rPr>
                <w:color w:val="auto"/>
                <w:sz w:val="20"/>
                <w:szCs w:val="20"/>
              </w:rPr>
            </w:pPr>
            <w:r w:rsidRPr="00EC1DF5">
              <w:rPr>
                <w:color w:val="auto"/>
                <w:sz w:val="20"/>
                <w:szCs w:val="20"/>
              </w:rPr>
              <w:t>Business ethics</w:t>
            </w:r>
          </w:p>
        </w:tc>
        <w:tc>
          <w:tcPr>
            <w:tcW w:w="1692" w:type="dxa"/>
          </w:tcPr>
          <w:p w14:paraId="3D6FB4DF" w14:textId="77777777" w:rsidR="00AB41CC" w:rsidRPr="00EC1DF5" w:rsidRDefault="00AB41CC" w:rsidP="00453380">
            <w:pPr>
              <w:spacing w:after="0" w:line="240" w:lineRule="auto"/>
              <w:rPr>
                <w:color w:val="auto"/>
                <w:sz w:val="20"/>
                <w:szCs w:val="20"/>
              </w:rPr>
            </w:pPr>
            <w:r w:rsidRPr="00EC1DF5">
              <w:rPr>
                <w:color w:val="auto"/>
                <w:sz w:val="20"/>
                <w:szCs w:val="20"/>
              </w:rPr>
              <w:t>Ethics</w:t>
            </w:r>
          </w:p>
        </w:tc>
        <w:tc>
          <w:tcPr>
            <w:tcW w:w="4544" w:type="dxa"/>
          </w:tcPr>
          <w:p w14:paraId="017AA4A9" w14:textId="77777777" w:rsidR="00AB41CC" w:rsidRPr="00EC1DF5" w:rsidRDefault="00AB41CC" w:rsidP="00453380">
            <w:pPr>
              <w:spacing w:after="0" w:line="240" w:lineRule="auto"/>
              <w:rPr>
                <w:color w:val="auto"/>
                <w:sz w:val="20"/>
                <w:szCs w:val="20"/>
              </w:rPr>
            </w:pPr>
            <w:r w:rsidRPr="00EC1DF5">
              <w:rPr>
                <w:color w:val="auto"/>
                <w:sz w:val="20"/>
                <w:szCs w:val="20"/>
              </w:rPr>
              <w:t>Commitment from a senior management or board member to general business ethics</w:t>
            </w:r>
          </w:p>
        </w:tc>
      </w:tr>
      <w:tr w:rsidR="00EC1DF5" w:rsidRPr="00EC1DF5" w14:paraId="77528BE8" w14:textId="77777777" w:rsidTr="00453380">
        <w:trPr>
          <w:trHeight w:val="444"/>
        </w:trPr>
        <w:tc>
          <w:tcPr>
            <w:tcW w:w="1205" w:type="dxa"/>
          </w:tcPr>
          <w:p w14:paraId="2B0AE82A" w14:textId="77777777" w:rsidR="00AB41CC" w:rsidRPr="00EC1DF5" w:rsidRDefault="00AB41CC" w:rsidP="00453380">
            <w:pPr>
              <w:spacing w:after="0" w:line="240" w:lineRule="auto"/>
              <w:rPr>
                <w:color w:val="auto"/>
                <w:sz w:val="20"/>
                <w:szCs w:val="20"/>
              </w:rPr>
            </w:pPr>
          </w:p>
        </w:tc>
        <w:tc>
          <w:tcPr>
            <w:tcW w:w="2482" w:type="dxa"/>
          </w:tcPr>
          <w:p w14:paraId="5C7957F7" w14:textId="77777777" w:rsidR="00AB41CC" w:rsidRPr="00EC1DF5" w:rsidRDefault="00AB41CC" w:rsidP="00453380">
            <w:pPr>
              <w:spacing w:after="0" w:line="240" w:lineRule="auto"/>
              <w:rPr>
                <w:color w:val="auto"/>
                <w:sz w:val="20"/>
                <w:szCs w:val="20"/>
              </w:rPr>
            </w:pPr>
            <w:r w:rsidRPr="00EC1DF5">
              <w:rPr>
                <w:color w:val="auto"/>
                <w:sz w:val="20"/>
                <w:szCs w:val="20"/>
              </w:rPr>
              <w:t>Executives’ community involvement</w:t>
            </w:r>
          </w:p>
        </w:tc>
        <w:tc>
          <w:tcPr>
            <w:tcW w:w="1692" w:type="dxa"/>
          </w:tcPr>
          <w:p w14:paraId="36308E3A" w14:textId="77777777" w:rsidR="00AB41CC" w:rsidRPr="00EC1DF5" w:rsidRDefault="00AB41CC" w:rsidP="00453380">
            <w:pPr>
              <w:spacing w:after="0" w:line="240" w:lineRule="auto"/>
              <w:rPr>
                <w:color w:val="auto"/>
                <w:sz w:val="20"/>
                <w:szCs w:val="20"/>
              </w:rPr>
            </w:pPr>
            <w:proofErr w:type="spellStart"/>
            <w:r w:rsidRPr="00EC1DF5">
              <w:rPr>
                <w:color w:val="auto"/>
                <w:sz w:val="20"/>
                <w:szCs w:val="20"/>
              </w:rPr>
              <w:t>Com_Involve</w:t>
            </w:r>
            <w:proofErr w:type="spellEnd"/>
          </w:p>
        </w:tc>
        <w:tc>
          <w:tcPr>
            <w:tcW w:w="4544" w:type="dxa"/>
          </w:tcPr>
          <w:p w14:paraId="7FCD0555" w14:textId="77777777" w:rsidR="00AB41CC" w:rsidRPr="00EC1DF5" w:rsidRDefault="00AB41CC" w:rsidP="00453380">
            <w:pPr>
              <w:spacing w:after="0" w:line="240" w:lineRule="auto"/>
              <w:rPr>
                <w:color w:val="auto"/>
                <w:sz w:val="20"/>
                <w:szCs w:val="20"/>
              </w:rPr>
            </w:pPr>
            <w:r w:rsidRPr="00EC1DF5">
              <w:rPr>
                <w:color w:val="auto"/>
                <w:sz w:val="20"/>
                <w:szCs w:val="20"/>
              </w:rPr>
              <w:t>Commitment from a senior management or board member to good corporate citizenship.</w:t>
            </w:r>
          </w:p>
        </w:tc>
      </w:tr>
      <w:tr w:rsidR="00AB41CC" w:rsidRPr="00EC1DF5" w14:paraId="395F551A" w14:textId="77777777" w:rsidTr="00453380">
        <w:trPr>
          <w:trHeight w:val="397"/>
        </w:trPr>
        <w:tc>
          <w:tcPr>
            <w:tcW w:w="1205" w:type="dxa"/>
            <w:tcBorders>
              <w:bottom w:val="single" w:sz="4" w:space="0" w:color="auto"/>
            </w:tcBorders>
          </w:tcPr>
          <w:p w14:paraId="34CE3134" w14:textId="77777777" w:rsidR="00AB41CC" w:rsidRPr="00EC1DF5" w:rsidRDefault="00AB41CC" w:rsidP="00453380">
            <w:pPr>
              <w:spacing w:after="0" w:line="360" w:lineRule="auto"/>
              <w:rPr>
                <w:color w:val="auto"/>
                <w:sz w:val="20"/>
                <w:szCs w:val="20"/>
              </w:rPr>
            </w:pPr>
          </w:p>
        </w:tc>
        <w:tc>
          <w:tcPr>
            <w:tcW w:w="2482" w:type="dxa"/>
            <w:tcBorders>
              <w:bottom w:val="single" w:sz="4" w:space="0" w:color="auto"/>
            </w:tcBorders>
          </w:tcPr>
          <w:p w14:paraId="65425D59" w14:textId="77777777" w:rsidR="00AB41CC" w:rsidRPr="00EC1DF5" w:rsidRDefault="00AB41CC" w:rsidP="00453380">
            <w:pPr>
              <w:spacing w:after="0" w:line="240" w:lineRule="auto"/>
              <w:rPr>
                <w:color w:val="auto"/>
                <w:sz w:val="20"/>
                <w:szCs w:val="20"/>
              </w:rPr>
            </w:pPr>
            <w:r w:rsidRPr="00EC1DF5">
              <w:rPr>
                <w:color w:val="auto"/>
                <w:sz w:val="20"/>
                <w:szCs w:val="20"/>
              </w:rPr>
              <w:t>CSR committee</w:t>
            </w:r>
          </w:p>
        </w:tc>
        <w:tc>
          <w:tcPr>
            <w:tcW w:w="1692" w:type="dxa"/>
            <w:tcBorders>
              <w:bottom w:val="single" w:sz="4" w:space="0" w:color="auto"/>
            </w:tcBorders>
          </w:tcPr>
          <w:p w14:paraId="3E0407C8" w14:textId="77777777" w:rsidR="00AB41CC" w:rsidRPr="00EC1DF5" w:rsidRDefault="00AB41CC" w:rsidP="00453380">
            <w:pPr>
              <w:spacing w:after="0" w:line="240" w:lineRule="auto"/>
              <w:rPr>
                <w:color w:val="auto"/>
                <w:sz w:val="20"/>
                <w:szCs w:val="20"/>
              </w:rPr>
            </w:pPr>
            <w:r w:rsidRPr="00EC1DF5">
              <w:rPr>
                <w:color w:val="auto"/>
                <w:sz w:val="20"/>
                <w:szCs w:val="20"/>
              </w:rPr>
              <w:t xml:space="preserve">CSR </w:t>
            </w:r>
            <w:proofErr w:type="spellStart"/>
            <w:r w:rsidRPr="00EC1DF5">
              <w:rPr>
                <w:color w:val="auto"/>
                <w:sz w:val="20"/>
                <w:szCs w:val="20"/>
              </w:rPr>
              <w:t>C’ttee</w:t>
            </w:r>
            <w:proofErr w:type="spellEnd"/>
          </w:p>
        </w:tc>
        <w:tc>
          <w:tcPr>
            <w:tcW w:w="4544" w:type="dxa"/>
            <w:tcBorders>
              <w:bottom w:val="single" w:sz="4" w:space="0" w:color="auto"/>
            </w:tcBorders>
          </w:tcPr>
          <w:p w14:paraId="3BAB6570" w14:textId="77777777" w:rsidR="00AB41CC" w:rsidRPr="00EC1DF5" w:rsidRDefault="00AB41CC" w:rsidP="00453380">
            <w:pPr>
              <w:spacing w:after="0" w:line="240" w:lineRule="auto"/>
              <w:rPr>
                <w:color w:val="auto"/>
                <w:sz w:val="20"/>
                <w:szCs w:val="20"/>
              </w:rPr>
            </w:pPr>
            <w:r w:rsidRPr="00EC1DF5">
              <w:rPr>
                <w:color w:val="auto"/>
                <w:sz w:val="20"/>
                <w:szCs w:val="20"/>
              </w:rPr>
              <w:t xml:space="preserve">The measure of </w:t>
            </w:r>
            <w:proofErr w:type="gramStart"/>
            <w:r w:rsidRPr="00EC1DF5">
              <w:rPr>
                <w:color w:val="auto"/>
                <w:sz w:val="20"/>
                <w:szCs w:val="20"/>
              </w:rPr>
              <w:t>whether or not</w:t>
            </w:r>
            <w:proofErr w:type="gramEnd"/>
            <w:r w:rsidRPr="00EC1DF5">
              <w:rPr>
                <w:color w:val="auto"/>
                <w:sz w:val="20"/>
                <w:szCs w:val="20"/>
              </w:rPr>
              <w:t xml:space="preserve"> the company have a CSR committee or team. 1 for yes and 0 for no</w:t>
            </w:r>
          </w:p>
        </w:tc>
      </w:tr>
    </w:tbl>
    <w:p w14:paraId="19509100" w14:textId="77777777" w:rsidR="00AB41CC" w:rsidRPr="00EC1DF5" w:rsidRDefault="00AB41CC" w:rsidP="00AB41CC">
      <w:pPr>
        <w:pStyle w:val="Caption"/>
        <w:keepNext/>
        <w:spacing w:line="360" w:lineRule="auto"/>
        <w:rPr>
          <w:b/>
          <w:i w:val="0"/>
          <w:color w:val="auto"/>
          <w:sz w:val="20"/>
          <w:szCs w:val="20"/>
        </w:rPr>
      </w:pPr>
    </w:p>
    <w:p w14:paraId="42D77C93" w14:textId="77777777" w:rsidR="00AB41CC" w:rsidRPr="00EC1DF5" w:rsidRDefault="00AB41CC" w:rsidP="00AB41CC">
      <w:pPr>
        <w:spacing w:line="360" w:lineRule="auto"/>
        <w:rPr>
          <w:color w:val="auto"/>
        </w:rPr>
      </w:pPr>
    </w:p>
    <w:p w14:paraId="5FD2E97E" w14:textId="77777777" w:rsidR="00AB41CC" w:rsidRPr="00EC1DF5" w:rsidRDefault="00AB41CC" w:rsidP="00AB41CC">
      <w:pPr>
        <w:spacing w:line="360" w:lineRule="auto"/>
        <w:rPr>
          <w:color w:val="auto"/>
        </w:rPr>
      </w:pPr>
    </w:p>
    <w:p w14:paraId="39547BAA" w14:textId="77777777" w:rsidR="00AB41CC" w:rsidRPr="00EC1DF5" w:rsidRDefault="00AB41CC" w:rsidP="00AB41CC">
      <w:pPr>
        <w:spacing w:line="360" w:lineRule="auto"/>
        <w:rPr>
          <w:color w:val="auto"/>
        </w:rPr>
      </w:pPr>
    </w:p>
    <w:p w14:paraId="7918EA04" w14:textId="77777777" w:rsidR="00AB41CC" w:rsidRPr="00EC1DF5" w:rsidRDefault="00AB41CC" w:rsidP="00AB41CC">
      <w:pPr>
        <w:pStyle w:val="Caption"/>
        <w:keepNext/>
        <w:spacing w:line="360" w:lineRule="auto"/>
        <w:rPr>
          <w:b/>
          <w:i w:val="0"/>
          <w:color w:val="auto"/>
          <w:sz w:val="20"/>
          <w:szCs w:val="20"/>
        </w:rPr>
      </w:pPr>
      <w:r w:rsidRPr="00EC1DF5">
        <w:rPr>
          <w:b/>
          <w:i w:val="0"/>
          <w:color w:val="auto"/>
          <w:sz w:val="20"/>
          <w:szCs w:val="20"/>
        </w:rPr>
        <w:lastRenderedPageBreak/>
        <w:t>Table 2: Descriptive Statistics</w:t>
      </w:r>
    </w:p>
    <w:tbl>
      <w:tblPr>
        <w:tblW w:w="0" w:type="auto"/>
        <w:tblLayout w:type="fixed"/>
        <w:tblLook w:val="0000" w:firstRow="0" w:lastRow="0" w:firstColumn="0" w:lastColumn="0" w:noHBand="0" w:noVBand="0"/>
      </w:tblPr>
      <w:tblGrid>
        <w:gridCol w:w="2048"/>
        <w:gridCol w:w="1250"/>
        <w:gridCol w:w="1250"/>
        <w:gridCol w:w="1250"/>
        <w:gridCol w:w="1250"/>
        <w:gridCol w:w="1250"/>
      </w:tblGrid>
      <w:tr w:rsidR="00EC1DF5" w:rsidRPr="00EC1DF5" w14:paraId="330191FE" w14:textId="77777777" w:rsidTr="00453380">
        <w:tc>
          <w:tcPr>
            <w:tcW w:w="2048" w:type="dxa"/>
            <w:tcBorders>
              <w:top w:val="single" w:sz="4" w:space="0" w:color="auto"/>
              <w:left w:val="nil"/>
              <w:bottom w:val="single" w:sz="10" w:space="0" w:color="auto"/>
              <w:right w:val="nil"/>
            </w:tcBorders>
          </w:tcPr>
          <w:p w14:paraId="4BD6A3AC" w14:textId="77777777" w:rsidR="00AB41CC" w:rsidRPr="00EC1DF5" w:rsidRDefault="00AB41CC" w:rsidP="00453380">
            <w:pPr>
              <w:widowControl w:val="0"/>
              <w:autoSpaceDE w:val="0"/>
              <w:autoSpaceDN w:val="0"/>
              <w:adjustRightInd w:val="0"/>
              <w:spacing w:after="0" w:line="360" w:lineRule="auto"/>
              <w:jc w:val="right"/>
              <w:rPr>
                <w:color w:val="auto"/>
                <w:sz w:val="18"/>
                <w:szCs w:val="18"/>
              </w:rPr>
            </w:pPr>
            <w:r w:rsidRPr="00EC1DF5">
              <w:rPr>
                <w:color w:val="auto"/>
                <w:sz w:val="18"/>
                <w:szCs w:val="18"/>
              </w:rPr>
              <w:t xml:space="preserve">  </w:t>
            </w:r>
          </w:p>
        </w:tc>
        <w:tc>
          <w:tcPr>
            <w:tcW w:w="1250" w:type="dxa"/>
            <w:tcBorders>
              <w:top w:val="single" w:sz="4" w:space="0" w:color="auto"/>
              <w:left w:val="nil"/>
              <w:bottom w:val="single" w:sz="10" w:space="0" w:color="auto"/>
              <w:right w:val="nil"/>
            </w:tcBorders>
          </w:tcPr>
          <w:p w14:paraId="0451E005" w14:textId="77777777" w:rsidR="00AB41CC" w:rsidRPr="00EC1DF5" w:rsidRDefault="00AB41CC" w:rsidP="00453380">
            <w:pPr>
              <w:widowControl w:val="0"/>
              <w:autoSpaceDE w:val="0"/>
              <w:autoSpaceDN w:val="0"/>
              <w:adjustRightInd w:val="0"/>
              <w:spacing w:after="0" w:line="360" w:lineRule="auto"/>
              <w:jc w:val="right"/>
              <w:rPr>
                <w:color w:val="auto"/>
                <w:sz w:val="18"/>
                <w:szCs w:val="18"/>
              </w:rPr>
            </w:pPr>
            <w:r w:rsidRPr="00EC1DF5">
              <w:rPr>
                <w:color w:val="auto"/>
                <w:sz w:val="18"/>
                <w:szCs w:val="18"/>
              </w:rPr>
              <w:t xml:space="preserve">  N</w:t>
            </w:r>
          </w:p>
        </w:tc>
        <w:tc>
          <w:tcPr>
            <w:tcW w:w="1250" w:type="dxa"/>
            <w:tcBorders>
              <w:top w:val="single" w:sz="4" w:space="0" w:color="auto"/>
              <w:left w:val="nil"/>
              <w:bottom w:val="single" w:sz="10" w:space="0" w:color="auto"/>
              <w:right w:val="nil"/>
            </w:tcBorders>
          </w:tcPr>
          <w:p w14:paraId="540BCDD2" w14:textId="77777777" w:rsidR="00AB41CC" w:rsidRPr="00EC1DF5" w:rsidRDefault="00AB41CC" w:rsidP="00453380">
            <w:pPr>
              <w:widowControl w:val="0"/>
              <w:autoSpaceDE w:val="0"/>
              <w:autoSpaceDN w:val="0"/>
              <w:adjustRightInd w:val="0"/>
              <w:spacing w:after="0" w:line="360" w:lineRule="auto"/>
              <w:jc w:val="right"/>
              <w:rPr>
                <w:color w:val="auto"/>
                <w:sz w:val="18"/>
                <w:szCs w:val="18"/>
              </w:rPr>
            </w:pPr>
            <w:r w:rsidRPr="00EC1DF5">
              <w:rPr>
                <w:color w:val="auto"/>
                <w:sz w:val="18"/>
                <w:szCs w:val="18"/>
              </w:rPr>
              <w:t xml:space="preserve">  Mean</w:t>
            </w:r>
          </w:p>
        </w:tc>
        <w:tc>
          <w:tcPr>
            <w:tcW w:w="1250" w:type="dxa"/>
            <w:tcBorders>
              <w:top w:val="single" w:sz="4" w:space="0" w:color="auto"/>
              <w:left w:val="nil"/>
              <w:bottom w:val="single" w:sz="10" w:space="0" w:color="auto"/>
              <w:right w:val="nil"/>
            </w:tcBorders>
          </w:tcPr>
          <w:p w14:paraId="63E3DF5B" w14:textId="77777777" w:rsidR="00AB41CC" w:rsidRPr="00EC1DF5" w:rsidRDefault="00AB41CC" w:rsidP="00453380">
            <w:pPr>
              <w:widowControl w:val="0"/>
              <w:autoSpaceDE w:val="0"/>
              <w:autoSpaceDN w:val="0"/>
              <w:adjustRightInd w:val="0"/>
              <w:spacing w:after="0" w:line="360" w:lineRule="auto"/>
              <w:jc w:val="right"/>
              <w:rPr>
                <w:color w:val="auto"/>
                <w:sz w:val="18"/>
                <w:szCs w:val="18"/>
              </w:rPr>
            </w:pPr>
            <w:r w:rsidRPr="00EC1DF5">
              <w:rPr>
                <w:color w:val="auto"/>
                <w:sz w:val="18"/>
                <w:szCs w:val="18"/>
              </w:rPr>
              <w:t xml:space="preserve">  St. Dev</w:t>
            </w:r>
          </w:p>
        </w:tc>
        <w:tc>
          <w:tcPr>
            <w:tcW w:w="1250" w:type="dxa"/>
            <w:tcBorders>
              <w:top w:val="single" w:sz="4" w:space="0" w:color="auto"/>
              <w:left w:val="nil"/>
              <w:bottom w:val="single" w:sz="10" w:space="0" w:color="auto"/>
              <w:right w:val="nil"/>
            </w:tcBorders>
          </w:tcPr>
          <w:p w14:paraId="37FC9FBE" w14:textId="77777777" w:rsidR="00AB41CC" w:rsidRPr="00EC1DF5" w:rsidRDefault="00AB41CC" w:rsidP="00453380">
            <w:pPr>
              <w:widowControl w:val="0"/>
              <w:autoSpaceDE w:val="0"/>
              <w:autoSpaceDN w:val="0"/>
              <w:adjustRightInd w:val="0"/>
              <w:spacing w:after="0" w:line="360" w:lineRule="auto"/>
              <w:jc w:val="right"/>
              <w:rPr>
                <w:color w:val="auto"/>
                <w:sz w:val="18"/>
                <w:szCs w:val="18"/>
              </w:rPr>
            </w:pPr>
            <w:r w:rsidRPr="00EC1DF5">
              <w:rPr>
                <w:color w:val="auto"/>
                <w:sz w:val="18"/>
                <w:szCs w:val="18"/>
              </w:rPr>
              <w:t xml:space="preserve">  min</w:t>
            </w:r>
          </w:p>
        </w:tc>
        <w:tc>
          <w:tcPr>
            <w:tcW w:w="1250" w:type="dxa"/>
            <w:tcBorders>
              <w:top w:val="single" w:sz="4" w:space="0" w:color="auto"/>
              <w:left w:val="nil"/>
              <w:bottom w:val="single" w:sz="10" w:space="0" w:color="auto"/>
              <w:right w:val="nil"/>
            </w:tcBorders>
          </w:tcPr>
          <w:p w14:paraId="71891543" w14:textId="77777777" w:rsidR="00AB41CC" w:rsidRPr="00EC1DF5" w:rsidRDefault="00AB41CC" w:rsidP="00453380">
            <w:pPr>
              <w:widowControl w:val="0"/>
              <w:autoSpaceDE w:val="0"/>
              <w:autoSpaceDN w:val="0"/>
              <w:adjustRightInd w:val="0"/>
              <w:spacing w:after="0" w:line="360" w:lineRule="auto"/>
              <w:jc w:val="right"/>
              <w:rPr>
                <w:color w:val="auto"/>
                <w:sz w:val="18"/>
                <w:szCs w:val="18"/>
              </w:rPr>
            </w:pPr>
            <w:r w:rsidRPr="00EC1DF5">
              <w:rPr>
                <w:color w:val="auto"/>
                <w:sz w:val="18"/>
                <w:szCs w:val="18"/>
              </w:rPr>
              <w:t xml:space="preserve">  max</w:t>
            </w:r>
          </w:p>
        </w:tc>
      </w:tr>
      <w:tr w:rsidR="00EC1DF5" w:rsidRPr="00EC1DF5" w14:paraId="168A16D7" w14:textId="77777777" w:rsidTr="00453380">
        <w:tc>
          <w:tcPr>
            <w:tcW w:w="2048" w:type="dxa"/>
            <w:tcBorders>
              <w:top w:val="nil"/>
              <w:left w:val="nil"/>
              <w:bottom w:val="nil"/>
              <w:right w:val="nil"/>
            </w:tcBorders>
          </w:tcPr>
          <w:p w14:paraId="5E4A916B"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 xml:space="preserve"> </w:t>
            </w:r>
            <w:proofErr w:type="spellStart"/>
            <w:r w:rsidRPr="00EC1DF5">
              <w:rPr>
                <w:color w:val="auto"/>
                <w:sz w:val="18"/>
                <w:szCs w:val="18"/>
              </w:rPr>
              <w:t>TobinsQ</w:t>
            </w:r>
            <w:proofErr w:type="spellEnd"/>
          </w:p>
        </w:tc>
        <w:tc>
          <w:tcPr>
            <w:tcW w:w="1250" w:type="dxa"/>
            <w:tcBorders>
              <w:top w:val="nil"/>
              <w:left w:val="nil"/>
              <w:bottom w:val="nil"/>
              <w:right w:val="nil"/>
            </w:tcBorders>
          </w:tcPr>
          <w:p w14:paraId="6DB98F09" w14:textId="77777777" w:rsidR="00AB41CC" w:rsidRPr="00EC1DF5" w:rsidRDefault="00AB41CC" w:rsidP="00453380">
            <w:pPr>
              <w:widowControl w:val="0"/>
              <w:autoSpaceDE w:val="0"/>
              <w:autoSpaceDN w:val="0"/>
              <w:adjustRightInd w:val="0"/>
              <w:spacing w:after="0" w:line="360" w:lineRule="auto"/>
              <w:jc w:val="right"/>
              <w:rPr>
                <w:color w:val="auto"/>
                <w:sz w:val="18"/>
                <w:szCs w:val="18"/>
              </w:rPr>
            </w:pPr>
            <w:r w:rsidRPr="00EC1DF5">
              <w:rPr>
                <w:color w:val="auto"/>
                <w:sz w:val="18"/>
                <w:szCs w:val="18"/>
              </w:rPr>
              <w:t>4944</w:t>
            </w:r>
          </w:p>
        </w:tc>
        <w:tc>
          <w:tcPr>
            <w:tcW w:w="1250" w:type="dxa"/>
            <w:tcBorders>
              <w:top w:val="nil"/>
              <w:left w:val="nil"/>
              <w:bottom w:val="nil"/>
              <w:right w:val="nil"/>
            </w:tcBorders>
          </w:tcPr>
          <w:p w14:paraId="02B12BF5" w14:textId="77777777" w:rsidR="00AB41CC" w:rsidRPr="00EC1DF5" w:rsidRDefault="00AB41CC" w:rsidP="00453380">
            <w:pPr>
              <w:widowControl w:val="0"/>
              <w:autoSpaceDE w:val="0"/>
              <w:autoSpaceDN w:val="0"/>
              <w:adjustRightInd w:val="0"/>
              <w:spacing w:after="0" w:line="360" w:lineRule="auto"/>
              <w:jc w:val="right"/>
              <w:rPr>
                <w:color w:val="auto"/>
                <w:sz w:val="18"/>
                <w:szCs w:val="18"/>
              </w:rPr>
            </w:pPr>
            <w:r w:rsidRPr="00EC1DF5">
              <w:rPr>
                <w:color w:val="auto"/>
                <w:sz w:val="18"/>
                <w:szCs w:val="18"/>
              </w:rPr>
              <w:t>64.528</w:t>
            </w:r>
          </w:p>
        </w:tc>
        <w:tc>
          <w:tcPr>
            <w:tcW w:w="1250" w:type="dxa"/>
            <w:tcBorders>
              <w:top w:val="nil"/>
              <w:left w:val="nil"/>
              <w:bottom w:val="nil"/>
              <w:right w:val="nil"/>
            </w:tcBorders>
          </w:tcPr>
          <w:p w14:paraId="61F007D4" w14:textId="77777777" w:rsidR="00AB41CC" w:rsidRPr="00EC1DF5" w:rsidRDefault="00AB41CC" w:rsidP="00453380">
            <w:pPr>
              <w:widowControl w:val="0"/>
              <w:autoSpaceDE w:val="0"/>
              <w:autoSpaceDN w:val="0"/>
              <w:adjustRightInd w:val="0"/>
              <w:spacing w:after="0" w:line="360" w:lineRule="auto"/>
              <w:jc w:val="right"/>
              <w:rPr>
                <w:color w:val="auto"/>
                <w:sz w:val="18"/>
                <w:szCs w:val="18"/>
              </w:rPr>
            </w:pPr>
            <w:r w:rsidRPr="00EC1DF5">
              <w:rPr>
                <w:color w:val="auto"/>
                <w:sz w:val="18"/>
                <w:szCs w:val="18"/>
              </w:rPr>
              <w:t>12.727</w:t>
            </w:r>
          </w:p>
        </w:tc>
        <w:tc>
          <w:tcPr>
            <w:tcW w:w="1250" w:type="dxa"/>
            <w:tcBorders>
              <w:top w:val="nil"/>
              <w:left w:val="nil"/>
              <w:bottom w:val="nil"/>
              <w:right w:val="nil"/>
            </w:tcBorders>
          </w:tcPr>
          <w:p w14:paraId="50694834" w14:textId="77777777" w:rsidR="00AB41CC" w:rsidRPr="00EC1DF5" w:rsidRDefault="00AB41CC" w:rsidP="00453380">
            <w:pPr>
              <w:widowControl w:val="0"/>
              <w:autoSpaceDE w:val="0"/>
              <w:autoSpaceDN w:val="0"/>
              <w:adjustRightInd w:val="0"/>
              <w:spacing w:after="0" w:line="360" w:lineRule="auto"/>
              <w:jc w:val="right"/>
              <w:rPr>
                <w:color w:val="auto"/>
                <w:sz w:val="18"/>
                <w:szCs w:val="18"/>
              </w:rPr>
            </w:pPr>
            <w:r w:rsidRPr="00EC1DF5">
              <w:rPr>
                <w:color w:val="auto"/>
                <w:sz w:val="18"/>
                <w:szCs w:val="18"/>
              </w:rPr>
              <w:t>38.017</w:t>
            </w:r>
          </w:p>
        </w:tc>
        <w:tc>
          <w:tcPr>
            <w:tcW w:w="1250" w:type="dxa"/>
            <w:tcBorders>
              <w:top w:val="nil"/>
              <w:left w:val="nil"/>
              <w:bottom w:val="nil"/>
              <w:right w:val="nil"/>
            </w:tcBorders>
          </w:tcPr>
          <w:p w14:paraId="7203CADB" w14:textId="77777777" w:rsidR="00AB41CC" w:rsidRPr="00EC1DF5" w:rsidRDefault="00AB41CC" w:rsidP="00453380">
            <w:pPr>
              <w:widowControl w:val="0"/>
              <w:autoSpaceDE w:val="0"/>
              <w:autoSpaceDN w:val="0"/>
              <w:adjustRightInd w:val="0"/>
              <w:spacing w:after="0" w:line="360" w:lineRule="auto"/>
              <w:jc w:val="right"/>
              <w:rPr>
                <w:color w:val="auto"/>
                <w:sz w:val="18"/>
                <w:szCs w:val="18"/>
              </w:rPr>
            </w:pPr>
            <w:r w:rsidRPr="00EC1DF5">
              <w:rPr>
                <w:color w:val="auto"/>
                <w:sz w:val="18"/>
                <w:szCs w:val="18"/>
              </w:rPr>
              <w:t>85.301</w:t>
            </w:r>
          </w:p>
        </w:tc>
      </w:tr>
      <w:tr w:rsidR="00EC1DF5" w:rsidRPr="00EC1DF5" w14:paraId="46A41589" w14:textId="77777777" w:rsidTr="00453380">
        <w:tc>
          <w:tcPr>
            <w:tcW w:w="2048" w:type="dxa"/>
            <w:tcBorders>
              <w:top w:val="nil"/>
              <w:left w:val="nil"/>
              <w:bottom w:val="nil"/>
              <w:right w:val="nil"/>
            </w:tcBorders>
          </w:tcPr>
          <w:p w14:paraId="4A9B0382"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 xml:space="preserve"> Social</w:t>
            </w:r>
          </w:p>
        </w:tc>
        <w:tc>
          <w:tcPr>
            <w:tcW w:w="1250" w:type="dxa"/>
            <w:tcBorders>
              <w:top w:val="nil"/>
              <w:left w:val="nil"/>
              <w:bottom w:val="nil"/>
              <w:right w:val="nil"/>
            </w:tcBorders>
          </w:tcPr>
          <w:p w14:paraId="37E25E0E" w14:textId="77777777" w:rsidR="00AB41CC" w:rsidRPr="00EC1DF5" w:rsidRDefault="00AB41CC" w:rsidP="00453380">
            <w:pPr>
              <w:widowControl w:val="0"/>
              <w:autoSpaceDE w:val="0"/>
              <w:autoSpaceDN w:val="0"/>
              <w:adjustRightInd w:val="0"/>
              <w:spacing w:after="0" w:line="360" w:lineRule="auto"/>
              <w:jc w:val="right"/>
              <w:rPr>
                <w:color w:val="auto"/>
                <w:sz w:val="18"/>
                <w:szCs w:val="18"/>
              </w:rPr>
            </w:pPr>
            <w:r w:rsidRPr="00EC1DF5">
              <w:rPr>
                <w:color w:val="auto"/>
                <w:sz w:val="18"/>
                <w:szCs w:val="18"/>
              </w:rPr>
              <w:t>4944</w:t>
            </w:r>
          </w:p>
        </w:tc>
        <w:tc>
          <w:tcPr>
            <w:tcW w:w="1250" w:type="dxa"/>
            <w:tcBorders>
              <w:top w:val="nil"/>
              <w:left w:val="nil"/>
              <w:bottom w:val="nil"/>
              <w:right w:val="nil"/>
            </w:tcBorders>
          </w:tcPr>
          <w:p w14:paraId="023F1209" w14:textId="77777777" w:rsidR="00AB41CC" w:rsidRPr="00EC1DF5" w:rsidRDefault="00AB41CC" w:rsidP="00453380">
            <w:pPr>
              <w:widowControl w:val="0"/>
              <w:autoSpaceDE w:val="0"/>
              <w:autoSpaceDN w:val="0"/>
              <w:adjustRightInd w:val="0"/>
              <w:spacing w:after="0" w:line="360" w:lineRule="auto"/>
              <w:jc w:val="right"/>
              <w:rPr>
                <w:color w:val="auto"/>
                <w:sz w:val="18"/>
                <w:szCs w:val="18"/>
              </w:rPr>
            </w:pPr>
            <w:r w:rsidRPr="00EC1DF5">
              <w:rPr>
                <w:color w:val="auto"/>
                <w:sz w:val="18"/>
                <w:szCs w:val="18"/>
              </w:rPr>
              <w:t>61.548</w:t>
            </w:r>
          </w:p>
        </w:tc>
        <w:tc>
          <w:tcPr>
            <w:tcW w:w="1250" w:type="dxa"/>
            <w:tcBorders>
              <w:top w:val="nil"/>
              <w:left w:val="nil"/>
              <w:bottom w:val="nil"/>
              <w:right w:val="nil"/>
            </w:tcBorders>
          </w:tcPr>
          <w:p w14:paraId="48A399AB" w14:textId="77777777" w:rsidR="00AB41CC" w:rsidRPr="00EC1DF5" w:rsidRDefault="00AB41CC" w:rsidP="00453380">
            <w:pPr>
              <w:widowControl w:val="0"/>
              <w:autoSpaceDE w:val="0"/>
              <w:autoSpaceDN w:val="0"/>
              <w:adjustRightInd w:val="0"/>
              <w:spacing w:after="0" w:line="360" w:lineRule="auto"/>
              <w:jc w:val="right"/>
              <w:rPr>
                <w:color w:val="auto"/>
                <w:sz w:val="18"/>
                <w:szCs w:val="18"/>
              </w:rPr>
            </w:pPr>
            <w:r w:rsidRPr="00EC1DF5">
              <w:rPr>
                <w:color w:val="auto"/>
                <w:sz w:val="18"/>
                <w:szCs w:val="18"/>
              </w:rPr>
              <w:t>28.215</w:t>
            </w:r>
          </w:p>
        </w:tc>
        <w:tc>
          <w:tcPr>
            <w:tcW w:w="1250" w:type="dxa"/>
            <w:tcBorders>
              <w:top w:val="nil"/>
              <w:left w:val="nil"/>
              <w:bottom w:val="nil"/>
              <w:right w:val="nil"/>
            </w:tcBorders>
          </w:tcPr>
          <w:p w14:paraId="474B0A04" w14:textId="77777777" w:rsidR="00AB41CC" w:rsidRPr="00EC1DF5" w:rsidRDefault="00AB41CC" w:rsidP="00453380">
            <w:pPr>
              <w:widowControl w:val="0"/>
              <w:autoSpaceDE w:val="0"/>
              <w:autoSpaceDN w:val="0"/>
              <w:adjustRightInd w:val="0"/>
              <w:spacing w:after="0" w:line="360" w:lineRule="auto"/>
              <w:jc w:val="right"/>
              <w:rPr>
                <w:color w:val="auto"/>
                <w:sz w:val="18"/>
                <w:szCs w:val="18"/>
              </w:rPr>
            </w:pPr>
            <w:r w:rsidRPr="00EC1DF5">
              <w:rPr>
                <w:color w:val="auto"/>
                <w:sz w:val="18"/>
                <w:szCs w:val="18"/>
              </w:rPr>
              <w:t>4</w:t>
            </w:r>
          </w:p>
        </w:tc>
        <w:tc>
          <w:tcPr>
            <w:tcW w:w="1250" w:type="dxa"/>
            <w:tcBorders>
              <w:top w:val="nil"/>
              <w:left w:val="nil"/>
              <w:bottom w:val="nil"/>
              <w:right w:val="nil"/>
            </w:tcBorders>
          </w:tcPr>
          <w:p w14:paraId="24CC2494" w14:textId="77777777" w:rsidR="00AB41CC" w:rsidRPr="00EC1DF5" w:rsidRDefault="00AB41CC" w:rsidP="00453380">
            <w:pPr>
              <w:widowControl w:val="0"/>
              <w:autoSpaceDE w:val="0"/>
              <w:autoSpaceDN w:val="0"/>
              <w:adjustRightInd w:val="0"/>
              <w:spacing w:after="0" w:line="360" w:lineRule="auto"/>
              <w:jc w:val="right"/>
              <w:rPr>
                <w:color w:val="auto"/>
                <w:sz w:val="18"/>
                <w:szCs w:val="18"/>
              </w:rPr>
            </w:pPr>
            <w:r w:rsidRPr="00EC1DF5">
              <w:rPr>
                <w:color w:val="auto"/>
                <w:sz w:val="18"/>
                <w:szCs w:val="18"/>
              </w:rPr>
              <w:t>99</w:t>
            </w:r>
          </w:p>
        </w:tc>
      </w:tr>
      <w:tr w:rsidR="00EC1DF5" w:rsidRPr="00EC1DF5" w14:paraId="2A758F5A" w14:textId="77777777" w:rsidTr="00453380">
        <w:tc>
          <w:tcPr>
            <w:tcW w:w="2048" w:type="dxa"/>
            <w:tcBorders>
              <w:top w:val="nil"/>
              <w:left w:val="nil"/>
              <w:bottom w:val="nil"/>
              <w:right w:val="nil"/>
            </w:tcBorders>
          </w:tcPr>
          <w:p w14:paraId="1FDB0575"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 xml:space="preserve"> Envtal</w:t>
            </w:r>
          </w:p>
        </w:tc>
        <w:tc>
          <w:tcPr>
            <w:tcW w:w="1250" w:type="dxa"/>
            <w:tcBorders>
              <w:top w:val="nil"/>
              <w:left w:val="nil"/>
              <w:bottom w:val="nil"/>
              <w:right w:val="nil"/>
            </w:tcBorders>
          </w:tcPr>
          <w:p w14:paraId="306D276E" w14:textId="77777777" w:rsidR="00AB41CC" w:rsidRPr="00EC1DF5" w:rsidRDefault="00AB41CC" w:rsidP="00453380">
            <w:pPr>
              <w:widowControl w:val="0"/>
              <w:autoSpaceDE w:val="0"/>
              <w:autoSpaceDN w:val="0"/>
              <w:adjustRightInd w:val="0"/>
              <w:spacing w:after="0" w:line="360" w:lineRule="auto"/>
              <w:jc w:val="right"/>
              <w:rPr>
                <w:color w:val="auto"/>
                <w:sz w:val="18"/>
                <w:szCs w:val="18"/>
              </w:rPr>
            </w:pPr>
            <w:r w:rsidRPr="00EC1DF5">
              <w:rPr>
                <w:color w:val="auto"/>
                <w:sz w:val="18"/>
                <w:szCs w:val="18"/>
              </w:rPr>
              <w:t>4944</w:t>
            </w:r>
          </w:p>
        </w:tc>
        <w:tc>
          <w:tcPr>
            <w:tcW w:w="1250" w:type="dxa"/>
            <w:tcBorders>
              <w:top w:val="nil"/>
              <w:left w:val="nil"/>
              <w:bottom w:val="nil"/>
              <w:right w:val="nil"/>
            </w:tcBorders>
          </w:tcPr>
          <w:p w14:paraId="668E7D34" w14:textId="77777777" w:rsidR="00AB41CC" w:rsidRPr="00EC1DF5" w:rsidRDefault="00AB41CC" w:rsidP="00453380">
            <w:pPr>
              <w:widowControl w:val="0"/>
              <w:autoSpaceDE w:val="0"/>
              <w:autoSpaceDN w:val="0"/>
              <w:adjustRightInd w:val="0"/>
              <w:spacing w:after="0" w:line="360" w:lineRule="auto"/>
              <w:jc w:val="right"/>
              <w:rPr>
                <w:color w:val="auto"/>
                <w:sz w:val="18"/>
                <w:szCs w:val="18"/>
              </w:rPr>
            </w:pPr>
            <w:r w:rsidRPr="00EC1DF5">
              <w:rPr>
                <w:color w:val="auto"/>
                <w:sz w:val="18"/>
                <w:szCs w:val="18"/>
              </w:rPr>
              <w:t>57.918</w:t>
            </w:r>
          </w:p>
        </w:tc>
        <w:tc>
          <w:tcPr>
            <w:tcW w:w="1250" w:type="dxa"/>
            <w:tcBorders>
              <w:top w:val="nil"/>
              <w:left w:val="nil"/>
              <w:bottom w:val="nil"/>
              <w:right w:val="nil"/>
            </w:tcBorders>
          </w:tcPr>
          <w:p w14:paraId="0366105B" w14:textId="77777777" w:rsidR="00AB41CC" w:rsidRPr="00EC1DF5" w:rsidRDefault="00AB41CC" w:rsidP="00453380">
            <w:pPr>
              <w:widowControl w:val="0"/>
              <w:autoSpaceDE w:val="0"/>
              <w:autoSpaceDN w:val="0"/>
              <w:adjustRightInd w:val="0"/>
              <w:spacing w:after="0" w:line="360" w:lineRule="auto"/>
              <w:jc w:val="right"/>
              <w:rPr>
                <w:color w:val="auto"/>
                <w:sz w:val="18"/>
                <w:szCs w:val="18"/>
              </w:rPr>
            </w:pPr>
            <w:r w:rsidRPr="00EC1DF5">
              <w:rPr>
                <w:color w:val="auto"/>
                <w:sz w:val="18"/>
                <w:szCs w:val="18"/>
              </w:rPr>
              <w:t>32.137</w:t>
            </w:r>
          </w:p>
        </w:tc>
        <w:tc>
          <w:tcPr>
            <w:tcW w:w="1250" w:type="dxa"/>
            <w:tcBorders>
              <w:top w:val="nil"/>
              <w:left w:val="nil"/>
              <w:bottom w:val="nil"/>
              <w:right w:val="nil"/>
            </w:tcBorders>
          </w:tcPr>
          <w:p w14:paraId="7D8E2C13" w14:textId="77777777" w:rsidR="00AB41CC" w:rsidRPr="00EC1DF5" w:rsidRDefault="00AB41CC" w:rsidP="00453380">
            <w:pPr>
              <w:widowControl w:val="0"/>
              <w:autoSpaceDE w:val="0"/>
              <w:autoSpaceDN w:val="0"/>
              <w:adjustRightInd w:val="0"/>
              <w:spacing w:after="0" w:line="360" w:lineRule="auto"/>
              <w:jc w:val="right"/>
              <w:rPr>
                <w:color w:val="auto"/>
                <w:sz w:val="18"/>
                <w:szCs w:val="18"/>
              </w:rPr>
            </w:pPr>
            <w:r w:rsidRPr="00EC1DF5">
              <w:rPr>
                <w:color w:val="auto"/>
                <w:sz w:val="18"/>
                <w:szCs w:val="18"/>
              </w:rPr>
              <w:t>8</w:t>
            </w:r>
          </w:p>
        </w:tc>
        <w:tc>
          <w:tcPr>
            <w:tcW w:w="1250" w:type="dxa"/>
            <w:tcBorders>
              <w:top w:val="nil"/>
              <w:left w:val="nil"/>
              <w:bottom w:val="nil"/>
              <w:right w:val="nil"/>
            </w:tcBorders>
          </w:tcPr>
          <w:p w14:paraId="523DDDDF" w14:textId="77777777" w:rsidR="00AB41CC" w:rsidRPr="00EC1DF5" w:rsidRDefault="00AB41CC" w:rsidP="00453380">
            <w:pPr>
              <w:widowControl w:val="0"/>
              <w:autoSpaceDE w:val="0"/>
              <w:autoSpaceDN w:val="0"/>
              <w:adjustRightInd w:val="0"/>
              <w:spacing w:after="0" w:line="360" w:lineRule="auto"/>
              <w:jc w:val="right"/>
              <w:rPr>
                <w:color w:val="auto"/>
                <w:sz w:val="18"/>
                <w:szCs w:val="18"/>
              </w:rPr>
            </w:pPr>
            <w:r w:rsidRPr="00EC1DF5">
              <w:rPr>
                <w:color w:val="auto"/>
                <w:sz w:val="18"/>
                <w:szCs w:val="18"/>
              </w:rPr>
              <w:t>97</w:t>
            </w:r>
          </w:p>
        </w:tc>
      </w:tr>
      <w:tr w:rsidR="00EC1DF5" w:rsidRPr="00EC1DF5" w14:paraId="5735701E" w14:textId="77777777" w:rsidTr="00453380">
        <w:tc>
          <w:tcPr>
            <w:tcW w:w="2048" w:type="dxa"/>
            <w:tcBorders>
              <w:top w:val="nil"/>
              <w:left w:val="nil"/>
              <w:bottom w:val="nil"/>
              <w:right w:val="nil"/>
            </w:tcBorders>
          </w:tcPr>
          <w:p w14:paraId="7B093347"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 xml:space="preserve"> </w:t>
            </w:r>
            <w:r w:rsidRPr="00EC1DF5">
              <w:rPr>
                <w:i/>
                <w:color w:val="auto"/>
                <w:sz w:val="18"/>
                <w:szCs w:val="18"/>
              </w:rPr>
              <w:t>BF</w:t>
            </w:r>
          </w:p>
        </w:tc>
        <w:tc>
          <w:tcPr>
            <w:tcW w:w="1250" w:type="dxa"/>
            <w:tcBorders>
              <w:top w:val="nil"/>
              <w:left w:val="nil"/>
              <w:bottom w:val="nil"/>
              <w:right w:val="nil"/>
            </w:tcBorders>
          </w:tcPr>
          <w:p w14:paraId="2B0124DA" w14:textId="77777777" w:rsidR="00AB41CC" w:rsidRPr="00EC1DF5" w:rsidRDefault="00AB41CC" w:rsidP="00453380">
            <w:pPr>
              <w:widowControl w:val="0"/>
              <w:autoSpaceDE w:val="0"/>
              <w:autoSpaceDN w:val="0"/>
              <w:adjustRightInd w:val="0"/>
              <w:spacing w:after="0" w:line="360" w:lineRule="auto"/>
              <w:jc w:val="right"/>
              <w:rPr>
                <w:color w:val="auto"/>
                <w:sz w:val="18"/>
                <w:szCs w:val="18"/>
              </w:rPr>
            </w:pPr>
            <w:r w:rsidRPr="00EC1DF5">
              <w:rPr>
                <w:color w:val="auto"/>
                <w:sz w:val="18"/>
                <w:szCs w:val="18"/>
              </w:rPr>
              <w:t>4944</w:t>
            </w:r>
          </w:p>
        </w:tc>
        <w:tc>
          <w:tcPr>
            <w:tcW w:w="1250" w:type="dxa"/>
            <w:tcBorders>
              <w:top w:val="nil"/>
              <w:left w:val="nil"/>
              <w:bottom w:val="nil"/>
              <w:right w:val="nil"/>
            </w:tcBorders>
          </w:tcPr>
          <w:p w14:paraId="65EF94FC" w14:textId="77777777" w:rsidR="00AB41CC" w:rsidRPr="00EC1DF5" w:rsidRDefault="00AB41CC" w:rsidP="00453380">
            <w:pPr>
              <w:widowControl w:val="0"/>
              <w:autoSpaceDE w:val="0"/>
              <w:autoSpaceDN w:val="0"/>
              <w:adjustRightInd w:val="0"/>
              <w:spacing w:after="0" w:line="360" w:lineRule="auto"/>
              <w:jc w:val="right"/>
              <w:rPr>
                <w:color w:val="auto"/>
                <w:sz w:val="18"/>
                <w:szCs w:val="18"/>
              </w:rPr>
            </w:pPr>
            <w:r w:rsidRPr="00EC1DF5">
              <w:rPr>
                <w:color w:val="auto"/>
                <w:sz w:val="18"/>
                <w:szCs w:val="18"/>
              </w:rPr>
              <w:t>80.883</w:t>
            </w:r>
          </w:p>
        </w:tc>
        <w:tc>
          <w:tcPr>
            <w:tcW w:w="1250" w:type="dxa"/>
            <w:tcBorders>
              <w:top w:val="nil"/>
              <w:left w:val="nil"/>
              <w:bottom w:val="nil"/>
              <w:right w:val="nil"/>
            </w:tcBorders>
          </w:tcPr>
          <w:p w14:paraId="333386ED" w14:textId="77777777" w:rsidR="00AB41CC" w:rsidRPr="00EC1DF5" w:rsidRDefault="00AB41CC" w:rsidP="00453380">
            <w:pPr>
              <w:widowControl w:val="0"/>
              <w:autoSpaceDE w:val="0"/>
              <w:autoSpaceDN w:val="0"/>
              <w:adjustRightInd w:val="0"/>
              <w:spacing w:after="0" w:line="360" w:lineRule="auto"/>
              <w:jc w:val="right"/>
              <w:rPr>
                <w:color w:val="auto"/>
                <w:sz w:val="18"/>
                <w:szCs w:val="18"/>
              </w:rPr>
            </w:pPr>
            <w:r w:rsidRPr="00EC1DF5">
              <w:rPr>
                <w:color w:val="auto"/>
                <w:sz w:val="18"/>
                <w:szCs w:val="18"/>
              </w:rPr>
              <w:t>12.205</w:t>
            </w:r>
          </w:p>
        </w:tc>
        <w:tc>
          <w:tcPr>
            <w:tcW w:w="1250" w:type="dxa"/>
            <w:tcBorders>
              <w:top w:val="nil"/>
              <w:left w:val="nil"/>
              <w:bottom w:val="nil"/>
              <w:right w:val="nil"/>
            </w:tcBorders>
          </w:tcPr>
          <w:p w14:paraId="5ACC03D8" w14:textId="77777777" w:rsidR="00AB41CC" w:rsidRPr="00EC1DF5" w:rsidRDefault="00AB41CC" w:rsidP="00453380">
            <w:pPr>
              <w:widowControl w:val="0"/>
              <w:autoSpaceDE w:val="0"/>
              <w:autoSpaceDN w:val="0"/>
              <w:adjustRightInd w:val="0"/>
              <w:spacing w:after="0" w:line="360" w:lineRule="auto"/>
              <w:jc w:val="right"/>
              <w:rPr>
                <w:color w:val="auto"/>
                <w:sz w:val="18"/>
                <w:szCs w:val="18"/>
              </w:rPr>
            </w:pPr>
            <w:r w:rsidRPr="00EC1DF5">
              <w:rPr>
                <w:color w:val="auto"/>
                <w:sz w:val="18"/>
                <w:szCs w:val="18"/>
              </w:rPr>
              <w:t>47</w:t>
            </w:r>
          </w:p>
        </w:tc>
        <w:tc>
          <w:tcPr>
            <w:tcW w:w="1250" w:type="dxa"/>
            <w:tcBorders>
              <w:top w:val="nil"/>
              <w:left w:val="nil"/>
              <w:bottom w:val="nil"/>
              <w:right w:val="nil"/>
            </w:tcBorders>
          </w:tcPr>
          <w:p w14:paraId="5FBC55D3" w14:textId="77777777" w:rsidR="00AB41CC" w:rsidRPr="00EC1DF5" w:rsidRDefault="00AB41CC" w:rsidP="00453380">
            <w:pPr>
              <w:widowControl w:val="0"/>
              <w:autoSpaceDE w:val="0"/>
              <w:autoSpaceDN w:val="0"/>
              <w:adjustRightInd w:val="0"/>
              <w:spacing w:after="0" w:line="360" w:lineRule="auto"/>
              <w:jc w:val="right"/>
              <w:rPr>
                <w:color w:val="auto"/>
                <w:sz w:val="18"/>
                <w:szCs w:val="18"/>
              </w:rPr>
            </w:pPr>
            <w:r w:rsidRPr="00EC1DF5">
              <w:rPr>
                <w:color w:val="auto"/>
                <w:sz w:val="18"/>
                <w:szCs w:val="18"/>
              </w:rPr>
              <w:t>92</w:t>
            </w:r>
          </w:p>
        </w:tc>
      </w:tr>
      <w:tr w:rsidR="00EC1DF5" w:rsidRPr="00EC1DF5" w14:paraId="716C6585" w14:textId="77777777" w:rsidTr="00453380">
        <w:tc>
          <w:tcPr>
            <w:tcW w:w="2048" w:type="dxa"/>
            <w:tcBorders>
              <w:top w:val="nil"/>
              <w:left w:val="nil"/>
              <w:bottom w:val="nil"/>
              <w:right w:val="nil"/>
            </w:tcBorders>
          </w:tcPr>
          <w:p w14:paraId="381B2164"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 xml:space="preserve"> </w:t>
            </w:r>
            <w:r w:rsidRPr="00EC1DF5">
              <w:rPr>
                <w:i/>
                <w:color w:val="auto"/>
                <w:sz w:val="18"/>
                <w:szCs w:val="18"/>
              </w:rPr>
              <w:t>BST</w:t>
            </w:r>
          </w:p>
        </w:tc>
        <w:tc>
          <w:tcPr>
            <w:tcW w:w="1250" w:type="dxa"/>
            <w:tcBorders>
              <w:top w:val="nil"/>
              <w:left w:val="nil"/>
              <w:bottom w:val="nil"/>
              <w:right w:val="nil"/>
            </w:tcBorders>
          </w:tcPr>
          <w:p w14:paraId="03DCC1CA" w14:textId="77777777" w:rsidR="00AB41CC" w:rsidRPr="00EC1DF5" w:rsidRDefault="00AB41CC" w:rsidP="00453380">
            <w:pPr>
              <w:widowControl w:val="0"/>
              <w:autoSpaceDE w:val="0"/>
              <w:autoSpaceDN w:val="0"/>
              <w:adjustRightInd w:val="0"/>
              <w:spacing w:after="0" w:line="360" w:lineRule="auto"/>
              <w:jc w:val="right"/>
              <w:rPr>
                <w:color w:val="auto"/>
                <w:sz w:val="18"/>
                <w:szCs w:val="18"/>
              </w:rPr>
            </w:pPr>
            <w:r w:rsidRPr="00EC1DF5">
              <w:rPr>
                <w:color w:val="auto"/>
                <w:sz w:val="18"/>
                <w:szCs w:val="18"/>
              </w:rPr>
              <w:t>4944</w:t>
            </w:r>
          </w:p>
        </w:tc>
        <w:tc>
          <w:tcPr>
            <w:tcW w:w="1250" w:type="dxa"/>
            <w:tcBorders>
              <w:top w:val="nil"/>
              <w:left w:val="nil"/>
              <w:bottom w:val="nil"/>
              <w:right w:val="nil"/>
            </w:tcBorders>
          </w:tcPr>
          <w:p w14:paraId="4703084C" w14:textId="77777777" w:rsidR="00AB41CC" w:rsidRPr="00EC1DF5" w:rsidRDefault="00AB41CC" w:rsidP="00453380">
            <w:pPr>
              <w:widowControl w:val="0"/>
              <w:autoSpaceDE w:val="0"/>
              <w:autoSpaceDN w:val="0"/>
              <w:adjustRightInd w:val="0"/>
              <w:spacing w:after="0" w:line="360" w:lineRule="auto"/>
              <w:jc w:val="right"/>
              <w:rPr>
                <w:color w:val="auto"/>
                <w:sz w:val="18"/>
                <w:szCs w:val="18"/>
              </w:rPr>
            </w:pPr>
            <w:r w:rsidRPr="00EC1DF5">
              <w:rPr>
                <w:color w:val="auto"/>
                <w:sz w:val="18"/>
                <w:szCs w:val="18"/>
              </w:rPr>
              <w:t>80.774</w:t>
            </w:r>
          </w:p>
        </w:tc>
        <w:tc>
          <w:tcPr>
            <w:tcW w:w="1250" w:type="dxa"/>
            <w:tcBorders>
              <w:top w:val="nil"/>
              <w:left w:val="nil"/>
              <w:bottom w:val="nil"/>
              <w:right w:val="nil"/>
            </w:tcBorders>
          </w:tcPr>
          <w:p w14:paraId="5A622200" w14:textId="77777777" w:rsidR="00AB41CC" w:rsidRPr="00EC1DF5" w:rsidRDefault="00AB41CC" w:rsidP="00453380">
            <w:pPr>
              <w:widowControl w:val="0"/>
              <w:autoSpaceDE w:val="0"/>
              <w:autoSpaceDN w:val="0"/>
              <w:adjustRightInd w:val="0"/>
              <w:spacing w:after="0" w:line="360" w:lineRule="auto"/>
              <w:jc w:val="right"/>
              <w:rPr>
                <w:color w:val="auto"/>
                <w:sz w:val="18"/>
                <w:szCs w:val="18"/>
              </w:rPr>
            </w:pPr>
            <w:r w:rsidRPr="00EC1DF5">
              <w:rPr>
                <w:color w:val="auto"/>
                <w:sz w:val="18"/>
                <w:szCs w:val="18"/>
              </w:rPr>
              <w:t>11.207</w:t>
            </w:r>
          </w:p>
        </w:tc>
        <w:tc>
          <w:tcPr>
            <w:tcW w:w="1250" w:type="dxa"/>
            <w:tcBorders>
              <w:top w:val="nil"/>
              <w:left w:val="nil"/>
              <w:bottom w:val="nil"/>
              <w:right w:val="nil"/>
            </w:tcBorders>
          </w:tcPr>
          <w:p w14:paraId="01BF4467" w14:textId="77777777" w:rsidR="00AB41CC" w:rsidRPr="00EC1DF5" w:rsidRDefault="00AB41CC" w:rsidP="00453380">
            <w:pPr>
              <w:widowControl w:val="0"/>
              <w:autoSpaceDE w:val="0"/>
              <w:autoSpaceDN w:val="0"/>
              <w:adjustRightInd w:val="0"/>
              <w:spacing w:after="0" w:line="360" w:lineRule="auto"/>
              <w:jc w:val="right"/>
              <w:rPr>
                <w:color w:val="auto"/>
                <w:sz w:val="18"/>
                <w:szCs w:val="18"/>
              </w:rPr>
            </w:pPr>
            <w:r w:rsidRPr="00EC1DF5">
              <w:rPr>
                <w:color w:val="auto"/>
                <w:sz w:val="18"/>
                <w:szCs w:val="18"/>
              </w:rPr>
              <w:t>52</w:t>
            </w:r>
          </w:p>
        </w:tc>
        <w:tc>
          <w:tcPr>
            <w:tcW w:w="1250" w:type="dxa"/>
            <w:tcBorders>
              <w:top w:val="nil"/>
              <w:left w:val="nil"/>
              <w:bottom w:val="nil"/>
              <w:right w:val="nil"/>
            </w:tcBorders>
          </w:tcPr>
          <w:p w14:paraId="21AFD433" w14:textId="77777777" w:rsidR="00AB41CC" w:rsidRPr="00EC1DF5" w:rsidRDefault="00AB41CC" w:rsidP="00453380">
            <w:pPr>
              <w:widowControl w:val="0"/>
              <w:autoSpaceDE w:val="0"/>
              <w:autoSpaceDN w:val="0"/>
              <w:adjustRightInd w:val="0"/>
              <w:spacing w:after="0" w:line="360" w:lineRule="auto"/>
              <w:jc w:val="right"/>
              <w:rPr>
                <w:color w:val="auto"/>
                <w:sz w:val="18"/>
                <w:szCs w:val="18"/>
              </w:rPr>
            </w:pPr>
            <w:r w:rsidRPr="00EC1DF5">
              <w:rPr>
                <w:color w:val="auto"/>
                <w:sz w:val="18"/>
                <w:szCs w:val="18"/>
              </w:rPr>
              <w:t>93</w:t>
            </w:r>
          </w:p>
        </w:tc>
      </w:tr>
      <w:tr w:rsidR="00EC1DF5" w:rsidRPr="00EC1DF5" w14:paraId="06A7AB09" w14:textId="77777777" w:rsidTr="00453380">
        <w:tc>
          <w:tcPr>
            <w:tcW w:w="2048" w:type="dxa"/>
            <w:tcBorders>
              <w:top w:val="nil"/>
              <w:left w:val="nil"/>
              <w:bottom w:val="nil"/>
              <w:right w:val="nil"/>
            </w:tcBorders>
          </w:tcPr>
          <w:p w14:paraId="667F8A9D"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 xml:space="preserve"> </w:t>
            </w:r>
            <w:r w:rsidRPr="00EC1DF5">
              <w:rPr>
                <w:i/>
                <w:color w:val="auto"/>
                <w:sz w:val="18"/>
                <w:szCs w:val="18"/>
              </w:rPr>
              <w:t>BC</w:t>
            </w:r>
          </w:p>
        </w:tc>
        <w:tc>
          <w:tcPr>
            <w:tcW w:w="1250" w:type="dxa"/>
            <w:tcBorders>
              <w:top w:val="nil"/>
              <w:left w:val="nil"/>
              <w:bottom w:val="nil"/>
              <w:right w:val="nil"/>
            </w:tcBorders>
          </w:tcPr>
          <w:p w14:paraId="45F58712" w14:textId="77777777" w:rsidR="00AB41CC" w:rsidRPr="00EC1DF5" w:rsidRDefault="00AB41CC" w:rsidP="00453380">
            <w:pPr>
              <w:widowControl w:val="0"/>
              <w:autoSpaceDE w:val="0"/>
              <w:autoSpaceDN w:val="0"/>
              <w:adjustRightInd w:val="0"/>
              <w:spacing w:after="0" w:line="360" w:lineRule="auto"/>
              <w:jc w:val="right"/>
              <w:rPr>
                <w:color w:val="auto"/>
                <w:sz w:val="18"/>
                <w:szCs w:val="18"/>
              </w:rPr>
            </w:pPr>
            <w:r w:rsidRPr="00EC1DF5">
              <w:rPr>
                <w:color w:val="auto"/>
                <w:sz w:val="18"/>
                <w:szCs w:val="18"/>
              </w:rPr>
              <w:t>4944</w:t>
            </w:r>
          </w:p>
        </w:tc>
        <w:tc>
          <w:tcPr>
            <w:tcW w:w="1250" w:type="dxa"/>
            <w:tcBorders>
              <w:top w:val="nil"/>
              <w:left w:val="nil"/>
              <w:bottom w:val="nil"/>
              <w:right w:val="nil"/>
            </w:tcBorders>
          </w:tcPr>
          <w:p w14:paraId="774B95CD" w14:textId="77777777" w:rsidR="00AB41CC" w:rsidRPr="00EC1DF5" w:rsidRDefault="00AB41CC" w:rsidP="00453380">
            <w:pPr>
              <w:widowControl w:val="0"/>
              <w:autoSpaceDE w:val="0"/>
              <w:autoSpaceDN w:val="0"/>
              <w:adjustRightInd w:val="0"/>
              <w:spacing w:after="0" w:line="360" w:lineRule="auto"/>
              <w:jc w:val="right"/>
              <w:rPr>
                <w:color w:val="auto"/>
                <w:sz w:val="18"/>
                <w:szCs w:val="18"/>
              </w:rPr>
            </w:pPr>
            <w:r w:rsidRPr="00EC1DF5">
              <w:rPr>
                <w:color w:val="auto"/>
                <w:sz w:val="18"/>
                <w:szCs w:val="18"/>
              </w:rPr>
              <w:t>69.529</w:t>
            </w:r>
          </w:p>
        </w:tc>
        <w:tc>
          <w:tcPr>
            <w:tcW w:w="1250" w:type="dxa"/>
            <w:tcBorders>
              <w:top w:val="nil"/>
              <w:left w:val="nil"/>
              <w:bottom w:val="nil"/>
              <w:right w:val="nil"/>
            </w:tcBorders>
          </w:tcPr>
          <w:p w14:paraId="29BED8A1" w14:textId="77777777" w:rsidR="00AB41CC" w:rsidRPr="00EC1DF5" w:rsidRDefault="00AB41CC" w:rsidP="00453380">
            <w:pPr>
              <w:widowControl w:val="0"/>
              <w:autoSpaceDE w:val="0"/>
              <w:autoSpaceDN w:val="0"/>
              <w:adjustRightInd w:val="0"/>
              <w:spacing w:after="0" w:line="360" w:lineRule="auto"/>
              <w:jc w:val="right"/>
              <w:rPr>
                <w:color w:val="auto"/>
                <w:sz w:val="18"/>
                <w:szCs w:val="18"/>
              </w:rPr>
            </w:pPr>
            <w:r w:rsidRPr="00EC1DF5">
              <w:rPr>
                <w:color w:val="auto"/>
                <w:sz w:val="18"/>
                <w:szCs w:val="18"/>
              </w:rPr>
              <w:t>16.312</w:t>
            </w:r>
          </w:p>
        </w:tc>
        <w:tc>
          <w:tcPr>
            <w:tcW w:w="1250" w:type="dxa"/>
            <w:tcBorders>
              <w:top w:val="nil"/>
              <w:left w:val="nil"/>
              <w:bottom w:val="nil"/>
              <w:right w:val="nil"/>
            </w:tcBorders>
          </w:tcPr>
          <w:p w14:paraId="19895568" w14:textId="77777777" w:rsidR="00AB41CC" w:rsidRPr="00EC1DF5" w:rsidRDefault="00AB41CC" w:rsidP="00453380">
            <w:pPr>
              <w:widowControl w:val="0"/>
              <w:autoSpaceDE w:val="0"/>
              <w:autoSpaceDN w:val="0"/>
              <w:adjustRightInd w:val="0"/>
              <w:spacing w:after="0" w:line="360" w:lineRule="auto"/>
              <w:jc w:val="right"/>
              <w:rPr>
                <w:color w:val="auto"/>
                <w:sz w:val="18"/>
                <w:szCs w:val="18"/>
              </w:rPr>
            </w:pPr>
            <w:r w:rsidRPr="00EC1DF5">
              <w:rPr>
                <w:color w:val="auto"/>
                <w:sz w:val="18"/>
                <w:szCs w:val="18"/>
              </w:rPr>
              <w:t>36</w:t>
            </w:r>
          </w:p>
        </w:tc>
        <w:tc>
          <w:tcPr>
            <w:tcW w:w="1250" w:type="dxa"/>
            <w:tcBorders>
              <w:top w:val="nil"/>
              <w:left w:val="nil"/>
              <w:bottom w:val="nil"/>
              <w:right w:val="nil"/>
            </w:tcBorders>
          </w:tcPr>
          <w:p w14:paraId="449E441B" w14:textId="77777777" w:rsidR="00AB41CC" w:rsidRPr="00EC1DF5" w:rsidRDefault="00AB41CC" w:rsidP="00453380">
            <w:pPr>
              <w:widowControl w:val="0"/>
              <w:autoSpaceDE w:val="0"/>
              <w:autoSpaceDN w:val="0"/>
              <w:adjustRightInd w:val="0"/>
              <w:spacing w:after="0" w:line="360" w:lineRule="auto"/>
              <w:jc w:val="right"/>
              <w:rPr>
                <w:color w:val="auto"/>
                <w:sz w:val="18"/>
                <w:szCs w:val="18"/>
              </w:rPr>
            </w:pPr>
            <w:r w:rsidRPr="00EC1DF5">
              <w:rPr>
                <w:color w:val="auto"/>
                <w:sz w:val="18"/>
                <w:szCs w:val="18"/>
              </w:rPr>
              <w:t>89</w:t>
            </w:r>
          </w:p>
        </w:tc>
      </w:tr>
      <w:tr w:rsidR="00EC1DF5" w:rsidRPr="00EC1DF5" w14:paraId="0D4EB830" w14:textId="77777777" w:rsidTr="00453380">
        <w:tc>
          <w:tcPr>
            <w:tcW w:w="2048" w:type="dxa"/>
            <w:tcBorders>
              <w:top w:val="nil"/>
              <w:left w:val="nil"/>
              <w:bottom w:val="nil"/>
              <w:right w:val="nil"/>
            </w:tcBorders>
          </w:tcPr>
          <w:p w14:paraId="695928F9"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 xml:space="preserve"> </w:t>
            </w:r>
            <w:r w:rsidRPr="00EC1DF5">
              <w:rPr>
                <w:i/>
                <w:color w:val="auto"/>
                <w:sz w:val="18"/>
                <w:szCs w:val="18"/>
              </w:rPr>
              <w:t>BSR</w:t>
            </w:r>
          </w:p>
        </w:tc>
        <w:tc>
          <w:tcPr>
            <w:tcW w:w="1250" w:type="dxa"/>
            <w:tcBorders>
              <w:top w:val="nil"/>
              <w:left w:val="nil"/>
              <w:bottom w:val="nil"/>
              <w:right w:val="nil"/>
            </w:tcBorders>
          </w:tcPr>
          <w:p w14:paraId="1C85B4D9" w14:textId="77777777" w:rsidR="00AB41CC" w:rsidRPr="00EC1DF5" w:rsidRDefault="00AB41CC" w:rsidP="00453380">
            <w:pPr>
              <w:widowControl w:val="0"/>
              <w:autoSpaceDE w:val="0"/>
              <w:autoSpaceDN w:val="0"/>
              <w:adjustRightInd w:val="0"/>
              <w:spacing w:after="0" w:line="360" w:lineRule="auto"/>
              <w:jc w:val="right"/>
              <w:rPr>
                <w:color w:val="auto"/>
                <w:sz w:val="18"/>
                <w:szCs w:val="18"/>
              </w:rPr>
            </w:pPr>
            <w:r w:rsidRPr="00EC1DF5">
              <w:rPr>
                <w:color w:val="auto"/>
                <w:sz w:val="18"/>
                <w:szCs w:val="18"/>
              </w:rPr>
              <w:t>4944</w:t>
            </w:r>
          </w:p>
        </w:tc>
        <w:tc>
          <w:tcPr>
            <w:tcW w:w="1250" w:type="dxa"/>
            <w:tcBorders>
              <w:top w:val="nil"/>
              <w:left w:val="nil"/>
              <w:bottom w:val="nil"/>
              <w:right w:val="nil"/>
            </w:tcBorders>
          </w:tcPr>
          <w:p w14:paraId="50779AE2" w14:textId="77777777" w:rsidR="00AB41CC" w:rsidRPr="00EC1DF5" w:rsidRDefault="00AB41CC" w:rsidP="00453380">
            <w:pPr>
              <w:widowControl w:val="0"/>
              <w:autoSpaceDE w:val="0"/>
              <w:autoSpaceDN w:val="0"/>
              <w:adjustRightInd w:val="0"/>
              <w:spacing w:after="0" w:line="360" w:lineRule="auto"/>
              <w:jc w:val="right"/>
              <w:rPr>
                <w:color w:val="auto"/>
                <w:sz w:val="18"/>
                <w:szCs w:val="18"/>
              </w:rPr>
            </w:pPr>
            <w:r w:rsidRPr="00EC1DF5">
              <w:rPr>
                <w:color w:val="auto"/>
                <w:sz w:val="18"/>
                <w:szCs w:val="18"/>
              </w:rPr>
              <w:t>69.078</w:t>
            </w:r>
          </w:p>
        </w:tc>
        <w:tc>
          <w:tcPr>
            <w:tcW w:w="1250" w:type="dxa"/>
            <w:tcBorders>
              <w:top w:val="nil"/>
              <w:left w:val="nil"/>
              <w:bottom w:val="nil"/>
              <w:right w:val="nil"/>
            </w:tcBorders>
          </w:tcPr>
          <w:p w14:paraId="177DB6D5" w14:textId="77777777" w:rsidR="00AB41CC" w:rsidRPr="00EC1DF5" w:rsidRDefault="00AB41CC" w:rsidP="00453380">
            <w:pPr>
              <w:widowControl w:val="0"/>
              <w:autoSpaceDE w:val="0"/>
              <w:autoSpaceDN w:val="0"/>
              <w:adjustRightInd w:val="0"/>
              <w:spacing w:after="0" w:line="360" w:lineRule="auto"/>
              <w:jc w:val="right"/>
              <w:rPr>
                <w:color w:val="auto"/>
                <w:sz w:val="18"/>
                <w:szCs w:val="18"/>
              </w:rPr>
            </w:pPr>
            <w:r w:rsidRPr="00EC1DF5">
              <w:rPr>
                <w:color w:val="auto"/>
                <w:sz w:val="18"/>
                <w:szCs w:val="18"/>
              </w:rPr>
              <w:t>22.816</w:t>
            </w:r>
          </w:p>
        </w:tc>
        <w:tc>
          <w:tcPr>
            <w:tcW w:w="1250" w:type="dxa"/>
            <w:tcBorders>
              <w:top w:val="nil"/>
              <w:left w:val="nil"/>
              <w:bottom w:val="nil"/>
              <w:right w:val="nil"/>
            </w:tcBorders>
          </w:tcPr>
          <w:p w14:paraId="4CDBBDFA" w14:textId="77777777" w:rsidR="00AB41CC" w:rsidRPr="00EC1DF5" w:rsidRDefault="00AB41CC" w:rsidP="00453380">
            <w:pPr>
              <w:widowControl w:val="0"/>
              <w:autoSpaceDE w:val="0"/>
              <w:autoSpaceDN w:val="0"/>
              <w:adjustRightInd w:val="0"/>
              <w:spacing w:after="0" w:line="360" w:lineRule="auto"/>
              <w:jc w:val="right"/>
              <w:rPr>
                <w:color w:val="auto"/>
                <w:sz w:val="18"/>
                <w:szCs w:val="18"/>
              </w:rPr>
            </w:pPr>
            <w:r w:rsidRPr="00EC1DF5">
              <w:rPr>
                <w:color w:val="auto"/>
                <w:sz w:val="18"/>
                <w:szCs w:val="18"/>
              </w:rPr>
              <w:t>26</w:t>
            </w:r>
          </w:p>
        </w:tc>
        <w:tc>
          <w:tcPr>
            <w:tcW w:w="1250" w:type="dxa"/>
            <w:tcBorders>
              <w:top w:val="nil"/>
              <w:left w:val="nil"/>
              <w:bottom w:val="nil"/>
              <w:right w:val="nil"/>
            </w:tcBorders>
          </w:tcPr>
          <w:p w14:paraId="25140D4B" w14:textId="77777777" w:rsidR="00AB41CC" w:rsidRPr="00EC1DF5" w:rsidRDefault="00AB41CC" w:rsidP="00453380">
            <w:pPr>
              <w:widowControl w:val="0"/>
              <w:autoSpaceDE w:val="0"/>
              <w:autoSpaceDN w:val="0"/>
              <w:adjustRightInd w:val="0"/>
              <w:spacing w:after="0" w:line="360" w:lineRule="auto"/>
              <w:jc w:val="right"/>
              <w:rPr>
                <w:color w:val="auto"/>
                <w:sz w:val="18"/>
                <w:szCs w:val="18"/>
              </w:rPr>
            </w:pPr>
            <w:r w:rsidRPr="00EC1DF5">
              <w:rPr>
                <w:color w:val="auto"/>
                <w:sz w:val="18"/>
                <w:szCs w:val="18"/>
              </w:rPr>
              <w:t>96</w:t>
            </w:r>
          </w:p>
        </w:tc>
      </w:tr>
      <w:tr w:rsidR="00EC1DF5" w:rsidRPr="00EC1DF5" w14:paraId="4C158EBD" w14:textId="77777777" w:rsidTr="00453380">
        <w:tc>
          <w:tcPr>
            <w:tcW w:w="2048" w:type="dxa"/>
            <w:tcBorders>
              <w:top w:val="nil"/>
              <w:left w:val="nil"/>
              <w:bottom w:val="nil"/>
              <w:right w:val="nil"/>
            </w:tcBorders>
          </w:tcPr>
          <w:p w14:paraId="1FFCB6EC"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 xml:space="preserve"> </w:t>
            </w:r>
            <w:r w:rsidRPr="00EC1DF5">
              <w:rPr>
                <w:i/>
                <w:color w:val="auto"/>
                <w:sz w:val="18"/>
                <w:szCs w:val="18"/>
              </w:rPr>
              <w:t>BSTR</w:t>
            </w:r>
          </w:p>
        </w:tc>
        <w:tc>
          <w:tcPr>
            <w:tcW w:w="1250" w:type="dxa"/>
            <w:tcBorders>
              <w:top w:val="nil"/>
              <w:left w:val="nil"/>
              <w:bottom w:val="nil"/>
              <w:right w:val="nil"/>
            </w:tcBorders>
          </w:tcPr>
          <w:p w14:paraId="3D023907" w14:textId="77777777" w:rsidR="00AB41CC" w:rsidRPr="00EC1DF5" w:rsidRDefault="00AB41CC" w:rsidP="00453380">
            <w:pPr>
              <w:widowControl w:val="0"/>
              <w:autoSpaceDE w:val="0"/>
              <w:autoSpaceDN w:val="0"/>
              <w:adjustRightInd w:val="0"/>
              <w:spacing w:after="0" w:line="360" w:lineRule="auto"/>
              <w:jc w:val="right"/>
              <w:rPr>
                <w:color w:val="auto"/>
                <w:sz w:val="18"/>
                <w:szCs w:val="18"/>
              </w:rPr>
            </w:pPr>
            <w:r w:rsidRPr="00EC1DF5">
              <w:rPr>
                <w:color w:val="auto"/>
                <w:sz w:val="18"/>
                <w:szCs w:val="18"/>
              </w:rPr>
              <w:t>4944</w:t>
            </w:r>
          </w:p>
        </w:tc>
        <w:tc>
          <w:tcPr>
            <w:tcW w:w="1250" w:type="dxa"/>
            <w:tcBorders>
              <w:top w:val="nil"/>
              <w:left w:val="nil"/>
              <w:bottom w:val="nil"/>
              <w:right w:val="nil"/>
            </w:tcBorders>
          </w:tcPr>
          <w:p w14:paraId="19528B5A" w14:textId="77777777" w:rsidR="00AB41CC" w:rsidRPr="00EC1DF5" w:rsidRDefault="00AB41CC" w:rsidP="00453380">
            <w:pPr>
              <w:widowControl w:val="0"/>
              <w:autoSpaceDE w:val="0"/>
              <w:autoSpaceDN w:val="0"/>
              <w:adjustRightInd w:val="0"/>
              <w:spacing w:after="0" w:line="360" w:lineRule="auto"/>
              <w:jc w:val="right"/>
              <w:rPr>
                <w:color w:val="auto"/>
                <w:sz w:val="18"/>
                <w:szCs w:val="18"/>
              </w:rPr>
            </w:pPr>
            <w:r w:rsidRPr="00EC1DF5">
              <w:rPr>
                <w:color w:val="auto"/>
                <w:sz w:val="18"/>
                <w:szCs w:val="18"/>
              </w:rPr>
              <w:t>52.408</w:t>
            </w:r>
          </w:p>
        </w:tc>
        <w:tc>
          <w:tcPr>
            <w:tcW w:w="1250" w:type="dxa"/>
            <w:tcBorders>
              <w:top w:val="nil"/>
              <w:left w:val="nil"/>
              <w:bottom w:val="nil"/>
              <w:right w:val="nil"/>
            </w:tcBorders>
          </w:tcPr>
          <w:p w14:paraId="0EB8ABF4" w14:textId="77777777" w:rsidR="00AB41CC" w:rsidRPr="00EC1DF5" w:rsidRDefault="00AB41CC" w:rsidP="00453380">
            <w:pPr>
              <w:widowControl w:val="0"/>
              <w:autoSpaceDE w:val="0"/>
              <w:autoSpaceDN w:val="0"/>
              <w:adjustRightInd w:val="0"/>
              <w:spacing w:after="0" w:line="360" w:lineRule="auto"/>
              <w:jc w:val="right"/>
              <w:rPr>
                <w:color w:val="auto"/>
                <w:sz w:val="18"/>
                <w:szCs w:val="18"/>
              </w:rPr>
            </w:pPr>
            <w:r w:rsidRPr="00EC1DF5">
              <w:rPr>
                <w:color w:val="auto"/>
                <w:sz w:val="18"/>
                <w:szCs w:val="18"/>
              </w:rPr>
              <w:t>32.486</w:t>
            </w:r>
          </w:p>
        </w:tc>
        <w:tc>
          <w:tcPr>
            <w:tcW w:w="1250" w:type="dxa"/>
            <w:tcBorders>
              <w:top w:val="nil"/>
              <w:left w:val="nil"/>
              <w:bottom w:val="nil"/>
              <w:right w:val="nil"/>
            </w:tcBorders>
          </w:tcPr>
          <w:p w14:paraId="5DA96237" w14:textId="77777777" w:rsidR="00AB41CC" w:rsidRPr="00EC1DF5" w:rsidRDefault="00AB41CC" w:rsidP="00453380">
            <w:pPr>
              <w:widowControl w:val="0"/>
              <w:autoSpaceDE w:val="0"/>
              <w:autoSpaceDN w:val="0"/>
              <w:adjustRightInd w:val="0"/>
              <w:spacing w:after="0" w:line="360" w:lineRule="auto"/>
              <w:jc w:val="right"/>
              <w:rPr>
                <w:color w:val="auto"/>
                <w:sz w:val="18"/>
                <w:szCs w:val="18"/>
              </w:rPr>
            </w:pPr>
            <w:r w:rsidRPr="00EC1DF5">
              <w:rPr>
                <w:color w:val="auto"/>
                <w:sz w:val="18"/>
                <w:szCs w:val="18"/>
              </w:rPr>
              <w:t>11</w:t>
            </w:r>
          </w:p>
        </w:tc>
        <w:tc>
          <w:tcPr>
            <w:tcW w:w="1250" w:type="dxa"/>
            <w:tcBorders>
              <w:top w:val="nil"/>
              <w:left w:val="nil"/>
              <w:bottom w:val="nil"/>
              <w:right w:val="nil"/>
            </w:tcBorders>
          </w:tcPr>
          <w:p w14:paraId="4629C91F" w14:textId="77777777" w:rsidR="00AB41CC" w:rsidRPr="00EC1DF5" w:rsidRDefault="00AB41CC" w:rsidP="00453380">
            <w:pPr>
              <w:widowControl w:val="0"/>
              <w:autoSpaceDE w:val="0"/>
              <w:autoSpaceDN w:val="0"/>
              <w:adjustRightInd w:val="0"/>
              <w:spacing w:after="0" w:line="360" w:lineRule="auto"/>
              <w:jc w:val="right"/>
              <w:rPr>
                <w:color w:val="auto"/>
                <w:sz w:val="18"/>
                <w:szCs w:val="18"/>
              </w:rPr>
            </w:pPr>
            <w:r w:rsidRPr="00EC1DF5">
              <w:rPr>
                <w:color w:val="auto"/>
                <w:sz w:val="18"/>
                <w:szCs w:val="18"/>
              </w:rPr>
              <w:t>94</w:t>
            </w:r>
          </w:p>
        </w:tc>
      </w:tr>
      <w:tr w:rsidR="00EC1DF5" w:rsidRPr="00EC1DF5" w14:paraId="1BCACBFE" w14:textId="77777777" w:rsidTr="00453380">
        <w:tc>
          <w:tcPr>
            <w:tcW w:w="2048" w:type="dxa"/>
            <w:tcBorders>
              <w:top w:val="nil"/>
              <w:left w:val="nil"/>
              <w:bottom w:val="nil"/>
              <w:right w:val="nil"/>
            </w:tcBorders>
          </w:tcPr>
          <w:p w14:paraId="7211D8C0"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 xml:space="preserve"> Beta</w:t>
            </w:r>
          </w:p>
        </w:tc>
        <w:tc>
          <w:tcPr>
            <w:tcW w:w="1250" w:type="dxa"/>
            <w:tcBorders>
              <w:top w:val="nil"/>
              <w:left w:val="nil"/>
              <w:bottom w:val="nil"/>
              <w:right w:val="nil"/>
            </w:tcBorders>
          </w:tcPr>
          <w:p w14:paraId="31B533C3" w14:textId="77777777" w:rsidR="00AB41CC" w:rsidRPr="00EC1DF5" w:rsidRDefault="00AB41CC" w:rsidP="00453380">
            <w:pPr>
              <w:widowControl w:val="0"/>
              <w:autoSpaceDE w:val="0"/>
              <w:autoSpaceDN w:val="0"/>
              <w:adjustRightInd w:val="0"/>
              <w:spacing w:after="0" w:line="360" w:lineRule="auto"/>
              <w:jc w:val="right"/>
              <w:rPr>
                <w:color w:val="auto"/>
                <w:sz w:val="18"/>
                <w:szCs w:val="18"/>
              </w:rPr>
            </w:pPr>
            <w:r w:rsidRPr="00EC1DF5">
              <w:rPr>
                <w:color w:val="auto"/>
                <w:sz w:val="18"/>
                <w:szCs w:val="18"/>
              </w:rPr>
              <w:t>4944</w:t>
            </w:r>
          </w:p>
        </w:tc>
        <w:tc>
          <w:tcPr>
            <w:tcW w:w="1250" w:type="dxa"/>
            <w:tcBorders>
              <w:top w:val="nil"/>
              <w:left w:val="nil"/>
              <w:bottom w:val="nil"/>
              <w:right w:val="nil"/>
            </w:tcBorders>
          </w:tcPr>
          <w:p w14:paraId="0F8F9CFB" w14:textId="77777777" w:rsidR="00AB41CC" w:rsidRPr="00EC1DF5" w:rsidRDefault="00AB41CC" w:rsidP="00453380">
            <w:pPr>
              <w:widowControl w:val="0"/>
              <w:autoSpaceDE w:val="0"/>
              <w:autoSpaceDN w:val="0"/>
              <w:adjustRightInd w:val="0"/>
              <w:spacing w:after="0" w:line="360" w:lineRule="auto"/>
              <w:jc w:val="right"/>
              <w:rPr>
                <w:color w:val="auto"/>
                <w:sz w:val="18"/>
                <w:szCs w:val="18"/>
              </w:rPr>
            </w:pPr>
            <w:r w:rsidRPr="00EC1DF5">
              <w:rPr>
                <w:color w:val="auto"/>
                <w:sz w:val="18"/>
                <w:szCs w:val="18"/>
              </w:rPr>
              <w:t>1.057</w:t>
            </w:r>
          </w:p>
        </w:tc>
        <w:tc>
          <w:tcPr>
            <w:tcW w:w="1250" w:type="dxa"/>
            <w:tcBorders>
              <w:top w:val="nil"/>
              <w:left w:val="nil"/>
              <w:bottom w:val="nil"/>
              <w:right w:val="nil"/>
            </w:tcBorders>
          </w:tcPr>
          <w:p w14:paraId="1385F432" w14:textId="77777777" w:rsidR="00AB41CC" w:rsidRPr="00EC1DF5" w:rsidRDefault="00AB41CC" w:rsidP="00453380">
            <w:pPr>
              <w:widowControl w:val="0"/>
              <w:autoSpaceDE w:val="0"/>
              <w:autoSpaceDN w:val="0"/>
              <w:adjustRightInd w:val="0"/>
              <w:spacing w:after="0" w:line="360" w:lineRule="auto"/>
              <w:jc w:val="right"/>
              <w:rPr>
                <w:color w:val="auto"/>
                <w:sz w:val="18"/>
                <w:szCs w:val="18"/>
              </w:rPr>
            </w:pPr>
            <w:r w:rsidRPr="00EC1DF5">
              <w:rPr>
                <w:color w:val="auto"/>
                <w:sz w:val="18"/>
                <w:szCs w:val="18"/>
              </w:rPr>
              <w:t>.546</w:t>
            </w:r>
          </w:p>
        </w:tc>
        <w:tc>
          <w:tcPr>
            <w:tcW w:w="1250" w:type="dxa"/>
            <w:tcBorders>
              <w:top w:val="nil"/>
              <w:left w:val="nil"/>
              <w:bottom w:val="nil"/>
              <w:right w:val="nil"/>
            </w:tcBorders>
          </w:tcPr>
          <w:p w14:paraId="14F5DFAF" w14:textId="77777777" w:rsidR="00AB41CC" w:rsidRPr="00EC1DF5" w:rsidRDefault="00AB41CC" w:rsidP="00453380">
            <w:pPr>
              <w:widowControl w:val="0"/>
              <w:autoSpaceDE w:val="0"/>
              <w:autoSpaceDN w:val="0"/>
              <w:adjustRightInd w:val="0"/>
              <w:spacing w:after="0" w:line="360" w:lineRule="auto"/>
              <w:jc w:val="right"/>
              <w:rPr>
                <w:color w:val="auto"/>
                <w:sz w:val="18"/>
                <w:szCs w:val="18"/>
              </w:rPr>
            </w:pPr>
            <w:r w:rsidRPr="00EC1DF5">
              <w:rPr>
                <w:color w:val="auto"/>
                <w:sz w:val="18"/>
                <w:szCs w:val="18"/>
              </w:rPr>
              <w:t>0</w:t>
            </w:r>
          </w:p>
        </w:tc>
        <w:tc>
          <w:tcPr>
            <w:tcW w:w="1250" w:type="dxa"/>
            <w:tcBorders>
              <w:top w:val="nil"/>
              <w:left w:val="nil"/>
              <w:bottom w:val="nil"/>
              <w:right w:val="nil"/>
            </w:tcBorders>
          </w:tcPr>
          <w:p w14:paraId="3792F4EC" w14:textId="77777777" w:rsidR="00AB41CC" w:rsidRPr="00EC1DF5" w:rsidRDefault="00AB41CC" w:rsidP="00453380">
            <w:pPr>
              <w:widowControl w:val="0"/>
              <w:autoSpaceDE w:val="0"/>
              <w:autoSpaceDN w:val="0"/>
              <w:adjustRightInd w:val="0"/>
              <w:spacing w:after="0" w:line="360" w:lineRule="auto"/>
              <w:jc w:val="right"/>
              <w:rPr>
                <w:color w:val="auto"/>
                <w:sz w:val="18"/>
                <w:szCs w:val="18"/>
              </w:rPr>
            </w:pPr>
            <w:r w:rsidRPr="00EC1DF5">
              <w:rPr>
                <w:color w:val="auto"/>
                <w:sz w:val="18"/>
                <w:szCs w:val="18"/>
              </w:rPr>
              <w:t>2</w:t>
            </w:r>
          </w:p>
        </w:tc>
      </w:tr>
      <w:tr w:rsidR="00EC1DF5" w:rsidRPr="00EC1DF5" w14:paraId="131A0D76" w14:textId="77777777" w:rsidTr="00453380">
        <w:tc>
          <w:tcPr>
            <w:tcW w:w="2048" w:type="dxa"/>
            <w:tcBorders>
              <w:top w:val="nil"/>
              <w:left w:val="nil"/>
              <w:bottom w:val="nil"/>
              <w:right w:val="nil"/>
            </w:tcBorders>
          </w:tcPr>
          <w:p w14:paraId="4E0082F9"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 xml:space="preserve"> Size</w:t>
            </w:r>
          </w:p>
        </w:tc>
        <w:tc>
          <w:tcPr>
            <w:tcW w:w="1250" w:type="dxa"/>
            <w:tcBorders>
              <w:top w:val="nil"/>
              <w:left w:val="nil"/>
              <w:bottom w:val="nil"/>
              <w:right w:val="nil"/>
            </w:tcBorders>
          </w:tcPr>
          <w:p w14:paraId="04AD710A" w14:textId="77777777" w:rsidR="00AB41CC" w:rsidRPr="00EC1DF5" w:rsidRDefault="00AB41CC" w:rsidP="00453380">
            <w:pPr>
              <w:widowControl w:val="0"/>
              <w:autoSpaceDE w:val="0"/>
              <w:autoSpaceDN w:val="0"/>
              <w:adjustRightInd w:val="0"/>
              <w:spacing w:after="0" w:line="360" w:lineRule="auto"/>
              <w:jc w:val="right"/>
              <w:rPr>
                <w:color w:val="auto"/>
                <w:sz w:val="18"/>
                <w:szCs w:val="18"/>
              </w:rPr>
            </w:pPr>
            <w:r w:rsidRPr="00EC1DF5">
              <w:rPr>
                <w:color w:val="auto"/>
                <w:sz w:val="18"/>
                <w:szCs w:val="18"/>
              </w:rPr>
              <w:t>4944</w:t>
            </w:r>
          </w:p>
        </w:tc>
        <w:tc>
          <w:tcPr>
            <w:tcW w:w="1250" w:type="dxa"/>
            <w:tcBorders>
              <w:top w:val="nil"/>
              <w:left w:val="nil"/>
              <w:bottom w:val="nil"/>
              <w:right w:val="nil"/>
            </w:tcBorders>
          </w:tcPr>
          <w:p w14:paraId="0CD6334D" w14:textId="77777777" w:rsidR="00AB41CC" w:rsidRPr="00EC1DF5" w:rsidRDefault="00AB41CC" w:rsidP="00453380">
            <w:pPr>
              <w:widowControl w:val="0"/>
              <w:autoSpaceDE w:val="0"/>
              <w:autoSpaceDN w:val="0"/>
              <w:adjustRightInd w:val="0"/>
              <w:spacing w:after="0" w:line="360" w:lineRule="auto"/>
              <w:jc w:val="right"/>
              <w:rPr>
                <w:color w:val="auto"/>
                <w:sz w:val="18"/>
                <w:szCs w:val="18"/>
              </w:rPr>
            </w:pPr>
            <w:r w:rsidRPr="00EC1DF5">
              <w:rPr>
                <w:color w:val="auto"/>
                <w:sz w:val="18"/>
                <w:szCs w:val="18"/>
              </w:rPr>
              <w:t>16.584</w:t>
            </w:r>
          </w:p>
        </w:tc>
        <w:tc>
          <w:tcPr>
            <w:tcW w:w="1250" w:type="dxa"/>
            <w:tcBorders>
              <w:top w:val="nil"/>
              <w:left w:val="nil"/>
              <w:bottom w:val="nil"/>
              <w:right w:val="nil"/>
            </w:tcBorders>
          </w:tcPr>
          <w:p w14:paraId="107AB9F6" w14:textId="77777777" w:rsidR="00AB41CC" w:rsidRPr="00EC1DF5" w:rsidRDefault="00AB41CC" w:rsidP="00453380">
            <w:pPr>
              <w:widowControl w:val="0"/>
              <w:autoSpaceDE w:val="0"/>
              <w:autoSpaceDN w:val="0"/>
              <w:adjustRightInd w:val="0"/>
              <w:spacing w:after="0" w:line="360" w:lineRule="auto"/>
              <w:jc w:val="right"/>
              <w:rPr>
                <w:color w:val="auto"/>
                <w:sz w:val="18"/>
                <w:szCs w:val="18"/>
              </w:rPr>
            </w:pPr>
            <w:r w:rsidRPr="00EC1DF5">
              <w:rPr>
                <w:color w:val="auto"/>
                <w:sz w:val="18"/>
                <w:szCs w:val="18"/>
              </w:rPr>
              <w:t>1.099</w:t>
            </w:r>
          </w:p>
        </w:tc>
        <w:tc>
          <w:tcPr>
            <w:tcW w:w="1250" w:type="dxa"/>
            <w:tcBorders>
              <w:top w:val="nil"/>
              <w:left w:val="nil"/>
              <w:bottom w:val="nil"/>
              <w:right w:val="nil"/>
            </w:tcBorders>
          </w:tcPr>
          <w:p w14:paraId="4F3CD38E" w14:textId="77777777" w:rsidR="00AB41CC" w:rsidRPr="00EC1DF5" w:rsidRDefault="00AB41CC" w:rsidP="00453380">
            <w:pPr>
              <w:widowControl w:val="0"/>
              <w:autoSpaceDE w:val="0"/>
              <w:autoSpaceDN w:val="0"/>
              <w:adjustRightInd w:val="0"/>
              <w:spacing w:after="0" w:line="360" w:lineRule="auto"/>
              <w:jc w:val="right"/>
              <w:rPr>
                <w:color w:val="auto"/>
                <w:sz w:val="18"/>
                <w:szCs w:val="18"/>
              </w:rPr>
            </w:pPr>
            <w:r w:rsidRPr="00EC1DF5">
              <w:rPr>
                <w:color w:val="auto"/>
                <w:sz w:val="18"/>
                <w:szCs w:val="18"/>
              </w:rPr>
              <w:t>13.515</w:t>
            </w:r>
          </w:p>
        </w:tc>
        <w:tc>
          <w:tcPr>
            <w:tcW w:w="1250" w:type="dxa"/>
            <w:tcBorders>
              <w:top w:val="nil"/>
              <w:left w:val="nil"/>
              <w:bottom w:val="nil"/>
              <w:right w:val="nil"/>
            </w:tcBorders>
          </w:tcPr>
          <w:p w14:paraId="6B8CC979" w14:textId="77777777" w:rsidR="00AB41CC" w:rsidRPr="00EC1DF5" w:rsidRDefault="00AB41CC" w:rsidP="00453380">
            <w:pPr>
              <w:widowControl w:val="0"/>
              <w:autoSpaceDE w:val="0"/>
              <w:autoSpaceDN w:val="0"/>
              <w:adjustRightInd w:val="0"/>
              <w:spacing w:after="0" w:line="360" w:lineRule="auto"/>
              <w:jc w:val="right"/>
              <w:rPr>
                <w:color w:val="auto"/>
                <w:sz w:val="18"/>
                <w:szCs w:val="18"/>
              </w:rPr>
            </w:pPr>
            <w:r w:rsidRPr="00EC1DF5">
              <w:rPr>
                <w:color w:val="auto"/>
                <w:sz w:val="18"/>
                <w:szCs w:val="18"/>
              </w:rPr>
              <w:t>20.581</w:t>
            </w:r>
          </w:p>
        </w:tc>
      </w:tr>
      <w:tr w:rsidR="00EC1DF5" w:rsidRPr="00EC1DF5" w14:paraId="10AA5A26" w14:textId="77777777" w:rsidTr="00453380">
        <w:tc>
          <w:tcPr>
            <w:tcW w:w="2048" w:type="dxa"/>
            <w:tcBorders>
              <w:top w:val="nil"/>
              <w:left w:val="nil"/>
              <w:bottom w:val="nil"/>
              <w:right w:val="nil"/>
            </w:tcBorders>
          </w:tcPr>
          <w:p w14:paraId="69832DEC"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 xml:space="preserve"> R &amp; D</w:t>
            </w:r>
          </w:p>
        </w:tc>
        <w:tc>
          <w:tcPr>
            <w:tcW w:w="1250" w:type="dxa"/>
            <w:tcBorders>
              <w:top w:val="nil"/>
              <w:left w:val="nil"/>
              <w:bottom w:val="nil"/>
              <w:right w:val="nil"/>
            </w:tcBorders>
          </w:tcPr>
          <w:p w14:paraId="6885B091" w14:textId="77777777" w:rsidR="00AB41CC" w:rsidRPr="00EC1DF5" w:rsidRDefault="00AB41CC" w:rsidP="00453380">
            <w:pPr>
              <w:widowControl w:val="0"/>
              <w:autoSpaceDE w:val="0"/>
              <w:autoSpaceDN w:val="0"/>
              <w:adjustRightInd w:val="0"/>
              <w:spacing w:after="0" w:line="360" w:lineRule="auto"/>
              <w:jc w:val="right"/>
              <w:rPr>
                <w:color w:val="auto"/>
                <w:sz w:val="18"/>
                <w:szCs w:val="18"/>
              </w:rPr>
            </w:pPr>
            <w:r w:rsidRPr="00EC1DF5">
              <w:rPr>
                <w:color w:val="auto"/>
                <w:sz w:val="18"/>
                <w:szCs w:val="18"/>
              </w:rPr>
              <w:t>4944</w:t>
            </w:r>
          </w:p>
        </w:tc>
        <w:tc>
          <w:tcPr>
            <w:tcW w:w="1250" w:type="dxa"/>
            <w:tcBorders>
              <w:top w:val="nil"/>
              <w:left w:val="nil"/>
              <w:bottom w:val="nil"/>
              <w:right w:val="nil"/>
            </w:tcBorders>
          </w:tcPr>
          <w:p w14:paraId="6BD391DA" w14:textId="77777777" w:rsidR="00AB41CC" w:rsidRPr="00EC1DF5" w:rsidRDefault="00AB41CC" w:rsidP="00453380">
            <w:pPr>
              <w:widowControl w:val="0"/>
              <w:autoSpaceDE w:val="0"/>
              <w:autoSpaceDN w:val="0"/>
              <w:adjustRightInd w:val="0"/>
              <w:spacing w:after="0" w:line="360" w:lineRule="auto"/>
              <w:jc w:val="right"/>
              <w:rPr>
                <w:color w:val="auto"/>
                <w:sz w:val="18"/>
                <w:szCs w:val="18"/>
              </w:rPr>
            </w:pPr>
            <w:r w:rsidRPr="00EC1DF5">
              <w:rPr>
                <w:color w:val="auto"/>
                <w:sz w:val="18"/>
                <w:szCs w:val="18"/>
              </w:rPr>
              <w:t>4.438</w:t>
            </w:r>
          </w:p>
        </w:tc>
        <w:tc>
          <w:tcPr>
            <w:tcW w:w="1250" w:type="dxa"/>
            <w:tcBorders>
              <w:top w:val="nil"/>
              <w:left w:val="nil"/>
              <w:bottom w:val="nil"/>
              <w:right w:val="nil"/>
            </w:tcBorders>
          </w:tcPr>
          <w:p w14:paraId="2E8F369B" w14:textId="77777777" w:rsidR="00AB41CC" w:rsidRPr="00EC1DF5" w:rsidRDefault="00AB41CC" w:rsidP="00453380">
            <w:pPr>
              <w:widowControl w:val="0"/>
              <w:autoSpaceDE w:val="0"/>
              <w:autoSpaceDN w:val="0"/>
              <w:adjustRightInd w:val="0"/>
              <w:spacing w:after="0" w:line="360" w:lineRule="auto"/>
              <w:jc w:val="right"/>
              <w:rPr>
                <w:color w:val="auto"/>
                <w:sz w:val="18"/>
                <w:szCs w:val="18"/>
              </w:rPr>
            </w:pPr>
            <w:r w:rsidRPr="00EC1DF5">
              <w:rPr>
                <w:color w:val="auto"/>
                <w:sz w:val="18"/>
                <w:szCs w:val="18"/>
              </w:rPr>
              <w:t>14.516</w:t>
            </w:r>
          </w:p>
        </w:tc>
        <w:tc>
          <w:tcPr>
            <w:tcW w:w="1250" w:type="dxa"/>
            <w:tcBorders>
              <w:top w:val="nil"/>
              <w:left w:val="nil"/>
              <w:bottom w:val="nil"/>
              <w:right w:val="nil"/>
            </w:tcBorders>
          </w:tcPr>
          <w:p w14:paraId="472EAD0D" w14:textId="77777777" w:rsidR="00AB41CC" w:rsidRPr="00EC1DF5" w:rsidRDefault="00AB41CC" w:rsidP="00453380">
            <w:pPr>
              <w:widowControl w:val="0"/>
              <w:autoSpaceDE w:val="0"/>
              <w:autoSpaceDN w:val="0"/>
              <w:adjustRightInd w:val="0"/>
              <w:spacing w:after="0" w:line="360" w:lineRule="auto"/>
              <w:jc w:val="right"/>
              <w:rPr>
                <w:color w:val="auto"/>
                <w:sz w:val="18"/>
                <w:szCs w:val="18"/>
              </w:rPr>
            </w:pPr>
            <w:r w:rsidRPr="00EC1DF5">
              <w:rPr>
                <w:color w:val="auto"/>
                <w:sz w:val="18"/>
                <w:szCs w:val="18"/>
              </w:rPr>
              <w:t>0</w:t>
            </w:r>
          </w:p>
        </w:tc>
        <w:tc>
          <w:tcPr>
            <w:tcW w:w="1250" w:type="dxa"/>
            <w:tcBorders>
              <w:top w:val="nil"/>
              <w:left w:val="nil"/>
              <w:bottom w:val="nil"/>
              <w:right w:val="nil"/>
            </w:tcBorders>
          </w:tcPr>
          <w:p w14:paraId="64B1B645" w14:textId="77777777" w:rsidR="00AB41CC" w:rsidRPr="00EC1DF5" w:rsidRDefault="00AB41CC" w:rsidP="00453380">
            <w:pPr>
              <w:widowControl w:val="0"/>
              <w:autoSpaceDE w:val="0"/>
              <w:autoSpaceDN w:val="0"/>
              <w:adjustRightInd w:val="0"/>
              <w:spacing w:after="0" w:line="360" w:lineRule="auto"/>
              <w:jc w:val="right"/>
              <w:rPr>
                <w:color w:val="auto"/>
                <w:sz w:val="18"/>
                <w:szCs w:val="18"/>
              </w:rPr>
            </w:pPr>
            <w:r w:rsidRPr="00EC1DF5">
              <w:rPr>
                <w:color w:val="auto"/>
                <w:sz w:val="18"/>
                <w:szCs w:val="18"/>
              </w:rPr>
              <w:t>90.072</w:t>
            </w:r>
          </w:p>
        </w:tc>
      </w:tr>
      <w:tr w:rsidR="00EC1DF5" w:rsidRPr="00EC1DF5" w14:paraId="64126845" w14:textId="77777777" w:rsidTr="00453380">
        <w:tc>
          <w:tcPr>
            <w:tcW w:w="2048" w:type="dxa"/>
            <w:tcBorders>
              <w:top w:val="nil"/>
              <w:left w:val="nil"/>
              <w:bottom w:val="nil"/>
              <w:right w:val="nil"/>
            </w:tcBorders>
          </w:tcPr>
          <w:p w14:paraId="7251188D"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 xml:space="preserve"> Capex</w:t>
            </w:r>
          </w:p>
        </w:tc>
        <w:tc>
          <w:tcPr>
            <w:tcW w:w="1250" w:type="dxa"/>
            <w:tcBorders>
              <w:top w:val="nil"/>
              <w:left w:val="nil"/>
              <w:bottom w:val="nil"/>
              <w:right w:val="nil"/>
            </w:tcBorders>
          </w:tcPr>
          <w:p w14:paraId="2C27D4A2" w14:textId="77777777" w:rsidR="00AB41CC" w:rsidRPr="00EC1DF5" w:rsidRDefault="00AB41CC" w:rsidP="00453380">
            <w:pPr>
              <w:widowControl w:val="0"/>
              <w:autoSpaceDE w:val="0"/>
              <w:autoSpaceDN w:val="0"/>
              <w:adjustRightInd w:val="0"/>
              <w:spacing w:after="0" w:line="360" w:lineRule="auto"/>
              <w:jc w:val="right"/>
              <w:rPr>
                <w:color w:val="auto"/>
                <w:sz w:val="18"/>
                <w:szCs w:val="18"/>
              </w:rPr>
            </w:pPr>
            <w:r w:rsidRPr="00EC1DF5">
              <w:rPr>
                <w:color w:val="auto"/>
                <w:sz w:val="18"/>
                <w:szCs w:val="18"/>
              </w:rPr>
              <w:t>4944</w:t>
            </w:r>
          </w:p>
        </w:tc>
        <w:tc>
          <w:tcPr>
            <w:tcW w:w="1250" w:type="dxa"/>
            <w:tcBorders>
              <w:top w:val="nil"/>
              <w:left w:val="nil"/>
              <w:bottom w:val="nil"/>
              <w:right w:val="nil"/>
            </w:tcBorders>
          </w:tcPr>
          <w:p w14:paraId="0F1504A0" w14:textId="77777777" w:rsidR="00AB41CC" w:rsidRPr="00EC1DF5" w:rsidRDefault="00AB41CC" w:rsidP="00453380">
            <w:pPr>
              <w:widowControl w:val="0"/>
              <w:autoSpaceDE w:val="0"/>
              <w:autoSpaceDN w:val="0"/>
              <w:adjustRightInd w:val="0"/>
              <w:spacing w:after="0" w:line="360" w:lineRule="auto"/>
              <w:jc w:val="right"/>
              <w:rPr>
                <w:color w:val="auto"/>
                <w:sz w:val="18"/>
                <w:szCs w:val="18"/>
              </w:rPr>
            </w:pPr>
            <w:r w:rsidRPr="00EC1DF5">
              <w:rPr>
                <w:color w:val="auto"/>
                <w:sz w:val="18"/>
                <w:szCs w:val="18"/>
              </w:rPr>
              <w:t>4.432</w:t>
            </w:r>
          </w:p>
        </w:tc>
        <w:tc>
          <w:tcPr>
            <w:tcW w:w="1250" w:type="dxa"/>
            <w:tcBorders>
              <w:top w:val="nil"/>
              <w:left w:val="nil"/>
              <w:bottom w:val="nil"/>
              <w:right w:val="nil"/>
            </w:tcBorders>
          </w:tcPr>
          <w:p w14:paraId="345F2353" w14:textId="77777777" w:rsidR="00AB41CC" w:rsidRPr="00EC1DF5" w:rsidRDefault="00AB41CC" w:rsidP="00453380">
            <w:pPr>
              <w:widowControl w:val="0"/>
              <w:autoSpaceDE w:val="0"/>
              <w:autoSpaceDN w:val="0"/>
              <w:adjustRightInd w:val="0"/>
              <w:spacing w:after="0" w:line="360" w:lineRule="auto"/>
              <w:jc w:val="right"/>
              <w:rPr>
                <w:color w:val="auto"/>
                <w:sz w:val="18"/>
                <w:szCs w:val="18"/>
              </w:rPr>
            </w:pPr>
            <w:r w:rsidRPr="00EC1DF5">
              <w:rPr>
                <w:color w:val="auto"/>
                <w:sz w:val="18"/>
                <w:szCs w:val="18"/>
              </w:rPr>
              <w:t>3.187</w:t>
            </w:r>
          </w:p>
        </w:tc>
        <w:tc>
          <w:tcPr>
            <w:tcW w:w="1250" w:type="dxa"/>
            <w:tcBorders>
              <w:top w:val="nil"/>
              <w:left w:val="nil"/>
              <w:bottom w:val="nil"/>
              <w:right w:val="nil"/>
            </w:tcBorders>
          </w:tcPr>
          <w:p w14:paraId="40DAFFA5" w14:textId="77777777" w:rsidR="00AB41CC" w:rsidRPr="00EC1DF5" w:rsidRDefault="00AB41CC" w:rsidP="00453380">
            <w:pPr>
              <w:widowControl w:val="0"/>
              <w:autoSpaceDE w:val="0"/>
              <w:autoSpaceDN w:val="0"/>
              <w:adjustRightInd w:val="0"/>
              <w:spacing w:after="0" w:line="360" w:lineRule="auto"/>
              <w:jc w:val="right"/>
              <w:rPr>
                <w:color w:val="auto"/>
                <w:sz w:val="18"/>
                <w:szCs w:val="18"/>
              </w:rPr>
            </w:pPr>
            <w:r w:rsidRPr="00EC1DF5">
              <w:rPr>
                <w:color w:val="auto"/>
                <w:sz w:val="18"/>
                <w:szCs w:val="18"/>
              </w:rPr>
              <w:t>.768</w:t>
            </w:r>
          </w:p>
        </w:tc>
        <w:tc>
          <w:tcPr>
            <w:tcW w:w="1250" w:type="dxa"/>
            <w:tcBorders>
              <w:top w:val="nil"/>
              <w:left w:val="nil"/>
              <w:bottom w:val="nil"/>
              <w:right w:val="nil"/>
            </w:tcBorders>
          </w:tcPr>
          <w:p w14:paraId="2C8E2446" w14:textId="77777777" w:rsidR="00AB41CC" w:rsidRPr="00EC1DF5" w:rsidRDefault="00AB41CC" w:rsidP="00453380">
            <w:pPr>
              <w:widowControl w:val="0"/>
              <w:autoSpaceDE w:val="0"/>
              <w:autoSpaceDN w:val="0"/>
              <w:adjustRightInd w:val="0"/>
              <w:spacing w:after="0" w:line="360" w:lineRule="auto"/>
              <w:jc w:val="right"/>
              <w:rPr>
                <w:color w:val="auto"/>
                <w:sz w:val="18"/>
                <w:szCs w:val="18"/>
              </w:rPr>
            </w:pPr>
            <w:r w:rsidRPr="00EC1DF5">
              <w:rPr>
                <w:color w:val="auto"/>
                <w:sz w:val="18"/>
                <w:szCs w:val="18"/>
              </w:rPr>
              <w:t>12.184</w:t>
            </w:r>
          </w:p>
        </w:tc>
      </w:tr>
      <w:tr w:rsidR="00EC1DF5" w:rsidRPr="00EC1DF5" w14:paraId="339A4025" w14:textId="77777777" w:rsidTr="00453380">
        <w:tc>
          <w:tcPr>
            <w:tcW w:w="2048" w:type="dxa"/>
            <w:tcBorders>
              <w:top w:val="nil"/>
              <w:left w:val="nil"/>
              <w:bottom w:val="nil"/>
              <w:right w:val="nil"/>
            </w:tcBorders>
          </w:tcPr>
          <w:p w14:paraId="31370CEA"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 xml:space="preserve"> Slack</w:t>
            </w:r>
          </w:p>
        </w:tc>
        <w:tc>
          <w:tcPr>
            <w:tcW w:w="1250" w:type="dxa"/>
            <w:tcBorders>
              <w:top w:val="nil"/>
              <w:left w:val="nil"/>
              <w:bottom w:val="nil"/>
              <w:right w:val="nil"/>
            </w:tcBorders>
          </w:tcPr>
          <w:p w14:paraId="27F72B6D" w14:textId="77777777" w:rsidR="00AB41CC" w:rsidRPr="00EC1DF5" w:rsidRDefault="00AB41CC" w:rsidP="00453380">
            <w:pPr>
              <w:widowControl w:val="0"/>
              <w:autoSpaceDE w:val="0"/>
              <w:autoSpaceDN w:val="0"/>
              <w:adjustRightInd w:val="0"/>
              <w:spacing w:after="0" w:line="360" w:lineRule="auto"/>
              <w:jc w:val="right"/>
              <w:rPr>
                <w:color w:val="auto"/>
                <w:sz w:val="18"/>
                <w:szCs w:val="18"/>
              </w:rPr>
            </w:pPr>
            <w:r w:rsidRPr="00EC1DF5">
              <w:rPr>
                <w:color w:val="auto"/>
                <w:sz w:val="18"/>
                <w:szCs w:val="18"/>
              </w:rPr>
              <w:t>4944</w:t>
            </w:r>
          </w:p>
        </w:tc>
        <w:tc>
          <w:tcPr>
            <w:tcW w:w="1250" w:type="dxa"/>
            <w:tcBorders>
              <w:top w:val="nil"/>
              <w:left w:val="nil"/>
              <w:bottom w:val="nil"/>
              <w:right w:val="nil"/>
            </w:tcBorders>
          </w:tcPr>
          <w:p w14:paraId="5049B3D6" w14:textId="77777777" w:rsidR="00AB41CC" w:rsidRPr="00EC1DF5" w:rsidRDefault="00AB41CC" w:rsidP="00453380">
            <w:pPr>
              <w:widowControl w:val="0"/>
              <w:autoSpaceDE w:val="0"/>
              <w:autoSpaceDN w:val="0"/>
              <w:adjustRightInd w:val="0"/>
              <w:spacing w:after="0" w:line="360" w:lineRule="auto"/>
              <w:jc w:val="right"/>
              <w:rPr>
                <w:color w:val="auto"/>
                <w:sz w:val="18"/>
                <w:szCs w:val="18"/>
              </w:rPr>
            </w:pPr>
            <w:r w:rsidRPr="00EC1DF5">
              <w:rPr>
                <w:color w:val="auto"/>
                <w:sz w:val="18"/>
                <w:szCs w:val="18"/>
              </w:rPr>
              <w:t>1.186</w:t>
            </w:r>
          </w:p>
        </w:tc>
        <w:tc>
          <w:tcPr>
            <w:tcW w:w="1250" w:type="dxa"/>
            <w:tcBorders>
              <w:top w:val="nil"/>
              <w:left w:val="nil"/>
              <w:bottom w:val="nil"/>
              <w:right w:val="nil"/>
            </w:tcBorders>
          </w:tcPr>
          <w:p w14:paraId="3684FE45" w14:textId="77777777" w:rsidR="00AB41CC" w:rsidRPr="00EC1DF5" w:rsidRDefault="00AB41CC" w:rsidP="00453380">
            <w:pPr>
              <w:widowControl w:val="0"/>
              <w:autoSpaceDE w:val="0"/>
              <w:autoSpaceDN w:val="0"/>
              <w:adjustRightInd w:val="0"/>
              <w:spacing w:after="0" w:line="360" w:lineRule="auto"/>
              <w:jc w:val="right"/>
              <w:rPr>
                <w:color w:val="auto"/>
                <w:sz w:val="18"/>
                <w:szCs w:val="18"/>
              </w:rPr>
            </w:pPr>
            <w:r w:rsidRPr="00EC1DF5">
              <w:rPr>
                <w:color w:val="auto"/>
                <w:sz w:val="18"/>
                <w:szCs w:val="18"/>
              </w:rPr>
              <w:t>.81</w:t>
            </w:r>
          </w:p>
        </w:tc>
        <w:tc>
          <w:tcPr>
            <w:tcW w:w="1250" w:type="dxa"/>
            <w:tcBorders>
              <w:top w:val="nil"/>
              <w:left w:val="nil"/>
              <w:bottom w:val="nil"/>
              <w:right w:val="nil"/>
            </w:tcBorders>
          </w:tcPr>
          <w:p w14:paraId="271B7BA1" w14:textId="77777777" w:rsidR="00AB41CC" w:rsidRPr="00EC1DF5" w:rsidRDefault="00AB41CC" w:rsidP="00453380">
            <w:pPr>
              <w:widowControl w:val="0"/>
              <w:autoSpaceDE w:val="0"/>
              <w:autoSpaceDN w:val="0"/>
              <w:adjustRightInd w:val="0"/>
              <w:spacing w:after="0" w:line="360" w:lineRule="auto"/>
              <w:jc w:val="right"/>
              <w:rPr>
                <w:color w:val="auto"/>
                <w:sz w:val="18"/>
                <w:szCs w:val="18"/>
              </w:rPr>
            </w:pPr>
            <w:r w:rsidRPr="00EC1DF5">
              <w:rPr>
                <w:color w:val="auto"/>
                <w:sz w:val="18"/>
                <w:szCs w:val="18"/>
              </w:rPr>
              <w:t>0</w:t>
            </w:r>
          </w:p>
        </w:tc>
        <w:tc>
          <w:tcPr>
            <w:tcW w:w="1250" w:type="dxa"/>
            <w:tcBorders>
              <w:top w:val="nil"/>
              <w:left w:val="nil"/>
              <w:bottom w:val="nil"/>
              <w:right w:val="nil"/>
            </w:tcBorders>
          </w:tcPr>
          <w:p w14:paraId="64628BCE" w14:textId="77777777" w:rsidR="00AB41CC" w:rsidRPr="00EC1DF5" w:rsidRDefault="00AB41CC" w:rsidP="00453380">
            <w:pPr>
              <w:widowControl w:val="0"/>
              <w:autoSpaceDE w:val="0"/>
              <w:autoSpaceDN w:val="0"/>
              <w:adjustRightInd w:val="0"/>
              <w:spacing w:after="0" w:line="360" w:lineRule="auto"/>
              <w:jc w:val="right"/>
              <w:rPr>
                <w:color w:val="auto"/>
                <w:sz w:val="18"/>
                <w:szCs w:val="18"/>
              </w:rPr>
            </w:pPr>
            <w:r w:rsidRPr="00EC1DF5">
              <w:rPr>
                <w:color w:val="auto"/>
                <w:sz w:val="18"/>
                <w:szCs w:val="18"/>
              </w:rPr>
              <w:t>3</w:t>
            </w:r>
          </w:p>
        </w:tc>
      </w:tr>
      <w:tr w:rsidR="00EC1DF5" w:rsidRPr="00EC1DF5" w14:paraId="5A3075E8" w14:textId="77777777" w:rsidTr="00453380">
        <w:tc>
          <w:tcPr>
            <w:tcW w:w="2048" w:type="dxa"/>
            <w:tcBorders>
              <w:top w:val="nil"/>
              <w:left w:val="nil"/>
              <w:bottom w:val="nil"/>
              <w:right w:val="nil"/>
            </w:tcBorders>
          </w:tcPr>
          <w:p w14:paraId="3F9B8AE8"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 xml:space="preserve"> Growth</w:t>
            </w:r>
          </w:p>
        </w:tc>
        <w:tc>
          <w:tcPr>
            <w:tcW w:w="1250" w:type="dxa"/>
            <w:tcBorders>
              <w:top w:val="nil"/>
              <w:left w:val="nil"/>
              <w:bottom w:val="nil"/>
              <w:right w:val="nil"/>
            </w:tcBorders>
          </w:tcPr>
          <w:p w14:paraId="4D2CBA5A" w14:textId="77777777" w:rsidR="00AB41CC" w:rsidRPr="00EC1DF5" w:rsidRDefault="00AB41CC" w:rsidP="00453380">
            <w:pPr>
              <w:widowControl w:val="0"/>
              <w:autoSpaceDE w:val="0"/>
              <w:autoSpaceDN w:val="0"/>
              <w:adjustRightInd w:val="0"/>
              <w:spacing w:after="0" w:line="360" w:lineRule="auto"/>
              <w:jc w:val="right"/>
              <w:rPr>
                <w:color w:val="auto"/>
                <w:sz w:val="18"/>
                <w:szCs w:val="18"/>
              </w:rPr>
            </w:pPr>
            <w:r w:rsidRPr="00EC1DF5">
              <w:rPr>
                <w:color w:val="auto"/>
                <w:sz w:val="18"/>
                <w:szCs w:val="18"/>
              </w:rPr>
              <w:t>4944</w:t>
            </w:r>
          </w:p>
        </w:tc>
        <w:tc>
          <w:tcPr>
            <w:tcW w:w="1250" w:type="dxa"/>
            <w:tcBorders>
              <w:top w:val="nil"/>
              <w:left w:val="nil"/>
              <w:bottom w:val="nil"/>
              <w:right w:val="nil"/>
            </w:tcBorders>
          </w:tcPr>
          <w:p w14:paraId="47F5E0E4" w14:textId="77777777" w:rsidR="00AB41CC" w:rsidRPr="00EC1DF5" w:rsidRDefault="00AB41CC" w:rsidP="00453380">
            <w:pPr>
              <w:widowControl w:val="0"/>
              <w:autoSpaceDE w:val="0"/>
              <w:autoSpaceDN w:val="0"/>
              <w:adjustRightInd w:val="0"/>
              <w:spacing w:after="0" w:line="360" w:lineRule="auto"/>
              <w:jc w:val="right"/>
              <w:rPr>
                <w:color w:val="auto"/>
                <w:sz w:val="18"/>
                <w:szCs w:val="18"/>
              </w:rPr>
            </w:pPr>
            <w:r w:rsidRPr="00EC1DF5">
              <w:rPr>
                <w:color w:val="auto"/>
                <w:sz w:val="18"/>
                <w:szCs w:val="18"/>
              </w:rPr>
              <w:t>8.508</w:t>
            </w:r>
          </w:p>
        </w:tc>
        <w:tc>
          <w:tcPr>
            <w:tcW w:w="1250" w:type="dxa"/>
            <w:tcBorders>
              <w:top w:val="nil"/>
              <w:left w:val="nil"/>
              <w:bottom w:val="nil"/>
              <w:right w:val="nil"/>
            </w:tcBorders>
          </w:tcPr>
          <w:p w14:paraId="3EC16EA2" w14:textId="77777777" w:rsidR="00AB41CC" w:rsidRPr="00EC1DF5" w:rsidRDefault="00AB41CC" w:rsidP="00453380">
            <w:pPr>
              <w:widowControl w:val="0"/>
              <w:autoSpaceDE w:val="0"/>
              <w:autoSpaceDN w:val="0"/>
              <w:adjustRightInd w:val="0"/>
              <w:spacing w:after="0" w:line="360" w:lineRule="auto"/>
              <w:jc w:val="right"/>
              <w:rPr>
                <w:color w:val="auto"/>
                <w:sz w:val="18"/>
                <w:szCs w:val="18"/>
              </w:rPr>
            </w:pPr>
            <w:r w:rsidRPr="00EC1DF5">
              <w:rPr>
                <w:color w:val="auto"/>
                <w:sz w:val="18"/>
                <w:szCs w:val="18"/>
              </w:rPr>
              <w:t>12.606</w:t>
            </w:r>
          </w:p>
        </w:tc>
        <w:tc>
          <w:tcPr>
            <w:tcW w:w="1250" w:type="dxa"/>
            <w:tcBorders>
              <w:top w:val="nil"/>
              <w:left w:val="nil"/>
              <w:bottom w:val="nil"/>
              <w:right w:val="nil"/>
            </w:tcBorders>
          </w:tcPr>
          <w:p w14:paraId="1DBE1498" w14:textId="77777777" w:rsidR="00AB41CC" w:rsidRPr="00EC1DF5" w:rsidRDefault="00AB41CC" w:rsidP="00453380">
            <w:pPr>
              <w:widowControl w:val="0"/>
              <w:autoSpaceDE w:val="0"/>
              <w:autoSpaceDN w:val="0"/>
              <w:adjustRightInd w:val="0"/>
              <w:spacing w:after="0" w:line="360" w:lineRule="auto"/>
              <w:jc w:val="right"/>
              <w:rPr>
                <w:color w:val="auto"/>
                <w:sz w:val="18"/>
                <w:szCs w:val="18"/>
              </w:rPr>
            </w:pPr>
            <w:r w:rsidRPr="00EC1DF5">
              <w:rPr>
                <w:color w:val="auto"/>
                <w:sz w:val="18"/>
                <w:szCs w:val="18"/>
              </w:rPr>
              <w:t>-13</w:t>
            </w:r>
          </w:p>
        </w:tc>
        <w:tc>
          <w:tcPr>
            <w:tcW w:w="1250" w:type="dxa"/>
            <w:tcBorders>
              <w:top w:val="nil"/>
              <w:left w:val="nil"/>
              <w:bottom w:val="nil"/>
              <w:right w:val="nil"/>
            </w:tcBorders>
          </w:tcPr>
          <w:p w14:paraId="2028D999" w14:textId="77777777" w:rsidR="00AB41CC" w:rsidRPr="00EC1DF5" w:rsidRDefault="00AB41CC" w:rsidP="00453380">
            <w:pPr>
              <w:widowControl w:val="0"/>
              <w:autoSpaceDE w:val="0"/>
              <w:autoSpaceDN w:val="0"/>
              <w:adjustRightInd w:val="0"/>
              <w:spacing w:after="0" w:line="360" w:lineRule="auto"/>
              <w:jc w:val="right"/>
              <w:rPr>
                <w:color w:val="auto"/>
                <w:sz w:val="18"/>
                <w:szCs w:val="18"/>
              </w:rPr>
            </w:pPr>
            <w:r w:rsidRPr="00EC1DF5">
              <w:rPr>
                <w:color w:val="auto"/>
                <w:sz w:val="18"/>
                <w:szCs w:val="18"/>
              </w:rPr>
              <w:t>39</w:t>
            </w:r>
          </w:p>
        </w:tc>
      </w:tr>
      <w:tr w:rsidR="00EC1DF5" w:rsidRPr="00EC1DF5" w14:paraId="01982E3E" w14:textId="77777777" w:rsidTr="00453380">
        <w:tc>
          <w:tcPr>
            <w:tcW w:w="2048" w:type="dxa"/>
            <w:tcBorders>
              <w:top w:val="nil"/>
              <w:left w:val="nil"/>
              <w:bottom w:val="nil"/>
              <w:right w:val="nil"/>
            </w:tcBorders>
          </w:tcPr>
          <w:p w14:paraId="10282F62"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 xml:space="preserve"> Leverage</w:t>
            </w:r>
          </w:p>
        </w:tc>
        <w:tc>
          <w:tcPr>
            <w:tcW w:w="1250" w:type="dxa"/>
            <w:tcBorders>
              <w:top w:val="nil"/>
              <w:left w:val="nil"/>
              <w:bottom w:val="nil"/>
              <w:right w:val="nil"/>
            </w:tcBorders>
          </w:tcPr>
          <w:p w14:paraId="70AE7DDE" w14:textId="77777777" w:rsidR="00AB41CC" w:rsidRPr="00EC1DF5" w:rsidRDefault="00AB41CC" w:rsidP="00453380">
            <w:pPr>
              <w:widowControl w:val="0"/>
              <w:autoSpaceDE w:val="0"/>
              <w:autoSpaceDN w:val="0"/>
              <w:adjustRightInd w:val="0"/>
              <w:spacing w:after="0" w:line="360" w:lineRule="auto"/>
              <w:jc w:val="right"/>
              <w:rPr>
                <w:color w:val="auto"/>
                <w:sz w:val="18"/>
                <w:szCs w:val="18"/>
              </w:rPr>
            </w:pPr>
            <w:r w:rsidRPr="00EC1DF5">
              <w:rPr>
                <w:color w:val="auto"/>
                <w:sz w:val="18"/>
                <w:szCs w:val="18"/>
              </w:rPr>
              <w:t>4944</w:t>
            </w:r>
          </w:p>
        </w:tc>
        <w:tc>
          <w:tcPr>
            <w:tcW w:w="1250" w:type="dxa"/>
            <w:tcBorders>
              <w:top w:val="nil"/>
              <w:left w:val="nil"/>
              <w:bottom w:val="nil"/>
              <w:right w:val="nil"/>
            </w:tcBorders>
          </w:tcPr>
          <w:p w14:paraId="711FA17C" w14:textId="77777777" w:rsidR="00AB41CC" w:rsidRPr="00EC1DF5" w:rsidRDefault="00AB41CC" w:rsidP="00453380">
            <w:pPr>
              <w:widowControl w:val="0"/>
              <w:autoSpaceDE w:val="0"/>
              <w:autoSpaceDN w:val="0"/>
              <w:adjustRightInd w:val="0"/>
              <w:spacing w:after="0" w:line="360" w:lineRule="auto"/>
              <w:jc w:val="right"/>
              <w:rPr>
                <w:color w:val="auto"/>
                <w:sz w:val="18"/>
                <w:szCs w:val="18"/>
              </w:rPr>
            </w:pPr>
            <w:r w:rsidRPr="00EC1DF5">
              <w:rPr>
                <w:color w:val="auto"/>
                <w:sz w:val="18"/>
                <w:szCs w:val="18"/>
              </w:rPr>
              <w:t>22.364</w:t>
            </w:r>
          </w:p>
        </w:tc>
        <w:tc>
          <w:tcPr>
            <w:tcW w:w="1250" w:type="dxa"/>
            <w:tcBorders>
              <w:top w:val="nil"/>
              <w:left w:val="nil"/>
              <w:bottom w:val="nil"/>
              <w:right w:val="nil"/>
            </w:tcBorders>
          </w:tcPr>
          <w:p w14:paraId="65830B5B" w14:textId="77777777" w:rsidR="00AB41CC" w:rsidRPr="00EC1DF5" w:rsidRDefault="00AB41CC" w:rsidP="00453380">
            <w:pPr>
              <w:widowControl w:val="0"/>
              <w:autoSpaceDE w:val="0"/>
              <w:autoSpaceDN w:val="0"/>
              <w:adjustRightInd w:val="0"/>
              <w:spacing w:after="0" w:line="360" w:lineRule="auto"/>
              <w:jc w:val="right"/>
              <w:rPr>
                <w:color w:val="auto"/>
                <w:sz w:val="18"/>
                <w:szCs w:val="18"/>
              </w:rPr>
            </w:pPr>
            <w:r w:rsidRPr="00EC1DF5">
              <w:rPr>
                <w:color w:val="auto"/>
                <w:sz w:val="18"/>
                <w:szCs w:val="18"/>
              </w:rPr>
              <w:t>13.785</w:t>
            </w:r>
          </w:p>
        </w:tc>
        <w:tc>
          <w:tcPr>
            <w:tcW w:w="1250" w:type="dxa"/>
            <w:tcBorders>
              <w:top w:val="nil"/>
              <w:left w:val="nil"/>
              <w:bottom w:val="nil"/>
              <w:right w:val="nil"/>
            </w:tcBorders>
          </w:tcPr>
          <w:p w14:paraId="6F577EE4" w14:textId="77777777" w:rsidR="00AB41CC" w:rsidRPr="00EC1DF5" w:rsidRDefault="00AB41CC" w:rsidP="00453380">
            <w:pPr>
              <w:widowControl w:val="0"/>
              <w:autoSpaceDE w:val="0"/>
              <w:autoSpaceDN w:val="0"/>
              <w:adjustRightInd w:val="0"/>
              <w:spacing w:after="0" w:line="360" w:lineRule="auto"/>
              <w:jc w:val="right"/>
              <w:rPr>
                <w:color w:val="auto"/>
                <w:sz w:val="18"/>
                <w:szCs w:val="18"/>
              </w:rPr>
            </w:pPr>
            <w:r w:rsidRPr="00EC1DF5">
              <w:rPr>
                <w:color w:val="auto"/>
                <w:sz w:val="18"/>
                <w:szCs w:val="18"/>
              </w:rPr>
              <w:t>0</w:t>
            </w:r>
          </w:p>
        </w:tc>
        <w:tc>
          <w:tcPr>
            <w:tcW w:w="1250" w:type="dxa"/>
            <w:tcBorders>
              <w:top w:val="nil"/>
              <w:left w:val="nil"/>
              <w:bottom w:val="nil"/>
              <w:right w:val="nil"/>
            </w:tcBorders>
          </w:tcPr>
          <w:p w14:paraId="0AABF30F" w14:textId="77777777" w:rsidR="00AB41CC" w:rsidRPr="00EC1DF5" w:rsidRDefault="00AB41CC" w:rsidP="00453380">
            <w:pPr>
              <w:widowControl w:val="0"/>
              <w:autoSpaceDE w:val="0"/>
              <w:autoSpaceDN w:val="0"/>
              <w:adjustRightInd w:val="0"/>
              <w:spacing w:after="0" w:line="360" w:lineRule="auto"/>
              <w:jc w:val="right"/>
              <w:rPr>
                <w:color w:val="auto"/>
                <w:sz w:val="18"/>
                <w:szCs w:val="18"/>
              </w:rPr>
            </w:pPr>
            <w:r w:rsidRPr="00EC1DF5">
              <w:rPr>
                <w:color w:val="auto"/>
                <w:sz w:val="18"/>
                <w:szCs w:val="18"/>
              </w:rPr>
              <w:t>49.251</w:t>
            </w:r>
          </w:p>
        </w:tc>
      </w:tr>
      <w:tr w:rsidR="00EC1DF5" w:rsidRPr="00EC1DF5" w14:paraId="19606874" w14:textId="77777777" w:rsidTr="00453380">
        <w:tc>
          <w:tcPr>
            <w:tcW w:w="2048" w:type="dxa"/>
            <w:tcBorders>
              <w:top w:val="nil"/>
              <w:left w:val="nil"/>
              <w:bottom w:val="nil"/>
              <w:right w:val="nil"/>
            </w:tcBorders>
          </w:tcPr>
          <w:p w14:paraId="46329EF2"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 xml:space="preserve"> Ethics</w:t>
            </w:r>
          </w:p>
        </w:tc>
        <w:tc>
          <w:tcPr>
            <w:tcW w:w="1250" w:type="dxa"/>
            <w:tcBorders>
              <w:top w:val="nil"/>
              <w:left w:val="nil"/>
              <w:bottom w:val="nil"/>
              <w:right w:val="nil"/>
            </w:tcBorders>
          </w:tcPr>
          <w:p w14:paraId="1F087A04" w14:textId="77777777" w:rsidR="00AB41CC" w:rsidRPr="00EC1DF5" w:rsidRDefault="00AB41CC" w:rsidP="00453380">
            <w:pPr>
              <w:widowControl w:val="0"/>
              <w:autoSpaceDE w:val="0"/>
              <w:autoSpaceDN w:val="0"/>
              <w:adjustRightInd w:val="0"/>
              <w:spacing w:after="0" w:line="360" w:lineRule="auto"/>
              <w:jc w:val="right"/>
              <w:rPr>
                <w:color w:val="auto"/>
                <w:sz w:val="18"/>
                <w:szCs w:val="18"/>
              </w:rPr>
            </w:pPr>
            <w:r w:rsidRPr="00EC1DF5">
              <w:rPr>
                <w:color w:val="auto"/>
                <w:sz w:val="18"/>
                <w:szCs w:val="18"/>
              </w:rPr>
              <w:t>4944</w:t>
            </w:r>
          </w:p>
        </w:tc>
        <w:tc>
          <w:tcPr>
            <w:tcW w:w="1250" w:type="dxa"/>
            <w:tcBorders>
              <w:top w:val="nil"/>
              <w:left w:val="nil"/>
              <w:bottom w:val="nil"/>
              <w:right w:val="nil"/>
            </w:tcBorders>
          </w:tcPr>
          <w:p w14:paraId="233DB110" w14:textId="77777777" w:rsidR="00AB41CC" w:rsidRPr="00EC1DF5" w:rsidRDefault="00AB41CC" w:rsidP="00453380">
            <w:pPr>
              <w:widowControl w:val="0"/>
              <w:autoSpaceDE w:val="0"/>
              <w:autoSpaceDN w:val="0"/>
              <w:adjustRightInd w:val="0"/>
              <w:spacing w:after="0" w:line="360" w:lineRule="auto"/>
              <w:jc w:val="right"/>
              <w:rPr>
                <w:color w:val="auto"/>
                <w:sz w:val="18"/>
                <w:szCs w:val="18"/>
              </w:rPr>
            </w:pPr>
            <w:r w:rsidRPr="00EC1DF5">
              <w:rPr>
                <w:color w:val="auto"/>
                <w:sz w:val="18"/>
                <w:szCs w:val="18"/>
              </w:rPr>
              <w:t>.546</w:t>
            </w:r>
          </w:p>
        </w:tc>
        <w:tc>
          <w:tcPr>
            <w:tcW w:w="1250" w:type="dxa"/>
            <w:tcBorders>
              <w:top w:val="nil"/>
              <w:left w:val="nil"/>
              <w:bottom w:val="nil"/>
              <w:right w:val="nil"/>
            </w:tcBorders>
          </w:tcPr>
          <w:p w14:paraId="10BE82D7" w14:textId="77777777" w:rsidR="00AB41CC" w:rsidRPr="00EC1DF5" w:rsidRDefault="00AB41CC" w:rsidP="00453380">
            <w:pPr>
              <w:widowControl w:val="0"/>
              <w:autoSpaceDE w:val="0"/>
              <w:autoSpaceDN w:val="0"/>
              <w:adjustRightInd w:val="0"/>
              <w:spacing w:after="0" w:line="360" w:lineRule="auto"/>
              <w:jc w:val="right"/>
              <w:rPr>
                <w:color w:val="auto"/>
                <w:sz w:val="18"/>
                <w:szCs w:val="18"/>
              </w:rPr>
            </w:pPr>
            <w:r w:rsidRPr="00EC1DF5">
              <w:rPr>
                <w:color w:val="auto"/>
                <w:sz w:val="18"/>
                <w:szCs w:val="18"/>
              </w:rPr>
              <w:t>.498</w:t>
            </w:r>
          </w:p>
        </w:tc>
        <w:tc>
          <w:tcPr>
            <w:tcW w:w="1250" w:type="dxa"/>
            <w:tcBorders>
              <w:top w:val="nil"/>
              <w:left w:val="nil"/>
              <w:bottom w:val="nil"/>
              <w:right w:val="nil"/>
            </w:tcBorders>
          </w:tcPr>
          <w:p w14:paraId="77AE2547" w14:textId="77777777" w:rsidR="00AB41CC" w:rsidRPr="00EC1DF5" w:rsidRDefault="00AB41CC" w:rsidP="00453380">
            <w:pPr>
              <w:widowControl w:val="0"/>
              <w:autoSpaceDE w:val="0"/>
              <w:autoSpaceDN w:val="0"/>
              <w:adjustRightInd w:val="0"/>
              <w:spacing w:after="0" w:line="360" w:lineRule="auto"/>
              <w:jc w:val="right"/>
              <w:rPr>
                <w:color w:val="auto"/>
                <w:sz w:val="18"/>
                <w:szCs w:val="18"/>
              </w:rPr>
            </w:pPr>
            <w:r w:rsidRPr="00EC1DF5">
              <w:rPr>
                <w:color w:val="auto"/>
                <w:sz w:val="18"/>
                <w:szCs w:val="18"/>
              </w:rPr>
              <w:t>0</w:t>
            </w:r>
          </w:p>
        </w:tc>
        <w:tc>
          <w:tcPr>
            <w:tcW w:w="1250" w:type="dxa"/>
            <w:tcBorders>
              <w:top w:val="nil"/>
              <w:left w:val="nil"/>
              <w:bottom w:val="nil"/>
              <w:right w:val="nil"/>
            </w:tcBorders>
          </w:tcPr>
          <w:p w14:paraId="6ED91751" w14:textId="77777777" w:rsidR="00AB41CC" w:rsidRPr="00EC1DF5" w:rsidRDefault="00AB41CC" w:rsidP="00453380">
            <w:pPr>
              <w:widowControl w:val="0"/>
              <w:autoSpaceDE w:val="0"/>
              <w:autoSpaceDN w:val="0"/>
              <w:adjustRightInd w:val="0"/>
              <w:spacing w:after="0" w:line="360" w:lineRule="auto"/>
              <w:jc w:val="right"/>
              <w:rPr>
                <w:color w:val="auto"/>
                <w:sz w:val="18"/>
                <w:szCs w:val="18"/>
              </w:rPr>
            </w:pPr>
            <w:r w:rsidRPr="00EC1DF5">
              <w:rPr>
                <w:color w:val="auto"/>
                <w:sz w:val="18"/>
                <w:szCs w:val="18"/>
              </w:rPr>
              <w:t>1</w:t>
            </w:r>
          </w:p>
        </w:tc>
      </w:tr>
      <w:tr w:rsidR="00EC1DF5" w:rsidRPr="00EC1DF5" w14:paraId="00630EAF" w14:textId="77777777" w:rsidTr="00453380">
        <w:tc>
          <w:tcPr>
            <w:tcW w:w="2048" w:type="dxa"/>
            <w:tcBorders>
              <w:top w:val="nil"/>
              <w:left w:val="nil"/>
              <w:right w:val="nil"/>
            </w:tcBorders>
          </w:tcPr>
          <w:p w14:paraId="2293DE85"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 xml:space="preserve"> </w:t>
            </w:r>
            <w:proofErr w:type="spellStart"/>
            <w:r w:rsidRPr="00EC1DF5">
              <w:rPr>
                <w:color w:val="auto"/>
                <w:sz w:val="18"/>
                <w:szCs w:val="18"/>
              </w:rPr>
              <w:t>Com_Involve</w:t>
            </w:r>
            <w:proofErr w:type="spellEnd"/>
          </w:p>
        </w:tc>
        <w:tc>
          <w:tcPr>
            <w:tcW w:w="1250" w:type="dxa"/>
            <w:tcBorders>
              <w:top w:val="nil"/>
              <w:left w:val="nil"/>
              <w:right w:val="nil"/>
            </w:tcBorders>
          </w:tcPr>
          <w:p w14:paraId="1DCC4685" w14:textId="77777777" w:rsidR="00AB41CC" w:rsidRPr="00EC1DF5" w:rsidRDefault="00AB41CC" w:rsidP="00453380">
            <w:pPr>
              <w:widowControl w:val="0"/>
              <w:autoSpaceDE w:val="0"/>
              <w:autoSpaceDN w:val="0"/>
              <w:adjustRightInd w:val="0"/>
              <w:spacing w:after="0" w:line="360" w:lineRule="auto"/>
              <w:jc w:val="right"/>
              <w:rPr>
                <w:color w:val="auto"/>
                <w:sz w:val="18"/>
                <w:szCs w:val="18"/>
              </w:rPr>
            </w:pPr>
            <w:r w:rsidRPr="00EC1DF5">
              <w:rPr>
                <w:color w:val="auto"/>
                <w:sz w:val="18"/>
                <w:szCs w:val="18"/>
              </w:rPr>
              <w:t>4944</w:t>
            </w:r>
          </w:p>
        </w:tc>
        <w:tc>
          <w:tcPr>
            <w:tcW w:w="1250" w:type="dxa"/>
            <w:tcBorders>
              <w:top w:val="nil"/>
              <w:left w:val="nil"/>
              <w:right w:val="nil"/>
            </w:tcBorders>
          </w:tcPr>
          <w:p w14:paraId="40BA2A9E" w14:textId="77777777" w:rsidR="00AB41CC" w:rsidRPr="00EC1DF5" w:rsidRDefault="00AB41CC" w:rsidP="00453380">
            <w:pPr>
              <w:widowControl w:val="0"/>
              <w:autoSpaceDE w:val="0"/>
              <w:autoSpaceDN w:val="0"/>
              <w:adjustRightInd w:val="0"/>
              <w:spacing w:after="0" w:line="360" w:lineRule="auto"/>
              <w:jc w:val="right"/>
              <w:rPr>
                <w:color w:val="auto"/>
                <w:sz w:val="18"/>
                <w:szCs w:val="18"/>
              </w:rPr>
            </w:pPr>
            <w:r w:rsidRPr="00EC1DF5">
              <w:rPr>
                <w:color w:val="auto"/>
                <w:sz w:val="18"/>
                <w:szCs w:val="18"/>
              </w:rPr>
              <w:t>.461</w:t>
            </w:r>
          </w:p>
        </w:tc>
        <w:tc>
          <w:tcPr>
            <w:tcW w:w="1250" w:type="dxa"/>
            <w:tcBorders>
              <w:top w:val="nil"/>
              <w:left w:val="nil"/>
              <w:right w:val="nil"/>
            </w:tcBorders>
          </w:tcPr>
          <w:p w14:paraId="4101C21F" w14:textId="77777777" w:rsidR="00AB41CC" w:rsidRPr="00EC1DF5" w:rsidRDefault="00AB41CC" w:rsidP="00453380">
            <w:pPr>
              <w:widowControl w:val="0"/>
              <w:autoSpaceDE w:val="0"/>
              <w:autoSpaceDN w:val="0"/>
              <w:adjustRightInd w:val="0"/>
              <w:spacing w:after="0" w:line="360" w:lineRule="auto"/>
              <w:jc w:val="right"/>
              <w:rPr>
                <w:color w:val="auto"/>
                <w:sz w:val="18"/>
                <w:szCs w:val="18"/>
              </w:rPr>
            </w:pPr>
            <w:r w:rsidRPr="00EC1DF5">
              <w:rPr>
                <w:color w:val="auto"/>
                <w:sz w:val="18"/>
                <w:szCs w:val="18"/>
              </w:rPr>
              <w:t>.499</w:t>
            </w:r>
          </w:p>
        </w:tc>
        <w:tc>
          <w:tcPr>
            <w:tcW w:w="1250" w:type="dxa"/>
            <w:tcBorders>
              <w:top w:val="nil"/>
              <w:left w:val="nil"/>
              <w:right w:val="nil"/>
            </w:tcBorders>
          </w:tcPr>
          <w:p w14:paraId="7B80E71D" w14:textId="77777777" w:rsidR="00AB41CC" w:rsidRPr="00EC1DF5" w:rsidRDefault="00AB41CC" w:rsidP="00453380">
            <w:pPr>
              <w:widowControl w:val="0"/>
              <w:autoSpaceDE w:val="0"/>
              <w:autoSpaceDN w:val="0"/>
              <w:adjustRightInd w:val="0"/>
              <w:spacing w:after="0" w:line="360" w:lineRule="auto"/>
              <w:jc w:val="right"/>
              <w:rPr>
                <w:color w:val="auto"/>
                <w:sz w:val="18"/>
                <w:szCs w:val="18"/>
              </w:rPr>
            </w:pPr>
            <w:r w:rsidRPr="00EC1DF5">
              <w:rPr>
                <w:color w:val="auto"/>
                <w:sz w:val="18"/>
                <w:szCs w:val="18"/>
              </w:rPr>
              <w:t>0</w:t>
            </w:r>
          </w:p>
        </w:tc>
        <w:tc>
          <w:tcPr>
            <w:tcW w:w="1250" w:type="dxa"/>
            <w:tcBorders>
              <w:top w:val="nil"/>
              <w:left w:val="nil"/>
              <w:right w:val="nil"/>
            </w:tcBorders>
          </w:tcPr>
          <w:p w14:paraId="1B2F4B28" w14:textId="77777777" w:rsidR="00AB41CC" w:rsidRPr="00EC1DF5" w:rsidRDefault="00AB41CC" w:rsidP="00453380">
            <w:pPr>
              <w:widowControl w:val="0"/>
              <w:autoSpaceDE w:val="0"/>
              <w:autoSpaceDN w:val="0"/>
              <w:adjustRightInd w:val="0"/>
              <w:spacing w:after="0" w:line="360" w:lineRule="auto"/>
              <w:jc w:val="right"/>
              <w:rPr>
                <w:color w:val="auto"/>
                <w:sz w:val="18"/>
                <w:szCs w:val="18"/>
              </w:rPr>
            </w:pPr>
            <w:r w:rsidRPr="00EC1DF5">
              <w:rPr>
                <w:color w:val="auto"/>
                <w:sz w:val="18"/>
                <w:szCs w:val="18"/>
              </w:rPr>
              <w:t>1</w:t>
            </w:r>
          </w:p>
        </w:tc>
      </w:tr>
      <w:tr w:rsidR="00EC1DF5" w:rsidRPr="00EC1DF5" w14:paraId="58EF6C55" w14:textId="77777777" w:rsidTr="00453380">
        <w:tc>
          <w:tcPr>
            <w:tcW w:w="2048" w:type="dxa"/>
            <w:tcBorders>
              <w:top w:val="nil"/>
              <w:left w:val="nil"/>
              <w:bottom w:val="single" w:sz="4" w:space="0" w:color="auto"/>
              <w:right w:val="nil"/>
            </w:tcBorders>
          </w:tcPr>
          <w:p w14:paraId="7336F82F"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 xml:space="preserve"> CSR </w:t>
            </w:r>
            <w:proofErr w:type="spellStart"/>
            <w:r w:rsidRPr="00EC1DF5">
              <w:rPr>
                <w:color w:val="auto"/>
                <w:sz w:val="18"/>
                <w:szCs w:val="18"/>
              </w:rPr>
              <w:t>C’ttee</w:t>
            </w:r>
            <w:proofErr w:type="spellEnd"/>
          </w:p>
        </w:tc>
        <w:tc>
          <w:tcPr>
            <w:tcW w:w="1250" w:type="dxa"/>
            <w:tcBorders>
              <w:top w:val="nil"/>
              <w:left w:val="nil"/>
              <w:bottom w:val="single" w:sz="4" w:space="0" w:color="auto"/>
              <w:right w:val="nil"/>
            </w:tcBorders>
          </w:tcPr>
          <w:p w14:paraId="1EDC0E27" w14:textId="77777777" w:rsidR="00AB41CC" w:rsidRPr="00EC1DF5" w:rsidRDefault="00AB41CC" w:rsidP="00453380">
            <w:pPr>
              <w:widowControl w:val="0"/>
              <w:autoSpaceDE w:val="0"/>
              <w:autoSpaceDN w:val="0"/>
              <w:adjustRightInd w:val="0"/>
              <w:spacing w:after="0" w:line="360" w:lineRule="auto"/>
              <w:jc w:val="right"/>
              <w:rPr>
                <w:color w:val="auto"/>
                <w:sz w:val="18"/>
                <w:szCs w:val="18"/>
              </w:rPr>
            </w:pPr>
            <w:r w:rsidRPr="00EC1DF5">
              <w:rPr>
                <w:color w:val="auto"/>
                <w:sz w:val="18"/>
                <w:szCs w:val="18"/>
              </w:rPr>
              <w:t>4944</w:t>
            </w:r>
          </w:p>
        </w:tc>
        <w:tc>
          <w:tcPr>
            <w:tcW w:w="1250" w:type="dxa"/>
            <w:tcBorders>
              <w:top w:val="nil"/>
              <w:left w:val="nil"/>
              <w:bottom w:val="single" w:sz="4" w:space="0" w:color="auto"/>
              <w:right w:val="nil"/>
            </w:tcBorders>
          </w:tcPr>
          <w:p w14:paraId="7B179F65" w14:textId="77777777" w:rsidR="00AB41CC" w:rsidRPr="00EC1DF5" w:rsidRDefault="00AB41CC" w:rsidP="00453380">
            <w:pPr>
              <w:widowControl w:val="0"/>
              <w:autoSpaceDE w:val="0"/>
              <w:autoSpaceDN w:val="0"/>
              <w:adjustRightInd w:val="0"/>
              <w:spacing w:after="0" w:line="360" w:lineRule="auto"/>
              <w:jc w:val="right"/>
              <w:rPr>
                <w:color w:val="auto"/>
                <w:sz w:val="18"/>
                <w:szCs w:val="18"/>
              </w:rPr>
            </w:pPr>
            <w:r w:rsidRPr="00EC1DF5">
              <w:rPr>
                <w:color w:val="auto"/>
                <w:sz w:val="18"/>
                <w:szCs w:val="18"/>
              </w:rPr>
              <w:t>.489</w:t>
            </w:r>
          </w:p>
        </w:tc>
        <w:tc>
          <w:tcPr>
            <w:tcW w:w="1250" w:type="dxa"/>
            <w:tcBorders>
              <w:top w:val="nil"/>
              <w:left w:val="nil"/>
              <w:bottom w:val="single" w:sz="4" w:space="0" w:color="auto"/>
              <w:right w:val="nil"/>
            </w:tcBorders>
          </w:tcPr>
          <w:p w14:paraId="544ACC7E" w14:textId="77777777" w:rsidR="00AB41CC" w:rsidRPr="00EC1DF5" w:rsidRDefault="00AB41CC" w:rsidP="00453380">
            <w:pPr>
              <w:widowControl w:val="0"/>
              <w:autoSpaceDE w:val="0"/>
              <w:autoSpaceDN w:val="0"/>
              <w:adjustRightInd w:val="0"/>
              <w:spacing w:after="0" w:line="360" w:lineRule="auto"/>
              <w:jc w:val="right"/>
              <w:rPr>
                <w:color w:val="auto"/>
                <w:sz w:val="18"/>
                <w:szCs w:val="18"/>
              </w:rPr>
            </w:pPr>
            <w:r w:rsidRPr="00EC1DF5">
              <w:rPr>
                <w:color w:val="auto"/>
                <w:sz w:val="18"/>
                <w:szCs w:val="18"/>
              </w:rPr>
              <w:t>.5</w:t>
            </w:r>
          </w:p>
        </w:tc>
        <w:tc>
          <w:tcPr>
            <w:tcW w:w="1250" w:type="dxa"/>
            <w:tcBorders>
              <w:top w:val="nil"/>
              <w:left w:val="nil"/>
              <w:bottom w:val="single" w:sz="4" w:space="0" w:color="auto"/>
              <w:right w:val="nil"/>
            </w:tcBorders>
          </w:tcPr>
          <w:p w14:paraId="5493DFB4" w14:textId="77777777" w:rsidR="00AB41CC" w:rsidRPr="00EC1DF5" w:rsidRDefault="00AB41CC" w:rsidP="00453380">
            <w:pPr>
              <w:widowControl w:val="0"/>
              <w:autoSpaceDE w:val="0"/>
              <w:autoSpaceDN w:val="0"/>
              <w:adjustRightInd w:val="0"/>
              <w:spacing w:after="0" w:line="360" w:lineRule="auto"/>
              <w:jc w:val="right"/>
              <w:rPr>
                <w:color w:val="auto"/>
                <w:sz w:val="18"/>
                <w:szCs w:val="18"/>
              </w:rPr>
            </w:pPr>
            <w:r w:rsidRPr="00EC1DF5">
              <w:rPr>
                <w:color w:val="auto"/>
                <w:sz w:val="18"/>
                <w:szCs w:val="18"/>
              </w:rPr>
              <w:t>0</w:t>
            </w:r>
          </w:p>
        </w:tc>
        <w:tc>
          <w:tcPr>
            <w:tcW w:w="1250" w:type="dxa"/>
            <w:tcBorders>
              <w:top w:val="nil"/>
              <w:left w:val="nil"/>
              <w:bottom w:val="single" w:sz="4" w:space="0" w:color="auto"/>
              <w:right w:val="nil"/>
            </w:tcBorders>
          </w:tcPr>
          <w:p w14:paraId="47F9E5BD" w14:textId="77777777" w:rsidR="00AB41CC" w:rsidRPr="00EC1DF5" w:rsidRDefault="00AB41CC" w:rsidP="00453380">
            <w:pPr>
              <w:widowControl w:val="0"/>
              <w:autoSpaceDE w:val="0"/>
              <w:autoSpaceDN w:val="0"/>
              <w:adjustRightInd w:val="0"/>
              <w:spacing w:after="0" w:line="360" w:lineRule="auto"/>
              <w:jc w:val="right"/>
              <w:rPr>
                <w:color w:val="auto"/>
                <w:sz w:val="18"/>
                <w:szCs w:val="18"/>
              </w:rPr>
            </w:pPr>
            <w:r w:rsidRPr="00EC1DF5">
              <w:rPr>
                <w:color w:val="auto"/>
                <w:sz w:val="18"/>
                <w:szCs w:val="18"/>
              </w:rPr>
              <w:t>1</w:t>
            </w:r>
          </w:p>
        </w:tc>
      </w:tr>
      <w:tr w:rsidR="00AB41CC" w:rsidRPr="00EC1DF5" w14:paraId="6EC25CB9" w14:textId="77777777" w:rsidTr="00453380">
        <w:trPr>
          <w:trHeight w:val="1385"/>
        </w:trPr>
        <w:tc>
          <w:tcPr>
            <w:tcW w:w="8298" w:type="dxa"/>
            <w:gridSpan w:val="6"/>
            <w:tcBorders>
              <w:top w:val="single" w:sz="4" w:space="0" w:color="auto"/>
              <w:left w:val="nil"/>
              <w:bottom w:val="single" w:sz="6" w:space="0" w:color="auto"/>
              <w:right w:val="nil"/>
            </w:tcBorders>
          </w:tcPr>
          <w:p w14:paraId="741BEF90" w14:textId="77777777" w:rsidR="00AB41CC" w:rsidRPr="00EC1DF5" w:rsidRDefault="00AB41CC" w:rsidP="00453380">
            <w:pPr>
              <w:spacing w:line="360" w:lineRule="auto"/>
              <w:jc w:val="both"/>
              <w:rPr>
                <w:color w:val="auto"/>
                <w:sz w:val="18"/>
                <w:szCs w:val="18"/>
              </w:rPr>
            </w:pPr>
            <w:r w:rsidRPr="00EC1DF5">
              <w:rPr>
                <w:color w:val="auto"/>
                <w:sz w:val="18"/>
                <w:szCs w:val="18"/>
              </w:rPr>
              <w:t xml:space="preserve">Presents the descriptive statistics of the independent, dependent and control variables. </w:t>
            </w:r>
            <w:proofErr w:type="spellStart"/>
            <w:r w:rsidRPr="00EC1DF5">
              <w:rPr>
                <w:i/>
                <w:color w:val="auto"/>
                <w:sz w:val="18"/>
                <w:szCs w:val="18"/>
              </w:rPr>
              <w:t>TobinsQ</w:t>
            </w:r>
            <w:proofErr w:type="spellEnd"/>
            <w:r w:rsidRPr="00EC1DF5">
              <w:rPr>
                <w:color w:val="auto"/>
                <w:sz w:val="18"/>
                <w:szCs w:val="18"/>
              </w:rPr>
              <w:t xml:space="preserve">, </w:t>
            </w:r>
            <w:r w:rsidRPr="00EC1DF5">
              <w:rPr>
                <w:i/>
                <w:color w:val="auto"/>
                <w:sz w:val="18"/>
                <w:szCs w:val="18"/>
              </w:rPr>
              <w:t>Social</w:t>
            </w:r>
            <w:r w:rsidRPr="00EC1DF5">
              <w:rPr>
                <w:color w:val="auto"/>
                <w:sz w:val="18"/>
                <w:szCs w:val="18"/>
              </w:rPr>
              <w:t xml:space="preserve"> and </w:t>
            </w:r>
            <w:proofErr w:type="spellStart"/>
            <w:r w:rsidRPr="00EC1DF5">
              <w:rPr>
                <w:i/>
                <w:color w:val="auto"/>
                <w:sz w:val="18"/>
                <w:szCs w:val="18"/>
              </w:rPr>
              <w:t>Envtal</w:t>
            </w:r>
            <w:proofErr w:type="spellEnd"/>
            <w:r w:rsidRPr="00EC1DF5">
              <w:rPr>
                <w:i/>
                <w:color w:val="auto"/>
                <w:sz w:val="18"/>
                <w:szCs w:val="18"/>
              </w:rPr>
              <w:t xml:space="preserve"> </w:t>
            </w:r>
            <w:r w:rsidRPr="00EC1DF5">
              <w:rPr>
                <w:color w:val="auto"/>
                <w:sz w:val="18"/>
                <w:szCs w:val="18"/>
              </w:rPr>
              <w:t xml:space="preserve">represent the financial, </w:t>
            </w:r>
            <w:proofErr w:type="gramStart"/>
            <w:r w:rsidRPr="00EC1DF5">
              <w:rPr>
                <w:color w:val="auto"/>
                <w:sz w:val="18"/>
                <w:szCs w:val="18"/>
              </w:rPr>
              <w:t>social</w:t>
            </w:r>
            <w:proofErr w:type="gramEnd"/>
            <w:r w:rsidRPr="00EC1DF5">
              <w:rPr>
                <w:color w:val="auto"/>
                <w:sz w:val="18"/>
                <w:szCs w:val="18"/>
              </w:rPr>
              <w:t xml:space="preserve"> and environmental sustainability dimensions. Governance variables are </w:t>
            </w:r>
            <w:r w:rsidRPr="00EC1DF5">
              <w:rPr>
                <w:i/>
                <w:color w:val="auto"/>
                <w:sz w:val="18"/>
                <w:szCs w:val="18"/>
              </w:rPr>
              <w:t>BF</w:t>
            </w:r>
            <w:r w:rsidRPr="00EC1DF5">
              <w:rPr>
                <w:color w:val="auto"/>
                <w:sz w:val="18"/>
                <w:szCs w:val="18"/>
              </w:rPr>
              <w:t xml:space="preserve"> (Board function), </w:t>
            </w:r>
            <w:r w:rsidRPr="00EC1DF5">
              <w:rPr>
                <w:i/>
                <w:color w:val="auto"/>
                <w:sz w:val="18"/>
                <w:szCs w:val="18"/>
              </w:rPr>
              <w:t>BST</w:t>
            </w:r>
            <w:r w:rsidRPr="00EC1DF5">
              <w:rPr>
                <w:color w:val="auto"/>
                <w:sz w:val="18"/>
                <w:szCs w:val="18"/>
              </w:rPr>
              <w:t xml:space="preserve"> (Board Structure), </w:t>
            </w:r>
            <w:r w:rsidRPr="00EC1DF5">
              <w:rPr>
                <w:i/>
                <w:color w:val="auto"/>
                <w:sz w:val="18"/>
                <w:szCs w:val="18"/>
              </w:rPr>
              <w:t>BC</w:t>
            </w:r>
            <w:r w:rsidRPr="00EC1DF5">
              <w:rPr>
                <w:color w:val="auto"/>
                <w:sz w:val="18"/>
                <w:szCs w:val="18"/>
              </w:rPr>
              <w:t xml:space="preserve"> (Board compensation), </w:t>
            </w:r>
            <w:r w:rsidRPr="00EC1DF5">
              <w:rPr>
                <w:i/>
                <w:color w:val="auto"/>
                <w:sz w:val="18"/>
                <w:szCs w:val="18"/>
              </w:rPr>
              <w:t>BSR</w:t>
            </w:r>
            <w:r w:rsidRPr="00EC1DF5">
              <w:rPr>
                <w:color w:val="auto"/>
                <w:sz w:val="18"/>
                <w:szCs w:val="18"/>
              </w:rPr>
              <w:t xml:space="preserve"> (Board shareholder rights) and </w:t>
            </w:r>
            <w:r w:rsidRPr="00EC1DF5">
              <w:rPr>
                <w:i/>
                <w:color w:val="auto"/>
                <w:sz w:val="18"/>
                <w:szCs w:val="18"/>
              </w:rPr>
              <w:t>BSTR</w:t>
            </w:r>
            <w:r w:rsidRPr="00EC1DF5">
              <w:rPr>
                <w:color w:val="auto"/>
                <w:sz w:val="18"/>
                <w:szCs w:val="18"/>
              </w:rPr>
              <w:t xml:space="preserve"> (Board strategy). Control variables include </w:t>
            </w:r>
            <w:r w:rsidRPr="00EC1DF5">
              <w:rPr>
                <w:i/>
                <w:color w:val="auto"/>
                <w:sz w:val="18"/>
                <w:szCs w:val="18"/>
              </w:rPr>
              <w:t>Beta</w:t>
            </w:r>
            <w:r w:rsidRPr="00EC1DF5">
              <w:rPr>
                <w:color w:val="auto"/>
                <w:sz w:val="18"/>
                <w:szCs w:val="18"/>
              </w:rPr>
              <w:t>, Firm size (</w:t>
            </w:r>
            <w:r w:rsidRPr="00EC1DF5">
              <w:rPr>
                <w:i/>
                <w:color w:val="auto"/>
                <w:sz w:val="18"/>
                <w:szCs w:val="18"/>
              </w:rPr>
              <w:t>Size</w:t>
            </w:r>
            <w:r w:rsidRPr="00EC1DF5">
              <w:rPr>
                <w:color w:val="auto"/>
                <w:sz w:val="18"/>
                <w:szCs w:val="18"/>
              </w:rPr>
              <w:t>), research and development (</w:t>
            </w:r>
            <w:r w:rsidRPr="00EC1DF5">
              <w:rPr>
                <w:i/>
                <w:color w:val="auto"/>
                <w:sz w:val="18"/>
                <w:szCs w:val="18"/>
              </w:rPr>
              <w:t>R &amp; D</w:t>
            </w:r>
            <w:r w:rsidRPr="00EC1DF5">
              <w:rPr>
                <w:color w:val="auto"/>
                <w:sz w:val="18"/>
                <w:szCs w:val="18"/>
              </w:rPr>
              <w:t>), capital intensity (</w:t>
            </w:r>
            <w:r w:rsidRPr="00EC1DF5">
              <w:rPr>
                <w:i/>
                <w:color w:val="auto"/>
                <w:sz w:val="18"/>
                <w:szCs w:val="18"/>
              </w:rPr>
              <w:t>Capex</w:t>
            </w:r>
            <w:r w:rsidRPr="00EC1DF5">
              <w:rPr>
                <w:color w:val="auto"/>
                <w:sz w:val="18"/>
                <w:szCs w:val="18"/>
              </w:rPr>
              <w:t>), sales growth (</w:t>
            </w:r>
            <w:r w:rsidRPr="00EC1DF5">
              <w:rPr>
                <w:i/>
                <w:color w:val="auto"/>
                <w:sz w:val="18"/>
                <w:szCs w:val="18"/>
              </w:rPr>
              <w:t>Growth</w:t>
            </w:r>
            <w:r w:rsidRPr="00EC1DF5">
              <w:rPr>
                <w:color w:val="auto"/>
                <w:sz w:val="18"/>
                <w:szCs w:val="18"/>
              </w:rPr>
              <w:t>), financial leverage (Leverage), Business ethics (</w:t>
            </w:r>
            <w:r w:rsidRPr="00EC1DF5">
              <w:rPr>
                <w:i/>
                <w:color w:val="auto"/>
                <w:sz w:val="18"/>
                <w:szCs w:val="18"/>
              </w:rPr>
              <w:t>Ethics</w:t>
            </w:r>
            <w:r w:rsidRPr="00EC1DF5">
              <w:rPr>
                <w:color w:val="auto"/>
                <w:sz w:val="18"/>
                <w:szCs w:val="18"/>
              </w:rPr>
              <w:t>), executives’ community involvement (</w:t>
            </w:r>
            <w:proofErr w:type="spellStart"/>
            <w:r w:rsidRPr="00EC1DF5">
              <w:rPr>
                <w:i/>
                <w:color w:val="auto"/>
                <w:sz w:val="18"/>
                <w:szCs w:val="18"/>
              </w:rPr>
              <w:t>Com_Involve</w:t>
            </w:r>
            <w:proofErr w:type="spellEnd"/>
            <w:r w:rsidRPr="00EC1DF5">
              <w:rPr>
                <w:color w:val="auto"/>
                <w:sz w:val="18"/>
                <w:szCs w:val="18"/>
              </w:rPr>
              <w:t>) and CSR committee (</w:t>
            </w:r>
            <w:r w:rsidRPr="00EC1DF5">
              <w:rPr>
                <w:i/>
                <w:color w:val="auto"/>
                <w:sz w:val="18"/>
                <w:szCs w:val="18"/>
              </w:rPr>
              <w:t xml:space="preserve">CSR </w:t>
            </w:r>
            <w:proofErr w:type="spellStart"/>
            <w:r w:rsidRPr="00EC1DF5">
              <w:rPr>
                <w:i/>
                <w:color w:val="auto"/>
                <w:sz w:val="18"/>
                <w:szCs w:val="18"/>
              </w:rPr>
              <w:t>C’ttee</w:t>
            </w:r>
            <w:proofErr w:type="spellEnd"/>
            <w:r w:rsidRPr="00EC1DF5">
              <w:rPr>
                <w:color w:val="auto"/>
                <w:sz w:val="18"/>
                <w:szCs w:val="18"/>
              </w:rPr>
              <w:t>).</w:t>
            </w:r>
          </w:p>
        </w:tc>
      </w:tr>
    </w:tbl>
    <w:p w14:paraId="316C1753" w14:textId="77777777" w:rsidR="00AB41CC" w:rsidRPr="00EC1DF5" w:rsidRDefault="00AB41CC" w:rsidP="00AB41CC">
      <w:pPr>
        <w:rPr>
          <w:color w:val="auto"/>
        </w:rPr>
      </w:pPr>
    </w:p>
    <w:p w14:paraId="1AC79735" w14:textId="77777777" w:rsidR="00AB41CC" w:rsidRPr="00EC1DF5" w:rsidRDefault="00AB41CC" w:rsidP="00AB41CC">
      <w:pPr>
        <w:rPr>
          <w:color w:val="auto"/>
        </w:rPr>
        <w:sectPr w:rsidR="00AB41CC" w:rsidRPr="00EC1DF5" w:rsidSect="00AB41CC">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440" w:bottom="1440" w:left="1440" w:header="706" w:footer="562" w:gutter="0"/>
          <w:cols w:space="708"/>
          <w:docGrid w:linePitch="360"/>
        </w:sectPr>
      </w:pPr>
    </w:p>
    <w:p w14:paraId="76008DBD" w14:textId="77777777" w:rsidR="00AB41CC" w:rsidRPr="00EC1DF5" w:rsidRDefault="00AB41CC" w:rsidP="00AB41CC">
      <w:pPr>
        <w:pStyle w:val="Caption"/>
        <w:keepNext/>
        <w:rPr>
          <w:b/>
          <w:i w:val="0"/>
          <w:color w:val="auto"/>
          <w:sz w:val="20"/>
          <w:szCs w:val="20"/>
        </w:rPr>
      </w:pPr>
      <w:r w:rsidRPr="00EC1DF5">
        <w:rPr>
          <w:b/>
          <w:i w:val="0"/>
          <w:color w:val="auto"/>
          <w:sz w:val="20"/>
          <w:szCs w:val="20"/>
        </w:rPr>
        <w:lastRenderedPageBreak/>
        <w:t xml:space="preserve">Table 3: Pearson’s Pairwise Correlation </w:t>
      </w:r>
    </w:p>
    <w:tbl>
      <w:tblPr>
        <w:tblW w:w="15319" w:type="dxa"/>
        <w:tblLayout w:type="fixed"/>
        <w:tblLook w:val="0000" w:firstRow="0" w:lastRow="0" w:firstColumn="0" w:lastColumn="0" w:noHBand="0" w:noVBand="0"/>
      </w:tblPr>
      <w:tblGrid>
        <w:gridCol w:w="1800"/>
        <w:gridCol w:w="810"/>
        <w:gridCol w:w="900"/>
        <w:gridCol w:w="810"/>
        <w:gridCol w:w="720"/>
        <w:gridCol w:w="810"/>
        <w:gridCol w:w="720"/>
        <w:gridCol w:w="720"/>
        <w:gridCol w:w="900"/>
        <w:gridCol w:w="810"/>
        <w:gridCol w:w="720"/>
        <w:gridCol w:w="720"/>
        <w:gridCol w:w="810"/>
        <w:gridCol w:w="810"/>
        <w:gridCol w:w="720"/>
        <w:gridCol w:w="720"/>
        <w:gridCol w:w="630"/>
        <w:gridCol w:w="630"/>
        <w:gridCol w:w="559"/>
      </w:tblGrid>
      <w:tr w:rsidR="00EC1DF5" w:rsidRPr="00EC1DF5" w14:paraId="7771F6AA" w14:textId="77777777" w:rsidTr="00453380">
        <w:tc>
          <w:tcPr>
            <w:tcW w:w="1800" w:type="dxa"/>
            <w:tcBorders>
              <w:top w:val="single" w:sz="4" w:space="0" w:color="auto"/>
              <w:left w:val="nil"/>
              <w:bottom w:val="single" w:sz="10" w:space="0" w:color="auto"/>
              <w:right w:val="nil"/>
            </w:tcBorders>
            <w:vAlign w:val="center"/>
          </w:tcPr>
          <w:p w14:paraId="0E4A826D"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Variables</w:t>
            </w:r>
          </w:p>
        </w:tc>
        <w:tc>
          <w:tcPr>
            <w:tcW w:w="810" w:type="dxa"/>
            <w:tcBorders>
              <w:top w:val="single" w:sz="4" w:space="0" w:color="auto"/>
              <w:left w:val="nil"/>
              <w:bottom w:val="single" w:sz="10" w:space="0" w:color="auto"/>
              <w:right w:val="nil"/>
            </w:tcBorders>
            <w:vAlign w:val="center"/>
          </w:tcPr>
          <w:p w14:paraId="5B7A3F53"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(1)</w:t>
            </w:r>
          </w:p>
        </w:tc>
        <w:tc>
          <w:tcPr>
            <w:tcW w:w="900" w:type="dxa"/>
            <w:tcBorders>
              <w:top w:val="single" w:sz="4" w:space="0" w:color="auto"/>
              <w:left w:val="nil"/>
              <w:bottom w:val="single" w:sz="10" w:space="0" w:color="auto"/>
              <w:right w:val="nil"/>
            </w:tcBorders>
            <w:vAlign w:val="center"/>
          </w:tcPr>
          <w:p w14:paraId="7BDC480A"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(2)</w:t>
            </w:r>
          </w:p>
        </w:tc>
        <w:tc>
          <w:tcPr>
            <w:tcW w:w="810" w:type="dxa"/>
            <w:tcBorders>
              <w:top w:val="single" w:sz="4" w:space="0" w:color="auto"/>
              <w:left w:val="nil"/>
              <w:bottom w:val="single" w:sz="10" w:space="0" w:color="auto"/>
              <w:right w:val="nil"/>
            </w:tcBorders>
            <w:vAlign w:val="center"/>
          </w:tcPr>
          <w:p w14:paraId="4CC48F42"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(3)</w:t>
            </w:r>
          </w:p>
        </w:tc>
        <w:tc>
          <w:tcPr>
            <w:tcW w:w="720" w:type="dxa"/>
            <w:tcBorders>
              <w:top w:val="single" w:sz="4" w:space="0" w:color="auto"/>
              <w:left w:val="nil"/>
              <w:bottom w:val="single" w:sz="10" w:space="0" w:color="auto"/>
              <w:right w:val="nil"/>
            </w:tcBorders>
            <w:vAlign w:val="center"/>
          </w:tcPr>
          <w:p w14:paraId="2BB8B8E9"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(4)</w:t>
            </w:r>
          </w:p>
        </w:tc>
        <w:tc>
          <w:tcPr>
            <w:tcW w:w="810" w:type="dxa"/>
            <w:tcBorders>
              <w:top w:val="single" w:sz="4" w:space="0" w:color="auto"/>
              <w:left w:val="nil"/>
              <w:bottom w:val="single" w:sz="10" w:space="0" w:color="auto"/>
              <w:right w:val="nil"/>
            </w:tcBorders>
            <w:vAlign w:val="center"/>
          </w:tcPr>
          <w:p w14:paraId="689A85A1"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(5)</w:t>
            </w:r>
          </w:p>
        </w:tc>
        <w:tc>
          <w:tcPr>
            <w:tcW w:w="720" w:type="dxa"/>
            <w:tcBorders>
              <w:top w:val="single" w:sz="4" w:space="0" w:color="auto"/>
              <w:left w:val="nil"/>
              <w:bottom w:val="single" w:sz="10" w:space="0" w:color="auto"/>
              <w:right w:val="nil"/>
            </w:tcBorders>
            <w:vAlign w:val="center"/>
          </w:tcPr>
          <w:p w14:paraId="0B055A2B"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(6)</w:t>
            </w:r>
          </w:p>
        </w:tc>
        <w:tc>
          <w:tcPr>
            <w:tcW w:w="720" w:type="dxa"/>
            <w:tcBorders>
              <w:top w:val="single" w:sz="4" w:space="0" w:color="auto"/>
              <w:left w:val="nil"/>
              <w:bottom w:val="single" w:sz="10" w:space="0" w:color="auto"/>
              <w:right w:val="nil"/>
            </w:tcBorders>
            <w:vAlign w:val="center"/>
          </w:tcPr>
          <w:p w14:paraId="6760CD94"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(7)</w:t>
            </w:r>
          </w:p>
        </w:tc>
        <w:tc>
          <w:tcPr>
            <w:tcW w:w="900" w:type="dxa"/>
            <w:tcBorders>
              <w:top w:val="single" w:sz="4" w:space="0" w:color="auto"/>
              <w:left w:val="nil"/>
              <w:bottom w:val="single" w:sz="10" w:space="0" w:color="auto"/>
              <w:right w:val="nil"/>
            </w:tcBorders>
            <w:vAlign w:val="center"/>
          </w:tcPr>
          <w:p w14:paraId="07BB9C2F"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(8)</w:t>
            </w:r>
          </w:p>
        </w:tc>
        <w:tc>
          <w:tcPr>
            <w:tcW w:w="810" w:type="dxa"/>
            <w:tcBorders>
              <w:top w:val="single" w:sz="4" w:space="0" w:color="auto"/>
              <w:left w:val="nil"/>
              <w:bottom w:val="single" w:sz="10" w:space="0" w:color="auto"/>
              <w:right w:val="nil"/>
            </w:tcBorders>
            <w:vAlign w:val="center"/>
          </w:tcPr>
          <w:p w14:paraId="43635C63"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(9)</w:t>
            </w:r>
          </w:p>
        </w:tc>
        <w:tc>
          <w:tcPr>
            <w:tcW w:w="720" w:type="dxa"/>
            <w:tcBorders>
              <w:top w:val="single" w:sz="4" w:space="0" w:color="auto"/>
              <w:left w:val="nil"/>
              <w:bottom w:val="single" w:sz="10" w:space="0" w:color="auto"/>
              <w:right w:val="nil"/>
            </w:tcBorders>
            <w:vAlign w:val="center"/>
          </w:tcPr>
          <w:p w14:paraId="55DC2D56"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(10)</w:t>
            </w:r>
          </w:p>
        </w:tc>
        <w:tc>
          <w:tcPr>
            <w:tcW w:w="720" w:type="dxa"/>
            <w:tcBorders>
              <w:top w:val="single" w:sz="4" w:space="0" w:color="auto"/>
              <w:left w:val="nil"/>
              <w:bottom w:val="single" w:sz="10" w:space="0" w:color="auto"/>
              <w:right w:val="nil"/>
            </w:tcBorders>
            <w:vAlign w:val="center"/>
          </w:tcPr>
          <w:p w14:paraId="7AC4213E"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(11)</w:t>
            </w:r>
          </w:p>
        </w:tc>
        <w:tc>
          <w:tcPr>
            <w:tcW w:w="810" w:type="dxa"/>
            <w:tcBorders>
              <w:top w:val="single" w:sz="4" w:space="0" w:color="auto"/>
              <w:left w:val="nil"/>
              <w:bottom w:val="single" w:sz="10" w:space="0" w:color="auto"/>
              <w:right w:val="nil"/>
            </w:tcBorders>
            <w:vAlign w:val="center"/>
          </w:tcPr>
          <w:p w14:paraId="513C4208"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(12)</w:t>
            </w:r>
          </w:p>
        </w:tc>
        <w:tc>
          <w:tcPr>
            <w:tcW w:w="810" w:type="dxa"/>
            <w:tcBorders>
              <w:top w:val="single" w:sz="4" w:space="0" w:color="auto"/>
              <w:left w:val="nil"/>
              <w:bottom w:val="single" w:sz="10" w:space="0" w:color="auto"/>
              <w:right w:val="nil"/>
            </w:tcBorders>
            <w:vAlign w:val="center"/>
          </w:tcPr>
          <w:p w14:paraId="0FBE0626"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(13)</w:t>
            </w:r>
          </w:p>
        </w:tc>
        <w:tc>
          <w:tcPr>
            <w:tcW w:w="720" w:type="dxa"/>
            <w:tcBorders>
              <w:top w:val="single" w:sz="4" w:space="0" w:color="auto"/>
              <w:left w:val="nil"/>
              <w:bottom w:val="single" w:sz="10" w:space="0" w:color="auto"/>
              <w:right w:val="nil"/>
            </w:tcBorders>
            <w:vAlign w:val="center"/>
          </w:tcPr>
          <w:p w14:paraId="07FEA019"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(14)</w:t>
            </w:r>
          </w:p>
        </w:tc>
        <w:tc>
          <w:tcPr>
            <w:tcW w:w="720" w:type="dxa"/>
            <w:tcBorders>
              <w:top w:val="single" w:sz="4" w:space="0" w:color="auto"/>
              <w:left w:val="nil"/>
              <w:bottom w:val="single" w:sz="10" w:space="0" w:color="auto"/>
              <w:right w:val="nil"/>
            </w:tcBorders>
            <w:vAlign w:val="center"/>
          </w:tcPr>
          <w:p w14:paraId="4E508CB6"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(15)</w:t>
            </w:r>
          </w:p>
        </w:tc>
        <w:tc>
          <w:tcPr>
            <w:tcW w:w="630" w:type="dxa"/>
            <w:tcBorders>
              <w:top w:val="single" w:sz="4" w:space="0" w:color="auto"/>
              <w:left w:val="nil"/>
              <w:bottom w:val="single" w:sz="10" w:space="0" w:color="auto"/>
              <w:right w:val="nil"/>
            </w:tcBorders>
            <w:vAlign w:val="center"/>
          </w:tcPr>
          <w:p w14:paraId="033313B6"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(16)</w:t>
            </w:r>
          </w:p>
        </w:tc>
        <w:tc>
          <w:tcPr>
            <w:tcW w:w="630" w:type="dxa"/>
            <w:tcBorders>
              <w:top w:val="single" w:sz="4" w:space="0" w:color="auto"/>
              <w:left w:val="nil"/>
              <w:bottom w:val="single" w:sz="10" w:space="0" w:color="auto"/>
              <w:right w:val="nil"/>
            </w:tcBorders>
            <w:vAlign w:val="center"/>
          </w:tcPr>
          <w:p w14:paraId="5987EEAE"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(17)</w:t>
            </w:r>
          </w:p>
        </w:tc>
        <w:tc>
          <w:tcPr>
            <w:tcW w:w="559" w:type="dxa"/>
            <w:tcBorders>
              <w:top w:val="single" w:sz="4" w:space="0" w:color="auto"/>
              <w:left w:val="nil"/>
              <w:bottom w:val="single" w:sz="10" w:space="0" w:color="auto"/>
              <w:right w:val="nil"/>
            </w:tcBorders>
            <w:vAlign w:val="center"/>
          </w:tcPr>
          <w:p w14:paraId="4EDC6094"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(18)</w:t>
            </w:r>
          </w:p>
        </w:tc>
      </w:tr>
      <w:tr w:rsidR="00EC1DF5" w:rsidRPr="00EC1DF5" w14:paraId="6806B241" w14:textId="77777777" w:rsidTr="00453380">
        <w:trPr>
          <w:gridAfter w:val="17"/>
          <w:wAfter w:w="12709" w:type="dxa"/>
        </w:trPr>
        <w:tc>
          <w:tcPr>
            <w:tcW w:w="1800" w:type="dxa"/>
            <w:tcBorders>
              <w:top w:val="nil"/>
              <w:left w:val="nil"/>
              <w:bottom w:val="nil"/>
              <w:right w:val="nil"/>
            </w:tcBorders>
            <w:vAlign w:val="center"/>
          </w:tcPr>
          <w:p w14:paraId="6A10BCFC"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 xml:space="preserve">(1) </w:t>
            </w:r>
            <w:proofErr w:type="spellStart"/>
            <w:r w:rsidRPr="00EC1DF5">
              <w:rPr>
                <w:color w:val="auto"/>
                <w:sz w:val="18"/>
                <w:szCs w:val="18"/>
              </w:rPr>
              <w:t>TobinsQ</w:t>
            </w:r>
            <w:proofErr w:type="spellEnd"/>
          </w:p>
        </w:tc>
        <w:tc>
          <w:tcPr>
            <w:tcW w:w="810" w:type="dxa"/>
            <w:tcBorders>
              <w:top w:val="nil"/>
              <w:left w:val="nil"/>
              <w:bottom w:val="nil"/>
              <w:right w:val="nil"/>
            </w:tcBorders>
            <w:vAlign w:val="center"/>
          </w:tcPr>
          <w:p w14:paraId="1F2EF8AC"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1.00</w:t>
            </w:r>
          </w:p>
        </w:tc>
      </w:tr>
      <w:tr w:rsidR="00EC1DF5" w:rsidRPr="00EC1DF5" w14:paraId="24F60A93" w14:textId="77777777" w:rsidTr="00453380">
        <w:trPr>
          <w:gridAfter w:val="16"/>
          <w:wAfter w:w="11809" w:type="dxa"/>
        </w:trPr>
        <w:tc>
          <w:tcPr>
            <w:tcW w:w="1800" w:type="dxa"/>
            <w:tcBorders>
              <w:top w:val="nil"/>
              <w:left w:val="nil"/>
              <w:bottom w:val="nil"/>
              <w:right w:val="nil"/>
            </w:tcBorders>
            <w:vAlign w:val="center"/>
          </w:tcPr>
          <w:p w14:paraId="63F1444C"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(2) Social</w:t>
            </w:r>
          </w:p>
        </w:tc>
        <w:tc>
          <w:tcPr>
            <w:tcW w:w="810" w:type="dxa"/>
            <w:tcBorders>
              <w:top w:val="nil"/>
              <w:left w:val="nil"/>
              <w:bottom w:val="nil"/>
              <w:right w:val="nil"/>
            </w:tcBorders>
            <w:vAlign w:val="center"/>
          </w:tcPr>
          <w:p w14:paraId="39D60BE6"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-0.13*</w:t>
            </w:r>
          </w:p>
        </w:tc>
        <w:tc>
          <w:tcPr>
            <w:tcW w:w="900" w:type="dxa"/>
            <w:tcBorders>
              <w:top w:val="nil"/>
              <w:left w:val="nil"/>
              <w:bottom w:val="nil"/>
              <w:right w:val="nil"/>
            </w:tcBorders>
            <w:vAlign w:val="center"/>
          </w:tcPr>
          <w:p w14:paraId="63934CCC"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1.00</w:t>
            </w:r>
          </w:p>
        </w:tc>
      </w:tr>
      <w:tr w:rsidR="00EC1DF5" w:rsidRPr="00EC1DF5" w14:paraId="431CEAB2" w14:textId="77777777" w:rsidTr="00453380">
        <w:trPr>
          <w:gridAfter w:val="15"/>
          <w:wAfter w:w="10999" w:type="dxa"/>
        </w:trPr>
        <w:tc>
          <w:tcPr>
            <w:tcW w:w="1800" w:type="dxa"/>
            <w:tcBorders>
              <w:top w:val="nil"/>
              <w:left w:val="nil"/>
              <w:bottom w:val="nil"/>
              <w:right w:val="nil"/>
            </w:tcBorders>
            <w:vAlign w:val="center"/>
          </w:tcPr>
          <w:p w14:paraId="0E00626D"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(3) Envtal</w:t>
            </w:r>
          </w:p>
        </w:tc>
        <w:tc>
          <w:tcPr>
            <w:tcW w:w="810" w:type="dxa"/>
            <w:tcBorders>
              <w:top w:val="nil"/>
              <w:left w:val="nil"/>
              <w:bottom w:val="nil"/>
              <w:right w:val="nil"/>
            </w:tcBorders>
            <w:vAlign w:val="center"/>
          </w:tcPr>
          <w:p w14:paraId="3FCCABD7"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-0.12*</w:t>
            </w:r>
          </w:p>
        </w:tc>
        <w:tc>
          <w:tcPr>
            <w:tcW w:w="900" w:type="dxa"/>
            <w:tcBorders>
              <w:top w:val="nil"/>
              <w:left w:val="nil"/>
              <w:bottom w:val="nil"/>
              <w:right w:val="nil"/>
            </w:tcBorders>
            <w:vAlign w:val="center"/>
          </w:tcPr>
          <w:p w14:paraId="29E93272"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0.80*</w:t>
            </w:r>
          </w:p>
        </w:tc>
        <w:tc>
          <w:tcPr>
            <w:tcW w:w="810" w:type="dxa"/>
            <w:tcBorders>
              <w:top w:val="nil"/>
              <w:left w:val="nil"/>
              <w:bottom w:val="nil"/>
              <w:right w:val="nil"/>
            </w:tcBorders>
            <w:vAlign w:val="center"/>
          </w:tcPr>
          <w:p w14:paraId="724102FF"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1.00</w:t>
            </w:r>
          </w:p>
        </w:tc>
      </w:tr>
      <w:tr w:rsidR="00EC1DF5" w:rsidRPr="00EC1DF5" w14:paraId="7B0F5D5F" w14:textId="77777777" w:rsidTr="00453380">
        <w:trPr>
          <w:gridAfter w:val="14"/>
          <w:wAfter w:w="10279" w:type="dxa"/>
        </w:trPr>
        <w:tc>
          <w:tcPr>
            <w:tcW w:w="1800" w:type="dxa"/>
            <w:tcBorders>
              <w:top w:val="nil"/>
              <w:left w:val="nil"/>
              <w:bottom w:val="nil"/>
              <w:right w:val="nil"/>
            </w:tcBorders>
            <w:vAlign w:val="center"/>
          </w:tcPr>
          <w:p w14:paraId="47648475"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 xml:space="preserve">(4) </w:t>
            </w:r>
            <w:r w:rsidRPr="00EC1DF5">
              <w:rPr>
                <w:i/>
                <w:color w:val="auto"/>
                <w:sz w:val="18"/>
                <w:szCs w:val="18"/>
              </w:rPr>
              <w:t>BF</w:t>
            </w:r>
          </w:p>
        </w:tc>
        <w:tc>
          <w:tcPr>
            <w:tcW w:w="810" w:type="dxa"/>
            <w:tcBorders>
              <w:top w:val="nil"/>
              <w:left w:val="nil"/>
              <w:bottom w:val="nil"/>
              <w:right w:val="nil"/>
            </w:tcBorders>
            <w:vAlign w:val="center"/>
          </w:tcPr>
          <w:p w14:paraId="763A5584"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-0.01</w:t>
            </w:r>
          </w:p>
        </w:tc>
        <w:tc>
          <w:tcPr>
            <w:tcW w:w="900" w:type="dxa"/>
            <w:tcBorders>
              <w:top w:val="nil"/>
              <w:left w:val="nil"/>
              <w:bottom w:val="nil"/>
              <w:right w:val="nil"/>
            </w:tcBorders>
            <w:vAlign w:val="center"/>
          </w:tcPr>
          <w:p w14:paraId="36EFA110"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0.06*</w:t>
            </w:r>
          </w:p>
        </w:tc>
        <w:tc>
          <w:tcPr>
            <w:tcW w:w="810" w:type="dxa"/>
            <w:tcBorders>
              <w:top w:val="nil"/>
              <w:left w:val="nil"/>
              <w:bottom w:val="nil"/>
              <w:right w:val="nil"/>
            </w:tcBorders>
            <w:vAlign w:val="center"/>
          </w:tcPr>
          <w:p w14:paraId="2202C33F"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0.06*</w:t>
            </w:r>
          </w:p>
        </w:tc>
        <w:tc>
          <w:tcPr>
            <w:tcW w:w="720" w:type="dxa"/>
            <w:tcBorders>
              <w:top w:val="nil"/>
              <w:left w:val="nil"/>
              <w:bottom w:val="nil"/>
              <w:right w:val="nil"/>
            </w:tcBorders>
            <w:vAlign w:val="center"/>
          </w:tcPr>
          <w:p w14:paraId="5F0918F5"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1.00</w:t>
            </w:r>
          </w:p>
        </w:tc>
      </w:tr>
      <w:tr w:rsidR="00EC1DF5" w:rsidRPr="00EC1DF5" w14:paraId="0472E40F" w14:textId="77777777" w:rsidTr="00453380">
        <w:trPr>
          <w:gridAfter w:val="13"/>
          <w:wAfter w:w="9469" w:type="dxa"/>
        </w:trPr>
        <w:tc>
          <w:tcPr>
            <w:tcW w:w="1800" w:type="dxa"/>
            <w:tcBorders>
              <w:top w:val="nil"/>
              <w:left w:val="nil"/>
              <w:bottom w:val="nil"/>
              <w:right w:val="nil"/>
            </w:tcBorders>
            <w:vAlign w:val="center"/>
          </w:tcPr>
          <w:p w14:paraId="177DF4B5"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 xml:space="preserve">(5) </w:t>
            </w:r>
            <w:r w:rsidRPr="00EC1DF5">
              <w:rPr>
                <w:i/>
                <w:color w:val="auto"/>
                <w:sz w:val="18"/>
                <w:szCs w:val="18"/>
              </w:rPr>
              <w:t>BST</w:t>
            </w:r>
          </w:p>
        </w:tc>
        <w:tc>
          <w:tcPr>
            <w:tcW w:w="810" w:type="dxa"/>
            <w:tcBorders>
              <w:top w:val="nil"/>
              <w:left w:val="nil"/>
              <w:bottom w:val="nil"/>
              <w:right w:val="nil"/>
            </w:tcBorders>
            <w:vAlign w:val="center"/>
          </w:tcPr>
          <w:p w14:paraId="56218C82"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0.02</w:t>
            </w:r>
          </w:p>
        </w:tc>
        <w:tc>
          <w:tcPr>
            <w:tcW w:w="900" w:type="dxa"/>
            <w:tcBorders>
              <w:top w:val="nil"/>
              <w:left w:val="nil"/>
              <w:bottom w:val="nil"/>
              <w:right w:val="nil"/>
            </w:tcBorders>
            <w:vAlign w:val="center"/>
          </w:tcPr>
          <w:p w14:paraId="60183F60"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0.17*</w:t>
            </w:r>
          </w:p>
        </w:tc>
        <w:tc>
          <w:tcPr>
            <w:tcW w:w="810" w:type="dxa"/>
            <w:tcBorders>
              <w:top w:val="nil"/>
              <w:left w:val="nil"/>
              <w:bottom w:val="nil"/>
              <w:right w:val="nil"/>
            </w:tcBorders>
            <w:vAlign w:val="center"/>
          </w:tcPr>
          <w:p w14:paraId="1D443226"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0.15*</w:t>
            </w:r>
          </w:p>
        </w:tc>
        <w:tc>
          <w:tcPr>
            <w:tcW w:w="720" w:type="dxa"/>
            <w:tcBorders>
              <w:top w:val="nil"/>
              <w:left w:val="nil"/>
              <w:bottom w:val="nil"/>
              <w:right w:val="nil"/>
            </w:tcBorders>
            <w:vAlign w:val="center"/>
          </w:tcPr>
          <w:p w14:paraId="5C44A156"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0.35*</w:t>
            </w:r>
          </w:p>
        </w:tc>
        <w:tc>
          <w:tcPr>
            <w:tcW w:w="810" w:type="dxa"/>
            <w:tcBorders>
              <w:top w:val="nil"/>
              <w:left w:val="nil"/>
              <w:bottom w:val="nil"/>
              <w:right w:val="nil"/>
            </w:tcBorders>
            <w:vAlign w:val="center"/>
          </w:tcPr>
          <w:p w14:paraId="4FEE4FA9"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1.00</w:t>
            </w:r>
          </w:p>
        </w:tc>
      </w:tr>
      <w:tr w:rsidR="00EC1DF5" w:rsidRPr="00EC1DF5" w14:paraId="4172D241" w14:textId="77777777" w:rsidTr="00453380">
        <w:trPr>
          <w:gridAfter w:val="12"/>
          <w:wAfter w:w="8749" w:type="dxa"/>
        </w:trPr>
        <w:tc>
          <w:tcPr>
            <w:tcW w:w="1800" w:type="dxa"/>
            <w:tcBorders>
              <w:top w:val="nil"/>
              <w:left w:val="nil"/>
              <w:bottom w:val="nil"/>
              <w:right w:val="nil"/>
            </w:tcBorders>
            <w:vAlign w:val="center"/>
          </w:tcPr>
          <w:p w14:paraId="46A3C8DF"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 xml:space="preserve">(6) </w:t>
            </w:r>
            <w:r w:rsidRPr="00EC1DF5">
              <w:rPr>
                <w:i/>
                <w:color w:val="auto"/>
                <w:sz w:val="18"/>
                <w:szCs w:val="18"/>
              </w:rPr>
              <w:t>BC</w:t>
            </w:r>
          </w:p>
        </w:tc>
        <w:tc>
          <w:tcPr>
            <w:tcW w:w="810" w:type="dxa"/>
            <w:tcBorders>
              <w:top w:val="nil"/>
              <w:left w:val="nil"/>
              <w:bottom w:val="nil"/>
              <w:right w:val="nil"/>
            </w:tcBorders>
            <w:vAlign w:val="center"/>
          </w:tcPr>
          <w:p w14:paraId="145E0069"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0.04*</w:t>
            </w:r>
          </w:p>
        </w:tc>
        <w:tc>
          <w:tcPr>
            <w:tcW w:w="900" w:type="dxa"/>
            <w:tcBorders>
              <w:top w:val="nil"/>
              <w:left w:val="nil"/>
              <w:bottom w:val="nil"/>
              <w:right w:val="nil"/>
            </w:tcBorders>
            <w:vAlign w:val="center"/>
          </w:tcPr>
          <w:p w14:paraId="7542771C"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0.01</w:t>
            </w:r>
          </w:p>
        </w:tc>
        <w:tc>
          <w:tcPr>
            <w:tcW w:w="810" w:type="dxa"/>
            <w:tcBorders>
              <w:top w:val="nil"/>
              <w:left w:val="nil"/>
              <w:bottom w:val="nil"/>
              <w:right w:val="nil"/>
            </w:tcBorders>
            <w:vAlign w:val="center"/>
          </w:tcPr>
          <w:p w14:paraId="11E06B81"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0.05</w:t>
            </w:r>
          </w:p>
        </w:tc>
        <w:tc>
          <w:tcPr>
            <w:tcW w:w="720" w:type="dxa"/>
            <w:tcBorders>
              <w:top w:val="nil"/>
              <w:left w:val="nil"/>
              <w:bottom w:val="nil"/>
              <w:right w:val="nil"/>
            </w:tcBorders>
            <w:vAlign w:val="center"/>
          </w:tcPr>
          <w:p w14:paraId="6988F0ED"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0.04*</w:t>
            </w:r>
          </w:p>
        </w:tc>
        <w:tc>
          <w:tcPr>
            <w:tcW w:w="810" w:type="dxa"/>
            <w:tcBorders>
              <w:top w:val="nil"/>
              <w:left w:val="nil"/>
              <w:bottom w:val="nil"/>
              <w:right w:val="nil"/>
            </w:tcBorders>
            <w:vAlign w:val="center"/>
          </w:tcPr>
          <w:p w14:paraId="458FB5B9"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0.08*</w:t>
            </w:r>
          </w:p>
        </w:tc>
        <w:tc>
          <w:tcPr>
            <w:tcW w:w="720" w:type="dxa"/>
            <w:tcBorders>
              <w:top w:val="nil"/>
              <w:left w:val="nil"/>
              <w:bottom w:val="nil"/>
              <w:right w:val="nil"/>
            </w:tcBorders>
            <w:vAlign w:val="center"/>
          </w:tcPr>
          <w:p w14:paraId="353B5D30"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1.00</w:t>
            </w:r>
          </w:p>
        </w:tc>
      </w:tr>
      <w:tr w:rsidR="00EC1DF5" w:rsidRPr="00EC1DF5" w14:paraId="228212D2" w14:textId="77777777" w:rsidTr="00453380">
        <w:trPr>
          <w:gridAfter w:val="11"/>
          <w:wAfter w:w="8029" w:type="dxa"/>
        </w:trPr>
        <w:tc>
          <w:tcPr>
            <w:tcW w:w="1800" w:type="dxa"/>
            <w:tcBorders>
              <w:top w:val="nil"/>
              <w:left w:val="nil"/>
              <w:bottom w:val="nil"/>
              <w:right w:val="nil"/>
            </w:tcBorders>
            <w:vAlign w:val="center"/>
          </w:tcPr>
          <w:p w14:paraId="6CF8DCF4"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 xml:space="preserve">(7) </w:t>
            </w:r>
            <w:r w:rsidRPr="00EC1DF5">
              <w:rPr>
                <w:i/>
                <w:color w:val="auto"/>
                <w:sz w:val="18"/>
                <w:szCs w:val="18"/>
              </w:rPr>
              <w:t>BSR</w:t>
            </w:r>
          </w:p>
        </w:tc>
        <w:tc>
          <w:tcPr>
            <w:tcW w:w="810" w:type="dxa"/>
            <w:tcBorders>
              <w:top w:val="nil"/>
              <w:left w:val="nil"/>
              <w:bottom w:val="nil"/>
              <w:right w:val="nil"/>
            </w:tcBorders>
            <w:vAlign w:val="center"/>
          </w:tcPr>
          <w:p w14:paraId="22417893"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-0.08*</w:t>
            </w:r>
          </w:p>
        </w:tc>
        <w:tc>
          <w:tcPr>
            <w:tcW w:w="900" w:type="dxa"/>
            <w:tcBorders>
              <w:top w:val="nil"/>
              <w:left w:val="nil"/>
              <w:bottom w:val="nil"/>
              <w:right w:val="nil"/>
            </w:tcBorders>
            <w:vAlign w:val="center"/>
          </w:tcPr>
          <w:p w14:paraId="44BB63A9"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0.14*</w:t>
            </w:r>
          </w:p>
        </w:tc>
        <w:tc>
          <w:tcPr>
            <w:tcW w:w="810" w:type="dxa"/>
            <w:tcBorders>
              <w:top w:val="nil"/>
              <w:left w:val="nil"/>
              <w:bottom w:val="nil"/>
              <w:right w:val="nil"/>
            </w:tcBorders>
            <w:vAlign w:val="center"/>
          </w:tcPr>
          <w:p w14:paraId="63EB3670"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0.12*</w:t>
            </w:r>
          </w:p>
        </w:tc>
        <w:tc>
          <w:tcPr>
            <w:tcW w:w="720" w:type="dxa"/>
            <w:tcBorders>
              <w:top w:val="nil"/>
              <w:left w:val="nil"/>
              <w:bottom w:val="nil"/>
              <w:right w:val="nil"/>
            </w:tcBorders>
            <w:vAlign w:val="center"/>
          </w:tcPr>
          <w:p w14:paraId="5194640B"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0.08*</w:t>
            </w:r>
          </w:p>
        </w:tc>
        <w:tc>
          <w:tcPr>
            <w:tcW w:w="810" w:type="dxa"/>
            <w:tcBorders>
              <w:top w:val="nil"/>
              <w:left w:val="nil"/>
              <w:bottom w:val="nil"/>
              <w:right w:val="nil"/>
            </w:tcBorders>
            <w:vAlign w:val="center"/>
          </w:tcPr>
          <w:p w14:paraId="44CECF6A"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0.11*</w:t>
            </w:r>
          </w:p>
        </w:tc>
        <w:tc>
          <w:tcPr>
            <w:tcW w:w="720" w:type="dxa"/>
            <w:tcBorders>
              <w:top w:val="nil"/>
              <w:left w:val="nil"/>
              <w:bottom w:val="nil"/>
              <w:right w:val="nil"/>
            </w:tcBorders>
            <w:vAlign w:val="center"/>
          </w:tcPr>
          <w:p w14:paraId="4CF7F20B"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0.04*</w:t>
            </w:r>
          </w:p>
        </w:tc>
        <w:tc>
          <w:tcPr>
            <w:tcW w:w="720" w:type="dxa"/>
            <w:tcBorders>
              <w:top w:val="nil"/>
              <w:left w:val="nil"/>
              <w:bottom w:val="nil"/>
              <w:right w:val="nil"/>
            </w:tcBorders>
            <w:vAlign w:val="center"/>
          </w:tcPr>
          <w:p w14:paraId="5F0D7659"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1.00</w:t>
            </w:r>
          </w:p>
        </w:tc>
      </w:tr>
      <w:tr w:rsidR="00EC1DF5" w:rsidRPr="00EC1DF5" w14:paraId="0D548415" w14:textId="77777777" w:rsidTr="00453380">
        <w:trPr>
          <w:gridAfter w:val="10"/>
          <w:wAfter w:w="7129" w:type="dxa"/>
        </w:trPr>
        <w:tc>
          <w:tcPr>
            <w:tcW w:w="1800" w:type="dxa"/>
            <w:tcBorders>
              <w:top w:val="nil"/>
              <w:left w:val="nil"/>
              <w:bottom w:val="nil"/>
              <w:right w:val="nil"/>
            </w:tcBorders>
            <w:vAlign w:val="center"/>
          </w:tcPr>
          <w:p w14:paraId="7318B7A3"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 xml:space="preserve">(8) </w:t>
            </w:r>
            <w:r w:rsidRPr="00EC1DF5">
              <w:rPr>
                <w:i/>
                <w:color w:val="auto"/>
                <w:sz w:val="18"/>
                <w:szCs w:val="18"/>
              </w:rPr>
              <w:t>BSTR</w:t>
            </w:r>
          </w:p>
        </w:tc>
        <w:tc>
          <w:tcPr>
            <w:tcW w:w="810" w:type="dxa"/>
            <w:tcBorders>
              <w:top w:val="nil"/>
              <w:left w:val="nil"/>
              <w:bottom w:val="nil"/>
              <w:right w:val="nil"/>
            </w:tcBorders>
            <w:vAlign w:val="center"/>
          </w:tcPr>
          <w:p w14:paraId="1649CEA5"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-0.15*</w:t>
            </w:r>
          </w:p>
        </w:tc>
        <w:tc>
          <w:tcPr>
            <w:tcW w:w="900" w:type="dxa"/>
            <w:tcBorders>
              <w:top w:val="nil"/>
              <w:left w:val="nil"/>
              <w:bottom w:val="nil"/>
              <w:right w:val="nil"/>
            </w:tcBorders>
            <w:vAlign w:val="center"/>
          </w:tcPr>
          <w:p w14:paraId="28894F1C"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0.78*</w:t>
            </w:r>
          </w:p>
        </w:tc>
        <w:tc>
          <w:tcPr>
            <w:tcW w:w="810" w:type="dxa"/>
            <w:tcBorders>
              <w:top w:val="nil"/>
              <w:left w:val="nil"/>
              <w:bottom w:val="nil"/>
              <w:right w:val="nil"/>
            </w:tcBorders>
            <w:vAlign w:val="center"/>
          </w:tcPr>
          <w:p w14:paraId="36AC9D5E"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0.80*</w:t>
            </w:r>
          </w:p>
        </w:tc>
        <w:tc>
          <w:tcPr>
            <w:tcW w:w="720" w:type="dxa"/>
            <w:tcBorders>
              <w:top w:val="nil"/>
              <w:left w:val="nil"/>
              <w:bottom w:val="nil"/>
              <w:right w:val="nil"/>
            </w:tcBorders>
            <w:vAlign w:val="center"/>
          </w:tcPr>
          <w:p w14:paraId="171E01D5"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0.03*</w:t>
            </w:r>
          </w:p>
        </w:tc>
        <w:tc>
          <w:tcPr>
            <w:tcW w:w="810" w:type="dxa"/>
            <w:tcBorders>
              <w:top w:val="nil"/>
              <w:left w:val="nil"/>
              <w:bottom w:val="nil"/>
              <w:right w:val="nil"/>
            </w:tcBorders>
            <w:vAlign w:val="center"/>
          </w:tcPr>
          <w:p w14:paraId="75390452"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0.13*</w:t>
            </w:r>
          </w:p>
        </w:tc>
        <w:tc>
          <w:tcPr>
            <w:tcW w:w="720" w:type="dxa"/>
            <w:tcBorders>
              <w:top w:val="nil"/>
              <w:left w:val="nil"/>
              <w:bottom w:val="nil"/>
              <w:right w:val="nil"/>
            </w:tcBorders>
            <w:vAlign w:val="center"/>
          </w:tcPr>
          <w:p w14:paraId="2767A39E"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-0.00</w:t>
            </w:r>
          </w:p>
        </w:tc>
        <w:tc>
          <w:tcPr>
            <w:tcW w:w="720" w:type="dxa"/>
            <w:tcBorders>
              <w:top w:val="nil"/>
              <w:left w:val="nil"/>
              <w:bottom w:val="nil"/>
              <w:right w:val="nil"/>
            </w:tcBorders>
            <w:vAlign w:val="center"/>
          </w:tcPr>
          <w:p w14:paraId="4DFCB88B"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0.11*</w:t>
            </w:r>
          </w:p>
        </w:tc>
        <w:tc>
          <w:tcPr>
            <w:tcW w:w="900" w:type="dxa"/>
            <w:tcBorders>
              <w:top w:val="nil"/>
              <w:left w:val="nil"/>
              <w:bottom w:val="nil"/>
              <w:right w:val="nil"/>
            </w:tcBorders>
            <w:vAlign w:val="center"/>
          </w:tcPr>
          <w:p w14:paraId="734085A8"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1.00</w:t>
            </w:r>
          </w:p>
        </w:tc>
      </w:tr>
      <w:tr w:rsidR="00EC1DF5" w:rsidRPr="00EC1DF5" w14:paraId="0A9C45A6" w14:textId="77777777" w:rsidTr="00453380">
        <w:trPr>
          <w:gridAfter w:val="9"/>
          <w:wAfter w:w="6319" w:type="dxa"/>
        </w:trPr>
        <w:tc>
          <w:tcPr>
            <w:tcW w:w="1800" w:type="dxa"/>
            <w:tcBorders>
              <w:top w:val="nil"/>
              <w:left w:val="nil"/>
              <w:bottom w:val="nil"/>
              <w:right w:val="nil"/>
            </w:tcBorders>
            <w:vAlign w:val="center"/>
          </w:tcPr>
          <w:p w14:paraId="7E5BCB74"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(9) Beta</w:t>
            </w:r>
          </w:p>
        </w:tc>
        <w:tc>
          <w:tcPr>
            <w:tcW w:w="810" w:type="dxa"/>
            <w:tcBorders>
              <w:top w:val="nil"/>
              <w:left w:val="nil"/>
              <w:bottom w:val="nil"/>
              <w:right w:val="nil"/>
            </w:tcBorders>
            <w:vAlign w:val="center"/>
          </w:tcPr>
          <w:p w14:paraId="22991954"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0.10*</w:t>
            </w:r>
          </w:p>
        </w:tc>
        <w:tc>
          <w:tcPr>
            <w:tcW w:w="900" w:type="dxa"/>
            <w:tcBorders>
              <w:top w:val="nil"/>
              <w:left w:val="nil"/>
              <w:bottom w:val="nil"/>
              <w:right w:val="nil"/>
            </w:tcBorders>
            <w:vAlign w:val="center"/>
          </w:tcPr>
          <w:p w14:paraId="666D6C7A"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-0.76*</w:t>
            </w:r>
          </w:p>
        </w:tc>
        <w:tc>
          <w:tcPr>
            <w:tcW w:w="810" w:type="dxa"/>
            <w:tcBorders>
              <w:top w:val="nil"/>
              <w:left w:val="nil"/>
              <w:bottom w:val="nil"/>
              <w:right w:val="nil"/>
            </w:tcBorders>
            <w:vAlign w:val="center"/>
          </w:tcPr>
          <w:p w14:paraId="0EE770AC"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-0.04*</w:t>
            </w:r>
          </w:p>
        </w:tc>
        <w:tc>
          <w:tcPr>
            <w:tcW w:w="720" w:type="dxa"/>
            <w:tcBorders>
              <w:top w:val="nil"/>
              <w:left w:val="nil"/>
              <w:bottom w:val="nil"/>
              <w:right w:val="nil"/>
            </w:tcBorders>
            <w:vAlign w:val="center"/>
          </w:tcPr>
          <w:p w14:paraId="5FDA1C9F"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0.03*</w:t>
            </w:r>
          </w:p>
        </w:tc>
        <w:tc>
          <w:tcPr>
            <w:tcW w:w="810" w:type="dxa"/>
            <w:tcBorders>
              <w:top w:val="nil"/>
              <w:left w:val="nil"/>
              <w:bottom w:val="nil"/>
              <w:right w:val="nil"/>
            </w:tcBorders>
            <w:vAlign w:val="center"/>
          </w:tcPr>
          <w:p w14:paraId="4D88EB0F"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0.01</w:t>
            </w:r>
          </w:p>
        </w:tc>
        <w:tc>
          <w:tcPr>
            <w:tcW w:w="720" w:type="dxa"/>
            <w:tcBorders>
              <w:top w:val="nil"/>
              <w:left w:val="nil"/>
              <w:bottom w:val="nil"/>
              <w:right w:val="nil"/>
            </w:tcBorders>
            <w:vAlign w:val="center"/>
          </w:tcPr>
          <w:p w14:paraId="18AE7C7D"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0.01</w:t>
            </w:r>
          </w:p>
        </w:tc>
        <w:tc>
          <w:tcPr>
            <w:tcW w:w="720" w:type="dxa"/>
            <w:tcBorders>
              <w:top w:val="nil"/>
              <w:left w:val="nil"/>
              <w:bottom w:val="nil"/>
              <w:right w:val="nil"/>
            </w:tcBorders>
            <w:vAlign w:val="center"/>
          </w:tcPr>
          <w:p w14:paraId="78EA794F"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-0.03*</w:t>
            </w:r>
          </w:p>
        </w:tc>
        <w:tc>
          <w:tcPr>
            <w:tcW w:w="900" w:type="dxa"/>
            <w:tcBorders>
              <w:top w:val="nil"/>
              <w:left w:val="nil"/>
              <w:bottom w:val="nil"/>
              <w:right w:val="nil"/>
            </w:tcBorders>
            <w:vAlign w:val="center"/>
          </w:tcPr>
          <w:p w14:paraId="563CCADA"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-0.07*</w:t>
            </w:r>
          </w:p>
        </w:tc>
        <w:tc>
          <w:tcPr>
            <w:tcW w:w="810" w:type="dxa"/>
            <w:tcBorders>
              <w:top w:val="nil"/>
              <w:left w:val="nil"/>
              <w:bottom w:val="nil"/>
              <w:right w:val="nil"/>
            </w:tcBorders>
            <w:vAlign w:val="center"/>
          </w:tcPr>
          <w:p w14:paraId="753EF079"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1.00</w:t>
            </w:r>
          </w:p>
        </w:tc>
      </w:tr>
      <w:tr w:rsidR="00EC1DF5" w:rsidRPr="00EC1DF5" w14:paraId="2606F426" w14:textId="77777777" w:rsidTr="00453380">
        <w:trPr>
          <w:gridAfter w:val="8"/>
          <w:wAfter w:w="5599" w:type="dxa"/>
        </w:trPr>
        <w:tc>
          <w:tcPr>
            <w:tcW w:w="1800" w:type="dxa"/>
            <w:tcBorders>
              <w:top w:val="nil"/>
              <w:left w:val="nil"/>
              <w:bottom w:val="nil"/>
              <w:right w:val="nil"/>
            </w:tcBorders>
            <w:vAlign w:val="center"/>
          </w:tcPr>
          <w:p w14:paraId="2828B62A"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(10) Size</w:t>
            </w:r>
          </w:p>
        </w:tc>
        <w:tc>
          <w:tcPr>
            <w:tcW w:w="810" w:type="dxa"/>
            <w:tcBorders>
              <w:top w:val="nil"/>
              <w:left w:val="nil"/>
              <w:bottom w:val="nil"/>
              <w:right w:val="nil"/>
            </w:tcBorders>
            <w:vAlign w:val="center"/>
          </w:tcPr>
          <w:p w14:paraId="3CE14053"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-0.09*</w:t>
            </w:r>
          </w:p>
        </w:tc>
        <w:tc>
          <w:tcPr>
            <w:tcW w:w="900" w:type="dxa"/>
            <w:tcBorders>
              <w:top w:val="nil"/>
              <w:left w:val="nil"/>
              <w:bottom w:val="nil"/>
              <w:right w:val="nil"/>
            </w:tcBorders>
            <w:vAlign w:val="center"/>
          </w:tcPr>
          <w:p w14:paraId="286D8C8A"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0.42*</w:t>
            </w:r>
          </w:p>
        </w:tc>
        <w:tc>
          <w:tcPr>
            <w:tcW w:w="810" w:type="dxa"/>
            <w:tcBorders>
              <w:top w:val="nil"/>
              <w:left w:val="nil"/>
              <w:bottom w:val="nil"/>
              <w:right w:val="nil"/>
            </w:tcBorders>
            <w:vAlign w:val="center"/>
          </w:tcPr>
          <w:p w14:paraId="0DB5628D"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0.43*</w:t>
            </w:r>
          </w:p>
        </w:tc>
        <w:tc>
          <w:tcPr>
            <w:tcW w:w="720" w:type="dxa"/>
            <w:tcBorders>
              <w:top w:val="nil"/>
              <w:left w:val="nil"/>
              <w:bottom w:val="nil"/>
              <w:right w:val="nil"/>
            </w:tcBorders>
            <w:vAlign w:val="center"/>
          </w:tcPr>
          <w:p w14:paraId="02927B97"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0.01</w:t>
            </w:r>
          </w:p>
        </w:tc>
        <w:tc>
          <w:tcPr>
            <w:tcW w:w="810" w:type="dxa"/>
            <w:tcBorders>
              <w:top w:val="nil"/>
              <w:left w:val="nil"/>
              <w:bottom w:val="nil"/>
              <w:right w:val="nil"/>
            </w:tcBorders>
            <w:vAlign w:val="center"/>
          </w:tcPr>
          <w:p w14:paraId="489C0474"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0.08*</w:t>
            </w:r>
          </w:p>
        </w:tc>
        <w:tc>
          <w:tcPr>
            <w:tcW w:w="720" w:type="dxa"/>
            <w:tcBorders>
              <w:top w:val="nil"/>
              <w:left w:val="nil"/>
              <w:bottom w:val="nil"/>
              <w:right w:val="nil"/>
            </w:tcBorders>
            <w:vAlign w:val="center"/>
          </w:tcPr>
          <w:p w14:paraId="2463C39D"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-0.20*</w:t>
            </w:r>
          </w:p>
        </w:tc>
        <w:tc>
          <w:tcPr>
            <w:tcW w:w="720" w:type="dxa"/>
            <w:tcBorders>
              <w:top w:val="nil"/>
              <w:left w:val="nil"/>
              <w:bottom w:val="nil"/>
              <w:right w:val="nil"/>
            </w:tcBorders>
            <w:vAlign w:val="center"/>
          </w:tcPr>
          <w:p w14:paraId="225436FA"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0.10*</w:t>
            </w:r>
          </w:p>
        </w:tc>
        <w:tc>
          <w:tcPr>
            <w:tcW w:w="900" w:type="dxa"/>
            <w:tcBorders>
              <w:top w:val="nil"/>
              <w:left w:val="nil"/>
              <w:bottom w:val="nil"/>
              <w:right w:val="nil"/>
            </w:tcBorders>
            <w:vAlign w:val="center"/>
          </w:tcPr>
          <w:p w14:paraId="13CDDF9A"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0.40*</w:t>
            </w:r>
          </w:p>
        </w:tc>
        <w:tc>
          <w:tcPr>
            <w:tcW w:w="810" w:type="dxa"/>
            <w:tcBorders>
              <w:top w:val="nil"/>
              <w:left w:val="nil"/>
              <w:bottom w:val="nil"/>
              <w:right w:val="nil"/>
            </w:tcBorders>
            <w:vAlign w:val="center"/>
          </w:tcPr>
          <w:p w14:paraId="5C07D50F"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-0.15*</w:t>
            </w:r>
          </w:p>
        </w:tc>
        <w:tc>
          <w:tcPr>
            <w:tcW w:w="720" w:type="dxa"/>
            <w:tcBorders>
              <w:top w:val="nil"/>
              <w:left w:val="nil"/>
              <w:bottom w:val="nil"/>
              <w:right w:val="nil"/>
            </w:tcBorders>
            <w:vAlign w:val="center"/>
          </w:tcPr>
          <w:p w14:paraId="3385908B"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1.00</w:t>
            </w:r>
          </w:p>
        </w:tc>
      </w:tr>
      <w:tr w:rsidR="00EC1DF5" w:rsidRPr="00EC1DF5" w14:paraId="35AC11F0" w14:textId="77777777" w:rsidTr="00453380">
        <w:trPr>
          <w:gridAfter w:val="7"/>
          <w:wAfter w:w="4879" w:type="dxa"/>
        </w:trPr>
        <w:tc>
          <w:tcPr>
            <w:tcW w:w="1800" w:type="dxa"/>
            <w:tcBorders>
              <w:top w:val="nil"/>
              <w:left w:val="nil"/>
              <w:bottom w:val="nil"/>
              <w:right w:val="nil"/>
            </w:tcBorders>
            <w:vAlign w:val="center"/>
          </w:tcPr>
          <w:p w14:paraId="73D10C80"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(11) Capex</w:t>
            </w:r>
          </w:p>
        </w:tc>
        <w:tc>
          <w:tcPr>
            <w:tcW w:w="810" w:type="dxa"/>
            <w:tcBorders>
              <w:top w:val="nil"/>
              <w:left w:val="nil"/>
              <w:bottom w:val="nil"/>
              <w:right w:val="nil"/>
            </w:tcBorders>
            <w:vAlign w:val="center"/>
          </w:tcPr>
          <w:p w14:paraId="35D97B45"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0.02</w:t>
            </w:r>
          </w:p>
        </w:tc>
        <w:tc>
          <w:tcPr>
            <w:tcW w:w="900" w:type="dxa"/>
            <w:tcBorders>
              <w:top w:val="nil"/>
              <w:left w:val="nil"/>
              <w:bottom w:val="nil"/>
              <w:right w:val="nil"/>
            </w:tcBorders>
            <w:vAlign w:val="center"/>
          </w:tcPr>
          <w:p w14:paraId="735AC7C7"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0.06*</w:t>
            </w:r>
          </w:p>
        </w:tc>
        <w:tc>
          <w:tcPr>
            <w:tcW w:w="810" w:type="dxa"/>
            <w:tcBorders>
              <w:top w:val="nil"/>
              <w:left w:val="nil"/>
              <w:bottom w:val="nil"/>
              <w:right w:val="nil"/>
            </w:tcBorders>
            <w:vAlign w:val="center"/>
          </w:tcPr>
          <w:p w14:paraId="7CAF0298"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0.08*</w:t>
            </w:r>
          </w:p>
        </w:tc>
        <w:tc>
          <w:tcPr>
            <w:tcW w:w="720" w:type="dxa"/>
            <w:tcBorders>
              <w:top w:val="nil"/>
              <w:left w:val="nil"/>
              <w:bottom w:val="nil"/>
              <w:right w:val="nil"/>
            </w:tcBorders>
            <w:vAlign w:val="center"/>
          </w:tcPr>
          <w:p w14:paraId="6103713C"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-0.02</w:t>
            </w:r>
          </w:p>
        </w:tc>
        <w:tc>
          <w:tcPr>
            <w:tcW w:w="810" w:type="dxa"/>
            <w:tcBorders>
              <w:top w:val="nil"/>
              <w:left w:val="nil"/>
              <w:bottom w:val="nil"/>
              <w:right w:val="nil"/>
            </w:tcBorders>
            <w:vAlign w:val="center"/>
          </w:tcPr>
          <w:p w14:paraId="5C1BF9EA"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-0.02</w:t>
            </w:r>
          </w:p>
        </w:tc>
        <w:tc>
          <w:tcPr>
            <w:tcW w:w="720" w:type="dxa"/>
            <w:tcBorders>
              <w:top w:val="nil"/>
              <w:left w:val="nil"/>
              <w:bottom w:val="nil"/>
              <w:right w:val="nil"/>
            </w:tcBorders>
            <w:vAlign w:val="center"/>
          </w:tcPr>
          <w:p w14:paraId="384F6E29"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0.02</w:t>
            </w:r>
          </w:p>
        </w:tc>
        <w:tc>
          <w:tcPr>
            <w:tcW w:w="720" w:type="dxa"/>
            <w:tcBorders>
              <w:top w:val="nil"/>
              <w:left w:val="nil"/>
              <w:bottom w:val="nil"/>
              <w:right w:val="nil"/>
            </w:tcBorders>
            <w:vAlign w:val="center"/>
          </w:tcPr>
          <w:p w14:paraId="5A41E0CD"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0.03*</w:t>
            </w:r>
          </w:p>
        </w:tc>
        <w:tc>
          <w:tcPr>
            <w:tcW w:w="900" w:type="dxa"/>
            <w:tcBorders>
              <w:top w:val="nil"/>
              <w:left w:val="nil"/>
              <w:bottom w:val="nil"/>
              <w:right w:val="nil"/>
            </w:tcBorders>
            <w:vAlign w:val="center"/>
          </w:tcPr>
          <w:p w14:paraId="2C5A045F"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0.11*</w:t>
            </w:r>
          </w:p>
        </w:tc>
        <w:tc>
          <w:tcPr>
            <w:tcW w:w="810" w:type="dxa"/>
            <w:tcBorders>
              <w:top w:val="nil"/>
              <w:left w:val="nil"/>
              <w:bottom w:val="nil"/>
              <w:right w:val="nil"/>
            </w:tcBorders>
            <w:vAlign w:val="center"/>
          </w:tcPr>
          <w:p w14:paraId="14667992"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-0.02</w:t>
            </w:r>
          </w:p>
        </w:tc>
        <w:tc>
          <w:tcPr>
            <w:tcW w:w="720" w:type="dxa"/>
            <w:tcBorders>
              <w:top w:val="nil"/>
              <w:left w:val="nil"/>
              <w:bottom w:val="nil"/>
              <w:right w:val="nil"/>
            </w:tcBorders>
            <w:vAlign w:val="center"/>
          </w:tcPr>
          <w:p w14:paraId="3A528D56"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0.04*</w:t>
            </w:r>
          </w:p>
        </w:tc>
        <w:tc>
          <w:tcPr>
            <w:tcW w:w="720" w:type="dxa"/>
            <w:tcBorders>
              <w:top w:val="nil"/>
              <w:left w:val="nil"/>
              <w:bottom w:val="nil"/>
              <w:right w:val="nil"/>
            </w:tcBorders>
            <w:vAlign w:val="center"/>
          </w:tcPr>
          <w:p w14:paraId="0C04F808"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1.00</w:t>
            </w:r>
          </w:p>
        </w:tc>
      </w:tr>
      <w:tr w:rsidR="00EC1DF5" w:rsidRPr="00EC1DF5" w14:paraId="47CF329A" w14:textId="77777777" w:rsidTr="00453380">
        <w:trPr>
          <w:gridAfter w:val="6"/>
          <w:wAfter w:w="4069" w:type="dxa"/>
        </w:trPr>
        <w:tc>
          <w:tcPr>
            <w:tcW w:w="1800" w:type="dxa"/>
            <w:tcBorders>
              <w:top w:val="nil"/>
              <w:left w:val="nil"/>
              <w:bottom w:val="nil"/>
              <w:right w:val="nil"/>
            </w:tcBorders>
            <w:vAlign w:val="center"/>
          </w:tcPr>
          <w:p w14:paraId="25390585"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(12) Slack</w:t>
            </w:r>
          </w:p>
        </w:tc>
        <w:tc>
          <w:tcPr>
            <w:tcW w:w="810" w:type="dxa"/>
            <w:tcBorders>
              <w:top w:val="nil"/>
              <w:left w:val="nil"/>
              <w:bottom w:val="nil"/>
              <w:right w:val="nil"/>
            </w:tcBorders>
            <w:vAlign w:val="center"/>
          </w:tcPr>
          <w:p w14:paraId="17959749"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0.49*</w:t>
            </w:r>
          </w:p>
        </w:tc>
        <w:tc>
          <w:tcPr>
            <w:tcW w:w="900" w:type="dxa"/>
            <w:tcBorders>
              <w:top w:val="nil"/>
              <w:left w:val="nil"/>
              <w:bottom w:val="nil"/>
              <w:right w:val="nil"/>
            </w:tcBorders>
            <w:vAlign w:val="center"/>
          </w:tcPr>
          <w:p w14:paraId="60D9886F"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-0.09*</w:t>
            </w:r>
          </w:p>
        </w:tc>
        <w:tc>
          <w:tcPr>
            <w:tcW w:w="810" w:type="dxa"/>
            <w:tcBorders>
              <w:top w:val="nil"/>
              <w:left w:val="nil"/>
              <w:bottom w:val="nil"/>
              <w:right w:val="nil"/>
            </w:tcBorders>
            <w:vAlign w:val="center"/>
          </w:tcPr>
          <w:p w14:paraId="1453FE04"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-0.07*</w:t>
            </w:r>
          </w:p>
        </w:tc>
        <w:tc>
          <w:tcPr>
            <w:tcW w:w="720" w:type="dxa"/>
            <w:tcBorders>
              <w:top w:val="nil"/>
              <w:left w:val="nil"/>
              <w:bottom w:val="nil"/>
              <w:right w:val="nil"/>
            </w:tcBorders>
            <w:vAlign w:val="center"/>
          </w:tcPr>
          <w:p w14:paraId="7544A44F"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-0.03*</w:t>
            </w:r>
          </w:p>
        </w:tc>
        <w:tc>
          <w:tcPr>
            <w:tcW w:w="810" w:type="dxa"/>
            <w:tcBorders>
              <w:top w:val="nil"/>
              <w:left w:val="nil"/>
              <w:bottom w:val="nil"/>
              <w:right w:val="nil"/>
            </w:tcBorders>
            <w:vAlign w:val="center"/>
          </w:tcPr>
          <w:p w14:paraId="65606821"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0.02</w:t>
            </w:r>
          </w:p>
        </w:tc>
        <w:tc>
          <w:tcPr>
            <w:tcW w:w="720" w:type="dxa"/>
            <w:tcBorders>
              <w:top w:val="nil"/>
              <w:left w:val="nil"/>
              <w:bottom w:val="nil"/>
              <w:right w:val="nil"/>
            </w:tcBorders>
            <w:vAlign w:val="center"/>
          </w:tcPr>
          <w:p w14:paraId="3E879686"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-0.02</w:t>
            </w:r>
          </w:p>
        </w:tc>
        <w:tc>
          <w:tcPr>
            <w:tcW w:w="720" w:type="dxa"/>
            <w:tcBorders>
              <w:top w:val="nil"/>
              <w:left w:val="nil"/>
              <w:bottom w:val="nil"/>
              <w:right w:val="nil"/>
            </w:tcBorders>
            <w:vAlign w:val="center"/>
          </w:tcPr>
          <w:p w14:paraId="72A67907"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-0.05*</w:t>
            </w:r>
          </w:p>
        </w:tc>
        <w:tc>
          <w:tcPr>
            <w:tcW w:w="900" w:type="dxa"/>
            <w:tcBorders>
              <w:top w:val="nil"/>
              <w:left w:val="nil"/>
              <w:bottom w:val="nil"/>
              <w:right w:val="nil"/>
            </w:tcBorders>
            <w:vAlign w:val="center"/>
          </w:tcPr>
          <w:p w14:paraId="777E0663"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-0.13*</w:t>
            </w:r>
          </w:p>
        </w:tc>
        <w:tc>
          <w:tcPr>
            <w:tcW w:w="810" w:type="dxa"/>
            <w:tcBorders>
              <w:top w:val="nil"/>
              <w:left w:val="nil"/>
              <w:bottom w:val="nil"/>
              <w:right w:val="nil"/>
            </w:tcBorders>
            <w:vAlign w:val="center"/>
          </w:tcPr>
          <w:p w14:paraId="38C8061E"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0.22*</w:t>
            </w:r>
          </w:p>
        </w:tc>
        <w:tc>
          <w:tcPr>
            <w:tcW w:w="720" w:type="dxa"/>
            <w:tcBorders>
              <w:top w:val="nil"/>
              <w:left w:val="nil"/>
              <w:bottom w:val="nil"/>
              <w:right w:val="nil"/>
            </w:tcBorders>
            <w:vAlign w:val="center"/>
          </w:tcPr>
          <w:p w14:paraId="6C9F7401"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-0.01</w:t>
            </w:r>
          </w:p>
        </w:tc>
        <w:tc>
          <w:tcPr>
            <w:tcW w:w="720" w:type="dxa"/>
            <w:tcBorders>
              <w:top w:val="nil"/>
              <w:left w:val="nil"/>
              <w:bottom w:val="nil"/>
              <w:right w:val="nil"/>
            </w:tcBorders>
            <w:vAlign w:val="center"/>
          </w:tcPr>
          <w:p w14:paraId="3C3232AA"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-0.16*</w:t>
            </w:r>
          </w:p>
        </w:tc>
        <w:tc>
          <w:tcPr>
            <w:tcW w:w="810" w:type="dxa"/>
            <w:tcBorders>
              <w:top w:val="nil"/>
              <w:left w:val="nil"/>
              <w:bottom w:val="nil"/>
              <w:right w:val="nil"/>
            </w:tcBorders>
            <w:vAlign w:val="center"/>
          </w:tcPr>
          <w:p w14:paraId="6CCE779A"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1.00</w:t>
            </w:r>
          </w:p>
        </w:tc>
      </w:tr>
      <w:tr w:rsidR="00EC1DF5" w:rsidRPr="00EC1DF5" w14:paraId="2E57C95D" w14:textId="77777777" w:rsidTr="00453380">
        <w:trPr>
          <w:gridAfter w:val="5"/>
          <w:wAfter w:w="3259" w:type="dxa"/>
        </w:trPr>
        <w:tc>
          <w:tcPr>
            <w:tcW w:w="1800" w:type="dxa"/>
            <w:tcBorders>
              <w:top w:val="nil"/>
              <w:left w:val="nil"/>
              <w:bottom w:val="nil"/>
              <w:right w:val="nil"/>
            </w:tcBorders>
            <w:vAlign w:val="center"/>
          </w:tcPr>
          <w:p w14:paraId="72D507E6"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(13) Growth</w:t>
            </w:r>
          </w:p>
        </w:tc>
        <w:tc>
          <w:tcPr>
            <w:tcW w:w="810" w:type="dxa"/>
            <w:tcBorders>
              <w:top w:val="nil"/>
              <w:left w:val="nil"/>
              <w:bottom w:val="nil"/>
              <w:right w:val="nil"/>
            </w:tcBorders>
            <w:vAlign w:val="center"/>
          </w:tcPr>
          <w:p w14:paraId="719CE71B"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0.15*</w:t>
            </w:r>
          </w:p>
        </w:tc>
        <w:tc>
          <w:tcPr>
            <w:tcW w:w="900" w:type="dxa"/>
            <w:tcBorders>
              <w:top w:val="nil"/>
              <w:left w:val="nil"/>
              <w:bottom w:val="nil"/>
              <w:right w:val="nil"/>
            </w:tcBorders>
            <w:vAlign w:val="center"/>
          </w:tcPr>
          <w:p w14:paraId="2B5AEE05"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-0.22*</w:t>
            </w:r>
          </w:p>
        </w:tc>
        <w:tc>
          <w:tcPr>
            <w:tcW w:w="810" w:type="dxa"/>
            <w:tcBorders>
              <w:top w:val="nil"/>
              <w:left w:val="nil"/>
              <w:bottom w:val="nil"/>
              <w:right w:val="nil"/>
            </w:tcBorders>
            <w:vAlign w:val="center"/>
          </w:tcPr>
          <w:p w14:paraId="5A6A0F5B"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-0.24*</w:t>
            </w:r>
          </w:p>
        </w:tc>
        <w:tc>
          <w:tcPr>
            <w:tcW w:w="720" w:type="dxa"/>
            <w:tcBorders>
              <w:top w:val="nil"/>
              <w:left w:val="nil"/>
              <w:bottom w:val="nil"/>
              <w:right w:val="nil"/>
            </w:tcBorders>
            <w:vAlign w:val="center"/>
          </w:tcPr>
          <w:p w14:paraId="31DBF239"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0.02</w:t>
            </w:r>
          </w:p>
        </w:tc>
        <w:tc>
          <w:tcPr>
            <w:tcW w:w="810" w:type="dxa"/>
            <w:tcBorders>
              <w:top w:val="nil"/>
              <w:left w:val="nil"/>
              <w:bottom w:val="nil"/>
              <w:right w:val="nil"/>
            </w:tcBorders>
            <w:vAlign w:val="center"/>
          </w:tcPr>
          <w:p w14:paraId="5DE83837"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-0.07*</w:t>
            </w:r>
          </w:p>
        </w:tc>
        <w:tc>
          <w:tcPr>
            <w:tcW w:w="720" w:type="dxa"/>
            <w:tcBorders>
              <w:top w:val="nil"/>
              <w:left w:val="nil"/>
              <w:bottom w:val="nil"/>
              <w:right w:val="nil"/>
            </w:tcBorders>
            <w:vAlign w:val="center"/>
          </w:tcPr>
          <w:p w14:paraId="30C18912"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-0.04*</w:t>
            </w:r>
          </w:p>
        </w:tc>
        <w:tc>
          <w:tcPr>
            <w:tcW w:w="720" w:type="dxa"/>
            <w:tcBorders>
              <w:top w:val="nil"/>
              <w:left w:val="nil"/>
              <w:bottom w:val="nil"/>
              <w:right w:val="nil"/>
            </w:tcBorders>
            <w:vAlign w:val="center"/>
          </w:tcPr>
          <w:p w14:paraId="0BB45162"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-0.04*</w:t>
            </w:r>
          </w:p>
        </w:tc>
        <w:tc>
          <w:tcPr>
            <w:tcW w:w="900" w:type="dxa"/>
            <w:tcBorders>
              <w:top w:val="nil"/>
              <w:left w:val="nil"/>
              <w:bottom w:val="nil"/>
              <w:right w:val="nil"/>
            </w:tcBorders>
            <w:vAlign w:val="center"/>
          </w:tcPr>
          <w:p w14:paraId="1FA2C7EA"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-0.23*</w:t>
            </w:r>
          </w:p>
        </w:tc>
        <w:tc>
          <w:tcPr>
            <w:tcW w:w="810" w:type="dxa"/>
            <w:tcBorders>
              <w:top w:val="nil"/>
              <w:left w:val="nil"/>
              <w:bottom w:val="nil"/>
              <w:right w:val="nil"/>
            </w:tcBorders>
            <w:vAlign w:val="center"/>
          </w:tcPr>
          <w:p w14:paraId="42DC0F09"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0.07*</w:t>
            </w:r>
          </w:p>
        </w:tc>
        <w:tc>
          <w:tcPr>
            <w:tcW w:w="720" w:type="dxa"/>
            <w:tcBorders>
              <w:top w:val="nil"/>
              <w:left w:val="nil"/>
              <w:bottom w:val="nil"/>
              <w:right w:val="nil"/>
            </w:tcBorders>
            <w:vAlign w:val="center"/>
          </w:tcPr>
          <w:p w14:paraId="0F399A7F"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0.02</w:t>
            </w:r>
          </w:p>
        </w:tc>
        <w:tc>
          <w:tcPr>
            <w:tcW w:w="720" w:type="dxa"/>
            <w:tcBorders>
              <w:top w:val="nil"/>
              <w:left w:val="nil"/>
              <w:bottom w:val="nil"/>
              <w:right w:val="nil"/>
            </w:tcBorders>
            <w:vAlign w:val="center"/>
          </w:tcPr>
          <w:p w14:paraId="2FE8C5E4"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0.01</w:t>
            </w:r>
          </w:p>
        </w:tc>
        <w:tc>
          <w:tcPr>
            <w:tcW w:w="810" w:type="dxa"/>
            <w:tcBorders>
              <w:top w:val="nil"/>
              <w:left w:val="nil"/>
              <w:bottom w:val="nil"/>
              <w:right w:val="nil"/>
            </w:tcBorders>
            <w:vAlign w:val="center"/>
          </w:tcPr>
          <w:p w14:paraId="0FFC87CF"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0.16*</w:t>
            </w:r>
          </w:p>
        </w:tc>
        <w:tc>
          <w:tcPr>
            <w:tcW w:w="810" w:type="dxa"/>
            <w:tcBorders>
              <w:top w:val="nil"/>
              <w:left w:val="nil"/>
              <w:bottom w:val="nil"/>
              <w:right w:val="nil"/>
            </w:tcBorders>
            <w:vAlign w:val="center"/>
          </w:tcPr>
          <w:p w14:paraId="65F2CAB7"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1.00</w:t>
            </w:r>
          </w:p>
        </w:tc>
      </w:tr>
      <w:tr w:rsidR="00EC1DF5" w:rsidRPr="00EC1DF5" w14:paraId="56CA7FFF" w14:textId="77777777" w:rsidTr="00453380">
        <w:trPr>
          <w:gridAfter w:val="4"/>
          <w:wAfter w:w="2539" w:type="dxa"/>
        </w:trPr>
        <w:tc>
          <w:tcPr>
            <w:tcW w:w="1800" w:type="dxa"/>
            <w:tcBorders>
              <w:top w:val="nil"/>
              <w:left w:val="nil"/>
              <w:bottom w:val="nil"/>
              <w:right w:val="nil"/>
            </w:tcBorders>
            <w:vAlign w:val="center"/>
          </w:tcPr>
          <w:p w14:paraId="78D4CA6D"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(14) Leverage</w:t>
            </w:r>
          </w:p>
        </w:tc>
        <w:tc>
          <w:tcPr>
            <w:tcW w:w="810" w:type="dxa"/>
            <w:tcBorders>
              <w:top w:val="nil"/>
              <w:left w:val="nil"/>
              <w:bottom w:val="nil"/>
              <w:right w:val="nil"/>
            </w:tcBorders>
            <w:vAlign w:val="center"/>
          </w:tcPr>
          <w:p w14:paraId="1666A90B"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0.08*</w:t>
            </w:r>
          </w:p>
        </w:tc>
        <w:tc>
          <w:tcPr>
            <w:tcW w:w="900" w:type="dxa"/>
            <w:tcBorders>
              <w:top w:val="nil"/>
              <w:left w:val="nil"/>
              <w:bottom w:val="nil"/>
              <w:right w:val="nil"/>
            </w:tcBorders>
            <w:vAlign w:val="center"/>
          </w:tcPr>
          <w:p w14:paraId="7B6FBEC5"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0.07*</w:t>
            </w:r>
          </w:p>
        </w:tc>
        <w:tc>
          <w:tcPr>
            <w:tcW w:w="810" w:type="dxa"/>
            <w:tcBorders>
              <w:top w:val="nil"/>
              <w:left w:val="nil"/>
              <w:bottom w:val="nil"/>
              <w:right w:val="nil"/>
            </w:tcBorders>
            <w:vAlign w:val="center"/>
          </w:tcPr>
          <w:p w14:paraId="08F6791E"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0.10*</w:t>
            </w:r>
          </w:p>
        </w:tc>
        <w:tc>
          <w:tcPr>
            <w:tcW w:w="720" w:type="dxa"/>
            <w:tcBorders>
              <w:top w:val="nil"/>
              <w:left w:val="nil"/>
              <w:bottom w:val="nil"/>
              <w:right w:val="nil"/>
            </w:tcBorders>
            <w:vAlign w:val="center"/>
          </w:tcPr>
          <w:p w14:paraId="72911696"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0.04*</w:t>
            </w:r>
          </w:p>
        </w:tc>
        <w:tc>
          <w:tcPr>
            <w:tcW w:w="810" w:type="dxa"/>
            <w:tcBorders>
              <w:top w:val="nil"/>
              <w:left w:val="nil"/>
              <w:bottom w:val="nil"/>
              <w:right w:val="nil"/>
            </w:tcBorders>
            <w:vAlign w:val="center"/>
          </w:tcPr>
          <w:p w14:paraId="431C7C84"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0.08*</w:t>
            </w:r>
          </w:p>
        </w:tc>
        <w:tc>
          <w:tcPr>
            <w:tcW w:w="720" w:type="dxa"/>
            <w:tcBorders>
              <w:top w:val="nil"/>
              <w:left w:val="nil"/>
              <w:bottom w:val="nil"/>
              <w:right w:val="nil"/>
            </w:tcBorders>
            <w:vAlign w:val="center"/>
          </w:tcPr>
          <w:p w14:paraId="36E1AFE4"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0.01</w:t>
            </w:r>
          </w:p>
        </w:tc>
        <w:tc>
          <w:tcPr>
            <w:tcW w:w="720" w:type="dxa"/>
            <w:tcBorders>
              <w:top w:val="nil"/>
              <w:left w:val="nil"/>
              <w:bottom w:val="nil"/>
              <w:right w:val="nil"/>
            </w:tcBorders>
            <w:vAlign w:val="center"/>
          </w:tcPr>
          <w:p w14:paraId="0B2592CD"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-0.04*</w:t>
            </w:r>
          </w:p>
        </w:tc>
        <w:tc>
          <w:tcPr>
            <w:tcW w:w="900" w:type="dxa"/>
            <w:tcBorders>
              <w:top w:val="nil"/>
              <w:left w:val="nil"/>
              <w:bottom w:val="nil"/>
              <w:right w:val="nil"/>
            </w:tcBorders>
            <w:vAlign w:val="center"/>
          </w:tcPr>
          <w:p w14:paraId="3B7D7533"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0.12*</w:t>
            </w:r>
          </w:p>
        </w:tc>
        <w:tc>
          <w:tcPr>
            <w:tcW w:w="810" w:type="dxa"/>
            <w:tcBorders>
              <w:top w:val="nil"/>
              <w:left w:val="nil"/>
              <w:bottom w:val="nil"/>
              <w:right w:val="nil"/>
            </w:tcBorders>
            <w:vAlign w:val="center"/>
          </w:tcPr>
          <w:p w14:paraId="5705FE3E"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-0.07*</w:t>
            </w:r>
          </w:p>
        </w:tc>
        <w:tc>
          <w:tcPr>
            <w:tcW w:w="720" w:type="dxa"/>
            <w:tcBorders>
              <w:top w:val="nil"/>
              <w:left w:val="nil"/>
              <w:bottom w:val="nil"/>
              <w:right w:val="nil"/>
            </w:tcBorders>
            <w:vAlign w:val="center"/>
          </w:tcPr>
          <w:p w14:paraId="1BF76CC3"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-0.09*</w:t>
            </w:r>
          </w:p>
        </w:tc>
        <w:tc>
          <w:tcPr>
            <w:tcW w:w="720" w:type="dxa"/>
            <w:tcBorders>
              <w:top w:val="nil"/>
              <w:left w:val="nil"/>
              <w:bottom w:val="nil"/>
              <w:right w:val="nil"/>
            </w:tcBorders>
            <w:vAlign w:val="center"/>
          </w:tcPr>
          <w:p w14:paraId="7E143F51"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0.02</w:t>
            </w:r>
          </w:p>
        </w:tc>
        <w:tc>
          <w:tcPr>
            <w:tcW w:w="810" w:type="dxa"/>
            <w:tcBorders>
              <w:top w:val="nil"/>
              <w:left w:val="nil"/>
              <w:bottom w:val="nil"/>
              <w:right w:val="nil"/>
            </w:tcBorders>
            <w:vAlign w:val="center"/>
          </w:tcPr>
          <w:p w14:paraId="69CDF564"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-0.24*</w:t>
            </w:r>
          </w:p>
        </w:tc>
        <w:tc>
          <w:tcPr>
            <w:tcW w:w="810" w:type="dxa"/>
            <w:tcBorders>
              <w:top w:val="nil"/>
              <w:left w:val="nil"/>
              <w:bottom w:val="nil"/>
              <w:right w:val="nil"/>
            </w:tcBorders>
            <w:vAlign w:val="center"/>
          </w:tcPr>
          <w:p w14:paraId="1D4BFDFC"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-0.16*</w:t>
            </w:r>
          </w:p>
        </w:tc>
        <w:tc>
          <w:tcPr>
            <w:tcW w:w="720" w:type="dxa"/>
            <w:tcBorders>
              <w:top w:val="nil"/>
              <w:left w:val="nil"/>
              <w:bottom w:val="nil"/>
              <w:right w:val="nil"/>
            </w:tcBorders>
            <w:vAlign w:val="center"/>
          </w:tcPr>
          <w:p w14:paraId="075B5B4E"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1.00</w:t>
            </w:r>
          </w:p>
        </w:tc>
      </w:tr>
      <w:tr w:rsidR="00EC1DF5" w:rsidRPr="00EC1DF5" w14:paraId="6A48116B" w14:textId="77777777" w:rsidTr="00453380">
        <w:trPr>
          <w:gridAfter w:val="3"/>
          <w:wAfter w:w="1819" w:type="dxa"/>
        </w:trPr>
        <w:tc>
          <w:tcPr>
            <w:tcW w:w="1800" w:type="dxa"/>
            <w:tcBorders>
              <w:top w:val="nil"/>
              <w:left w:val="nil"/>
              <w:bottom w:val="nil"/>
              <w:right w:val="nil"/>
            </w:tcBorders>
            <w:vAlign w:val="center"/>
          </w:tcPr>
          <w:p w14:paraId="319D5079"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(15) R &amp; D</w:t>
            </w:r>
          </w:p>
        </w:tc>
        <w:tc>
          <w:tcPr>
            <w:tcW w:w="810" w:type="dxa"/>
            <w:tcBorders>
              <w:top w:val="nil"/>
              <w:left w:val="nil"/>
              <w:bottom w:val="nil"/>
              <w:right w:val="nil"/>
            </w:tcBorders>
            <w:vAlign w:val="center"/>
          </w:tcPr>
          <w:p w14:paraId="7B250EF1"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0.09*</w:t>
            </w:r>
          </w:p>
        </w:tc>
        <w:tc>
          <w:tcPr>
            <w:tcW w:w="900" w:type="dxa"/>
            <w:tcBorders>
              <w:top w:val="nil"/>
              <w:left w:val="nil"/>
              <w:bottom w:val="nil"/>
              <w:right w:val="nil"/>
            </w:tcBorders>
            <w:vAlign w:val="center"/>
          </w:tcPr>
          <w:p w14:paraId="57BB1D59"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-0.03</w:t>
            </w:r>
          </w:p>
        </w:tc>
        <w:tc>
          <w:tcPr>
            <w:tcW w:w="810" w:type="dxa"/>
            <w:tcBorders>
              <w:top w:val="nil"/>
              <w:left w:val="nil"/>
              <w:bottom w:val="nil"/>
              <w:right w:val="nil"/>
            </w:tcBorders>
            <w:vAlign w:val="center"/>
          </w:tcPr>
          <w:p w14:paraId="4061CB74"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-0.03*</w:t>
            </w:r>
          </w:p>
        </w:tc>
        <w:tc>
          <w:tcPr>
            <w:tcW w:w="720" w:type="dxa"/>
            <w:tcBorders>
              <w:top w:val="nil"/>
              <w:left w:val="nil"/>
              <w:bottom w:val="nil"/>
              <w:right w:val="nil"/>
            </w:tcBorders>
            <w:vAlign w:val="center"/>
          </w:tcPr>
          <w:p w14:paraId="02C6FF1B"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-0.03*</w:t>
            </w:r>
          </w:p>
        </w:tc>
        <w:tc>
          <w:tcPr>
            <w:tcW w:w="810" w:type="dxa"/>
            <w:tcBorders>
              <w:top w:val="nil"/>
              <w:left w:val="nil"/>
              <w:bottom w:val="nil"/>
              <w:right w:val="nil"/>
            </w:tcBorders>
            <w:vAlign w:val="center"/>
          </w:tcPr>
          <w:p w14:paraId="273559BF"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-0.01</w:t>
            </w:r>
          </w:p>
        </w:tc>
        <w:tc>
          <w:tcPr>
            <w:tcW w:w="720" w:type="dxa"/>
            <w:tcBorders>
              <w:top w:val="nil"/>
              <w:left w:val="nil"/>
              <w:bottom w:val="nil"/>
              <w:right w:val="nil"/>
            </w:tcBorders>
            <w:vAlign w:val="center"/>
          </w:tcPr>
          <w:p w14:paraId="44C0AAF0"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-0.07*</w:t>
            </w:r>
          </w:p>
        </w:tc>
        <w:tc>
          <w:tcPr>
            <w:tcW w:w="720" w:type="dxa"/>
            <w:tcBorders>
              <w:top w:val="nil"/>
              <w:left w:val="nil"/>
              <w:bottom w:val="nil"/>
              <w:right w:val="nil"/>
            </w:tcBorders>
            <w:vAlign w:val="center"/>
          </w:tcPr>
          <w:p w14:paraId="2E6A8CA9"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-0.01</w:t>
            </w:r>
          </w:p>
        </w:tc>
        <w:tc>
          <w:tcPr>
            <w:tcW w:w="900" w:type="dxa"/>
            <w:tcBorders>
              <w:top w:val="nil"/>
              <w:left w:val="nil"/>
              <w:bottom w:val="nil"/>
              <w:right w:val="nil"/>
            </w:tcBorders>
            <w:vAlign w:val="center"/>
          </w:tcPr>
          <w:p w14:paraId="48A2F035"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-0.06*</w:t>
            </w:r>
          </w:p>
        </w:tc>
        <w:tc>
          <w:tcPr>
            <w:tcW w:w="810" w:type="dxa"/>
            <w:tcBorders>
              <w:top w:val="nil"/>
              <w:left w:val="nil"/>
              <w:bottom w:val="nil"/>
              <w:right w:val="nil"/>
            </w:tcBorders>
            <w:vAlign w:val="center"/>
          </w:tcPr>
          <w:p w14:paraId="2DE5FFAA"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0.07*</w:t>
            </w:r>
          </w:p>
        </w:tc>
        <w:tc>
          <w:tcPr>
            <w:tcW w:w="720" w:type="dxa"/>
            <w:tcBorders>
              <w:top w:val="nil"/>
              <w:left w:val="nil"/>
              <w:bottom w:val="nil"/>
              <w:right w:val="nil"/>
            </w:tcBorders>
            <w:vAlign w:val="center"/>
          </w:tcPr>
          <w:p w14:paraId="6B8DF180"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0.02</w:t>
            </w:r>
          </w:p>
        </w:tc>
        <w:tc>
          <w:tcPr>
            <w:tcW w:w="720" w:type="dxa"/>
            <w:tcBorders>
              <w:top w:val="nil"/>
              <w:left w:val="nil"/>
              <w:bottom w:val="nil"/>
              <w:right w:val="nil"/>
            </w:tcBorders>
            <w:vAlign w:val="center"/>
          </w:tcPr>
          <w:p w14:paraId="3F76A60C"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-0.12*</w:t>
            </w:r>
          </w:p>
        </w:tc>
        <w:tc>
          <w:tcPr>
            <w:tcW w:w="810" w:type="dxa"/>
            <w:tcBorders>
              <w:top w:val="nil"/>
              <w:left w:val="nil"/>
              <w:bottom w:val="nil"/>
              <w:right w:val="nil"/>
            </w:tcBorders>
            <w:vAlign w:val="center"/>
          </w:tcPr>
          <w:p w14:paraId="45CCFF96"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0.29*</w:t>
            </w:r>
          </w:p>
        </w:tc>
        <w:tc>
          <w:tcPr>
            <w:tcW w:w="810" w:type="dxa"/>
            <w:tcBorders>
              <w:top w:val="nil"/>
              <w:left w:val="nil"/>
              <w:bottom w:val="nil"/>
              <w:right w:val="nil"/>
            </w:tcBorders>
            <w:vAlign w:val="center"/>
          </w:tcPr>
          <w:p w14:paraId="6476068A"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0.06*</w:t>
            </w:r>
          </w:p>
        </w:tc>
        <w:tc>
          <w:tcPr>
            <w:tcW w:w="720" w:type="dxa"/>
            <w:tcBorders>
              <w:top w:val="nil"/>
              <w:left w:val="nil"/>
              <w:bottom w:val="nil"/>
              <w:right w:val="nil"/>
            </w:tcBorders>
            <w:vAlign w:val="center"/>
          </w:tcPr>
          <w:p w14:paraId="1EE5CF4D"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-0.11*</w:t>
            </w:r>
          </w:p>
        </w:tc>
        <w:tc>
          <w:tcPr>
            <w:tcW w:w="720" w:type="dxa"/>
            <w:tcBorders>
              <w:top w:val="nil"/>
              <w:left w:val="nil"/>
              <w:bottom w:val="nil"/>
              <w:right w:val="nil"/>
            </w:tcBorders>
            <w:vAlign w:val="center"/>
          </w:tcPr>
          <w:p w14:paraId="714E776A"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1.00</w:t>
            </w:r>
          </w:p>
        </w:tc>
      </w:tr>
      <w:tr w:rsidR="00EC1DF5" w:rsidRPr="00EC1DF5" w14:paraId="2DB51B58" w14:textId="77777777" w:rsidTr="00453380">
        <w:trPr>
          <w:gridAfter w:val="2"/>
          <w:wAfter w:w="1189" w:type="dxa"/>
        </w:trPr>
        <w:tc>
          <w:tcPr>
            <w:tcW w:w="1800" w:type="dxa"/>
            <w:tcBorders>
              <w:top w:val="nil"/>
              <w:left w:val="nil"/>
              <w:bottom w:val="nil"/>
              <w:right w:val="nil"/>
            </w:tcBorders>
            <w:vAlign w:val="center"/>
          </w:tcPr>
          <w:p w14:paraId="69D13612"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(16) Ethics</w:t>
            </w:r>
          </w:p>
        </w:tc>
        <w:tc>
          <w:tcPr>
            <w:tcW w:w="810" w:type="dxa"/>
            <w:tcBorders>
              <w:top w:val="nil"/>
              <w:left w:val="nil"/>
              <w:bottom w:val="nil"/>
              <w:right w:val="nil"/>
            </w:tcBorders>
            <w:vAlign w:val="center"/>
          </w:tcPr>
          <w:p w14:paraId="1A144894"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-0.09*</w:t>
            </w:r>
          </w:p>
        </w:tc>
        <w:tc>
          <w:tcPr>
            <w:tcW w:w="900" w:type="dxa"/>
            <w:tcBorders>
              <w:top w:val="nil"/>
              <w:left w:val="nil"/>
              <w:bottom w:val="nil"/>
              <w:right w:val="nil"/>
            </w:tcBorders>
            <w:vAlign w:val="center"/>
          </w:tcPr>
          <w:p w14:paraId="173108CB"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0.44*</w:t>
            </w:r>
          </w:p>
        </w:tc>
        <w:tc>
          <w:tcPr>
            <w:tcW w:w="810" w:type="dxa"/>
            <w:tcBorders>
              <w:top w:val="nil"/>
              <w:left w:val="nil"/>
              <w:bottom w:val="nil"/>
              <w:right w:val="nil"/>
            </w:tcBorders>
            <w:vAlign w:val="center"/>
          </w:tcPr>
          <w:p w14:paraId="4F2B21F8"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0.40*</w:t>
            </w:r>
          </w:p>
        </w:tc>
        <w:tc>
          <w:tcPr>
            <w:tcW w:w="720" w:type="dxa"/>
            <w:tcBorders>
              <w:top w:val="nil"/>
              <w:left w:val="nil"/>
              <w:bottom w:val="nil"/>
              <w:right w:val="nil"/>
            </w:tcBorders>
            <w:vAlign w:val="center"/>
          </w:tcPr>
          <w:p w14:paraId="44C31936"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0.03*</w:t>
            </w:r>
          </w:p>
        </w:tc>
        <w:tc>
          <w:tcPr>
            <w:tcW w:w="810" w:type="dxa"/>
            <w:tcBorders>
              <w:top w:val="nil"/>
              <w:left w:val="nil"/>
              <w:bottom w:val="nil"/>
              <w:right w:val="nil"/>
            </w:tcBorders>
            <w:vAlign w:val="center"/>
          </w:tcPr>
          <w:p w14:paraId="0BAAF899"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0.13*</w:t>
            </w:r>
          </w:p>
        </w:tc>
        <w:tc>
          <w:tcPr>
            <w:tcW w:w="720" w:type="dxa"/>
            <w:tcBorders>
              <w:top w:val="nil"/>
              <w:left w:val="nil"/>
              <w:bottom w:val="nil"/>
              <w:right w:val="nil"/>
            </w:tcBorders>
            <w:vAlign w:val="center"/>
          </w:tcPr>
          <w:p w14:paraId="390FC01A"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-0.01</w:t>
            </w:r>
          </w:p>
        </w:tc>
        <w:tc>
          <w:tcPr>
            <w:tcW w:w="720" w:type="dxa"/>
            <w:tcBorders>
              <w:top w:val="nil"/>
              <w:left w:val="nil"/>
              <w:bottom w:val="nil"/>
              <w:right w:val="nil"/>
            </w:tcBorders>
            <w:vAlign w:val="center"/>
          </w:tcPr>
          <w:p w14:paraId="2C4979F7"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-0.01</w:t>
            </w:r>
          </w:p>
        </w:tc>
        <w:tc>
          <w:tcPr>
            <w:tcW w:w="900" w:type="dxa"/>
            <w:tcBorders>
              <w:top w:val="nil"/>
              <w:left w:val="nil"/>
              <w:bottom w:val="nil"/>
              <w:right w:val="nil"/>
            </w:tcBorders>
            <w:vAlign w:val="center"/>
          </w:tcPr>
          <w:p w14:paraId="19D8CE60"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0.38*</w:t>
            </w:r>
          </w:p>
        </w:tc>
        <w:tc>
          <w:tcPr>
            <w:tcW w:w="810" w:type="dxa"/>
            <w:tcBorders>
              <w:top w:val="nil"/>
              <w:left w:val="nil"/>
              <w:bottom w:val="nil"/>
              <w:right w:val="nil"/>
            </w:tcBorders>
            <w:vAlign w:val="center"/>
          </w:tcPr>
          <w:p w14:paraId="2D7203F4"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-0.01</w:t>
            </w:r>
          </w:p>
        </w:tc>
        <w:tc>
          <w:tcPr>
            <w:tcW w:w="720" w:type="dxa"/>
            <w:tcBorders>
              <w:top w:val="nil"/>
              <w:left w:val="nil"/>
              <w:bottom w:val="nil"/>
              <w:right w:val="nil"/>
            </w:tcBorders>
            <w:vAlign w:val="center"/>
          </w:tcPr>
          <w:p w14:paraId="0A0E81A2"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0.24*</w:t>
            </w:r>
          </w:p>
        </w:tc>
        <w:tc>
          <w:tcPr>
            <w:tcW w:w="720" w:type="dxa"/>
            <w:tcBorders>
              <w:top w:val="nil"/>
              <w:left w:val="nil"/>
              <w:bottom w:val="nil"/>
              <w:right w:val="nil"/>
            </w:tcBorders>
            <w:vAlign w:val="center"/>
          </w:tcPr>
          <w:p w14:paraId="698FDD18"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-0.09*</w:t>
            </w:r>
          </w:p>
        </w:tc>
        <w:tc>
          <w:tcPr>
            <w:tcW w:w="810" w:type="dxa"/>
            <w:tcBorders>
              <w:top w:val="nil"/>
              <w:left w:val="nil"/>
              <w:bottom w:val="nil"/>
              <w:right w:val="nil"/>
            </w:tcBorders>
            <w:vAlign w:val="center"/>
          </w:tcPr>
          <w:p w14:paraId="4F21D93B"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-0.06*</w:t>
            </w:r>
          </w:p>
        </w:tc>
        <w:tc>
          <w:tcPr>
            <w:tcW w:w="810" w:type="dxa"/>
            <w:tcBorders>
              <w:top w:val="nil"/>
              <w:left w:val="nil"/>
              <w:bottom w:val="nil"/>
              <w:right w:val="nil"/>
            </w:tcBorders>
            <w:vAlign w:val="center"/>
          </w:tcPr>
          <w:p w14:paraId="60977B68"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-0.16*</w:t>
            </w:r>
          </w:p>
        </w:tc>
        <w:tc>
          <w:tcPr>
            <w:tcW w:w="720" w:type="dxa"/>
            <w:tcBorders>
              <w:top w:val="nil"/>
              <w:left w:val="nil"/>
              <w:bottom w:val="nil"/>
              <w:right w:val="nil"/>
            </w:tcBorders>
            <w:vAlign w:val="center"/>
          </w:tcPr>
          <w:p w14:paraId="2E662FDB"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0.09*</w:t>
            </w:r>
          </w:p>
        </w:tc>
        <w:tc>
          <w:tcPr>
            <w:tcW w:w="720" w:type="dxa"/>
            <w:tcBorders>
              <w:top w:val="nil"/>
              <w:left w:val="nil"/>
              <w:bottom w:val="nil"/>
              <w:right w:val="nil"/>
            </w:tcBorders>
            <w:vAlign w:val="center"/>
          </w:tcPr>
          <w:p w14:paraId="2146ADB1"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-0.04*</w:t>
            </w:r>
          </w:p>
        </w:tc>
        <w:tc>
          <w:tcPr>
            <w:tcW w:w="630" w:type="dxa"/>
            <w:tcBorders>
              <w:top w:val="nil"/>
              <w:left w:val="nil"/>
              <w:bottom w:val="nil"/>
              <w:right w:val="nil"/>
            </w:tcBorders>
            <w:vAlign w:val="center"/>
          </w:tcPr>
          <w:p w14:paraId="2F821D91"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1.00</w:t>
            </w:r>
          </w:p>
        </w:tc>
      </w:tr>
      <w:tr w:rsidR="00EC1DF5" w:rsidRPr="00EC1DF5" w14:paraId="1C646EAE" w14:textId="77777777" w:rsidTr="00453380">
        <w:trPr>
          <w:gridAfter w:val="1"/>
          <w:wAfter w:w="559" w:type="dxa"/>
        </w:trPr>
        <w:tc>
          <w:tcPr>
            <w:tcW w:w="1800" w:type="dxa"/>
            <w:tcBorders>
              <w:top w:val="nil"/>
              <w:left w:val="nil"/>
              <w:bottom w:val="nil"/>
              <w:right w:val="nil"/>
            </w:tcBorders>
            <w:vAlign w:val="center"/>
          </w:tcPr>
          <w:p w14:paraId="17E6C661"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 xml:space="preserve">(17) </w:t>
            </w:r>
            <w:proofErr w:type="spellStart"/>
            <w:r w:rsidRPr="00EC1DF5">
              <w:rPr>
                <w:color w:val="auto"/>
                <w:sz w:val="18"/>
                <w:szCs w:val="18"/>
              </w:rPr>
              <w:t>Com_Inv</w:t>
            </w:r>
            <w:proofErr w:type="spellEnd"/>
          </w:p>
        </w:tc>
        <w:tc>
          <w:tcPr>
            <w:tcW w:w="810" w:type="dxa"/>
            <w:tcBorders>
              <w:top w:val="nil"/>
              <w:left w:val="nil"/>
              <w:bottom w:val="nil"/>
              <w:right w:val="nil"/>
            </w:tcBorders>
            <w:vAlign w:val="center"/>
          </w:tcPr>
          <w:p w14:paraId="0B552EB0"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-0.11*</w:t>
            </w:r>
          </w:p>
        </w:tc>
        <w:tc>
          <w:tcPr>
            <w:tcW w:w="900" w:type="dxa"/>
            <w:tcBorders>
              <w:top w:val="nil"/>
              <w:left w:val="nil"/>
              <w:bottom w:val="nil"/>
              <w:right w:val="nil"/>
            </w:tcBorders>
            <w:vAlign w:val="center"/>
          </w:tcPr>
          <w:p w14:paraId="5DECD94C"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0.52*</w:t>
            </w:r>
          </w:p>
        </w:tc>
        <w:tc>
          <w:tcPr>
            <w:tcW w:w="810" w:type="dxa"/>
            <w:tcBorders>
              <w:top w:val="nil"/>
              <w:left w:val="nil"/>
              <w:bottom w:val="nil"/>
              <w:right w:val="nil"/>
            </w:tcBorders>
            <w:vAlign w:val="center"/>
          </w:tcPr>
          <w:p w14:paraId="62591DC3"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0.48*</w:t>
            </w:r>
          </w:p>
        </w:tc>
        <w:tc>
          <w:tcPr>
            <w:tcW w:w="720" w:type="dxa"/>
            <w:tcBorders>
              <w:top w:val="nil"/>
              <w:left w:val="nil"/>
              <w:bottom w:val="nil"/>
              <w:right w:val="nil"/>
            </w:tcBorders>
            <w:vAlign w:val="center"/>
          </w:tcPr>
          <w:p w14:paraId="0FD7A3ED"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-0.01</w:t>
            </w:r>
          </w:p>
        </w:tc>
        <w:tc>
          <w:tcPr>
            <w:tcW w:w="810" w:type="dxa"/>
            <w:tcBorders>
              <w:top w:val="nil"/>
              <w:left w:val="nil"/>
              <w:bottom w:val="nil"/>
              <w:right w:val="nil"/>
            </w:tcBorders>
            <w:vAlign w:val="center"/>
          </w:tcPr>
          <w:p w14:paraId="5EB865A8"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0.09*</w:t>
            </w:r>
          </w:p>
        </w:tc>
        <w:tc>
          <w:tcPr>
            <w:tcW w:w="720" w:type="dxa"/>
            <w:tcBorders>
              <w:top w:val="nil"/>
              <w:left w:val="nil"/>
              <w:bottom w:val="nil"/>
              <w:right w:val="nil"/>
            </w:tcBorders>
            <w:vAlign w:val="center"/>
          </w:tcPr>
          <w:p w14:paraId="6320BE76"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-0.02</w:t>
            </w:r>
          </w:p>
        </w:tc>
        <w:tc>
          <w:tcPr>
            <w:tcW w:w="720" w:type="dxa"/>
            <w:tcBorders>
              <w:top w:val="nil"/>
              <w:left w:val="nil"/>
              <w:bottom w:val="nil"/>
              <w:right w:val="nil"/>
            </w:tcBorders>
            <w:vAlign w:val="center"/>
          </w:tcPr>
          <w:p w14:paraId="7A37AC4D"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0.01</w:t>
            </w:r>
          </w:p>
        </w:tc>
        <w:tc>
          <w:tcPr>
            <w:tcW w:w="900" w:type="dxa"/>
            <w:tcBorders>
              <w:top w:val="nil"/>
              <w:left w:val="nil"/>
              <w:bottom w:val="nil"/>
              <w:right w:val="nil"/>
            </w:tcBorders>
            <w:vAlign w:val="center"/>
          </w:tcPr>
          <w:p w14:paraId="44D9F458"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0.53*</w:t>
            </w:r>
          </w:p>
        </w:tc>
        <w:tc>
          <w:tcPr>
            <w:tcW w:w="810" w:type="dxa"/>
            <w:tcBorders>
              <w:top w:val="nil"/>
              <w:left w:val="nil"/>
              <w:bottom w:val="nil"/>
              <w:right w:val="nil"/>
            </w:tcBorders>
            <w:vAlign w:val="center"/>
          </w:tcPr>
          <w:p w14:paraId="787F9CDF"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-0.04*</w:t>
            </w:r>
          </w:p>
        </w:tc>
        <w:tc>
          <w:tcPr>
            <w:tcW w:w="720" w:type="dxa"/>
            <w:tcBorders>
              <w:top w:val="nil"/>
              <w:left w:val="nil"/>
              <w:bottom w:val="nil"/>
              <w:right w:val="nil"/>
            </w:tcBorders>
            <w:vAlign w:val="center"/>
          </w:tcPr>
          <w:p w14:paraId="52B20D19"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0.31*</w:t>
            </w:r>
          </w:p>
        </w:tc>
        <w:tc>
          <w:tcPr>
            <w:tcW w:w="720" w:type="dxa"/>
            <w:tcBorders>
              <w:top w:val="nil"/>
              <w:left w:val="nil"/>
              <w:bottom w:val="nil"/>
              <w:right w:val="nil"/>
            </w:tcBorders>
            <w:vAlign w:val="center"/>
          </w:tcPr>
          <w:p w14:paraId="13AD5C1D"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0.05*</w:t>
            </w:r>
          </w:p>
        </w:tc>
        <w:tc>
          <w:tcPr>
            <w:tcW w:w="810" w:type="dxa"/>
            <w:tcBorders>
              <w:top w:val="nil"/>
              <w:left w:val="nil"/>
              <w:bottom w:val="nil"/>
              <w:right w:val="nil"/>
            </w:tcBorders>
            <w:vAlign w:val="center"/>
          </w:tcPr>
          <w:p w14:paraId="7CB38AD1"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-0.10*</w:t>
            </w:r>
          </w:p>
        </w:tc>
        <w:tc>
          <w:tcPr>
            <w:tcW w:w="810" w:type="dxa"/>
            <w:tcBorders>
              <w:top w:val="nil"/>
              <w:left w:val="nil"/>
              <w:bottom w:val="nil"/>
              <w:right w:val="nil"/>
            </w:tcBorders>
            <w:vAlign w:val="center"/>
          </w:tcPr>
          <w:p w14:paraId="0EE15C4E"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-0.17*</w:t>
            </w:r>
          </w:p>
        </w:tc>
        <w:tc>
          <w:tcPr>
            <w:tcW w:w="720" w:type="dxa"/>
            <w:tcBorders>
              <w:top w:val="nil"/>
              <w:left w:val="nil"/>
              <w:bottom w:val="nil"/>
              <w:right w:val="nil"/>
            </w:tcBorders>
            <w:vAlign w:val="center"/>
          </w:tcPr>
          <w:p w14:paraId="769ED0DC"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0.08*</w:t>
            </w:r>
          </w:p>
        </w:tc>
        <w:tc>
          <w:tcPr>
            <w:tcW w:w="720" w:type="dxa"/>
            <w:tcBorders>
              <w:top w:val="nil"/>
              <w:left w:val="nil"/>
              <w:bottom w:val="nil"/>
              <w:right w:val="nil"/>
            </w:tcBorders>
            <w:vAlign w:val="center"/>
          </w:tcPr>
          <w:p w14:paraId="45BF6E6C"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-0.04*</w:t>
            </w:r>
          </w:p>
        </w:tc>
        <w:tc>
          <w:tcPr>
            <w:tcW w:w="630" w:type="dxa"/>
            <w:tcBorders>
              <w:top w:val="nil"/>
              <w:left w:val="nil"/>
              <w:bottom w:val="nil"/>
              <w:right w:val="nil"/>
            </w:tcBorders>
            <w:vAlign w:val="center"/>
          </w:tcPr>
          <w:p w14:paraId="5BFC11A7"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0.39*</w:t>
            </w:r>
          </w:p>
        </w:tc>
        <w:tc>
          <w:tcPr>
            <w:tcW w:w="630" w:type="dxa"/>
            <w:tcBorders>
              <w:top w:val="nil"/>
              <w:left w:val="nil"/>
              <w:bottom w:val="nil"/>
              <w:right w:val="nil"/>
            </w:tcBorders>
            <w:vAlign w:val="center"/>
          </w:tcPr>
          <w:p w14:paraId="703E2D80"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1.00</w:t>
            </w:r>
          </w:p>
        </w:tc>
      </w:tr>
      <w:tr w:rsidR="00EC1DF5" w:rsidRPr="00EC1DF5" w14:paraId="00423345" w14:textId="77777777" w:rsidTr="00453380">
        <w:tc>
          <w:tcPr>
            <w:tcW w:w="1800" w:type="dxa"/>
            <w:tcBorders>
              <w:top w:val="nil"/>
              <w:left w:val="nil"/>
              <w:bottom w:val="nil"/>
              <w:right w:val="nil"/>
            </w:tcBorders>
            <w:vAlign w:val="center"/>
          </w:tcPr>
          <w:p w14:paraId="53F6C155"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 xml:space="preserve">(18) CSR </w:t>
            </w:r>
          </w:p>
        </w:tc>
        <w:tc>
          <w:tcPr>
            <w:tcW w:w="810" w:type="dxa"/>
            <w:tcBorders>
              <w:top w:val="nil"/>
              <w:left w:val="nil"/>
              <w:bottom w:val="nil"/>
              <w:right w:val="nil"/>
            </w:tcBorders>
            <w:vAlign w:val="center"/>
          </w:tcPr>
          <w:p w14:paraId="3C63B597"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-0.11*</w:t>
            </w:r>
          </w:p>
        </w:tc>
        <w:tc>
          <w:tcPr>
            <w:tcW w:w="900" w:type="dxa"/>
            <w:tcBorders>
              <w:top w:val="nil"/>
              <w:left w:val="nil"/>
              <w:bottom w:val="nil"/>
              <w:right w:val="nil"/>
            </w:tcBorders>
            <w:vAlign w:val="center"/>
          </w:tcPr>
          <w:p w14:paraId="583A4848"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0.54*</w:t>
            </w:r>
          </w:p>
        </w:tc>
        <w:tc>
          <w:tcPr>
            <w:tcW w:w="810" w:type="dxa"/>
            <w:tcBorders>
              <w:top w:val="nil"/>
              <w:left w:val="nil"/>
              <w:bottom w:val="nil"/>
              <w:right w:val="nil"/>
            </w:tcBorders>
            <w:vAlign w:val="center"/>
          </w:tcPr>
          <w:p w14:paraId="4EF3D79C"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0.60*</w:t>
            </w:r>
          </w:p>
        </w:tc>
        <w:tc>
          <w:tcPr>
            <w:tcW w:w="720" w:type="dxa"/>
            <w:tcBorders>
              <w:top w:val="nil"/>
              <w:left w:val="nil"/>
              <w:bottom w:val="nil"/>
              <w:right w:val="nil"/>
            </w:tcBorders>
            <w:vAlign w:val="center"/>
          </w:tcPr>
          <w:p w14:paraId="7BA35342"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0.04*</w:t>
            </w:r>
          </w:p>
        </w:tc>
        <w:tc>
          <w:tcPr>
            <w:tcW w:w="810" w:type="dxa"/>
            <w:tcBorders>
              <w:top w:val="nil"/>
              <w:left w:val="nil"/>
              <w:bottom w:val="nil"/>
              <w:right w:val="nil"/>
            </w:tcBorders>
            <w:vAlign w:val="center"/>
          </w:tcPr>
          <w:p w14:paraId="43BE1824"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0.14*</w:t>
            </w:r>
          </w:p>
        </w:tc>
        <w:tc>
          <w:tcPr>
            <w:tcW w:w="720" w:type="dxa"/>
            <w:tcBorders>
              <w:top w:val="nil"/>
              <w:left w:val="nil"/>
              <w:bottom w:val="nil"/>
              <w:right w:val="nil"/>
            </w:tcBorders>
            <w:vAlign w:val="center"/>
          </w:tcPr>
          <w:p w14:paraId="6EB0FF02"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-0.01</w:t>
            </w:r>
          </w:p>
        </w:tc>
        <w:tc>
          <w:tcPr>
            <w:tcW w:w="720" w:type="dxa"/>
            <w:tcBorders>
              <w:top w:val="nil"/>
              <w:left w:val="nil"/>
              <w:bottom w:val="nil"/>
              <w:right w:val="nil"/>
            </w:tcBorders>
            <w:vAlign w:val="center"/>
          </w:tcPr>
          <w:p w14:paraId="1733D914"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0.02</w:t>
            </w:r>
          </w:p>
        </w:tc>
        <w:tc>
          <w:tcPr>
            <w:tcW w:w="900" w:type="dxa"/>
            <w:tcBorders>
              <w:top w:val="nil"/>
              <w:left w:val="nil"/>
              <w:bottom w:val="nil"/>
              <w:right w:val="nil"/>
            </w:tcBorders>
            <w:vAlign w:val="center"/>
          </w:tcPr>
          <w:p w14:paraId="3B1B96BA"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0.67*</w:t>
            </w:r>
          </w:p>
        </w:tc>
        <w:tc>
          <w:tcPr>
            <w:tcW w:w="810" w:type="dxa"/>
            <w:tcBorders>
              <w:top w:val="nil"/>
              <w:left w:val="nil"/>
              <w:bottom w:val="nil"/>
              <w:right w:val="nil"/>
            </w:tcBorders>
            <w:vAlign w:val="center"/>
          </w:tcPr>
          <w:p w14:paraId="2C723BD5"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-0.01</w:t>
            </w:r>
          </w:p>
        </w:tc>
        <w:tc>
          <w:tcPr>
            <w:tcW w:w="720" w:type="dxa"/>
            <w:tcBorders>
              <w:top w:val="nil"/>
              <w:left w:val="nil"/>
              <w:bottom w:val="nil"/>
              <w:right w:val="nil"/>
            </w:tcBorders>
            <w:vAlign w:val="center"/>
          </w:tcPr>
          <w:p w14:paraId="356E2130"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0.31*</w:t>
            </w:r>
          </w:p>
        </w:tc>
        <w:tc>
          <w:tcPr>
            <w:tcW w:w="720" w:type="dxa"/>
            <w:tcBorders>
              <w:top w:val="nil"/>
              <w:left w:val="nil"/>
              <w:bottom w:val="nil"/>
              <w:right w:val="nil"/>
            </w:tcBorders>
            <w:vAlign w:val="center"/>
          </w:tcPr>
          <w:p w14:paraId="5CFBFADD"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0.06*</w:t>
            </w:r>
          </w:p>
        </w:tc>
        <w:tc>
          <w:tcPr>
            <w:tcW w:w="810" w:type="dxa"/>
            <w:tcBorders>
              <w:top w:val="nil"/>
              <w:left w:val="nil"/>
              <w:bottom w:val="nil"/>
              <w:right w:val="nil"/>
            </w:tcBorders>
            <w:vAlign w:val="center"/>
          </w:tcPr>
          <w:p w14:paraId="49D3D49D"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-0.09*</w:t>
            </w:r>
          </w:p>
        </w:tc>
        <w:tc>
          <w:tcPr>
            <w:tcW w:w="810" w:type="dxa"/>
            <w:tcBorders>
              <w:top w:val="nil"/>
              <w:left w:val="nil"/>
              <w:bottom w:val="nil"/>
              <w:right w:val="nil"/>
            </w:tcBorders>
            <w:vAlign w:val="center"/>
          </w:tcPr>
          <w:p w14:paraId="5E906D31"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-0.22*</w:t>
            </w:r>
          </w:p>
        </w:tc>
        <w:tc>
          <w:tcPr>
            <w:tcW w:w="720" w:type="dxa"/>
            <w:tcBorders>
              <w:top w:val="nil"/>
              <w:left w:val="nil"/>
              <w:bottom w:val="nil"/>
              <w:right w:val="nil"/>
            </w:tcBorders>
            <w:vAlign w:val="center"/>
          </w:tcPr>
          <w:p w14:paraId="65B9C8B1"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0.13*</w:t>
            </w:r>
          </w:p>
        </w:tc>
        <w:tc>
          <w:tcPr>
            <w:tcW w:w="720" w:type="dxa"/>
            <w:tcBorders>
              <w:top w:val="nil"/>
              <w:left w:val="nil"/>
              <w:bottom w:val="nil"/>
              <w:right w:val="nil"/>
            </w:tcBorders>
            <w:vAlign w:val="center"/>
          </w:tcPr>
          <w:p w14:paraId="23550A9D"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-0.05*</w:t>
            </w:r>
          </w:p>
        </w:tc>
        <w:tc>
          <w:tcPr>
            <w:tcW w:w="630" w:type="dxa"/>
            <w:tcBorders>
              <w:top w:val="nil"/>
              <w:left w:val="nil"/>
              <w:bottom w:val="nil"/>
              <w:right w:val="nil"/>
            </w:tcBorders>
            <w:vAlign w:val="center"/>
          </w:tcPr>
          <w:p w14:paraId="1084FA7C"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0.40*</w:t>
            </w:r>
          </w:p>
        </w:tc>
        <w:tc>
          <w:tcPr>
            <w:tcW w:w="630" w:type="dxa"/>
            <w:tcBorders>
              <w:top w:val="nil"/>
              <w:left w:val="nil"/>
              <w:bottom w:val="nil"/>
              <w:right w:val="nil"/>
            </w:tcBorders>
            <w:vAlign w:val="center"/>
          </w:tcPr>
          <w:p w14:paraId="588A2B88"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0.45*</w:t>
            </w:r>
          </w:p>
        </w:tc>
        <w:tc>
          <w:tcPr>
            <w:tcW w:w="559" w:type="dxa"/>
            <w:tcBorders>
              <w:top w:val="nil"/>
              <w:left w:val="nil"/>
              <w:bottom w:val="nil"/>
              <w:right w:val="nil"/>
            </w:tcBorders>
            <w:vAlign w:val="center"/>
          </w:tcPr>
          <w:p w14:paraId="47B4DAFF"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1.00</w:t>
            </w:r>
          </w:p>
        </w:tc>
      </w:tr>
      <w:tr w:rsidR="00EC1DF5" w:rsidRPr="00EC1DF5" w14:paraId="7E1ED8DB" w14:textId="77777777" w:rsidTr="00453380">
        <w:tc>
          <w:tcPr>
            <w:tcW w:w="15319" w:type="dxa"/>
            <w:gridSpan w:val="19"/>
            <w:tcBorders>
              <w:top w:val="nil"/>
              <w:left w:val="nil"/>
              <w:bottom w:val="single" w:sz="8" w:space="0" w:color="auto"/>
              <w:right w:val="nil"/>
            </w:tcBorders>
            <w:vAlign w:val="center"/>
          </w:tcPr>
          <w:p w14:paraId="06B58E40" w14:textId="77777777" w:rsidR="00AB41CC" w:rsidRPr="00EC1DF5" w:rsidRDefault="00AB41CC" w:rsidP="00453380">
            <w:pPr>
              <w:widowControl w:val="0"/>
              <w:autoSpaceDE w:val="0"/>
              <w:autoSpaceDN w:val="0"/>
              <w:adjustRightInd w:val="0"/>
              <w:spacing w:after="0" w:line="360" w:lineRule="auto"/>
              <w:rPr>
                <w:color w:val="auto"/>
                <w:sz w:val="18"/>
                <w:szCs w:val="18"/>
              </w:rPr>
            </w:pPr>
          </w:p>
        </w:tc>
      </w:tr>
      <w:tr w:rsidR="00AB41CC" w:rsidRPr="00EC1DF5" w14:paraId="3C086DA0" w14:textId="77777777" w:rsidTr="00453380">
        <w:tc>
          <w:tcPr>
            <w:tcW w:w="15319" w:type="dxa"/>
            <w:gridSpan w:val="19"/>
            <w:tcBorders>
              <w:top w:val="nil"/>
              <w:left w:val="nil"/>
              <w:bottom w:val="single" w:sz="8" w:space="0" w:color="auto"/>
              <w:right w:val="nil"/>
            </w:tcBorders>
            <w:vAlign w:val="center"/>
          </w:tcPr>
          <w:p w14:paraId="00724D34"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 xml:space="preserve">Presents the Pearson pairwise correlation results of the independent, dependent and control variables. </w:t>
            </w:r>
            <w:proofErr w:type="spellStart"/>
            <w:r w:rsidRPr="00EC1DF5">
              <w:rPr>
                <w:i/>
                <w:color w:val="auto"/>
                <w:sz w:val="18"/>
                <w:szCs w:val="18"/>
              </w:rPr>
              <w:t>TobinsQ</w:t>
            </w:r>
            <w:proofErr w:type="spellEnd"/>
            <w:r w:rsidRPr="00EC1DF5">
              <w:rPr>
                <w:i/>
                <w:color w:val="auto"/>
                <w:sz w:val="18"/>
                <w:szCs w:val="18"/>
              </w:rPr>
              <w:t>, Social</w:t>
            </w:r>
            <w:r w:rsidRPr="00EC1DF5">
              <w:rPr>
                <w:color w:val="auto"/>
                <w:sz w:val="18"/>
                <w:szCs w:val="18"/>
              </w:rPr>
              <w:t xml:space="preserve"> and </w:t>
            </w:r>
            <w:proofErr w:type="spellStart"/>
            <w:r w:rsidRPr="00EC1DF5">
              <w:rPr>
                <w:i/>
                <w:color w:val="auto"/>
                <w:sz w:val="18"/>
                <w:szCs w:val="18"/>
              </w:rPr>
              <w:t>Envtal</w:t>
            </w:r>
            <w:proofErr w:type="spellEnd"/>
            <w:r w:rsidRPr="00EC1DF5">
              <w:rPr>
                <w:i/>
                <w:color w:val="auto"/>
                <w:sz w:val="18"/>
                <w:szCs w:val="18"/>
              </w:rPr>
              <w:t xml:space="preserve"> </w:t>
            </w:r>
            <w:r w:rsidRPr="00EC1DF5">
              <w:rPr>
                <w:color w:val="auto"/>
                <w:sz w:val="18"/>
                <w:szCs w:val="18"/>
              </w:rPr>
              <w:t xml:space="preserve">represent the financial, </w:t>
            </w:r>
            <w:proofErr w:type="gramStart"/>
            <w:r w:rsidRPr="00EC1DF5">
              <w:rPr>
                <w:color w:val="auto"/>
                <w:sz w:val="18"/>
                <w:szCs w:val="18"/>
              </w:rPr>
              <w:t>social</w:t>
            </w:r>
            <w:proofErr w:type="gramEnd"/>
            <w:r w:rsidRPr="00EC1DF5">
              <w:rPr>
                <w:color w:val="auto"/>
                <w:sz w:val="18"/>
                <w:szCs w:val="18"/>
              </w:rPr>
              <w:t xml:space="preserve"> and environmental sustainability dimensions. Governance variables are </w:t>
            </w:r>
            <w:r w:rsidRPr="00EC1DF5">
              <w:rPr>
                <w:i/>
                <w:color w:val="auto"/>
                <w:sz w:val="18"/>
                <w:szCs w:val="18"/>
              </w:rPr>
              <w:t>BF</w:t>
            </w:r>
            <w:r w:rsidRPr="00EC1DF5">
              <w:rPr>
                <w:color w:val="auto"/>
                <w:sz w:val="18"/>
                <w:szCs w:val="18"/>
              </w:rPr>
              <w:t xml:space="preserve"> (Board function), </w:t>
            </w:r>
            <w:r w:rsidRPr="00EC1DF5">
              <w:rPr>
                <w:i/>
                <w:color w:val="auto"/>
                <w:sz w:val="18"/>
                <w:szCs w:val="18"/>
              </w:rPr>
              <w:t xml:space="preserve">BST </w:t>
            </w:r>
            <w:r w:rsidRPr="00EC1DF5">
              <w:rPr>
                <w:color w:val="auto"/>
                <w:sz w:val="18"/>
                <w:szCs w:val="18"/>
              </w:rPr>
              <w:t xml:space="preserve">(Board Structure), </w:t>
            </w:r>
            <w:r w:rsidRPr="00EC1DF5">
              <w:rPr>
                <w:i/>
                <w:color w:val="auto"/>
                <w:sz w:val="18"/>
                <w:szCs w:val="18"/>
              </w:rPr>
              <w:t>BC</w:t>
            </w:r>
            <w:r w:rsidRPr="00EC1DF5">
              <w:rPr>
                <w:color w:val="auto"/>
                <w:sz w:val="18"/>
                <w:szCs w:val="18"/>
              </w:rPr>
              <w:t xml:space="preserve"> (Board compensation), </w:t>
            </w:r>
            <w:r w:rsidRPr="00EC1DF5">
              <w:rPr>
                <w:i/>
                <w:color w:val="auto"/>
                <w:sz w:val="18"/>
                <w:szCs w:val="18"/>
              </w:rPr>
              <w:t>BSR</w:t>
            </w:r>
            <w:r w:rsidRPr="00EC1DF5">
              <w:rPr>
                <w:color w:val="auto"/>
                <w:sz w:val="18"/>
                <w:szCs w:val="18"/>
              </w:rPr>
              <w:t xml:space="preserve"> (Board shareholder rights) and </w:t>
            </w:r>
            <w:r w:rsidRPr="00EC1DF5">
              <w:rPr>
                <w:i/>
                <w:color w:val="auto"/>
                <w:sz w:val="18"/>
                <w:szCs w:val="18"/>
              </w:rPr>
              <w:t>BSTR</w:t>
            </w:r>
            <w:r w:rsidRPr="00EC1DF5">
              <w:rPr>
                <w:color w:val="auto"/>
                <w:sz w:val="18"/>
                <w:szCs w:val="18"/>
              </w:rPr>
              <w:t xml:space="preserve"> (Board strategy). Control variables include </w:t>
            </w:r>
            <w:r w:rsidRPr="00EC1DF5">
              <w:rPr>
                <w:i/>
                <w:color w:val="auto"/>
                <w:sz w:val="18"/>
                <w:szCs w:val="18"/>
              </w:rPr>
              <w:t>Beta,</w:t>
            </w:r>
            <w:r w:rsidRPr="00EC1DF5">
              <w:rPr>
                <w:color w:val="auto"/>
                <w:sz w:val="18"/>
                <w:szCs w:val="18"/>
              </w:rPr>
              <w:t xml:space="preserve"> Firm size (</w:t>
            </w:r>
            <w:r w:rsidRPr="00EC1DF5">
              <w:rPr>
                <w:i/>
                <w:color w:val="auto"/>
                <w:sz w:val="18"/>
                <w:szCs w:val="18"/>
              </w:rPr>
              <w:t>Size</w:t>
            </w:r>
            <w:r w:rsidRPr="00EC1DF5">
              <w:rPr>
                <w:color w:val="auto"/>
                <w:sz w:val="18"/>
                <w:szCs w:val="18"/>
              </w:rPr>
              <w:t>), research and development (</w:t>
            </w:r>
            <w:r w:rsidRPr="00EC1DF5">
              <w:rPr>
                <w:i/>
                <w:color w:val="auto"/>
                <w:sz w:val="18"/>
                <w:szCs w:val="18"/>
              </w:rPr>
              <w:t>R&amp;D</w:t>
            </w:r>
            <w:r w:rsidRPr="00EC1DF5">
              <w:rPr>
                <w:color w:val="auto"/>
                <w:sz w:val="18"/>
                <w:szCs w:val="18"/>
              </w:rPr>
              <w:t>), capital intensity (</w:t>
            </w:r>
            <w:r w:rsidRPr="00EC1DF5">
              <w:rPr>
                <w:i/>
                <w:color w:val="auto"/>
                <w:sz w:val="18"/>
                <w:szCs w:val="18"/>
              </w:rPr>
              <w:t>Capex</w:t>
            </w:r>
            <w:r w:rsidRPr="00EC1DF5">
              <w:rPr>
                <w:color w:val="auto"/>
                <w:sz w:val="18"/>
                <w:szCs w:val="18"/>
              </w:rPr>
              <w:t>), sales growth (</w:t>
            </w:r>
            <w:r w:rsidRPr="00EC1DF5">
              <w:rPr>
                <w:i/>
                <w:color w:val="auto"/>
                <w:sz w:val="18"/>
                <w:szCs w:val="18"/>
              </w:rPr>
              <w:t>Growth),</w:t>
            </w:r>
            <w:r w:rsidRPr="00EC1DF5">
              <w:rPr>
                <w:color w:val="auto"/>
                <w:sz w:val="18"/>
                <w:szCs w:val="18"/>
              </w:rPr>
              <w:t xml:space="preserve"> financial leverage (</w:t>
            </w:r>
            <w:r w:rsidRPr="00EC1DF5">
              <w:rPr>
                <w:i/>
                <w:color w:val="auto"/>
                <w:sz w:val="18"/>
                <w:szCs w:val="18"/>
              </w:rPr>
              <w:t>Leverage</w:t>
            </w:r>
            <w:r w:rsidRPr="00EC1DF5">
              <w:rPr>
                <w:color w:val="auto"/>
                <w:sz w:val="18"/>
                <w:szCs w:val="18"/>
              </w:rPr>
              <w:t>), Business ethics (</w:t>
            </w:r>
            <w:r w:rsidRPr="00EC1DF5">
              <w:rPr>
                <w:i/>
                <w:color w:val="auto"/>
                <w:sz w:val="18"/>
                <w:szCs w:val="18"/>
              </w:rPr>
              <w:t>Ethics</w:t>
            </w:r>
            <w:r w:rsidRPr="00EC1DF5">
              <w:rPr>
                <w:color w:val="auto"/>
                <w:sz w:val="18"/>
                <w:szCs w:val="18"/>
              </w:rPr>
              <w:t>), executives’ community involvement (</w:t>
            </w:r>
            <w:proofErr w:type="spellStart"/>
            <w:r w:rsidRPr="00EC1DF5">
              <w:rPr>
                <w:i/>
                <w:color w:val="auto"/>
                <w:sz w:val="18"/>
                <w:szCs w:val="18"/>
              </w:rPr>
              <w:t>Com_Involve</w:t>
            </w:r>
            <w:proofErr w:type="spellEnd"/>
            <w:r w:rsidRPr="00EC1DF5">
              <w:rPr>
                <w:color w:val="auto"/>
                <w:sz w:val="18"/>
                <w:szCs w:val="18"/>
              </w:rPr>
              <w:t>) and CSR committee (</w:t>
            </w:r>
            <w:r w:rsidRPr="00EC1DF5">
              <w:rPr>
                <w:i/>
                <w:color w:val="auto"/>
                <w:sz w:val="18"/>
                <w:szCs w:val="18"/>
              </w:rPr>
              <w:t xml:space="preserve">CSR </w:t>
            </w:r>
            <w:proofErr w:type="spellStart"/>
            <w:r w:rsidRPr="00EC1DF5">
              <w:rPr>
                <w:i/>
                <w:color w:val="auto"/>
                <w:sz w:val="18"/>
                <w:szCs w:val="18"/>
              </w:rPr>
              <w:t>C’ttee</w:t>
            </w:r>
            <w:proofErr w:type="spellEnd"/>
            <w:r w:rsidRPr="00EC1DF5">
              <w:rPr>
                <w:color w:val="auto"/>
                <w:sz w:val="18"/>
                <w:szCs w:val="18"/>
              </w:rPr>
              <w:t xml:space="preserve">). Significance level is asterisks at 95%. The high correlation between Envtal and Social does not affect the model results because these variables do not </w:t>
            </w:r>
            <w:proofErr w:type="gramStart"/>
            <w:r w:rsidRPr="00EC1DF5">
              <w:rPr>
                <w:color w:val="auto"/>
                <w:sz w:val="18"/>
                <w:szCs w:val="18"/>
              </w:rPr>
              <w:t>enter into</w:t>
            </w:r>
            <w:proofErr w:type="gramEnd"/>
            <w:r w:rsidRPr="00EC1DF5">
              <w:rPr>
                <w:color w:val="auto"/>
                <w:sz w:val="18"/>
                <w:szCs w:val="18"/>
              </w:rPr>
              <w:t xml:space="preserve"> the regression simultaneously.</w:t>
            </w:r>
          </w:p>
        </w:tc>
      </w:tr>
    </w:tbl>
    <w:p w14:paraId="2A6273A3" w14:textId="77777777" w:rsidR="00AB41CC" w:rsidRPr="00EC1DF5" w:rsidRDefault="00AB41CC" w:rsidP="00AB41CC">
      <w:pPr>
        <w:rPr>
          <w:color w:val="auto"/>
        </w:rPr>
        <w:sectPr w:rsidR="00AB41CC" w:rsidRPr="00EC1DF5" w:rsidSect="004D7969">
          <w:pgSz w:w="16838" w:h="11906" w:orient="landscape"/>
          <w:pgMar w:top="567" w:right="567" w:bottom="567" w:left="567" w:header="708" w:footer="708" w:gutter="0"/>
          <w:cols w:space="708"/>
          <w:docGrid w:linePitch="360"/>
        </w:sectPr>
      </w:pPr>
    </w:p>
    <w:p w14:paraId="1DFAF15C" w14:textId="77777777" w:rsidR="00AB41CC" w:rsidRPr="00EC1DF5" w:rsidRDefault="00AB41CC" w:rsidP="00AB41CC">
      <w:pPr>
        <w:pStyle w:val="Caption"/>
        <w:keepNext/>
        <w:rPr>
          <w:b/>
          <w:i w:val="0"/>
          <w:color w:val="auto"/>
          <w:sz w:val="20"/>
          <w:szCs w:val="20"/>
        </w:rPr>
      </w:pPr>
      <w:r w:rsidRPr="00EC1DF5">
        <w:rPr>
          <w:b/>
          <w:i w:val="0"/>
          <w:color w:val="auto"/>
          <w:sz w:val="20"/>
          <w:szCs w:val="20"/>
        </w:rPr>
        <w:lastRenderedPageBreak/>
        <w:t xml:space="preserve">               Table 4: Panel Fixed Effects Results (Environmental Sustainability and Corporate Governance)</w:t>
      </w:r>
    </w:p>
    <w:tbl>
      <w:tblPr>
        <w:tblW w:w="8222" w:type="dxa"/>
        <w:tblInd w:w="1282" w:type="dxa"/>
        <w:tblLayout w:type="fixed"/>
        <w:tblLook w:val="0000" w:firstRow="0" w:lastRow="0" w:firstColumn="0" w:lastColumn="0" w:noHBand="0" w:noVBand="0"/>
      </w:tblPr>
      <w:tblGrid>
        <w:gridCol w:w="1418"/>
        <w:gridCol w:w="850"/>
        <w:gridCol w:w="993"/>
        <w:gridCol w:w="992"/>
        <w:gridCol w:w="992"/>
        <w:gridCol w:w="992"/>
        <w:gridCol w:w="993"/>
        <w:gridCol w:w="992"/>
      </w:tblGrid>
      <w:tr w:rsidR="00EC1DF5" w:rsidRPr="00EC1DF5" w14:paraId="75704EE2" w14:textId="77777777" w:rsidTr="00453380">
        <w:trPr>
          <w:trHeight w:val="394"/>
        </w:trPr>
        <w:tc>
          <w:tcPr>
            <w:tcW w:w="1418" w:type="dxa"/>
            <w:tcBorders>
              <w:top w:val="single" w:sz="4" w:space="0" w:color="auto"/>
              <w:left w:val="nil"/>
              <w:bottom w:val="single" w:sz="4" w:space="0" w:color="auto"/>
              <w:right w:val="nil"/>
            </w:tcBorders>
            <w:vAlign w:val="center"/>
          </w:tcPr>
          <w:p w14:paraId="3F0A124A"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p>
        </w:tc>
        <w:tc>
          <w:tcPr>
            <w:tcW w:w="850" w:type="dxa"/>
            <w:tcBorders>
              <w:top w:val="single" w:sz="4" w:space="0" w:color="auto"/>
              <w:left w:val="nil"/>
              <w:bottom w:val="single" w:sz="4" w:space="0" w:color="auto"/>
              <w:right w:val="nil"/>
            </w:tcBorders>
            <w:vAlign w:val="center"/>
          </w:tcPr>
          <w:p w14:paraId="006C7FBF"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Exp. Sign</w:t>
            </w:r>
          </w:p>
        </w:tc>
        <w:tc>
          <w:tcPr>
            <w:tcW w:w="993" w:type="dxa"/>
            <w:tcBorders>
              <w:top w:val="single" w:sz="4" w:space="0" w:color="auto"/>
              <w:left w:val="nil"/>
              <w:bottom w:val="single" w:sz="4" w:space="0" w:color="auto"/>
              <w:right w:val="nil"/>
            </w:tcBorders>
            <w:vAlign w:val="center"/>
          </w:tcPr>
          <w:p w14:paraId="5D6D7436"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(1)</w:t>
            </w:r>
          </w:p>
        </w:tc>
        <w:tc>
          <w:tcPr>
            <w:tcW w:w="992" w:type="dxa"/>
            <w:tcBorders>
              <w:top w:val="single" w:sz="4" w:space="0" w:color="auto"/>
              <w:left w:val="nil"/>
              <w:bottom w:val="single" w:sz="4" w:space="0" w:color="auto"/>
              <w:right w:val="nil"/>
            </w:tcBorders>
            <w:vAlign w:val="center"/>
          </w:tcPr>
          <w:p w14:paraId="4B1033CE"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(2)</w:t>
            </w:r>
          </w:p>
        </w:tc>
        <w:tc>
          <w:tcPr>
            <w:tcW w:w="992" w:type="dxa"/>
            <w:tcBorders>
              <w:top w:val="single" w:sz="4" w:space="0" w:color="auto"/>
              <w:left w:val="nil"/>
              <w:bottom w:val="single" w:sz="4" w:space="0" w:color="auto"/>
              <w:right w:val="nil"/>
            </w:tcBorders>
            <w:vAlign w:val="center"/>
          </w:tcPr>
          <w:p w14:paraId="47A03243"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(3)</w:t>
            </w:r>
          </w:p>
        </w:tc>
        <w:tc>
          <w:tcPr>
            <w:tcW w:w="992" w:type="dxa"/>
            <w:tcBorders>
              <w:top w:val="single" w:sz="4" w:space="0" w:color="auto"/>
              <w:left w:val="nil"/>
              <w:bottom w:val="single" w:sz="4" w:space="0" w:color="auto"/>
              <w:right w:val="nil"/>
            </w:tcBorders>
            <w:vAlign w:val="center"/>
          </w:tcPr>
          <w:p w14:paraId="67B518AB"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(4)</w:t>
            </w:r>
          </w:p>
        </w:tc>
        <w:tc>
          <w:tcPr>
            <w:tcW w:w="993" w:type="dxa"/>
            <w:tcBorders>
              <w:top w:val="single" w:sz="4" w:space="0" w:color="auto"/>
              <w:left w:val="nil"/>
              <w:bottom w:val="single" w:sz="4" w:space="0" w:color="auto"/>
              <w:right w:val="nil"/>
            </w:tcBorders>
            <w:vAlign w:val="center"/>
          </w:tcPr>
          <w:p w14:paraId="29803A47"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(5)</w:t>
            </w:r>
          </w:p>
        </w:tc>
        <w:tc>
          <w:tcPr>
            <w:tcW w:w="992" w:type="dxa"/>
            <w:tcBorders>
              <w:top w:val="single" w:sz="4" w:space="0" w:color="auto"/>
              <w:left w:val="nil"/>
              <w:bottom w:val="single" w:sz="4" w:space="0" w:color="auto"/>
              <w:right w:val="nil"/>
            </w:tcBorders>
            <w:vAlign w:val="center"/>
          </w:tcPr>
          <w:p w14:paraId="37488DAF"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(6)</w:t>
            </w:r>
          </w:p>
        </w:tc>
      </w:tr>
      <w:tr w:rsidR="00EC1DF5" w:rsidRPr="00EC1DF5" w14:paraId="4ADD3D12" w14:textId="77777777" w:rsidTr="00453380">
        <w:tc>
          <w:tcPr>
            <w:tcW w:w="1418" w:type="dxa"/>
            <w:tcBorders>
              <w:top w:val="single" w:sz="4" w:space="0" w:color="auto"/>
              <w:left w:val="nil"/>
              <w:bottom w:val="nil"/>
              <w:right w:val="nil"/>
            </w:tcBorders>
          </w:tcPr>
          <w:p w14:paraId="708F2BE9"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 xml:space="preserve"> </w:t>
            </w:r>
            <w:r w:rsidRPr="00EC1DF5">
              <w:rPr>
                <w:i/>
                <w:color w:val="auto"/>
                <w:sz w:val="18"/>
                <w:szCs w:val="18"/>
              </w:rPr>
              <w:t>BF</w:t>
            </w:r>
          </w:p>
        </w:tc>
        <w:tc>
          <w:tcPr>
            <w:tcW w:w="850" w:type="dxa"/>
            <w:tcBorders>
              <w:top w:val="single" w:sz="4" w:space="0" w:color="auto"/>
              <w:left w:val="nil"/>
              <w:bottom w:val="nil"/>
              <w:right w:val="nil"/>
            </w:tcBorders>
            <w:vAlign w:val="center"/>
          </w:tcPr>
          <w:p w14:paraId="3F947491"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w:t>
            </w:r>
          </w:p>
        </w:tc>
        <w:tc>
          <w:tcPr>
            <w:tcW w:w="993" w:type="dxa"/>
            <w:tcBorders>
              <w:top w:val="single" w:sz="4" w:space="0" w:color="auto"/>
              <w:left w:val="nil"/>
              <w:bottom w:val="nil"/>
              <w:right w:val="nil"/>
            </w:tcBorders>
            <w:vAlign w:val="center"/>
          </w:tcPr>
          <w:p w14:paraId="3D48C04F"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0.111***</w:t>
            </w:r>
          </w:p>
        </w:tc>
        <w:tc>
          <w:tcPr>
            <w:tcW w:w="992" w:type="dxa"/>
            <w:tcBorders>
              <w:top w:val="single" w:sz="4" w:space="0" w:color="auto"/>
              <w:left w:val="nil"/>
              <w:bottom w:val="nil"/>
              <w:right w:val="nil"/>
            </w:tcBorders>
            <w:vAlign w:val="center"/>
          </w:tcPr>
          <w:p w14:paraId="2B06642D"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0.131***</w:t>
            </w:r>
          </w:p>
        </w:tc>
        <w:tc>
          <w:tcPr>
            <w:tcW w:w="992" w:type="dxa"/>
            <w:tcBorders>
              <w:top w:val="single" w:sz="4" w:space="0" w:color="auto"/>
              <w:left w:val="nil"/>
              <w:bottom w:val="nil"/>
              <w:right w:val="nil"/>
            </w:tcBorders>
            <w:vAlign w:val="center"/>
          </w:tcPr>
          <w:p w14:paraId="2F3DE525" w14:textId="77777777" w:rsidR="00AB41CC" w:rsidRPr="00EC1DF5" w:rsidRDefault="00AB41CC" w:rsidP="00453380">
            <w:pPr>
              <w:widowControl w:val="0"/>
              <w:autoSpaceDE w:val="0"/>
              <w:autoSpaceDN w:val="0"/>
              <w:adjustRightInd w:val="0"/>
              <w:spacing w:after="0" w:line="276" w:lineRule="auto"/>
              <w:rPr>
                <w:color w:val="auto"/>
                <w:sz w:val="18"/>
                <w:szCs w:val="18"/>
              </w:rPr>
            </w:pPr>
          </w:p>
        </w:tc>
        <w:tc>
          <w:tcPr>
            <w:tcW w:w="992" w:type="dxa"/>
            <w:tcBorders>
              <w:top w:val="single" w:sz="4" w:space="0" w:color="auto"/>
              <w:left w:val="nil"/>
              <w:bottom w:val="nil"/>
              <w:right w:val="nil"/>
            </w:tcBorders>
            <w:vAlign w:val="center"/>
          </w:tcPr>
          <w:p w14:paraId="748C8B43" w14:textId="77777777" w:rsidR="00AB41CC" w:rsidRPr="00EC1DF5" w:rsidRDefault="00AB41CC" w:rsidP="00453380">
            <w:pPr>
              <w:widowControl w:val="0"/>
              <w:autoSpaceDE w:val="0"/>
              <w:autoSpaceDN w:val="0"/>
              <w:adjustRightInd w:val="0"/>
              <w:spacing w:after="0" w:line="276" w:lineRule="auto"/>
              <w:rPr>
                <w:color w:val="auto"/>
                <w:sz w:val="18"/>
                <w:szCs w:val="18"/>
              </w:rPr>
            </w:pPr>
          </w:p>
        </w:tc>
        <w:tc>
          <w:tcPr>
            <w:tcW w:w="993" w:type="dxa"/>
            <w:tcBorders>
              <w:top w:val="single" w:sz="4" w:space="0" w:color="auto"/>
              <w:left w:val="nil"/>
              <w:bottom w:val="nil"/>
              <w:right w:val="nil"/>
            </w:tcBorders>
            <w:vAlign w:val="center"/>
          </w:tcPr>
          <w:p w14:paraId="4EC78CD7" w14:textId="77777777" w:rsidR="00AB41CC" w:rsidRPr="00EC1DF5" w:rsidRDefault="00AB41CC" w:rsidP="00453380">
            <w:pPr>
              <w:widowControl w:val="0"/>
              <w:autoSpaceDE w:val="0"/>
              <w:autoSpaceDN w:val="0"/>
              <w:adjustRightInd w:val="0"/>
              <w:spacing w:after="0" w:line="276" w:lineRule="auto"/>
              <w:rPr>
                <w:color w:val="auto"/>
                <w:sz w:val="18"/>
                <w:szCs w:val="18"/>
              </w:rPr>
            </w:pPr>
          </w:p>
        </w:tc>
        <w:tc>
          <w:tcPr>
            <w:tcW w:w="992" w:type="dxa"/>
            <w:tcBorders>
              <w:top w:val="single" w:sz="4" w:space="0" w:color="auto"/>
              <w:left w:val="nil"/>
              <w:bottom w:val="nil"/>
              <w:right w:val="nil"/>
            </w:tcBorders>
            <w:vAlign w:val="center"/>
          </w:tcPr>
          <w:p w14:paraId="5872E58D" w14:textId="77777777" w:rsidR="00AB41CC" w:rsidRPr="00EC1DF5" w:rsidRDefault="00AB41CC" w:rsidP="00453380">
            <w:pPr>
              <w:widowControl w:val="0"/>
              <w:autoSpaceDE w:val="0"/>
              <w:autoSpaceDN w:val="0"/>
              <w:adjustRightInd w:val="0"/>
              <w:spacing w:after="0" w:line="276" w:lineRule="auto"/>
              <w:rPr>
                <w:color w:val="auto"/>
                <w:sz w:val="18"/>
                <w:szCs w:val="18"/>
              </w:rPr>
            </w:pPr>
          </w:p>
        </w:tc>
      </w:tr>
      <w:tr w:rsidR="00EC1DF5" w:rsidRPr="00EC1DF5" w14:paraId="5ADF8847" w14:textId="77777777" w:rsidTr="00453380">
        <w:tc>
          <w:tcPr>
            <w:tcW w:w="1418" w:type="dxa"/>
            <w:tcBorders>
              <w:top w:val="nil"/>
              <w:left w:val="nil"/>
              <w:bottom w:val="nil"/>
              <w:right w:val="nil"/>
            </w:tcBorders>
          </w:tcPr>
          <w:p w14:paraId="247CB621"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 xml:space="preserve">  </w:t>
            </w:r>
          </w:p>
        </w:tc>
        <w:tc>
          <w:tcPr>
            <w:tcW w:w="850" w:type="dxa"/>
            <w:tcBorders>
              <w:top w:val="nil"/>
              <w:left w:val="nil"/>
              <w:bottom w:val="nil"/>
              <w:right w:val="nil"/>
            </w:tcBorders>
            <w:vAlign w:val="center"/>
          </w:tcPr>
          <w:p w14:paraId="5F63DA9E" w14:textId="77777777" w:rsidR="00AB41CC" w:rsidRPr="00EC1DF5" w:rsidRDefault="00AB41CC" w:rsidP="00453380">
            <w:pPr>
              <w:widowControl w:val="0"/>
              <w:autoSpaceDE w:val="0"/>
              <w:autoSpaceDN w:val="0"/>
              <w:adjustRightInd w:val="0"/>
              <w:spacing w:after="0" w:line="276" w:lineRule="auto"/>
              <w:rPr>
                <w:color w:val="auto"/>
                <w:sz w:val="18"/>
                <w:szCs w:val="18"/>
              </w:rPr>
            </w:pPr>
          </w:p>
        </w:tc>
        <w:tc>
          <w:tcPr>
            <w:tcW w:w="993" w:type="dxa"/>
            <w:tcBorders>
              <w:top w:val="nil"/>
              <w:left w:val="nil"/>
              <w:bottom w:val="nil"/>
              <w:right w:val="nil"/>
            </w:tcBorders>
            <w:vAlign w:val="center"/>
          </w:tcPr>
          <w:p w14:paraId="14C6B5F2"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(0.030)</w:t>
            </w:r>
          </w:p>
        </w:tc>
        <w:tc>
          <w:tcPr>
            <w:tcW w:w="992" w:type="dxa"/>
            <w:tcBorders>
              <w:top w:val="nil"/>
              <w:left w:val="nil"/>
              <w:bottom w:val="nil"/>
              <w:right w:val="nil"/>
            </w:tcBorders>
            <w:vAlign w:val="center"/>
          </w:tcPr>
          <w:p w14:paraId="263EB086"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(0.034)</w:t>
            </w:r>
          </w:p>
        </w:tc>
        <w:tc>
          <w:tcPr>
            <w:tcW w:w="992" w:type="dxa"/>
            <w:tcBorders>
              <w:top w:val="nil"/>
              <w:left w:val="nil"/>
              <w:bottom w:val="nil"/>
              <w:right w:val="nil"/>
            </w:tcBorders>
            <w:vAlign w:val="center"/>
          </w:tcPr>
          <w:p w14:paraId="4E06D394" w14:textId="77777777" w:rsidR="00AB41CC" w:rsidRPr="00EC1DF5" w:rsidRDefault="00AB41CC" w:rsidP="00453380">
            <w:pPr>
              <w:widowControl w:val="0"/>
              <w:autoSpaceDE w:val="0"/>
              <w:autoSpaceDN w:val="0"/>
              <w:adjustRightInd w:val="0"/>
              <w:spacing w:after="0" w:line="276" w:lineRule="auto"/>
              <w:rPr>
                <w:color w:val="auto"/>
                <w:sz w:val="18"/>
                <w:szCs w:val="18"/>
              </w:rPr>
            </w:pPr>
          </w:p>
        </w:tc>
        <w:tc>
          <w:tcPr>
            <w:tcW w:w="992" w:type="dxa"/>
            <w:tcBorders>
              <w:top w:val="nil"/>
              <w:left w:val="nil"/>
              <w:bottom w:val="nil"/>
              <w:right w:val="nil"/>
            </w:tcBorders>
            <w:vAlign w:val="center"/>
          </w:tcPr>
          <w:p w14:paraId="76EFB8DE" w14:textId="77777777" w:rsidR="00AB41CC" w:rsidRPr="00EC1DF5" w:rsidRDefault="00AB41CC" w:rsidP="00453380">
            <w:pPr>
              <w:widowControl w:val="0"/>
              <w:autoSpaceDE w:val="0"/>
              <w:autoSpaceDN w:val="0"/>
              <w:adjustRightInd w:val="0"/>
              <w:spacing w:after="0" w:line="276" w:lineRule="auto"/>
              <w:rPr>
                <w:color w:val="auto"/>
                <w:sz w:val="18"/>
                <w:szCs w:val="18"/>
              </w:rPr>
            </w:pPr>
          </w:p>
        </w:tc>
        <w:tc>
          <w:tcPr>
            <w:tcW w:w="993" w:type="dxa"/>
            <w:tcBorders>
              <w:top w:val="nil"/>
              <w:left w:val="nil"/>
              <w:bottom w:val="nil"/>
              <w:right w:val="nil"/>
            </w:tcBorders>
            <w:vAlign w:val="center"/>
          </w:tcPr>
          <w:p w14:paraId="65941043" w14:textId="77777777" w:rsidR="00AB41CC" w:rsidRPr="00EC1DF5" w:rsidRDefault="00AB41CC" w:rsidP="00453380">
            <w:pPr>
              <w:widowControl w:val="0"/>
              <w:autoSpaceDE w:val="0"/>
              <w:autoSpaceDN w:val="0"/>
              <w:adjustRightInd w:val="0"/>
              <w:spacing w:after="0" w:line="276" w:lineRule="auto"/>
              <w:rPr>
                <w:color w:val="auto"/>
                <w:sz w:val="18"/>
                <w:szCs w:val="18"/>
              </w:rPr>
            </w:pPr>
          </w:p>
        </w:tc>
        <w:tc>
          <w:tcPr>
            <w:tcW w:w="992" w:type="dxa"/>
            <w:tcBorders>
              <w:top w:val="nil"/>
              <w:left w:val="nil"/>
              <w:bottom w:val="nil"/>
              <w:right w:val="nil"/>
            </w:tcBorders>
            <w:vAlign w:val="center"/>
          </w:tcPr>
          <w:p w14:paraId="7C40BEAA" w14:textId="77777777" w:rsidR="00AB41CC" w:rsidRPr="00EC1DF5" w:rsidRDefault="00AB41CC" w:rsidP="00453380">
            <w:pPr>
              <w:widowControl w:val="0"/>
              <w:autoSpaceDE w:val="0"/>
              <w:autoSpaceDN w:val="0"/>
              <w:adjustRightInd w:val="0"/>
              <w:spacing w:after="0" w:line="276" w:lineRule="auto"/>
              <w:rPr>
                <w:color w:val="auto"/>
                <w:sz w:val="18"/>
                <w:szCs w:val="18"/>
              </w:rPr>
            </w:pPr>
          </w:p>
        </w:tc>
      </w:tr>
      <w:tr w:rsidR="00EC1DF5" w:rsidRPr="00EC1DF5" w14:paraId="3290BE8F" w14:textId="77777777" w:rsidTr="00453380">
        <w:tc>
          <w:tcPr>
            <w:tcW w:w="1418" w:type="dxa"/>
            <w:tcBorders>
              <w:top w:val="nil"/>
              <w:left w:val="nil"/>
              <w:bottom w:val="nil"/>
              <w:right w:val="nil"/>
            </w:tcBorders>
          </w:tcPr>
          <w:p w14:paraId="4C7BE3D5"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 xml:space="preserve"> </w:t>
            </w:r>
            <w:r w:rsidRPr="00EC1DF5">
              <w:rPr>
                <w:i/>
                <w:color w:val="auto"/>
                <w:sz w:val="18"/>
                <w:szCs w:val="18"/>
              </w:rPr>
              <w:t>BST</w:t>
            </w:r>
          </w:p>
        </w:tc>
        <w:tc>
          <w:tcPr>
            <w:tcW w:w="850" w:type="dxa"/>
            <w:tcBorders>
              <w:top w:val="nil"/>
              <w:left w:val="nil"/>
              <w:bottom w:val="nil"/>
              <w:right w:val="nil"/>
            </w:tcBorders>
            <w:vAlign w:val="center"/>
          </w:tcPr>
          <w:p w14:paraId="47E04CA1"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w:t>
            </w:r>
          </w:p>
        </w:tc>
        <w:tc>
          <w:tcPr>
            <w:tcW w:w="993" w:type="dxa"/>
            <w:tcBorders>
              <w:top w:val="nil"/>
              <w:left w:val="nil"/>
              <w:bottom w:val="nil"/>
              <w:right w:val="nil"/>
            </w:tcBorders>
            <w:vAlign w:val="center"/>
          </w:tcPr>
          <w:p w14:paraId="02E885B3"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0.022</w:t>
            </w:r>
          </w:p>
        </w:tc>
        <w:tc>
          <w:tcPr>
            <w:tcW w:w="992" w:type="dxa"/>
            <w:tcBorders>
              <w:top w:val="nil"/>
              <w:left w:val="nil"/>
              <w:bottom w:val="nil"/>
              <w:right w:val="nil"/>
            </w:tcBorders>
            <w:vAlign w:val="center"/>
          </w:tcPr>
          <w:p w14:paraId="2D5DC2E6" w14:textId="77777777" w:rsidR="00AB41CC" w:rsidRPr="00EC1DF5" w:rsidRDefault="00AB41CC" w:rsidP="00453380">
            <w:pPr>
              <w:widowControl w:val="0"/>
              <w:autoSpaceDE w:val="0"/>
              <w:autoSpaceDN w:val="0"/>
              <w:adjustRightInd w:val="0"/>
              <w:spacing w:after="0" w:line="276" w:lineRule="auto"/>
              <w:rPr>
                <w:color w:val="auto"/>
                <w:sz w:val="18"/>
                <w:szCs w:val="18"/>
              </w:rPr>
            </w:pPr>
          </w:p>
        </w:tc>
        <w:tc>
          <w:tcPr>
            <w:tcW w:w="992" w:type="dxa"/>
            <w:tcBorders>
              <w:top w:val="nil"/>
              <w:left w:val="nil"/>
              <w:bottom w:val="nil"/>
              <w:right w:val="nil"/>
            </w:tcBorders>
            <w:vAlign w:val="center"/>
          </w:tcPr>
          <w:p w14:paraId="010AC51B"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0.090</w:t>
            </w:r>
          </w:p>
        </w:tc>
        <w:tc>
          <w:tcPr>
            <w:tcW w:w="992" w:type="dxa"/>
            <w:tcBorders>
              <w:top w:val="nil"/>
              <w:left w:val="nil"/>
              <w:bottom w:val="nil"/>
              <w:right w:val="nil"/>
            </w:tcBorders>
            <w:vAlign w:val="center"/>
          </w:tcPr>
          <w:p w14:paraId="1538553C" w14:textId="77777777" w:rsidR="00AB41CC" w:rsidRPr="00EC1DF5" w:rsidRDefault="00AB41CC" w:rsidP="00453380">
            <w:pPr>
              <w:widowControl w:val="0"/>
              <w:autoSpaceDE w:val="0"/>
              <w:autoSpaceDN w:val="0"/>
              <w:adjustRightInd w:val="0"/>
              <w:spacing w:after="0" w:line="276" w:lineRule="auto"/>
              <w:rPr>
                <w:color w:val="auto"/>
                <w:sz w:val="18"/>
                <w:szCs w:val="18"/>
              </w:rPr>
            </w:pPr>
          </w:p>
        </w:tc>
        <w:tc>
          <w:tcPr>
            <w:tcW w:w="993" w:type="dxa"/>
            <w:tcBorders>
              <w:top w:val="nil"/>
              <w:left w:val="nil"/>
              <w:bottom w:val="nil"/>
              <w:right w:val="nil"/>
            </w:tcBorders>
            <w:vAlign w:val="center"/>
          </w:tcPr>
          <w:p w14:paraId="2D2A89A9" w14:textId="77777777" w:rsidR="00AB41CC" w:rsidRPr="00EC1DF5" w:rsidRDefault="00AB41CC" w:rsidP="00453380">
            <w:pPr>
              <w:widowControl w:val="0"/>
              <w:autoSpaceDE w:val="0"/>
              <w:autoSpaceDN w:val="0"/>
              <w:adjustRightInd w:val="0"/>
              <w:spacing w:after="0" w:line="276" w:lineRule="auto"/>
              <w:rPr>
                <w:color w:val="auto"/>
                <w:sz w:val="18"/>
                <w:szCs w:val="18"/>
              </w:rPr>
            </w:pPr>
          </w:p>
        </w:tc>
        <w:tc>
          <w:tcPr>
            <w:tcW w:w="992" w:type="dxa"/>
            <w:tcBorders>
              <w:top w:val="nil"/>
              <w:left w:val="nil"/>
              <w:bottom w:val="nil"/>
              <w:right w:val="nil"/>
            </w:tcBorders>
            <w:vAlign w:val="center"/>
          </w:tcPr>
          <w:p w14:paraId="53EFD379" w14:textId="77777777" w:rsidR="00AB41CC" w:rsidRPr="00EC1DF5" w:rsidRDefault="00AB41CC" w:rsidP="00453380">
            <w:pPr>
              <w:widowControl w:val="0"/>
              <w:autoSpaceDE w:val="0"/>
              <w:autoSpaceDN w:val="0"/>
              <w:adjustRightInd w:val="0"/>
              <w:spacing w:after="0" w:line="276" w:lineRule="auto"/>
              <w:rPr>
                <w:color w:val="auto"/>
                <w:sz w:val="18"/>
                <w:szCs w:val="18"/>
              </w:rPr>
            </w:pPr>
          </w:p>
        </w:tc>
      </w:tr>
      <w:tr w:rsidR="00EC1DF5" w:rsidRPr="00EC1DF5" w14:paraId="57ACADAE" w14:textId="77777777" w:rsidTr="00453380">
        <w:tc>
          <w:tcPr>
            <w:tcW w:w="1418" w:type="dxa"/>
            <w:tcBorders>
              <w:top w:val="nil"/>
              <w:left w:val="nil"/>
              <w:bottom w:val="nil"/>
              <w:right w:val="nil"/>
            </w:tcBorders>
          </w:tcPr>
          <w:p w14:paraId="75EB3DD3"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 xml:space="preserve">  </w:t>
            </w:r>
          </w:p>
        </w:tc>
        <w:tc>
          <w:tcPr>
            <w:tcW w:w="850" w:type="dxa"/>
            <w:tcBorders>
              <w:top w:val="nil"/>
              <w:left w:val="nil"/>
              <w:bottom w:val="nil"/>
              <w:right w:val="nil"/>
            </w:tcBorders>
            <w:vAlign w:val="center"/>
          </w:tcPr>
          <w:p w14:paraId="5CAFCB9A" w14:textId="77777777" w:rsidR="00AB41CC" w:rsidRPr="00EC1DF5" w:rsidRDefault="00AB41CC" w:rsidP="00453380">
            <w:pPr>
              <w:widowControl w:val="0"/>
              <w:autoSpaceDE w:val="0"/>
              <w:autoSpaceDN w:val="0"/>
              <w:adjustRightInd w:val="0"/>
              <w:spacing w:after="0" w:line="276" w:lineRule="auto"/>
              <w:rPr>
                <w:color w:val="auto"/>
                <w:sz w:val="18"/>
                <w:szCs w:val="18"/>
              </w:rPr>
            </w:pPr>
          </w:p>
        </w:tc>
        <w:tc>
          <w:tcPr>
            <w:tcW w:w="993" w:type="dxa"/>
            <w:tcBorders>
              <w:top w:val="nil"/>
              <w:left w:val="nil"/>
              <w:bottom w:val="nil"/>
              <w:right w:val="nil"/>
            </w:tcBorders>
            <w:vAlign w:val="center"/>
          </w:tcPr>
          <w:p w14:paraId="5F22A7D6"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(0.034)</w:t>
            </w:r>
          </w:p>
        </w:tc>
        <w:tc>
          <w:tcPr>
            <w:tcW w:w="992" w:type="dxa"/>
            <w:tcBorders>
              <w:top w:val="nil"/>
              <w:left w:val="nil"/>
              <w:bottom w:val="nil"/>
              <w:right w:val="nil"/>
            </w:tcBorders>
            <w:vAlign w:val="center"/>
          </w:tcPr>
          <w:p w14:paraId="4F8DB53A" w14:textId="77777777" w:rsidR="00AB41CC" w:rsidRPr="00EC1DF5" w:rsidRDefault="00AB41CC" w:rsidP="00453380">
            <w:pPr>
              <w:widowControl w:val="0"/>
              <w:autoSpaceDE w:val="0"/>
              <w:autoSpaceDN w:val="0"/>
              <w:adjustRightInd w:val="0"/>
              <w:spacing w:after="0" w:line="276" w:lineRule="auto"/>
              <w:rPr>
                <w:color w:val="auto"/>
                <w:sz w:val="18"/>
                <w:szCs w:val="18"/>
              </w:rPr>
            </w:pPr>
          </w:p>
        </w:tc>
        <w:tc>
          <w:tcPr>
            <w:tcW w:w="992" w:type="dxa"/>
            <w:tcBorders>
              <w:top w:val="nil"/>
              <w:left w:val="nil"/>
              <w:bottom w:val="nil"/>
              <w:right w:val="nil"/>
            </w:tcBorders>
            <w:vAlign w:val="center"/>
          </w:tcPr>
          <w:p w14:paraId="0A6E4EE9"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(0.037)</w:t>
            </w:r>
          </w:p>
        </w:tc>
        <w:tc>
          <w:tcPr>
            <w:tcW w:w="992" w:type="dxa"/>
            <w:tcBorders>
              <w:top w:val="nil"/>
              <w:left w:val="nil"/>
              <w:bottom w:val="nil"/>
              <w:right w:val="nil"/>
            </w:tcBorders>
            <w:vAlign w:val="center"/>
          </w:tcPr>
          <w:p w14:paraId="44D5F625" w14:textId="77777777" w:rsidR="00AB41CC" w:rsidRPr="00EC1DF5" w:rsidRDefault="00AB41CC" w:rsidP="00453380">
            <w:pPr>
              <w:widowControl w:val="0"/>
              <w:autoSpaceDE w:val="0"/>
              <w:autoSpaceDN w:val="0"/>
              <w:adjustRightInd w:val="0"/>
              <w:spacing w:after="0" w:line="276" w:lineRule="auto"/>
              <w:rPr>
                <w:color w:val="auto"/>
                <w:sz w:val="18"/>
                <w:szCs w:val="18"/>
              </w:rPr>
            </w:pPr>
          </w:p>
        </w:tc>
        <w:tc>
          <w:tcPr>
            <w:tcW w:w="993" w:type="dxa"/>
            <w:tcBorders>
              <w:top w:val="nil"/>
              <w:left w:val="nil"/>
              <w:bottom w:val="nil"/>
              <w:right w:val="nil"/>
            </w:tcBorders>
            <w:vAlign w:val="center"/>
          </w:tcPr>
          <w:p w14:paraId="5F50B771" w14:textId="77777777" w:rsidR="00AB41CC" w:rsidRPr="00EC1DF5" w:rsidRDefault="00AB41CC" w:rsidP="00453380">
            <w:pPr>
              <w:widowControl w:val="0"/>
              <w:autoSpaceDE w:val="0"/>
              <w:autoSpaceDN w:val="0"/>
              <w:adjustRightInd w:val="0"/>
              <w:spacing w:after="0" w:line="276" w:lineRule="auto"/>
              <w:rPr>
                <w:color w:val="auto"/>
                <w:sz w:val="18"/>
                <w:szCs w:val="18"/>
              </w:rPr>
            </w:pPr>
          </w:p>
        </w:tc>
        <w:tc>
          <w:tcPr>
            <w:tcW w:w="992" w:type="dxa"/>
            <w:tcBorders>
              <w:top w:val="nil"/>
              <w:left w:val="nil"/>
              <w:bottom w:val="nil"/>
              <w:right w:val="nil"/>
            </w:tcBorders>
            <w:vAlign w:val="center"/>
          </w:tcPr>
          <w:p w14:paraId="369A4743" w14:textId="77777777" w:rsidR="00AB41CC" w:rsidRPr="00EC1DF5" w:rsidRDefault="00AB41CC" w:rsidP="00453380">
            <w:pPr>
              <w:widowControl w:val="0"/>
              <w:autoSpaceDE w:val="0"/>
              <w:autoSpaceDN w:val="0"/>
              <w:adjustRightInd w:val="0"/>
              <w:spacing w:after="0" w:line="276" w:lineRule="auto"/>
              <w:rPr>
                <w:color w:val="auto"/>
                <w:sz w:val="18"/>
                <w:szCs w:val="18"/>
              </w:rPr>
            </w:pPr>
          </w:p>
        </w:tc>
      </w:tr>
      <w:tr w:rsidR="00EC1DF5" w:rsidRPr="00EC1DF5" w14:paraId="54A03F13" w14:textId="77777777" w:rsidTr="00453380">
        <w:tc>
          <w:tcPr>
            <w:tcW w:w="1418" w:type="dxa"/>
            <w:tcBorders>
              <w:top w:val="nil"/>
              <w:left w:val="nil"/>
              <w:bottom w:val="nil"/>
              <w:right w:val="nil"/>
            </w:tcBorders>
          </w:tcPr>
          <w:p w14:paraId="168FCBF9"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 xml:space="preserve"> </w:t>
            </w:r>
            <w:r w:rsidRPr="00EC1DF5">
              <w:rPr>
                <w:i/>
                <w:color w:val="auto"/>
                <w:sz w:val="18"/>
                <w:szCs w:val="18"/>
              </w:rPr>
              <w:t>BC</w:t>
            </w:r>
          </w:p>
        </w:tc>
        <w:tc>
          <w:tcPr>
            <w:tcW w:w="850" w:type="dxa"/>
            <w:tcBorders>
              <w:top w:val="nil"/>
              <w:left w:val="nil"/>
              <w:bottom w:val="nil"/>
              <w:right w:val="nil"/>
            </w:tcBorders>
            <w:vAlign w:val="center"/>
          </w:tcPr>
          <w:p w14:paraId="2590C82E"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w:t>
            </w:r>
          </w:p>
        </w:tc>
        <w:tc>
          <w:tcPr>
            <w:tcW w:w="993" w:type="dxa"/>
            <w:tcBorders>
              <w:top w:val="nil"/>
              <w:left w:val="nil"/>
              <w:bottom w:val="nil"/>
              <w:right w:val="nil"/>
            </w:tcBorders>
            <w:vAlign w:val="center"/>
          </w:tcPr>
          <w:p w14:paraId="3E5C5372"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0.025</w:t>
            </w:r>
          </w:p>
        </w:tc>
        <w:tc>
          <w:tcPr>
            <w:tcW w:w="992" w:type="dxa"/>
            <w:tcBorders>
              <w:top w:val="nil"/>
              <w:left w:val="nil"/>
              <w:bottom w:val="nil"/>
              <w:right w:val="nil"/>
            </w:tcBorders>
            <w:vAlign w:val="center"/>
          </w:tcPr>
          <w:p w14:paraId="76FA01DF" w14:textId="77777777" w:rsidR="00AB41CC" w:rsidRPr="00EC1DF5" w:rsidRDefault="00AB41CC" w:rsidP="00453380">
            <w:pPr>
              <w:widowControl w:val="0"/>
              <w:autoSpaceDE w:val="0"/>
              <w:autoSpaceDN w:val="0"/>
              <w:adjustRightInd w:val="0"/>
              <w:spacing w:after="0" w:line="276" w:lineRule="auto"/>
              <w:rPr>
                <w:color w:val="auto"/>
                <w:sz w:val="18"/>
                <w:szCs w:val="18"/>
              </w:rPr>
            </w:pPr>
          </w:p>
        </w:tc>
        <w:tc>
          <w:tcPr>
            <w:tcW w:w="992" w:type="dxa"/>
            <w:tcBorders>
              <w:top w:val="nil"/>
              <w:left w:val="nil"/>
              <w:bottom w:val="nil"/>
              <w:right w:val="nil"/>
            </w:tcBorders>
            <w:vAlign w:val="center"/>
          </w:tcPr>
          <w:p w14:paraId="7026B076" w14:textId="77777777" w:rsidR="00AB41CC" w:rsidRPr="00EC1DF5" w:rsidRDefault="00AB41CC" w:rsidP="00453380">
            <w:pPr>
              <w:widowControl w:val="0"/>
              <w:autoSpaceDE w:val="0"/>
              <w:autoSpaceDN w:val="0"/>
              <w:adjustRightInd w:val="0"/>
              <w:spacing w:after="0" w:line="276" w:lineRule="auto"/>
              <w:rPr>
                <w:color w:val="auto"/>
                <w:sz w:val="18"/>
                <w:szCs w:val="18"/>
              </w:rPr>
            </w:pPr>
          </w:p>
        </w:tc>
        <w:tc>
          <w:tcPr>
            <w:tcW w:w="992" w:type="dxa"/>
            <w:tcBorders>
              <w:top w:val="nil"/>
              <w:left w:val="nil"/>
              <w:bottom w:val="nil"/>
              <w:right w:val="nil"/>
            </w:tcBorders>
            <w:vAlign w:val="center"/>
          </w:tcPr>
          <w:p w14:paraId="174C80CD"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0.060</w:t>
            </w:r>
          </w:p>
        </w:tc>
        <w:tc>
          <w:tcPr>
            <w:tcW w:w="993" w:type="dxa"/>
            <w:tcBorders>
              <w:top w:val="nil"/>
              <w:left w:val="nil"/>
              <w:bottom w:val="nil"/>
              <w:right w:val="nil"/>
            </w:tcBorders>
            <w:vAlign w:val="center"/>
          </w:tcPr>
          <w:p w14:paraId="6CF5FB88" w14:textId="77777777" w:rsidR="00AB41CC" w:rsidRPr="00EC1DF5" w:rsidRDefault="00AB41CC" w:rsidP="00453380">
            <w:pPr>
              <w:widowControl w:val="0"/>
              <w:autoSpaceDE w:val="0"/>
              <w:autoSpaceDN w:val="0"/>
              <w:adjustRightInd w:val="0"/>
              <w:spacing w:after="0" w:line="276" w:lineRule="auto"/>
              <w:rPr>
                <w:color w:val="auto"/>
                <w:sz w:val="18"/>
                <w:szCs w:val="18"/>
              </w:rPr>
            </w:pPr>
          </w:p>
        </w:tc>
        <w:tc>
          <w:tcPr>
            <w:tcW w:w="992" w:type="dxa"/>
            <w:tcBorders>
              <w:top w:val="nil"/>
              <w:left w:val="nil"/>
              <w:bottom w:val="nil"/>
              <w:right w:val="nil"/>
            </w:tcBorders>
            <w:vAlign w:val="center"/>
          </w:tcPr>
          <w:p w14:paraId="33BF800D" w14:textId="77777777" w:rsidR="00AB41CC" w:rsidRPr="00EC1DF5" w:rsidRDefault="00AB41CC" w:rsidP="00453380">
            <w:pPr>
              <w:widowControl w:val="0"/>
              <w:autoSpaceDE w:val="0"/>
              <w:autoSpaceDN w:val="0"/>
              <w:adjustRightInd w:val="0"/>
              <w:spacing w:after="0" w:line="276" w:lineRule="auto"/>
              <w:rPr>
                <w:color w:val="auto"/>
                <w:sz w:val="18"/>
                <w:szCs w:val="18"/>
              </w:rPr>
            </w:pPr>
          </w:p>
        </w:tc>
      </w:tr>
      <w:tr w:rsidR="00EC1DF5" w:rsidRPr="00EC1DF5" w14:paraId="3D7D716A" w14:textId="77777777" w:rsidTr="00453380">
        <w:tc>
          <w:tcPr>
            <w:tcW w:w="1418" w:type="dxa"/>
            <w:tcBorders>
              <w:top w:val="nil"/>
              <w:left w:val="nil"/>
              <w:bottom w:val="nil"/>
              <w:right w:val="nil"/>
            </w:tcBorders>
          </w:tcPr>
          <w:p w14:paraId="22A09944"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 xml:space="preserve">  </w:t>
            </w:r>
          </w:p>
        </w:tc>
        <w:tc>
          <w:tcPr>
            <w:tcW w:w="850" w:type="dxa"/>
            <w:tcBorders>
              <w:top w:val="nil"/>
              <w:left w:val="nil"/>
              <w:bottom w:val="nil"/>
              <w:right w:val="nil"/>
            </w:tcBorders>
            <w:vAlign w:val="center"/>
          </w:tcPr>
          <w:p w14:paraId="0624859F" w14:textId="77777777" w:rsidR="00AB41CC" w:rsidRPr="00EC1DF5" w:rsidRDefault="00AB41CC" w:rsidP="00453380">
            <w:pPr>
              <w:widowControl w:val="0"/>
              <w:autoSpaceDE w:val="0"/>
              <w:autoSpaceDN w:val="0"/>
              <w:adjustRightInd w:val="0"/>
              <w:spacing w:after="0" w:line="276" w:lineRule="auto"/>
              <w:rPr>
                <w:color w:val="auto"/>
                <w:sz w:val="18"/>
                <w:szCs w:val="18"/>
              </w:rPr>
            </w:pPr>
          </w:p>
        </w:tc>
        <w:tc>
          <w:tcPr>
            <w:tcW w:w="993" w:type="dxa"/>
            <w:tcBorders>
              <w:top w:val="nil"/>
              <w:left w:val="nil"/>
              <w:bottom w:val="nil"/>
              <w:right w:val="nil"/>
            </w:tcBorders>
            <w:vAlign w:val="center"/>
          </w:tcPr>
          <w:p w14:paraId="4226D5EA"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(0.020)</w:t>
            </w:r>
          </w:p>
        </w:tc>
        <w:tc>
          <w:tcPr>
            <w:tcW w:w="992" w:type="dxa"/>
            <w:tcBorders>
              <w:top w:val="nil"/>
              <w:left w:val="nil"/>
              <w:bottom w:val="nil"/>
              <w:right w:val="nil"/>
            </w:tcBorders>
            <w:vAlign w:val="center"/>
          </w:tcPr>
          <w:p w14:paraId="66E951D7" w14:textId="77777777" w:rsidR="00AB41CC" w:rsidRPr="00EC1DF5" w:rsidRDefault="00AB41CC" w:rsidP="00453380">
            <w:pPr>
              <w:widowControl w:val="0"/>
              <w:autoSpaceDE w:val="0"/>
              <w:autoSpaceDN w:val="0"/>
              <w:adjustRightInd w:val="0"/>
              <w:spacing w:after="0" w:line="276" w:lineRule="auto"/>
              <w:rPr>
                <w:color w:val="auto"/>
                <w:sz w:val="18"/>
                <w:szCs w:val="18"/>
              </w:rPr>
            </w:pPr>
          </w:p>
        </w:tc>
        <w:tc>
          <w:tcPr>
            <w:tcW w:w="992" w:type="dxa"/>
            <w:tcBorders>
              <w:top w:val="nil"/>
              <w:left w:val="nil"/>
              <w:bottom w:val="nil"/>
              <w:right w:val="nil"/>
            </w:tcBorders>
            <w:vAlign w:val="center"/>
          </w:tcPr>
          <w:p w14:paraId="1FF58B29" w14:textId="77777777" w:rsidR="00AB41CC" w:rsidRPr="00EC1DF5" w:rsidRDefault="00AB41CC" w:rsidP="00453380">
            <w:pPr>
              <w:widowControl w:val="0"/>
              <w:autoSpaceDE w:val="0"/>
              <w:autoSpaceDN w:val="0"/>
              <w:adjustRightInd w:val="0"/>
              <w:spacing w:after="0" w:line="276" w:lineRule="auto"/>
              <w:rPr>
                <w:color w:val="auto"/>
                <w:sz w:val="18"/>
                <w:szCs w:val="18"/>
              </w:rPr>
            </w:pPr>
          </w:p>
        </w:tc>
        <w:tc>
          <w:tcPr>
            <w:tcW w:w="992" w:type="dxa"/>
            <w:tcBorders>
              <w:top w:val="nil"/>
              <w:left w:val="nil"/>
              <w:bottom w:val="nil"/>
              <w:right w:val="nil"/>
            </w:tcBorders>
            <w:vAlign w:val="center"/>
          </w:tcPr>
          <w:p w14:paraId="29E86682"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(0.023)</w:t>
            </w:r>
          </w:p>
        </w:tc>
        <w:tc>
          <w:tcPr>
            <w:tcW w:w="993" w:type="dxa"/>
            <w:tcBorders>
              <w:top w:val="nil"/>
              <w:left w:val="nil"/>
              <w:bottom w:val="nil"/>
              <w:right w:val="nil"/>
            </w:tcBorders>
            <w:vAlign w:val="center"/>
          </w:tcPr>
          <w:p w14:paraId="53B14F0F" w14:textId="77777777" w:rsidR="00AB41CC" w:rsidRPr="00EC1DF5" w:rsidRDefault="00AB41CC" w:rsidP="00453380">
            <w:pPr>
              <w:widowControl w:val="0"/>
              <w:autoSpaceDE w:val="0"/>
              <w:autoSpaceDN w:val="0"/>
              <w:adjustRightInd w:val="0"/>
              <w:spacing w:after="0" w:line="276" w:lineRule="auto"/>
              <w:rPr>
                <w:color w:val="auto"/>
                <w:sz w:val="18"/>
                <w:szCs w:val="18"/>
              </w:rPr>
            </w:pPr>
          </w:p>
        </w:tc>
        <w:tc>
          <w:tcPr>
            <w:tcW w:w="992" w:type="dxa"/>
            <w:tcBorders>
              <w:top w:val="nil"/>
              <w:left w:val="nil"/>
              <w:bottom w:val="nil"/>
              <w:right w:val="nil"/>
            </w:tcBorders>
            <w:vAlign w:val="center"/>
          </w:tcPr>
          <w:p w14:paraId="5432D760" w14:textId="77777777" w:rsidR="00AB41CC" w:rsidRPr="00EC1DF5" w:rsidRDefault="00AB41CC" w:rsidP="00453380">
            <w:pPr>
              <w:widowControl w:val="0"/>
              <w:autoSpaceDE w:val="0"/>
              <w:autoSpaceDN w:val="0"/>
              <w:adjustRightInd w:val="0"/>
              <w:spacing w:after="0" w:line="276" w:lineRule="auto"/>
              <w:rPr>
                <w:color w:val="auto"/>
                <w:sz w:val="18"/>
                <w:szCs w:val="18"/>
              </w:rPr>
            </w:pPr>
          </w:p>
        </w:tc>
      </w:tr>
      <w:tr w:rsidR="00EC1DF5" w:rsidRPr="00EC1DF5" w14:paraId="2FAF74E5" w14:textId="77777777" w:rsidTr="00453380">
        <w:tc>
          <w:tcPr>
            <w:tcW w:w="1418" w:type="dxa"/>
            <w:tcBorders>
              <w:top w:val="nil"/>
              <w:left w:val="nil"/>
              <w:bottom w:val="nil"/>
              <w:right w:val="nil"/>
            </w:tcBorders>
          </w:tcPr>
          <w:p w14:paraId="1074CCCC"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 xml:space="preserve"> </w:t>
            </w:r>
            <w:r w:rsidRPr="00EC1DF5">
              <w:rPr>
                <w:i/>
                <w:color w:val="auto"/>
                <w:sz w:val="18"/>
                <w:szCs w:val="18"/>
              </w:rPr>
              <w:t>BSR</w:t>
            </w:r>
          </w:p>
        </w:tc>
        <w:tc>
          <w:tcPr>
            <w:tcW w:w="850" w:type="dxa"/>
            <w:tcBorders>
              <w:top w:val="nil"/>
              <w:left w:val="nil"/>
              <w:bottom w:val="nil"/>
              <w:right w:val="nil"/>
            </w:tcBorders>
            <w:vAlign w:val="center"/>
          </w:tcPr>
          <w:p w14:paraId="6BE1670D"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w:t>
            </w:r>
          </w:p>
        </w:tc>
        <w:tc>
          <w:tcPr>
            <w:tcW w:w="993" w:type="dxa"/>
            <w:tcBorders>
              <w:top w:val="nil"/>
              <w:left w:val="nil"/>
              <w:bottom w:val="nil"/>
              <w:right w:val="nil"/>
            </w:tcBorders>
            <w:vAlign w:val="center"/>
          </w:tcPr>
          <w:p w14:paraId="413B5FB9"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0.032*</w:t>
            </w:r>
          </w:p>
        </w:tc>
        <w:tc>
          <w:tcPr>
            <w:tcW w:w="992" w:type="dxa"/>
            <w:tcBorders>
              <w:top w:val="nil"/>
              <w:left w:val="nil"/>
              <w:bottom w:val="nil"/>
              <w:right w:val="nil"/>
            </w:tcBorders>
            <w:vAlign w:val="center"/>
          </w:tcPr>
          <w:p w14:paraId="1DD41BBE" w14:textId="77777777" w:rsidR="00AB41CC" w:rsidRPr="00EC1DF5" w:rsidRDefault="00AB41CC" w:rsidP="00453380">
            <w:pPr>
              <w:widowControl w:val="0"/>
              <w:autoSpaceDE w:val="0"/>
              <w:autoSpaceDN w:val="0"/>
              <w:adjustRightInd w:val="0"/>
              <w:spacing w:after="0" w:line="276" w:lineRule="auto"/>
              <w:rPr>
                <w:color w:val="auto"/>
                <w:sz w:val="18"/>
                <w:szCs w:val="18"/>
              </w:rPr>
            </w:pPr>
          </w:p>
        </w:tc>
        <w:tc>
          <w:tcPr>
            <w:tcW w:w="992" w:type="dxa"/>
            <w:tcBorders>
              <w:top w:val="nil"/>
              <w:left w:val="nil"/>
              <w:bottom w:val="nil"/>
              <w:right w:val="nil"/>
            </w:tcBorders>
            <w:vAlign w:val="center"/>
          </w:tcPr>
          <w:p w14:paraId="6D391233" w14:textId="77777777" w:rsidR="00AB41CC" w:rsidRPr="00EC1DF5" w:rsidRDefault="00AB41CC" w:rsidP="00453380">
            <w:pPr>
              <w:widowControl w:val="0"/>
              <w:autoSpaceDE w:val="0"/>
              <w:autoSpaceDN w:val="0"/>
              <w:adjustRightInd w:val="0"/>
              <w:spacing w:after="0" w:line="276" w:lineRule="auto"/>
              <w:rPr>
                <w:color w:val="auto"/>
                <w:sz w:val="18"/>
                <w:szCs w:val="18"/>
              </w:rPr>
            </w:pPr>
          </w:p>
        </w:tc>
        <w:tc>
          <w:tcPr>
            <w:tcW w:w="992" w:type="dxa"/>
            <w:tcBorders>
              <w:top w:val="nil"/>
              <w:left w:val="nil"/>
              <w:bottom w:val="nil"/>
              <w:right w:val="nil"/>
            </w:tcBorders>
            <w:vAlign w:val="center"/>
          </w:tcPr>
          <w:p w14:paraId="417C27FD" w14:textId="77777777" w:rsidR="00AB41CC" w:rsidRPr="00EC1DF5" w:rsidRDefault="00AB41CC" w:rsidP="00453380">
            <w:pPr>
              <w:widowControl w:val="0"/>
              <w:autoSpaceDE w:val="0"/>
              <w:autoSpaceDN w:val="0"/>
              <w:adjustRightInd w:val="0"/>
              <w:spacing w:after="0" w:line="276" w:lineRule="auto"/>
              <w:rPr>
                <w:color w:val="auto"/>
                <w:sz w:val="18"/>
                <w:szCs w:val="18"/>
              </w:rPr>
            </w:pPr>
          </w:p>
        </w:tc>
        <w:tc>
          <w:tcPr>
            <w:tcW w:w="993" w:type="dxa"/>
            <w:tcBorders>
              <w:top w:val="nil"/>
              <w:left w:val="nil"/>
              <w:bottom w:val="nil"/>
              <w:right w:val="nil"/>
            </w:tcBorders>
            <w:vAlign w:val="center"/>
          </w:tcPr>
          <w:p w14:paraId="5316D952"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0.049**</w:t>
            </w:r>
          </w:p>
        </w:tc>
        <w:tc>
          <w:tcPr>
            <w:tcW w:w="992" w:type="dxa"/>
            <w:tcBorders>
              <w:top w:val="nil"/>
              <w:left w:val="nil"/>
              <w:bottom w:val="nil"/>
              <w:right w:val="nil"/>
            </w:tcBorders>
            <w:vAlign w:val="center"/>
          </w:tcPr>
          <w:p w14:paraId="2E9BF269" w14:textId="77777777" w:rsidR="00AB41CC" w:rsidRPr="00EC1DF5" w:rsidRDefault="00AB41CC" w:rsidP="00453380">
            <w:pPr>
              <w:widowControl w:val="0"/>
              <w:autoSpaceDE w:val="0"/>
              <w:autoSpaceDN w:val="0"/>
              <w:adjustRightInd w:val="0"/>
              <w:spacing w:after="0" w:line="276" w:lineRule="auto"/>
              <w:rPr>
                <w:color w:val="auto"/>
                <w:sz w:val="18"/>
                <w:szCs w:val="18"/>
              </w:rPr>
            </w:pPr>
          </w:p>
        </w:tc>
      </w:tr>
      <w:tr w:rsidR="00EC1DF5" w:rsidRPr="00EC1DF5" w14:paraId="680B1DDC" w14:textId="77777777" w:rsidTr="00453380">
        <w:tc>
          <w:tcPr>
            <w:tcW w:w="1418" w:type="dxa"/>
            <w:tcBorders>
              <w:top w:val="nil"/>
              <w:left w:val="nil"/>
              <w:bottom w:val="nil"/>
              <w:right w:val="nil"/>
            </w:tcBorders>
          </w:tcPr>
          <w:p w14:paraId="79244B5B"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 xml:space="preserve">  </w:t>
            </w:r>
          </w:p>
        </w:tc>
        <w:tc>
          <w:tcPr>
            <w:tcW w:w="850" w:type="dxa"/>
            <w:tcBorders>
              <w:top w:val="nil"/>
              <w:left w:val="nil"/>
              <w:bottom w:val="nil"/>
              <w:right w:val="nil"/>
            </w:tcBorders>
            <w:vAlign w:val="center"/>
          </w:tcPr>
          <w:p w14:paraId="006BDDEB" w14:textId="77777777" w:rsidR="00AB41CC" w:rsidRPr="00EC1DF5" w:rsidRDefault="00AB41CC" w:rsidP="00453380">
            <w:pPr>
              <w:widowControl w:val="0"/>
              <w:autoSpaceDE w:val="0"/>
              <w:autoSpaceDN w:val="0"/>
              <w:adjustRightInd w:val="0"/>
              <w:spacing w:after="0" w:line="276" w:lineRule="auto"/>
              <w:rPr>
                <w:color w:val="auto"/>
                <w:sz w:val="18"/>
                <w:szCs w:val="18"/>
              </w:rPr>
            </w:pPr>
          </w:p>
        </w:tc>
        <w:tc>
          <w:tcPr>
            <w:tcW w:w="993" w:type="dxa"/>
            <w:tcBorders>
              <w:top w:val="nil"/>
              <w:left w:val="nil"/>
              <w:bottom w:val="nil"/>
              <w:right w:val="nil"/>
            </w:tcBorders>
            <w:vAlign w:val="center"/>
          </w:tcPr>
          <w:p w14:paraId="452D3D96"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(0.018)</w:t>
            </w:r>
          </w:p>
        </w:tc>
        <w:tc>
          <w:tcPr>
            <w:tcW w:w="992" w:type="dxa"/>
            <w:tcBorders>
              <w:top w:val="nil"/>
              <w:left w:val="nil"/>
              <w:bottom w:val="nil"/>
              <w:right w:val="nil"/>
            </w:tcBorders>
            <w:vAlign w:val="center"/>
          </w:tcPr>
          <w:p w14:paraId="73A08CB1" w14:textId="77777777" w:rsidR="00AB41CC" w:rsidRPr="00EC1DF5" w:rsidRDefault="00AB41CC" w:rsidP="00453380">
            <w:pPr>
              <w:widowControl w:val="0"/>
              <w:autoSpaceDE w:val="0"/>
              <w:autoSpaceDN w:val="0"/>
              <w:adjustRightInd w:val="0"/>
              <w:spacing w:after="0" w:line="276" w:lineRule="auto"/>
              <w:rPr>
                <w:color w:val="auto"/>
                <w:sz w:val="18"/>
                <w:szCs w:val="18"/>
              </w:rPr>
            </w:pPr>
          </w:p>
        </w:tc>
        <w:tc>
          <w:tcPr>
            <w:tcW w:w="992" w:type="dxa"/>
            <w:tcBorders>
              <w:top w:val="nil"/>
              <w:left w:val="nil"/>
              <w:bottom w:val="nil"/>
              <w:right w:val="nil"/>
            </w:tcBorders>
            <w:vAlign w:val="center"/>
          </w:tcPr>
          <w:p w14:paraId="71424880" w14:textId="77777777" w:rsidR="00AB41CC" w:rsidRPr="00EC1DF5" w:rsidRDefault="00AB41CC" w:rsidP="00453380">
            <w:pPr>
              <w:widowControl w:val="0"/>
              <w:autoSpaceDE w:val="0"/>
              <w:autoSpaceDN w:val="0"/>
              <w:adjustRightInd w:val="0"/>
              <w:spacing w:after="0" w:line="276" w:lineRule="auto"/>
              <w:rPr>
                <w:color w:val="auto"/>
                <w:sz w:val="18"/>
                <w:szCs w:val="18"/>
              </w:rPr>
            </w:pPr>
          </w:p>
        </w:tc>
        <w:tc>
          <w:tcPr>
            <w:tcW w:w="992" w:type="dxa"/>
            <w:tcBorders>
              <w:top w:val="nil"/>
              <w:left w:val="nil"/>
              <w:bottom w:val="nil"/>
              <w:right w:val="nil"/>
            </w:tcBorders>
            <w:vAlign w:val="center"/>
          </w:tcPr>
          <w:p w14:paraId="16E44D6A" w14:textId="77777777" w:rsidR="00AB41CC" w:rsidRPr="00EC1DF5" w:rsidRDefault="00AB41CC" w:rsidP="00453380">
            <w:pPr>
              <w:widowControl w:val="0"/>
              <w:autoSpaceDE w:val="0"/>
              <w:autoSpaceDN w:val="0"/>
              <w:adjustRightInd w:val="0"/>
              <w:spacing w:after="0" w:line="276" w:lineRule="auto"/>
              <w:rPr>
                <w:color w:val="auto"/>
                <w:sz w:val="18"/>
                <w:szCs w:val="18"/>
              </w:rPr>
            </w:pPr>
          </w:p>
        </w:tc>
        <w:tc>
          <w:tcPr>
            <w:tcW w:w="993" w:type="dxa"/>
            <w:tcBorders>
              <w:top w:val="nil"/>
              <w:left w:val="nil"/>
              <w:bottom w:val="nil"/>
              <w:right w:val="nil"/>
            </w:tcBorders>
            <w:vAlign w:val="center"/>
          </w:tcPr>
          <w:p w14:paraId="4F7A992C"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(0.021)</w:t>
            </w:r>
          </w:p>
        </w:tc>
        <w:tc>
          <w:tcPr>
            <w:tcW w:w="992" w:type="dxa"/>
            <w:tcBorders>
              <w:top w:val="nil"/>
              <w:left w:val="nil"/>
              <w:bottom w:val="nil"/>
              <w:right w:val="nil"/>
            </w:tcBorders>
            <w:vAlign w:val="center"/>
          </w:tcPr>
          <w:p w14:paraId="2D5319A2" w14:textId="77777777" w:rsidR="00AB41CC" w:rsidRPr="00EC1DF5" w:rsidRDefault="00AB41CC" w:rsidP="00453380">
            <w:pPr>
              <w:widowControl w:val="0"/>
              <w:autoSpaceDE w:val="0"/>
              <w:autoSpaceDN w:val="0"/>
              <w:adjustRightInd w:val="0"/>
              <w:spacing w:after="0" w:line="276" w:lineRule="auto"/>
              <w:rPr>
                <w:color w:val="auto"/>
                <w:sz w:val="18"/>
                <w:szCs w:val="18"/>
              </w:rPr>
            </w:pPr>
          </w:p>
        </w:tc>
      </w:tr>
      <w:tr w:rsidR="00EC1DF5" w:rsidRPr="00EC1DF5" w14:paraId="0314EEB0" w14:textId="77777777" w:rsidTr="00453380">
        <w:tc>
          <w:tcPr>
            <w:tcW w:w="1418" w:type="dxa"/>
            <w:tcBorders>
              <w:top w:val="nil"/>
              <w:left w:val="nil"/>
              <w:bottom w:val="nil"/>
              <w:right w:val="nil"/>
            </w:tcBorders>
          </w:tcPr>
          <w:p w14:paraId="0D85821A"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 xml:space="preserve"> </w:t>
            </w:r>
            <w:r w:rsidRPr="00EC1DF5">
              <w:rPr>
                <w:i/>
                <w:color w:val="auto"/>
                <w:sz w:val="18"/>
                <w:szCs w:val="18"/>
              </w:rPr>
              <w:t>BSTR</w:t>
            </w:r>
          </w:p>
        </w:tc>
        <w:tc>
          <w:tcPr>
            <w:tcW w:w="850" w:type="dxa"/>
            <w:tcBorders>
              <w:top w:val="nil"/>
              <w:left w:val="nil"/>
              <w:bottom w:val="nil"/>
              <w:right w:val="nil"/>
            </w:tcBorders>
            <w:vAlign w:val="center"/>
          </w:tcPr>
          <w:p w14:paraId="55DCD89D"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w:t>
            </w:r>
          </w:p>
        </w:tc>
        <w:tc>
          <w:tcPr>
            <w:tcW w:w="993" w:type="dxa"/>
            <w:tcBorders>
              <w:top w:val="nil"/>
              <w:left w:val="nil"/>
              <w:bottom w:val="nil"/>
              <w:right w:val="nil"/>
            </w:tcBorders>
            <w:vAlign w:val="center"/>
          </w:tcPr>
          <w:p w14:paraId="146EEF95"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0.442***</w:t>
            </w:r>
          </w:p>
        </w:tc>
        <w:tc>
          <w:tcPr>
            <w:tcW w:w="992" w:type="dxa"/>
            <w:tcBorders>
              <w:top w:val="nil"/>
              <w:left w:val="nil"/>
              <w:bottom w:val="nil"/>
              <w:right w:val="nil"/>
            </w:tcBorders>
            <w:vAlign w:val="center"/>
          </w:tcPr>
          <w:p w14:paraId="7EE9D3DC" w14:textId="77777777" w:rsidR="00AB41CC" w:rsidRPr="00EC1DF5" w:rsidRDefault="00AB41CC" w:rsidP="00453380">
            <w:pPr>
              <w:widowControl w:val="0"/>
              <w:autoSpaceDE w:val="0"/>
              <w:autoSpaceDN w:val="0"/>
              <w:adjustRightInd w:val="0"/>
              <w:spacing w:after="0" w:line="276" w:lineRule="auto"/>
              <w:rPr>
                <w:color w:val="auto"/>
                <w:sz w:val="18"/>
                <w:szCs w:val="18"/>
              </w:rPr>
            </w:pPr>
          </w:p>
        </w:tc>
        <w:tc>
          <w:tcPr>
            <w:tcW w:w="992" w:type="dxa"/>
            <w:tcBorders>
              <w:top w:val="nil"/>
              <w:left w:val="nil"/>
              <w:bottom w:val="nil"/>
              <w:right w:val="nil"/>
            </w:tcBorders>
            <w:vAlign w:val="center"/>
          </w:tcPr>
          <w:p w14:paraId="6B71899E" w14:textId="77777777" w:rsidR="00AB41CC" w:rsidRPr="00EC1DF5" w:rsidRDefault="00AB41CC" w:rsidP="00453380">
            <w:pPr>
              <w:widowControl w:val="0"/>
              <w:autoSpaceDE w:val="0"/>
              <w:autoSpaceDN w:val="0"/>
              <w:adjustRightInd w:val="0"/>
              <w:spacing w:after="0" w:line="276" w:lineRule="auto"/>
              <w:rPr>
                <w:color w:val="auto"/>
                <w:sz w:val="18"/>
                <w:szCs w:val="18"/>
              </w:rPr>
            </w:pPr>
          </w:p>
        </w:tc>
        <w:tc>
          <w:tcPr>
            <w:tcW w:w="992" w:type="dxa"/>
            <w:tcBorders>
              <w:top w:val="nil"/>
              <w:left w:val="nil"/>
              <w:bottom w:val="nil"/>
              <w:right w:val="nil"/>
            </w:tcBorders>
            <w:vAlign w:val="center"/>
          </w:tcPr>
          <w:p w14:paraId="7DB96569" w14:textId="77777777" w:rsidR="00AB41CC" w:rsidRPr="00EC1DF5" w:rsidRDefault="00AB41CC" w:rsidP="00453380">
            <w:pPr>
              <w:widowControl w:val="0"/>
              <w:autoSpaceDE w:val="0"/>
              <w:autoSpaceDN w:val="0"/>
              <w:adjustRightInd w:val="0"/>
              <w:spacing w:after="0" w:line="276" w:lineRule="auto"/>
              <w:rPr>
                <w:color w:val="auto"/>
                <w:sz w:val="18"/>
                <w:szCs w:val="18"/>
              </w:rPr>
            </w:pPr>
          </w:p>
        </w:tc>
        <w:tc>
          <w:tcPr>
            <w:tcW w:w="993" w:type="dxa"/>
            <w:tcBorders>
              <w:top w:val="nil"/>
              <w:left w:val="nil"/>
              <w:bottom w:val="nil"/>
              <w:right w:val="nil"/>
            </w:tcBorders>
            <w:vAlign w:val="center"/>
          </w:tcPr>
          <w:p w14:paraId="4C746674" w14:textId="77777777" w:rsidR="00AB41CC" w:rsidRPr="00EC1DF5" w:rsidRDefault="00AB41CC" w:rsidP="00453380">
            <w:pPr>
              <w:widowControl w:val="0"/>
              <w:autoSpaceDE w:val="0"/>
              <w:autoSpaceDN w:val="0"/>
              <w:adjustRightInd w:val="0"/>
              <w:spacing w:after="0" w:line="276" w:lineRule="auto"/>
              <w:rPr>
                <w:color w:val="auto"/>
                <w:sz w:val="18"/>
                <w:szCs w:val="18"/>
              </w:rPr>
            </w:pPr>
          </w:p>
        </w:tc>
        <w:tc>
          <w:tcPr>
            <w:tcW w:w="992" w:type="dxa"/>
            <w:tcBorders>
              <w:top w:val="nil"/>
              <w:left w:val="nil"/>
              <w:bottom w:val="nil"/>
              <w:right w:val="nil"/>
            </w:tcBorders>
            <w:vAlign w:val="center"/>
          </w:tcPr>
          <w:p w14:paraId="288B4CFB"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0.447***</w:t>
            </w:r>
          </w:p>
        </w:tc>
      </w:tr>
      <w:tr w:rsidR="00EC1DF5" w:rsidRPr="00EC1DF5" w14:paraId="48EE3B73" w14:textId="77777777" w:rsidTr="00453380">
        <w:tc>
          <w:tcPr>
            <w:tcW w:w="1418" w:type="dxa"/>
            <w:tcBorders>
              <w:top w:val="nil"/>
              <w:left w:val="nil"/>
              <w:bottom w:val="nil"/>
              <w:right w:val="nil"/>
            </w:tcBorders>
          </w:tcPr>
          <w:p w14:paraId="55157D93"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 xml:space="preserve">  </w:t>
            </w:r>
          </w:p>
        </w:tc>
        <w:tc>
          <w:tcPr>
            <w:tcW w:w="850" w:type="dxa"/>
            <w:tcBorders>
              <w:top w:val="nil"/>
              <w:left w:val="nil"/>
              <w:bottom w:val="nil"/>
              <w:right w:val="nil"/>
            </w:tcBorders>
            <w:vAlign w:val="center"/>
          </w:tcPr>
          <w:p w14:paraId="347F4D9E" w14:textId="77777777" w:rsidR="00AB41CC" w:rsidRPr="00EC1DF5" w:rsidRDefault="00AB41CC" w:rsidP="00453380">
            <w:pPr>
              <w:widowControl w:val="0"/>
              <w:autoSpaceDE w:val="0"/>
              <w:autoSpaceDN w:val="0"/>
              <w:adjustRightInd w:val="0"/>
              <w:spacing w:after="0" w:line="276" w:lineRule="auto"/>
              <w:rPr>
                <w:color w:val="auto"/>
                <w:sz w:val="18"/>
                <w:szCs w:val="18"/>
              </w:rPr>
            </w:pPr>
          </w:p>
        </w:tc>
        <w:tc>
          <w:tcPr>
            <w:tcW w:w="993" w:type="dxa"/>
            <w:tcBorders>
              <w:top w:val="nil"/>
              <w:left w:val="nil"/>
              <w:bottom w:val="nil"/>
              <w:right w:val="nil"/>
            </w:tcBorders>
            <w:vAlign w:val="center"/>
          </w:tcPr>
          <w:p w14:paraId="12D16F62"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(0.029)</w:t>
            </w:r>
          </w:p>
        </w:tc>
        <w:tc>
          <w:tcPr>
            <w:tcW w:w="992" w:type="dxa"/>
            <w:tcBorders>
              <w:top w:val="nil"/>
              <w:left w:val="nil"/>
              <w:bottom w:val="nil"/>
              <w:right w:val="nil"/>
            </w:tcBorders>
            <w:vAlign w:val="center"/>
          </w:tcPr>
          <w:p w14:paraId="07AAB2EF" w14:textId="77777777" w:rsidR="00AB41CC" w:rsidRPr="00EC1DF5" w:rsidRDefault="00AB41CC" w:rsidP="00453380">
            <w:pPr>
              <w:widowControl w:val="0"/>
              <w:autoSpaceDE w:val="0"/>
              <w:autoSpaceDN w:val="0"/>
              <w:adjustRightInd w:val="0"/>
              <w:spacing w:after="0" w:line="276" w:lineRule="auto"/>
              <w:rPr>
                <w:color w:val="auto"/>
                <w:sz w:val="18"/>
                <w:szCs w:val="18"/>
              </w:rPr>
            </w:pPr>
          </w:p>
        </w:tc>
        <w:tc>
          <w:tcPr>
            <w:tcW w:w="992" w:type="dxa"/>
            <w:tcBorders>
              <w:top w:val="nil"/>
              <w:left w:val="nil"/>
              <w:bottom w:val="nil"/>
              <w:right w:val="nil"/>
            </w:tcBorders>
            <w:vAlign w:val="center"/>
          </w:tcPr>
          <w:p w14:paraId="3A9F345F" w14:textId="77777777" w:rsidR="00AB41CC" w:rsidRPr="00EC1DF5" w:rsidRDefault="00AB41CC" w:rsidP="00453380">
            <w:pPr>
              <w:widowControl w:val="0"/>
              <w:autoSpaceDE w:val="0"/>
              <w:autoSpaceDN w:val="0"/>
              <w:adjustRightInd w:val="0"/>
              <w:spacing w:after="0" w:line="276" w:lineRule="auto"/>
              <w:rPr>
                <w:color w:val="auto"/>
                <w:sz w:val="18"/>
                <w:szCs w:val="18"/>
              </w:rPr>
            </w:pPr>
          </w:p>
        </w:tc>
        <w:tc>
          <w:tcPr>
            <w:tcW w:w="992" w:type="dxa"/>
            <w:tcBorders>
              <w:top w:val="nil"/>
              <w:left w:val="nil"/>
              <w:bottom w:val="nil"/>
              <w:right w:val="nil"/>
            </w:tcBorders>
            <w:vAlign w:val="center"/>
          </w:tcPr>
          <w:p w14:paraId="08A8E72C" w14:textId="77777777" w:rsidR="00AB41CC" w:rsidRPr="00EC1DF5" w:rsidRDefault="00AB41CC" w:rsidP="00453380">
            <w:pPr>
              <w:widowControl w:val="0"/>
              <w:autoSpaceDE w:val="0"/>
              <w:autoSpaceDN w:val="0"/>
              <w:adjustRightInd w:val="0"/>
              <w:spacing w:after="0" w:line="276" w:lineRule="auto"/>
              <w:rPr>
                <w:color w:val="auto"/>
                <w:sz w:val="18"/>
                <w:szCs w:val="18"/>
              </w:rPr>
            </w:pPr>
          </w:p>
        </w:tc>
        <w:tc>
          <w:tcPr>
            <w:tcW w:w="993" w:type="dxa"/>
            <w:tcBorders>
              <w:top w:val="nil"/>
              <w:left w:val="nil"/>
              <w:bottom w:val="nil"/>
              <w:right w:val="nil"/>
            </w:tcBorders>
            <w:vAlign w:val="center"/>
          </w:tcPr>
          <w:p w14:paraId="52B94179" w14:textId="77777777" w:rsidR="00AB41CC" w:rsidRPr="00EC1DF5" w:rsidRDefault="00AB41CC" w:rsidP="00453380">
            <w:pPr>
              <w:widowControl w:val="0"/>
              <w:autoSpaceDE w:val="0"/>
              <w:autoSpaceDN w:val="0"/>
              <w:adjustRightInd w:val="0"/>
              <w:spacing w:after="0" w:line="276" w:lineRule="auto"/>
              <w:rPr>
                <w:color w:val="auto"/>
                <w:sz w:val="18"/>
                <w:szCs w:val="18"/>
              </w:rPr>
            </w:pPr>
          </w:p>
        </w:tc>
        <w:tc>
          <w:tcPr>
            <w:tcW w:w="992" w:type="dxa"/>
            <w:tcBorders>
              <w:top w:val="nil"/>
              <w:left w:val="nil"/>
              <w:bottom w:val="nil"/>
              <w:right w:val="nil"/>
            </w:tcBorders>
            <w:vAlign w:val="center"/>
          </w:tcPr>
          <w:p w14:paraId="2811AB88"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(0.029)</w:t>
            </w:r>
          </w:p>
        </w:tc>
      </w:tr>
      <w:tr w:rsidR="00EC1DF5" w:rsidRPr="00EC1DF5" w14:paraId="4B55E639" w14:textId="77777777" w:rsidTr="00453380">
        <w:tc>
          <w:tcPr>
            <w:tcW w:w="1418" w:type="dxa"/>
            <w:tcBorders>
              <w:top w:val="nil"/>
              <w:left w:val="nil"/>
              <w:bottom w:val="nil"/>
              <w:right w:val="nil"/>
            </w:tcBorders>
          </w:tcPr>
          <w:p w14:paraId="766B89B5"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 xml:space="preserve"> Beta</w:t>
            </w:r>
          </w:p>
        </w:tc>
        <w:tc>
          <w:tcPr>
            <w:tcW w:w="850" w:type="dxa"/>
            <w:tcBorders>
              <w:top w:val="nil"/>
              <w:left w:val="nil"/>
              <w:bottom w:val="nil"/>
              <w:right w:val="nil"/>
            </w:tcBorders>
            <w:vAlign w:val="center"/>
          </w:tcPr>
          <w:p w14:paraId="168EEA47"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w:t>
            </w:r>
          </w:p>
        </w:tc>
        <w:tc>
          <w:tcPr>
            <w:tcW w:w="993" w:type="dxa"/>
            <w:tcBorders>
              <w:top w:val="nil"/>
              <w:left w:val="nil"/>
              <w:bottom w:val="nil"/>
              <w:right w:val="nil"/>
            </w:tcBorders>
            <w:vAlign w:val="center"/>
          </w:tcPr>
          <w:p w14:paraId="03BE73A6"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-0.085</w:t>
            </w:r>
          </w:p>
        </w:tc>
        <w:tc>
          <w:tcPr>
            <w:tcW w:w="992" w:type="dxa"/>
            <w:tcBorders>
              <w:top w:val="nil"/>
              <w:left w:val="nil"/>
              <w:bottom w:val="nil"/>
              <w:right w:val="nil"/>
            </w:tcBorders>
            <w:vAlign w:val="center"/>
          </w:tcPr>
          <w:p w14:paraId="3C675037"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0.585</w:t>
            </w:r>
          </w:p>
        </w:tc>
        <w:tc>
          <w:tcPr>
            <w:tcW w:w="992" w:type="dxa"/>
            <w:tcBorders>
              <w:top w:val="nil"/>
              <w:left w:val="nil"/>
              <w:bottom w:val="nil"/>
              <w:right w:val="nil"/>
            </w:tcBorders>
            <w:vAlign w:val="center"/>
          </w:tcPr>
          <w:p w14:paraId="627D2E90"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0.634</w:t>
            </w:r>
          </w:p>
        </w:tc>
        <w:tc>
          <w:tcPr>
            <w:tcW w:w="992" w:type="dxa"/>
            <w:tcBorders>
              <w:top w:val="nil"/>
              <w:left w:val="nil"/>
              <w:bottom w:val="nil"/>
              <w:right w:val="nil"/>
            </w:tcBorders>
            <w:vAlign w:val="center"/>
          </w:tcPr>
          <w:p w14:paraId="77702952"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0.669</w:t>
            </w:r>
          </w:p>
        </w:tc>
        <w:tc>
          <w:tcPr>
            <w:tcW w:w="993" w:type="dxa"/>
            <w:tcBorders>
              <w:top w:val="nil"/>
              <w:left w:val="nil"/>
              <w:bottom w:val="nil"/>
              <w:right w:val="nil"/>
            </w:tcBorders>
            <w:vAlign w:val="center"/>
          </w:tcPr>
          <w:p w14:paraId="24EE14EB"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0.687</w:t>
            </w:r>
          </w:p>
        </w:tc>
        <w:tc>
          <w:tcPr>
            <w:tcW w:w="992" w:type="dxa"/>
            <w:tcBorders>
              <w:top w:val="nil"/>
              <w:left w:val="nil"/>
              <w:bottom w:val="nil"/>
              <w:right w:val="nil"/>
            </w:tcBorders>
            <w:vAlign w:val="center"/>
          </w:tcPr>
          <w:p w14:paraId="5CA54506"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0.008</w:t>
            </w:r>
          </w:p>
        </w:tc>
      </w:tr>
      <w:tr w:rsidR="00EC1DF5" w:rsidRPr="00EC1DF5" w14:paraId="614E611E" w14:textId="77777777" w:rsidTr="00453380">
        <w:tc>
          <w:tcPr>
            <w:tcW w:w="1418" w:type="dxa"/>
            <w:tcBorders>
              <w:top w:val="nil"/>
              <w:left w:val="nil"/>
              <w:bottom w:val="nil"/>
              <w:right w:val="nil"/>
            </w:tcBorders>
          </w:tcPr>
          <w:p w14:paraId="396DF9E4"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 xml:space="preserve">  </w:t>
            </w:r>
          </w:p>
        </w:tc>
        <w:tc>
          <w:tcPr>
            <w:tcW w:w="850" w:type="dxa"/>
            <w:tcBorders>
              <w:top w:val="nil"/>
              <w:left w:val="nil"/>
              <w:bottom w:val="nil"/>
              <w:right w:val="nil"/>
            </w:tcBorders>
            <w:vAlign w:val="center"/>
          </w:tcPr>
          <w:p w14:paraId="4B1869DB" w14:textId="77777777" w:rsidR="00AB41CC" w:rsidRPr="00EC1DF5" w:rsidRDefault="00AB41CC" w:rsidP="00453380">
            <w:pPr>
              <w:widowControl w:val="0"/>
              <w:autoSpaceDE w:val="0"/>
              <w:autoSpaceDN w:val="0"/>
              <w:adjustRightInd w:val="0"/>
              <w:spacing w:after="0" w:line="276" w:lineRule="auto"/>
              <w:rPr>
                <w:color w:val="auto"/>
                <w:sz w:val="18"/>
                <w:szCs w:val="18"/>
              </w:rPr>
            </w:pPr>
          </w:p>
        </w:tc>
        <w:tc>
          <w:tcPr>
            <w:tcW w:w="993" w:type="dxa"/>
            <w:tcBorders>
              <w:top w:val="nil"/>
              <w:left w:val="nil"/>
              <w:bottom w:val="nil"/>
              <w:right w:val="nil"/>
            </w:tcBorders>
            <w:vAlign w:val="center"/>
          </w:tcPr>
          <w:p w14:paraId="02A1E216"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(0.773)</w:t>
            </w:r>
          </w:p>
        </w:tc>
        <w:tc>
          <w:tcPr>
            <w:tcW w:w="992" w:type="dxa"/>
            <w:tcBorders>
              <w:top w:val="nil"/>
              <w:left w:val="nil"/>
              <w:bottom w:val="nil"/>
              <w:right w:val="nil"/>
            </w:tcBorders>
            <w:vAlign w:val="center"/>
          </w:tcPr>
          <w:p w14:paraId="176B0C35"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(0.910)</w:t>
            </w:r>
          </w:p>
        </w:tc>
        <w:tc>
          <w:tcPr>
            <w:tcW w:w="992" w:type="dxa"/>
            <w:tcBorders>
              <w:top w:val="nil"/>
              <w:left w:val="nil"/>
              <w:bottom w:val="nil"/>
              <w:right w:val="nil"/>
            </w:tcBorders>
            <w:vAlign w:val="center"/>
          </w:tcPr>
          <w:p w14:paraId="00C0192A"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(0.907)</w:t>
            </w:r>
          </w:p>
        </w:tc>
        <w:tc>
          <w:tcPr>
            <w:tcW w:w="992" w:type="dxa"/>
            <w:tcBorders>
              <w:top w:val="nil"/>
              <w:left w:val="nil"/>
              <w:bottom w:val="nil"/>
              <w:right w:val="nil"/>
            </w:tcBorders>
            <w:vAlign w:val="center"/>
          </w:tcPr>
          <w:p w14:paraId="64920472"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(0.911)</w:t>
            </w:r>
          </w:p>
        </w:tc>
        <w:tc>
          <w:tcPr>
            <w:tcW w:w="993" w:type="dxa"/>
            <w:tcBorders>
              <w:top w:val="nil"/>
              <w:left w:val="nil"/>
              <w:bottom w:val="nil"/>
              <w:right w:val="nil"/>
            </w:tcBorders>
            <w:vAlign w:val="center"/>
          </w:tcPr>
          <w:p w14:paraId="50C17F5A"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(0.908)</w:t>
            </w:r>
          </w:p>
        </w:tc>
        <w:tc>
          <w:tcPr>
            <w:tcW w:w="992" w:type="dxa"/>
            <w:tcBorders>
              <w:top w:val="nil"/>
              <w:left w:val="nil"/>
              <w:bottom w:val="nil"/>
              <w:right w:val="nil"/>
            </w:tcBorders>
            <w:vAlign w:val="center"/>
          </w:tcPr>
          <w:p w14:paraId="2A3F8141"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(0.774)</w:t>
            </w:r>
          </w:p>
        </w:tc>
      </w:tr>
      <w:tr w:rsidR="00EC1DF5" w:rsidRPr="00EC1DF5" w14:paraId="4F09FEA9" w14:textId="77777777" w:rsidTr="00453380">
        <w:tc>
          <w:tcPr>
            <w:tcW w:w="1418" w:type="dxa"/>
            <w:tcBorders>
              <w:top w:val="nil"/>
              <w:left w:val="nil"/>
              <w:bottom w:val="nil"/>
              <w:right w:val="nil"/>
            </w:tcBorders>
          </w:tcPr>
          <w:p w14:paraId="16F0B92E"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 xml:space="preserve"> Size</w:t>
            </w:r>
          </w:p>
        </w:tc>
        <w:tc>
          <w:tcPr>
            <w:tcW w:w="850" w:type="dxa"/>
            <w:tcBorders>
              <w:top w:val="nil"/>
              <w:left w:val="nil"/>
              <w:bottom w:val="nil"/>
              <w:right w:val="nil"/>
            </w:tcBorders>
            <w:vAlign w:val="center"/>
          </w:tcPr>
          <w:p w14:paraId="2BFCE82A"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w:t>
            </w:r>
          </w:p>
        </w:tc>
        <w:tc>
          <w:tcPr>
            <w:tcW w:w="993" w:type="dxa"/>
            <w:tcBorders>
              <w:top w:val="nil"/>
              <w:left w:val="nil"/>
              <w:bottom w:val="nil"/>
              <w:right w:val="nil"/>
            </w:tcBorders>
            <w:vAlign w:val="center"/>
          </w:tcPr>
          <w:p w14:paraId="20634D8E"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2.505***</w:t>
            </w:r>
          </w:p>
        </w:tc>
        <w:tc>
          <w:tcPr>
            <w:tcW w:w="992" w:type="dxa"/>
            <w:tcBorders>
              <w:top w:val="nil"/>
              <w:left w:val="nil"/>
              <w:bottom w:val="nil"/>
              <w:right w:val="nil"/>
            </w:tcBorders>
            <w:vAlign w:val="center"/>
          </w:tcPr>
          <w:p w14:paraId="1CA30034"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3.411***</w:t>
            </w:r>
          </w:p>
        </w:tc>
        <w:tc>
          <w:tcPr>
            <w:tcW w:w="992" w:type="dxa"/>
            <w:tcBorders>
              <w:top w:val="nil"/>
              <w:left w:val="nil"/>
              <w:bottom w:val="nil"/>
              <w:right w:val="nil"/>
            </w:tcBorders>
            <w:vAlign w:val="center"/>
          </w:tcPr>
          <w:p w14:paraId="344B8689"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3.495***</w:t>
            </w:r>
          </w:p>
        </w:tc>
        <w:tc>
          <w:tcPr>
            <w:tcW w:w="992" w:type="dxa"/>
            <w:tcBorders>
              <w:top w:val="nil"/>
              <w:left w:val="nil"/>
              <w:bottom w:val="nil"/>
              <w:right w:val="nil"/>
            </w:tcBorders>
            <w:vAlign w:val="center"/>
          </w:tcPr>
          <w:p w14:paraId="5074FFB9"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3.720***</w:t>
            </w:r>
          </w:p>
        </w:tc>
        <w:tc>
          <w:tcPr>
            <w:tcW w:w="993" w:type="dxa"/>
            <w:tcBorders>
              <w:top w:val="nil"/>
              <w:left w:val="nil"/>
              <w:bottom w:val="nil"/>
              <w:right w:val="nil"/>
            </w:tcBorders>
            <w:vAlign w:val="center"/>
          </w:tcPr>
          <w:p w14:paraId="338340C3"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3.553***</w:t>
            </w:r>
          </w:p>
        </w:tc>
        <w:tc>
          <w:tcPr>
            <w:tcW w:w="992" w:type="dxa"/>
            <w:tcBorders>
              <w:top w:val="nil"/>
              <w:left w:val="nil"/>
              <w:bottom w:val="nil"/>
              <w:right w:val="nil"/>
            </w:tcBorders>
            <w:vAlign w:val="center"/>
          </w:tcPr>
          <w:p w14:paraId="4D58498A"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2.683***</w:t>
            </w:r>
          </w:p>
        </w:tc>
      </w:tr>
      <w:tr w:rsidR="00EC1DF5" w:rsidRPr="00EC1DF5" w14:paraId="13BCC73D" w14:textId="77777777" w:rsidTr="00453380">
        <w:tc>
          <w:tcPr>
            <w:tcW w:w="1418" w:type="dxa"/>
            <w:tcBorders>
              <w:top w:val="nil"/>
              <w:left w:val="nil"/>
              <w:bottom w:val="nil"/>
              <w:right w:val="nil"/>
            </w:tcBorders>
          </w:tcPr>
          <w:p w14:paraId="4D7B76D4"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 xml:space="preserve">  </w:t>
            </w:r>
          </w:p>
        </w:tc>
        <w:tc>
          <w:tcPr>
            <w:tcW w:w="850" w:type="dxa"/>
            <w:tcBorders>
              <w:top w:val="nil"/>
              <w:left w:val="nil"/>
              <w:bottom w:val="nil"/>
              <w:right w:val="nil"/>
            </w:tcBorders>
            <w:vAlign w:val="center"/>
          </w:tcPr>
          <w:p w14:paraId="148A9044" w14:textId="77777777" w:rsidR="00AB41CC" w:rsidRPr="00EC1DF5" w:rsidRDefault="00AB41CC" w:rsidP="00453380">
            <w:pPr>
              <w:widowControl w:val="0"/>
              <w:autoSpaceDE w:val="0"/>
              <w:autoSpaceDN w:val="0"/>
              <w:adjustRightInd w:val="0"/>
              <w:spacing w:after="0" w:line="276" w:lineRule="auto"/>
              <w:rPr>
                <w:color w:val="auto"/>
                <w:sz w:val="18"/>
                <w:szCs w:val="18"/>
              </w:rPr>
            </w:pPr>
          </w:p>
        </w:tc>
        <w:tc>
          <w:tcPr>
            <w:tcW w:w="993" w:type="dxa"/>
            <w:tcBorders>
              <w:top w:val="nil"/>
              <w:left w:val="nil"/>
              <w:bottom w:val="nil"/>
              <w:right w:val="nil"/>
            </w:tcBorders>
            <w:vAlign w:val="center"/>
          </w:tcPr>
          <w:p w14:paraId="22CD2DBD"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(0.915)</w:t>
            </w:r>
          </w:p>
        </w:tc>
        <w:tc>
          <w:tcPr>
            <w:tcW w:w="992" w:type="dxa"/>
            <w:tcBorders>
              <w:top w:val="nil"/>
              <w:left w:val="nil"/>
              <w:bottom w:val="nil"/>
              <w:right w:val="nil"/>
            </w:tcBorders>
            <w:vAlign w:val="center"/>
          </w:tcPr>
          <w:p w14:paraId="34606581"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(1.173)</w:t>
            </w:r>
          </w:p>
        </w:tc>
        <w:tc>
          <w:tcPr>
            <w:tcW w:w="992" w:type="dxa"/>
            <w:tcBorders>
              <w:top w:val="nil"/>
              <w:left w:val="nil"/>
              <w:bottom w:val="nil"/>
              <w:right w:val="nil"/>
            </w:tcBorders>
            <w:vAlign w:val="center"/>
          </w:tcPr>
          <w:p w14:paraId="7122E864"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(1.175)</w:t>
            </w:r>
          </w:p>
        </w:tc>
        <w:tc>
          <w:tcPr>
            <w:tcW w:w="992" w:type="dxa"/>
            <w:tcBorders>
              <w:top w:val="nil"/>
              <w:left w:val="nil"/>
              <w:bottom w:val="nil"/>
              <w:right w:val="nil"/>
            </w:tcBorders>
            <w:vAlign w:val="center"/>
          </w:tcPr>
          <w:p w14:paraId="633A3F0F"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(1.177)</w:t>
            </w:r>
          </w:p>
        </w:tc>
        <w:tc>
          <w:tcPr>
            <w:tcW w:w="993" w:type="dxa"/>
            <w:tcBorders>
              <w:top w:val="nil"/>
              <w:left w:val="nil"/>
              <w:bottom w:val="nil"/>
              <w:right w:val="nil"/>
            </w:tcBorders>
            <w:vAlign w:val="center"/>
          </w:tcPr>
          <w:p w14:paraId="4C9210AB"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(1.173)</w:t>
            </w:r>
          </w:p>
        </w:tc>
        <w:tc>
          <w:tcPr>
            <w:tcW w:w="992" w:type="dxa"/>
            <w:tcBorders>
              <w:top w:val="nil"/>
              <w:left w:val="nil"/>
              <w:bottom w:val="nil"/>
              <w:right w:val="nil"/>
            </w:tcBorders>
            <w:vAlign w:val="center"/>
          </w:tcPr>
          <w:p w14:paraId="1A965161"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(0.928)</w:t>
            </w:r>
          </w:p>
        </w:tc>
      </w:tr>
      <w:tr w:rsidR="00EC1DF5" w:rsidRPr="00EC1DF5" w14:paraId="47ADF83C" w14:textId="77777777" w:rsidTr="00453380">
        <w:tc>
          <w:tcPr>
            <w:tcW w:w="1418" w:type="dxa"/>
            <w:tcBorders>
              <w:top w:val="nil"/>
              <w:left w:val="nil"/>
              <w:bottom w:val="nil"/>
              <w:right w:val="nil"/>
            </w:tcBorders>
          </w:tcPr>
          <w:p w14:paraId="4C343033"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 xml:space="preserve"> R &amp; D</w:t>
            </w:r>
          </w:p>
        </w:tc>
        <w:tc>
          <w:tcPr>
            <w:tcW w:w="850" w:type="dxa"/>
            <w:tcBorders>
              <w:top w:val="nil"/>
              <w:left w:val="nil"/>
              <w:bottom w:val="nil"/>
              <w:right w:val="nil"/>
            </w:tcBorders>
            <w:vAlign w:val="center"/>
          </w:tcPr>
          <w:p w14:paraId="0929E17B"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w:t>
            </w:r>
          </w:p>
        </w:tc>
        <w:tc>
          <w:tcPr>
            <w:tcW w:w="993" w:type="dxa"/>
            <w:tcBorders>
              <w:top w:val="nil"/>
              <w:left w:val="nil"/>
              <w:bottom w:val="nil"/>
              <w:right w:val="nil"/>
            </w:tcBorders>
            <w:vAlign w:val="center"/>
          </w:tcPr>
          <w:p w14:paraId="26BBF411"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0.009</w:t>
            </w:r>
          </w:p>
        </w:tc>
        <w:tc>
          <w:tcPr>
            <w:tcW w:w="992" w:type="dxa"/>
            <w:tcBorders>
              <w:top w:val="nil"/>
              <w:left w:val="nil"/>
              <w:bottom w:val="nil"/>
              <w:right w:val="nil"/>
            </w:tcBorders>
            <w:vAlign w:val="center"/>
          </w:tcPr>
          <w:p w14:paraId="138EF57D"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0.015</w:t>
            </w:r>
          </w:p>
        </w:tc>
        <w:tc>
          <w:tcPr>
            <w:tcW w:w="992" w:type="dxa"/>
            <w:tcBorders>
              <w:top w:val="nil"/>
              <w:left w:val="nil"/>
              <w:bottom w:val="nil"/>
              <w:right w:val="nil"/>
            </w:tcBorders>
            <w:vAlign w:val="center"/>
          </w:tcPr>
          <w:p w14:paraId="6E6C708F"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0.018*</w:t>
            </w:r>
          </w:p>
        </w:tc>
        <w:tc>
          <w:tcPr>
            <w:tcW w:w="992" w:type="dxa"/>
            <w:tcBorders>
              <w:top w:val="nil"/>
              <w:left w:val="nil"/>
              <w:bottom w:val="nil"/>
              <w:right w:val="nil"/>
            </w:tcBorders>
            <w:vAlign w:val="center"/>
          </w:tcPr>
          <w:p w14:paraId="512707F9"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0.018*</w:t>
            </w:r>
          </w:p>
        </w:tc>
        <w:tc>
          <w:tcPr>
            <w:tcW w:w="993" w:type="dxa"/>
            <w:tcBorders>
              <w:top w:val="nil"/>
              <w:left w:val="nil"/>
              <w:bottom w:val="nil"/>
              <w:right w:val="nil"/>
            </w:tcBorders>
            <w:vAlign w:val="center"/>
          </w:tcPr>
          <w:p w14:paraId="6169B632"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0.016</w:t>
            </w:r>
          </w:p>
        </w:tc>
        <w:tc>
          <w:tcPr>
            <w:tcW w:w="992" w:type="dxa"/>
            <w:tcBorders>
              <w:top w:val="nil"/>
              <w:left w:val="nil"/>
              <w:bottom w:val="nil"/>
              <w:right w:val="nil"/>
            </w:tcBorders>
            <w:vAlign w:val="center"/>
          </w:tcPr>
          <w:p w14:paraId="2F7F74BB"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0.009</w:t>
            </w:r>
          </w:p>
        </w:tc>
      </w:tr>
      <w:tr w:rsidR="00EC1DF5" w:rsidRPr="00EC1DF5" w14:paraId="4597BE34" w14:textId="77777777" w:rsidTr="00453380">
        <w:tc>
          <w:tcPr>
            <w:tcW w:w="1418" w:type="dxa"/>
            <w:tcBorders>
              <w:top w:val="nil"/>
              <w:left w:val="nil"/>
              <w:bottom w:val="nil"/>
              <w:right w:val="nil"/>
            </w:tcBorders>
          </w:tcPr>
          <w:p w14:paraId="7818E884"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 xml:space="preserve">  </w:t>
            </w:r>
          </w:p>
        </w:tc>
        <w:tc>
          <w:tcPr>
            <w:tcW w:w="850" w:type="dxa"/>
            <w:tcBorders>
              <w:top w:val="nil"/>
              <w:left w:val="nil"/>
              <w:bottom w:val="nil"/>
              <w:right w:val="nil"/>
            </w:tcBorders>
            <w:vAlign w:val="center"/>
          </w:tcPr>
          <w:p w14:paraId="6E9CFE2C" w14:textId="77777777" w:rsidR="00AB41CC" w:rsidRPr="00EC1DF5" w:rsidRDefault="00AB41CC" w:rsidP="00453380">
            <w:pPr>
              <w:widowControl w:val="0"/>
              <w:autoSpaceDE w:val="0"/>
              <w:autoSpaceDN w:val="0"/>
              <w:adjustRightInd w:val="0"/>
              <w:spacing w:after="0" w:line="276" w:lineRule="auto"/>
              <w:rPr>
                <w:color w:val="auto"/>
                <w:sz w:val="18"/>
                <w:szCs w:val="18"/>
              </w:rPr>
            </w:pPr>
          </w:p>
        </w:tc>
        <w:tc>
          <w:tcPr>
            <w:tcW w:w="993" w:type="dxa"/>
            <w:tcBorders>
              <w:top w:val="nil"/>
              <w:left w:val="nil"/>
              <w:bottom w:val="nil"/>
              <w:right w:val="nil"/>
            </w:tcBorders>
            <w:vAlign w:val="center"/>
          </w:tcPr>
          <w:p w14:paraId="17CFBF52"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(0.010)</w:t>
            </w:r>
          </w:p>
        </w:tc>
        <w:tc>
          <w:tcPr>
            <w:tcW w:w="992" w:type="dxa"/>
            <w:tcBorders>
              <w:top w:val="nil"/>
              <w:left w:val="nil"/>
              <w:bottom w:val="nil"/>
              <w:right w:val="nil"/>
            </w:tcBorders>
            <w:vAlign w:val="center"/>
          </w:tcPr>
          <w:p w14:paraId="17EB5E78"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(0.011)</w:t>
            </w:r>
          </w:p>
        </w:tc>
        <w:tc>
          <w:tcPr>
            <w:tcW w:w="992" w:type="dxa"/>
            <w:tcBorders>
              <w:top w:val="nil"/>
              <w:left w:val="nil"/>
              <w:bottom w:val="nil"/>
              <w:right w:val="nil"/>
            </w:tcBorders>
            <w:vAlign w:val="center"/>
          </w:tcPr>
          <w:p w14:paraId="3B93E57B"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(0.011)</w:t>
            </w:r>
          </w:p>
        </w:tc>
        <w:tc>
          <w:tcPr>
            <w:tcW w:w="992" w:type="dxa"/>
            <w:tcBorders>
              <w:top w:val="nil"/>
              <w:left w:val="nil"/>
              <w:bottom w:val="nil"/>
              <w:right w:val="nil"/>
            </w:tcBorders>
            <w:vAlign w:val="center"/>
          </w:tcPr>
          <w:p w14:paraId="33D768E4"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(0.011)</w:t>
            </w:r>
          </w:p>
        </w:tc>
        <w:tc>
          <w:tcPr>
            <w:tcW w:w="993" w:type="dxa"/>
            <w:tcBorders>
              <w:top w:val="nil"/>
              <w:left w:val="nil"/>
              <w:bottom w:val="nil"/>
              <w:right w:val="nil"/>
            </w:tcBorders>
            <w:vAlign w:val="center"/>
          </w:tcPr>
          <w:p w14:paraId="69DFB80F"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(0.011)</w:t>
            </w:r>
          </w:p>
        </w:tc>
        <w:tc>
          <w:tcPr>
            <w:tcW w:w="992" w:type="dxa"/>
            <w:tcBorders>
              <w:top w:val="nil"/>
              <w:left w:val="nil"/>
              <w:bottom w:val="nil"/>
              <w:right w:val="nil"/>
            </w:tcBorders>
            <w:vAlign w:val="center"/>
          </w:tcPr>
          <w:p w14:paraId="46A5115C"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(0.009)</w:t>
            </w:r>
          </w:p>
        </w:tc>
      </w:tr>
      <w:tr w:rsidR="00EC1DF5" w:rsidRPr="00EC1DF5" w14:paraId="6A2648F6" w14:textId="77777777" w:rsidTr="00453380">
        <w:tc>
          <w:tcPr>
            <w:tcW w:w="1418" w:type="dxa"/>
            <w:tcBorders>
              <w:top w:val="nil"/>
              <w:left w:val="nil"/>
              <w:bottom w:val="nil"/>
              <w:right w:val="nil"/>
            </w:tcBorders>
          </w:tcPr>
          <w:p w14:paraId="6968AB2D"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 xml:space="preserve"> CAPEX</w:t>
            </w:r>
          </w:p>
        </w:tc>
        <w:tc>
          <w:tcPr>
            <w:tcW w:w="850" w:type="dxa"/>
            <w:tcBorders>
              <w:top w:val="nil"/>
              <w:left w:val="nil"/>
              <w:bottom w:val="nil"/>
              <w:right w:val="nil"/>
            </w:tcBorders>
            <w:vAlign w:val="center"/>
          </w:tcPr>
          <w:p w14:paraId="6F7BD8D4"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w:t>
            </w:r>
          </w:p>
        </w:tc>
        <w:tc>
          <w:tcPr>
            <w:tcW w:w="993" w:type="dxa"/>
            <w:tcBorders>
              <w:top w:val="nil"/>
              <w:left w:val="nil"/>
              <w:bottom w:val="nil"/>
              <w:right w:val="nil"/>
            </w:tcBorders>
            <w:vAlign w:val="center"/>
          </w:tcPr>
          <w:p w14:paraId="7D3A240A"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0.405*</w:t>
            </w:r>
          </w:p>
        </w:tc>
        <w:tc>
          <w:tcPr>
            <w:tcW w:w="992" w:type="dxa"/>
            <w:tcBorders>
              <w:top w:val="nil"/>
              <w:left w:val="nil"/>
              <w:bottom w:val="nil"/>
              <w:right w:val="nil"/>
            </w:tcBorders>
            <w:vAlign w:val="center"/>
          </w:tcPr>
          <w:p w14:paraId="3A858A8B"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0.369</w:t>
            </w:r>
          </w:p>
        </w:tc>
        <w:tc>
          <w:tcPr>
            <w:tcW w:w="992" w:type="dxa"/>
            <w:tcBorders>
              <w:top w:val="nil"/>
              <w:left w:val="nil"/>
              <w:bottom w:val="nil"/>
              <w:right w:val="nil"/>
            </w:tcBorders>
            <w:vAlign w:val="center"/>
          </w:tcPr>
          <w:p w14:paraId="3020DA87"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0.379*</w:t>
            </w:r>
          </w:p>
        </w:tc>
        <w:tc>
          <w:tcPr>
            <w:tcW w:w="992" w:type="dxa"/>
            <w:tcBorders>
              <w:top w:val="nil"/>
              <w:left w:val="nil"/>
              <w:bottom w:val="nil"/>
              <w:right w:val="nil"/>
            </w:tcBorders>
            <w:vAlign w:val="center"/>
          </w:tcPr>
          <w:p w14:paraId="776C3353"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0.306</w:t>
            </w:r>
          </w:p>
        </w:tc>
        <w:tc>
          <w:tcPr>
            <w:tcW w:w="993" w:type="dxa"/>
            <w:tcBorders>
              <w:top w:val="nil"/>
              <w:left w:val="nil"/>
              <w:bottom w:val="nil"/>
              <w:right w:val="nil"/>
            </w:tcBorders>
            <w:vAlign w:val="center"/>
          </w:tcPr>
          <w:p w14:paraId="0CF9DF88"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0.319</w:t>
            </w:r>
          </w:p>
        </w:tc>
        <w:tc>
          <w:tcPr>
            <w:tcW w:w="992" w:type="dxa"/>
            <w:tcBorders>
              <w:top w:val="nil"/>
              <w:left w:val="nil"/>
              <w:bottom w:val="nil"/>
              <w:right w:val="nil"/>
            </w:tcBorders>
            <w:vAlign w:val="center"/>
          </w:tcPr>
          <w:p w14:paraId="690118EE"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0.286</w:t>
            </w:r>
          </w:p>
        </w:tc>
      </w:tr>
      <w:tr w:rsidR="00EC1DF5" w:rsidRPr="00EC1DF5" w14:paraId="5C0CCAD2" w14:textId="77777777" w:rsidTr="00453380">
        <w:tc>
          <w:tcPr>
            <w:tcW w:w="1418" w:type="dxa"/>
            <w:tcBorders>
              <w:top w:val="nil"/>
              <w:left w:val="nil"/>
              <w:bottom w:val="nil"/>
              <w:right w:val="nil"/>
            </w:tcBorders>
          </w:tcPr>
          <w:p w14:paraId="59C9F1CA"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 xml:space="preserve">  </w:t>
            </w:r>
          </w:p>
        </w:tc>
        <w:tc>
          <w:tcPr>
            <w:tcW w:w="850" w:type="dxa"/>
            <w:tcBorders>
              <w:top w:val="nil"/>
              <w:left w:val="nil"/>
              <w:bottom w:val="nil"/>
              <w:right w:val="nil"/>
            </w:tcBorders>
            <w:vAlign w:val="center"/>
          </w:tcPr>
          <w:p w14:paraId="334DA5DB" w14:textId="77777777" w:rsidR="00AB41CC" w:rsidRPr="00EC1DF5" w:rsidRDefault="00AB41CC" w:rsidP="00453380">
            <w:pPr>
              <w:widowControl w:val="0"/>
              <w:autoSpaceDE w:val="0"/>
              <w:autoSpaceDN w:val="0"/>
              <w:adjustRightInd w:val="0"/>
              <w:spacing w:after="0" w:line="276" w:lineRule="auto"/>
              <w:rPr>
                <w:color w:val="auto"/>
                <w:sz w:val="18"/>
                <w:szCs w:val="18"/>
              </w:rPr>
            </w:pPr>
          </w:p>
        </w:tc>
        <w:tc>
          <w:tcPr>
            <w:tcW w:w="993" w:type="dxa"/>
            <w:tcBorders>
              <w:top w:val="nil"/>
              <w:left w:val="nil"/>
              <w:bottom w:val="nil"/>
              <w:right w:val="nil"/>
            </w:tcBorders>
            <w:vAlign w:val="center"/>
          </w:tcPr>
          <w:p w14:paraId="44E0835F"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(0.225)</w:t>
            </w:r>
          </w:p>
        </w:tc>
        <w:tc>
          <w:tcPr>
            <w:tcW w:w="992" w:type="dxa"/>
            <w:tcBorders>
              <w:top w:val="nil"/>
              <w:left w:val="nil"/>
              <w:bottom w:val="nil"/>
              <w:right w:val="nil"/>
            </w:tcBorders>
            <w:vAlign w:val="center"/>
          </w:tcPr>
          <w:p w14:paraId="741CB1EB"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(0.225)</w:t>
            </w:r>
          </w:p>
        </w:tc>
        <w:tc>
          <w:tcPr>
            <w:tcW w:w="992" w:type="dxa"/>
            <w:tcBorders>
              <w:top w:val="nil"/>
              <w:left w:val="nil"/>
              <w:bottom w:val="nil"/>
              <w:right w:val="nil"/>
            </w:tcBorders>
            <w:vAlign w:val="center"/>
          </w:tcPr>
          <w:p w14:paraId="0BE27F7B"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(0.224)</w:t>
            </w:r>
          </w:p>
        </w:tc>
        <w:tc>
          <w:tcPr>
            <w:tcW w:w="992" w:type="dxa"/>
            <w:tcBorders>
              <w:top w:val="nil"/>
              <w:left w:val="nil"/>
              <w:bottom w:val="nil"/>
              <w:right w:val="nil"/>
            </w:tcBorders>
            <w:vAlign w:val="center"/>
          </w:tcPr>
          <w:p w14:paraId="0B4155F2"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(0.224)</w:t>
            </w:r>
          </w:p>
        </w:tc>
        <w:tc>
          <w:tcPr>
            <w:tcW w:w="993" w:type="dxa"/>
            <w:tcBorders>
              <w:top w:val="nil"/>
              <w:left w:val="nil"/>
              <w:bottom w:val="nil"/>
              <w:right w:val="nil"/>
            </w:tcBorders>
            <w:vAlign w:val="center"/>
          </w:tcPr>
          <w:p w14:paraId="648AEA98"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(0.207)</w:t>
            </w:r>
          </w:p>
        </w:tc>
        <w:tc>
          <w:tcPr>
            <w:tcW w:w="992" w:type="dxa"/>
            <w:tcBorders>
              <w:top w:val="nil"/>
              <w:left w:val="nil"/>
              <w:bottom w:val="nil"/>
              <w:right w:val="nil"/>
            </w:tcBorders>
            <w:vAlign w:val="center"/>
          </w:tcPr>
          <w:p w14:paraId="4056C693"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(0.206)</w:t>
            </w:r>
          </w:p>
        </w:tc>
      </w:tr>
      <w:tr w:rsidR="00EC1DF5" w:rsidRPr="00EC1DF5" w14:paraId="5A7DF91D" w14:textId="77777777" w:rsidTr="00453380">
        <w:tc>
          <w:tcPr>
            <w:tcW w:w="1418" w:type="dxa"/>
            <w:tcBorders>
              <w:top w:val="nil"/>
              <w:left w:val="nil"/>
              <w:bottom w:val="nil"/>
              <w:right w:val="nil"/>
            </w:tcBorders>
          </w:tcPr>
          <w:p w14:paraId="71CDB6D3"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 xml:space="preserve"> Slack</w:t>
            </w:r>
          </w:p>
        </w:tc>
        <w:tc>
          <w:tcPr>
            <w:tcW w:w="850" w:type="dxa"/>
            <w:tcBorders>
              <w:top w:val="nil"/>
              <w:left w:val="nil"/>
              <w:bottom w:val="nil"/>
              <w:right w:val="nil"/>
            </w:tcBorders>
            <w:vAlign w:val="center"/>
          </w:tcPr>
          <w:p w14:paraId="7BEBA300"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w:t>
            </w:r>
          </w:p>
        </w:tc>
        <w:tc>
          <w:tcPr>
            <w:tcW w:w="993" w:type="dxa"/>
            <w:tcBorders>
              <w:top w:val="nil"/>
              <w:left w:val="nil"/>
              <w:bottom w:val="nil"/>
              <w:right w:val="nil"/>
            </w:tcBorders>
            <w:vAlign w:val="center"/>
          </w:tcPr>
          <w:p w14:paraId="19D93C00"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0.600</w:t>
            </w:r>
          </w:p>
        </w:tc>
        <w:tc>
          <w:tcPr>
            <w:tcW w:w="992" w:type="dxa"/>
            <w:tcBorders>
              <w:top w:val="nil"/>
              <w:left w:val="nil"/>
              <w:bottom w:val="nil"/>
              <w:right w:val="nil"/>
            </w:tcBorders>
            <w:vAlign w:val="center"/>
          </w:tcPr>
          <w:p w14:paraId="3DDF8F5C"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0.914</w:t>
            </w:r>
          </w:p>
        </w:tc>
        <w:tc>
          <w:tcPr>
            <w:tcW w:w="992" w:type="dxa"/>
            <w:tcBorders>
              <w:top w:val="nil"/>
              <w:left w:val="nil"/>
              <w:bottom w:val="nil"/>
              <w:right w:val="nil"/>
            </w:tcBorders>
            <w:vAlign w:val="center"/>
          </w:tcPr>
          <w:p w14:paraId="448BA193"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0.844</w:t>
            </w:r>
          </w:p>
        </w:tc>
        <w:tc>
          <w:tcPr>
            <w:tcW w:w="992" w:type="dxa"/>
            <w:tcBorders>
              <w:top w:val="nil"/>
              <w:left w:val="nil"/>
              <w:bottom w:val="nil"/>
              <w:right w:val="nil"/>
            </w:tcBorders>
            <w:vAlign w:val="center"/>
          </w:tcPr>
          <w:p w14:paraId="3BC2667C"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0.915</w:t>
            </w:r>
          </w:p>
        </w:tc>
        <w:tc>
          <w:tcPr>
            <w:tcW w:w="993" w:type="dxa"/>
            <w:tcBorders>
              <w:top w:val="nil"/>
              <w:left w:val="nil"/>
              <w:bottom w:val="nil"/>
              <w:right w:val="nil"/>
            </w:tcBorders>
            <w:vAlign w:val="center"/>
          </w:tcPr>
          <w:p w14:paraId="2BE273F9"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0.903</w:t>
            </w:r>
          </w:p>
        </w:tc>
        <w:tc>
          <w:tcPr>
            <w:tcW w:w="992" w:type="dxa"/>
            <w:tcBorders>
              <w:top w:val="nil"/>
              <w:left w:val="nil"/>
              <w:bottom w:val="nil"/>
              <w:right w:val="nil"/>
            </w:tcBorders>
            <w:vAlign w:val="center"/>
          </w:tcPr>
          <w:p w14:paraId="2987D187"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0.580</w:t>
            </w:r>
          </w:p>
        </w:tc>
      </w:tr>
      <w:tr w:rsidR="00EC1DF5" w:rsidRPr="00EC1DF5" w14:paraId="1B84FC8F" w14:textId="77777777" w:rsidTr="00453380">
        <w:tc>
          <w:tcPr>
            <w:tcW w:w="1418" w:type="dxa"/>
            <w:tcBorders>
              <w:top w:val="nil"/>
              <w:left w:val="nil"/>
              <w:bottom w:val="nil"/>
              <w:right w:val="nil"/>
            </w:tcBorders>
          </w:tcPr>
          <w:p w14:paraId="2DCABBE8"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 xml:space="preserve">  </w:t>
            </w:r>
          </w:p>
        </w:tc>
        <w:tc>
          <w:tcPr>
            <w:tcW w:w="850" w:type="dxa"/>
            <w:tcBorders>
              <w:top w:val="nil"/>
              <w:left w:val="nil"/>
              <w:bottom w:val="nil"/>
              <w:right w:val="nil"/>
            </w:tcBorders>
            <w:vAlign w:val="center"/>
          </w:tcPr>
          <w:p w14:paraId="55977C1C" w14:textId="77777777" w:rsidR="00AB41CC" w:rsidRPr="00EC1DF5" w:rsidRDefault="00AB41CC" w:rsidP="00453380">
            <w:pPr>
              <w:widowControl w:val="0"/>
              <w:autoSpaceDE w:val="0"/>
              <w:autoSpaceDN w:val="0"/>
              <w:adjustRightInd w:val="0"/>
              <w:spacing w:after="0" w:line="276" w:lineRule="auto"/>
              <w:rPr>
                <w:color w:val="auto"/>
                <w:sz w:val="18"/>
                <w:szCs w:val="18"/>
              </w:rPr>
            </w:pPr>
          </w:p>
        </w:tc>
        <w:tc>
          <w:tcPr>
            <w:tcW w:w="993" w:type="dxa"/>
            <w:tcBorders>
              <w:top w:val="nil"/>
              <w:left w:val="nil"/>
              <w:bottom w:val="nil"/>
              <w:right w:val="nil"/>
            </w:tcBorders>
            <w:vAlign w:val="center"/>
          </w:tcPr>
          <w:p w14:paraId="2F812D4B"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(0.590)</w:t>
            </w:r>
          </w:p>
        </w:tc>
        <w:tc>
          <w:tcPr>
            <w:tcW w:w="992" w:type="dxa"/>
            <w:tcBorders>
              <w:top w:val="nil"/>
              <w:left w:val="nil"/>
              <w:bottom w:val="nil"/>
              <w:right w:val="nil"/>
            </w:tcBorders>
            <w:vAlign w:val="center"/>
          </w:tcPr>
          <w:p w14:paraId="09B35809"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(0.692)</w:t>
            </w:r>
          </w:p>
        </w:tc>
        <w:tc>
          <w:tcPr>
            <w:tcW w:w="992" w:type="dxa"/>
            <w:tcBorders>
              <w:top w:val="nil"/>
              <w:left w:val="nil"/>
              <w:bottom w:val="nil"/>
              <w:right w:val="nil"/>
            </w:tcBorders>
            <w:vAlign w:val="center"/>
          </w:tcPr>
          <w:p w14:paraId="4045172E"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(0.687)</w:t>
            </w:r>
          </w:p>
        </w:tc>
        <w:tc>
          <w:tcPr>
            <w:tcW w:w="992" w:type="dxa"/>
            <w:tcBorders>
              <w:top w:val="nil"/>
              <w:left w:val="nil"/>
              <w:bottom w:val="nil"/>
              <w:right w:val="nil"/>
            </w:tcBorders>
            <w:vAlign w:val="center"/>
          </w:tcPr>
          <w:p w14:paraId="3597053F"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(0.687)</w:t>
            </w:r>
          </w:p>
        </w:tc>
        <w:tc>
          <w:tcPr>
            <w:tcW w:w="993" w:type="dxa"/>
            <w:tcBorders>
              <w:top w:val="nil"/>
              <w:left w:val="nil"/>
              <w:bottom w:val="nil"/>
              <w:right w:val="nil"/>
            </w:tcBorders>
            <w:vAlign w:val="center"/>
          </w:tcPr>
          <w:p w14:paraId="7DB10AF0"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(0.693)</w:t>
            </w:r>
          </w:p>
        </w:tc>
        <w:tc>
          <w:tcPr>
            <w:tcW w:w="992" w:type="dxa"/>
            <w:tcBorders>
              <w:top w:val="nil"/>
              <w:left w:val="nil"/>
              <w:bottom w:val="nil"/>
              <w:right w:val="nil"/>
            </w:tcBorders>
            <w:vAlign w:val="center"/>
          </w:tcPr>
          <w:p w14:paraId="0BFD9D37"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(0.590)</w:t>
            </w:r>
          </w:p>
        </w:tc>
      </w:tr>
      <w:tr w:rsidR="00EC1DF5" w:rsidRPr="00EC1DF5" w14:paraId="2693751E" w14:textId="77777777" w:rsidTr="00453380">
        <w:tc>
          <w:tcPr>
            <w:tcW w:w="1418" w:type="dxa"/>
            <w:tcBorders>
              <w:top w:val="nil"/>
              <w:left w:val="nil"/>
              <w:bottom w:val="nil"/>
              <w:right w:val="nil"/>
            </w:tcBorders>
          </w:tcPr>
          <w:p w14:paraId="57D9A88E"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 xml:space="preserve"> Growth</w:t>
            </w:r>
          </w:p>
        </w:tc>
        <w:tc>
          <w:tcPr>
            <w:tcW w:w="850" w:type="dxa"/>
            <w:tcBorders>
              <w:top w:val="nil"/>
              <w:left w:val="nil"/>
              <w:bottom w:val="nil"/>
              <w:right w:val="nil"/>
            </w:tcBorders>
            <w:vAlign w:val="center"/>
          </w:tcPr>
          <w:p w14:paraId="542428AD"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w:t>
            </w:r>
          </w:p>
        </w:tc>
        <w:tc>
          <w:tcPr>
            <w:tcW w:w="993" w:type="dxa"/>
            <w:tcBorders>
              <w:top w:val="nil"/>
              <w:left w:val="nil"/>
              <w:bottom w:val="nil"/>
              <w:right w:val="nil"/>
            </w:tcBorders>
            <w:vAlign w:val="center"/>
          </w:tcPr>
          <w:p w14:paraId="0A394D91"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-0.063***</w:t>
            </w:r>
          </w:p>
        </w:tc>
        <w:tc>
          <w:tcPr>
            <w:tcW w:w="992" w:type="dxa"/>
            <w:tcBorders>
              <w:top w:val="nil"/>
              <w:left w:val="nil"/>
              <w:bottom w:val="nil"/>
              <w:right w:val="nil"/>
            </w:tcBorders>
            <w:vAlign w:val="center"/>
          </w:tcPr>
          <w:p w14:paraId="5361698C"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-0.082***</w:t>
            </w:r>
          </w:p>
        </w:tc>
        <w:tc>
          <w:tcPr>
            <w:tcW w:w="992" w:type="dxa"/>
            <w:tcBorders>
              <w:top w:val="nil"/>
              <w:left w:val="nil"/>
              <w:bottom w:val="nil"/>
              <w:right w:val="nil"/>
            </w:tcBorders>
            <w:vAlign w:val="center"/>
          </w:tcPr>
          <w:p w14:paraId="5B1B10B3"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-0.079***</w:t>
            </w:r>
          </w:p>
        </w:tc>
        <w:tc>
          <w:tcPr>
            <w:tcW w:w="992" w:type="dxa"/>
            <w:tcBorders>
              <w:top w:val="nil"/>
              <w:left w:val="nil"/>
              <w:bottom w:val="nil"/>
              <w:right w:val="nil"/>
            </w:tcBorders>
            <w:vAlign w:val="center"/>
          </w:tcPr>
          <w:p w14:paraId="385C91FF"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-0.082***</w:t>
            </w:r>
          </w:p>
        </w:tc>
        <w:tc>
          <w:tcPr>
            <w:tcW w:w="993" w:type="dxa"/>
            <w:tcBorders>
              <w:top w:val="nil"/>
              <w:left w:val="nil"/>
              <w:bottom w:val="nil"/>
              <w:right w:val="nil"/>
            </w:tcBorders>
            <w:vAlign w:val="center"/>
          </w:tcPr>
          <w:p w14:paraId="5259BDD9"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-0.081***</w:t>
            </w:r>
          </w:p>
        </w:tc>
        <w:tc>
          <w:tcPr>
            <w:tcW w:w="992" w:type="dxa"/>
            <w:tcBorders>
              <w:top w:val="nil"/>
              <w:left w:val="nil"/>
              <w:bottom w:val="nil"/>
              <w:right w:val="nil"/>
            </w:tcBorders>
            <w:vAlign w:val="center"/>
          </w:tcPr>
          <w:p w14:paraId="57D52258"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-0.068***</w:t>
            </w:r>
          </w:p>
        </w:tc>
      </w:tr>
      <w:tr w:rsidR="00EC1DF5" w:rsidRPr="00EC1DF5" w14:paraId="7175B6D8" w14:textId="77777777" w:rsidTr="00453380">
        <w:tc>
          <w:tcPr>
            <w:tcW w:w="1418" w:type="dxa"/>
            <w:tcBorders>
              <w:top w:val="nil"/>
              <w:left w:val="nil"/>
              <w:bottom w:val="nil"/>
              <w:right w:val="nil"/>
            </w:tcBorders>
          </w:tcPr>
          <w:p w14:paraId="0200D000"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 xml:space="preserve">  </w:t>
            </w:r>
          </w:p>
        </w:tc>
        <w:tc>
          <w:tcPr>
            <w:tcW w:w="850" w:type="dxa"/>
            <w:tcBorders>
              <w:top w:val="nil"/>
              <w:left w:val="nil"/>
              <w:bottom w:val="nil"/>
              <w:right w:val="nil"/>
            </w:tcBorders>
            <w:vAlign w:val="center"/>
          </w:tcPr>
          <w:p w14:paraId="74384A24" w14:textId="77777777" w:rsidR="00AB41CC" w:rsidRPr="00EC1DF5" w:rsidRDefault="00AB41CC" w:rsidP="00453380">
            <w:pPr>
              <w:widowControl w:val="0"/>
              <w:autoSpaceDE w:val="0"/>
              <w:autoSpaceDN w:val="0"/>
              <w:adjustRightInd w:val="0"/>
              <w:spacing w:after="0" w:line="276" w:lineRule="auto"/>
              <w:rPr>
                <w:color w:val="auto"/>
                <w:sz w:val="18"/>
                <w:szCs w:val="18"/>
              </w:rPr>
            </w:pPr>
          </w:p>
        </w:tc>
        <w:tc>
          <w:tcPr>
            <w:tcW w:w="993" w:type="dxa"/>
            <w:tcBorders>
              <w:top w:val="nil"/>
              <w:left w:val="nil"/>
              <w:bottom w:val="nil"/>
              <w:right w:val="nil"/>
            </w:tcBorders>
            <w:vAlign w:val="center"/>
          </w:tcPr>
          <w:p w14:paraId="2E81457C"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(0.023)</w:t>
            </w:r>
          </w:p>
        </w:tc>
        <w:tc>
          <w:tcPr>
            <w:tcW w:w="992" w:type="dxa"/>
            <w:tcBorders>
              <w:top w:val="nil"/>
              <w:left w:val="nil"/>
              <w:bottom w:val="nil"/>
              <w:right w:val="nil"/>
            </w:tcBorders>
            <w:vAlign w:val="center"/>
          </w:tcPr>
          <w:p w14:paraId="305380F0"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(0.027)</w:t>
            </w:r>
          </w:p>
        </w:tc>
        <w:tc>
          <w:tcPr>
            <w:tcW w:w="992" w:type="dxa"/>
            <w:tcBorders>
              <w:top w:val="nil"/>
              <w:left w:val="nil"/>
              <w:bottom w:val="nil"/>
              <w:right w:val="nil"/>
            </w:tcBorders>
            <w:vAlign w:val="center"/>
          </w:tcPr>
          <w:p w14:paraId="0E863754"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(0.027)</w:t>
            </w:r>
          </w:p>
        </w:tc>
        <w:tc>
          <w:tcPr>
            <w:tcW w:w="992" w:type="dxa"/>
            <w:tcBorders>
              <w:top w:val="nil"/>
              <w:left w:val="nil"/>
              <w:bottom w:val="nil"/>
              <w:right w:val="nil"/>
            </w:tcBorders>
            <w:vAlign w:val="center"/>
          </w:tcPr>
          <w:p w14:paraId="4E055793"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(0.027)</w:t>
            </w:r>
          </w:p>
        </w:tc>
        <w:tc>
          <w:tcPr>
            <w:tcW w:w="993" w:type="dxa"/>
            <w:tcBorders>
              <w:top w:val="nil"/>
              <w:left w:val="nil"/>
              <w:bottom w:val="nil"/>
              <w:right w:val="nil"/>
            </w:tcBorders>
            <w:vAlign w:val="center"/>
          </w:tcPr>
          <w:p w14:paraId="3DFD75DF"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(0.027)</w:t>
            </w:r>
          </w:p>
        </w:tc>
        <w:tc>
          <w:tcPr>
            <w:tcW w:w="992" w:type="dxa"/>
            <w:tcBorders>
              <w:top w:val="nil"/>
              <w:left w:val="nil"/>
              <w:bottom w:val="nil"/>
              <w:right w:val="nil"/>
            </w:tcBorders>
            <w:vAlign w:val="center"/>
          </w:tcPr>
          <w:p w14:paraId="3F9FD330"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(0.023)</w:t>
            </w:r>
          </w:p>
        </w:tc>
      </w:tr>
      <w:tr w:rsidR="00EC1DF5" w:rsidRPr="00EC1DF5" w14:paraId="0AF97515" w14:textId="77777777" w:rsidTr="00453380">
        <w:tc>
          <w:tcPr>
            <w:tcW w:w="1418" w:type="dxa"/>
            <w:tcBorders>
              <w:top w:val="nil"/>
              <w:left w:val="nil"/>
              <w:bottom w:val="nil"/>
              <w:right w:val="nil"/>
            </w:tcBorders>
          </w:tcPr>
          <w:p w14:paraId="4BF47793"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 xml:space="preserve"> Leverage</w:t>
            </w:r>
          </w:p>
        </w:tc>
        <w:tc>
          <w:tcPr>
            <w:tcW w:w="850" w:type="dxa"/>
            <w:tcBorders>
              <w:top w:val="nil"/>
              <w:left w:val="nil"/>
              <w:bottom w:val="nil"/>
              <w:right w:val="nil"/>
            </w:tcBorders>
            <w:vAlign w:val="center"/>
          </w:tcPr>
          <w:p w14:paraId="7C9C2D06"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w:t>
            </w:r>
          </w:p>
        </w:tc>
        <w:tc>
          <w:tcPr>
            <w:tcW w:w="993" w:type="dxa"/>
            <w:tcBorders>
              <w:top w:val="nil"/>
              <w:left w:val="nil"/>
              <w:bottom w:val="nil"/>
              <w:right w:val="nil"/>
            </w:tcBorders>
            <w:vAlign w:val="center"/>
          </w:tcPr>
          <w:p w14:paraId="0E782B3B"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0.079*</w:t>
            </w:r>
          </w:p>
        </w:tc>
        <w:tc>
          <w:tcPr>
            <w:tcW w:w="992" w:type="dxa"/>
            <w:tcBorders>
              <w:top w:val="nil"/>
              <w:left w:val="nil"/>
              <w:bottom w:val="nil"/>
              <w:right w:val="nil"/>
            </w:tcBorders>
            <w:vAlign w:val="center"/>
          </w:tcPr>
          <w:p w14:paraId="331F2737"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0.097*</w:t>
            </w:r>
          </w:p>
        </w:tc>
        <w:tc>
          <w:tcPr>
            <w:tcW w:w="992" w:type="dxa"/>
            <w:tcBorders>
              <w:top w:val="nil"/>
              <w:left w:val="nil"/>
              <w:bottom w:val="nil"/>
              <w:right w:val="nil"/>
            </w:tcBorders>
            <w:vAlign w:val="center"/>
          </w:tcPr>
          <w:p w14:paraId="4D3025F9"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0.097*</w:t>
            </w:r>
          </w:p>
        </w:tc>
        <w:tc>
          <w:tcPr>
            <w:tcW w:w="992" w:type="dxa"/>
            <w:tcBorders>
              <w:top w:val="nil"/>
              <w:left w:val="nil"/>
              <w:bottom w:val="nil"/>
              <w:right w:val="nil"/>
            </w:tcBorders>
            <w:vAlign w:val="center"/>
          </w:tcPr>
          <w:p w14:paraId="4B2D95C0"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0.106**</w:t>
            </w:r>
          </w:p>
        </w:tc>
        <w:tc>
          <w:tcPr>
            <w:tcW w:w="993" w:type="dxa"/>
            <w:tcBorders>
              <w:top w:val="nil"/>
              <w:left w:val="nil"/>
              <w:bottom w:val="nil"/>
              <w:right w:val="nil"/>
            </w:tcBorders>
            <w:vAlign w:val="center"/>
          </w:tcPr>
          <w:p w14:paraId="2ED6CDDA"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0.105**</w:t>
            </w:r>
          </w:p>
        </w:tc>
        <w:tc>
          <w:tcPr>
            <w:tcW w:w="992" w:type="dxa"/>
            <w:tcBorders>
              <w:top w:val="nil"/>
              <w:left w:val="nil"/>
              <w:bottom w:val="nil"/>
              <w:right w:val="nil"/>
            </w:tcBorders>
            <w:vAlign w:val="center"/>
          </w:tcPr>
          <w:p w14:paraId="01A3FBA4"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0.085**</w:t>
            </w:r>
          </w:p>
        </w:tc>
      </w:tr>
      <w:tr w:rsidR="00EC1DF5" w:rsidRPr="00EC1DF5" w14:paraId="770F387A" w14:textId="77777777" w:rsidTr="00453380">
        <w:tc>
          <w:tcPr>
            <w:tcW w:w="1418" w:type="dxa"/>
            <w:tcBorders>
              <w:top w:val="nil"/>
              <w:left w:val="nil"/>
              <w:bottom w:val="nil"/>
              <w:right w:val="nil"/>
            </w:tcBorders>
          </w:tcPr>
          <w:p w14:paraId="1F0D6A71"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 xml:space="preserve">  </w:t>
            </w:r>
          </w:p>
        </w:tc>
        <w:tc>
          <w:tcPr>
            <w:tcW w:w="850" w:type="dxa"/>
            <w:tcBorders>
              <w:top w:val="nil"/>
              <w:left w:val="nil"/>
              <w:bottom w:val="nil"/>
              <w:right w:val="nil"/>
            </w:tcBorders>
            <w:vAlign w:val="center"/>
          </w:tcPr>
          <w:p w14:paraId="60B93ECA" w14:textId="77777777" w:rsidR="00AB41CC" w:rsidRPr="00EC1DF5" w:rsidRDefault="00AB41CC" w:rsidP="00453380">
            <w:pPr>
              <w:widowControl w:val="0"/>
              <w:autoSpaceDE w:val="0"/>
              <w:autoSpaceDN w:val="0"/>
              <w:adjustRightInd w:val="0"/>
              <w:spacing w:after="0" w:line="276" w:lineRule="auto"/>
              <w:rPr>
                <w:color w:val="auto"/>
                <w:sz w:val="18"/>
                <w:szCs w:val="18"/>
              </w:rPr>
            </w:pPr>
          </w:p>
        </w:tc>
        <w:tc>
          <w:tcPr>
            <w:tcW w:w="993" w:type="dxa"/>
            <w:tcBorders>
              <w:top w:val="nil"/>
              <w:left w:val="nil"/>
              <w:bottom w:val="nil"/>
              <w:right w:val="nil"/>
            </w:tcBorders>
            <w:vAlign w:val="center"/>
          </w:tcPr>
          <w:p w14:paraId="3DAAA363"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(0.043)</w:t>
            </w:r>
          </w:p>
        </w:tc>
        <w:tc>
          <w:tcPr>
            <w:tcW w:w="992" w:type="dxa"/>
            <w:tcBorders>
              <w:top w:val="nil"/>
              <w:left w:val="nil"/>
              <w:bottom w:val="nil"/>
              <w:right w:val="nil"/>
            </w:tcBorders>
            <w:vAlign w:val="center"/>
          </w:tcPr>
          <w:p w14:paraId="564AE095"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(0.053)</w:t>
            </w:r>
          </w:p>
        </w:tc>
        <w:tc>
          <w:tcPr>
            <w:tcW w:w="992" w:type="dxa"/>
            <w:tcBorders>
              <w:top w:val="nil"/>
              <w:left w:val="nil"/>
              <w:bottom w:val="nil"/>
              <w:right w:val="nil"/>
            </w:tcBorders>
            <w:vAlign w:val="center"/>
          </w:tcPr>
          <w:p w14:paraId="1196A93F"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(0.053)</w:t>
            </w:r>
          </w:p>
        </w:tc>
        <w:tc>
          <w:tcPr>
            <w:tcW w:w="992" w:type="dxa"/>
            <w:tcBorders>
              <w:top w:val="nil"/>
              <w:left w:val="nil"/>
              <w:bottom w:val="nil"/>
              <w:right w:val="nil"/>
            </w:tcBorders>
            <w:vAlign w:val="center"/>
          </w:tcPr>
          <w:p w14:paraId="5BE785B1"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(0.053)</w:t>
            </w:r>
          </w:p>
        </w:tc>
        <w:tc>
          <w:tcPr>
            <w:tcW w:w="993" w:type="dxa"/>
            <w:tcBorders>
              <w:top w:val="nil"/>
              <w:left w:val="nil"/>
              <w:bottom w:val="nil"/>
              <w:right w:val="nil"/>
            </w:tcBorders>
            <w:vAlign w:val="center"/>
          </w:tcPr>
          <w:p w14:paraId="5C00ACCB"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(0.053)</w:t>
            </w:r>
          </w:p>
        </w:tc>
        <w:tc>
          <w:tcPr>
            <w:tcW w:w="992" w:type="dxa"/>
            <w:tcBorders>
              <w:top w:val="nil"/>
              <w:left w:val="nil"/>
              <w:bottom w:val="nil"/>
              <w:right w:val="nil"/>
            </w:tcBorders>
            <w:vAlign w:val="center"/>
          </w:tcPr>
          <w:p w14:paraId="20F1CB41"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(0.043)</w:t>
            </w:r>
          </w:p>
        </w:tc>
      </w:tr>
      <w:tr w:rsidR="00EC1DF5" w:rsidRPr="00EC1DF5" w14:paraId="4AE2B10A" w14:textId="77777777" w:rsidTr="00453380">
        <w:tc>
          <w:tcPr>
            <w:tcW w:w="1418" w:type="dxa"/>
            <w:tcBorders>
              <w:top w:val="nil"/>
              <w:left w:val="nil"/>
              <w:bottom w:val="nil"/>
              <w:right w:val="nil"/>
            </w:tcBorders>
          </w:tcPr>
          <w:p w14:paraId="1DF6A58C"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 xml:space="preserve"> Ethics</w:t>
            </w:r>
          </w:p>
        </w:tc>
        <w:tc>
          <w:tcPr>
            <w:tcW w:w="850" w:type="dxa"/>
            <w:tcBorders>
              <w:top w:val="nil"/>
              <w:left w:val="nil"/>
              <w:bottom w:val="nil"/>
              <w:right w:val="nil"/>
            </w:tcBorders>
            <w:vAlign w:val="center"/>
          </w:tcPr>
          <w:p w14:paraId="1A399DD7"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w:t>
            </w:r>
          </w:p>
        </w:tc>
        <w:tc>
          <w:tcPr>
            <w:tcW w:w="993" w:type="dxa"/>
            <w:tcBorders>
              <w:top w:val="nil"/>
              <w:left w:val="nil"/>
              <w:bottom w:val="nil"/>
              <w:right w:val="nil"/>
            </w:tcBorders>
            <w:vAlign w:val="center"/>
          </w:tcPr>
          <w:p w14:paraId="2F68FA80"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3.900***</w:t>
            </w:r>
          </w:p>
        </w:tc>
        <w:tc>
          <w:tcPr>
            <w:tcW w:w="992" w:type="dxa"/>
            <w:tcBorders>
              <w:top w:val="nil"/>
              <w:left w:val="nil"/>
              <w:bottom w:val="nil"/>
              <w:right w:val="nil"/>
            </w:tcBorders>
            <w:vAlign w:val="center"/>
          </w:tcPr>
          <w:p w14:paraId="695EDF95"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5.445***</w:t>
            </w:r>
          </w:p>
        </w:tc>
        <w:tc>
          <w:tcPr>
            <w:tcW w:w="992" w:type="dxa"/>
            <w:tcBorders>
              <w:top w:val="nil"/>
              <w:left w:val="nil"/>
              <w:bottom w:val="nil"/>
              <w:right w:val="nil"/>
            </w:tcBorders>
            <w:vAlign w:val="center"/>
          </w:tcPr>
          <w:p w14:paraId="77B44439"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5.398***</w:t>
            </w:r>
          </w:p>
        </w:tc>
        <w:tc>
          <w:tcPr>
            <w:tcW w:w="992" w:type="dxa"/>
            <w:tcBorders>
              <w:top w:val="nil"/>
              <w:left w:val="nil"/>
              <w:bottom w:val="nil"/>
              <w:right w:val="nil"/>
            </w:tcBorders>
            <w:vAlign w:val="center"/>
          </w:tcPr>
          <w:p w14:paraId="59AA2A87"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5.526***</w:t>
            </w:r>
          </w:p>
        </w:tc>
        <w:tc>
          <w:tcPr>
            <w:tcW w:w="993" w:type="dxa"/>
            <w:tcBorders>
              <w:top w:val="nil"/>
              <w:left w:val="nil"/>
              <w:bottom w:val="nil"/>
              <w:right w:val="nil"/>
            </w:tcBorders>
            <w:vAlign w:val="center"/>
          </w:tcPr>
          <w:p w14:paraId="702E6591"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5.467***</w:t>
            </w:r>
          </w:p>
        </w:tc>
        <w:tc>
          <w:tcPr>
            <w:tcW w:w="992" w:type="dxa"/>
            <w:tcBorders>
              <w:top w:val="nil"/>
              <w:left w:val="nil"/>
              <w:bottom w:val="nil"/>
              <w:right w:val="nil"/>
            </w:tcBorders>
            <w:vAlign w:val="center"/>
          </w:tcPr>
          <w:p w14:paraId="3EFB546D"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4.026***</w:t>
            </w:r>
          </w:p>
        </w:tc>
      </w:tr>
      <w:tr w:rsidR="00EC1DF5" w:rsidRPr="00EC1DF5" w14:paraId="6F527715" w14:textId="77777777" w:rsidTr="00453380">
        <w:tc>
          <w:tcPr>
            <w:tcW w:w="1418" w:type="dxa"/>
            <w:tcBorders>
              <w:top w:val="nil"/>
              <w:left w:val="nil"/>
              <w:bottom w:val="nil"/>
              <w:right w:val="nil"/>
            </w:tcBorders>
          </w:tcPr>
          <w:p w14:paraId="75AEA57F"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 xml:space="preserve">  </w:t>
            </w:r>
          </w:p>
        </w:tc>
        <w:tc>
          <w:tcPr>
            <w:tcW w:w="850" w:type="dxa"/>
            <w:tcBorders>
              <w:top w:val="nil"/>
              <w:left w:val="nil"/>
              <w:bottom w:val="nil"/>
              <w:right w:val="nil"/>
            </w:tcBorders>
            <w:vAlign w:val="center"/>
          </w:tcPr>
          <w:p w14:paraId="480FE34F" w14:textId="77777777" w:rsidR="00AB41CC" w:rsidRPr="00EC1DF5" w:rsidRDefault="00AB41CC" w:rsidP="00453380">
            <w:pPr>
              <w:widowControl w:val="0"/>
              <w:autoSpaceDE w:val="0"/>
              <w:autoSpaceDN w:val="0"/>
              <w:adjustRightInd w:val="0"/>
              <w:spacing w:after="0" w:line="276" w:lineRule="auto"/>
              <w:rPr>
                <w:color w:val="auto"/>
                <w:sz w:val="18"/>
                <w:szCs w:val="18"/>
              </w:rPr>
            </w:pPr>
          </w:p>
        </w:tc>
        <w:tc>
          <w:tcPr>
            <w:tcW w:w="993" w:type="dxa"/>
            <w:tcBorders>
              <w:top w:val="nil"/>
              <w:left w:val="nil"/>
              <w:bottom w:val="nil"/>
              <w:right w:val="nil"/>
            </w:tcBorders>
            <w:vAlign w:val="center"/>
          </w:tcPr>
          <w:p w14:paraId="24903660"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(1.325)</w:t>
            </w:r>
          </w:p>
        </w:tc>
        <w:tc>
          <w:tcPr>
            <w:tcW w:w="992" w:type="dxa"/>
            <w:tcBorders>
              <w:top w:val="nil"/>
              <w:left w:val="nil"/>
              <w:bottom w:val="nil"/>
              <w:right w:val="nil"/>
            </w:tcBorders>
            <w:vAlign w:val="center"/>
          </w:tcPr>
          <w:p w14:paraId="4B82D133"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(1.563)</w:t>
            </w:r>
          </w:p>
        </w:tc>
        <w:tc>
          <w:tcPr>
            <w:tcW w:w="992" w:type="dxa"/>
            <w:tcBorders>
              <w:top w:val="nil"/>
              <w:left w:val="nil"/>
              <w:bottom w:val="nil"/>
              <w:right w:val="nil"/>
            </w:tcBorders>
            <w:vAlign w:val="center"/>
          </w:tcPr>
          <w:p w14:paraId="74A06093"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(1.568)</w:t>
            </w:r>
          </w:p>
        </w:tc>
        <w:tc>
          <w:tcPr>
            <w:tcW w:w="992" w:type="dxa"/>
            <w:tcBorders>
              <w:top w:val="nil"/>
              <w:left w:val="nil"/>
              <w:bottom w:val="nil"/>
              <w:right w:val="nil"/>
            </w:tcBorders>
            <w:vAlign w:val="center"/>
          </w:tcPr>
          <w:p w14:paraId="47A5D971"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(1.561)</w:t>
            </w:r>
          </w:p>
        </w:tc>
        <w:tc>
          <w:tcPr>
            <w:tcW w:w="993" w:type="dxa"/>
            <w:tcBorders>
              <w:top w:val="nil"/>
              <w:left w:val="nil"/>
              <w:bottom w:val="nil"/>
              <w:right w:val="nil"/>
            </w:tcBorders>
            <w:vAlign w:val="center"/>
          </w:tcPr>
          <w:p w14:paraId="4093AF93"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(1.559)</w:t>
            </w:r>
          </w:p>
        </w:tc>
        <w:tc>
          <w:tcPr>
            <w:tcW w:w="992" w:type="dxa"/>
            <w:tcBorders>
              <w:top w:val="nil"/>
              <w:left w:val="nil"/>
              <w:bottom w:val="nil"/>
              <w:right w:val="nil"/>
            </w:tcBorders>
            <w:vAlign w:val="center"/>
          </w:tcPr>
          <w:p w14:paraId="7CC366FA"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(1.335)</w:t>
            </w:r>
          </w:p>
        </w:tc>
      </w:tr>
      <w:tr w:rsidR="00EC1DF5" w:rsidRPr="00EC1DF5" w14:paraId="3681B245" w14:textId="77777777" w:rsidTr="00453380">
        <w:tc>
          <w:tcPr>
            <w:tcW w:w="1418" w:type="dxa"/>
            <w:tcBorders>
              <w:top w:val="nil"/>
              <w:left w:val="nil"/>
              <w:bottom w:val="nil"/>
              <w:right w:val="nil"/>
            </w:tcBorders>
          </w:tcPr>
          <w:p w14:paraId="49AF60FB"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 xml:space="preserve"> </w:t>
            </w:r>
            <w:proofErr w:type="spellStart"/>
            <w:r w:rsidRPr="00EC1DF5">
              <w:rPr>
                <w:color w:val="auto"/>
                <w:sz w:val="18"/>
                <w:szCs w:val="18"/>
              </w:rPr>
              <w:t>Com_Involve</w:t>
            </w:r>
            <w:proofErr w:type="spellEnd"/>
          </w:p>
        </w:tc>
        <w:tc>
          <w:tcPr>
            <w:tcW w:w="850" w:type="dxa"/>
            <w:tcBorders>
              <w:top w:val="nil"/>
              <w:left w:val="nil"/>
              <w:bottom w:val="nil"/>
              <w:right w:val="nil"/>
            </w:tcBorders>
            <w:vAlign w:val="center"/>
          </w:tcPr>
          <w:p w14:paraId="68285CDD"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w:t>
            </w:r>
          </w:p>
        </w:tc>
        <w:tc>
          <w:tcPr>
            <w:tcW w:w="993" w:type="dxa"/>
            <w:tcBorders>
              <w:top w:val="nil"/>
              <w:left w:val="nil"/>
              <w:bottom w:val="nil"/>
              <w:right w:val="nil"/>
            </w:tcBorders>
            <w:vAlign w:val="center"/>
          </w:tcPr>
          <w:p w14:paraId="6F7F88C3"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2.239*</w:t>
            </w:r>
          </w:p>
        </w:tc>
        <w:tc>
          <w:tcPr>
            <w:tcW w:w="992" w:type="dxa"/>
            <w:tcBorders>
              <w:top w:val="nil"/>
              <w:left w:val="nil"/>
              <w:bottom w:val="nil"/>
              <w:right w:val="nil"/>
            </w:tcBorders>
            <w:vAlign w:val="center"/>
          </w:tcPr>
          <w:p w14:paraId="0AAE920F"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7.305***</w:t>
            </w:r>
          </w:p>
        </w:tc>
        <w:tc>
          <w:tcPr>
            <w:tcW w:w="992" w:type="dxa"/>
            <w:tcBorders>
              <w:top w:val="nil"/>
              <w:left w:val="nil"/>
              <w:bottom w:val="nil"/>
              <w:right w:val="nil"/>
            </w:tcBorders>
            <w:vAlign w:val="center"/>
          </w:tcPr>
          <w:p w14:paraId="66260E9B"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7.252***</w:t>
            </w:r>
          </w:p>
        </w:tc>
        <w:tc>
          <w:tcPr>
            <w:tcW w:w="992" w:type="dxa"/>
            <w:tcBorders>
              <w:top w:val="nil"/>
              <w:left w:val="nil"/>
              <w:bottom w:val="nil"/>
              <w:right w:val="nil"/>
            </w:tcBorders>
            <w:vAlign w:val="center"/>
          </w:tcPr>
          <w:p w14:paraId="5D0B433F"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7.147***</w:t>
            </w:r>
          </w:p>
        </w:tc>
        <w:tc>
          <w:tcPr>
            <w:tcW w:w="993" w:type="dxa"/>
            <w:tcBorders>
              <w:top w:val="nil"/>
              <w:left w:val="nil"/>
              <w:bottom w:val="nil"/>
              <w:right w:val="nil"/>
            </w:tcBorders>
            <w:vAlign w:val="center"/>
          </w:tcPr>
          <w:p w14:paraId="141FBA28"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7.214***</w:t>
            </w:r>
          </w:p>
        </w:tc>
        <w:tc>
          <w:tcPr>
            <w:tcW w:w="992" w:type="dxa"/>
            <w:tcBorders>
              <w:top w:val="nil"/>
              <w:left w:val="nil"/>
              <w:bottom w:val="nil"/>
              <w:right w:val="nil"/>
            </w:tcBorders>
            <w:vAlign w:val="center"/>
          </w:tcPr>
          <w:p w14:paraId="20354416"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1.995</w:t>
            </w:r>
          </w:p>
        </w:tc>
      </w:tr>
      <w:tr w:rsidR="00EC1DF5" w:rsidRPr="00EC1DF5" w14:paraId="1A94F9DC" w14:textId="77777777" w:rsidTr="00453380">
        <w:tc>
          <w:tcPr>
            <w:tcW w:w="1418" w:type="dxa"/>
            <w:tcBorders>
              <w:top w:val="nil"/>
              <w:left w:val="nil"/>
              <w:bottom w:val="nil"/>
              <w:right w:val="nil"/>
            </w:tcBorders>
          </w:tcPr>
          <w:p w14:paraId="28A0D656"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 xml:space="preserve">  </w:t>
            </w:r>
          </w:p>
        </w:tc>
        <w:tc>
          <w:tcPr>
            <w:tcW w:w="850" w:type="dxa"/>
            <w:tcBorders>
              <w:top w:val="nil"/>
              <w:left w:val="nil"/>
              <w:bottom w:val="nil"/>
              <w:right w:val="nil"/>
            </w:tcBorders>
            <w:vAlign w:val="center"/>
          </w:tcPr>
          <w:p w14:paraId="3D4B6FD8" w14:textId="77777777" w:rsidR="00AB41CC" w:rsidRPr="00EC1DF5" w:rsidRDefault="00AB41CC" w:rsidP="00453380">
            <w:pPr>
              <w:widowControl w:val="0"/>
              <w:autoSpaceDE w:val="0"/>
              <w:autoSpaceDN w:val="0"/>
              <w:adjustRightInd w:val="0"/>
              <w:spacing w:after="0" w:line="276" w:lineRule="auto"/>
              <w:rPr>
                <w:color w:val="auto"/>
                <w:sz w:val="18"/>
                <w:szCs w:val="18"/>
              </w:rPr>
            </w:pPr>
          </w:p>
        </w:tc>
        <w:tc>
          <w:tcPr>
            <w:tcW w:w="993" w:type="dxa"/>
            <w:tcBorders>
              <w:top w:val="nil"/>
              <w:left w:val="nil"/>
              <w:bottom w:val="nil"/>
              <w:right w:val="nil"/>
            </w:tcBorders>
            <w:vAlign w:val="center"/>
          </w:tcPr>
          <w:p w14:paraId="120E79B4"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(1.250)</w:t>
            </w:r>
          </w:p>
        </w:tc>
        <w:tc>
          <w:tcPr>
            <w:tcW w:w="992" w:type="dxa"/>
            <w:tcBorders>
              <w:top w:val="nil"/>
              <w:left w:val="nil"/>
              <w:bottom w:val="nil"/>
              <w:right w:val="nil"/>
            </w:tcBorders>
            <w:vAlign w:val="center"/>
          </w:tcPr>
          <w:p w14:paraId="505FA5C3"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(1.433)</w:t>
            </w:r>
          </w:p>
        </w:tc>
        <w:tc>
          <w:tcPr>
            <w:tcW w:w="992" w:type="dxa"/>
            <w:tcBorders>
              <w:top w:val="nil"/>
              <w:left w:val="nil"/>
              <w:bottom w:val="nil"/>
              <w:right w:val="nil"/>
            </w:tcBorders>
            <w:vAlign w:val="center"/>
          </w:tcPr>
          <w:p w14:paraId="00670C99"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(1.443)</w:t>
            </w:r>
          </w:p>
        </w:tc>
        <w:tc>
          <w:tcPr>
            <w:tcW w:w="992" w:type="dxa"/>
            <w:tcBorders>
              <w:top w:val="nil"/>
              <w:left w:val="nil"/>
              <w:bottom w:val="nil"/>
              <w:right w:val="nil"/>
            </w:tcBorders>
            <w:vAlign w:val="center"/>
          </w:tcPr>
          <w:p w14:paraId="0C5B0C7F"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(1.446)</w:t>
            </w:r>
          </w:p>
        </w:tc>
        <w:tc>
          <w:tcPr>
            <w:tcW w:w="993" w:type="dxa"/>
            <w:tcBorders>
              <w:top w:val="nil"/>
              <w:left w:val="nil"/>
              <w:bottom w:val="nil"/>
              <w:right w:val="nil"/>
            </w:tcBorders>
            <w:vAlign w:val="center"/>
          </w:tcPr>
          <w:p w14:paraId="1BFB1F7C"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(1.446)</w:t>
            </w:r>
          </w:p>
        </w:tc>
        <w:tc>
          <w:tcPr>
            <w:tcW w:w="992" w:type="dxa"/>
            <w:tcBorders>
              <w:top w:val="nil"/>
              <w:left w:val="nil"/>
              <w:bottom w:val="nil"/>
              <w:right w:val="nil"/>
            </w:tcBorders>
            <w:vAlign w:val="center"/>
          </w:tcPr>
          <w:p w14:paraId="0BF39482"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(1.265)</w:t>
            </w:r>
          </w:p>
        </w:tc>
      </w:tr>
      <w:tr w:rsidR="00EC1DF5" w:rsidRPr="00EC1DF5" w14:paraId="7FBE9DDC" w14:textId="77777777" w:rsidTr="00453380">
        <w:tc>
          <w:tcPr>
            <w:tcW w:w="1418" w:type="dxa"/>
            <w:tcBorders>
              <w:top w:val="nil"/>
              <w:left w:val="nil"/>
              <w:right w:val="nil"/>
            </w:tcBorders>
          </w:tcPr>
          <w:p w14:paraId="604238B6"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 xml:space="preserve"> CSR </w:t>
            </w:r>
            <w:proofErr w:type="spellStart"/>
            <w:r w:rsidRPr="00EC1DF5">
              <w:rPr>
                <w:color w:val="auto"/>
                <w:sz w:val="18"/>
                <w:szCs w:val="18"/>
              </w:rPr>
              <w:t>C’ttee</w:t>
            </w:r>
            <w:proofErr w:type="spellEnd"/>
          </w:p>
        </w:tc>
        <w:tc>
          <w:tcPr>
            <w:tcW w:w="850" w:type="dxa"/>
            <w:tcBorders>
              <w:top w:val="nil"/>
              <w:left w:val="nil"/>
              <w:right w:val="nil"/>
            </w:tcBorders>
            <w:vAlign w:val="center"/>
          </w:tcPr>
          <w:p w14:paraId="678680C2"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w:t>
            </w:r>
          </w:p>
        </w:tc>
        <w:tc>
          <w:tcPr>
            <w:tcW w:w="993" w:type="dxa"/>
            <w:tcBorders>
              <w:top w:val="nil"/>
              <w:left w:val="nil"/>
              <w:right w:val="nil"/>
            </w:tcBorders>
            <w:vAlign w:val="center"/>
          </w:tcPr>
          <w:p w14:paraId="2E068485"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2.502*</w:t>
            </w:r>
          </w:p>
        </w:tc>
        <w:tc>
          <w:tcPr>
            <w:tcW w:w="992" w:type="dxa"/>
            <w:tcBorders>
              <w:top w:val="nil"/>
              <w:left w:val="nil"/>
              <w:right w:val="nil"/>
            </w:tcBorders>
            <w:vAlign w:val="center"/>
          </w:tcPr>
          <w:p w14:paraId="4B16A753"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11.462***</w:t>
            </w:r>
          </w:p>
        </w:tc>
        <w:tc>
          <w:tcPr>
            <w:tcW w:w="992" w:type="dxa"/>
            <w:tcBorders>
              <w:top w:val="nil"/>
              <w:left w:val="nil"/>
              <w:right w:val="nil"/>
            </w:tcBorders>
            <w:vAlign w:val="center"/>
          </w:tcPr>
          <w:p w14:paraId="3F1E0028"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11.339***</w:t>
            </w:r>
          </w:p>
        </w:tc>
        <w:tc>
          <w:tcPr>
            <w:tcW w:w="992" w:type="dxa"/>
            <w:tcBorders>
              <w:top w:val="nil"/>
              <w:left w:val="nil"/>
              <w:right w:val="nil"/>
            </w:tcBorders>
            <w:vAlign w:val="center"/>
          </w:tcPr>
          <w:p w14:paraId="7CF8D2AC"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11.483***</w:t>
            </w:r>
          </w:p>
        </w:tc>
        <w:tc>
          <w:tcPr>
            <w:tcW w:w="993" w:type="dxa"/>
            <w:tcBorders>
              <w:top w:val="nil"/>
              <w:left w:val="nil"/>
              <w:right w:val="nil"/>
            </w:tcBorders>
            <w:vAlign w:val="center"/>
          </w:tcPr>
          <w:p w14:paraId="70B71002"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11.412***</w:t>
            </w:r>
          </w:p>
        </w:tc>
        <w:tc>
          <w:tcPr>
            <w:tcW w:w="992" w:type="dxa"/>
            <w:tcBorders>
              <w:top w:val="nil"/>
              <w:left w:val="nil"/>
              <w:right w:val="nil"/>
            </w:tcBorders>
            <w:vAlign w:val="center"/>
          </w:tcPr>
          <w:p w14:paraId="39EE22ED"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2.577*</w:t>
            </w:r>
          </w:p>
        </w:tc>
      </w:tr>
      <w:tr w:rsidR="00EC1DF5" w:rsidRPr="00EC1DF5" w14:paraId="057F2F7D" w14:textId="77777777" w:rsidTr="00453380">
        <w:trPr>
          <w:trHeight w:val="303"/>
        </w:trPr>
        <w:tc>
          <w:tcPr>
            <w:tcW w:w="1418" w:type="dxa"/>
            <w:tcBorders>
              <w:top w:val="nil"/>
              <w:left w:val="nil"/>
              <w:bottom w:val="single" w:sz="4" w:space="0" w:color="auto"/>
              <w:right w:val="nil"/>
            </w:tcBorders>
          </w:tcPr>
          <w:p w14:paraId="4EBAF0DD"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 xml:space="preserve">  </w:t>
            </w:r>
          </w:p>
        </w:tc>
        <w:tc>
          <w:tcPr>
            <w:tcW w:w="850" w:type="dxa"/>
            <w:tcBorders>
              <w:top w:val="nil"/>
              <w:left w:val="nil"/>
              <w:bottom w:val="single" w:sz="4" w:space="0" w:color="auto"/>
              <w:right w:val="nil"/>
            </w:tcBorders>
            <w:vAlign w:val="center"/>
          </w:tcPr>
          <w:p w14:paraId="74B73682" w14:textId="77777777" w:rsidR="00AB41CC" w:rsidRPr="00EC1DF5" w:rsidRDefault="00AB41CC" w:rsidP="00453380">
            <w:pPr>
              <w:widowControl w:val="0"/>
              <w:autoSpaceDE w:val="0"/>
              <w:autoSpaceDN w:val="0"/>
              <w:adjustRightInd w:val="0"/>
              <w:spacing w:after="0" w:line="276" w:lineRule="auto"/>
              <w:rPr>
                <w:color w:val="auto"/>
                <w:sz w:val="18"/>
                <w:szCs w:val="18"/>
              </w:rPr>
            </w:pPr>
          </w:p>
        </w:tc>
        <w:tc>
          <w:tcPr>
            <w:tcW w:w="993" w:type="dxa"/>
            <w:tcBorders>
              <w:top w:val="nil"/>
              <w:left w:val="nil"/>
              <w:bottom w:val="single" w:sz="4" w:space="0" w:color="auto"/>
              <w:right w:val="nil"/>
            </w:tcBorders>
            <w:vAlign w:val="center"/>
          </w:tcPr>
          <w:p w14:paraId="33B30C78"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(1.334)</w:t>
            </w:r>
          </w:p>
        </w:tc>
        <w:tc>
          <w:tcPr>
            <w:tcW w:w="992" w:type="dxa"/>
            <w:tcBorders>
              <w:top w:val="nil"/>
              <w:left w:val="nil"/>
              <w:bottom w:val="single" w:sz="4" w:space="0" w:color="auto"/>
              <w:right w:val="nil"/>
            </w:tcBorders>
            <w:vAlign w:val="center"/>
          </w:tcPr>
          <w:p w14:paraId="76F21927"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(1.451)</w:t>
            </w:r>
          </w:p>
        </w:tc>
        <w:tc>
          <w:tcPr>
            <w:tcW w:w="992" w:type="dxa"/>
            <w:tcBorders>
              <w:top w:val="nil"/>
              <w:left w:val="nil"/>
              <w:bottom w:val="single" w:sz="4" w:space="0" w:color="auto"/>
              <w:right w:val="nil"/>
            </w:tcBorders>
            <w:vAlign w:val="center"/>
          </w:tcPr>
          <w:p w14:paraId="40BBEAE6"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(1.460)</w:t>
            </w:r>
          </w:p>
        </w:tc>
        <w:tc>
          <w:tcPr>
            <w:tcW w:w="992" w:type="dxa"/>
            <w:tcBorders>
              <w:top w:val="nil"/>
              <w:left w:val="nil"/>
              <w:bottom w:val="single" w:sz="4" w:space="0" w:color="auto"/>
              <w:right w:val="nil"/>
            </w:tcBorders>
            <w:vAlign w:val="center"/>
          </w:tcPr>
          <w:p w14:paraId="042F4B9B"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(1.459)</w:t>
            </w:r>
          </w:p>
        </w:tc>
        <w:tc>
          <w:tcPr>
            <w:tcW w:w="993" w:type="dxa"/>
            <w:tcBorders>
              <w:top w:val="nil"/>
              <w:left w:val="nil"/>
              <w:bottom w:val="single" w:sz="4" w:space="0" w:color="auto"/>
              <w:right w:val="nil"/>
            </w:tcBorders>
            <w:vAlign w:val="center"/>
          </w:tcPr>
          <w:p w14:paraId="257428D1"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(1.454)</w:t>
            </w:r>
          </w:p>
        </w:tc>
        <w:tc>
          <w:tcPr>
            <w:tcW w:w="992" w:type="dxa"/>
            <w:tcBorders>
              <w:top w:val="nil"/>
              <w:left w:val="nil"/>
              <w:bottom w:val="single" w:sz="4" w:space="0" w:color="auto"/>
              <w:right w:val="nil"/>
            </w:tcBorders>
            <w:vAlign w:val="center"/>
          </w:tcPr>
          <w:p w14:paraId="744E938B"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(1.347)</w:t>
            </w:r>
          </w:p>
        </w:tc>
      </w:tr>
      <w:tr w:rsidR="00EC1DF5" w:rsidRPr="00EC1DF5" w14:paraId="3BD811E5" w14:textId="77777777" w:rsidTr="00453380">
        <w:tc>
          <w:tcPr>
            <w:tcW w:w="1418" w:type="dxa"/>
            <w:tcBorders>
              <w:top w:val="single" w:sz="4" w:space="0" w:color="auto"/>
              <w:left w:val="nil"/>
              <w:bottom w:val="nil"/>
              <w:right w:val="nil"/>
            </w:tcBorders>
          </w:tcPr>
          <w:p w14:paraId="7B4D88C7"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 xml:space="preserve"> Obs.</w:t>
            </w:r>
          </w:p>
        </w:tc>
        <w:tc>
          <w:tcPr>
            <w:tcW w:w="850" w:type="dxa"/>
            <w:tcBorders>
              <w:top w:val="single" w:sz="4" w:space="0" w:color="auto"/>
              <w:left w:val="nil"/>
              <w:bottom w:val="nil"/>
              <w:right w:val="nil"/>
            </w:tcBorders>
          </w:tcPr>
          <w:p w14:paraId="6885273D"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p>
        </w:tc>
        <w:tc>
          <w:tcPr>
            <w:tcW w:w="993" w:type="dxa"/>
            <w:tcBorders>
              <w:top w:val="single" w:sz="4" w:space="0" w:color="auto"/>
              <w:left w:val="nil"/>
              <w:bottom w:val="nil"/>
              <w:right w:val="nil"/>
            </w:tcBorders>
            <w:vAlign w:val="center"/>
          </w:tcPr>
          <w:p w14:paraId="573F2D32"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4871</w:t>
            </w:r>
          </w:p>
        </w:tc>
        <w:tc>
          <w:tcPr>
            <w:tcW w:w="992" w:type="dxa"/>
            <w:tcBorders>
              <w:top w:val="single" w:sz="4" w:space="0" w:color="auto"/>
              <w:left w:val="nil"/>
              <w:bottom w:val="nil"/>
              <w:right w:val="nil"/>
            </w:tcBorders>
            <w:vAlign w:val="center"/>
          </w:tcPr>
          <w:p w14:paraId="2DB5AF6E"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4871</w:t>
            </w:r>
          </w:p>
        </w:tc>
        <w:tc>
          <w:tcPr>
            <w:tcW w:w="992" w:type="dxa"/>
            <w:tcBorders>
              <w:top w:val="single" w:sz="4" w:space="0" w:color="auto"/>
              <w:left w:val="nil"/>
              <w:bottom w:val="nil"/>
              <w:right w:val="nil"/>
            </w:tcBorders>
            <w:vAlign w:val="center"/>
          </w:tcPr>
          <w:p w14:paraId="2E17E7C1"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4871</w:t>
            </w:r>
          </w:p>
        </w:tc>
        <w:tc>
          <w:tcPr>
            <w:tcW w:w="992" w:type="dxa"/>
            <w:tcBorders>
              <w:top w:val="single" w:sz="4" w:space="0" w:color="auto"/>
              <w:left w:val="nil"/>
              <w:bottom w:val="nil"/>
              <w:right w:val="nil"/>
            </w:tcBorders>
            <w:vAlign w:val="center"/>
          </w:tcPr>
          <w:p w14:paraId="662293F4"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4871</w:t>
            </w:r>
          </w:p>
        </w:tc>
        <w:tc>
          <w:tcPr>
            <w:tcW w:w="993" w:type="dxa"/>
            <w:tcBorders>
              <w:top w:val="single" w:sz="4" w:space="0" w:color="auto"/>
              <w:left w:val="nil"/>
              <w:bottom w:val="nil"/>
              <w:right w:val="nil"/>
            </w:tcBorders>
            <w:vAlign w:val="center"/>
          </w:tcPr>
          <w:p w14:paraId="5792E45C"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4871</w:t>
            </w:r>
          </w:p>
        </w:tc>
        <w:tc>
          <w:tcPr>
            <w:tcW w:w="992" w:type="dxa"/>
            <w:tcBorders>
              <w:top w:val="single" w:sz="4" w:space="0" w:color="auto"/>
              <w:left w:val="nil"/>
              <w:bottom w:val="nil"/>
              <w:right w:val="nil"/>
            </w:tcBorders>
            <w:vAlign w:val="center"/>
          </w:tcPr>
          <w:p w14:paraId="394F8CC4"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4871</w:t>
            </w:r>
          </w:p>
        </w:tc>
      </w:tr>
      <w:tr w:rsidR="00EC1DF5" w:rsidRPr="00EC1DF5" w14:paraId="6EDD5762" w14:textId="77777777" w:rsidTr="00453380">
        <w:tc>
          <w:tcPr>
            <w:tcW w:w="1418" w:type="dxa"/>
            <w:tcBorders>
              <w:top w:val="nil"/>
              <w:left w:val="nil"/>
              <w:bottom w:val="nil"/>
              <w:right w:val="nil"/>
            </w:tcBorders>
          </w:tcPr>
          <w:p w14:paraId="6B335E19"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 xml:space="preserve"> R-squared </w:t>
            </w:r>
          </w:p>
        </w:tc>
        <w:tc>
          <w:tcPr>
            <w:tcW w:w="850" w:type="dxa"/>
            <w:tcBorders>
              <w:top w:val="nil"/>
              <w:left w:val="nil"/>
              <w:bottom w:val="nil"/>
              <w:right w:val="nil"/>
            </w:tcBorders>
          </w:tcPr>
          <w:p w14:paraId="2CADD21B"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p>
        </w:tc>
        <w:tc>
          <w:tcPr>
            <w:tcW w:w="993" w:type="dxa"/>
            <w:tcBorders>
              <w:top w:val="nil"/>
              <w:left w:val="nil"/>
              <w:bottom w:val="nil"/>
              <w:right w:val="nil"/>
            </w:tcBorders>
            <w:vAlign w:val="center"/>
          </w:tcPr>
          <w:p w14:paraId="23621460"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0.553</w:t>
            </w:r>
          </w:p>
        </w:tc>
        <w:tc>
          <w:tcPr>
            <w:tcW w:w="992" w:type="dxa"/>
            <w:tcBorders>
              <w:top w:val="nil"/>
              <w:left w:val="nil"/>
              <w:bottom w:val="nil"/>
              <w:right w:val="nil"/>
            </w:tcBorders>
            <w:vAlign w:val="center"/>
          </w:tcPr>
          <w:p w14:paraId="04B4740E"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0.442</w:t>
            </w:r>
          </w:p>
        </w:tc>
        <w:tc>
          <w:tcPr>
            <w:tcW w:w="992" w:type="dxa"/>
            <w:tcBorders>
              <w:top w:val="nil"/>
              <w:left w:val="nil"/>
              <w:bottom w:val="nil"/>
              <w:right w:val="nil"/>
            </w:tcBorders>
            <w:vAlign w:val="center"/>
          </w:tcPr>
          <w:p w14:paraId="19D4F403"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0.439</w:t>
            </w:r>
          </w:p>
        </w:tc>
        <w:tc>
          <w:tcPr>
            <w:tcW w:w="992" w:type="dxa"/>
            <w:tcBorders>
              <w:top w:val="nil"/>
              <w:left w:val="nil"/>
              <w:bottom w:val="nil"/>
              <w:right w:val="nil"/>
            </w:tcBorders>
            <w:vAlign w:val="center"/>
          </w:tcPr>
          <w:p w14:paraId="19A1D00A"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0.439</w:t>
            </w:r>
          </w:p>
        </w:tc>
        <w:tc>
          <w:tcPr>
            <w:tcW w:w="993" w:type="dxa"/>
            <w:tcBorders>
              <w:top w:val="nil"/>
              <w:left w:val="nil"/>
              <w:bottom w:val="nil"/>
              <w:right w:val="nil"/>
            </w:tcBorders>
            <w:vAlign w:val="center"/>
          </w:tcPr>
          <w:p w14:paraId="6FB6C4E7"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0.439</w:t>
            </w:r>
          </w:p>
        </w:tc>
        <w:tc>
          <w:tcPr>
            <w:tcW w:w="992" w:type="dxa"/>
            <w:tcBorders>
              <w:top w:val="nil"/>
              <w:left w:val="nil"/>
              <w:bottom w:val="nil"/>
              <w:right w:val="nil"/>
            </w:tcBorders>
            <w:vAlign w:val="center"/>
          </w:tcPr>
          <w:p w14:paraId="51ACD7BD"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0.547</w:t>
            </w:r>
          </w:p>
        </w:tc>
      </w:tr>
      <w:tr w:rsidR="00EC1DF5" w:rsidRPr="00EC1DF5" w14:paraId="2D42ECCF" w14:textId="77777777" w:rsidTr="00453380">
        <w:tc>
          <w:tcPr>
            <w:tcW w:w="1418" w:type="dxa"/>
            <w:tcBorders>
              <w:top w:val="nil"/>
              <w:left w:val="nil"/>
              <w:right w:val="nil"/>
            </w:tcBorders>
          </w:tcPr>
          <w:p w14:paraId="3C6E2FC1"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 xml:space="preserve">Industry </w:t>
            </w:r>
          </w:p>
        </w:tc>
        <w:tc>
          <w:tcPr>
            <w:tcW w:w="850" w:type="dxa"/>
            <w:tcBorders>
              <w:top w:val="nil"/>
              <w:left w:val="nil"/>
              <w:right w:val="nil"/>
            </w:tcBorders>
          </w:tcPr>
          <w:p w14:paraId="6A2AE158"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p>
        </w:tc>
        <w:tc>
          <w:tcPr>
            <w:tcW w:w="993" w:type="dxa"/>
            <w:tcBorders>
              <w:top w:val="nil"/>
              <w:left w:val="nil"/>
              <w:right w:val="nil"/>
            </w:tcBorders>
            <w:vAlign w:val="center"/>
          </w:tcPr>
          <w:p w14:paraId="0A13CBD5"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Yes</w:t>
            </w:r>
          </w:p>
        </w:tc>
        <w:tc>
          <w:tcPr>
            <w:tcW w:w="992" w:type="dxa"/>
            <w:tcBorders>
              <w:top w:val="nil"/>
              <w:left w:val="nil"/>
              <w:right w:val="nil"/>
            </w:tcBorders>
            <w:vAlign w:val="center"/>
          </w:tcPr>
          <w:p w14:paraId="347F5C35"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Yes</w:t>
            </w:r>
          </w:p>
        </w:tc>
        <w:tc>
          <w:tcPr>
            <w:tcW w:w="992" w:type="dxa"/>
            <w:tcBorders>
              <w:top w:val="nil"/>
              <w:left w:val="nil"/>
              <w:right w:val="nil"/>
            </w:tcBorders>
            <w:vAlign w:val="center"/>
          </w:tcPr>
          <w:p w14:paraId="15012F14"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Yes</w:t>
            </w:r>
          </w:p>
        </w:tc>
        <w:tc>
          <w:tcPr>
            <w:tcW w:w="992" w:type="dxa"/>
            <w:tcBorders>
              <w:top w:val="nil"/>
              <w:left w:val="nil"/>
              <w:right w:val="nil"/>
            </w:tcBorders>
            <w:vAlign w:val="center"/>
          </w:tcPr>
          <w:p w14:paraId="6977D33A"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Yes</w:t>
            </w:r>
          </w:p>
        </w:tc>
        <w:tc>
          <w:tcPr>
            <w:tcW w:w="993" w:type="dxa"/>
            <w:tcBorders>
              <w:top w:val="nil"/>
              <w:left w:val="nil"/>
              <w:right w:val="nil"/>
            </w:tcBorders>
            <w:vAlign w:val="center"/>
          </w:tcPr>
          <w:p w14:paraId="34EF446B"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Yes</w:t>
            </w:r>
          </w:p>
        </w:tc>
        <w:tc>
          <w:tcPr>
            <w:tcW w:w="992" w:type="dxa"/>
            <w:tcBorders>
              <w:top w:val="nil"/>
              <w:left w:val="nil"/>
              <w:right w:val="nil"/>
            </w:tcBorders>
            <w:vAlign w:val="center"/>
          </w:tcPr>
          <w:p w14:paraId="5A20895F"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Yes</w:t>
            </w:r>
          </w:p>
        </w:tc>
      </w:tr>
      <w:tr w:rsidR="00EC1DF5" w:rsidRPr="00EC1DF5" w14:paraId="1AD72971" w14:textId="77777777" w:rsidTr="00453380">
        <w:trPr>
          <w:trHeight w:val="289"/>
        </w:trPr>
        <w:tc>
          <w:tcPr>
            <w:tcW w:w="1418" w:type="dxa"/>
            <w:tcBorders>
              <w:top w:val="nil"/>
              <w:left w:val="nil"/>
              <w:bottom w:val="single" w:sz="4" w:space="0" w:color="auto"/>
              <w:right w:val="nil"/>
            </w:tcBorders>
          </w:tcPr>
          <w:p w14:paraId="7B839F3B"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 xml:space="preserve">Year </w:t>
            </w:r>
          </w:p>
        </w:tc>
        <w:tc>
          <w:tcPr>
            <w:tcW w:w="850" w:type="dxa"/>
            <w:tcBorders>
              <w:top w:val="nil"/>
              <w:left w:val="nil"/>
              <w:bottom w:val="single" w:sz="4" w:space="0" w:color="auto"/>
              <w:right w:val="nil"/>
            </w:tcBorders>
          </w:tcPr>
          <w:p w14:paraId="03809911"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p>
        </w:tc>
        <w:tc>
          <w:tcPr>
            <w:tcW w:w="993" w:type="dxa"/>
            <w:tcBorders>
              <w:top w:val="nil"/>
              <w:left w:val="nil"/>
              <w:bottom w:val="single" w:sz="4" w:space="0" w:color="auto"/>
              <w:right w:val="nil"/>
            </w:tcBorders>
            <w:vAlign w:val="center"/>
          </w:tcPr>
          <w:p w14:paraId="777CD3C0"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Yes</w:t>
            </w:r>
          </w:p>
        </w:tc>
        <w:tc>
          <w:tcPr>
            <w:tcW w:w="992" w:type="dxa"/>
            <w:tcBorders>
              <w:top w:val="nil"/>
              <w:left w:val="nil"/>
              <w:bottom w:val="single" w:sz="4" w:space="0" w:color="auto"/>
              <w:right w:val="nil"/>
            </w:tcBorders>
            <w:vAlign w:val="center"/>
          </w:tcPr>
          <w:p w14:paraId="0AD45DE5"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 xml:space="preserve"> Yes</w:t>
            </w:r>
          </w:p>
        </w:tc>
        <w:tc>
          <w:tcPr>
            <w:tcW w:w="992" w:type="dxa"/>
            <w:tcBorders>
              <w:top w:val="nil"/>
              <w:left w:val="nil"/>
              <w:bottom w:val="single" w:sz="4" w:space="0" w:color="auto"/>
              <w:right w:val="nil"/>
            </w:tcBorders>
            <w:vAlign w:val="center"/>
          </w:tcPr>
          <w:p w14:paraId="1022D876"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 xml:space="preserve"> Yes</w:t>
            </w:r>
          </w:p>
        </w:tc>
        <w:tc>
          <w:tcPr>
            <w:tcW w:w="992" w:type="dxa"/>
            <w:tcBorders>
              <w:top w:val="nil"/>
              <w:left w:val="nil"/>
              <w:bottom w:val="single" w:sz="4" w:space="0" w:color="auto"/>
              <w:right w:val="nil"/>
            </w:tcBorders>
            <w:vAlign w:val="center"/>
          </w:tcPr>
          <w:p w14:paraId="23D6D82C"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 xml:space="preserve"> Yes</w:t>
            </w:r>
          </w:p>
        </w:tc>
        <w:tc>
          <w:tcPr>
            <w:tcW w:w="993" w:type="dxa"/>
            <w:tcBorders>
              <w:top w:val="nil"/>
              <w:left w:val="nil"/>
              <w:bottom w:val="single" w:sz="4" w:space="0" w:color="auto"/>
              <w:right w:val="nil"/>
            </w:tcBorders>
            <w:vAlign w:val="center"/>
          </w:tcPr>
          <w:p w14:paraId="042FD765"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 xml:space="preserve"> Yes</w:t>
            </w:r>
          </w:p>
        </w:tc>
        <w:tc>
          <w:tcPr>
            <w:tcW w:w="992" w:type="dxa"/>
            <w:tcBorders>
              <w:top w:val="nil"/>
              <w:left w:val="nil"/>
              <w:bottom w:val="single" w:sz="4" w:space="0" w:color="auto"/>
              <w:right w:val="nil"/>
            </w:tcBorders>
            <w:vAlign w:val="center"/>
          </w:tcPr>
          <w:p w14:paraId="3A66F524"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 xml:space="preserve"> Yes</w:t>
            </w:r>
          </w:p>
        </w:tc>
      </w:tr>
      <w:tr w:rsidR="00AB41CC" w:rsidRPr="00EC1DF5" w14:paraId="5FD7242F" w14:textId="77777777" w:rsidTr="00453380">
        <w:tc>
          <w:tcPr>
            <w:tcW w:w="8222" w:type="dxa"/>
            <w:gridSpan w:val="8"/>
            <w:tcBorders>
              <w:top w:val="single" w:sz="4" w:space="0" w:color="auto"/>
              <w:left w:val="nil"/>
              <w:bottom w:val="single" w:sz="4" w:space="0" w:color="auto"/>
              <w:right w:val="nil"/>
            </w:tcBorders>
            <w:vAlign w:val="center"/>
          </w:tcPr>
          <w:p w14:paraId="4B5D92D7"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 xml:space="preserve">The table shows the panel fixed effect regression results of the pillars of corporate governance and environmental sustainability. Stepwise regression was employed to show different model results. </w:t>
            </w:r>
            <w:r w:rsidRPr="00EC1DF5">
              <w:rPr>
                <w:b/>
                <w:bCs/>
                <w:color w:val="auto"/>
                <w:sz w:val="18"/>
                <w:szCs w:val="18"/>
              </w:rPr>
              <w:t>Model 1</w:t>
            </w:r>
            <w:r w:rsidRPr="00EC1DF5">
              <w:rPr>
                <w:color w:val="auto"/>
                <w:sz w:val="18"/>
                <w:szCs w:val="18"/>
              </w:rPr>
              <w:t xml:space="preserve"> contains results of all the variables. The independent variables are </w:t>
            </w:r>
            <w:proofErr w:type="spellStart"/>
            <w:r w:rsidRPr="00EC1DF5">
              <w:rPr>
                <w:color w:val="auto"/>
                <w:sz w:val="18"/>
                <w:szCs w:val="18"/>
              </w:rPr>
              <w:t>board</w:t>
            </w:r>
            <w:proofErr w:type="spellEnd"/>
            <w:r w:rsidRPr="00EC1DF5">
              <w:rPr>
                <w:color w:val="auto"/>
                <w:sz w:val="18"/>
                <w:szCs w:val="18"/>
              </w:rPr>
              <w:t xml:space="preserve"> functions </w:t>
            </w:r>
            <w:r w:rsidRPr="00EC1DF5">
              <w:rPr>
                <w:i/>
                <w:color w:val="auto"/>
                <w:sz w:val="18"/>
                <w:szCs w:val="18"/>
              </w:rPr>
              <w:t>(BF),</w:t>
            </w:r>
            <w:r w:rsidRPr="00EC1DF5">
              <w:rPr>
                <w:color w:val="auto"/>
                <w:sz w:val="18"/>
                <w:szCs w:val="18"/>
              </w:rPr>
              <w:t xml:space="preserve"> board structure (</w:t>
            </w:r>
            <w:r w:rsidRPr="00EC1DF5">
              <w:rPr>
                <w:i/>
                <w:color w:val="auto"/>
                <w:sz w:val="18"/>
                <w:szCs w:val="18"/>
              </w:rPr>
              <w:t>BST</w:t>
            </w:r>
            <w:r w:rsidRPr="00EC1DF5">
              <w:rPr>
                <w:color w:val="auto"/>
                <w:sz w:val="18"/>
                <w:szCs w:val="18"/>
              </w:rPr>
              <w:t>), board composition (</w:t>
            </w:r>
            <w:r w:rsidRPr="00EC1DF5">
              <w:rPr>
                <w:i/>
                <w:color w:val="auto"/>
                <w:sz w:val="18"/>
                <w:szCs w:val="18"/>
              </w:rPr>
              <w:t>BC</w:t>
            </w:r>
            <w:r w:rsidRPr="00EC1DF5">
              <w:rPr>
                <w:color w:val="auto"/>
                <w:sz w:val="18"/>
                <w:szCs w:val="18"/>
              </w:rPr>
              <w:t>), board shareholder right (</w:t>
            </w:r>
            <w:r w:rsidRPr="00EC1DF5">
              <w:rPr>
                <w:i/>
                <w:color w:val="auto"/>
                <w:sz w:val="18"/>
                <w:szCs w:val="18"/>
              </w:rPr>
              <w:t>BSR</w:t>
            </w:r>
            <w:r w:rsidRPr="00EC1DF5">
              <w:rPr>
                <w:color w:val="auto"/>
                <w:sz w:val="18"/>
                <w:szCs w:val="18"/>
              </w:rPr>
              <w:t>) and board strategy (</w:t>
            </w:r>
            <w:r w:rsidRPr="00EC1DF5">
              <w:rPr>
                <w:i/>
                <w:color w:val="auto"/>
                <w:sz w:val="18"/>
                <w:szCs w:val="18"/>
              </w:rPr>
              <w:t>BSTR</w:t>
            </w:r>
            <w:r w:rsidRPr="00EC1DF5">
              <w:rPr>
                <w:color w:val="auto"/>
                <w:sz w:val="18"/>
                <w:szCs w:val="18"/>
              </w:rPr>
              <w:t>). We include beta (</w:t>
            </w:r>
            <w:r w:rsidRPr="00EC1DF5">
              <w:rPr>
                <w:i/>
                <w:color w:val="auto"/>
                <w:sz w:val="18"/>
                <w:szCs w:val="18"/>
              </w:rPr>
              <w:t>Beta</w:t>
            </w:r>
            <w:r w:rsidRPr="00EC1DF5">
              <w:rPr>
                <w:color w:val="auto"/>
                <w:sz w:val="18"/>
                <w:szCs w:val="18"/>
              </w:rPr>
              <w:t>), firm size (</w:t>
            </w:r>
            <w:r w:rsidRPr="00EC1DF5">
              <w:rPr>
                <w:i/>
                <w:color w:val="auto"/>
                <w:sz w:val="18"/>
                <w:szCs w:val="18"/>
              </w:rPr>
              <w:t>Size</w:t>
            </w:r>
            <w:r w:rsidRPr="00EC1DF5">
              <w:rPr>
                <w:color w:val="auto"/>
                <w:sz w:val="18"/>
                <w:szCs w:val="18"/>
              </w:rPr>
              <w:t xml:space="preserve">), research and development </w:t>
            </w:r>
            <w:r w:rsidRPr="00EC1DF5">
              <w:rPr>
                <w:i/>
                <w:color w:val="auto"/>
                <w:sz w:val="18"/>
                <w:szCs w:val="18"/>
              </w:rPr>
              <w:t>(R&amp;D</w:t>
            </w:r>
            <w:r w:rsidRPr="00EC1DF5">
              <w:rPr>
                <w:color w:val="auto"/>
                <w:sz w:val="18"/>
                <w:szCs w:val="18"/>
              </w:rPr>
              <w:t>), capital intensity (</w:t>
            </w:r>
            <w:r w:rsidRPr="00EC1DF5">
              <w:rPr>
                <w:i/>
                <w:color w:val="auto"/>
                <w:sz w:val="18"/>
                <w:szCs w:val="18"/>
              </w:rPr>
              <w:t>Capex),</w:t>
            </w:r>
            <w:r w:rsidRPr="00EC1DF5">
              <w:rPr>
                <w:color w:val="auto"/>
                <w:sz w:val="18"/>
                <w:szCs w:val="18"/>
              </w:rPr>
              <w:t xml:space="preserve"> sales growth </w:t>
            </w:r>
            <w:r w:rsidRPr="00EC1DF5">
              <w:rPr>
                <w:i/>
                <w:color w:val="auto"/>
                <w:sz w:val="18"/>
                <w:szCs w:val="18"/>
              </w:rPr>
              <w:t>(Growth</w:t>
            </w:r>
            <w:r w:rsidRPr="00EC1DF5">
              <w:rPr>
                <w:color w:val="auto"/>
                <w:sz w:val="18"/>
                <w:szCs w:val="18"/>
              </w:rPr>
              <w:t>), financial leverage (</w:t>
            </w:r>
            <w:r w:rsidRPr="00EC1DF5">
              <w:rPr>
                <w:i/>
                <w:color w:val="auto"/>
                <w:sz w:val="18"/>
                <w:szCs w:val="18"/>
              </w:rPr>
              <w:t>Leverage</w:t>
            </w:r>
            <w:r w:rsidRPr="00EC1DF5">
              <w:rPr>
                <w:color w:val="auto"/>
                <w:sz w:val="18"/>
                <w:szCs w:val="18"/>
              </w:rPr>
              <w:t>), Business ethics (</w:t>
            </w:r>
            <w:r w:rsidRPr="00EC1DF5">
              <w:rPr>
                <w:i/>
                <w:color w:val="auto"/>
                <w:sz w:val="18"/>
                <w:szCs w:val="18"/>
              </w:rPr>
              <w:t>Ethics</w:t>
            </w:r>
            <w:r w:rsidRPr="00EC1DF5">
              <w:rPr>
                <w:color w:val="auto"/>
                <w:sz w:val="18"/>
                <w:szCs w:val="18"/>
              </w:rPr>
              <w:t>), executives’ community involvement (</w:t>
            </w:r>
            <w:proofErr w:type="spellStart"/>
            <w:r w:rsidRPr="00EC1DF5">
              <w:rPr>
                <w:i/>
                <w:color w:val="auto"/>
                <w:sz w:val="18"/>
                <w:szCs w:val="18"/>
              </w:rPr>
              <w:t>Com_Involve</w:t>
            </w:r>
            <w:proofErr w:type="spellEnd"/>
            <w:r w:rsidRPr="00EC1DF5">
              <w:rPr>
                <w:color w:val="auto"/>
                <w:sz w:val="18"/>
                <w:szCs w:val="18"/>
              </w:rPr>
              <w:t>) and CSR committee (</w:t>
            </w:r>
            <w:r w:rsidRPr="00EC1DF5">
              <w:rPr>
                <w:i/>
                <w:color w:val="auto"/>
                <w:sz w:val="18"/>
                <w:szCs w:val="18"/>
              </w:rPr>
              <w:t xml:space="preserve">CSR </w:t>
            </w:r>
            <w:proofErr w:type="spellStart"/>
            <w:r w:rsidRPr="00EC1DF5">
              <w:rPr>
                <w:i/>
                <w:color w:val="auto"/>
                <w:sz w:val="18"/>
                <w:szCs w:val="18"/>
              </w:rPr>
              <w:t>C’ttee</w:t>
            </w:r>
            <w:proofErr w:type="spellEnd"/>
            <w:r w:rsidRPr="00EC1DF5">
              <w:rPr>
                <w:color w:val="auto"/>
                <w:sz w:val="18"/>
                <w:szCs w:val="18"/>
              </w:rPr>
              <w:t xml:space="preserve">). In </w:t>
            </w:r>
            <w:r w:rsidRPr="00EC1DF5">
              <w:rPr>
                <w:b/>
                <w:bCs/>
                <w:color w:val="auto"/>
                <w:sz w:val="18"/>
                <w:szCs w:val="18"/>
              </w:rPr>
              <w:t>Model 2</w:t>
            </w:r>
            <w:r w:rsidRPr="00EC1DF5">
              <w:rPr>
                <w:color w:val="auto"/>
                <w:sz w:val="18"/>
                <w:szCs w:val="18"/>
              </w:rPr>
              <w:t xml:space="preserve">, we use only </w:t>
            </w:r>
            <w:r w:rsidRPr="00EC1DF5">
              <w:rPr>
                <w:i/>
                <w:color w:val="auto"/>
                <w:sz w:val="18"/>
                <w:szCs w:val="18"/>
              </w:rPr>
              <w:t>BF</w:t>
            </w:r>
            <w:r w:rsidRPr="00EC1DF5">
              <w:rPr>
                <w:color w:val="auto"/>
                <w:sz w:val="18"/>
                <w:szCs w:val="18"/>
              </w:rPr>
              <w:t xml:space="preserve"> as the independent variables while controlling for all the control variables. </w:t>
            </w:r>
            <w:r w:rsidRPr="00EC1DF5">
              <w:rPr>
                <w:b/>
                <w:bCs/>
                <w:color w:val="auto"/>
                <w:sz w:val="18"/>
                <w:szCs w:val="18"/>
              </w:rPr>
              <w:t>In Models 3, 4, 5 and 6</w:t>
            </w:r>
            <w:r w:rsidRPr="00EC1DF5">
              <w:rPr>
                <w:color w:val="auto"/>
                <w:sz w:val="18"/>
                <w:szCs w:val="18"/>
              </w:rPr>
              <w:t xml:space="preserve">, we include </w:t>
            </w:r>
            <w:r w:rsidRPr="00EC1DF5">
              <w:rPr>
                <w:i/>
                <w:iCs/>
                <w:color w:val="auto"/>
                <w:sz w:val="18"/>
                <w:szCs w:val="18"/>
              </w:rPr>
              <w:t>BST, BC, BSR</w:t>
            </w:r>
            <w:r w:rsidRPr="00EC1DF5">
              <w:rPr>
                <w:color w:val="auto"/>
                <w:sz w:val="18"/>
                <w:szCs w:val="18"/>
              </w:rPr>
              <w:t xml:space="preserve"> and </w:t>
            </w:r>
            <w:r w:rsidRPr="00EC1DF5">
              <w:rPr>
                <w:i/>
                <w:iCs/>
                <w:color w:val="auto"/>
                <w:sz w:val="18"/>
                <w:szCs w:val="18"/>
              </w:rPr>
              <w:t>BSTR</w:t>
            </w:r>
            <w:r w:rsidRPr="00EC1DF5">
              <w:rPr>
                <w:color w:val="auto"/>
                <w:sz w:val="18"/>
                <w:szCs w:val="18"/>
              </w:rPr>
              <w:t xml:space="preserve"> respectively. Robust standard errors are in parenthesis *** p&lt;0.01, ** p&lt;0.05, * p&lt;0.1</w:t>
            </w:r>
          </w:p>
        </w:tc>
      </w:tr>
    </w:tbl>
    <w:p w14:paraId="5B94165C" w14:textId="77777777" w:rsidR="00AB41CC" w:rsidRPr="00EC1DF5" w:rsidRDefault="00AB41CC" w:rsidP="00AB41CC">
      <w:pPr>
        <w:rPr>
          <w:color w:val="auto"/>
        </w:rPr>
      </w:pPr>
    </w:p>
    <w:p w14:paraId="5B2AA7DA" w14:textId="77777777" w:rsidR="00AB41CC" w:rsidRPr="00EC1DF5" w:rsidRDefault="00AB41CC" w:rsidP="00AB41CC">
      <w:pPr>
        <w:rPr>
          <w:color w:val="auto"/>
        </w:rPr>
      </w:pPr>
    </w:p>
    <w:p w14:paraId="0E764DA2" w14:textId="77777777" w:rsidR="00AB41CC" w:rsidRPr="00EC1DF5" w:rsidRDefault="00AB41CC" w:rsidP="00AB41CC">
      <w:pPr>
        <w:rPr>
          <w:color w:val="auto"/>
        </w:rPr>
      </w:pPr>
    </w:p>
    <w:p w14:paraId="6B8D07DB" w14:textId="77777777" w:rsidR="00AB41CC" w:rsidRPr="00EC1DF5" w:rsidRDefault="00AB41CC" w:rsidP="00AB41CC">
      <w:pPr>
        <w:rPr>
          <w:color w:val="auto"/>
        </w:rPr>
      </w:pPr>
    </w:p>
    <w:p w14:paraId="1C734BC1" w14:textId="77777777" w:rsidR="00AB41CC" w:rsidRPr="00EC1DF5" w:rsidRDefault="00AB41CC" w:rsidP="00AB41CC">
      <w:pPr>
        <w:rPr>
          <w:color w:val="auto"/>
        </w:rPr>
      </w:pPr>
    </w:p>
    <w:p w14:paraId="0E2DF3DF" w14:textId="77777777" w:rsidR="00AB41CC" w:rsidRPr="00EC1DF5" w:rsidRDefault="00AB41CC" w:rsidP="00AB41CC">
      <w:pPr>
        <w:rPr>
          <w:color w:val="auto"/>
        </w:rPr>
      </w:pPr>
    </w:p>
    <w:p w14:paraId="13F173CD" w14:textId="77777777" w:rsidR="00AB41CC" w:rsidRPr="00EC1DF5" w:rsidRDefault="00AB41CC" w:rsidP="00AB41CC">
      <w:pPr>
        <w:rPr>
          <w:color w:val="auto"/>
        </w:rPr>
      </w:pPr>
    </w:p>
    <w:p w14:paraId="30F44562" w14:textId="77777777" w:rsidR="00AB41CC" w:rsidRPr="00EC1DF5" w:rsidRDefault="00AB41CC" w:rsidP="00AB41CC">
      <w:pPr>
        <w:rPr>
          <w:color w:val="auto"/>
        </w:rPr>
      </w:pPr>
    </w:p>
    <w:p w14:paraId="26168623" w14:textId="77777777" w:rsidR="00AB41CC" w:rsidRPr="00EC1DF5" w:rsidRDefault="00AB41CC" w:rsidP="00AB41CC">
      <w:pPr>
        <w:pStyle w:val="Caption"/>
        <w:keepNext/>
        <w:rPr>
          <w:b/>
          <w:i w:val="0"/>
          <w:color w:val="auto"/>
          <w:sz w:val="20"/>
          <w:szCs w:val="20"/>
        </w:rPr>
      </w:pPr>
      <w:r w:rsidRPr="00EC1DF5">
        <w:rPr>
          <w:b/>
          <w:i w:val="0"/>
          <w:color w:val="auto"/>
          <w:sz w:val="20"/>
          <w:szCs w:val="20"/>
        </w:rPr>
        <w:t xml:space="preserve">              Table 5: Panel Fixed Effects Results (Social Sustainability and Corporate Governance)</w:t>
      </w:r>
    </w:p>
    <w:tbl>
      <w:tblPr>
        <w:tblW w:w="9214" w:type="dxa"/>
        <w:tblInd w:w="784" w:type="dxa"/>
        <w:tblLayout w:type="fixed"/>
        <w:tblLook w:val="0000" w:firstRow="0" w:lastRow="0" w:firstColumn="0" w:lastColumn="0" w:noHBand="0" w:noVBand="0"/>
      </w:tblPr>
      <w:tblGrid>
        <w:gridCol w:w="1250"/>
        <w:gridCol w:w="26"/>
        <w:gridCol w:w="709"/>
        <w:gridCol w:w="1984"/>
        <w:gridCol w:w="993"/>
        <w:gridCol w:w="1134"/>
        <w:gridCol w:w="992"/>
        <w:gridCol w:w="992"/>
        <w:gridCol w:w="1134"/>
      </w:tblGrid>
      <w:tr w:rsidR="00EC1DF5" w:rsidRPr="00EC1DF5" w14:paraId="6114B137" w14:textId="77777777" w:rsidTr="00453380">
        <w:trPr>
          <w:trHeight w:val="394"/>
        </w:trPr>
        <w:tc>
          <w:tcPr>
            <w:tcW w:w="1276" w:type="dxa"/>
            <w:gridSpan w:val="2"/>
            <w:tcBorders>
              <w:top w:val="single" w:sz="4" w:space="0" w:color="auto"/>
              <w:left w:val="nil"/>
              <w:bottom w:val="single" w:sz="4" w:space="0" w:color="auto"/>
              <w:right w:val="nil"/>
            </w:tcBorders>
            <w:vAlign w:val="center"/>
          </w:tcPr>
          <w:p w14:paraId="4924B5C5"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p>
        </w:tc>
        <w:tc>
          <w:tcPr>
            <w:tcW w:w="709" w:type="dxa"/>
            <w:tcBorders>
              <w:top w:val="single" w:sz="4" w:space="0" w:color="auto"/>
              <w:left w:val="nil"/>
              <w:bottom w:val="single" w:sz="4" w:space="0" w:color="auto"/>
              <w:right w:val="nil"/>
            </w:tcBorders>
          </w:tcPr>
          <w:p w14:paraId="205E243B"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Exp. Sign</w:t>
            </w:r>
          </w:p>
        </w:tc>
        <w:tc>
          <w:tcPr>
            <w:tcW w:w="1984" w:type="dxa"/>
            <w:tcBorders>
              <w:top w:val="single" w:sz="4" w:space="0" w:color="auto"/>
              <w:left w:val="nil"/>
              <w:bottom w:val="single" w:sz="4" w:space="0" w:color="auto"/>
              <w:right w:val="nil"/>
            </w:tcBorders>
            <w:vAlign w:val="center"/>
          </w:tcPr>
          <w:p w14:paraId="56A0A0DB"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(1)</w:t>
            </w:r>
          </w:p>
        </w:tc>
        <w:tc>
          <w:tcPr>
            <w:tcW w:w="993" w:type="dxa"/>
            <w:tcBorders>
              <w:top w:val="single" w:sz="4" w:space="0" w:color="auto"/>
              <w:left w:val="nil"/>
              <w:bottom w:val="single" w:sz="4" w:space="0" w:color="auto"/>
              <w:right w:val="nil"/>
            </w:tcBorders>
            <w:vAlign w:val="center"/>
          </w:tcPr>
          <w:p w14:paraId="6B47DEF4"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(2)</w:t>
            </w:r>
          </w:p>
        </w:tc>
        <w:tc>
          <w:tcPr>
            <w:tcW w:w="1134" w:type="dxa"/>
            <w:tcBorders>
              <w:top w:val="single" w:sz="4" w:space="0" w:color="auto"/>
              <w:left w:val="nil"/>
              <w:bottom w:val="single" w:sz="4" w:space="0" w:color="auto"/>
              <w:right w:val="nil"/>
            </w:tcBorders>
            <w:vAlign w:val="center"/>
          </w:tcPr>
          <w:p w14:paraId="3F4117F9"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(3)</w:t>
            </w:r>
          </w:p>
        </w:tc>
        <w:tc>
          <w:tcPr>
            <w:tcW w:w="992" w:type="dxa"/>
            <w:tcBorders>
              <w:top w:val="single" w:sz="4" w:space="0" w:color="auto"/>
              <w:left w:val="nil"/>
              <w:bottom w:val="single" w:sz="4" w:space="0" w:color="auto"/>
              <w:right w:val="nil"/>
            </w:tcBorders>
            <w:vAlign w:val="center"/>
          </w:tcPr>
          <w:p w14:paraId="3F418380"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(4)</w:t>
            </w:r>
          </w:p>
        </w:tc>
        <w:tc>
          <w:tcPr>
            <w:tcW w:w="992" w:type="dxa"/>
            <w:tcBorders>
              <w:top w:val="single" w:sz="4" w:space="0" w:color="auto"/>
              <w:left w:val="nil"/>
              <w:bottom w:val="single" w:sz="4" w:space="0" w:color="auto"/>
              <w:right w:val="nil"/>
            </w:tcBorders>
            <w:vAlign w:val="center"/>
          </w:tcPr>
          <w:p w14:paraId="4F5E8962"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(5)</w:t>
            </w:r>
          </w:p>
        </w:tc>
        <w:tc>
          <w:tcPr>
            <w:tcW w:w="1134" w:type="dxa"/>
            <w:tcBorders>
              <w:top w:val="single" w:sz="4" w:space="0" w:color="auto"/>
              <w:left w:val="nil"/>
              <w:bottom w:val="single" w:sz="4" w:space="0" w:color="auto"/>
              <w:right w:val="nil"/>
            </w:tcBorders>
            <w:vAlign w:val="center"/>
          </w:tcPr>
          <w:p w14:paraId="78C9642B"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(6)</w:t>
            </w:r>
          </w:p>
        </w:tc>
      </w:tr>
      <w:tr w:rsidR="00EC1DF5" w:rsidRPr="00EC1DF5" w14:paraId="35160E46" w14:textId="77777777" w:rsidTr="00453380">
        <w:tc>
          <w:tcPr>
            <w:tcW w:w="1276" w:type="dxa"/>
            <w:gridSpan w:val="2"/>
            <w:tcBorders>
              <w:top w:val="single" w:sz="4" w:space="0" w:color="auto"/>
              <w:left w:val="nil"/>
              <w:bottom w:val="nil"/>
              <w:right w:val="nil"/>
            </w:tcBorders>
          </w:tcPr>
          <w:p w14:paraId="71DF84E3"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 xml:space="preserve"> </w:t>
            </w:r>
            <w:r w:rsidRPr="00EC1DF5">
              <w:rPr>
                <w:i/>
                <w:color w:val="auto"/>
                <w:sz w:val="18"/>
                <w:szCs w:val="18"/>
              </w:rPr>
              <w:t>BF</w:t>
            </w:r>
          </w:p>
        </w:tc>
        <w:tc>
          <w:tcPr>
            <w:tcW w:w="709" w:type="dxa"/>
            <w:tcBorders>
              <w:top w:val="single" w:sz="4" w:space="0" w:color="auto"/>
              <w:left w:val="nil"/>
              <w:bottom w:val="nil"/>
              <w:right w:val="nil"/>
            </w:tcBorders>
          </w:tcPr>
          <w:p w14:paraId="26F9E69C"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w:t>
            </w:r>
          </w:p>
        </w:tc>
        <w:tc>
          <w:tcPr>
            <w:tcW w:w="1984" w:type="dxa"/>
            <w:tcBorders>
              <w:top w:val="single" w:sz="4" w:space="0" w:color="auto"/>
              <w:left w:val="nil"/>
              <w:bottom w:val="nil"/>
              <w:right w:val="nil"/>
            </w:tcBorders>
          </w:tcPr>
          <w:p w14:paraId="5C10C91C"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0.052*</w:t>
            </w:r>
          </w:p>
        </w:tc>
        <w:tc>
          <w:tcPr>
            <w:tcW w:w="993" w:type="dxa"/>
            <w:tcBorders>
              <w:top w:val="single" w:sz="4" w:space="0" w:color="auto"/>
              <w:left w:val="nil"/>
              <w:bottom w:val="nil"/>
              <w:right w:val="nil"/>
            </w:tcBorders>
          </w:tcPr>
          <w:p w14:paraId="0B001A3B"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0.090***</w:t>
            </w:r>
          </w:p>
        </w:tc>
        <w:tc>
          <w:tcPr>
            <w:tcW w:w="1134" w:type="dxa"/>
            <w:tcBorders>
              <w:top w:val="single" w:sz="4" w:space="0" w:color="auto"/>
              <w:left w:val="nil"/>
              <w:bottom w:val="nil"/>
              <w:right w:val="nil"/>
            </w:tcBorders>
          </w:tcPr>
          <w:p w14:paraId="1DFB01DB"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p>
        </w:tc>
        <w:tc>
          <w:tcPr>
            <w:tcW w:w="992" w:type="dxa"/>
            <w:tcBorders>
              <w:top w:val="single" w:sz="4" w:space="0" w:color="auto"/>
              <w:left w:val="nil"/>
              <w:bottom w:val="nil"/>
              <w:right w:val="nil"/>
            </w:tcBorders>
          </w:tcPr>
          <w:p w14:paraId="4182FFC8"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p>
        </w:tc>
        <w:tc>
          <w:tcPr>
            <w:tcW w:w="992" w:type="dxa"/>
            <w:tcBorders>
              <w:top w:val="single" w:sz="4" w:space="0" w:color="auto"/>
              <w:left w:val="nil"/>
              <w:bottom w:val="nil"/>
              <w:right w:val="nil"/>
            </w:tcBorders>
          </w:tcPr>
          <w:p w14:paraId="599B7199"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p>
        </w:tc>
        <w:tc>
          <w:tcPr>
            <w:tcW w:w="1134" w:type="dxa"/>
            <w:tcBorders>
              <w:top w:val="single" w:sz="4" w:space="0" w:color="auto"/>
              <w:left w:val="nil"/>
              <w:bottom w:val="nil"/>
              <w:right w:val="nil"/>
            </w:tcBorders>
          </w:tcPr>
          <w:p w14:paraId="3B61E189"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p>
        </w:tc>
      </w:tr>
      <w:tr w:rsidR="00EC1DF5" w:rsidRPr="00EC1DF5" w14:paraId="349FC736" w14:textId="77777777" w:rsidTr="00453380">
        <w:tc>
          <w:tcPr>
            <w:tcW w:w="1276" w:type="dxa"/>
            <w:gridSpan w:val="2"/>
            <w:tcBorders>
              <w:top w:val="nil"/>
              <w:left w:val="nil"/>
              <w:bottom w:val="nil"/>
              <w:right w:val="nil"/>
            </w:tcBorders>
          </w:tcPr>
          <w:p w14:paraId="2A2E748A"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 xml:space="preserve">  </w:t>
            </w:r>
          </w:p>
        </w:tc>
        <w:tc>
          <w:tcPr>
            <w:tcW w:w="709" w:type="dxa"/>
            <w:tcBorders>
              <w:top w:val="nil"/>
              <w:left w:val="nil"/>
              <w:bottom w:val="nil"/>
              <w:right w:val="nil"/>
            </w:tcBorders>
          </w:tcPr>
          <w:p w14:paraId="53399531"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p>
        </w:tc>
        <w:tc>
          <w:tcPr>
            <w:tcW w:w="1984" w:type="dxa"/>
            <w:tcBorders>
              <w:top w:val="nil"/>
              <w:left w:val="nil"/>
              <w:bottom w:val="nil"/>
              <w:right w:val="nil"/>
            </w:tcBorders>
          </w:tcPr>
          <w:p w14:paraId="631D6871"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(0.028)</w:t>
            </w:r>
          </w:p>
        </w:tc>
        <w:tc>
          <w:tcPr>
            <w:tcW w:w="993" w:type="dxa"/>
            <w:tcBorders>
              <w:top w:val="nil"/>
              <w:left w:val="nil"/>
              <w:bottom w:val="nil"/>
              <w:right w:val="nil"/>
            </w:tcBorders>
          </w:tcPr>
          <w:p w14:paraId="7A3CA99D"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(0.030)</w:t>
            </w:r>
          </w:p>
        </w:tc>
        <w:tc>
          <w:tcPr>
            <w:tcW w:w="1134" w:type="dxa"/>
            <w:tcBorders>
              <w:top w:val="nil"/>
              <w:left w:val="nil"/>
              <w:bottom w:val="nil"/>
              <w:right w:val="nil"/>
            </w:tcBorders>
          </w:tcPr>
          <w:p w14:paraId="0443E1D4"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p>
        </w:tc>
        <w:tc>
          <w:tcPr>
            <w:tcW w:w="992" w:type="dxa"/>
            <w:tcBorders>
              <w:top w:val="nil"/>
              <w:left w:val="nil"/>
              <w:bottom w:val="nil"/>
              <w:right w:val="nil"/>
            </w:tcBorders>
          </w:tcPr>
          <w:p w14:paraId="3B3B23CF"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p>
        </w:tc>
        <w:tc>
          <w:tcPr>
            <w:tcW w:w="992" w:type="dxa"/>
            <w:tcBorders>
              <w:top w:val="nil"/>
              <w:left w:val="nil"/>
              <w:bottom w:val="nil"/>
              <w:right w:val="nil"/>
            </w:tcBorders>
          </w:tcPr>
          <w:p w14:paraId="66D992F7"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p>
        </w:tc>
        <w:tc>
          <w:tcPr>
            <w:tcW w:w="1134" w:type="dxa"/>
            <w:tcBorders>
              <w:top w:val="nil"/>
              <w:left w:val="nil"/>
              <w:bottom w:val="nil"/>
              <w:right w:val="nil"/>
            </w:tcBorders>
          </w:tcPr>
          <w:p w14:paraId="43E7F49B"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p>
        </w:tc>
      </w:tr>
      <w:tr w:rsidR="00EC1DF5" w:rsidRPr="00EC1DF5" w14:paraId="4F50DB19" w14:textId="77777777" w:rsidTr="00453380">
        <w:tc>
          <w:tcPr>
            <w:tcW w:w="1276" w:type="dxa"/>
            <w:gridSpan w:val="2"/>
            <w:tcBorders>
              <w:top w:val="nil"/>
              <w:left w:val="nil"/>
              <w:bottom w:val="nil"/>
              <w:right w:val="nil"/>
            </w:tcBorders>
          </w:tcPr>
          <w:p w14:paraId="70AA217B"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 xml:space="preserve"> </w:t>
            </w:r>
            <w:r w:rsidRPr="00EC1DF5">
              <w:rPr>
                <w:i/>
                <w:color w:val="auto"/>
                <w:sz w:val="18"/>
                <w:szCs w:val="18"/>
              </w:rPr>
              <w:t>BST</w:t>
            </w:r>
          </w:p>
        </w:tc>
        <w:tc>
          <w:tcPr>
            <w:tcW w:w="709" w:type="dxa"/>
            <w:tcBorders>
              <w:top w:val="nil"/>
              <w:left w:val="nil"/>
              <w:bottom w:val="nil"/>
              <w:right w:val="nil"/>
            </w:tcBorders>
          </w:tcPr>
          <w:p w14:paraId="49D354BC"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w:t>
            </w:r>
          </w:p>
        </w:tc>
        <w:tc>
          <w:tcPr>
            <w:tcW w:w="1984" w:type="dxa"/>
            <w:tcBorders>
              <w:top w:val="nil"/>
              <w:left w:val="nil"/>
              <w:bottom w:val="nil"/>
              <w:right w:val="nil"/>
            </w:tcBorders>
          </w:tcPr>
          <w:p w14:paraId="4B667D3F"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0.108***</w:t>
            </w:r>
          </w:p>
        </w:tc>
        <w:tc>
          <w:tcPr>
            <w:tcW w:w="993" w:type="dxa"/>
            <w:tcBorders>
              <w:top w:val="nil"/>
              <w:left w:val="nil"/>
              <w:bottom w:val="nil"/>
              <w:right w:val="nil"/>
            </w:tcBorders>
          </w:tcPr>
          <w:p w14:paraId="35DFC8A2"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p>
        </w:tc>
        <w:tc>
          <w:tcPr>
            <w:tcW w:w="1134" w:type="dxa"/>
            <w:tcBorders>
              <w:top w:val="nil"/>
              <w:left w:val="nil"/>
              <w:bottom w:val="nil"/>
              <w:right w:val="nil"/>
            </w:tcBorders>
          </w:tcPr>
          <w:p w14:paraId="6520B429"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0.159***</w:t>
            </w:r>
          </w:p>
        </w:tc>
        <w:tc>
          <w:tcPr>
            <w:tcW w:w="992" w:type="dxa"/>
            <w:tcBorders>
              <w:top w:val="nil"/>
              <w:left w:val="nil"/>
              <w:bottom w:val="nil"/>
              <w:right w:val="nil"/>
            </w:tcBorders>
          </w:tcPr>
          <w:p w14:paraId="32AC6369"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p>
        </w:tc>
        <w:tc>
          <w:tcPr>
            <w:tcW w:w="992" w:type="dxa"/>
            <w:tcBorders>
              <w:top w:val="nil"/>
              <w:left w:val="nil"/>
              <w:bottom w:val="nil"/>
              <w:right w:val="nil"/>
            </w:tcBorders>
          </w:tcPr>
          <w:p w14:paraId="1A6E76CF"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p>
        </w:tc>
        <w:tc>
          <w:tcPr>
            <w:tcW w:w="1134" w:type="dxa"/>
            <w:tcBorders>
              <w:top w:val="nil"/>
              <w:left w:val="nil"/>
              <w:bottom w:val="nil"/>
              <w:right w:val="nil"/>
            </w:tcBorders>
          </w:tcPr>
          <w:p w14:paraId="1AD09780"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p>
        </w:tc>
      </w:tr>
      <w:tr w:rsidR="00EC1DF5" w:rsidRPr="00EC1DF5" w14:paraId="2738E204" w14:textId="77777777" w:rsidTr="00453380">
        <w:tc>
          <w:tcPr>
            <w:tcW w:w="1276" w:type="dxa"/>
            <w:gridSpan w:val="2"/>
            <w:tcBorders>
              <w:top w:val="nil"/>
              <w:left w:val="nil"/>
              <w:bottom w:val="nil"/>
              <w:right w:val="nil"/>
            </w:tcBorders>
          </w:tcPr>
          <w:p w14:paraId="6BF22080"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 xml:space="preserve">  </w:t>
            </w:r>
          </w:p>
        </w:tc>
        <w:tc>
          <w:tcPr>
            <w:tcW w:w="709" w:type="dxa"/>
            <w:tcBorders>
              <w:top w:val="nil"/>
              <w:left w:val="nil"/>
              <w:bottom w:val="nil"/>
              <w:right w:val="nil"/>
            </w:tcBorders>
          </w:tcPr>
          <w:p w14:paraId="42D5C736"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p>
        </w:tc>
        <w:tc>
          <w:tcPr>
            <w:tcW w:w="1984" w:type="dxa"/>
            <w:tcBorders>
              <w:top w:val="nil"/>
              <w:left w:val="nil"/>
              <w:bottom w:val="nil"/>
              <w:right w:val="nil"/>
            </w:tcBorders>
          </w:tcPr>
          <w:p w14:paraId="1E482E13"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(0.031)</w:t>
            </w:r>
          </w:p>
        </w:tc>
        <w:tc>
          <w:tcPr>
            <w:tcW w:w="993" w:type="dxa"/>
            <w:tcBorders>
              <w:top w:val="nil"/>
              <w:left w:val="nil"/>
              <w:bottom w:val="nil"/>
              <w:right w:val="nil"/>
            </w:tcBorders>
          </w:tcPr>
          <w:p w14:paraId="521C3F01"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p>
        </w:tc>
        <w:tc>
          <w:tcPr>
            <w:tcW w:w="1134" w:type="dxa"/>
            <w:tcBorders>
              <w:top w:val="nil"/>
              <w:left w:val="nil"/>
              <w:bottom w:val="nil"/>
              <w:right w:val="nil"/>
            </w:tcBorders>
          </w:tcPr>
          <w:p w14:paraId="20A9FABB"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(0.034)</w:t>
            </w:r>
          </w:p>
        </w:tc>
        <w:tc>
          <w:tcPr>
            <w:tcW w:w="992" w:type="dxa"/>
            <w:tcBorders>
              <w:top w:val="nil"/>
              <w:left w:val="nil"/>
              <w:bottom w:val="nil"/>
              <w:right w:val="nil"/>
            </w:tcBorders>
          </w:tcPr>
          <w:p w14:paraId="3404AAF5"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p>
        </w:tc>
        <w:tc>
          <w:tcPr>
            <w:tcW w:w="992" w:type="dxa"/>
            <w:tcBorders>
              <w:top w:val="nil"/>
              <w:left w:val="nil"/>
              <w:bottom w:val="nil"/>
              <w:right w:val="nil"/>
            </w:tcBorders>
          </w:tcPr>
          <w:p w14:paraId="321F365F"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p>
        </w:tc>
        <w:tc>
          <w:tcPr>
            <w:tcW w:w="1134" w:type="dxa"/>
            <w:tcBorders>
              <w:top w:val="nil"/>
              <w:left w:val="nil"/>
              <w:bottom w:val="nil"/>
              <w:right w:val="nil"/>
            </w:tcBorders>
          </w:tcPr>
          <w:p w14:paraId="7275AB48"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p>
        </w:tc>
      </w:tr>
      <w:tr w:rsidR="00EC1DF5" w:rsidRPr="00EC1DF5" w14:paraId="08EFD603" w14:textId="77777777" w:rsidTr="00453380">
        <w:tc>
          <w:tcPr>
            <w:tcW w:w="1276" w:type="dxa"/>
            <w:gridSpan w:val="2"/>
            <w:tcBorders>
              <w:top w:val="nil"/>
              <w:left w:val="nil"/>
              <w:bottom w:val="nil"/>
              <w:right w:val="nil"/>
            </w:tcBorders>
          </w:tcPr>
          <w:p w14:paraId="4C438CD8"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 xml:space="preserve"> </w:t>
            </w:r>
            <w:r w:rsidRPr="00EC1DF5">
              <w:rPr>
                <w:i/>
                <w:color w:val="auto"/>
                <w:sz w:val="18"/>
                <w:szCs w:val="18"/>
              </w:rPr>
              <w:t>BC</w:t>
            </w:r>
          </w:p>
        </w:tc>
        <w:tc>
          <w:tcPr>
            <w:tcW w:w="709" w:type="dxa"/>
            <w:tcBorders>
              <w:top w:val="nil"/>
              <w:left w:val="nil"/>
              <w:bottom w:val="nil"/>
              <w:right w:val="nil"/>
            </w:tcBorders>
          </w:tcPr>
          <w:p w14:paraId="567F08B1"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w:t>
            </w:r>
          </w:p>
        </w:tc>
        <w:tc>
          <w:tcPr>
            <w:tcW w:w="1984" w:type="dxa"/>
            <w:tcBorders>
              <w:top w:val="nil"/>
              <w:left w:val="nil"/>
              <w:bottom w:val="nil"/>
              <w:right w:val="nil"/>
            </w:tcBorders>
          </w:tcPr>
          <w:p w14:paraId="627D606A"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0.035*</w:t>
            </w:r>
          </w:p>
        </w:tc>
        <w:tc>
          <w:tcPr>
            <w:tcW w:w="993" w:type="dxa"/>
            <w:tcBorders>
              <w:top w:val="nil"/>
              <w:left w:val="nil"/>
              <w:bottom w:val="nil"/>
              <w:right w:val="nil"/>
            </w:tcBorders>
          </w:tcPr>
          <w:p w14:paraId="7EE8B4D8"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p>
        </w:tc>
        <w:tc>
          <w:tcPr>
            <w:tcW w:w="1134" w:type="dxa"/>
            <w:tcBorders>
              <w:top w:val="nil"/>
              <w:left w:val="nil"/>
              <w:bottom w:val="nil"/>
              <w:right w:val="nil"/>
            </w:tcBorders>
          </w:tcPr>
          <w:p w14:paraId="406EC9B7"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p>
        </w:tc>
        <w:tc>
          <w:tcPr>
            <w:tcW w:w="992" w:type="dxa"/>
            <w:tcBorders>
              <w:top w:val="nil"/>
              <w:left w:val="nil"/>
              <w:bottom w:val="nil"/>
              <w:right w:val="nil"/>
            </w:tcBorders>
          </w:tcPr>
          <w:p w14:paraId="753D4612"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0.063***</w:t>
            </w:r>
          </w:p>
        </w:tc>
        <w:tc>
          <w:tcPr>
            <w:tcW w:w="992" w:type="dxa"/>
            <w:tcBorders>
              <w:top w:val="nil"/>
              <w:left w:val="nil"/>
              <w:bottom w:val="nil"/>
              <w:right w:val="nil"/>
            </w:tcBorders>
          </w:tcPr>
          <w:p w14:paraId="4AB62383"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p>
        </w:tc>
        <w:tc>
          <w:tcPr>
            <w:tcW w:w="1134" w:type="dxa"/>
            <w:tcBorders>
              <w:top w:val="nil"/>
              <w:left w:val="nil"/>
              <w:bottom w:val="nil"/>
              <w:right w:val="nil"/>
            </w:tcBorders>
          </w:tcPr>
          <w:p w14:paraId="487D45E9"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p>
        </w:tc>
      </w:tr>
      <w:tr w:rsidR="00EC1DF5" w:rsidRPr="00EC1DF5" w14:paraId="5254A96C" w14:textId="77777777" w:rsidTr="00453380">
        <w:tc>
          <w:tcPr>
            <w:tcW w:w="1276" w:type="dxa"/>
            <w:gridSpan w:val="2"/>
            <w:tcBorders>
              <w:top w:val="nil"/>
              <w:left w:val="nil"/>
              <w:bottom w:val="nil"/>
              <w:right w:val="nil"/>
            </w:tcBorders>
          </w:tcPr>
          <w:p w14:paraId="73F1E6D0"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 xml:space="preserve">  </w:t>
            </w:r>
          </w:p>
        </w:tc>
        <w:tc>
          <w:tcPr>
            <w:tcW w:w="709" w:type="dxa"/>
            <w:tcBorders>
              <w:top w:val="nil"/>
              <w:left w:val="nil"/>
              <w:bottom w:val="nil"/>
              <w:right w:val="nil"/>
            </w:tcBorders>
          </w:tcPr>
          <w:p w14:paraId="22309C78"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p>
        </w:tc>
        <w:tc>
          <w:tcPr>
            <w:tcW w:w="1984" w:type="dxa"/>
            <w:tcBorders>
              <w:top w:val="nil"/>
              <w:left w:val="nil"/>
              <w:bottom w:val="nil"/>
              <w:right w:val="nil"/>
            </w:tcBorders>
          </w:tcPr>
          <w:p w14:paraId="3DEF7871"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(0.021)</w:t>
            </w:r>
          </w:p>
        </w:tc>
        <w:tc>
          <w:tcPr>
            <w:tcW w:w="993" w:type="dxa"/>
            <w:tcBorders>
              <w:top w:val="nil"/>
              <w:left w:val="nil"/>
              <w:bottom w:val="nil"/>
              <w:right w:val="nil"/>
            </w:tcBorders>
          </w:tcPr>
          <w:p w14:paraId="26EC6084"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p>
        </w:tc>
        <w:tc>
          <w:tcPr>
            <w:tcW w:w="1134" w:type="dxa"/>
            <w:tcBorders>
              <w:top w:val="nil"/>
              <w:left w:val="nil"/>
              <w:bottom w:val="nil"/>
              <w:right w:val="nil"/>
            </w:tcBorders>
          </w:tcPr>
          <w:p w14:paraId="553F7D25"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p>
        </w:tc>
        <w:tc>
          <w:tcPr>
            <w:tcW w:w="992" w:type="dxa"/>
            <w:tcBorders>
              <w:top w:val="nil"/>
              <w:left w:val="nil"/>
              <w:bottom w:val="nil"/>
              <w:right w:val="nil"/>
            </w:tcBorders>
          </w:tcPr>
          <w:p w14:paraId="7FB0E26F"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(0.023)</w:t>
            </w:r>
          </w:p>
        </w:tc>
        <w:tc>
          <w:tcPr>
            <w:tcW w:w="992" w:type="dxa"/>
            <w:tcBorders>
              <w:top w:val="nil"/>
              <w:left w:val="nil"/>
              <w:bottom w:val="nil"/>
              <w:right w:val="nil"/>
            </w:tcBorders>
          </w:tcPr>
          <w:p w14:paraId="3FEBAF0A"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p>
        </w:tc>
        <w:tc>
          <w:tcPr>
            <w:tcW w:w="1134" w:type="dxa"/>
            <w:tcBorders>
              <w:top w:val="nil"/>
              <w:left w:val="nil"/>
              <w:bottom w:val="nil"/>
              <w:right w:val="nil"/>
            </w:tcBorders>
          </w:tcPr>
          <w:p w14:paraId="4FA6F011"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p>
        </w:tc>
      </w:tr>
      <w:tr w:rsidR="00EC1DF5" w:rsidRPr="00EC1DF5" w14:paraId="71B6808E" w14:textId="77777777" w:rsidTr="00453380">
        <w:tc>
          <w:tcPr>
            <w:tcW w:w="1276" w:type="dxa"/>
            <w:gridSpan w:val="2"/>
            <w:tcBorders>
              <w:top w:val="nil"/>
              <w:left w:val="nil"/>
              <w:bottom w:val="nil"/>
              <w:right w:val="nil"/>
            </w:tcBorders>
          </w:tcPr>
          <w:p w14:paraId="14F467A2"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 xml:space="preserve"> </w:t>
            </w:r>
            <w:r w:rsidRPr="00EC1DF5">
              <w:rPr>
                <w:i/>
                <w:color w:val="auto"/>
                <w:sz w:val="18"/>
                <w:szCs w:val="18"/>
              </w:rPr>
              <w:t>BSR</w:t>
            </w:r>
          </w:p>
        </w:tc>
        <w:tc>
          <w:tcPr>
            <w:tcW w:w="709" w:type="dxa"/>
            <w:tcBorders>
              <w:top w:val="nil"/>
              <w:left w:val="nil"/>
              <w:bottom w:val="nil"/>
              <w:right w:val="nil"/>
            </w:tcBorders>
          </w:tcPr>
          <w:p w14:paraId="7F386BB1"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w:t>
            </w:r>
          </w:p>
        </w:tc>
        <w:tc>
          <w:tcPr>
            <w:tcW w:w="1984" w:type="dxa"/>
            <w:tcBorders>
              <w:top w:val="nil"/>
              <w:left w:val="nil"/>
              <w:bottom w:val="nil"/>
              <w:right w:val="nil"/>
            </w:tcBorders>
          </w:tcPr>
          <w:p w14:paraId="32886E32"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0.066***</w:t>
            </w:r>
          </w:p>
        </w:tc>
        <w:tc>
          <w:tcPr>
            <w:tcW w:w="993" w:type="dxa"/>
            <w:tcBorders>
              <w:top w:val="nil"/>
              <w:left w:val="nil"/>
              <w:bottom w:val="nil"/>
              <w:right w:val="nil"/>
            </w:tcBorders>
          </w:tcPr>
          <w:p w14:paraId="36F8489C"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p>
        </w:tc>
        <w:tc>
          <w:tcPr>
            <w:tcW w:w="1134" w:type="dxa"/>
            <w:tcBorders>
              <w:top w:val="nil"/>
              <w:left w:val="nil"/>
              <w:bottom w:val="nil"/>
              <w:right w:val="nil"/>
            </w:tcBorders>
          </w:tcPr>
          <w:p w14:paraId="6E065758"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p>
        </w:tc>
        <w:tc>
          <w:tcPr>
            <w:tcW w:w="992" w:type="dxa"/>
            <w:tcBorders>
              <w:top w:val="nil"/>
              <w:left w:val="nil"/>
              <w:bottom w:val="nil"/>
              <w:right w:val="nil"/>
            </w:tcBorders>
          </w:tcPr>
          <w:p w14:paraId="0451C089"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p>
        </w:tc>
        <w:tc>
          <w:tcPr>
            <w:tcW w:w="992" w:type="dxa"/>
            <w:tcBorders>
              <w:top w:val="nil"/>
              <w:left w:val="nil"/>
              <w:bottom w:val="nil"/>
              <w:right w:val="nil"/>
            </w:tcBorders>
          </w:tcPr>
          <w:p w14:paraId="4F53FB18"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0.092***</w:t>
            </w:r>
          </w:p>
        </w:tc>
        <w:tc>
          <w:tcPr>
            <w:tcW w:w="1134" w:type="dxa"/>
            <w:tcBorders>
              <w:top w:val="nil"/>
              <w:left w:val="nil"/>
              <w:bottom w:val="nil"/>
              <w:right w:val="nil"/>
            </w:tcBorders>
          </w:tcPr>
          <w:p w14:paraId="63D4B1D1"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p>
        </w:tc>
      </w:tr>
      <w:tr w:rsidR="00EC1DF5" w:rsidRPr="00EC1DF5" w14:paraId="426D0DB5" w14:textId="77777777" w:rsidTr="00453380">
        <w:tc>
          <w:tcPr>
            <w:tcW w:w="1276" w:type="dxa"/>
            <w:gridSpan w:val="2"/>
            <w:tcBorders>
              <w:top w:val="nil"/>
              <w:left w:val="nil"/>
              <w:bottom w:val="nil"/>
              <w:right w:val="nil"/>
            </w:tcBorders>
          </w:tcPr>
          <w:p w14:paraId="016EBB6E"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 xml:space="preserve">  </w:t>
            </w:r>
          </w:p>
        </w:tc>
        <w:tc>
          <w:tcPr>
            <w:tcW w:w="709" w:type="dxa"/>
            <w:tcBorders>
              <w:top w:val="nil"/>
              <w:left w:val="nil"/>
              <w:bottom w:val="nil"/>
              <w:right w:val="nil"/>
            </w:tcBorders>
          </w:tcPr>
          <w:p w14:paraId="1019178C"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p>
        </w:tc>
        <w:tc>
          <w:tcPr>
            <w:tcW w:w="1984" w:type="dxa"/>
            <w:tcBorders>
              <w:top w:val="nil"/>
              <w:left w:val="nil"/>
              <w:bottom w:val="nil"/>
              <w:right w:val="nil"/>
            </w:tcBorders>
          </w:tcPr>
          <w:p w14:paraId="2DA90C43"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(0.016)</w:t>
            </w:r>
          </w:p>
        </w:tc>
        <w:tc>
          <w:tcPr>
            <w:tcW w:w="993" w:type="dxa"/>
            <w:tcBorders>
              <w:top w:val="nil"/>
              <w:left w:val="nil"/>
              <w:bottom w:val="nil"/>
              <w:right w:val="nil"/>
            </w:tcBorders>
          </w:tcPr>
          <w:p w14:paraId="4948205F"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p>
        </w:tc>
        <w:tc>
          <w:tcPr>
            <w:tcW w:w="1134" w:type="dxa"/>
            <w:tcBorders>
              <w:top w:val="nil"/>
              <w:left w:val="nil"/>
              <w:bottom w:val="nil"/>
              <w:right w:val="nil"/>
            </w:tcBorders>
          </w:tcPr>
          <w:p w14:paraId="6F0EBD47"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p>
        </w:tc>
        <w:tc>
          <w:tcPr>
            <w:tcW w:w="992" w:type="dxa"/>
            <w:tcBorders>
              <w:top w:val="nil"/>
              <w:left w:val="nil"/>
              <w:bottom w:val="nil"/>
              <w:right w:val="nil"/>
            </w:tcBorders>
          </w:tcPr>
          <w:p w14:paraId="2380505E"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p>
        </w:tc>
        <w:tc>
          <w:tcPr>
            <w:tcW w:w="992" w:type="dxa"/>
            <w:tcBorders>
              <w:top w:val="nil"/>
              <w:left w:val="nil"/>
              <w:bottom w:val="nil"/>
              <w:right w:val="nil"/>
            </w:tcBorders>
          </w:tcPr>
          <w:p w14:paraId="0C97FE7E"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(0.017)</w:t>
            </w:r>
          </w:p>
        </w:tc>
        <w:tc>
          <w:tcPr>
            <w:tcW w:w="1134" w:type="dxa"/>
            <w:tcBorders>
              <w:top w:val="nil"/>
              <w:left w:val="nil"/>
              <w:bottom w:val="nil"/>
              <w:right w:val="nil"/>
            </w:tcBorders>
          </w:tcPr>
          <w:p w14:paraId="3E0AE12B"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p>
        </w:tc>
      </w:tr>
      <w:tr w:rsidR="00EC1DF5" w:rsidRPr="00EC1DF5" w14:paraId="1F222FBA" w14:textId="77777777" w:rsidTr="00453380">
        <w:tc>
          <w:tcPr>
            <w:tcW w:w="1276" w:type="dxa"/>
            <w:gridSpan w:val="2"/>
            <w:tcBorders>
              <w:top w:val="nil"/>
              <w:left w:val="nil"/>
              <w:bottom w:val="nil"/>
              <w:right w:val="nil"/>
            </w:tcBorders>
          </w:tcPr>
          <w:p w14:paraId="6CB39F7C"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 xml:space="preserve"> </w:t>
            </w:r>
            <w:r w:rsidRPr="00EC1DF5">
              <w:rPr>
                <w:i/>
                <w:color w:val="auto"/>
                <w:sz w:val="18"/>
                <w:szCs w:val="18"/>
              </w:rPr>
              <w:t>BSTR</w:t>
            </w:r>
          </w:p>
        </w:tc>
        <w:tc>
          <w:tcPr>
            <w:tcW w:w="709" w:type="dxa"/>
            <w:tcBorders>
              <w:top w:val="nil"/>
              <w:left w:val="nil"/>
              <w:bottom w:val="nil"/>
              <w:right w:val="nil"/>
            </w:tcBorders>
          </w:tcPr>
          <w:p w14:paraId="41FA43DE"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w:t>
            </w:r>
          </w:p>
        </w:tc>
        <w:tc>
          <w:tcPr>
            <w:tcW w:w="1984" w:type="dxa"/>
            <w:tcBorders>
              <w:top w:val="nil"/>
              <w:left w:val="nil"/>
              <w:bottom w:val="nil"/>
              <w:right w:val="nil"/>
            </w:tcBorders>
          </w:tcPr>
          <w:p w14:paraId="390A842D"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0.344***</w:t>
            </w:r>
          </w:p>
        </w:tc>
        <w:tc>
          <w:tcPr>
            <w:tcW w:w="993" w:type="dxa"/>
            <w:tcBorders>
              <w:top w:val="nil"/>
              <w:left w:val="nil"/>
              <w:bottom w:val="nil"/>
              <w:right w:val="nil"/>
            </w:tcBorders>
          </w:tcPr>
          <w:p w14:paraId="637D74BB"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p>
        </w:tc>
        <w:tc>
          <w:tcPr>
            <w:tcW w:w="1134" w:type="dxa"/>
            <w:tcBorders>
              <w:top w:val="nil"/>
              <w:left w:val="nil"/>
              <w:bottom w:val="nil"/>
              <w:right w:val="nil"/>
            </w:tcBorders>
          </w:tcPr>
          <w:p w14:paraId="5EF42796"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p>
        </w:tc>
        <w:tc>
          <w:tcPr>
            <w:tcW w:w="992" w:type="dxa"/>
            <w:tcBorders>
              <w:top w:val="nil"/>
              <w:left w:val="nil"/>
              <w:bottom w:val="nil"/>
              <w:right w:val="nil"/>
            </w:tcBorders>
          </w:tcPr>
          <w:p w14:paraId="579F96C8"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p>
        </w:tc>
        <w:tc>
          <w:tcPr>
            <w:tcW w:w="992" w:type="dxa"/>
            <w:tcBorders>
              <w:top w:val="nil"/>
              <w:left w:val="nil"/>
              <w:bottom w:val="nil"/>
              <w:right w:val="nil"/>
            </w:tcBorders>
          </w:tcPr>
          <w:p w14:paraId="20686913"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p>
        </w:tc>
        <w:tc>
          <w:tcPr>
            <w:tcW w:w="1134" w:type="dxa"/>
            <w:tcBorders>
              <w:top w:val="nil"/>
              <w:left w:val="nil"/>
              <w:bottom w:val="nil"/>
              <w:right w:val="nil"/>
            </w:tcBorders>
          </w:tcPr>
          <w:p w14:paraId="6093BF63"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0.354***</w:t>
            </w:r>
          </w:p>
        </w:tc>
      </w:tr>
      <w:tr w:rsidR="00EC1DF5" w:rsidRPr="00EC1DF5" w14:paraId="70C7C2CB" w14:textId="77777777" w:rsidTr="00453380">
        <w:tc>
          <w:tcPr>
            <w:tcW w:w="1276" w:type="dxa"/>
            <w:gridSpan w:val="2"/>
            <w:tcBorders>
              <w:top w:val="nil"/>
              <w:left w:val="nil"/>
              <w:bottom w:val="nil"/>
              <w:right w:val="nil"/>
            </w:tcBorders>
          </w:tcPr>
          <w:p w14:paraId="7D8DC896"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 xml:space="preserve">  </w:t>
            </w:r>
          </w:p>
        </w:tc>
        <w:tc>
          <w:tcPr>
            <w:tcW w:w="709" w:type="dxa"/>
            <w:tcBorders>
              <w:top w:val="nil"/>
              <w:left w:val="nil"/>
              <w:bottom w:val="nil"/>
              <w:right w:val="nil"/>
            </w:tcBorders>
          </w:tcPr>
          <w:p w14:paraId="4355106A"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p>
        </w:tc>
        <w:tc>
          <w:tcPr>
            <w:tcW w:w="1984" w:type="dxa"/>
            <w:tcBorders>
              <w:top w:val="nil"/>
              <w:left w:val="nil"/>
              <w:bottom w:val="nil"/>
              <w:right w:val="nil"/>
            </w:tcBorders>
          </w:tcPr>
          <w:p w14:paraId="316377F8"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(0.025)</w:t>
            </w:r>
          </w:p>
        </w:tc>
        <w:tc>
          <w:tcPr>
            <w:tcW w:w="993" w:type="dxa"/>
            <w:tcBorders>
              <w:top w:val="nil"/>
              <w:left w:val="nil"/>
              <w:bottom w:val="nil"/>
              <w:right w:val="nil"/>
            </w:tcBorders>
          </w:tcPr>
          <w:p w14:paraId="4FFE272E"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p>
        </w:tc>
        <w:tc>
          <w:tcPr>
            <w:tcW w:w="1134" w:type="dxa"/>
            <w:tcBorders>
              <w:top w:val="nil"/>
              <w:left w:val="nil"/>
              <w:bottom w:val="nil"/>
              <w:right w:val="nil"/>
            </w:tcBorders>
          </w:tcPr>
          <w:p w14:paraId="6431F17E"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p>
        </w:tc>
        <w:tc>
          <w:tcPr>
            <w:tcW w:w="992" w:type="dxa"/>
            <w:tcBorders>
              <w:top w:val="nil"/>
              <w:left w:val="nil"/>
              <w:bottom w:val="nil"/>
              <w:right w:val="nil"/>
            </w:tcBorders>
          </w:tcPr>
          <w:p w14:paraId="6B0A4A2F"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p>
        </w:tc>
        <w:tc>
          <w:tcPr>
            <w:tcW w:w="992" w:type="dxa"/>
            <w:tcBorders>
              <w:top w:val="nil"/>
              <w:left w:val="nil"/>
              <w:bottom w:val="nil"/>
              <w:right w:val="nil"/>
            </w:tcBorders>
          </w:tcPr>
          <w:p w14:paraId="04CCDDFF"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p>
        </w:tc>
        <w:tc>
          <w:tcPr>
            <w:tcW w:w="1134" w:type="dxa"/>
            <w:tcBorders>
              <w:top w:val="nil"/>
              <w:left w:val="nil"/>
              <w:bottom w:val="nil"/>
              <w:right w:val="nil"/>
            </w:tcBorders>
          </w:tcPr>
          <w:p w14:paraId="426D28EC"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(0.025)</w:t>
            </w:r>
          </w:p>
        </w:tc>
      </w:tr>
      <w:tr w:rsidR="00EC1DF5" w:rsidRPr="00EC1DF5" w14:paraId="55930430" w14:textId="77777777" w:rsidTr="00453380">
        <w:tc>
          <w:tcPr>
            <w:tcW w:w="1276" w:type="dxa"/>
            <w:gridSpan w:val="2"/>
            <w:tcBorders>
              <w:top w:val="nil"/>
              <w:left w:val="nil"/>
              <w:bottom w:val="nil"/>
              <w:right w:val="nil"/>
            </w:tcBorders>
          </w:tcPr>
          <w:p w14:paraId="3A88D684"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 xml:space="preserve"> Beta</w:t>
            </w:r>
          </w:p>
        </w:tc>
        <w:tc>
          <w:tcPr>
            <w:tcW w:w="709" w:type="dxa"/>
            <w:tcBorders>
              <w:top w:val="nil"/>
              <w:left w:val="nil"/>
              <w:bottom w:val="nil"/>
              <w:right w:val="nil"/>
            </w:tcBorders>
          </w:tcPr>
          <w:p w14:paraId="2E9A47AB"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w:t>
            </w:r>
          </w:p>
        </w:tc>
        <w:tc>
          <w:tcPr>
            <w:tcW w:w="1984" w:type="dxa"/>
            <w:tcBorders>
              <w:top w:val="nil"/>
              <w:left w:val="nil"/>
              <w:bottom w:val="nil"/>
              <w:right w:val="nil"/>
            </w:tcBorders>
          </w:tcPr>
          <w:p w14:paraId="6FBC2A0F"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0.496</w:t>
            </w:r>
          </w:p>
        </w:tc>
        <w:tc>
          <w:tcPr>
            <w:tcW w:w="993" w:type="dxa"/>
            <w:tcBorders>
              <w:top w:val="nil"/>
              <w:left w:val="nil"/>
              <w:bottom w:val="nil"/>
              <w:right w:val="nil"/>
            </w:tcBorders>
          </w:tcPr>
          <w:p w14:paraId="20A67178"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0.881</w:t>
            </w:r>
          </w:p>
        </w:tc>
        <w:tc>
          <w:tcPr>
            <w:tcW w:w="1134" w:type="dxa"/>
            <w:tcBorders>
              <w:top w:val="nil"/>
              <w:left w:val="nil"/>
              <w:bottom w:val="nil"/>
              <w:right w:val="nil"/>
            </w:tcBorders>
          </w:tcPr>
          <w:p w14:paraId="2C5BD15A"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0.886</w:t>
            </w:r>
          </w:p>
        </w:tc>
        <w:tc>
          <w:tcPr>
            <w:tcW w:w="992" w:type="dxa"/>
            <w:tcBorders>
              <w:top w:val="nil"/>
              <w:left w:val="nil"/>
              <w:bottom w:val="nil"/>
              <w:right w:val="nil"/>
            </w:tcBorders>
          </w:tcPr>
          <w:p w14:paraId="597B2B7B"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0.983</w:t>
            </w:r>
          </w:p>
        </w:tc>
        <w:tc>
          <w:tcPr>
            <w:tcW w:w="992" w:type="dxa"/>
            <w:tcBorders>
              <w:top w:val="nil"/>
              <w:left w:val="nil"/>
              <w:bottom w:val="nil"/>
              <w:right w:val="nil"/>
            </w:tcBorders>
          </w:tcPr>
          <w:p w14:paraId="653FF9F4"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1.015</w:t>
            </w:r>
          </w:p>
        </w:tc>
        <w:tc>
          <w:tcPr>
            <w:tcW w:w="1134" w:type="dxa"/>
            <w:tcBorders>
              <w:top w:val="nil"/>
              <w:left w:val="nil"/>
              <w:bottom w:val="nil"/>
              <w:right w:val="nil"/>
            </w:tcBorders>
          </w:tcPr>
          <w:p w14:paraId="6264F189"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0.569</w:t>
            </w:r>
          </w:p>
        </w:tc>
      </w:tr>
      <w:tr w:rsidR="00EC1DF5" w:rsidRPr="00EC1DF5" w14:paraId="04245724" w14:textId="77777777" w:rsidTr="00453380">
        <w:tc>
          <w:tcPr>
            <w:tcW w:w="1276" w:type="dxa"/>
            <w:gridSpan w:val="2"/>
            <w:tcBorders>
              <w:top w:val="nil"/>
              <w:left w:val="nil"/>
              <w:bottom w:val="nil"/>
              <w:right w:val="nil"/>
            </w:tcBorders>
          </w:tcPr>
          <w:p w14:paraId="0414831A"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 xml:space="preserve">  </w:t>
            </w:r>
          </w:p>
        </w:tc>
        <w:tc>
          <w:tcPr>
            <w:tcW w:w="709" w:type="dxa"/>
            <w:tcBorders>
              <w:top w:val="nil"/>
              <w:left w:val="nil"/>
              <w:bottom w:val="nil"/>
              <w:right w:val="nil"/>
            </w:tcBorders>
          </w:tcPr>
          <w:p w14:paraId="21F631DF"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p>
        </w:tc>
        <w:tc>
          <w:tcPr>
            <w:tcW w:w="1984" w:type="dxa"/>
            <w:tcBorders>
              <w:top w:val="nil"/>
              <w:left w:val="nil"/>
              <w:bottom w:val="nil"/>
              <w:right w:val="nil"/>
            </w:tcBorders>
          </w:tcPr>
          <w:p w14:paraId="7CE3FF0A"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(0.794)</w:t>
            </w:r>
          </w:p>
        </w:tc>
        <w:tc>
          <w:tcPr>
            <w:tcW w:w="993" w:type="dxa"/>
            <w:tcBorders>
              <w:top w:val="nil"/>
              <w:left w:val="nil"/>
              <w:bottom w:val="nil"/>
              <w:right w:val="nil"/>
            </w:tcBorders>
          </w:tcPr>
          <w:p w14:paraId="51BC2A54"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(0.902)</w:t>
            </w:r>
          </w:p>
        </w:tc>
        <w:tc>
          <w:tcPr>
            <w:tcW w:w="1134" w:type="dxa"/>
            <w:tcBorders>
              <w:top w:val="nil"/>
              <w:left w:val="nil"/>
              <w:bottom w:val="nil"/>
              <w:right w:val="nil"/>
            </w:tcBorders>
          </w:tcPr>
          <w:p w14:paraId="3AB0B08F"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(0.896)</w:t>
            </w:r>
          </w:p>
        </w:tc>
        <w:tc>
          <w:tcPr>
            <w:tcW w:w="992" w:type="dxa"/>
            <w:tcBorders>
              <w:top w:val="nil"/>
              <w:left w:val="nil"/>
              <w:bottom w:val="nil"/>
              <w:right w:val="nil"/>
            </w:tcBorders>
          </w:tcPr>
          <w:p w14:paraId="277221D6"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(0.901)</w:t>
            </w:r>
          </w:p>
        </w:tc>
        <w:tc>
          <w:tcPr>
            <w:tcW w:w="992" w:type="dxa"/>
            <w:tcBorders>
              <w:top w:val="nil"/>
              <w:left w:val="nil"/>
              <w:bottom w:val="nil"/>
              <w:right w:val="nil"/>
            </w:tcBorders>
          </w:tcPr>
          <w:p w14:paraId="6088D7F2"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(0.896)</w:t>
            </w:r>
          </w:p>
        </w:tc>
        <w:tc>
          <w:tcPr>
            <w:tcW w:w="1134" w:type="dxa"/>
            <w:tcBorders>
              <w:top w:val="nil"/>
              <w:left w:val="nil"/>
              <w:bottom w:val="nil"/>
              <w:right w:val="nil"/>
            </w:tcBorders>
          </w:tcPr>
          <w:p w14:paraId="7CD14A82"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(0.800)</w:t>
            </w:r>
          </w:p>
        </w:tc>
      </w:tr>
      <w:tr w:rsidR="00EC1DF5" w:rsidRPr="00EC1DF5" w14:paraId="19D1C3B5" w14:textId="77777777" w:rsidTr="00453380">
        <w:tc>
          <w:tcPr>
            <w:tcW w:w="1276" w:type="dxa"/>
            <w:gridSpan w:val="2"/>
            <w:tcBorders>
              <w:top w:val="nil"/>
              <w:left w:val="nil"/>
              <w:bottom w:val="nil"/>
              <w:right w:val="nil"/>
            </w:tcBorders>
          </w:tcPr>
          <w:p w14:paraId="012FA193"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 xml:space="preserve"> Size</w:t>
            </w:r>
          </w:p>
        </w:tc>
        <w:tc>
          <w:tcPr>
            <w:tcW w:w="709" w:type="dxa"/>
            <w:tcBorders>
              <w:top w:val="nil"/>
              <w:left w:val="nil"/>
              <w:bottom w:val="nil"/>
              <w:right w:val="nil"/>
            </w:tcBorders>
          </w:tcPr>
          <w:p w14:paraId="1B563F4C"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w:t>
            </w:r>
          </w:p>
        </w:tc>
        <w:tc>
          <w:tcPr>
            <w:tcW w:w="1984" w:type="dxa"/>
            <w:tcBorders>
              <w:top w:val="nil"/>
              <w:left w:val="nil"/>
              <w:bottom w:val="nil"/>
              <w:right w:val="nil"/>
            </w:tcBorders>
          </w:tcPr>
          <w:p w14:paraId="56C7179B"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2.887***</w:t>
            </w:r>
          </w:p>
        </w:tc>
        <w:tc>
          <w:tcPr>
            <w:tcW w:w="993" w:type="dxa"/>
            <w:tcBorders>
              <w:top w:val="nil"/>
              <w:left w:val="nil"/>
              <w:bottom w:val="nil"/>
              <w:right w:val="nil"/>
            </w:tcBorders>
          </w:tcPr>
          <w:p w14:paraId="2EE18836"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3.821***</w:t>
            </w:r>
          </w:p>
        </w:tc>
        <w:tc>
          <w:tcPr>
            <w:tcW w:w="1134" w:type="dxa"/>
            <w:tcBorders>
              <w:top w:val="nil"/>
              <w:left w:val="nil"/>
              <w:bottom w:val="nil"/>
              <w:right w:val="nil"/>
            </w:tcBorders>
          </w:tcPr>
          <w:p w14:paraId="1D335B2F"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3.743***</w:t>
            </w:r>
          </w:p>
        </w:tc>
        <w:tc>
          <w:tcPr>
            <w:tcW w:w="992" w:type="dxa"/>
            <w:tcBorders>
              <w:top w:val="nil"/>
              <w:left w:val="nil"/>
              <w:bottom w:val="nil"/>
              <w:right w:val="nil"/>
            </w:tcBorders>
          </w:tcPr>
          <w:p w14:paraId="563DCC33"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3.983***</w:t>
            </w:r>
          </w:p>
        </w:tc>
        <w:tc>
          <w:tcPr>
            <w:tcW w:w="992" w:type="dxa"/>
            <w:tcBorders>
              <w:top w:val="nil"/>
              <w:left w:val="nil"/>
              <w:bottom w:val="nil"/>
              <w:right w:val="nil"/>
            </w:tcBorders>
          </w:tcPr>
          <w:p w14:paraId="1BCFAE3A"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3.797***</w:t>
            </w:r>
          </w:p>
        </w:tc>
        <w:tc>
          <w:tcPr>
            <w:tcW w:w="1134" w:type="dxa"/>
            <w:tcBorders>
              <w:top w:val="nil"/>
              <w:left w:val="nil"/>
              <w:bottom w:val="nil"/>
              <w:right w:val="nil"/>
            </w:tcBorders>
          </w:tcPr>
          <w:p w14:paraId="095B978D"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3.073***</w:t>
            </w:r>
          </w:p>
        </w:tc>
      </w:tr>
      <w:tr w:rsidR="00EC1DF5" w:rsidRPr="00EC1DF5" w14:paraId="50E4F04B" w14:textId="77777777" w:rsidTr="00453380">
        <w:tc>
          <w:tcPr>
            <w:tcW w:w="1276" w:type="dxa"/>
            <w:gridSpan w:val="2"/>
            <w:tcBorders>
              <w:top w:val="nil"/>
              <w:left w:val="nil"/>
              <w:bottom w:val="nil"/>
              <w:right w:val="nil"/>
            </w:tcBorders>
          </w:tcPr>
          <w:p w14:paraId="1F4DB52C"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 xml:space="preserve">  </w:t>
            </w:r>
          </w:p>
        </w:tc>
        <w:tc>
          <w:tcPr>
            <w:tcW w:w="709" w:type="dxa"/>
            <w:tcBorders>
              <w:top w:val="nil"/>
              <w:left w:val="nil"/>
              <w:bottom w:val="nil"/>
              <w:right w:val="nil"/>
            </w:tcBorders>
          </w:tcPr>
          <w:p w14:paraId="032C183A"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p>
        </w:tc>
        <w:tc>
          <w:tcPr>
            <w:tcW w:w="1984" w:type="dxa"/>
            <w:tcBorders>
              <w:top w:val="nil"/>
              <w:left w:val="nil"/>
              <w:bottom w:val="nil"/>
              <w:right w:val="nil"/>
            </w:tcBorders>
          </w:tcPr>
          <w:p w14:paraId="4DAA283C"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(0.824)</w:t>
            </w:r>
          </w:p>
        </w:tc>
        <w:tc>
          <w:tcPr>
            <w:tcW w:w="993" w:type="dxa"/>
            <w:tcBorders>
              <w:top w:val="nil"/>
              <w:left w:val="nil"/>
              <w:bottom w:val="nil"/>
              <w:right w:val="nil"/>
            </w:tcBorders>
          </w:tcPr>
          <w:p w14:paraId="13D6645D"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(0.915)</w:t>
            </w:r>
          </w:p>
        </w:tc>
        <w:tc>
          <w:tcPr>
            <w:tcW w:w="1134" w:type="dxa"/>
            <w:tcBorders>
              <w:top w:val="nil"/>
              <w:left w:val="nil"/>
              <w:bottom w:val="nil"/>
              <w:right w:val="nil"/>
            </w:tcBorders>
          </w:tcPr>
          <w:p w14:paraId="22D4F0BF"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(0.909)</w:t>
            </w:r>
          </w:p>
        </w:tc>
        <w:tc>
          <w:tcPr>
            <w:tcW w:w="992" w:type="dxa"/>
            <w:tcBorders>
              <w:top w:val="nil"/>
              <w:left w:val="nil"/>
              <w:bottom w:val="nil"/>
              <w:right w:val="nil"/>
            </w:tcBorders>
          </w:tcPr>
          <w:p w14:paraId="5E248243"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(0.907)</w:t>
            </w:r>
          </w:p>
        </w:tc>
        <w:tc>
          <w:tcPr>
            <w:tcW w:w="992" w:type="dxa"/>
            <w:tcBorders>
              <w:top w:val="nil"/>
              <w:left w:val="nil"/>
              <w:bottom w:val="nil"/>
              <w:right w:val="nil"/>
            </w:tcBorders>
          </w:tcPr>
          <w:p w14:paraId="39A62AFE"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(0.913)</w:t>
            </w:r>
          </w:p>
        </w:tc>
        <w:tc>
          <w:tcPr>
            <w:tcW w:w="1134" w:type="dxa"/>
            <w:tcBorders>
              <w:top w:val="nil"/>
              <w:left w:val="nil"/>
              <w:bottom w:val="nil"/>
              <w:right w:val="nil"/>
            </w:tcBorders>
          </w:tcPr>
          <w:p w14:paraId="36CC2645"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(0.830)</w:t>
            </w:r>
          </w:p>
        </w:tc>
      </w:tr>
      <w:tr w:rsidR="00EC1DF5" w:rsidRPr="00EC1DF5" w14:paraId="14FD4B90" w14:textId="77777777" w:rsidTr="00453380">
        <w:tc>
          <w:tcPr>
            <w:tcW w:w="1276" w:type="dxa"/>
            <w:gridSpan w:val="2"/>
            <w:tcBorders>
              <w:top w:val="nil"/>
              <w:left w:val="nil"/>
              <w:bottom w:val="nil"/>
              <w:right w:val="nil"/>
            </w:tcBorders>
          </w:tcPr>
          <w:p w14:paraId="79E3552B"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 xml:space="preserve"> R &amp;D</w:t>
            </w:r>
          </w:p>
        </w:tc>
        <w:tc>
          <w:tcPr>
            <w:tcW w:w="709" w:type="dxa"/>
            <w:tcBorders>
              <w:top w:val="nil"/>
              <w:left w:val="nil"/>
              <w:bottom w:val="nil"/>
              <w:right w:val="nil"/>
            </w:tcBorders>
          </w:tcPr>
          <w:p w14:paraId="2147505A"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w:t>
            </w:r>
          </w:p>
        </w:tc>
        <w:tc>
          <w:tcPr>
            <w:tcW w:w="1984" w:type="dxa"/>
            <w:tcBorders>
              <w:top w:val="nil"/>
              <w:left w:val="nil"/>
              <w:bottom w:val="nil"/>
              <w:right w:val="nil"/>
            </w:tcBorders>
          </w:tcPr>
          <w:p w14:paraId="47E25EBE"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-0.021**</w:t>
            </w:r>
          </w:p>
        </w:tc>
        <w:tc>
          <w:tcPr>
            <w:tcW w:w="993" w:type="dxa"/>
            <w:tcBorders>
              <w:top w:val="nil"/>
              <w:left w:val="nil"/>
              <w:bottom w:val="nil"/>
              <w:right w:val="nil"/>
            </w:tcBorders>
          </w:tcPr>
          <w:p w14:paraId="525974E4"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-0.016</w:t>
            </w:r>
          </w:p>
        </w:tc>
        <w:tc>
          <w:tcPr>
            <w:tcW w:w="1134" w:type="dxa"/>
            <w:tcBorders>
              <w:top w:val="nil"/>
              <w:left w:val="nil"/>
              <w:bottom w:val="nil"/>
              <w:right w:val="nil"/>
            </w:tcBorders>
          </w:tcPr>
          <w:p w14:paraId="4CE62ED0"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-0.013</w:t>
            </w:r>
          </w:p>
        </w:tc>
        <w:tc>
          <w:tcPr>
            <w:tcW w:w="992" w:type="dxa"/>
            <w:tcBorders>
              <w:top w:val="nil"/>
              <w:left w:val="nil"/>
              <w:bottom w:val="nil"/>
              <w:right w:val="nil"/>
            </w:tcBorders>
          </w:tcPr>
          <w:p w14:paraId="359EAF30"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-0.014</w:t>
            </w:r>
          </w:p>
        </w:tc>
        <w:tc>
          <w:tcPr>
            <w:tcW w:w="992" w:type="dxa"/>
            <w:tcBorders>
              <w:top w:val="nil"/>
              <w:left w:val="nil"/>
              <w:bottom w:val="nil"/>
              <w:right w:val="nil"/>
            </w:tcBorders>
          </w:tcPr>
          <w:p w14:paraId="23B3A52C"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-0.017</w:t>
            </w:r>
          </w:p>
        </w:tc>
        <w:tc>
          <w:tcPr>
            <w:tcW w:w="1134" w:type="dxa"/>
            <w:tcBorders>
              <w:top w:val="nil"/>
              <w:left w:val="nil"/>
              <w:bottom w:val="nil"/>
              <w:right w:val="nil"/>
            </w:tcBorders>
          </w:tcPr>
          <w:p w14:paraId="3DD44F91"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-0.022**</w:t>
            </w:r>
          </w:p>
        </w:tc>
      </w:tr>
      <w:tr w:rsidR="00EC1DF5" w:rsidRPr="00EC1DF5" w14:paraId="7DAC27FE" w14:textId="77777777" w:rsidTr="00453380">
        <w:tc>
          <w:tcPr>
            <w:tcW w:w="1276" w:type="dxa"/>
            <w:gridSpan w:val="2"/>
            <w:tcBorders>
              <w:top w:val="nil"/>
              <w:left w:val="nil"/>
              <w:bottom w:val="nil"/>
              <w:right w:val="nil"/>
            </w:tcBorders>
          </w:tcPr>
          <w:p w14:paraId="54489DA4"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 xml:space="preserve">  </w:t>
            </w:r>
          </w:p>
        </w:tc>
        <w:tc>
          <w:tcPr>
            <w:tcW w:w="709" w:type="dxa"/>
            <w:tcBorders>
              <w:top w:val="nil"/>
              <w:left w:val="nil"/>
              <w:bottom w:val="nil"/>
              <w:right w:val="nil"/>
            </w:tcBorders>
          </w:tcPr>
          <w:p w14:paraId="00D47D9D"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p>
        </w:tc>
        <w:tc>
          <w:tcPr>
            <w:tcW w:w="1984" w:type="dxa"/>
            <w:tcBorders>
              <w:top w:val="nil"/>
              <w:left w:val="nil"/>
              <w:bottom w:val="nil"/>
              <w:right w:val="nil"/>
            </w:tcBorders>
          </w:tcPr>
          <w:p w14:paraId="72E3AC20"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(0.010)</w:t>
            </w:r>
          </w:p>
        </w:tc>
        <w:tc>
          <w:tcPr>
            <w:tcW w:w="993" w:type="dxa"/>
            <w:tcBorders>
              <w:top w:val="nil"/>
              <w:left w:val="nil"/>
              <w:bottom w:val="nil"/>
              <w:right w:val="nil"/>
            </w:tcBorders>
          </w:tcPr>
          <w:p w14:paraId="234F3B64"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(0.011)</w:t>
            </w:r>
          </w:p>
        </w:tc>
        <w:tc>
          <w:tcPr>
            <w:tcW w:w="1134" w:type="dxa"/>
            <w:tcBorders>
              <w:top w:val="nil"/>
              <w:left w:val="nil"/>
              <w:bottom w:val="nil"/>
              <w:right w:val="nil"/>
            </w:tcBorders>
          </w:tcPr>
          <w:p w14:paraId="31A642C5"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(0.012)</w:t>
            </w:r>
          </w:p>
        </w:tc>
        <w:tc>
          <w:tcPr>
            <w:tcW w:w="992" w:type="dxa"/>
            <w:tcBorders>
              <w:top w:val="nil"/>
              <w:left w:val="nil"/>
              <w:bottom w:val="nil"/>
              <w:right w:val="nil"/>
            </w:tcBorders>
          </w:tcPr>
          <w:p w14:paraId="525C586E"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(0.012)</w:t>
            </w:r>
          </w:p>
        </w:tc>
        <w:tc>
          <w:tcPr>
            <w:tcW w:w="992" w:type="dxa"/>
            <w:tcBorders>
              <w:top w:val="nil"/>
              <w:left w:val="nil"/>
              <w:bottom w:val="nil"/>
              <w:right w:val="nil"/>
            </w:tcBorders>
          </w:tcPr>
          <w:p w14:paraId="3BB95E23"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(0.013)</w:t>
            </w:r>
          </w:p>
        </w:tc>
        <w:tc>
          <w:tcPr>
            <w:tcW w:w="1134" w:type="dxa"/>
            <w:tcBorders>
              <w:top w:val="nil"/>
              <w:left w:val="nil"/>
              <w:bottom w:val="nil"/>
              <w:right w:val="nil"/>
            </w:tcBorders>
          </w:tcPr>
          <w:p w14:paraId="515D26F3"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(0.009)</w:t>
            </w:r>
          </w:p>
        </w:tc>
      </w:tr>
      <w:tr w:rsidR="00EC1DF5" w:rsidRPr="00EC1DF5" w14:paraId="4F5017CD" w14:textId="77777777" w:rsidTr="00453380">
        <w:tc>
          <w:tcPr>
            <w:tcW w:w="1276" w:type="dxa"/>
            <w:gridSpan w:val="2"/>
            <w:tcBorders>
              <w:top w:val="nil"/>
              <w:left w:val="nil"/>
              <w:bottom w:val="nil"/>
              <w:right w:val="nil"/>
            </w:tcBorders>
          </w:tcPr>
          <w:p w14:paraId="508734CE"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 xml:space="preserve"> Capex</w:t>
            </w:r>
          </w:p>
        </w:tc>
        <w:tc>
          <w:tcPr>
            <w:tcW w:w="709" w:type="dxa"/>
            <w:tcBorders>
              <w:top w:val="nil"/>
              <w:left w:val="nil"/>
              <w:bottom w:val="nil"/>
              <w:right w:val="nil"/>
            </w:tcBorders>
          </w:tcPr>
          <w:p w14:paraId="6E01B4A6"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w:t>
            </w:r>
          </w:p>
        </w:tc>
        <w:tc>
          <w:tcPr>
            <w:tcW w:w="1984" w:type="dxa"/>
            <w:tcBorders>
              <w:top w:val="nil"/>
              <w:left w:val="nil"/>
              <w:bottom w:val="nil"/>
              <w:right w:val="nil"/>
            </w:tcBorders>
          </w:tcPr>
          <w:p w14:paraId="527C4122"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0.405*</w:t>
            </w:r>
          </w:p>
        </w:tc>
        <w:tc>
          <w:tcPr>
            <w:tcW w:w="993" w:type="dxa"/>
            <w:tcBorders>
              <w:top w:val="nil"/>
              <w:left w:val="nil"/>
              <w:bottom w:val="nil"/>
              <w:right w:val="nil"/>
            </w:tcBorders>
          </w:tcPr>
          <w:p w14:paraId="03DBA6DF"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0.369</w:t>
            </w:r>
          </w:p>
        </w:tc>
        <w:tc>
          <w:tcPr>
            <w:tcW w:w="1134" w:type="dxa"/>
            <w:tcBorders>
              <w:top w:val="nil"/>
              <w:left w:val="nil"/>
              <w:bottom w:val="nil"/>
              <w:right w:val="nil"/>
            </w:tcBorders>
          </w:tcPr>
          <w:p w14:paraId="1C9D739C"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0.379*</w:t>
            </w:r>
          </w:p>
        </w:tc>
        <w:tc>
          <w:tcPr>
            <w:tcW w:w="992" w:type="dxa"/>
            <w:tcBorders>
              <w:top w:val="nil"/>
              <w:left w:val="nil"/>
              <w:bottom w:val="nil"/>
              <w:right w:val="nil"/>
            </w:tcBorders>
          </w:tcPr>
          <w:p w14:paraId="5F68DCCB"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0.306</w:t>
            </w:r>
          </w:p>
        </w:tc>
        <w:tc>
          <w:tcPr>
            <w:tcW w:w="992" w:type="dxa"/>
            <w:tcBorders>
              <w:top w:val="nil"/>
              <w:left w:val="nil"/>
              <w:bottom w:val="nil"/>
              <w:right w:val="nil"/>
            </w:tcBorders>
          </w:tcPr>
          <w:p w14:paraId="54EB4FA1"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0.319</w:t>
            </w:r>
          </w:p>
        </w:tc>
        <w:tc>
          <w:tcPr>
            <w:tcW w:w="1134" w:type="dxa"/>
            <w:tcBorders>
              <w:top w:val="nil"/>
              <w:left w:val="nil"/>
              <w:bottom w:val="nil"/>
              <w:right w:val="nil"/>
            </w:tcBorders>
          </w:tcPr>
          <w:p w14:paraId="625AC54D"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0.286</w:t>
            </w:r>
          </w:p>
        </w:tc>
      </w:tr>
      <w:tr w:rsidR="00EC1DF5" w:rsidRPr="00EC1DF5" w14:paraId="3C6A6041" w14:textId="77777777" w:rsidTr="00453380">
        <w:tc>
          <w:tcPr>
            <w:tcW w:w="1276" w:type="dxa"/>
            <w:gridSpan w:val="2"/>
            <w:tcBorders>
              <w:top w:val="nil"/>
              <w:left w:val="nil"/>
              <w:bottom w:val="nil"/>
              <w:right w:val="nil"/>
            </w:tcBorders>
          </w:tcPr>
          <w:p w14:paraId="4EAE04D7"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 xml:space="preserve">  </w:t>
            </w:r>
          </w:p>
        </w:tc>
        <w:tc>
          <w:tcPr>
            <w:tcW w:w="709" w:type="dxa"/>
            <w:tcBorders>
              <w:top w:val="nil"/>
              <w:left w:val="nil"/>
              <w:bottom w:val="nil"/>
              <w:right w:val="nil"/>
            </w:tcBorders>
          </w:tcPr>
          <w:p w14:paraId="04FC7F21"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p>
        </w:tc>
        <w:tc>
          <w:tcPr>
            <w:tcW w:w="1984" w:type="dxa"/>
            <w:tcBorders>
              <w:top w:val="nil"/>
              <w:left w:val="nil"/>
              <w:bottom w:val="nil"/>
              <w:right w:val="nil"/>
            </w:tcBorders>
          </w:tcPr>
          <w:p w14:paraId="65A5D25A"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(0.225)</w:t>
            </w:r>
          </w:p>
        </w:tc>
        <w:tc>
          <w:tcPr>
            <w:tcW w:w="993" w:type="dxa"/>
            <w:tcBorders>
              <w:top w:val="nil"/>
              <w:left w:val="nil"/>
              <w:bottom w:val="nil"/>
              <w:right w:val="nil"/>
            </w:tcBorders>
          </w:tcPr>
          <w:p w14:paraId="2583BDD5"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(0.225)</w:t>
            </w:r>
          </w:p>
        </w:tc>
        <w:tc>
          <w:tcPr>
            <w:tcW w:w="1134" w:type="dxa"/>
            <w:tcBorders>
              <w:top w:val="nil"/>
              <w:left w:val="nil"/>
              <w:bottom w:val="nil"/>
              <w:right w:val="nil"/>
            </w:tcBorders>
          </w:tcPr>
          <w:p w14:paraId="4A1666E0"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(0.224)</w:t>
            </w:r>
          </w:p>
        </w:tc>
        <w:tc>
          <w:tcPr>
            <w:tcW w:w="992" w:type="dxa"/>
            <w:tcBorders>
              <w:top w:val="nil"/>
              <w:left w:val="nil"/>
              <w:bottom w:val="nil"/>
              <w:right w:val="nil"/>
            </w:tcBorders>
          </w:tcPr>
          <w:p w14:paraId="587578B0"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(0.224)</w:t>
            </w:r>
          </w:p>
        </w:tc>
        <w:tc>
          <w:tcPr>
            <w:tcW w:w="992" w:type="dxa"/>
            <w:tcBorders>
              <w:top w:val="nil"/>
              <w:left w:val="nil"/>
              <w:bottom w:val="nil"/>
              <w:right w:val="nil"/>
            </w:tcBorders>
          </w:tcPr>
          <w:p w14:paraId="2DA3E58F"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(0.207)</w:t>
            </w:r>
          </w:p>
        </w:tc>
        <w:tc>
          <w:tcPr>
            <w:tcW w:w="1134" w:type="dxa"/>
            <w:tcBorders>
              <w:top w:val="nil"/>
              <w:left w:val="nil"/>
              <w:bottom w:val="nil"/>
              <w:right w:val="nil"/>
            </w:tcBorders>
          </w:tcPr>
          <w:p w14:paraId="03AA6ED4"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(0.206)</w:t>
            </w:r>
          </w:p>
        </w:tc>
      </w:tr>
      <w:tr w:rsidR="00EC1DF5" w:rsidRPr="00EC1DF5" w14:paraId="6E796CDF" w14:textId="77777777" w:rsidTr="00453380">
        <w:tc>
          <w:tcPr>
            <w:tcW w:w="1276" w:type="dxa"/>
            <w:gridSpan w:val="2"/>
            <w:tcBorders>
              <w:top w:val="nil"/>
              <w:left w:val="nil"/>
              <w:bottom w:val="nil"/>
              <w:right w:val="nil"/>
            </w:tcBorders>
          </w:tcPr>
          <w:p w14:paraId="57FB8204"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 xml:space="preserve"> Slack</w:t>
            </w:r>
          </w:p>
        </w:tc>
        <w:tc>
          <w:tcPr>
            <w:tcW w:w="709" w:type="dxa"/>
            <w:tcBorders>
              <w:top w:val="nil"/>
              <w:left w:val="nil"/>
              <w:bottom w:val="nil"/>
              <w:right w:val="nil"/>
            </w:tcBorders>
          </w:tcPr>
          <w:p w14:paraId="66B7BC93"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w:t>
            </w:r>
          </w:p>
        </w:tc>
        <w:tc>
          <w:tcPr>
            <w:tcW w:w="1984" w:type="dxa"/>
            <w:tcBorders>
              <w:top w:val="nil"/>
              <w:left w:val="nil"/>
              <w:bottom w:val="nil"/>
              <w:right w:val="nil"/>
            </w:tcBorders>
          </w:tcPr>
          <w:p w14:paraId="31CA4D89"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-0.387</w:t>
            </w:r>
          </w:p>
        </w:tc>
        <w:tc>
          <w:tcPr>
            <w:tcW w:w="993" w:type="dxa"/>
            <w:tcBorders>
              <w:top w:val="nil"/>
              <w:left w:val="nil"/>
              <w:bottom w:val="nil"/>
              <w:right w:val="nil"/>
            </w:tcBorders>
          </w:tcPr>
          <w:p w14:paraId="390D5D75"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-0.321</w:t>
            </w:r>
          </w:p>
        </w:tc>
        <w:tc>
          <w:tcPr>
            <w:tcW w:w="1134" w:type="dxa"/>
            <w:tcBorders>
              <w:top w:val="nil"/>
              <w:left w:val="nil"/>
              <w:bottom w:val="nil"/>
              <w:right w:val="nil"/>
            </w:tcBorders>
          </w:tcPr>
          <w:p w14:paraId="50C71F6E"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-0.411</w:t>
            </w:r>
          </w:p>
        </w:tc>
        <w:tc>
          <w:tcPr>
            <w:tcW w:w="992" w:type="dxa"/>
            <w:tcBorders>
              <w:top w:val="nil"/>
              <w:left w:val="nil"/>
              <w:bottom w:val="nil"/>
              <w:right w:val="nil"/>
            </w:tcBorders>
          </w:tcPr>
          <w:p w14:paraId="020D9535"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-0.304</w:t>
            </w:r>
          </w:p>
        </w:tc>
        <w:tc>
          <w:tcPr>
            <w:tcW w:w="992" w:type="dxa"/>
            <w:tcBorders>
              <w:top w:val="nil"/>
              <w:left w:val="nil"/>
              <w:bottom w:val="nil"/>
              <w:right w:val="nil"/>
            </w:tcBorders>
          </w:tcPr>
          <w:p w14:paraId="5E21C85A"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-0.189</w:t>
            </w:r>
          </w:p>
        </w:tc>
        <w:tc>
          <w:tcPr>
            <w:tcW w:w="1134" w:type="dxa"/>
            <w:tcBorders>
              <w:top w:val="nil"/>
              <w:left w:val="nil"/>
              <w:bottom w:val="nil"/>
              <w:right w:val="nil"/>
            </w:tcBorders>
          </w:tcPr>
          <w:p w14:paraId="51100415"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-0.414</w:t>
            </w:r>
          </w:p>
        </w:tc>
      </w:tr>
      <w:tr w:rsidR="00EC1DF5" w:rsidRPr="00EC1DF5" w14:paraId="34FD500B" w14:textId="77777777" w:rsidTr="00453380">
        <w:tc>
          <w:tcPr>
            <w:tcW w:w="1276" w:type="dxa"/>
            <w:gridSpan w:val="2"/>
            <w:tcBorders>
              <w:top w:val="nil"/>
              <w:left w:val="nil"/>
              <w:bottom w:val="nil"/>
              <w:right w:val="nil"/>
            </w:tcBorders>
          </w:tcPr>
          <w:p w14:paraId="43529FA5"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 xml:space="preserve">  </w:t>
            </w:r>
          </w:p>
        </w:tc>
        <w:tc>
          <w:tcPr>
            <w:tcW w:w="709" w:type="dxa"/>
            <w:tcBorders>
              <w:top w:val="nil"/>
              <w:left w:val="nil"/>
              <w:bottom w:val="nil"/>
              <w:right w:val="nil"/>
            </w:tcBorders>
          </w:tcPr>
          <w:p w14:paraId="53C367DD"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p>
        </w:tc>
        <w:tc>
          <w:tcPr>
            <w:tcW w:w="1984" w:type="dxa"/>
            <w:tcBorders>
              <w:top w:val="nil"/>
              <w:left w:val="nil"/>
              <w:bottom w:val="nil"/>
              <w:right w:val="nil"/>
            </w:tcBorders>
          </w:tcPr>
          <w:p w14:paraId="0A746AD8"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(0.648)</w:t>
            </w:r>
          </w:p>
        </w:tc>
        <w:tc>
          <w:tcPr>
            <w:tcW w:w="993" w:type="dxa"/>
            <w:tcBorders>
              <w:top w:val="nil"/>
              <w:left w:val="nil"/>
              <w:bottom w:val="nil"/>
              <w:right w:val="nil"/>
            </w:tcBorders>
          </w:tcPr>
          <w:p w14:paraId="2F33A6FA"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(0.702)</w:t>
            </w:r>
          </w:p>
        </w:tc>
        <w:tc>
          <w:tcPr>
            <w:tcW w:w="1134" w:type="dxa"/>
            <w:tcBorders>
              <w:top w:val="nil"/>
              <w:left w:val="nil"/>
              <w:bottom w:val="nil"/>
              <w:right w:val="nil"/>
            </w:tcBorders>
          </w:tcPr>
          <w:p w14:paraId="6B999BBC"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(0.690)</w:t>
            </w:r>
          </w:p>
        </w:tc>
        <w:tc>
          <w:tcPr>
            <w:tcW w:w="992" w:type="dxa"/>
            <w:tcBorders>
              <w:top w:val="nil"/>
              <w:left w:val="nil"/>
              <w:bottom w:val="nil"/>
              <w:right w:val="nil"/>
            </w:tcBorders>
          </w:tcPr>
          <w:p w14:paraId="7EF8701B"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(0.701)</w:t>
            </w:r>
          </w:p>
        </w:tc>
        <w:tc>
          <w:tcPr>
            <w:tcW w:w="992" w:type="dxa"/>
            <w:tcBorders>
              <w:top w:val="nil"/>
              <w:left w:val="nil"/>
              <w:bottom w:val="nil"/>
              <w:right w:val="nil"/>
            </w:tcBorders>
          </w:tcPr>
          <w:p w14:paraId="1BF1C2E8"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(0.698)</w:t>
            </w:r>
          </w:p>
        </w:tc>
        <w:tc>
          <w:tcPr>
            <w:tcW w:w="1134" w:type="dxa"/>
            <w:tcBorders>
              <w:top w:val="nil"/>
              <w:left w:val="nil"/>
              <w:bottom w:val="nil"/>
              <w:right w:val="nil"/>
            </w:tcBorders>
          </w:tcPr>
          <w:p w14:paraId="24CF04F1"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(0.659)</w:t>
            </w:r>
          </w:p>
        </w:tc>
      </w:tr>
      <w:tr w:rsidR="00EC1DF5" w:rsidRPr="00EC1DF5" w14:paraId="51889AFA" w14:textId="77777777" w:rsidTr="00453380">
        <w:tc>
          <w:tcPr>
            <w:tcW w:w="1276" w:type="dxa"/>
            <w:gridSpan w:val="2"/>
            <w:tcBorders>
              <w:top w:val="nil"/>
              <w:left w:val="nil"/>
              <w:bottom w:val="nil"/>
              <w:right w:val="nil"/>
            </w:tcBorders>
          </w:tcPr>
          <w:p w14:paraId="74F47C33"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 xml:space="preserve"> Growth</w:t>
            </w:r>
          </w:p>
        </w:tc>
        <w:tc>
          <w:tcPr>
            <w:tcW w:w="709" w:type="dxa"/>
            <w:tcBorders>
              <w:top w:val="nil"/>
              <w:left w:val="nil"/>
              <w:bottom w:val="nil"/>
              <w:right w:val="nil"/>
            </w:tcBorders>
          </w:tcPr>
          <w:p w14:paraId="624DB84C"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w:t>
            </w:r>
          </w:p>
        </w:tc>
        <w:tc>
          <w:tcPr>
            <w:tcW w:w="1984" w:type="dxa"/>
            <w:tcBorders>
              <w:top w:val="nil"/>
              <w:left w:val="nil"/>
              <w:bottom w:val="nil"/>
              <w:right w:val="nil"/>
            </w:tcBorders>
          </w:tcPr>
          <w:p w14:paraId="5AA41A8B"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-0.002</w:t>
            </w:r>
          </w:p>
        </w:tc>
        <w:tc>
          <w:tcPr>
            <w:tcW w:w="993" w:type="dxa"/>
            <w:tcBorders>
              <w:top w:val="nil"/>
              <w:left w:val="nil"/>
              <w:bottom w:val="nil"/>
              <w:right w:val="nil"/>
            </w:tcBorders>
          </w:tcPr>
          <w:p w14:paraId="649B25A7"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-0.016</w:t>
            </w:r>
          </w:p>
        </w:tc>
        <w:tc>
          <w:tcPr>
            <w:tcW w:w="1134" w:type="dxa"/>
            <w:tcBorders>
              <w:top w:val="nil"/>
              <w:left w:val="nil"/>
              <w:bottom w:val="nil"/>
              <w:right w:val="nil"/>
            </w:tcBorders>
          </w:tcPr>
          <w:p w14:paraId="2F006BBC"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-0.011</w:t>
            </w:r>
          </w:p>
        </w:tc>
        <w:tc>
          <w:tcPr>
            <w:tcW w:w="992" w:type="dxa"/>
            <w:tcBorders>
              <w:top w:val="nil"/>
              <w:left w:val="nil"/>
              <w:bottom w:val="nil"/>
              <w:right w:val="nil"/>
            </w:tcBorders>
          </w:tcPr>
          <w:p w14:paraId="3E31CCA3"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-0.014</w:t>
            </w:r>
          </w:p>
        </w:tc>
        <w:tc>
          <w:tcPr>
            <w:tcW w:w="992" w:type="dxa"/>
            <w:tcBorders>
              <w:top w:val="nil"/>
              <w:left w:val="nil"/>
              <w:bottom w:val="nil"/>
              <w:right w:val="nil"/>
            </w:tcBorders>
          </w:tcPr>
          <w:p w14:paraId="17844BAE"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-0.013</w:t>
            </w:r>
          </w:p>
        </w:tc>
        <w:tc>
          <w:tcPr>
            <w:tcW w:w="1134" w:type="dxa"/>
            <w:tcBorders>
              <w:top w:val="nil"/>
              <w:left w:val="nil"/>
              <w:bottom w:val="nil"/>
              <w:right w:val="nil"/>
            </w:tcBorders>
          </w:tcPr>
          <w:p w14:paraId="49580A1B"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-0.006</w:t>
            </w:r>
          </w:p>
        </w:tc>
      </w:tr>
      <w:tr w:rsidR="00EC1DF5" w:rsidRPr="00EC1DF5" w14:paraId="6EFC7C24" w14:textId="77777777" w:rsidTr="00453380">
        <w:tc>
          <w:tcPr>
            <w:tcW w:w="1276" w:type="dxa"/>
            <w:gridSpan w:val="2"/>
            <w:tcBorders>
              <w:top w:val="nil"/>
              <w:left w:val="nil"/>
              <w:bottom w:val="nil"/>
              <w:right w:val="nil"/>
            </w:tcBorders>
          </w:tcPr>
          <w:p w14:paraId="00AE5B9D"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 xml:space="preserve">  </w:t>
            </w:r>
          </w:p>
        </w:tc>
        <w:tc>
          <w:tcPr>
            <w:tcW w:w="709" w:type="dxa"/>
            <w:tcBorders>
              <w:top w:val="nil"/>
              <w:left w:val="nil"/>
              <w:bottom w:val="nil"/>
              <w:right w:val="nil"/>
            </w:tcBorders>
          </w:tcPr>
          <w:p w14:paraId="3BFD5400"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p>
        </w:tc>
        <w:tc>
          <w:tcPr>
            <w:tcW w:w="1984" w:type="dxa"/>
            <w:tcBorders>
              <w:top w:val="nil"/>
              <w:left w:val="nil"/>
              <w:bottom w:val="nil"/>
              <w:right w:val="nil"/>
            </w:tcBorders>
          </w:tcPr>
          <w:p w14:paraId="008C6629"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(0.020)</w:t>
            </w:r>
          </w:p>
        </w:tc>
        <w:tc>
          <w:tcPr>
            <w:tcW w:w="993" w:type="dxa"/>
            <w:tcBorders>
              <w:top w:val="nil"/>
              <w:left w:val="nil"/>
              <w:bottom w:val="nil"/>
              <w:right w:val="nil"/>
            </w:tcBorders>
          </w:tcPr>
          <w:p w14:paraId="2537EFE3"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(0.022)</w:t>
            </w:r>
          </w:p>
        </w:tc>
        <w:tc>
          <w:tcPr>
            <w:tcW w:w="1134" w:type="dxa"/>
            <w:tcBorders>
              <w:top w:val="nil"/>
              <w:left w:val="nil"/>
              <w:bottom w:val="nil"/>
              <w:right w:val="nil"/>
            </w:tcBorders>
          </w:tcPr>
          <w:p w14:paraId="6DFAABC2"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(0.022)</w:t>
            </w:r>
          </w:p>
        </w:tc>
        <w:tc>
          <w:tcPr>
            <w:tcW w:w="992" w:type="dxa"/>
            <w:tcBorders>
              <w:top w:val="nil"/>
              <w:left w:val="nil"/>
              <w:bottom w:val="nil"/>
              <w:right w:val="nil"/>
            </w:tcBorders>
          </w:tcPr>
          <w:p w14:paraId="449C2414"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(0.022)</w:t>
            </w:r>
          </w:p>
        </w:tc>
        <w:tc>
          <w:tcPr>
            <w:tcW w:w="992" w:type="dxa"/>
            <w:tcBorders>
              <w:top w:val="nil"/>
              <w:left w:val="nil"/>
              <w:bottom w:val="nil"/>
              <w:right w:val="nil"/>
            </w:tcBorders>
          </w:tcPr>
          <w:p w14:paraId="3520F965"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(0.022)</w:t>
            </w:r>
          </w:p>
        </w:tc>
        <w:tc>
          <w:tcPr>
            <w:tcW w:w="1134" w:type="dxa"/>
            <w:tcBorders>
              <w:top w:val="nil"/>
              <w:left w:val="nil"/>
              <w:bottom w:val="nil"/>
              <w:right w:val="nil"/>
            </w:tcBorders>
          </w:tcPr>
          <w:p w14:paraId="4D0C6145"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(0.020)</w:t>
            </w:r>
          </w:p>
        </w:tc>
      </w:tr>
      <w:tr w:rsidR="00EC1DF5" w:rsidRPr="00EC1DF5" w14:paraId="2CC14107" w14:textId="77777777" w:rsidTr="00453380">
        <w:tc>
          <w:tcPr>
            <w:tcW w:w="1276" w:type="dxa"/>
            <w:gridSpan w:val="2"/>
            <w:tcBorders>
              <w:top w:val="nil"/>
              <w:left w:val="nil"/>
              <w:bottom w:val="nil"/>
              <w:right w:val="nil"/>
            </w:tcBorders>
          </w:tcPr>
          <w:p w14:paraId="67335661"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 xml:space="preserve"> Leverage</w:t>
            </w:r>
          </w:p>
        </w:tc>
        <w:tc>
          <w:tcPr>
            <w:tcW w:w="709" w:type="dxa"/>
            <w:tcBorders>
              <w:top w:val="nil"/>
              <w:left w:val="nil"/>
              <w:bottom w:val="nil"/>
              <w:right w:val="nil"/>
            </w:tcBorders>
          </w:tcPr>
          <w:p w14:paraId="3785B742"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w:t>
            </w:r>
          </w:p>
        </w:tc>
        <w:tc>
          <w:tcPr>
            <w:tcW w:w="1984" w:type="dxa"/>
            <w:tcBorders>
              <w:top w:val="nil"/>
              <w:left w:val="nil"/>
              <w:bottom w:val="nil"/>
              <w:right w:val="nil"/>
            </w:tcBorders>
          </w:tcPr>
          <w:p w14:paraId="1FD427A9"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0.004</w:t>
            </w:r>
          </w:p>
        </w:tc>
        <w:tc>
          <w:tcPr>
            <w:tcW w:w="993" w:type="dxa"/>
            <w:tcBorders>
              <w:top w:val="nil"/>
              <w:left w:val="nil"/>
              <w:bottom w:val="nil"/>
              <w:right w:val="nil"/>
            </w:tcBorders>
          </w:tcPr>
          <w:p w14:paraId="29023937"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0.043</w:t>
            </w:r>
          </w:p>
        </w:tc>
        <w:tc>
          <w:tcPr>
            <w:tcW w:w="1134" w:type="dxa"/>
            <w:tcBorders>
              <w:top w:val="nil"/>
              <w:left w:val="nil"/>
              <w:bottom w:val="nil"/>
              <w:right w:val="nil"/>
            </w:tcBorders>
          </w:tcPr>
          <w:p w14:paraId="5559BD02"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0.034</w:t>
            </w:r>
          </w:p>
        </w:tc>
        <w:tc>
          <w:tcPr>
            <w:tcW w:w="992" w:type="dxa"/>
            <w:tcBorders>
              <w:top w:val="nil"/>
              <w:left w:val="nil"/>
              <w:bottom w:val="nil"/>
              <w:right w:val="nil"/>
            </w:tcBorders>
          </w:tcPr>
          <w:p w14:paraId="6EB4E13F"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0.047</w:t>
            </w:r>
          </w:p>
        </w:tc>
        <w:tc>
          <w:tcPr>
            <w:tcW w:w="992" w:type="dxa"/>
            <w:tcBorders>
              <w:top w:val="nil"/>
              <w:left w:val="nil"/>
              <w:bottom w:val="nil"/>
              <w:right w:val="nil"/>
            </w:tcBorders>
          </w:tcPr>
          <w:p w14:paraId="2C3220D4"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0.040</w:t>
            </w:r>
          </w:p>
        </w:tc>
        <w:tc>
          <w:tcPr>
            <w:tcW w:w="1134" w:type="dxa"/>
            <w:tcBorders>
              <w:top w:val="nil"/>
              <w:left w:val="nil"/>
              <w:bottom w:val="nil"/>
              <w:right w:val="nil"/>
            </w:tcBorders>
          </w:tcPr>
          <w:p w14:paraId="1A223112"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0.014</w:t>
            </w:r>
          </w:p>
        </w:tc>
      </w:tr>
      <w:tr w:rsidR="00EC1DF5" w:rsidRPr="00EC1DF5" w14:paraId="4BC54ABC" w14:textId="77777777" w:rsidTr="00453380">
        <w:tc>
          <w:tcPr>
            <w:tcW w:w="1276" w:type="dxa"/>
            <w:gridSpan w:val="2"/>
            <w:tcBorders>
              <w:top w:val="nil"/>
              <w:left w:val="nil"/>
              <w:bottom w:val="nil"/>
              <w:right w:val="nil"/>
            </w:tcBorders>
          </w:tcPr>
          <w:p w14:paraId="0CE879F2"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 xml:space="preserve">  </w:t>
            </w:r>
          </w:p>
        </w:tc>
        <w:tc>
          <w:tcPr>
            <w:tcW w:w="709" w:type="dxa"/>
            <w:tcBorders>
              <w:top w:val="nil"/>
              <w:left w:val="nil"/>
              <w:bottom w:val="nil"/>
              <w:right w:val="nil"/>
            </w:tcBorders>
          </w:tcPr>
          <w:p w14:paraId="4D9AE891"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p>
        </w:tc>
        <w:tc>
          <w:tcPr>
            <w:tcW w:w="1984" w:type="dxa"/>
            <w:tcBorders>
              <w:top w:val="nil"/>
              <w:left w:val="nil"/>
              <w:bottom w:val="nil"/>
              <w:right w:val="nil"/>
            </w:tcBorders>
          </w:tcPr>
          <w:p w14:paraId="4AD8F098"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(0.045)</w:t>
            </w:r>
          </w:p>
        </w:tc>
        <w:tc>
          <w:tcPr>
            <w:tcW w:w="993" w:type="dxa"/>
            <w:tcBorders>
              <w:top w:val="nil"/>
              <w:left w:val="nil"/>
              <w:bottom w:val="nil"/>
              <w:right w:val="nil"/>
            </w:tcBorders>
          </w:tcPr>
          <w:p w14:paraId="7F92E2F6"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(0.049)</w:t>
            </w:r>
          </w:p>
        </w:tc>
        <w:tc>
          <w:tcPr>
            <w:tcW w:w="1134" w:type="dxa"/>
            <w:tcBorders>
              <w:top w:val="nil"/>
              <w:left w:val="nil"/>
              <w:bottom w:val="nil"/>
              <w:right w:val="nil"/>
            </w:tcBorders>
          </w:tcPr>
          <w:p w14:paraId="4119FF36"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(0.049)</w:t>
            </w:r>
          </w:p>
        </w:tc>
        <w:tc>
          <w:tcPr>
            <w:tcW w:w="992" w:type="dxa"/>
            <w:tcBorders>
              <w:top w:val="nil"/>
              <w:left w:val="nil"/>
              <w:bottom w:val="nil"/>
              <w:right w:val="nil"/>
            </w:tcBorders>
          </w:tcPr>
          <w:p w14:paraId="1D60A099"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(0.049)</w:t>
            </w:r>
          </w:p>
        </w:tc>
        <w:tc>
          <w:tcPr>
            <w:tcW w:w="992" w:type="dxa"/>
            <w:tcBorders>
              <w:top w:val="nil"/>
              <w:left w:val="nil"/>
              <w:bottom w:val="nil"/>
              <w:right w:val="nil"/>
            </w:tcBorders>
          </w:tcPr>
          <w:p w14:paraId="1EFDC93A"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(0.050)</w:t>
            </w:r>
          </w:p>
        </w:tc>
        <w:tc>
          <w:tcPr>
            <w:tcW w:w="1134" w:type="dxa"/>
            <w:tcBorders>
              <w:top w:val="nil"/>
              <w:left w:val="nil"/>
              <w:bottom w:val="nil"/>
              <w:right w:val="nil"/>
            </w:tcBorders>
          </w:tcPr>
          <w:p w14:paraId="091D8007"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(0.044)</w:t>
            </w:r>
          </w:p>
        </w:tc>
      </w:tr>
      <w:tr w:rsidR="00EC1DF5" w:rsidRPr="00EC1DF5" w14:paraId="342FC71A" w14:textId="77777777" w:rsidTr="00453380">
        <w:tc>
          <w:tcPr>
            <w:tcW w:w="1276" w:type="dxa"/>
            <w:gridSpan w:val="2"/>
            <w:tcBorders>
              <w:top w:val="nil"/>
              <w:left w:val="nil"/>
              <w:bottom w:val="nil"/>
              <w:right w:val="nil"/>
            </w:tcBorders>
          </w:tcPr>
          <w:p w14:paraId="6AD0DEFE"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 xml:space="preserve"> Ethics</w:t>
            </w:r>
          </w:p>
        </w:tc>
        <w:tc>
          <w:tcPr>
            <w:tcW w:w="709" w:type="dxa"/>
            <w:tcBorders>
              <w:top w:val="nil"/>
              <w:left w:val="nil"/>
              <w:bottom w:val="nil"/>
              <w:right w:val="nil"/>
            </w:tcBorders>
          </w:tcPr>
          <w:p w14:paraId="6A07A82A"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w:t>
            </w:r>
          </w:p>
        </w:tc>
        <w:tc>
          <w:tcPr>
            <w:tcW w:w="1984" w:type="dxa"/>
            <w:tcBorders>
              <w:top w:val="nil"/>
              <w:left w:val="nil"/>
              <w:bottom w:val="nil"/>
              <w:right w:val="nil"/>
            </w:tcBorders>
          </w:tcPr>
          <w:p w14:paraId="42CB30B2"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4.779***</w:t>
            </w:r>
          </w:p>
        </w:tc>
        <w:tc>
          <w:tcPr>
            <w:tcW w:w="993" w:type="dxa"/>
            <w:tcBorders>
              <w:top w:val="nil"/>
              <w:left w:val="nil"/>
              <w:bottom w:val="nil"/>
              <w:right w:val="nil"/>
            </w:tcBorders>
          </w:tcPr>
          <w:p w14:paraId="0817E38D"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5.225***</w:t>
            </w:r>
          </w:p>
        </w:tc>
        <w:tc>
          <w:tcPr>
            <w:tcW w:w="1134" w:type="dxa"/>
            <w:tcBorders>
              <w:top w:val="nil"/>
              <w:left w:val="nil"/>
              <w:bottom w:val="nil"/>
              <w:right w:val="nil"/>
            </w:tcBorders>
          </w:tcPr>
          <w:p w14:paraId="17814542"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5.150***</w:t>
            </w:r>
          </w:p>
        </w:tc>
        <w:tc>
          <w:tcPr>
            <w:tcW w:w="992" w:type="dxa"/>
            <w:tcBorders>
              <w:top w:val="nil"/>
              <w:left w:val="nil"/>
              <w:bottom w:val="nil"/>
              <w:right w:val="nil"/>
            </w:tcBorders>
          </w:tcPr>
          <w:p w14:paraId="554AAED2"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5.361***</w:t>
            </w:r>
          </w:p>
        </w:tc>
        <w:tc>
          <w:tcPr>
            <w:tcW w:w="992" w:type="dxa"/>
            <w:tcBorders>
              <w:top w:val="nil"/>
              <w:left w:val="nil"/>
              <w:bottom w:val="nil"/>
              <w:right w:val="nil"/>
            </w:tcBorders>
          </w:tcPr>
          <w:p w14:paraId="2D2190D2"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5.528***</w:t>
            </w:r>
          </w:p>
        </w:tc>
        <w:tc>
          <w:tcPr>
            <w:tcW w:w="1134" w:type="dxa"/>
            <w:tcBorders>
              <w:top w:val="nil"/>
              <w:left w:val="nil"/>
              <w:bottom w:val="nil"/>
              <w:right w:val="nil"/>
            </w:tcBorders>
          </w:tcPr>
          <w:p w14:paraId="7BBD9CA8"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4.802***</w:t>
            </w:r>
          </w:p>
        </w:tc>
      </w:tr>
      <w:tr w:rsidR="00EC1DF5" w:rsidRPr="00EC1DF5" w14:paraId="63A0A1B8" w14:textId="77777777" w:rsidTr="00453380">
        <w:tc>
          <w:tcPr>
            <w:tcW w:w="1276" w:type="dxa"/>
            <w:gridSpan w:val="2"/>
            <w:tcBorders>
              <w:top w:val="nil"/>
              <w:left w:val="nil"/>
              <w:bottom w:val="nil"/>
              <w:right w:val="nil"/>
            </w:tcBorders>
          </w:tcPr>
          <w:p w14:paraId="27F603D8"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 xml:space="preserve">  </w:t>
            </w:r>
          </w:p>
        </w:tc>
        <w:tc>
          <w:tcPr>
            <w:tcW w:w="709" w:type="dxa"/>
            <w:tcBorders>
              <w:top w:val="nil"/>
              <w:left w:val="nil"/>
              <w:bottom w:val="nil"/>
              <w:right w:val="nil"/>
            </w:tcBorders>
          </w:tcPr>
          <w:p w14:paraId="23FE2F51"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p>
        </w:tc>
        <w:tc>
          <w:tcPr>
            <w:tcW w:w="1984" w:type="dxa"/>
            <w:tcBorders>
              <w:top w:val="nil"/>
              <w:left w:val="nil"/>
              <w:bottom w:val="nil"/>
              <w:right w:val="nil"/>
            </w:tcBorders>
          </w:tcPr>
          <w:p w14:paraId="6969F297"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(1.216)</w:t>
            </w:r>
          </w:p>
        </w:tc>
        <w:tc>
          <w:tcPr>
            <w:tcW w:w="993" w:type="dxa"/>
            <w:tcBorders>
              <w:top w:val="nil"/>
              <w:left w:val="nil"/>
              <w:bottom w:val="nil"/>
              <w:right w:val="nil"/>
            </w:tcBorders>
          </w:tcPr>
          <w:p w14:paraId="208C8597"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(1.340)</w:t>
            </w:r>
          </w:p>
        </w:tc>
        <w:tc>
          <w:tcPr>
            <w:tcW w:w="1134" w:type="dxa"/>
            <w:tcBorders>
              <w:top w:val="nil"/>
              <w:left w:val="nil"/>
              <w:bottom w:val="nil"/>
              <w:right w:val="nil"/>
            </w:tcBorders>
          </w:tcPr>
          <w:p w14:paraId="49EDB990"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(1.343)</w:t>
            </w:r>
          </w:p>
        </w:tc>
        <w:tc>
          <w:tcPr>
            <w:tcW w:w="992" w:type="dxa"/>
            <w:tcBorders>
              <w:top w:val="nil"/>
              <w:left w:val="nil"/>
              <w:bottom w:val="nil"/>
              <w:right w:val="nil"/>
            </w:tcBorders>
          </w:tcPr>
          <w:p w14:paraId="3FF49CA2"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(1.342)</w:t>
            </w:r>
          </w:p>
        </w:tc>
        <w:tc>
          <w:tcPr>
            <w:tcW w:w="992" w:type="dxa"/>
            <w:tcBorders>
              <w:top w:val="nil"/>
              <w:left w:val="nil"/>
              <w:bottom w:val="nil"/>
              <w:right w:val="nil"/>
            </w:tcBorders>
          </w:tcPr>
          <w:p w14:paraId="2629CC18"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(1.340)</w:t>
            </w:r>
          </w:p>
        </w:tc>
        <w:tc>
          <w:tcPr>
            <w:tcW w:w="1134" w:type="dxa"/>
            <w:tcBorders>
              <w:top w:val="nil"/>
              <w:left w:val="nil"/>
              <w:bottom w:val="nil"/>
              <w:right w:val="nil"/>
            </w:tcBorders>
          </w:tcPr>
          <w:p w14:paraId="2C877502"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(1.225)</w:t>
            </w:r>
          </w:p>
        </w:tc>
      </w:tr>
      <w:tr w:rsidR="00EC1DF5" w:rsidRPr="00EC1DF5" w14:paraId="03DD7736" w14:textId="77777777" w:rsidTr="00453380">
        <w:tc>
          <w:tcPr>
            <w:tcW w:w="1276" w:type="dxa"/>
            <w:gridSpan w:val="2"/>
            <w:tcBorders>
              <w:top w:val="nil"/>
              <w:left w:val="nil"/>
              <w:bottom w:val="nil"/>
              <w:right w:val="nil"/>
            </w:tcBorders>
          </w:tcPr>
          <w:p w14:paraId="24690170"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 xml:space="preserve"> </w:t>
            </w:r>
            <w:proofErr w:type="spellStart"/>
            <w:r w:rsidRPr="00EC1DF5">
              <w:rPr>
                <w:color w:val="auto"/>
                <w:sz w:val="18"/>
                <w:szCs w:val="18"/>
              </w:rPr>
              <w:t>Com_Involve</w:t>
            </w:r>
            <w:proofErr w:type="spellEnd"/>
          </w:p>
        </w:tc>
        <w:tc>
          <w:tcPr>
            <w:tcW w:w="709" w:type="dxa"/>
            <w:tcBorders>
              <w:top w:val="nil"/>
              <w:left w:val="nil"/>
              <w:bottom w:val="nil"/>
              <w:right w:val="nil"/>
            </w:tcBorders>
          </w:tcPr>
          <w:p w14:paraId="6B68E73F"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w:t>
            </w:r>
          </w:p>
        </w:tc>
        <w:tc>
          <w:tcPr>
            <w:tcW w:w="1984" w:type="dxa"/>
            <w:tcBorders>
              <w:top w:val="nil"/>
              <w:left w:val="nil"/>
              <w:bottom w:val="nil"/>
              <w:right w:val="nil"/>
            </w:tcBorders>
          </w:tcPr>
          <w:p w14:paraId="327C599E"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2.877**</w:t>
            </w:r>
          </w:p>
        </w:tc>
        <w:tc>
          <w:tcPr>
            <w:tcW w:w="993" w:type="dxa"/>
            <w:tcBorders>
              <w:top w:val="nil"/>
              <w:left w:val="nil"/>
              <w:bottom w:val="nil"/>
              <w:right w:val="nil"/>
            </w:tcBorders>
          </w:tcPr>
          <w:p w14:paraId="6786D471"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6.065***</w:t>
            </w:r>
          </w:p>
        </w:tc>
        <w:tc>
          <w:tcPr>
            <w:tcW w:w="1134" w:type="dxa"/>
            <w:tcBorders>
              <w:top w:val="nil"/>
              <w:left w:val="nil"/>
              <w:bottom w:val="nil"/>
              <w:right w:val="nil"/>
            </w:tcBorders>
          </w:tcPr>
          <w:p w14:paraId="3A90EF48"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6.197***</w:t>
            </w:r>
          </w:p>
        </w:tc>
        <w:tc>
          <w:tcPr>
            <w:tcW w:w="992" w:type="dxa"/>
            <w:tcBorders>
              <w:top w:val="nil"/>
              <w:left w:val="nil"/>
              <w:bottom w:val="nil"/>
              <w:right w:val="nil"/>
            </w:tcBorders>
          </w:tcPr>
          <w:p w14:paraId="65387D23"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6.016***</w:t>
            </w:r>
          </w:p>
        </w:tc>
        <w:tc>
          <w:tcPr>
            <w:tcW w:w="992" w:type="dxa"/>
            <w:tcBorders>
              <w:top w:val="nil"/>
              <w:left w:val="nil"/>
              <w:bottom w:val="nil"/>
              <w:right w:val="nil"/>
            </w:tcBorders>
          </w:tcPr>
          <w:p w14:paraId="43259BB4"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6.317***</w:t>
            </w:r>
          </w:p>
        </w:tc>
        <w:tc>
          <w:tcPr>
            <w:tcW w:w="1134" w:type="dxa"/>
            <w:tcBorders>
              <w:top w:val="nil"/>
              <w:left w:val="nil"/>
              <w:bottom w:val="nil"/>
              <w:right w:val="nil"/>
            </w:tcBorders>
          </w:tcPr>
          <w:p w14:paraId="14D32920"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2.361*</w:t>
            </w:r>
          </w:p>
        </w:tc>
      </w:tr>
      <w:tr w:rsidR="00EC1DF5" w:rsidRPr="00EC1DF5" w14:paraId="6A82A2E0" w14:textId="77777777" w:rsidTr="00453380">
        <w:tc>
          <w:tcPr>
            <w:tcW w:w="1276" w:type="dxa"/>
            <w:gridSpan w:val="2"/>
            <w:tcBorders>
              <w:top w:val="nil"/>
              <w:left w:val="nil"/>
              <w:bottom w:val="nil"/>
              <w:right w:val="nil"/>
            </w:tcBorders>
          </w:tcPr>
          <w:p w14:paraId="62330A23"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 xml:space="preserve">  </w:t>
            </w:r>
          </w:p>
        </w:tc>
        <w:tc>
          <w:tcPr>
            <w:tcW w:w="709" w:type="dxa"/>
            <w:tcBorders>
              <w:top w:val="nil"/>
              <w:left w:val="nil"/>
              <w:bottom w:val="nil"/>
              <w:right w:val="nil"/>
            </w:tcBorders>
          </w:tcPr>
          <w:p w14:paraId="5B18D168"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p>
        </w:tc>
        <w:tc>
          <w:tcPr>
            <w:tcW w:w="1984" w:type="dxa"/>
            <w:tcBorders>
              <w:top w:val="nil"/>
              <w:left w:val="nil"/>
              <w:bottom w:val="nil"/>
              <w:right w:val="nil"/>
            </w:tcBorders>
          </w:tcPr>
          <w:p w14:paraId="622663D0"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(1.217)</w:t>
            </w:r>
          </w:p>
        </w:tc>
        <w:tc>
          <w:tcPr>
            <w:tcW w:w="993" w:type="dxa"/>
            <w:tcBorders>
              <w:top w:val="nil"/>
              <w:left w:val="nil"/>
              <w:bottom w:val="nil"/>
              <w:right w:val="nil"/>
            </w:tcBorders>
          </w:tcPr>
          <w:p w14:paraId="75D00504"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(1.347)</w:t>
            </w:r>
          </w:p>
        </w:tc>
        <w:tc>
          <w:tcPr>
            <w:tcW w:w="1134" w:type="dxa"/>
            <w:tcBorders>
              <w:top w:val="nil"/>
              <w:left w:val="nil"/>
              <w:bottom w:val="nil"/>
              <w:right w:val="nil"/>
            </w:tcBorders>
          </w:tcPr>
          <w:p w14:paraId="485D5E38"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(1.346)</w:t>
            </w:r>
          </w:p>
        </w:tc>
        <w:tc>
          <w:tcPr>
            <w:tcW w:w="992" w:type="dxa"/>
            <w:tcBorders>
              <w:top w:val="nil"/>
              <w:left w:val="nil"/>
              <w:bottom w:val="nil"/>
              <w:right w:val="nil"/>
            </w:tcBorders>
          </w:tcPr>
          <w:p w14:paraId="40F4563F"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(1.352)</w:t>
            </w:r>
          </w:p>
        </w:tc>
        <w:tc>
          <w:tcPr>
            <w:tcW w:w="992" w:type="dxa"/>
            <w:tcBorders>
              <w:top w:val="nil"/>
              <w:left w:val="nil"/>
              <w:bottom w:val="nil"/>
              <w:right w:val="nil"/>
            </w:tcBorders>
          </w:tcPr>
          <w:p w14:paraId="789D88CC"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(1.340)</w:t>
            </w:r>
          </w:p>
        </w:tc>
        <w:tc>
          <w:tcPr>
            <w:tcW w:w="1134" w:type="dxa"/>
            <w:tcBorders>
              <w:top w:val="nil"/>
              <w:left w:val="nil"/>
              <w:bottom w:val="nil"/>
              <w:right w:val="nil"/>
            </w:tcBorders>
          </w:tcPr>
          <w:p w14:paraId="4E95F91D"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(1.235)</w:t>
            </w:r>
          </w:p>
        </w:tc>
      </w:tr>
      <w:tr w:rsidR="00EC1DF5" w:rsidRPr="00EC1DF5" w14:paraId="74E72206" w14:textId="77777777" w:rsidTr="00453380">
        <w:tc>
          <w:tcPr>
            <w:tcW w:w="1276" w:type="dxa"/>
            <w:gridSpan w:val="2"/>
            <w:tcBorders>
              <w:top w:val="nil"/>
              <w:left w:val="nil"/>
              <w:right w:val="nil"/>
            </w:tcBorders>
          </w:tcPr>
          <w:p w14:paraId="30AF674F"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 xml:space="preserve"> CSR </w:t>
            </w:r>
            <w:proofErr w:type="spellStart"/>
            <w:r w:rsidRPr="00EC1DF5">
              <w:rPr>
                <w:color w:val="auto"/>
                <w:sz w:val="18"/>
                <w:szCs w:val="18"/>
              </w:rPr>
              <w:t>C’ttee</w:t>
            </w:r>
            <w:proofErr w:type="spellEnd"/>
          </w:p>
        </w:tc>
        <w:tc>
          <w:tcPr>
            <w:tcW w:w="709" w:type="dxa"/>
            <w:tcBorders>
              <w:top w:val="nil"/>
              <w:left w:val="nil"/>
              <w:right w:val="nil"/>
            </w:tcBorders>
          </w:tcPr>
          <w:p w14:paraId="541B05CF"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w:t>
            </w:r>
          </w:p>
        </w:tc>
        <w:tc>
          <w:tcPr>
            <w:tcW w:w="1984" w:type="dxa"/>
            <w:tcBorders>
              <w:top w:val="nil"/>
              <w:left w:val="nil"/>
              <w:right w:val="nil"/>
            </w:tcBorders>
          </w:tcPr>
          <w:p w14:paraId="2BBAB450"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-2.965***</w:t>
            </w:r>
          </w:p>
        </w:tc>
        <w:tc>
          <w:tcPr>
            <w:tcW w:w="993" w:type="dxa"/>
            <w:tcBorders>
              <w:top w:val="nil"/>
              <w:left w:val="nil"/>
              <w:right w:val="nil"/>
            </w:tcBorders>
          </w:tcPr>
          <w:p w14:paraId="34A419EF"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3.353***</w:t>
            </w:r>
          </w:p>
        </w:tc>
        <w:tc>
          <w:tcPr>
            <w:tcW w:w="1134" w:type="dxa"/>
            <w:tcBorders>
              <w:top w:val="nil"/>
              <w:left w:val="nil"/>
              <w:right w:val="nil"/>
            </w:tcBorders>
          </w:tcPr>
          <w:p w14:paraId="1683BA7F"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3.162**</w:t>
            </w:r>
          </w:p>
        </w:tc>
        <w:tc>
          <w:tcPr>
            <w:tcW w:w="992" w:type="dxa"/>
            <w:tcBorders>
              <w:top w:val="nil"/>
              <w:left w:val="nil"/>
              <w:right w:val="nil"/>
            </w:tcBorders>
          </w:tcPr>
          <w:p w14:paraId="5696575A"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3.432***</w:t>
            </w:r>
          </w:p>
        </w:tc>
        <w:tc>
          <w:tcPr>
            <w:tcW w:w="992" w:type="dxa"/>
            <w:tcBorders>
              <w:top w:val="nil"/>
              <w:left w:val="nil"/>
              <w:right w:val="nil"/>
            </w:tcBorders>
          </w:tcPr>
          <w:p w14:paraId="60A200E5"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3.662***</w:t>
            </w:r>
          </w:p>
        </w:tc>
        <w:tc>
          <w:tcPr>
            <w:tcW w:w="1134" w:type="dxa"/>
            <w:tcBorders>
              <w:top w:val="nil"/>
              <w:left w:val="nil"/>
              <w:right w:val="nil"/>
            </w:tcBorders>
          </w:tcPr>
          <w:p w14:paraId="42092BEE"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-3.008***</w:t>
            </w:r>
          </w:p>
        </w:tc>
      </w:tr>
      <w:tr w:rsidR="00EC1DF5" w:rsidRPr="00EC1DF5" w14:paraId="0C76621E" w14:textId="77777777" w:rsidTr="00453380">
        <w:trPr>
          <w:trHeight w:val="311"/>
        </w:trPr>
        <w:tc>
          <w:tcPr>
            <w:tcW w:w="1276" w:type="dxa"/>
            <w:gridSpan w:val="2"/>
            <w:tcBorders>
              <w:top w:val="nil"/>
              <w:left w:val="nil"/>
              <w:bottom w:val="single" w:sz="4" w:space="0" w:color="auto"/>
              <w:right w:val="nil"/>
            </w:tcBorders>
          </w:tcPr>
          <w:p w14:paraId="621134D7"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 xml:space="preserve">  </w:t>
            </w:r>
          </w:p>
        </w:tc>
        <w:tc>
          <w:tcPr>
            <w:tcW w:w="709" w:type="dxa"/>
            <w:tcBorders>
              <w:top w:val="nil"/>
              <w:left w:val="nil"/>
              <w:bottom w:val="single" w:sz="4" w:space="0" w:color="auto"/>
              <w:right w:val="nil"/>
            </w:tcBorders>
          </w:tcPr>
          <w:p w14:paraId="49251544"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p>
        </w:tc>
        <w:tc>
          <w:tcPr>
            <w:tcW w:w="1984" w:type="dxa"/>
            <w:tcBorders>
              <w:top w:val="nil"/>
              <w:left w:val="nil"/>
              <w:bottom w:val="single" w:sz="4" w:space="0" w:color="auto"/>
              <w:right w:val="nil"/>
            </w:tcBorders>
          </w:tcPr>
          <w:p w14:paraId="2EADA087"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(1.117)</w:t>
            </w:r>
          </w:p>
        </w:tc>
        <w:tc>
          <w:tcPr>
            <w:tcW w:w="993" w:type="dxa"/>
            <w:tcBorders>
              <w:top w:val="nil"/>
              <w:left w:val="nil"/>
              <w:bottom w:val="single" w:sz="4" w:space="0" w:color="auto"/>
              <w:right w:val="nil"/>
            </w:tcBorders>
          </w:tcPr>
          <w:p w14:paraId="55F4382E"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(1.237)</w:t>
            </w:r>
          </w:p>
        </w:tc>
        <w:tc>
          <w:tcPr>
            <w:tcW w:w="1134" w:type="dxa"/>
            <w:tcBorders>
              <w:top w:val="nil"/>
              <w:left w:val="nil"/>
              <w:bottom w:val="single" w:sz="4" w:space="0" w:color="auto"/>
              <w:right w:val="nil"/>
            </w:tcBorders>
          </w:tcPr>
          <w:p w14:paraId="151C0E16"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(1.233)</w:t>
            </w:r>
          </w:p>
        </w:tc>
        <w:tc>
          <w:tcPr>
            <w:tcW w:w="992" w:type="dxa"/>
            <w:tcBorders>
              <w:top w:val="nil"/>
              <w:left w:val="nil"/>
              <w:bottom w:val="single" w:sz="4" w:space="0" w:color="auto"/>
              <w:right w:val="nil"/>
            </w:tcBorders>
          </w:tcPr>
          <w:p w14:paraId="70551F81"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(1.235)</w:t>
            </w:r>
          </w:p>
        </w:tc>
        <w:tc>
          <w:tcPr>
            <w:tcW w:w="992" w:type="dxa"/>
            <w:tcBorders>
              <w:top w:val="nil"/>
              <w:left w:val="nil"/>
              <w:bottom w:val="single" w:sz="4" w:space="0" w:color="auto"/>
              <w:right w:val="nil"/>
            </w:tcBorders>
          </w:tcPr>
          <w:p w14:paraId="0CA69CF0"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(1.225)</w:t>
            </w:r>
          </w:p>
        </w:tc>
        <w:tc>
          <w:tcPr>
            <w:tcW w:w="1134" w:type="dxa"/>
            <w:tcBorders>
              <w:top w:val="nil"/>
              <w:left w:val="nil"/>
              <w:bottom w:val="single" w:sz="4" w:space="0" w:color="auto"/>
              <w:right w:val="nil"/>
            </w:tcBorders>
          </w:tcPr>
          <w:p w14:paraId="6EDF6D70"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(1.124)</w:t>
            </w:r>
          </w:p>
        </w:tc>
      </w:tr>
      <w:tr w:rsidR="00EC1DF5" w:rsidRPr="00EC1DF5" w14:paraId="0E24B207" w14:textId="77777777" w:rsidTr="00453380">
        <w:tc>
          <w:tcPr>
            <w:tcW w:w="1276" w:type="dxa"/>
            <w:gridSpan w:val="2"/>
            <w:tcBorders>
              <w:top w:val="single" w:sz="4" w:space="0" w:color="auto"/>
              <w:left w:val="nil"/>
              <w:bottom w:val="nil"/>
              <w:right w:val="nil"/>
            </w:tcBorders>
          </w:tcPr>
          <w:p w14:paraId="349ED943"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 xml:space="preserve"> Obs.</w:t>
            </w:r>
          </w:p>
        </w:tc>
        <w:tc>
          <w:tcPr>
            <w:tcW w:w="709" w:type="dxa"/>
            <w:tcBorders>
              <w:top w:val="single" w:sz="4" w:space="0" w:color="auto"/>
              <w:left w:val="nil"/>
              <w:bottom w:val="nil"/>
              <w:right w:val="nil"/>
            </w:tcBorders>
          </w:tcPr>
          <w:p w14:paraId="4D01BA4D"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p>
        </w:tc>
        <w:tc>
          <w:tcPr>
            <w:tcW w:w="1984" w:type="dxa"/>
            <w:tcBorders>
              <w:top w:val="single" w:sz="4" w:space="0" w:color="auto"/>
              <w:left w:val="nil"/>
              <w:bottom w:val="nil"/>
              <w:right w:val="nil"/>
            </w:tcBorders>
          </w:tcPr>
          <w:p w14:paraId="56550971"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4871</w:t>
            </w:r>
          </w:p>
        </w:tc>
        <w:tc>
          <w:tcPr>
            <w:tcW w:w="993" w:type="dxa"/>
            <w:tcBorders>
              <w:top w:val="single" w:sz="4" w:space="0" w:color="auto"/>
              <w:left w:val="nil"/>
              <w:bottom w:val="nil"/>
              <w:right w:val="nil"/>
            </w:tcBorders>
          </w:tcPr>
          <w:p w14:paraId="17581C5B"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4871</w:t>
            </w:r>
          </w:p>
        </w:tc>
        <w:tc>
          <w:tcPr>
            <w:tcW w:w="1134" w:type="dxa"/>
            <w:tcBorders>
              <w:top w:val="single" w:sz="4" w:space="0" w:color="auto"/>
              <w:left w:val="nil"/>
              <w:bottom w:val="nil"/>
              <w:right w:val="nil"/>
            </w:tcBorders>
          </w:tcPr>
          <w:p w14:paraId="2A447C8B"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4871</w:t>
            </w:r>
          </w:p>
        </w:tc>
        <w:tc>
          <w:tcPr>
            <w:tcW w:w="992" w:type="dxa"/>
            <w:tcBorders>
              <w:top w:val="single" w:sz="4" w:space="0" w:color="auto"/>
              <w:left w:val="nil"/>
              <w:bottom w:val="nil"/>
              <w:right w:val="nil"/>
            </w:tcBorders>
          </w:tcPr>
          <w:p w14:paraId="206A9DCA"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4871</w:t>
            </w:r>
          </w:p>
        </w:tc>
        <w:tc>
          <w:tcPr>
            <w:tcW w:w="992" w:type="dxa"/>
            <w:tcBorders>
              <w:top w:val="single" w:sz="4" w:space="0" w:color="auto"/>
              <w:left w:val="nil"/>
              <w:bottom w:val="nil"/>
              <w:right w:val="nil"/>
            </w:tcBorders>
          </w:tcPr>
          <w:p w14:paraId="35341830"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4871</w:t>
            </w:r>
          </w:p>
        </w:tc>
        <w:tc>
          <w:tcPr>
            <w:tcW w:w="1134" w:type="dxa"/>
            <w:tcBorders>
              <w:top w:val="single" w:sz="4" w:space="0" w:color="auto"/>
              <w:left w:val="nil"/>
              <w:bottom w:val="nil"/>
              <w:right w:val="nil"/>
            </w:tcBorders>
          </w:tcPr>
          <w:p w14:paraId="2A90C00E"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4871</w:t>
            </w:r>
          </w:p>
        </w:tc>
      </w:tr>
      <w:tr w:rsidR="00EC1DF5" w:rsidRPr="00EC1DF5" w14:paraId="58E7D4B1" w14:textId="77777777" w:rsidTr="00453380">
        <w:tc>
          <w:tcPr>
            <w:tcW w:w="1276" w:type="dxa"/>
            <w:gridSpan w:val="2"/>
            <w:tcBorders>
              <w:top w:val="nil"/>
              <w:left w:val="nil"/>
              <w:bottom w:val="nil"/>
              <w:right w:val="nil"/>
            </w:tcBorders>
          </w:tcPr>
          <w:p w14:paraId="30CE8153"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 xml:space="preserve"> R-squared </w:t>
            </w:r>
          </w:p>
        </w:tc>
        <w:tc>
          <w:tcPr>
            <w:tcW w:w="709" w:type="dxa"/>
            <w:tcBorders>
              <w:top w:val="nil"/>
              <w:left w:val="nil"/>
              <w:bottom w:val="nil"/>
              <w:right w:val="nil"/>
            </w:tcBorders>
          </w:tcPr>
          <w:p w14:paraId="7D440B44"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p>
        </w:tc>
        <w:tc>
          <w:tcPr>
            <w:tcW w:w="1984" w:type="dxa"/>
            <w:tcBorders>
              <w:top w:val="nil"/>
              <w:left w:val="nil"/>
              <w:bottom w:val="nil"/>
              <w:right w:val="nil"/>
            </w:tcBorders>
          </w:tcPr>
          <w:p w14:paraId="36711FCC"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0.462</w:t>
            </w:r>
          </w:p>
        </w:tc>
        <w:tc>
          <w:tcPr>
            <w:tcW w:w="993" w:type="dxa"/>
            <w:tcBorders>
              <w:top w:val="nil"/>
              <w:left w:val="nil"/>
              <w:bottom w:val="nil"/>
              <w:right w:val="nil"/>
            </w:tcBorders>
          </w:tcPr>
          <w:p w14:paraId="2CDDA4C2"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0.369</w:t>
            </w:r>
          </w:p>
        </w:tc>
        <w:tc>
          <w:tcPr>
            <w:tcW w:w="1134" w:type="dxa"/>
            <w:tcBorders>
              <w:top w:val="nil"/>
              <w:left w:val="nil"/>
              <w:bottom w:val="nil"/>
              <w:right w:val="nil"/>
            </w:tcBorders>
          </w:tcPr>
          <w:p w14:paraId="4E068389"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0.373</w:t>
            </w:r>
          </w:p>
        </w:tc>
        <w:tc>
          <w:tcPr>
            <w:tcW w:w="992" w:type="dxa"/>
            <w:tcBorders>
              <w:top w:val="nil"/>
              <w:left w:val="nil"/>
              <w:bottom w:val="nil"/>
              <w:right w:val="nil"/>
            </w:tcBorders>
          </w:tcPr>
          <w:p w14:paraId="6AF10F89"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0.369</w:t>
            </w:r>
          </w:p>
        </w:tc>
        <w:tc>
          <w:tcPr>
            <w:tcW w:w="992" w:type="dxa"/>
            <w:tcBorders>
              <w:top w:val="nil"/>
              <w:left w:val="nil"/>
              <w:bottom w:val="nil"/>
              <w:right w:val="nil"/>
            </w:tcBorders>
          </w:tcPr>
          <w:p w14:paraId="3CEDE2C5"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0.375</w:t>
            </w:r>
          </w:p>
        </w:tc>
        <w:tc>
          <w:tcPr>
            <w:tcW w:w="1134" w:type="dxa"/>
            <w:tcBorders>
              <w:top w:val="nil"/>
              <w:left w:val="nil"/>
              <w:bottom w:val="nil"/>
              <w:right w:val="nil"/>
            </w:tcBorders>
          </w:tcPr>
          <w:p w14:paraId="0D217DE8"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0.451</w:t>
            </w:r>
          </w:p>
        </w:tc>
      </w:tr>
      <w:tr w:rsidR="00EC1DF5" w:rsidRPr="00EC1DF5" w14:paraId="63FE7F3A" w14:textId="77777777" w:rsidTr="00453380">
        <w:tc>
          <w:tcPr>
            <w:tcW w:w="1276" w:type="dxa"/>
            <w:gridSpan w:val="2"/>
            <w:tcBorders>
              <w:top w:val="nil"/>
              <w:left w:val="nil"/>
              <w:bottom w:val="nil"/>
              <w:right w:val="nil"/>
            </w:tcBorders>
          </w:tcPr>
          <w:p w14:paraId="50D778F8"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 xml:space="preserve">Industry </w:t>
            </w:r>
          </w:p>
        </w:tc>
        <w:tc>
          <w:tcPr>
            <w:tcW w:w="709" w:type="dxa"/>
            <w:tcBorders>
              <w:top w:val="nil"/>
              <w:left w:val="nil"/>
              <w:bottom w:val="nil"/>
              <w:right w:val="nil"/>
            </w:tcBorders>
          </w:tcPr>
          <w:p w14:paraId="7548A6CB"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p>
        </w:tc>
        <w:tc>
          <w:tcPr>
            <w:tcW w:w="1984" w:type="dxa"/>
            <w:tcBorders>
              <w:top w:val="nil"/>
              <w:left w:val="nil"/>
              <w:bottom w:val="nil"/>
              <w:right w:val="nil"/>
            </w:tcBorders>
          </w:tcPr>
          <w:p w14:paraId="7F33BEBE"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Yes</w:t>
            </w:r>
          </w:p>
        </w:tc>
        <w:tc>
          <w:tcPr>
            <w:tcW w:w="993" w:type="dxa"/>
            <w:tcBorders>
              <w:top w:val="nil"/>
              <w:left w:val="nil"/>
              <w:bottom w:val="nil"/>
              <w:right w:val="nil"/>
            </w:tcBorders>
          </w:tcPr>
          <w:p w14:paraId="7F2968BE"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Yes</w:t>
            </w:r>
          </w:p>
        </w:tc>
        <w:tc>
          <w:tcPr>
            <w:tcW w:w="1134" w:type="dxa"/>
            <w:tcBorders>
              <w:top w:val="nil"/>
              <w:left w:val="nil"/>
              <w:bottom w:val="nil"/>
              <w:right w:val="nil"/>
            </w:tcBorders>
          </w:tcPr>
          <w:p w14:paraId="72A44C9D"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Yes</w:t>
            </w:r>
          </w:p>
        </w:tc>
        <w:tc>
          <w:tcPr>
            <w:tcW w:w="992" w:type="dxa"/>
            <w:tcBorders>
              <w:top w:val="nil"/>
              <w:left w:val="nil"/>
              <w:bottom w:val="nil"/>
              <w:right w:val="nil"/>
            </w:tcBorders>
          </w:tcPr>
          <w:p w14:paraId="241C0C29"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Yes</w:t>
            </w:r>
          </w:p>
        </w:tc>
        <w:tc>
          <w:tcPr>
            <w:tcW w:w="992" w:type="dxa"/>
            <w:tcBorders>
              <w:top w:val="nil"/>
              <w:left w:val="nil"/>
              <w:bottom w:val="nil"/>
              <w:right w:val="nil"/>
            </w:tcBorders>
          </w:tcPr>
          <w:p w14:paraId="630B54BD"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Yes</w:t>
            </w:r>
          </w:p>
        </w:tc>
        <w:tc>
          <w:tcPr>
            <w:tcW w:w="1134" w:type="dxa"/>
            <w:tcBorders>
              <w:top w:val="nil"/>
              <w:left w:val="nil"/>
              <w:bottom w:val="nil"/>
              <w:right w:val="nil"/>
            </w:tcBorders>
          </w:tcPr>
          <w:p w14:paraId="44BEBA51"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Yes</w:t>
            </w:r>
          </w:p>
        </w:tc>
      </w:tr>
      <w:tr w:rsidR="00EC1DF5" w:rsidRPr="00EC1DF5" w14:paraId="59F304E7" w14:textId="77777777" w:rsidTr="00453380">
        <w:tc>
          <w:tcPr>
            <w:tcW w:w="1276" w:type="dxa"/>
            <w:gridSpan w:val="2"/>
            <w:tcBorders>
              <w:top w:val="nil"/>
              <w:left w:val="nil"/>
              <w:bottom w:val="nil"/>
              <w:right w:val="nil"/>
            </w:tcBorders>
          </w:tcPr>
          <w:p w14:paraId="3563D10D" w14:textId="77777777" w:rsidR="00AB41CC" w:rsidRPr="00EC1DF5" w:rsidRDefault="00AB41CC" w:rsidP="00453380">
            <w:pPr>
              <w:widowControl w:val="0"/>
              <w:autoSpaceDE w:val="0"/>
              <w:autoSpaceDN w:val="0"/>
              <w:adjustRightInd w:val="0"/>
              <w:spacing w:after="0" w:line="276" w:lineRule="auto"/>
              <w:rPr>
                <w:color w:val="auto"/>
                <w:sz w:val="18"/>
                <w:szCs w:val="18"/>
              </w:rPr>
            </w:pPr>
            <w:r w:rsidRPr="00EC1DF5">
              <w:rPr>
                <w:color w:val="auto"/>
                <w:sz w:val="18"/>
                <w:szCs w:val="18"/>
              </w:rPr>
              <w:t xml:space="preserve">Year </w:t>
            </w:r>
          </w:p>
        </w:tc>
        <w:tc>
          <w:tcPr>
            <w:tcW w:w="709" w:type="dxa"/>
            <w:tcBorders>
              <w:top w:val="nil"/>
              <w:left w:val="nil"/>
              <w:bottom w:val="nil"/>
              <w:right w:val="nil"/>
            </w:tcBorders>
          </w:tcPr>
          <w:p w14:paraId="5157B8A9"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p>
        </w:tc>
        <w:tc>
          <w:tcPr>
            <w:tcW w:w="1984" w:type="dxa"/>
            <w:tcBorders>
              <w:top w:val="nil"/>
              <w:left w:val="nil"/>
              <w:bottom w:val="nil"/>
              <w:right w:val="nil"/>
            </w:tcBorders>
          </w:tcPr>
          <w:p w14:paraId="2D541C8A"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Yes</w:t>
            </w:r>
          </w:p>
        </w:tc>
        <w:tc>
          <w:tcPr>
            <w:tcW w:w="993" w:type="dxa"/>
            <w:tcBorders>
              <w:top w:val="nil"/>
              <w:left w:val="nil"/>
              <w:bottom w:val="nil"/>
              <w:right w:val="nil"/>
            </w:tcBorders>
          </w:tcPr>
          <w:p w14:paraId="0ED79840"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 xml:space="preserve"> Yes</w:t>
            </w:r>
          </w:p>
        </w:tc>
        <w:tc>
          <w:tcPr>
            <w:tcW w:w="1134" w:type="dxa"/>
            <w:tcBorders>
              <w:top w:val="nil"/>
              <w:left w:val="nil"/>
              <w:bottom w:val="nil"/>
              <w:right w:val="nil"/>
            </w:tcBorders>
          </w:tcPr>
          <w:p w14:paraId="7FF898FA"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 xml:space="preserve"> Yes</w:t>
            </w:r>
          </w:p>
        </w:tc>
        <w:tc>
          <w:tcPr>
            <w:tcW w:w="992" w:type="dxa"/>
            <w:tcBorders>
              <w:top w:val="nil"/>
              <w:left w:val="nil"/>
              <w:bottom w:val="nil"/>
              <w:right w:val="nil"/>
            </w:tcBorders>
          </w:tcPr>
          <w:p w14:paraId="7F11A4D4"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 xml:space="preserve"> Yes</w:t>
            </w:r>
          </w:p>
        </w:tc>
        <w:tc>
          <w:tcPr>
            <w:tcW w:w="992" w:type="dxa"/>
            <w:tcBorders>
              <w:top w:val="nil"/>
              <w:left w:val="nil"/>
              <w:bottom w:val="nil"/>
              <w:right w:val="nil"/>
            </w:tcBorders>
          </w:tcPr>
          <w:p w14:paraId="62ED5C83"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 xml:space="preserve"> Yes</w:t>
            </w:r>
          </w:p>
        </w:tc>
        <w:tc>
          <w:tcPr>
            <w:tcW w:w="1134" w:type="dxa"/>
            <w:tcBorders>
              <w:top w:val="nil"/>
              <w:left w:val="nil"/>
              <w:bottom w:val="nil"/>
              <w:right w:val="nil"/>
            </w:tcBorders>
          </w:tcPr>
          <w:p w14:paraId="47030566" w14:textId="77777777" w:rsidR="00AB41CC" w:rsidRPr="00EC1DF5" w:rsidRDefault="00AB41CC" w:rsidP="00453380">
            <w:pPr>
              <w:widowControl w:val="0"/>
              <w:autoSpaceDE w:val="0"/>
              <w:autoSpaceDN w:val="0"/>
              <w:adjustRightInd w:val="0"/>
              <w:spacing w:after="0" w:line="276" w:lineRule="auto"/>
              <w:jc w:val="center"/>
              <w:rPr>
                <w:color w:val="auto"/>
                <w:sz w:val="18"/>
                <w:szCs w:val="18"/>
              </w:rPr>
            </w:pPr>
            <w:r w:rsidRPr="00EC1DF5">
              <w:rPr>
                <w:color w:val="auto"/>
                <w:sz w:val="18"/>
                <w:szCs w:val="18"/>
              </w:rPr>
              <w:t xml:space="preserve"> Yes</w:t>
            </w:r>
          </w:p>
        </w:tc>
      </w:tr>
      <w:tr w:rsidR="00EC1DF5" w:rsidRPr="00EC1DF5" w14:paraId="14E1051B" w14:textId="77777777" w:rsidTr="00453380">
        <w:tc>
          <w:tcPr>
            <w:tcW w:w="1250" w:type="dxa"/>
            <w:tcBorders>
              <w:top w:val="nil"/>
              <w:left w:val="nil"/>
              <w:bottom w:val="single" w:sz="10" w:space="0" w:color="auto"/>
              <w:right w:val="nil"/>
            </w:tcBorders>
          </w:tcPr>
          <w:p w14:paraId="5B0FEC81" w14:textId="77777777" w:rsidR="00AB41CC" w:rsidRPr="00EC1DF5" w:rsidRDefault="00AB41CC" w:rsidP="00453380">
            <w:pPr>
              <w:widowControl w:val="0"/>
              <w:autoSpaceDE w:val="0"/>
              <w:autoSpaceDN w:val="0"/>
              <w:adjustRightInd w:val="0"/>
              <w:spacing w:after="0" w:line="276" w:lineRule="auto"/>
              <w:rPr>
                <w:color w:val="auto"/>
                <w:sz w:val="18"/>
                <w:szCs w:val="18"/>
              </w:rPr>
            </w:pPr>
          </w:p>
        </w:tc>
        <w:tc>
          <w:tcPr>
            <w:tcW w:w="7964" w:type="dxa"/>
            <w:gridSpan w:val="8"/>
            <w:tcBorders>
              <w:top w:val="nil"/>
              <w:left w:val="nil"/>
              <w:bottom w:val="single" w:sz="10" w:space="0" w:color="auto"/>
              <w:right w:val="nil"/>
            </w:tcBorders>
          </w:tcPr>
          <w:p w14:paraId="0CF101DC" w14:textId="77777777" w:rsidR="00AB41CC" w:rsidRPr="00EC1DF5" w:rsidRDefault="00AB41CC" w:rsidP="00453380">
            <w:pPr>
              <w:widowControl w:val="0"/>
              <w:autoSpaceDE w:val="0"/>
              <w:autoSpaceDN w:val="0"/>
              <w:adjustRightInd w:val="0"/>
              <w:spacing w:after="0" w:line="276" w:lineRule="auto"/>
              <w:rPr>
                <w:color w:val="auto"/>
                <w:sz w:val="18"/>
                <w:szCs w:val="18"/>
              </w:rPr>
            </w:pPr>
          </w:p>
        </w:tc>
      </w:tr>
      <w:tr w:rsidR="00AB41CC" w:rsidRPr="00EC1DF5" w14:paraId="2BB73FC6" w14:textId="77777777" w:rsidTr="00453380">
        <w:tc>
          <w:tcPr>
            <w:tcW w:w="9214" w:type="dxa"/>
            <w:gridSpan w:val="9"/>
            <w:tcBorders>
              <w:top w:val="nil"/>
              <w:left w:val="nil"/>
              <w:bottom w:val="single" w:sz="10" w:space="0" w:color="auto"/>
            </w:tcBorders>
          </w:tcPr>
          <w:p w14:paraId="178D886B" w14:textId="77777777" w:rsidR="00AB41CC" w:rsidRPr="00EC1DF5" w:rsidRDefault="00AB41CC" w:rsidP="00453380">
            <w:pPr>
              <w:widowControl w:val="0"/>
              <w:autoSpaceDE w:val="0"/>
              <w:autoSpaceDN w:val="0"/>
              <w:adjustRightInd w:val="0"/>
              <w:spacing w:after="0" w:line="360" w:lineRule="auto"/>
              <w:jc w:val="both"/>
              <w:rPr>
                <w:color w:val="auto"/>
                <w:sz w:val="18"/>
                <w:szCs w:val="18"/>
              </w:rPr>
            </w:pPr>
            <w:r w:rsidRPr="00EC1DF5">
              <w:rPr>
                <w:color w:val="auto"/>
                <w:sz w:val="18"/>
                <w:szCs w:val="18"/>
              </w:rPr>
              <w:t xml:space="preserve">The table shows the panel fixed effect regression results of the pillars of corporate governance and social sustainability. Stepwise regression was employed to show different model results. </w:t>
            </w:r>
            <w:r w:rsidRPr="00EC1DF5">
              <w:rPr>
                <w:b/>
                <w:bCs/>
                <w:color w:val="auto"/>
                <w:sz w:val="18"/>
                <w:szCs w:val="18"/>
              </w:rPr>
              <w:t>Model 1</w:t>
            </w:r>
            <w:r w:rsidRPr="00EC1DF5">
              <w:rPr>
                <w:color w:val="auto"/>
                <w:sz w:val="18"/>
                <w:szCs w:val="18"/>
              </w:rPr>
              <w:t xml:space="preserve"> contains results of all the variables. The independent variables are </w:t>
            </w:r>
            <w:proofErr w:type="spellStart"/>
            <w:r w:rsidRPr="00EC1DF5">
              <w:rPr>
                <w:color w:val="auto"/>
                <w:sz w:val="18"/>
                <w:szCs w:val="18"/>
              </w:rPr>
              <w:t>board</w:t>
            </w:r>
            <w:proofErr w:type="spellEnd"/>
            <w:r w:rsidRPr="00EC1DF5">
              <w:rPr>
                <w:color w:val="auto"/>
                <w:sz w:val="18"/>
                <w:szCs w:val="18"/>
              </w:rPr>
              <w:t xml:space="preserve"> functions </w:t>
            </w:r>
            <w:r w:rsidRPr="00EC1DF5">
              <w:rPr>
                <w:i/>
                <w:color w:val="auto"/>
                <w:sz w:val="18"/>
                <w:szCs w:val="18"/>
              </w:rPr>
              <w:t>(BF),</w:t>
            </w:r>
            <w:r w:rsidRPr="00EC1DF5">
              <w:rPr>
                <w:color w:val="auto"/>
                <w:sz w:val="18"/>
                <w:szCs w:val="18"/>
              </w:rPr>
              <w:t xml:space="preserve"> board structure (</w:t>
            </w:r>
            <w:r w:rsidRPr="00EC1DF5">
              <w:rPr>
                <w:i/>
                <w:color w:val="auto"/>
                <w:sz w:val="18"/>
                <w:szCs w:val="18"/>
              </w:rPr>
              <w:t>BST</w:t>
            </w:r>
            <w:r w:rsidRPr="00EC1DF5">
              <w:rPr>
                <w:color w:val="auto"/>
                <w:sz w:val="18"/>
                <w:szCs w:val="18"/>
              </w:rPr>
              <w:t>), board composition (</w:t>
            </w:r>
            <w:r w:rsidRPr="00EC1DF5">
              <w:rPr>
                <w:i/>
                <w:color w:val="auto"/>
                <w:sz w:val="18"/>
                <w:szCs w:val="18"/>
              </w:rPr>
              <w:t>BC</w:t>
            </w:r>
            <w:r w:rsidRPr="00EC1DF5">
              <w:rPr>
                <w:color w:val="auto"/>
                <w:sz w:val="18"/>
                <w:szCs w:val="18"/>
              </w:rPr>
              <w:t>), board shareholder right (</w:t>
            </w:r>
            <w:r w:rsidRPr="00EC1DF5">
              <w:rPr>
                <w:i/>
                <w:color w:val="auto"/>
                <w:sz w:val="18"/>
                <w:szCs w:val="18"/>
              </w:rPr>
              <w:t>BSR</w:t>
            </w:r>
            <w:r w:rsidRPr="00EC1DF5">
              <w:rPr>
                <w:color w:val="auto"/>
                <w:sz w:val="18"/>
                <w:szCs w:val="18"/>
              </w:rPr>
              <w:t>) and board strategy (</w:t>
            </w:r>
            <w:r w:rsidRPr="00EC1DF5">
              <w:rPr>
                <w:i/>
                <w:color w:val="auto"/>
                <w:sz w:val="18"/>
                <w:szCs w:val="18"/>
              </w:rPr>
              <w:t>BSTR</w:t>
            </w:r>
            <w:r w:rsidRPr="00EC1DF5">
              <w:rPr>
                <w:color w:val="auto"/>
                <w:sz w:val="18"/>
                <w:szCs w:val="18"/>
              </w:rPr>
              <w:t>). We include beta (</w:t>
            </w:r>
            <w:r w:rsidRPr="00EC1DF5">
              <w:rPr>
                <w:i/>
                <w:color w:val="auto"/>
                <w:sz w:val="18"/>
                <w:szCs w:val="18"/>
              </w:rPr>
              <w:t>Beta</w:t>
            </w:r>
            <w:r w:rsidRPr="00EC1DF5">
              <w:rPr>
                <w:color w:val="auto"/>
                <w:sz w:val="18"/>
                <w:szCs w:val="18"/>
              </w:rPr>
              <w:t>), firm size (</w:t>
            </w:r>
            <w:r w:rsidRPr="00EC1DF5">
              <w:rPr>
                <w:i/>
                <w:color w:val="auto"/>
                <w:sz w:val="18"/>
                <w:szCs w:val="18"/>
              </w:rPr>
              <w:t>Size</w:t>
            </w:r>
            <w:r w:rsidRPr="00EC1DF5">
              <w:rPr>
                <w:color w:val="auto"/>
                <w:sz w:val="18"/>
                <w:szCs w:val="18"/>
              </w:rPr>
              <w:t xml:space="preserve">), research and development </w:t>
            </w:r>
            <w:r w:rsidRPr="00EC1DF5">
              <w:rPr>
                <w:i/>
                <w:color w:val="auto"/>
                <w:sz w:val="18"/>
                <w:szCs w:val="18"/>
              </w:rPr>
              <w:t>(R&amp;D</w:t>
            </w:r>
            <w:r w:rsidRPr="00EC1DF5">
              <w:rPr>
                <w:color w:val="auto"/>
                <w:sz w:val="18"/>
                <w:szCs w:val="18"/>
              </w:rPr>
              <w:t>), capital intensity (</w:t>
            </w:r>
            <w:r w:rsidRPr="00EC1DF5">
              <w:rPr>
                <w:i/>
                <w:color w:val="auto"/>
                <w:sz w:val="18"/>
                <w:szCs w:val="18"/>
              </w:rPr>
              <w:t>Capex),</w:t>
            </w:r>
            <w:r w:rsidRPr="00EC1DF5">
              <w:rPr>
                <w:color w:val="auto"/>
                <w:sz w:val="18"/>
                <w:szCs w:val="18"/>
              </w:rPr>
              <w:t xml:space="preserve"> sales growth </w:t>
            </w:r>
            <w:r w:rsidRPr="00EC1DF5">
              <w:rPr>
                <w:i/>
                <w:color w:val="auto"/>
                <w:sz w:val="18"/>
                <w:szCs w:val="18"/>
              </w:rPr>
              <w:t>(Growth</w:t>
            </w:r>
            <w:r w:rsidRPr="00EC1DF5">
              <w:rPr>
                <w:color w:val="auto"/>
                <w:sz w:val="18"/>
                <w:szCs w:val="18"/>
              </w:rPr>
              <w:t>), financial leverage (</w:t>
            </w:r>
            <w:r w:rsidRPr="00EC1DF5">
              <w:rPr>
                <w:i/>
                <w:color w:val="auto"/>
                <w:sz w:val="18"/>
                <w:szCs w:val="18"/>
              </w:rPr>
              <w:t>Leverage</w:t>
            </w:r>
            <w:r w:rsidRPr="00EC1DF5">
              <w:rPr>
                <w:color w:val="auto"/>
                <w:sz w:val="18"/>
                <w:szCs w:val="18"/>
              </w:rPr>
              <w:t>), Business ethics (</w:t>
            </w:r>
            <w:r w:rsidRPr="00EC1DF5">
              <w:rPr>
                <w:i/>
                <w:color w:val="auto"/>
                <w:sz w:val="18"/>
                <w:szCs w:val="18"/>
              </w:rPr>
              <w:t>Ethics</w:t>
            </w:r>
            <w:r w:rsidRPr="00EC1DF5">
              <w:rPr>
                <w:color w:val="auto"/>
                <w:sz w:val="18"/>
                <w:szCs w:val="18"/>
              </w:rPr>
              <w:t>), executives’ community involvement (</w:t>
            </w:r>
            <w:proofErr w:type="spellStart"/>
            <w:r w:rsidRPr="00EC1DF5">
              <w:rPr>
                <w:i/>
                <w:color w:val="auto"/>
                <w:sz w:val="18"/>
                <w:szCs w:val="18"/>
              </w:rPr>
              <w:t>Com_Involve</w:t>
            </w:r>
            <w:proofErr w:type="spellEnd"/>
            <w:r w:rsidRPr="00EC1DF5">
              <w:rPr>
                <w:color w:val="auto"/>
                <w:sz w:val="18"/>
                <w:szCs w:val="18"/>
              </w:rPr>
              <w:t>) and CSR committee (</w:t>
            </w:r>
            <w:r w:rsidRPr="00EC1DF5">
              <w:rPr>
                <w:i/>
                <w:color w:val="auto"/>
                <w:sz w:val="18"/>
                <w:szCs w:val="18"/>
              </w:rPr>
              <w:t xml:space="preserve">CSR </w:t>
            </w:r>
            <w:proofErr w:type="spellStart"/>
            <w:r w:rsidRPr="00EC1DF5">
              <w:rPr>
                <w:i/>
                <w:color w:val="auto"/>
                <w:sz w:val="18"/>
                <w:szCs w:val="18"/>
              </w:rPr>
              <w:t>C’ttee</w:t>
            </w:r>
            <w:proofErr w:type="spellEnd"/>
            <w:r w:rsidRPr="00EC1DF5">
              <w:rPr>
                <w:color w:val="auto"/>
                <w:sz w:val="18"/>
                <w:szCs w:val="18"/>
              </w:rPr>
              <w:t xml:space="preserve">) as control variables. In </w:t>
            </w:r>
            <w:r w:rsidRPr="00EC1DF5">
              <w:rPr>
                <w:b/>
                <w:bCs/>
                <w:color w:val="auto"/>
                <w:sz w:val="18"/>
                <w:szCs w:val="18"/>
              </w:rPr>
              <w:t>Model 2</w:t>
            </w:r>
            <w:r w:rsidRPr="00EC1DF5">
              <w:rPr>
                <w:color w:val="auto"/>
                <w:sz w:val="18"/>
                <w:szCs w:val="18"/>
              </w:rPr>
              <w:t xml:space="preserve">, we use only </w:t>
            </w:r>
            <w:r w:rsidRPr="00EC1DF5">
              <w:rPr>
                <w:i/>
                <w:iCs/>
                <w:color w:val="auto"/>
                <w:sz w:val="18"/>
                <w:szCs w:val="18"/>
              </w:rPr>
              <w:t>BF</w:t>
            </w:r>
            <w:r w:rsidRPr="00EC1DF5">
              <w:rPr>
                <w:color w:val="auto"/>
                <w:sz w:val="18"/>
                <w:szCs w:val="18"/>
              </w:rPr>
              <w:t xml:space="preserve"> as the independent variables while controlling for all the control variables. </w:t>
            </w:r>
            <w:r w:rsidRPr="00EC1DF5">
              <w:rPr>
                <w:b/>
                <w:bCs/>
                <w:color w:val="auto"/>
                <w:sz w:val="18"/>
                <w:szCs w:val="18"/>
              </w:rPr>
              <w:t>In Models 3, 4, 5 and 6</w:t>
            </w:r>
            <w:r w:rsidRPr="00EC1DF5">
              <w:rPr>
                <w:color w:val="auto"/>
                <w:sz w:val="18"/>
                <w:szCs w:val="18"/>
              </w:rPr>
              <w:t xml:space="preserve">, we include </w:t>
            </w:r>
            <w:r w:rsidRPr="00EC1DF5">
              <w:rPr>
                <w:i/>
                <w:iCs/>
                <w:color w:val="auto"/>
                <w:sz w:val="18"/>
                <w:szCs w:val="18"/>
              </w:rPr>
              <w:t>BST, BC, BSR</w:t>
            </w:r>
            <w:r w:rsidRPr="00EC1DF5">
              <w:rPr>
                <w:color w:val="auto"/>
                <w:sz w:val="18"/>
                <w:szCs w:val="18"/>
              </w:rPr>
              <w:t xml:space="preserve"> and </w:t>
            </w:r>
            <w:r w:rsidRPr="00EC1DF5">
              <w:rPr>
                <w:i/>
                <w:iCs/>
                <w:color w:val="auto"/>
                <w:sz w:val="18"/>
                <w:szCs w:val="18"/>
              </w:rPr>
              <w:t>BSTR</w:t>
            </w:r>
            <w:r w:rsidRPr="00EC1DF5">
              <w:rPr>
                <w:color w:val="auto"/>
                <w:sz w:val="18"/>
                <w:szCs w:val="18"/>
              </w:rPr>
              <w:t xml:space="preserve"> respectively. Robust standard errors are in parenthesis *** p&lt;0.01, ** p&lt;0.05, * p&lt;0.1</w:t>
            </w:r>
          </w:p>
        </w:tc>
      </w:tr>
    </w:tbl>
    <w:p w14:paraId="30164CAC" w14:textId="77777777" w:rsidR="00AB41CC" w:rsidRPr="00EC1DF5" w:rsidRDefault="00AB41CC" w:rsidP="00AB41CC">
      <w:pPr>
        <w:rPr>
          <w:color w:val="auto"/>
        </w:rPr>
      </w:pPr>
    </w:p>
    <w:p w14:paraId="62882FBC" w14:textId="77777777" w:rsidR="00AB41CC" w:rsidRPr="00EC1DF5" w:rsidRDefault="00AB41CC" w:rsidP="00AB41CC">
      <w:pPr>
        <w:rPr>
          <w:color w:val="auto"/>
        </w:rPr>
      </w:pPr>
    </w:p>
    <w:p w14:paraId="1D9C238E" w14:textId="77777777" w:rsidR="00AB41CC" w:rsidRPr="00EC1DF5" w:rsidRDefault="00AB41CC" w:rsidP="00AB41CC">
      <w:pPr>
        <w:rPr>
          <w:color w:val="auto"/>
        </w:rPr>
      </w:pPr>
    </w:p>
    <w:p w14:paraId="0A0CB36A" w14:textId="77777777" w:rsidR="00AB41CC" w:rsidRPr="00EC1DF5" w:rsidRDefault="00AB41CC" w:rsidP="00AB41CC">
      <w:pPr>
        <w:rPr>
          <w:color w:val="auto"/>
        </w:rPr>
      </w:pPr>
    </w:p>
    <w:p w14:paraId="244B9F29" w14:textId="77777777" w:rsidR="00AB41CC" w:rsidRPr="00EC1DF5" w:rsidRDefault="00AB41CC" w:rsidP="00AB41CC">
      <w:pPr>
        <w:rPr>
          <w:color w:val="auto"/>
        </w:rPr>
      </w:pPr>
    </w:p>
    <w:p w14:paraId="04259D79" w14:textId="77777777" w:rsidR="00AB41CC" w:rsidRPr="00EC1DF5" w:rsidRDefault="00AB41CC" w:rsidP="00AB41CC">
      <w:pPr>
        <w:rPr>
          <w:color w:val="auto"/>
        </w:rPr>
      </w:pPr>
    </w:p>
    <w:p w14:paraId="3216D990" w14:textId="77777777" w:rsidR="00AB41CC" w:rsidRPr="00EC1DF5" w:rsidRDefault="00AB41CC" w:rsidP="00AB41CC">
      <w:pPr>
        <w:rPr>
          <w:color w:val="auto"/>
        </w:rPr>
        <w:sectPr w:rsidR="00AB41CC" w:rsidRPr="00EC1DF5" w:rsidSect="004D7969">
          <w:pgSz w:w="11906" w:h="16838"/>
          <w:pgMar w:top="567" w:right="567" w:bottom="567" w:left="567" w:header="708" w:footer="624" w:gutter="0"/>
          <w:cols w:space="708"/>
          <w:docGrid w:linePitch="360"/>
        </w:sectPr>
      </w:pPr>
    </w:p>
    <w:p w14:paraId="31A54267" w14:textId="77777777" w:rsidR="00AB41CC" w:rsidRPr="00EC1DF5" w:rsidRDefault="00AB41CC" w:rsidP="00AB41CC">
      <w:pPr>
        <w:pStyle w:val="Caption"/>
        <w:keepNext/>
        <w:rPr>
          <w:b/>
          <w:i w:val="0"/>
          <w:color w:val="auto"/>
          <w:sz w:val="20"/>
          <w:szCs w:val="20"/>
        </w:rPr>
      </w:pPr>
    </w:p>
    <w:p w14:paraId="2BF14222" w14:textId="77777777" w:rsidR="00AB41CC" w:rsidRPr="00EC1DF5" w:rsidRDefault="00AB41CC" w:rsidP="00AB41CC">
      <w:pPr>
        <w:pStyle w:val="Caption"/>
        <w:keepNext/>
        <w:rPr>
          <w:b/>
          <w:i w:val="0"/>
          <w:color w:val="auto"/>
          <w:sz w:val="20"/>
          <w:szCs w:val="20"/>
        </w:rPr>
      </w:pPr>
      <w:r w:rsidRPr="00EC1DF5">
        <w:rPr>
          <w:b/>
          <w:i w:val="0"/>
          <w:color w:val="auto"/>
          <w:sz w:val="20"/>
          <w:szCs w:val="20"/>
        </w:rPr>
        <w:t>Table 6: Fixed Effect and GMM Results (Financial Sustainability and Corporate Governance)</w:t>
      </w:r>
    </w:p>
    <w:tbl>
      <w:tblPr>
        <w:tblW w:w="13827" w:type="dxa"/>
        <w:tblInd w:w="709" w:type="dxa"/>
        <w:tblLayout w:type="fixed"/>
        <w:tblLook w:val="0000" w:firstRow="0" w:lastRow="0" w:firstColumn="0" w:lastColumn="0" w:noHBand="0" w:noVBand="0"/>
      </w:tblPr>
      <w:tblGrid>
        <w:gridCol w:w="2107"/>
        <w:gridCol w:w="868"/>
        <w:gridCol w:w="1250"/>
        <w:gridCol w:w="1200"/>
        <w:gridCol w:w="1200"/>
        <w:gridCol w:w="1200"/>
        <w:gridCol w:w="1200"/>
        <w:gridCol w:w="1200"/>
        <w:gridCol w:w="1115"/>
        <w:gridCol w:w="1134"/>
        <w:gridCol w:w="1353"/>
      </w:tblGrid>
      <w:tr w:rsidR="00EC1DF5" w:rsidRPr="00EC1DF5" w14:paraId="73FCA561" w14:textId="77777777" w:rsidTr="00453380">
        <w:trPr>
          <w:trHeight w:val="420"/>
        </w:trPr>
        <w:tc>
          <w:tcPr>
            <w:tcW w:w="2107" w:type="dxa"/>
            <w:tcBorders>
              <w:top w:val="single" w:sz="4" w:space="0" w:color="auto"/>
              <w:left w:val="nil"/>
              <w:right w:val="nil"/>
            </w:tcBorders>
            <w:vAlign w:val="center"/>
          </w:tcPr>
          <w:p w14:paraId="6182EE96"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868" w:type="dxa"/>
            <w:tcBorders>
              <w:top w:val="single" w:sz="4" w:space="0" w:color="auto"/>
              <w:left w:val="nil"/>
              <w:right w:val="nil"/>
            </w:tcBorders>
          </w:tcPr>
          <w:p w14:paraId="7707E155" w14:textId="77777777" w:rsidR="00AB41CC" w:rsidRPr="00EC1DF5" w:rsidRDefault="00AB41CC" w:rsidP="00453380">
            <w:pPr>
              <w:widowControl w:val="0"/>
              <w:autoSpaceDE w:val="0"/>
              <w:autoSpaceDN w:val="0"/>
              <w:adjustRightInd w:val="0"/>
              <w:spacing w:after="0" w:line="240" w:lineRule="auto"/>
              <w:jc w:val="center"/>
              <w:rPr>
                <w:color w:val="auto"/>
                <w:sz w:val="18"/>
                <w:szCs w:val="18"/>
              </w:rPr>
            </w:pPr>
          </w:p>
        </w:tc>
        <w:tc>
          <w:tcPr>
            <w:tcW w:w="7250" w:type="dxa"/>
            <w:gridSpan w:val="6"/>
            <w:tcBorders>
              <w:top w:val="single" w:sz="4" w:space="0" w:color="auto"/>
              <w:left w:val="nil"/>
              <w:right w:val="nil"/>
            </w:tcBorders>
            <w:vAlign w:val="center"/>
          </w:tcPr>
          <w:p w14:paraId="045C68DA" w14:textId="77777777" w:rsidR="00AB41CC" w:rsidRPr="00EC1DF5" w:rsidRDefault="00AB41CC" w:rsidP="00453380">
            <w:pPr>
              <w:widowControl w:val="0"/>
              <w:autoSpaceDE w:val="0"/>
              <w:autoSpaceDN w:val="0"/>
              <w:adjustRightInd w:val="0"/>
              <w:spacing w:after="0" w:line="240" w:lineRule="auto"/>
              <w:jc w:val="center"/>
              <w:rPr>
                <w:color w:val="auto"/>
                <w:sz w:val="18"/>
                <w:szCs w:val="18"/>
              </w:rPr>
            </w:pPr>
          </w:p>
        </w:tc>
        <w:tc>
          <w:tcPr>
            <w:tcW w:w="3602" w:type="dxa"/>
            <w:gridSpan w:val="3"/>
            <w:tcBorders>
              <w:top w:val="single" w:sz="4" w:space="0" w:color="auto"/>
              <w:left w:val="nil"/>
              <w:bottom w:val="single" w:sz="4" w:space="0" w:color="auto"/>
              <w:right w:val="nil"/>
            </w:tcBorders>
            <w:vAlign w:val="center"/>
          </w:tcPr>
          <w:p w14:paraId="682F271E"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Robustness Tests – 2-STEP GMM</w:t>
            </w:r>
          </w:p>
        </w:tc>
      </w:tr>
      <w:tr w:rsidR="00EC1DF5" w:rsidRPr="00EC1DF5" w14:paraId="1DBC526D" w14:textId="77777777" w:rsidTr="00453380">
        <w:trPr>
          <w:trHeight w:val="564"/>
        </w:trPr>
        <w:tc>
          <w:tcPr>
            <w:tcW w:w="2107" w:type="dxa"/>
            <w:tcBorders>
              <w:left w:val="nil"/>
              <w:right w:val="nil"/>
            </w:tcBorders>
            <w:vAlign w:val="center"/>
          </w:tcPr>
          <w:p w14:paraId="3E616144"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868" w:type="dxa"/>
            <w:tcBorders>
              <w:left w:val="nil"/>
              <w:right w:val="nil"/>
            </w:tcBorders>
          </w:tcPr>
          <w:p w14:paraId="38DD3E40" w14:textId="77777777" w:rsidR="00AB41CC" w:rsidRPr="00EC1DF5" w:rsidRDefault="00AB41CC" w:rsidP="00453380">
            <w:pPr>
              <w:widowControl w:val="0"/>
              <w:autoSpaceDE w:val="0"/>
              <w:autoSpaceDN w:val="0"/>
              <w:adjustRightInd w:val="0"/>
              <w:spacing w:after="0" w:line="240" w:lineRule="auto"/>
              <w:jc w:val="center"/>
              <w:rPr>
                <w:color w:val="auto"/>
                <w:sz w:val="18"/>
                <w:szCs w:val="18"/>
              </w:rPr>
            </w:pPr>
            <w:r w:rsidRPr="00EC1DF5">
              <w:rPr>
                <w:color w:val="auto"/>
                <w:sz w:val="18"/>
                <w:szCs w:val="18"/>
              </w:rPr>
              <w:t>Exp. Sign</w:t>
            </w:r>
          </w:p>
        </w:tc>
        <w:tc>
          <w:tcPr>
            <w:tcW w:w="7250" w:type="dxa"/>
            <w:gridSpan w:val="6"/>
            <w:tcBorders>
              <w:left w:val="nil"/>
              <w:right w:val="nil"/>
            </w:tcBorders>
            <w:vAlign w:val="center"/>
          </w:tcPr>
          <w:p w14:paraId="1AAA0135" w14:textId="77777777" w:rsidR="00AB41CC" w:rsidRPr="00EC1DF5" w:rsidRDefault="00AB41CC" w:rsidP="00453380">
            <w:pPr>
              <w:widowControl w:val="0"/>
              <w:autoSpaceDE w:val="0"/>
              <w:autoSpaceDN w:val="0"/>
              <w:adjustRightInd w:val="0"/>
              <w:spacing w:after="0" w:line="240" w:lineRule="auto"/>
              <w:jc w:val="center"/>
              <w:rPr>
                <w:color w:val="auto"/>
                <w:sz w:val="18"/>
                <w:szCs w:val="18"/>
              </w:rPr>
            </w:pPr>
            <w:r w:rsidRPr="00EC1DF5">
              <w:rPr>
                <w:noProof/>
                <w:color w:val="auto"/>
                <w:sz w:val="18"/>
                <w:szCs w:val="18"/>
                <w:lang w:eastAsia="en-GB"/>
              </w:rPr>
              <mc:AlternateContent>
                <mc:Choice Requires="wps">
                  <w:drawing>
                    <wp:anchor distT="0" distB="0" distL="114300" distR="114300" simplePos="0" relativeHeight="251661312" behindDoc="0" locked="0" layoutInCell="1" allowOverlap="1" wp14:anchorId="0D94749B" wp14:editId="134A13A9">
                      <wp:simplePos x="0" y="0"/>
                      <wp:positionH relativeFrom="column">
                        <wp:posOffset>22225</wp:posOffset>
                      </wp:positionH>
                      <wp:positionV relativeFrom="paragraph">
                        <wp:posOffset>154305</wp:posOffset>
                      </wp:positionV>
                      <wp:extent cx="4125595" cy="0"/>
                      <wp:effectExtent l="0" t="0" r="27305" b="19050"/>
                      <wp:wrapNone/>
                      <wp:docPr id="1" name="Straight Connector 1"/>
                      <wp:cNvGraphicFramePr/>
                      <a:graphic xmlns:a="http://schemas.openxmlformats.org/drawingml/2006/main">
                        <a:graphicData uri="http://schemas.microsoft.com/office/word/2010/wordprocessingShape">
                          <wps:wsp>
                            <wps:cNvCnPr/>
                            <wps:spPr>
                              <a:xfrm flipV="1">
                                <a:off x="0" y="0"/>
                                <a:ext cx="41255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AEE397"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12.15pt" to="326.6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" strokecolor="black [3200]" strokeweight=".5pt">
                      <v:stroke joinstyle="miter"/>
                    </v:line>
                  </w:pict>
                </mc:Fallback>
              </mc:AlternateContent>
            </w:r>
            <w:r w:rsidRPr="00EC1DF5">
              <w:rPr>
                <w:color w:val="auto"/>
                <w:sz w:val="18"/>
                <w:szCs w:val="18"/>
              </w:rPr>
              <w:t>Fixed Effect Panel Regression</w:t>
            </w:r>
          </w:p>
        </w:tc>
        <w:tc>
          <w:tcPr>
            <w:tcW w:w="3602" w:type="dxa"/>
            <w:gridSpan w:val="3"/>
            <w:tcBorders>
              <w:top w:val="single" w:sz="4" w:space="0" w:color="auto"/>
              <w:left w:val="nil"/>
              <w:right w:val="nil"/>
            </w:tcBorders>
            <w:vAlign w:val="center"/>
          </w:tcPr>
          <w:p w14:paraId="06FD0D92"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 xml:space="preserve">      Tobin’s Q                          ROA</w:t>
            </w:r>
          </w:p>
          <w:p w14:paraId="34FE602C" w14:textId="77777777" w:rsidR="00AB41CC" w:rsidRPr="00EC1DF5" w:rsidRDefault="00AB41CC" w:rsidP="00453380">
            <w:pPr>
              <w:widowControl w:val="0"/>
              <w:autoSpaceDE w:val="0"/>
              <w:autoSpaceDN w:val="0"/>
              <w:adjustRightInd w:val="0"/>
              <w:spacing w:after="0" w:line="240" w:lineRule="auto"/>
              <w:jc w:val="center"/>
              <w:rPr>
                <w:color w:val="auto"/>
                <w:sz w:val="18"/>
                <w:szCs w:val="18"/>
              </w:rPr>
            </w:pPr>
            <w:r w:rsidRPr="00EC1DF5">
              <w:rPr>
                <w:noProof/>
                <w:color w:val="auto"/>
                <w:sz w:val="18"/>
                <w:szCs w:val="18"/>
                <w:lang w:eastAsia="en-GB"/>
              </w:rPr>
              <mc:AlternateContent>
                <mc:Choice Requires="wps">
                  <w:drawing>
                    <wp:anchor distT="0" distB="0" distL="114300" distR="114300" simplePos="0" relativeHeight="251662336" behindDoc="0" locked="0" layoutInCell="1" allowOverlap="1" wp14:anchorId="1BE0FA76" wp14:editId="20F53FF6">
                      <wp:simplePos x="0" y="0"/>
                      <wp:positionH relativeFrom="column">
                        <wp:posOffset>-44450</wp:posOffset>
                      </wp:positionH>
                      <wp:positionV relativeFrom="paragraph">
                        <wp:posOffset>55880</wp:posOffset>
                      </wp:positionV>
                      <wp:extent cx="224282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2428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96D87C"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4.4pt" to="173.1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" strokecolor="black [3200]" strokeweight=".5pt">
                      <v:stroke joinstyle="miter"/>
                    </v:line>
                  </w:pict>
                </mc:Fallback>
              </mc:AlternateContent>
            </w:r>
          </w:p>
        </w:tc>
      </w:tr>
      <w:tr w:rsidR="00EC1DF5" w:rsidRPr="00EC1DF5" w14:paraId="3C870D0B" w14:textId="77777777" w:rsidTr="00453380">
        <w:trPr>
          <w:trHeight w:val="132"/>
        </w:trPr>
        <w:tc>
          <w:tcPr>
            <w:tcW w:w="2107" w:type="dxa"/>
            <w:tcBorders>
              <w:left w:val="nil"/>
              <w:bottom w:val="single" w:sz="4" w:space="0" w:color="auto"/>
              <w:right w:val="nil"/>
            </w:tcBorders>
            <w:vAlign w:val="center"/>
          </w:tcPr>
          <w:p w14:paraId="5CB2DC4A"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 xml:space="preserve">   </w:t>
            </w:r>
          </w:p>
        </w:tc>
        <w:tc>
          <w:tcPr>
            <w:tcW w:w="868" w:type="dxa"/>
            <w:tcBorders>
              <w:left w:val="nil"/>
              <w:bottom w:val="single" w:sz="4" w:space="0" w:color="auto"/>
              <w:right w:val="nil"/>
            </w:tcBorders>
          </w:tcPr>
          <w:p w14:paraId="54B9E1AB"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50" w:type="dxa"/>
            <w:tcBorders>
              <w:left w:val="nil"/>
              <w:bottom w:val="single" w:sz="4" w:space="0" w:color="auto"/>
              <w:right w:val="nil"/>
            </w:tcBorders>
            <w:vAlign w:val="center"/>
          </w:tcPr>
          <w:p w14:paraId="7A132E57"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(1)</w:t>
            </w:r>
          </w:p>
        </w:tc>
        <w:tc>
          <w:tcPr>
            <w:tcW w:w="1200" w:type="dxa"/>
            <w:tcBorders>
              <w:left w:val="nil"/>
              <w:bottom w:val="single" w:sz="4" w:space="0" w:color="auto"/>
              <w:right w:val="nil"/>
            </w:tcBorders>
            <w:vAlign w:val="center"/>
          </w:tcPr>
          <w:p w14:paraId="4CE5BBE9"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(2)</w:t>
            </w:r>
          </w:p>
        </w:tc>
        <w:tc>
          <w:tcPr>
            <w:tcW w:w="1200" w:type="dxa"/>
            <w:tcBorders>
              <w:left w:val="nil"/>
              <w:bottom w:val="single" w:sz="4" w:space="0" w:color="auto"/>
              <w:right w:val="nil"/>
            </w:tcBorders>
            <w:vAlign w:val="center"/>
          </w:tcPr>
          <w:p w14:paraId="2466C0AC"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(3)</w:t>
            </w:r>
          </w:p>
        </w:tc>
        <w:tc>
          <w:tcPr>
            <w:tcW w:w="1200" w:type="dxa"/>
            <w:tcBorders>
              <w:left w:val="nil"/>
              <w:bottom w:val="single" w:sz="4" w:space="0" w:color="auto"/>
              <w:right w:val="nil"/>
            </w:tcBorders>
            <w:vAlign w:val="center"/>
          </w:tcPr>
          <w:p w14:paraId="14FA56F6"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(4)</w:t>
            </w:r>
          </w:p>
        </w:tc>
        <w:tc>
          <w:tcPr>
            <w:tcW w:w="1200" w:type="dxa"/>
            <w:tcBorders>
              <w:left w:val="nil"/>
              <w:bottom w:val="single" w:sz="4" w:space="0" w:color="auto"/>
              <w:right w:val="nil"/>
            </w:tcBorders>
            <w:vAlign w:val="center"/>
          </w:tcPr>
          <w:p w14:paraId="62E6D1FD"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(5)</w:t>
            </w:r>
          </w:p>
        </w:tc>
        <w:tc>
          <w:tcPr>
            <w:tcW w:w="1200" w:type="dxa"/>
            <w:tcBorders>
              <w:left w:val="nil"/>
              <w:bottom w:val="single" w:sz="4" w:space="0" w:color="auto"/>
              <w:right w:val="nil"/>
            </w:tcBorders>
            <w:vAlign w:val="center"/>
          </w:tcPr>
          <w:p w14:paraId="4C12C0B5"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(6)</w:t>
            </w:r>
          </w:p>
        </w:tc>
        <w:tc>
          <w:tcPr>
            <w:tcW w:w="1115" w:type="dxa"/>
            <w:tcBorders>
              <w:left w:val="nil"/>
              <w:bottom w:val="single" w:sz="4" w:space="0" w:color="auto"/>
              <w:right w:val="nil"/>
            </w:tcBorders>
            <w:vAlign w:val="center"/>
          </w:tcPr>
          <w:p w14:paraId="0677CBE1"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(7)</w:t>
            </w:r>
          </w:p>
        </w:tc>
        <w:tc>
          <w:tcPr>
            <w:tcW w:w="1134" w:type="dxa"/>
            <w:tcBorders>
              <w:left w:val="nil"/>
              <w:bottom w:val="single" w:sz="4" w:space="0" w:color="auto"/>
              <w:right w:val="nil"/>
            </w:tcBorders>
            <w:vAlign w:val="center"/>
          </w:tcPr>
          <w:p w14:paraId="3CD52E56"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(8)</w:t>
            </w:r>
          </w:p>
        </w:tc>
        <w:tc>
          <w:tcPr>
            <w:tcW w:w="1353" w:type="dxa"/>
            <w:tcBorders>
              <w:left w:val="nil"/>
              <w:bottom w:val="single" w:sz="4" w:space="0" w:color="auto"/>
              <w:right w:val="nil"/>
            </w:tcBorders>
            <w:vAlign w:val="center"/>
          </w:tcPr>
          <w:p w14:paraId="595F6A8A"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(9)</w:t>
            </w:r>
          </w:p>
        </w:tc>
      </w:tr>
      <w:tr w:rsidR="00EC1DF5" w:rsidRPr="00EC1DF5" w14:paraId="59C0BA69" w14:textId="77777777" w:rsidTr="00453380">
        <w:tc>
          <w:tcPr>
            <w:tcW w:w="2107" w:type="dxa"/>
            <w:tcBorders>
              <w:top w:val="single" w:sz="4" w:space="0" w:color="auto"/>
              <w:left w:val="nil"/>
              <w:bottom w:val="nil"/>
              <w:right w:val="nil"/>
            </w:tcBorders>
            <w:vAlign w:val="center"/>
          </w:tcPr>
          <w:p w14:paraId="240C41D4"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 xml:space="preserve">L1. </w:t>
            </w:r>
            <w:proofErr w:type="spellStart"/>
            <w:r w:rsidRPr="00EC1DF5">
              <w:rPr>
                <w:color w:val="auto"/>
                <w:sz w:val="18"/>
                <w:szCs w:val="18"/>
              </w:rPr>
              <w:t>TobinsQ</w:t>
            </w:r>
            <w:proofErr w:type="spellEnd"/>
          </w:p>
        </w:tc>
        <w:tc>
          <w:tcPr>
            <w:tcW w:w="868" w:type="dxa"/>
            <w:tcBorders>
              <w:top w:val="single" w:sz="4" w:space="0" w:color="auto"/>
              <w:left w:val="nil"/>
              <w:bottom w:val="nil"/>
              <w:right w:val="nil"/>
            </w:tcBorders>
          </w:tcPr>
          <w:p w14:paraId="05462BE6"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50" w:type="dxa"/>
            <w:tcBorders>
              <w:top w:val="single" w:sz="4" w:space="0" w:color="auto"/>
              <w:left w:val="nil"/>
              <w:bottom w:val="nil"/>
              <w:right w:val="nil"/>
            </w:tcBorders>
            <w:vAlign w:val="center"/>
          </w:tcPr>
          <w:p w14:paraId="700ECDC6"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single" w:sz="4" w:space="0" w:color="auto"/>
              <w:left w:val="nil"/>
              <w:bottom w:val="nil"/>
              <w:right w:val="nil"/>
            </w:tcBorders>
            <w:vAlign w:val="center"/>
          </w:tcPr>
          <w:p w14:paraId="02F9201E"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single" w:sz="4" w:space="0" w:color="auto"/>
              <w:left w:val="nil"/>
              <w:bottom w:val="nil"/>
              <w:right w:val="nil"/>
            </w:tcBorders>
            <w:vAlign w:val="center"/>
          </w:tcPr>
          <w:p w14:paraId="2A51C3B1"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single" w:sz="4" w:space="0" w:color="auto"/>
              <w:left w:val="nil"/>
              <w:bottom w:val="nil"/>
              <w:right w:val="nil"/>
            </w:tcBorders>
            <w:vAlign w:val="center"/>
          </w:tcPr>
          <w:p w14:paraId="1DCD17E6"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single" w:sz="4" w:space="0" w:color="auto"/>
              <w:left w:val="nil"/>
              <w:bottom w:val="nil"/>
              <w:right w:val="nil"/>
            </w:tcBorders>
            <w:vAlign w:val="center"/>
          </w:tcPr>
          <w:p w14:paraId="601A9EAE"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single" w:sz="4" w:space="0" w:color="auto"/>
              <w:left w:val="nil"/>
              <w:bottom w:val="nil"/>
              <w:right w:val="nil"/>
            </w:tcBorders>
            <w:vAlign w:val="center"/>
          </w:tcPr>
          <w:p w14:paraId="78466807"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115" w:type="dxa"/>
            <w:tcBorders>
              <w:top w:val="single" w:sz="4" w:space="0" w:color="auto"/>
              <w:left w:val="nil"/>
              <w:bottom w:val="nil"/>
              <w:right w:val="nil"/>
            </w:tcBorders>
            <w:vAlign w:val="center"/>
          </w:tcPr>
          <w:p w14:paraId="4011C72F"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0.556***</w:t>
            </w:r>
          </w:p>
        </w:tc>
        <w:tc>
          <w:tcPr>
            <w:tcW w:w="1134" w:type="dxa"/>
            <w:tcBorders>
              <w:top w:val="single" w:sz="4" w:space="0" w:color="auto"/>
              <w:left w:val="nil"/>
              <w:bottom w:val="nil"/>
              <w:right w:val="nil"/>
            </w:tcBorders>
            <w:vAlign w:val="center"/>
          </w:tcPr>
          <w:p w14:paraId="05132C9F"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0.489***</w:t>
            </w:r>
          </w:p>
        </w:tc>
        <w:tc>
          <w:tcPr>
            <w:tcW w:w="1353" w:type="dxa"/>
            <w:tcBorders>
              <w:top w:val="single" w:sz="4" w:space="0" w:color="auto"/>
              <w:left w:val="nil"/>
              <w:bottom w:val="nil"/>
              <w:right w:val="nil"/>
            </w:tcBorders>
          </w:tcPr>
          <w:p w14:paraId="4BA37B5F" w14:textId="77777777" w:rsidR="00AB41CC" w:rsidRPr="00EC1DF5" w:rsidRDefault="00AB41CC" w:rsidP="00453380">
            <w:pPr>
              <w:widowControl w:val="0"/>
              <w:autoSpaceDE w:val="0"/>
              <w:autoSpaceDN w:val="0"/>
              <w:adjustRightInd w:val="0"/>
              <w:spacing w:after="0" w:line="240" w:lineRule="auto"/>
              <w:rPr>
                <w:color w:val="auto"/>
                <w:sz w:val="18"/>
                <w:szCs w:val="18"/>
              </w:rPr>
            </w:pPr>
          </w:p>
        </w:tc>
      </w:tr>
      <w:tr w:rsidR="00EC1DF5" w:rsidRPr="00EC1DF5" w14:paraId="6F3BA370" w14:textId="77777777" w:rsidTr="00453380">
        <w:tc>
          <w:tcPr>
            <w:tcW w:w="2107" w:type="dxa"/>
            <w:tcBorders>
              <w:top w:val="nil"/>
              <w:left w:val="nil"/>
              <w:bottom w:val="nil"/>
              <w:right w:val="nil"/>
            </w:tcBorders>
            <w:vAlign w:val="center"/>
          </w:tcPr>
          <w:p w14:paraId="51BC323F"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868" w:type="dxa"/>
            <w:tcBorders>
              <w:top w:val="nil"/>
              <w:left w:val="nil"/>
              <w:bottom w:val="nil"/>
              <w:right w:val="nil"/>
            </w:tcBorders>
          </w:tcPr>
          <w:p w14:paraId="3BE08E80"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50" w:type="dxa"/>
            <w:tcBorders>
              <w:top w:val="nil"/>
              <w:left w:val="nil"/>
              <w:bottom w:val="nil"/>
              <w:right w:val="nil"/>
            </w:tcBorders>
            <w:vAlign w:val="center"/>
          </w:tcPr>
          <w:p w14:paraId="30C7A8C1"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76A1CF4C"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389A98FC"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1DEBD77C"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7BB68503"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2419C38B"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115" w:type="dxa"/>
            <w:tcBorders>
              <w:top w:val="nil"/>
              <w:left w:val="nil"/>
              <w:bottom w:val="nil"/>
              <w:right w:val="nil"/>
            </w:tcBorders>
            <w:vAlign w:val="center"/>
          </w:tcPr>
          <w:p w14:paraId="0B6F844A"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(0.068)</w:t>
            </w:r>
          </w:p>
        </w:tc>
        <w:tc>
          <w:tcPr>
            <w:tcW w:w="1134" w:type="dxa"/>
            <w:tcBorders>
              <w:top w:val="nil"/>
              <w:left w:val="nil"/>
              <w:bottom w:val="nil"/>
              <w:right w:val="nil"/>
            </w:tcBorders>
            <w:vAlign w:val="center"/>
          </w:tcPr>
          <w:p w14:paraId="5032C7B9"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(0.082)</w:t>
            </w:r>
          </w:p>
        </w:tc>
        <w:tc>
          <w:tcPr>
            <w:tcW w:w="1353" w:type="dxa"/>
            <w:tcBorders>
              <w:top w:val="nil"/>
              <w:left w:val="nil"/>
              <w:bottom w:val="nil"/>
              <w:right w:val="nil"/>
            </w:tcBorders>
          </w:tcPr>
          <w:p w14:paraId="4724F0EE" w14:textId="77777777" w:rsidR="00AB41CC" w:rsidRPr="00EC1DF5" w:rsidRDefault="00AB41CC" w:rsidP="00453380">
            <w:pPr>
              <w:widowControl w:val="0"/>
              <w:autoSpaceDE w:val="0"/>
              <w:autoSpaceDN w:val="0"/>
              <w:adjustRightInd w:val="0"/>
              <w:spacing w:after="0" w:line="240" w:lineRule="auto"/>
              <w:rPr>
                <w:color w:val="auto"/>
                <w:sz w:val="18"/>
                <w:szCs w:val="18"/>
              </w:rPr>
            </w:pPr>
          </w:p>
        </w:tc>
      </w:tr>
      <w:tr w:rsidR="00EC1DF5" w:rsidRPr="00EC1DF5" w14:paraId="056418CE" w14:textId="77777777" w:rsidTr="00453380">
        <w:tc>
          <w:tcPr>
            <w:tcW w:w="2107" w:type="dxa"/>
            <w:tcBorders>
              <w:top w:val="nil"/>
              <w:left w:val="nil"/>
              <w:bottom w:val="nil"/>
              <w:right w:val="nil"/>
            </w:tcBorders>
            <w:vAlign w:val="center"/>
          </w:tcPr>
          <w:p w14:paraId="5DF9FCBE"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 xml:space="preserve">L2. </w:t>
            </w:r>
            <w:proofErr w:type="spellStart"/>
            <w:r w:rsidRPr="00EC1DF5">
              <w:rPr>
                <w:color w:val="auto"/>
                <w:sz w:val="18"/>
                <w:szCs w:val="18"/>
              </w:rPr>
              <w:t>TobinsQ</w:t>
            </w:r>
            <w:proofErr w:type="spellEnd"/>
          </w:p>
        </w:tc>
        <w:tc>
          <w:tcPr>
            <w:tcW w:w="868" w:type="dxa"/>
            <w:tcBorders>
              <w:top w:val="nil"/>
              <w:left w:val="nil"/>
              <w:bottom w:val="nil"/>
              <w:right w:val="nil"/>
            </w:tcBorders>
          </w:tcPr>
          <w:p w14:paraId="5A61E501"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50" w:type="dxa"/>
            <w:tcBorders>
              <w:top w:val="nil"/>
              <w:left w:val="nil"/>
              <w:bottom w:val="nil"/>
              <w:right w:val="nil"/>
            </w:tcBorders>
            <w:vAlign w:val="center"/>
          </w:tcPr>
          <w:p w14:paraId="789B4B59"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78A69C6D"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2ACBEE9F"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6C8E0853"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1FE24BB2"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477EA2BC"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115" w:type="dxa"/>
            <w:tcBorders>
              <w:top w:val="nil"/>
              <w:left w:val="nil"/>
              <w:bottom w:val="nil"/>
              <w:right w:val="nil"/>
            </w:tcBorders>
            <w:vAlign w:val="center"/>
          </w:tcPr>
          <w:p w14:paraId="6035F38A"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134" w:type="dxa"/>
            <w:tcBorders>
              <w:top w:val="nil"/>
              <w:left w:val="nil"/>
              <w:bottom w:val="nil"/>
              <w:right w:val="nil"/>
            </w:tcBorders>
            <w:vAlign w:val="center"/>
          </w:tcPr>
          <w:p w14:paraId="10CCEEE5"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0.113***</w:t>
            </w:r>
          </w:p>
        </w:tc>
        <w:tc>
          <w:tcPr>
            <w:tcW w:w="1353" w:type="dxa"/>
            <w:tcBorders>
              <w:top w:val="nil"/>
              <w:left w:val="nil"/>
              <w:bottom w:val="nil"/>
              <w:right w:val="nil"/>
            </w:tcBorders>
          </w:tcPr>
          <w:p w14:paraId="20F5810A" w14:textId="77777777" w:rsidR="00AB41CC" w:rsidRPr="00EC1DF5" w:rsidRDefault="00AB41CC" w:rsidP="00453380">
            <w:pPr>
              <w:widowControl w:val="0"/>
              <w:autoSpaceDE w:val="0"/>
              <w:autoSpaceDN w:val="0"/>
              <w:adjustRightInd w:val="0"/>
              <w:spacing w:after="0" w:line="240" w:lineRule="auto"/>
              <w:rPr>
                <w:color w:val="auto"/>
                <w:sz w:val="18"/>
                <w:szCs w:val="18"/>
              </w:rPr>
            </w:pPr>
          </w:p>
        </w:tc>
      </w:tr>
      <w:tr w:rsidR="00EC1DF5" w:rsidRPr="00EC1DF5" w14:paraId="3486C307" w14:textId="77777777" w:rsidTr="00453380">
        <w:tc>
          <w:tcPr>
            <w:tcW w:w="2107" w:type="dxa"/>
            <w:tcBorders>
              <w:top w:val="nil"/>
              <w:left w:val="nil"/>
              <w:bottom w:val="nil"/>
              <w:right w:val="nil"/>
            </w:tcBorders>
            <w:vAlign w:val="center"/>
          </w:tcPr>
          <w:p w14:paraId="6C1844D7"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868" w:type="dxa"/>
            <w:tcBorders>
              <w:top w:val="nil"/>
              <w:left w:val="nil"/>
              <w:bottom w:val="nil"/>
              <w:right w:val="nil"/>
            </w:tcBorders>
          </w:tcPr>
          <w:p w14:paraId="7A15DA2C"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50" w:type="dxa"/>
            <w:tcBorders>
              <w:top w:val="nil"/>
              <w:left w:val="nil"/>
              <w:bottom w:val="nil"/>
              <w:right w:val="nil"/>
            </w:tcBorders>
            <w:vAlign w:val="center"/>
          </w:tcPr>
          <w:p w14:paraId="335FC3BE"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7BE5304E"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227B09D6"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653526FD"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4325A65B"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166BC0DC"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115" w:type="dxa"/>
            <w:tcBorders>
              <w:top w:val="nil"/>
              <w:left w:val="nil"/>
              <w:bottom w:val="nil"/>
              <w:right w:val="nil"/>
            </w:tcBorders>
            <w:vAlign w:val="center"/>
          </w:tcPr>
          <w:p w14:paraId="3ED27C8E"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134" w:type="dxa"/>
            <w:tcBorders>
              <w:top w:val="nil"/>
              <w:left w:val="nil"/>
              <w:bottom w:val="nil"/>
              <w:right w:val="nil"/>
            </w:tcBorders>
            <w:vAlign w:val="center"/>
          </w:tcPr>
          <w:p w14:paraId="2C013C1D"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(0.035)</w:t>
            </w:r>
          </w:p>
        </w:tc>
        <w:tc>
          <w:tcPr>
            <w:tcW w:w="1353" w:type="dxa"/>
            <w:tcBorders>
              <w:top w:val="nil"/>
              <w:left w:val="nil"/>
              <w:bottom w:val="nil"/>
              <w:right w:val="nil"/>
            </w:tcBorders>
          </w:tcPr>
          <w:p w14:paraId="466BE6EC" w14:textId="77777777" w:rsidR="00AB41CC" w:rsidRPr="00EC1DF5" w:rsidRDefault="00AB41CC" w:rsidP="00453380">
            <w:pPr>
              <w:widowControl w:val="0"/>
              <w:autoSpaceDE w:val="0"/>
              <w:autoSpaceDN w:val="0"/>
              <w:adjustRightInd w:val="0"/>
              <w:spacing w:after="0" w:line="240" w:lineRule="auto"/>
              <w:rPr>
                <w:color w:val="auto"/>
                <w:sz w:val="18"/>
                <w:szCs w:val="18"/>
              </w:rPr>
            </w:pPr>
          </w:p>
        </w:tc>
      </w:tr>
      <w:tr w:rsidR="00EC1DF5" w:rsidRPr="00EC1DF5" w14:paraId="34509032" w14:textId="77777777" w:rsidTr="00453380">
        <w:tc>
          <w:tcPr>
            <w:tcW w:w="2107" w:type="dxa"/>
            <w:tcBorders>
              <w:top w:val="nil"/>
              <w:left w:val="nil"/>
              <w:bottom w:val="nil"/>
              <w:right w:val="nil"/>
            </w:tcBorders>
            <w:vAlign w:val="center"/>
          </w:tcPr>
          <w:p w14:paraId="30F4AE79"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L1. ROA</w:t>
            </w:r>
          </w:p>
        </w:tc>
        <w:tc>
          <w:tcPr>
            <w:tcW w:w="868" w:type="dxa"/>
            <w:tcBorders>
              <w:top w:val="nil"/>
              <w:left w:val="nil"/>
              <w:bottom w:val="nil"/>
              <w:right w:val="nil"/>
            </w:tcBorders>
          </w:tcPr>
          <w:p w14:paraId="35D62403"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50" w:type="dxa"/>
            <w:tcBorders>
              <w:top w:val="nil"/>
              <w:left w:val="nil"/>
              <w:bottom w:val="nil"/>
              <w:right w:val="nil"/>
            </w:tcBorders>
            <w:vAlign w:val="center"/>
          </w:tcPr>
          <w:p w14:paraId="73304893"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1E5D262B"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768DEF59"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3E241E38"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0AA831F9"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7191D8F3"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115" w:type="dxa"/>
            <w:tcBorders>
              <w:top w:val="nil"/>
              <w:left w:val="nil"/>
              <w:bottom w:val="nil"/>
              <w:right w:val="nil"/>
            </w:tcBorders>
            <w:vAlign w:val="center"/>
          </w:tcPr>
          <w:p w14:paraId="033CC4AA"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134" w:type="dxa"/>
            <w:tcBorders>
              <w:top w:val="nil"/>
              <w:left w:val="nil"/>
              <w:bottom w:val="nil"/>
              <w:right w:val="nil"/>
            </w:tcBorders>
            <w:vAlign w:val="center"/>
          </w:tcPr>
          <w:p w14:paraId="4D514DE7"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353" w:type="dxa"/>
            <w:tcBorders>
              <w:top w:val="nil"/>
              <w:left w:val="nil"/>
              <w:bottom w:val="nil"/>
              <w:right w:val="nil"/>
            </w:tcBorders>
          </w:tcPr>
          <w:p w14:paraId="43266DD6"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0.313***</w:t>
            </w:r>
          </w:p>
        </w:tc>
      </w:tr>
      <w:tr w:rsidR="00EC1DF5" w:rsidRPr="00EC1DF5" w14:paraId="263AFCC7" w14:textId="77777777" w:rsidTr="00453380">
        <w:tc>
          <w:tcPr>
            <w:tcW w:w="2107" w:type="dxa"/>
            <w:tcBorders>
              <w:top w:val="nil"/>
              <w:left w:val="nil"/>
              <w:bottom w:val="nil"/>
              <w:right w:val="nil"/>
            </w:tcBorders>
            <w:vAlign w:val="center"/>
          </w:tcPr>
          <w:p w14:paraId="11B8A5C2"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868" w:type="dxa"/>
            <w:tcBorders>
              <w:top w:val="nil"/>
              <w:left w:val="nil"/>
              <w:bottom w:val="nil"/>
              <w:right w:val="nil"/>
            </w:tcBorders>
          </w:tcPr>
          <w:p w14:paraId="73BBC3E9"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50" w:type="dxa"/>
            <w:tcBorders>
              <w:top w:val="nil"/>
              <w:left w:val="nil"/>
              <w:bottom w:val="nil"/>
              <w:right w:val="nil"/>
            </w:tcBorders>
            <w:vAlign w:val="center"/>
          </w:tcPr>
          <w:p w14:paraId="0557C9F1"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13EAE59D"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35778151"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44A8CCA1"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1ABF0BEA"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2E38D82A"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115" w:type="dxa"/>
            <w:tcBorders>
              <w:top w:val="nil"/>
              <w:left w:val="nil"/>
              <w:bottom w:val="nil"/>
              <w:right w:val="nil"/>
            </w:tcBorders>
            <w:vAlign w:val="center"/>
          </w:tcPr>
          <w:p w14:paraId="55C99A06"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134" w:type="dxa"/>
            <w:tcBorders>
              <w:top w:val="nil"/>
              <w:left w:val="nil"/>
              <w:bottom w:val="nil"/>
              <w:right w:val="nil"/>
            </w:tcBorders>
            <w:vAlign w:val="center"/>
          </w:tcPr>
          <w:p w14:paraId="3226BF0F"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353" w:type="dxa"/>
            <w:tcBorders>
              <w:top w:val="nil"/>
              <w:left w:val="nil"/>
              <w:bottom w:val="nil"/>
              <w:right w:val="nil"/>
            </w:tcBorders>
          </w:tcPr>
          <w:p w14:paraId="137C64FD"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(0.091)</w:t>
            </w:r>
          </w:p>
        </w:tc>
      </w:tr>
      <w:tr w:rsidR="00EC1DF5" w:rsidRPr="00EC1DF5" w14:paraId="3C5EEF3B" w14:textId="77777777" w:rsidTr="00453380">
        <w:tc>
          <w:tcPr>
            <w:tcW w:w="2107" w:type="dxa"/>
            <w:tcBorders>
              <w:top w:val="nil"/>
              <w:left w:val="nil"/>
              <w:bottom w:val="nil"/>
              <w:right w:val="nil"/>
            </w:tcBorders>
            <w:vAlign w:val="center"/>
          </w:tcPr>
          <w:p w14:paraId="400020FB"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 xml:space="preserve"> </w:t>
            </w:r>
            <w:r w:rsidRPr="00EC1DF5">
              <w:rPr>
                <w:i/>
                <w:color w:val="auto"/>
                <w:sz w:val="18"/>
                <w:szCs w:val="18"/>
              </w:rPr>
              <w:t>BF</w:t>
            </w:r>
          </w:p>
        </w:tc>
        <w:tc>
          <w:tcPr>
            <w:tcW w:w="868" w:type="dxa"/>
            <w:tcBorders>
              <w:top w:val="nil"/>
              <w:left w:val="nil"/>
              <w:bottom w:val="nil"/>
              <w:right w:val="nil"/>
            </w:tcBorders>
          </w:tcPr>
          <w:p w14:paraId="5FFE09FC"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w:t>
            </w:r>
          </w:p>
        </w:tc>
        <w:tc>
          <w:tcPr>
            <w:tcW w:w="1250" w:type="dxa"/>
            <w:tcBorders>
              <w:top w:val="nil"/>
              <w:left w:val="nil"/>
              <w:bottom w:val="nil"/>
              <w:right w:val="nil"/>
            </w:tcBorders>
            <w:vAlign w:val="center"/>
          </w:tcPr>
          <w:p w14:paraId="2FD1E95B"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-0.151</w:t>
            </w:r>
          </w:p>
        </w:tc>
        <w:tc>
          <w:tcPr>
            <w:tcW w:w="1200" w:type="dxa"/>
            <w:tcBorders>
              <w:top w:val="nil"/>
              <w:left w:val="nil"/>
              <w:bottom w:val="nil"/>
              <w:right w:val="nil"/>
            </w:tcBorders>
            <w:vAlign w:val="center"/>
          </w:tcPr>
          <w:p w14:paraId="22F2159D"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-0.109</w:t>
            </w:r>
          </w:p>
        </w:tc>
        <w:tc>
          <w:tcPr>
            <w:tcW w:w="1200" w:type="dxa"/>
            <w:tcBorders>
              <w:top w:val="nil"/>
              <w:left w:val="nil"/>
              <w:bottom w:val="nil"/>
              <w:right w:val="nil"/>
            </w:tcBorders>
            <w:vAlign w:val="center"/>
          </w:tcPr>
          <w:p w14:paraId="3C33DB70"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2C762264"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4B1233D7"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145B8CF5"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115" w:type="dxa"/>
            <w:tcBorders>
              <w:top w:val="nil"/>
              <w:left w:val="nil"/>
              <w:bottom w:val="nil"/>
              <w:right w:val="nil"/>
            </w:tcBorders>
            <w:vAlign w:val="center"/>
          </w:tcPr>
          <w:p w14:paraId="173B6248"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0.065</w:t>
            </w:r>
          </w:p>
        </w:tc>
        <w:tc>
          <w:tcPr>
            <w:tcW w:w="1134" w:type="dxa"/>
            <w:tcBorders>
              <w:top w:val="nil"/>
              <w:left w:val="nil"/>
              <w:bottom w:val="nil"/>
              <w:right w:val="nil"/>
            </w:tcBorders>
            <w:vAlign w:val="center"/>
          </w:tcPr>
          <w:p w14:paraId="5C361E60"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0.079**</w:t>
            </w:r>
          </w:p>
        </w:tc>
        <w:tc>
          <w:tcPr>
            <w:tcW w:w="1353" w:type="dxa"/>
            <w:tcBorders>
              <w:top w:val="nil"/>
              <w:left w:val="nil"/>
              <w:bottom w:val="nil"/>
              <w:right w:val="nil"/>
            </w:tcBorders>
          </w:tcPr>
          <w:p w14:paraId="233827E3"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-0.211</w:t>
            </w:r>
          </w:p>
        </w:tc>
      </w:tr>
      <w:tr w:rsidR="00EC1DF5" w:rsidRPr="00EC1DF5" w14:paraId="10B295A0" w14:textId="77777777" w:rsidTr="00453380">
        <w:tc>
          <w:tcPr>
            <w:tcW w:w="2107" w:type="dxa"/>
            <w:tcBorders>
              <w:top w:val="nil"/>
              <w:left w:val="nil"/>
              <w:bottom w:val="nil"/>
              <w:right w:val="nil"/>
            </w:tcBorders>
            <w:vAlign w:val="center"/>
          </w:tcPr>
          <w:p w14:paraId="210C7404"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 xml:space="preserve">  </w:t>
            </w:r>
          </w:p>
        </w:tc>
        <w:tc>
          <w:tcPr>
            <w:tcW w:w="868" w:type="dxa"/>
            <w:tcBorders>
              <w:top w:val="nil"/>
              <w:left w:val="nil"/>
              <w:bottom w:val="nil"/>
              <w:right w:val="nil"/>
            </w:tcBorders>
          </w:tcPr>
          <w:p w14:paraId="75CB7F2A"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50" w:type="dxa"/>
            <w:tcBorders>
              <w:top w:val="nil"/>
              <w:left w:val="nil"/>
              <w:bottom w:val="nil"/>
              <w:right w:val="nil"/>
            </w:tcBorders>
            <w:vAlign w:val="center"/>
          </w:tcPr>
          <w:p w14:paraId="1ADA5390"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(0.177)</w:t>
            </w:r>
          </w:p>
        </w:tc>
        <w:tc>
          <w:tcPr>
            <w:tcW w:w="1200" w:type="dxa"/>
            <w:tcBorders>
              <w:top w:val="nil"/>
              <w:left w:val="nil"/>
              <w:bottom w:val="nil"/>
              <w:right w:val="nil"/>
            </w:tcBorders>
            <w:vAlign w:val="center"/>
          </w:tcPr>
          <w:p w14:paraId="44C484F8"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(0.163)</w:t>
            </w:r>
          </w:p>
        </w:tc>
        <w:tc>
          <w:tcPr>
            <w:tcW w:w="1200" w:type="dxa"/>
            <w:tcBorders>
              <w:top w:val="nil"/>
              <w:left w:val="nil"/>
              <w:bottom w:val="nil"/>
              <w:right w:val="nil"/>
            </w:tcBorders>
            <w:vAlign w:val="center"/>
          </w:tcPr>
          <w:p w14:paraId="422DE6C6"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75FB1B1C"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3D4BF191"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257F0CD6"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115" w:type="dxa"/>
            <w:tcBorders>
              <w:top w:val="nil"/>
              <w:left w:val="nil"/>
              <w:bottom w:val="nil"/>
              <w:right w:val="nil"/>
            </w:tcBorders>
            <w:vAlign w:val="center"/>
          </w:tcPr>
          <w:p w14:paraId="161C3A52"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(0.042)</w:t>
            </w:r>
          </w:p>
        </w:tc>
        <w:tc>
          <w:tcPr>
            <w:tcW w:w="1134" w:type="dxa"/>
            <w:tcBorders>
              <w:top w:val="nil"/>
              <w:left w:val="nil"/>
              <w:bottom w:val="nil"/>
              <w:right w:val="nil"/>
            </w:tcBorders>
            <w:vAlign w:val="center"/>
          </w:tcPr>
          <w:p w14:paraId="53F627B1"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(0.039)</w:t>
            </w:r>
          </w:p>
        </w:tc>
        <w:tc>
          <w:tcPr>
            <w:tcW w:w="1353" w:type="dxa"/>
            <w:tcBorders>
              <w:top w:val="nil"/>
              <w:left w:val="nil"/>
              <w:bottom w:val="nil"/>
              <w:right w:val="nil"/>
            </w:tcBorders>
          </w:tcPr>
          <w:p w14:paraId="255D8B37"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(0.256)</w:t>
            </w:r>
          </w:p>
        </w:tc>
      </w:tr>
      <w:tr w:rsidR="00EC1DF5" w:rsidRPr="00EC1DF5" w14:paraId="51C690FB" w14:textId="77777777" w:rsidTr="00453380">
        <w:tc>
          <w:tcPr>
            <w:tcW w:w="2107" w:type="dxa"/>
            <w:tcBorders>
              <w:top w:val="nil"/>
              <w:left w:val="nil"/>
              <w:bottom w:val="nil"/>
              <w:right w:val="nil"/>
            </w:tcBorders>
            <w:vAlign w:val="center"/>
          </w:tcPr>
          <w:p w14:paraId="2E22CA08"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 xml:space="preserve"> </w:t>
            </w:r>
            <w:r w:rsidRPr="00EC1DF5">
              <w:rPr>
                <w:i/>
                <w:color w:val="auto"/>
                <w:sz w:val="18"/>
                <w:szCs w:val="18"/>
              </w:rPr>
              <w:t>BST</w:t>
            </w:r>
          </w:p>
        </w:tc>
        <w:tc>
          <w:tcPr>
            <w:tcW w:w="868" w:type="dxa"/>
            <w:tcBorders>
              <w:top w:val="nil"/>
              <w:left w:val="nil"/>
              <w:bottom w:val="nil"/>
              <w:right w:val="nil"/>
            </w:tcBorders>
          </w:tcPr>
          <w:p w14:paraId="07AD6383"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w:t>
            </w:r>
          </w:p>
        </w:tc>
        <w:tc>
          <w:tcPr>
            <w:tcW w:w="1250" w:type="dxa"/>
            <w:tcBorders>
              <w:top w:val="nil"/>
              <w:left w:val="nil"/>
              <w:bottom w:val="nil"/>
              <w:right w:val="nil"/>
            </w:tcBorders>
            <w:vAlign w:val="center"/>
          </w:tcPr>
          <w:p w14:paraId="21CF3A76"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0.079</w:t>
            </w:r>
          </w:p>
        </w:tc>
        <w:tc>
          <w:tcPr>
            <w:tcW w:w="1200" w:type="dxa"/>
            <w:tcBorders>
              <w:top w:val="nil"/>
              <w:left w:val="nil"/>
              <w:bottom w:val="nil"/>
              <w:right w:val="nil"/>
            </w:tcBorders>
            <w:vAlign w:val="center"/>
          </w:tcPr>
          <w:p w14:paraId="2602783E"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47CB9EEA"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0.040</w:t>
            </w:r>
          </w:p>
        </w:tc>
        <w:tc>
          <w:tcPr>
            <w:tcW w:w="1200" w:type="dxa"/>
            <w:tcBorders>
              <w:top w:val="nil"/>
              <w:left w:val="nil"/>
              <w:bottom w:val="nil"/>
              <w:right w:val="nil"/>
            </w:tcBorders>
            <w:vAlign w:val="center"/>
          </w:tcPr>
          <w:p w14:paraId="699C6048"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2F268BDD"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74D071BA"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115" w:type="dxa"/>
            <w:tcBorders>
              <w:top w:val="nil"/>
              <w:left w:val="nil"/>
              <w:bottom w:val="nil"/>
              <w:right w:val="nil"/>
            </w:tcBorders>
            <w:vAlign w:val="center"/>
          </w:tcPr>
          <w:p w14:paraId="7BA7E19B"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-0.091*</w:t>
            </w:r>
          </w:p>
        </w:tc>
        <w:tc>
          <w:tcPr>
            <w:tcW w:w="1134" w:type="dxa"/>
            <w:tcBorders>
              <w:top w:val="nil"/>
              <w:left w:val="nil"/>
              <w:bottom w:val="nil"/>
              <w:right w:val="nil"/>
            </w:tcBorders>
            <w:vAlign w:val="center"/>
          </w:tcPr>
          <w:p w14:paraId="7286ED05"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-0.030</w:t>
            </w:r>
          </w:p>
        </w:tc>
        <w:tc>
          <w:tcPr>
            <w:tcW w:w="1353" w:type="dxa"/>
            <w:tcBorders>
              <w:top w:val="nil"/>
              <w:left w:val="nil"/>
              <w:bottom w:val="nil"/>
              <w:right w:val="nil"/>
            </w:tcBorders>
          </w:tcPr>
          <w:p w14:paraId="3D3FC071"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-0.621</w:t>
            </w:r>
          </w:p>
        </w:tc>
      </w:tr>
      <w:tr w:rsidR="00EC1DF5" w:rsidRPr="00EC1DF5" w14:paraId="686C76EA" w14:textId="77777777" w:rsidTr="00453380">
        <w:tc>
          <w:tcPr>
            <w:tcW w:w="2107" w:type="dxa"/>
            <w:tcBorders>
              <w:top w:val="nil"/>
              <w:left w:val="nil"/>
              <w:bottom w:val="nil"/>
              <w:right w:val="nil"/>
            </w:tcBorders>
            <w:vAlign w:val="center"/>
          </w:tcPr>
          <w:p w14:paraId="49B4D688"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 xml:space="preserve">  </w:t>
            </w:r>
          </w:p>
        </w:tc>
        <w:tc>
          <w:tcPr>
            <w:tcW w:w="868" w:type="dxa"/>
            <w:tcBorders>
              <w:top w:val="nil"/>
              <w:left w:val="nil"/>
              <w:bottom w:val="nil"/>
              <w:right w:val="nil"/>
            </w:tcBorders>
          </w:tcPr>
          <w:p w14:paraId="39970815"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50" w:type="dxa"/>
            <w:tcBorders>
              <w:top w:val="nil"/>
              <w:left w:val="nil"/>
              <w:bottom w:val="nil"/>
              <w:right w:val="nil"/>
            </w:tcBorders>
            <w:vAlign w:val="center"/>
          </w:tcPr>
          <w:p w14:paraId="721DDDF3"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(0.177)</w:t>
            </w:r>
          </w:p>
        </w:tc>
        <w:tc>
          <w:tcPr>
            <w:tcW w:w="1200" w:type="dxa"/>
            <w:tcBorders>
              <w:top w:val="nil"/>
              <w:left w:val="nil"/>
              <w:bottom w:val="nil"/>
              <w:right w:val="nil"/>
            </w:tcBorders>
            <w:vAlign w:val="center"/>
          </w:tcPr>
          <w:p w14:paraId="7ED8A8B0"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58CC5A0D"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(0.164)</w:t>
            </w:r>
          </w:p>
        </w:tc>
        <w:tc>
          <w:tcPr>
            <w:tcW w:w="1200" w:type="dxa"/>
            <w:tcBorders>
              <w:top w:val="nil"/>
              <w:left w:val="nil"/>
              <w:bottom w:val="nil"/>
              <w:right w:val="nil"/>
            </w:tcBorders>
            <w:vAlign w:val="center"/>
          </w:tcPr>
          <w:p w14:paraId="32A79724"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625E0190"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4B6EE813"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115" w:type="dxa"/>
            <w:tcBorders>
              <w:top w:val="nil"/>
              <w:left w:val="nil"/>
              <w:bottom w:val="nil"/>
              <w:right w:val="nil"/>
            </w:tcBorders>
            <w:vAlign w:val="center"/>
          </w:tcPr>
          <w:p w14:paraId="78C9F6EB"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(0.052)</w:t>
            </w:r>
          </w:p>
        </w:tc>
        <w:tc>
          <w:tcPr>
            <w:tcW w:w="1134" w:type="dxa"/>
            <w:tcBorders>
              <w:top w:val="nil"/>
              <w:left w:val="nil"/>
              <w:bottom w:val="nil"/>
              <w:right w:val="nil"/>
            </w:tcBorders>
            <w:vAlign w:val="center"/>
          </w:tcPr>
          <w:p w14:paraId="7712834A"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(0.056)</w:t>
            </w:r>
          </w:p>
        </w:tc>
        <w:tc>
          <w:tcPr>
            <w:tcW w:w="1353" w:type="dxa"/>
            <w:tcBorders>
              <w:top w:val="nil"/>
              <w:left w:val="nil"/>
              <w:bottom w:val="nil"/>
              <w:right w:val="nil"/>
            </w:tcBorders>
          </w:tcPr>
          <w:p w14:paraId="1C4399B5"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(0.420)</w:t>
            </w:r>
          </w:p>
        </w:tc>
      </w:tr>
      <w:tr w:rsidR="00EC1DF5" w:rsidRPr="00EC1DF5" w14:paraId="54D25BD9" w14:textId="77777777" w:rsidTr="00453380">
        <w:tc>
          <w:tcPr>
            <w:tcW w:w="2107" w:type="dxa"/>
            <w:tcBorders>
              <w:top w:val="nil"/>
              <w:left w:val="nil"/>
              <w:bottom w:val="nil"/>
              <w:right w:val="nil"/>
            </w:tcBorders>
            <w:vAlign w:val="center"/>
          </w:tcPr>
          <w:p w14:paraId="241AD7C2"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 xml:space="preserve"> </w:t>
            </w:r>
            <w:r w:rsidRPr="00EC1DF5">
              <w:rPr>
                <w:i/>
                <w:color w:val="auto"/>
                <w:sz w:val="18"/>
                <w:szCs w:val="18"/>
              </w:rPr>
              <w:t>BC</w:t>
            </w:r>
          </w:p>
        </w:tc>
        <w:tc>
          <w:tcPr>
            <w:tcW w:w="868" w:type="dxa"/>
            <w:tcBorders>
              <w:top w:val="nil"/>
              <w:left w:val="nil"/>
              <w:bottom w:val="nil"/>
              <w:right w:val="nil"/>
            </w:tcBorders>
          </w:tcPr>
          <w:p w14:paraId="34D404C5"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w:t>
            </w:r>
          </w:p>
        </w:tc>
        <w:tc>
          <w:tcPr>
            <w:tcW w:w="1250" w:type="dxa"/>
            <w:tcBorders>
              <w:top w:val="nil"/>
              <w:left w:val="nil"/>
              <w:bottom w:val="nil"/>
              <w:right w:val="nil"/>
            </w:tcBorders>
            <w:vAlign w:val="center"/>
          </w:tcPr>
          <w:p w14:paraId="44C7C47F"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0.322***</w:t>
            </w:r>
          </w:p>
        </w:tc>
        <w:tc>
          <w:tcPr>
            <w:tcW w:w="1200" w:type="dxa"/>
            <w:tcBorders>
              <w:top w:val="nil"/>
              <w:left w:val="nil"/>
              <w:bottom w:val="nil"/>
              <w:right w:val="nil"/>
            </w:tcBorders>
            <w:vAlign w:val="center"/>
          </w:tcPr>
          <w:p w14:paraId="3ECA0830"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67A90149"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59A34448"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0.304***</w:t>
            </w:r>
          </w:p>
        </w:tc>
        <w:tc>
          <w:tcPr>
            <w:tcW w:w="1200" w:type="dxa"/>
            <w:tcBorders>
              <w:top w:val="nil"/>
              <w:left w:val="nil"/>
              <w:bottom w:val="nil"/>
              <w:right w:val="nil"/>
            </w:tcBorders>
            <w:vAlign w:val="center"/>
          </w:tcPr>
          <w:p w14:paraId="677F542C"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1ACD09E8"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115" w:type="dxa"/>
            <w:tcBorders>
              <w:top w:val="nil"/>
              <w:left w:val="nil"/>
              <w:bottom w:val="nil"/>
              <w:right w:val="nil"/>
            </w:tcBorders>
            <w:vAlign w:val="center"/>
          </w:tcPr>
          <w:p w14:paraId="4701CEAA"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0.011</w:t>
            </w:r>
          </w:p>
        </w:tc>
        <w:tc>
          <w:tcPr>
            <w:tcW w:w="1134" w:type="dxa"/>
            <w:tcBorders>
              <w:top w:val="nil"/>
              <w:left w:val="nil"/>
              <w:bottom w:val="nil"/>
              <w:right w:val="nil"/>
            </w:tcBorders>
            <w:vAlign w:val="center"/>
          </w:tcPr>
          <w:p w14:paraId="2B62313E"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0.029</w:t>
            </w:r>
          </w:p>
        </w:tc>
        <w:tc>
          <w:tcPr>
            <w:tcW w:w="1353" w:type="dxa"/>
            <w:tcBorders>
              <w:top w:val="nil"/>
              <w:left w:val="nil"/>
              <w:bottom w:val="nil"/>
              <w:right w:val="nil"/>
            </w:tcBorders>
          </w:tcPr>
          <w:p w14:paraId="7107D70F"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0.207</w:t>
            </w:r>
          </w:p>
        </w:tc>
      </w:tr>
      <w:tr w:rsidR="00EC1DF5" w:rsidRPr="00EC1DF5" w14:paraId="30B0EC61" w14:textId="77777777" w:rsidTr="00453380">
        <w:tc>
          <w:tcPr>
            <w:tcW w:w="2107" w:type="dxa"/>
            <w:tcBorders>
              <w:top w:val="nil"/>
              <w:left w:val="nil"/>
              <w:bottom w:val="nil"/>
              <w:right w:val="nil"/>
            </w:tcBorders>
            <w:vAlign w:val="center"/>
          </w:tcPr>
          <w:p w14:paraId="251A8859"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 xml:space="preserve">  </w:t>
            </w:r>
          </w:p>
        </w:tc>
        <w:tc>
          <w:tcPr>
            <w:tcW w:w="868" w:type="dxa"/>
            <w:tcBorders>
              <w:top w:val="nil"/>
              <w:left w:val="nil"/>
              <w:bottom w:val="nil"/>
              <w:right w:val="nil"/>
            </w:tcBorders>
          </w:tcPr>
          <w:p w14:paraId="05ED831F"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50" w:type="dxa"/>
            <w:tcBorders>
              <w:top w:val="nil"/>
              <w:left w:val="nil"/>
              <w:bottom w:val="nil"/>
              <w:right w:val="nil"/>
            </w:tcBorders>
            <w:vAlign w:val="center"/>
          </w:tcPr>
          <w:p w14:paraId="03CBE600"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(0.099)</w:t>
            </w:r>
          </w:p>
        </w:tc>
        <w:tc>
          <w:tcPr>
            <w:tcW w:w="1200" w:type="dxa"/>
            <w:tcBorders>
              <w:top w:val="nil"/>
              <w:left w:val="nil"/>
              <w:bottom w:val="nil"/>
              <w:right w:val="nil"/>
            </w:tcBorders>
            <w:vAlign w:val="center"/>
          </w:tcPr>
          <w:p w14:paraId="40434825"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70338B7B"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047AD7F0"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(0.098)</w:t>
            </w:r>
          </w:p>
        </w:tc>
        <w:tc>
          <w:tcPr>
            <w:tcW w:w="1200" w:type="dxa"/>
            <w:tcBorders>
              <w:top w:val="nil"/>
              <w:left w:val="nil"/>
              <w:bottom w:val="nil"/>
              <w:right w:val="nil"/>
            </w:tcBorders>
            <w:vAlign w:val="center"/>
          </w:tcPr>
          <w:p w14:paraId="77BAB52D"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50C578E1"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115" w:type="dxa"/>
            <w:tcBorders>
              <w:top w:val="nil"/>
              <w:left w:val="nil"/>
              <w:bottom w:val="nil"/>
              <w:right w:val="nil"/>
            </w:tcBorders>
            <w:vAlign w:val="center"/>
          </w:tcPr>
          <w:p w14:paraId="42BB418E"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(0.025)</w:t>
            </w:r>
          </w:p>
        </w:tc>
        <w:tc>
          <w:tcPr>
            <w:tcW w:w="1134" w:type="dxa"/>
            <w:tcBorders>
              <w:top w:val="nil"/>
              <w:left w:val="nil"/>
              <w:bottom w:val="nil"/>
              <w:right w:val="nil"/>
            </w:tcBorders>
            <w:vAlign w:val="center"/>
          </w:tcPr>
          <w:p w14:paraId="24CEBB0E"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(0.023)</w:t>
            </w:r>
          </w:p>
        </w:tc>
        <w:tc>
          <w:tcPr>
            <w:tcW w:w="1353" w:type="dxa"/>
            <w:tcBorders>
              <w:top w:val="nil"/>
              <w:left w:val="nil"/>
              <w:bottom w:val="nil"/>
              <w:right w:val="nil"/>
            </w:tcBorders>
          </w:tcPr>
          <w:p w14:paraId="29EAD317"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(0.128)</w:t>
            </w:r>
          </w:p>
        </w:tc>
      </w:tr>
      <w:tr w:rsidR="00EC1DF5" w:rsidRPr="00EC1DF5" w14:paraId="236ABEA1" w14:textId="77777777" w:rsidTr="00453380">
        <w:tc>
          <w:tcPr>
            <w:tcW w:w="2107" w:type="dxa"/>
            <w:tcBorders>
              <w:top w:val="nil"/>
              <w:left w:val="nil"/>
              <w:bottom w:val="nil"/>
              <w:right w:val="nil"/>
            </w:tcBorders>
            <w:vAlign w:val="center"/>
          </w:tcPr>
          <w:p w14:paraId="0E69029C"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 xml:space="preserve"> </w:t>
            </w:r>
            <w:r w:rsidRPr="00EC1DF5">
              <w:rPr>
                <w:i/>
                <w:color w:val="auto"/>
                <w:sz w:val="18"/>
                <w:szCs w:val="18"/>
              </w:rPr>
              <w:t>BSR</w:t>
            </w:r>
          </w:p>
        </w:tc>
        <w:tc>
          <w:tcPr>
            <w:tcW w:w="868" w:type="dxa"/>
            <w:tcBorders>
              <w:top w:val="nil"/>
              <w:left w:val="nil"/>
              <w:bottom w:val="nil"/>
              <w:right w:val="nil"/>
            </w:tcBorders>
          </w:tcPr>
          <w:p w14:paraId="6D95C514"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w:t>
            </w:r>
          </w:p>
        </w:tc>
        <w:tc>
          <w:tcPr>
            <w:tcW w:w="1250" w:type="dxa"/>
            <w:tcBorders>
              <w:top w:val="nil"/>
              <w:left w:val="nil"/>
              <w:bottom w:val="nil"/>
              <w:right w:val="nil"/>
            </w:tcBorders>
            <w:vAlign w:val="center"/>
          </w:tcPr>
          <w:p w14:paraId="25B68920"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-0.067</w:t>
            </w:r>
          </w:p>
        </w:tc>
        <w:tc>
          <w:tcPr>
            <w:tcW w:w="1200" w:type="dxa"/>
            <w:tcBorders>
              <w:top w:val="nil"/>
              <w:left w:val="nil"/>
              <w:bottom w:val="nil"/>
              <w:right w:val="nil"/>
            </w:tcBorders>
            <w:vAlign w:val="center"/>
          </w:tcPr>
          <w:p w14:paraId="66B76A03"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256AE9AE"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119383F7"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633A66B5"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-0.064</w:t>
            </w:r>
          </w:p>
        </w:tc>
        <w:tc>
          <w:tcPr>
            <w:tcW w:w="1200" w:type="dxa"/>
            <w:tcBorders>
              <w:top w:val="nil"/>
              <w:left w:val="nil"/>
              <w:bottom w:val="nil"/>
              <w:right w:val="nil"/>
            </w:tcBorders>
            <w:vAlign w:val="center"/>
          </w:tcPr>
          <w:p w14:paraId="52830EA3"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115" w:type="dxa"/>
            <w:tcBorders>
              <w:top w:val="nil"/>
              <w:left w:val="nil"/>
              <w:bottom w:val="nil"/>
              <w:right w:val="nil"/>
            </w:tcBorders>
            <w:vAlign w:val="center"/>
          </w:tcPr>
          <w:p w14:paraId="08D557BD"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0.015</w:t>
            </w:r>
          </w:p>
        </w:tc>
        <w:tc>
          <w:tcPr>
            <w:tcW w:w="1134" w:type="dxa"/>
            <w:tcBorders>
              <w:top w:val="nil"/>
              <w:left w:val="nil"/>
              <w:bottom w:val="nil"/>
              <w:right w:val="nil"/>
            </w:tcBorders>
            <w:vAlign w:val="center"/>
          </w:tcPr>
          <w:p w14:paraId="7B939CF0"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0.034*</w:t>
            </w:r>
          </w:p>
        </w:tc>
        <w:tc>
          <w:tcPr>
            <w:tcW w:w="1353" w:type="dxa"/>
            <w:tcBorders>
              <w:top w:val="nil"/>
              <w:left w:val="nil"/>
              <w:bottom w:val="nil"/>
              <w:right w:val="nil"/>
            </w:tcBorders>
          </w:tcPr>
          <w:p w14:paraId="68F894A0"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0.187*</w:t>
            </w:r>
          </w:p>
        </w:tc>
      </w:tr>
      <w:tr w:rsidR="00EC1DF5" w:rsidRPr="00EC1DF5" w14:paraId="71775413" w14:textId="77777777" w:rsidTr="00453380">
        <w:tc>
          <w:tcPr>
            <w:tcW w:w="2107" w:type="dxa"/>
            <w:tcBorders>
              <w:top w:val="nil"/>
              <w:left w:val="nil"/>
              <w:bottom w:val="nil"/>
              <w:right w:val="nil"/>
            </w:tcBorders>
            <w:vAlign w:val="center"/>
          </w:tcPr>
          <w:p w14:paraId="511FEDAB"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 xml:space="preserve">  </w:t>
            </w:r>
          </w:p>
        </w:tc>
        <w:tc>
          <w:tcPr>
            <w:tcW w:w="868" w:type="dxa"/>
            <w:tcBorders>
              <w:top w:val="nil"/>
              <w:left w:val="nil"/>
              <w:bottom w:val="nil"/>
              <w:right w:val="nil"/>
            </w:tcBorders>
          </w:tcPr>
          <w:p w14:paraId="50EDA864"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50" w:type="dxa"/>
            <w:tcBorders>
              <w:top w:val="nil"/>
              <w:left w:val="nil"/>
              <w:bottom w:val="nil"/>
              <w:right w:val="nil"/>
            </w:tcBorders>
            <w:vAlign w:val="center"/>
          </w:tcPr>
          <w:p w14:paraId="4861D40D"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(0.089)</w:t>
            </w:r>
          </w:p>
        </w:tc>
        <w:tc>
          <w:tcPr>
            <w:tcW w:w="1200" w:type="dxa"/>
            <w:tcBorders>
              <w:top w:val="nil"/>
              <w:left w:val="nil"/>
              <w:bottom w:val="nil"/>
              <w:right w:val="nil"/>
            </w:tcBorders>
            <w:vAlign w:val="center"/>
          </w:tcPr>
          <w:p w14:paraId="6C10DAC0"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5DA4E465"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19DADF38"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7CB229BA"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(0.087)</w:t>
            </w:r>
          </w:p>
        </w:tc>
        <w:tc>
          <w:tcPr>
            <w:tcW w:w="1200" w:type="dxa"/>
            <w:tcBorders>
              <w:top w:val="nil"/>
              <w:left w:val="nil"/>
              <w:bottom w:val="nil"/>
              <w:right w:val="nil"/>
            </w:tcBorders>
            <w:vAlign w:val="center"/>
          </w:tcPr>
          <w:p w14:paraId="59F7C239"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115" w:type="dxa"/>
            <w:tcBorders>
              <w:top w:val="nil"/>
              <w:left w:val="nil"/>
              <w:bottom w:val="nil"/>
              <w:right w:val="nil"/>
            </w:tcBorders>
            <w:vAlign w:val="center"/>
          </w:tcPr>
          <w:p w14:paraId="10E2F614"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(0.015)</w:t>
            </w:r>
          </w:p>
        </w:tc>
        <w:tc>
          <w:tcPr>
            <w:tcW w:w="1134" w:type="dxa"/>
            <w:tcBorders>
              <w:top w:val="nil"/>
              <w:left w:val="nil"/>
              <w:bottom w:val="nil"/>
              <w:right w:val="nil"/>
            </w:tcBorders>
            <w:vAlign w:val="center"/>
          </w:tcPr>
          <w:p w14:paraId="6E0709EC"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(0.019)</w:t>
            </w:r>
          </w:p>
        </w:tc>
        <w:tc>
          <w:tcPr>
            <w:tcW w:w="1353" w:type="dxa"/>
            <w:tcBorders>
              <w:top w:val="nil"/>
              <w:left w:val="nil"/>
              <w:bottom w:val="nil"/>
              <w:right w:val="nil"/>
            </w:tcBorders>
          </w:tcPr>
          <w:p w14:paraId="1F148677"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(0.101)</w:t>
            </w:r>
          </w:p>
        </w:tc>
      </w:tr>
      <w:tr w:rsidR="00EC1DF5" w:rsidRPr="00EC1DF5" w14:paraId="5663B796" w14:textId="77777777" w:rsidTr="00453380">
        <w:tc>
          <w:tcPr>
            <w:tcW w:w="2107" w:type="dxa"/>
            <w:tcBorders>
              <w:top w:val="nil"/>
              <w:left w:val="nil"/>
              <w:bottom w:val="nil"/>
              <w:right w:val="nil"/>
            </w:tcBorders>
            <w:vAlign w:val="center"/>
          </w:tcPr>
          <w:p w14:paraId="09E15CBC"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 xml:space="preserve"> </w:t>
            </w:r>
            <w:r w:rsidRPr="00EC1DF5">
              <w:rPr>
                <w:i/>
                <w:color w:val="auto"/>
                <w:sz w:val="18"/>
                <w:szCs w:val="18"/>
              </w:rPr>
              <w:t>BSTR</w:t>
            </w:r>
          </w:p>
        </w:tc>
        <w:tc>
          <w:tcPr>
            <w:tcW w:w="868" w:type="dxa"/>
            <w:tcBorders>
              <w:top w:val="nil"/>
              <w:left w:val="nil"/>
              <w:bottom w:val="nil"/>
              <w:right w:val="nil"/>
            </w:tcBorders>
          </w:tcPr>
          <w:p w14:paraId="25AF4747"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w:t>
            </w:r>
          </w:p>
        </w:tc>
        <w:tc>
          <w:tcPr>
            <w:tcW w:w="1250" w:type="dxa"/>
            <w:tcBorders>
              <w:top w:val="nil"/>
              <w:left w:val="nil"/>
              <w:bottom w:val="nil"/>
              <w:right w:val="nil"/>
            </w:tcBorders>
            <w:vAlign w:val="center"/>
          </w:tcPr>
          <w:p w14:paraId="504E445C"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-0.152</w:t>
            </w:r>
          </w:p>
        </w:tc>
        <w:tc>
          <w:tcPr>
            <w:tcW w:w="1200" w:type="dxa"/>
            <w:tcBorders>
              <w:top w:val="nil"/>
              <w:left w:val="nil"/>
              <w:bottom w:val="nil"/>
              <w:right w:val="nil"/>
            </w:tcBorders>
            <w:vAlign w:val="center"/>
          </w:tcPr>
          <w:p w14:paraId="65A167E5"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7C1B9A4C"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49FB5B35"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4AE6D4FF"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14862530"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-0.137</w:t>
            </w:r>
          </w:p>
        </w:tc>
        <w:tc>
          <w:tcPr>
            <w:tcW w:w="1115" w:type="dxa"/>
            <w:tcBorders>
              <w:top w:val="nil"/>
              <w:left w:val="nil"/>
              <w:bottom w:val="nil"/>
              <w:right w:val="nil"/>
            </w:tcBorders>
            <w:vAlign w:val="center"/>
          </w:tcPr>
          <w:p w14:paraId="794D6126"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0.055*</w:t>
            </w:r>
          </w:p>
        </w:tc>
        <w:tc>
          <w:tcPr>
            <w:tcW w:w="1134" w:type="dxa"/>
            <w:tcBorders>
              <w:top w:val="nil"/>
              <w:left w:val="nil"/>
              <w:bottom w:val="nil"/>
              <w:right w:val="nil"/>
            </w:tcBorders>
            <w:vAlign w:val="center"/>
          </w:tcPr>
          <w:p w14:paraId="2894F048"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0.033</w:t>
            </w:r>
          </w:p>
        </w:tc>
        <w:tc>
          <w:tcPr>
            <w:tcW w:w="1353" w:type="dxa"/>
            <w:tcBorders>
              <w:top w:val="nil"/>
              <w:left w:val="nil"/>
              <w:bottom w:val="nil"/>
              <w:right w:val="nil"/>
            </w:tcBorders>
          </w:tcPr>
          <w:p w14:paraId="74D2CF32"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0.137</w:t>
            </w:r>
          </w:p>
        </w:tc>
      </w:tr>
      <w:tr w:rsidR="00EC1DF5" w:rsidRPr="00EC1DF5" w14:paraId="2E4B76A7" w14:textId="77777777" w:rsidTr="00453380">
        <w:tc>
          <w:tcPr>
            <w:tcW w:w="2107" w:type="dxa"/>
            <w:tcBorders>
              <w:top w:val="nil"/>
              <w:left w:val="nil"/>
              <w:bottom w:val="nil"/>
              <w:right w:val="nil"/>
            </w:tcBorders>
            <w:vAlign w:val="center"/>
          </w:tcPr>
          <w:p w14:paraId="4A86CA3C"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 xml:space="preserve">  </w:t>
            </w:r>
          </w:p>
        </w:tc>
        <w:tc>
          <w:tcPr>
            <w:tcW w:w="868" w:type="dxa"/>
            <w:tcBorders>
              <w:top w:val="nil"/>
              <w:left w:val="nil"/>
              <w:bottom w:val="nil"/>
              <w:right w:val="nil"/>
            </w:tcBorders>
          </w:tcPr>
          <w:p w14:paraId="30094A59"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50" w:type="dxa"/>
            <w:tcBorders>
              <w:top w:val="nil"/>
              <w:left w:val="nil"/>
              <w:bottom w:val="nil"/>
              <w:right w:val="nil"/>
            </w:tcBorders>
            <w:vAlign w:val="center"/>
          </w:tcPr>
          <w:p w14:paraId="6F75F70B"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(0.112)</w:t>
            </w:r>
          </w:p>
        </w:tc>
        <w:tc>
          <w:tcPr>
            <w:tcW w:w="1200" w:type="dxa"/>
            <w:tcBorders>
              <w:top w:val="nil"/>
              <w:left w:val="nil"/>
              <w:bottom w:val="nil"/>
              <w:right w:val="nil"/>
            </w:tcBorders>
            <w:vAlign w:val="center"/>
          </w:tcPr>
          <w:p w14:paraId="1B93627A"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00359101"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22088D0F"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3D184D0C"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685089FE"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(0.110)</w:t>
            </w:r>
          </w:p>
        </w:tc>
        <w:tc>
          <w:tcPr>
            <w:tcW w:w="1115" w:type="dxa"/>
            <w:tcBorders>
              <w:top w:val="nil"/>
              <w:left w:val="nil"/>
              <w:bottom w:val="nil"/>
              <w:right w:val="nil"/>
            </w:tcBorders>
            <w:vAlign w:val="center"/>
          </w:tcPr>
          <w:p w14:paraId="74CABDCC"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(0.030)</w:t>
            </w:r>
          </w:p>
        </w:tc>
        <w:tc>
          <w:tcPr>
            <w:tcW w:w="1134" w:type="dxa"/>
            <w:tcBorders>
              <w:top w:val="nil"/>
              <w:left w:val="nil"/>
              <w:bottom w:val="nil"/>
              <w:right w:val="nil"/>
            </w:tcBorders>
            <w:vAlign w:val="center"/>
          </w:tcPr>
          <w:p w14:paraId="20E023DD"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(0.036)</w:t>
            </w:r>
          </w:p>
        </w:tc>
        <w:tc>
          <w:tcPr>
            <w:tcW w:w="1353" w:type="dxa"/>
            <w:tcBorders>
              <w:top w:val="nil"/>
              <w:left w:val="nil"/>
              <w:bottom w:val="nil"/>
              <w:right w:val="nil"/>
            </w:tcBorders>
          </w:tcPr>
          <w:p w14:paraId="51CC865D"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(0.194)</w:t>
            </w:r>
          </w:p>
        </w:tc>
      </w:tr>
      <w:tr w:rsidR="00EC1DF5" w:rsidRPr="00EC1DF5" w14:paraId="67C668C0" w14:textId="77777777" w:rsidTr="00453380">
        <w:tc>
          <w:tcPr>
            <w:tcW w:w="2107" w:type="dxa"/>
            <w:tcBorders>
              <w:top w:val="nil"/>
              <w:left w:val="nil"/>
              <w:bottom w:val="nil"/>
              <w:right w:val="nil"/>
            </w:tcBorders>
            <w:vAlign w:val="center"/>
          </w:tcPr>
          <w:p w14:paraId="2013A87B"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 xml:space="preserve"> Beta</w:t>
            </w:r>
          </w:p>
        </w:tc>
        <w:tc>
          <w:tcPr>
            <w:tcW w:w="868" w:type="dxa"/>
            <w:tcBorders>
              <w:top w:val="nil"/>
              <w:left w:val="nil"/>
              <w:bottom w:val="nil"/>
              <w:right w:val="nil"/>
            </w:tcBorders>
          </w:tcPr>
          <w:p w14:paraId="2D3338EC"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w:t>
            </w:r>
          </w:p>
        </w:tc>
        <w:tc>
          <w:tcPr>
            <w:tcW w:w="1250" w:type="dxa"/>
            <w:tcBorders>
              <w:top w:val="nil"/>
              <w:left w:val="nil"/>
              <w:bottom w:val="nil"/>
              <w:right w:val="nil"/>
            </w:tcBorders>
            <w:vAlign w:val="center"/>
          </w:tcPr>
          <w:p w14:paraId="211B7F17"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9.557*</w:t>
            </w:r>
          </w:p>
        </w:tc>
        <w:tc>
          <w:tcPr>
            <w:tcW w:w="1200" w:type="dxa"/>
            <w:tcBorders>
              <w:top w:val="nil"/>
              <w:left w:val="nil"/>
              <w:bottom w:val="nil"/>
              <w:right w:val="nil"/>
            </w:tcBorders>
            <w:vAlign w:val="center"/>
          </w:tcPr>
          <w:p w14:paraId="36E76887"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9.295*</w:t>
            </w:r>
          </w:p>
        </w:tc>
        <w:tc>
          <w:tcPr>
            <w:tcW w:w="1200" w:type="dxa"/>
            <w:tcBorders>
              <w:top w:val="nil"/>
              <w:left w:val="nil"/>
              <w:bottom w:val="nil"/>
              <w:right w:val="nil"/>
            </w:tcBorders>
            <w:vAlign w:val="center"/>
          </w:tcPr>
          <w:p w14:paraId="66A1CE58"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9.192*</w:t>
            </w:r>
          </w:p>
        </w:tc>
        <w:tc>
          <w:tcPr>
            <w:tcW w:w="1200" w:type="dxa"/>
            <w:tcBorders>
              <w:top w:val="nil"/>
              <w:left w:val="nil"/>
              <w:bottom w:val="nil"/>
              <w:right w:val="nil"/>
            </w:tcBorders>
            <w:vAlign w:val="center"/>
          </w:tcPr>
          <w:p w14:paraId="6875F4DC"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9.159*</w:t>
            </w:r>
          </w:p>
        </w:tc>
        <w:tc>
          <w:tcPr>
            <w:tcW w:w="1200" w:type="dxa"/>
            <w:tcBorders>
              <w:top w:val="nil"/>
              <w:left w:val="nil"/>
              <w:bottom w:val="nil"/>
              <w:right w:val="nil"/>
            </w:tcBorders>
            <w:vAlign w:val="center"/>
          </w:tcPr>
          <w:p w14:paraId="103F9589"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9.213*</w:t>
            </w:r>
          </w:p>
        </w:tc>
        <w:tc>
          <w:tcPr>
            <w:tcW w:w="1200" w:type="dxa"/>
            <w:tcBorders>
              <w:top w:val="nil"/>
              <w:left w:val="nil"/>
              <w:bottom w:val="nil"/>
              <w:right w:val="nil"/>
            </w:tcBorders>
            <w:vAlign w:val="center"/>
          </w:tcPr>
          <w:p w14:paraId="725854AD"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9.525*</w:t>
            </w:r>
          </w:p>
        </w:tc>
        <w:tc>
          <w:tcPr>
            <w:tcW w:w="1115" w:type="dxa"/>
            <w:tcBorders>
              <w:top w:val="nil"/>
              <w:left w:val="nil"/>
              <w:bottom w:val="nil"/>
              <w:right w:val="nil"/>
            </w:tcBorders>
            <w:vAlign w:val="center"/>
          </w:tcPr>
          <w:p w14:paraId="41B55B9F"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4.887***</w:t>
            </w:r>
          </w:p>
        </w:tc>
        <w:tc>
          <w:tcPr>
            <w:tcW w:w="1134" w:type="dxa"/>
            <w:tcBorders>
              <w:top w:val="nil"/>
              <w:left w:val="nil"/>
              <w:bottom w:val="nil"/>
              <w:right w:val="nil"/>
            </w:tcBorders>
            <w:vAlign w:val="center"/>
          </w:tcPr>
          <w:p w14:paraId="6588B674"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5.468***</w:t>
            </w:r>
          </w:p>
        </w:tc>
        <w:tc>
          <w:tcPr>
            <w:tcW w:w="1353" w:type="dxa"/>
            <w:tcBorders>
              <w:top w:val="nil"/>
              <w:left w:val="nil"/>
              <w:bottom w:val="nil"/>
              <w:right w:val="nil"/>
            </w:tcBorders>
          </w:tcPr>
          <w:p w14:paraId="48CC7C39"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17.146**</w:t>
            </w:r>
          </w:p>
        </w:tc>
      </w:tr>
      <w:tr w:rsidR="00EC1DF5" w:rsidRPr="00EC1DF5" w14:paraId="2E2C9E1D" w14:textId="77777777" w:rsidTr="00453380">
        <w:tc>
          <w:tcPr>
            <w:tcW w:w="2107" w:type="dxa"/>
            <w:tcBorders>
              <w:top w:val="nil"/>
              <w:left w:val="nil"/>
              <w:bottom w:val="nil"/>
              <w:right w:val="nil"/>
            </w:tcBorders>
            <w:vAlign w:val="center"/>
          </w:tcPr>
          <w:p w14:paraId="41AD89FB"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 xml:space="preserve">  </w:t>
            </w:r>
          </w:p>
        </w:tc>
        <w:tc>
          <w:tcPr>
            <w:tcW w:w="868" w:type="dxa"/>
            <w:tcBorders>
              <w:top w:val="nil"/>
              <w:left w:val="nil"/>
              <w:bottom w:val="nil"/>
              <w:right w:val="nil"/>
            </w:tcBorders>
          </w:tcPr>
          <w:p w14:paraId="3993422B"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50" w:type="dxa"/>
            <w:tcBorders>
              <w:top w:val="nil"/>
              <w:left w:val="nil"/>
              <w:bottom w:val="nil"/>
              <w:right w:val="nil"/>
            </w:tcBorders>
            <w:vAlign w:val="center"/>
          </w:tcPr>
          <w:p w14:paraId="615E393F"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(4.937)</w:t>
            </w:r>
          </w:p>
        </w:tc>
        <w:tc>
          <w:tcPr>
            <w:tcW w:w="1200" w:type="dxa"/>
            <w:tcBorders>
              <w:top w:val="nil"/>
              <w:left w:val="nil"/>
              <w:bottom w:val="nil"/>
              <w:right w:val="nil"/>
            </w:tcBorders>
            <w:vAlign w:val="center"/>
          </w:tcPr>
          <w:p w14:paraId="76C7069E"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(4.908)</w:t>
            </w:r>
          </w:p>
        </w:tc>
        <w:tc>
          <w:tcPr>
            <w:tcW w:w="1200" w:type="dxa"/>
            <w:tcBorders>
              <w:top w:val="nil"/>
              <w:left w:val="nil"/>
              <w:bottom w:val="nil"/>
              <w:right w:val="nil"/>
            </w:tcBorders>
            <w:vAlign w:val="center"/>
          </w:tcPr>
          <w:p w14:paraId="4C55C858"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(4.931)</w:t>
            </w:r>
          </w:p>
        </w:tc>
        <w:tc>
          <w:tcPr>
            <w:tcW w:w="1200" w:type="dxa"/>
            <w:tcBorders>
              <w:top w:val="nil"/>
              <w:left w:val="nil"/>
              <w:bottom w:val="nil"/>
              <w:right w:val="nil"/>
            </w:tcBorders>
            <w:vAlign w:val="center"/>
          </w:tcPr>
          <w:p w14:paraId="11F3B602"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(4.906)</w:t>
            </w:r>
          </w:p>
        </w:tc>
        <w:tc>
          <w:tcPr>
            <w:tcW w:w="1200" w:type="dxa"/>
            <w:tcBorders>
              <w:top w:val="nil"/>
              <w:left w:val="nil"/>
              <w:bottom w:val="nil"/>
              <w:right w:val="nil"/>
            </w:tcBorders>
            <w:vAlign w:val="center"/>
          </w:tcPr>
          <w:p w14:paraId="4D9A1CA1"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(4.910)</w:t>
            </w:r>
          </w:p>
        </w:tc>
        <w:tc>
          <w:tcPr>
            <w:tcW w:w="1200" w:type="dxa"/>
            <w:tcBorders>
              <w:top w:val="nil"/>
              <w:left w:val="nil"/>
              <w:bottom w:val="nil"/>
              <w:right w:val="nil"/>
            </w:tcBorders>
            <w:vAlign w:val="center"/>
          </w:tcPr>
          <w:p w14:paraId="2C492548"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(4.925)</w:t>
            </w:r>
          </w:p>
        </w:tc>
        <w:tc>
          <w:tcPr>
            <w:tcW w:w="1115" w:type="dxa"/>
            <w:tcBorders>
              <w:top w:val="nil"/>
              <w:left w:val="nil"/>
              <w:bottom w:val="nil"/>
              <w:right w:val="nil"/>
            </w:tcBorders>
            <w:vAlign w:val="center"/>
          </w:tcPr>
          <w:p w14:paraId="0D27F800"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(1.399)</w:t>
            </w:r>
          </w:p>
        </w:tc>
        <w:tc>
          <w:tcPr>
            <w:tcW w:w="1134" w:type="dxa"/>
            <w:tcBorders>
              <w:top w:val="nil"/>
              <w:left w:val="nil"/>
              <w:bottom w:val="nil"/>
              <w:right w:val="nil"/>
            </w:tcBorders>
            <w:vAlign w:val="center"/>
          </w:tcPr>
          <w:p w14:paraId="5161DE5B"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(1.395)</w:t>
            </w:r>
          </w:p>
        </w:tc>
        <w:tc>
          <w:tcPr>
            <w:tcW w:w="1353" w:type="dxa"/>
            <w:tcBorders>
              <w:top w:val="nil"/>
              <w:left w:val="nil"/>
              <w:bottom w:val="nil"/>
              <w:right w:val="nil"/>
            </w:tcBorders>
          </w:tcPr>
          <w:p w14:paraId="329C3867"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(7.626)</w:t>
            </w:r>
          </w:p>
        </w:tc>
      </w:tr>
      <w:tr w:rsidR="00EC1DF5" w:rsidRPr="00EC1DF5" w14:paraId="63DB3CE7" w14:textId="77777777" w:rsidTr="00453380">
        <w:tc>
          <w:tcPr>
            <w:tcW w:w="2107" w:type="dxa"/>
            <w:tcBorders>
              <w:top w:val="nil"/>
              <w:left w:val="nil"/>
              <w:bottom w:val="nil"/>
              <w:right w:val="nil"/>
            </w:tcBorders>
            <w:vAlign w:val="center"/>
          </w:tcPr>
          <w:p w14:paraId="00BA7816"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 xml:space="preserve"> Size</w:t>
            </w:r>
          </w:p>
        </w:tc>
        <w:tc>
          <w:tcPr>
            <w:tcW w:w="868" w:type="dxa"/>
            <w:tcBorders>
              <w:top w:val="nil"/>
              <w:left w:val="nil"/>
              <w:bottom w:val="nil"/>
              <w:right w:val="nil"/>
            </w:tcBorders>
          </w:tcPr>
          <w:p w14:paraId="0C9D844A"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w:t>
            </w:r>
          </w:p>
        </w:tc>
        <w:tc>
          <w:tcPr>
            <w:tcW w:w="1250" w:type="dxa"/>
            <w:tcBorders>
              <w:top w:val="nil"/>
              <w:left w:val="nil"/>
              <w:bottom w:val="nil"/>
              <w:right w:val="nil"/>
            </w:tcBorders>
            <w:vAlign w:val="center"/>
          </w:tcPr>
          <w:p w14:paraId="11E8C961"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71.484***</w:t>
            </w:r>
          </w:p>
        </w:tc>
        <w:tc>
          <w:tcPr>
            <w:tcW w:w="1200" w:type="dxa"/>
            <w:tcBorders>
              <w:top w:val="nil"/>
              <w:left w:val="nil"/>
              <w:bottom w:val="nil"/>
              <w:right w:val="nil"/>
            </w:tcBorders>
            <w:vAlign w:val="center"/>
          </w:tcPr>
          <w:p w14:paraId="2A823996"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70.580***</w:t>
            </w:r>
          </w:p>
        </w:tc>
        <w:tc>
          <w:tcPr>
            <w:tcW w:w="1200" w:type="dxa"/>
            <w:tcBorders>
              <w:top w:val="nil"/>
              <w:left w:val="nil"/>
              <w:bottom w:val="nil"/>
              <w:right w:val="nil"/>
            </w:tcBorders>
            <w:vAlign w:val="center"/>
          </w:tcPr>
          <w:p w14:paraId="60E7F92F"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70.374***</w:t>
            </w:r>
          </w:p>
        </w:tc>
        <w:tc>
          <w:tcPr>
            <w:tcW w:w="1200" w:type="dxa"/>
            <w:tcBorders>
              <w:top w:val="nil"/>
              <w:left w:val="nil"/>
              <w:bottom w:val="nil"/>
              <w:right w:val="nil"/>
            </w:tcBorders>
            <w:vAlign w:val="center"/>
          </w:tcPr>
          <w:p w14:paraId="3E4F5F6C"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71.008***</w:t>
            </w:r>
          </w:p>
        </w:tc>
        <w:tc>
          <w:tcPr>
            <w:tcW w:w="1200" w:type="dxa"/>
            <w:tcBorders>
              <w:top w:val="nil"/>
              <w:left w:val="nil"/>
              <w:bottom w:val="nil"/>
              <w:right w:val="nil"/>
            </w:tcBorders>
            <w:vAlign w:val="center"/>
          </w:tcPr>
          <w:p w14:paraId="060C7E37"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70.488***</w:t>
            </w:r>
          </w:p>
        </w:tc>
        <w:tc>
          <w:tcPr>
            <w:tcW w:w="1200" w:type="dxa"/>
            <w:tcBorders>
              <w:top w:val="nil"/>
              <w:left w:val="nil"/>
              <w:bottom w:val="nil"/>
              <w:right w:val="nil"/>
            </w:tcBorders>
            <w:vAlign w:val="center"/>
          </w:tcPr>
          <w:p w14:paraId="2852BE80"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70.647***</w:t>
            </w:r>
          </w:p>
        </w:tc>
        <w:tc>
          <w:tcPr>
            <w:tcW w:w="1115" w:type="dxa"/>
            <w:tcBorders>
              <w:top w:val="nil"/>
              <w:left w:val="nil"/>
              <w:bottom w:val="nil"/>
              <w:right w:val="nil"/>
            </w:tcBorders>
            <w:vAlign w:val="center"/>
          </w:tcPr>
          <w:p w14:paraId="09630906"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2.422***</w:t>
            </w:r>
          </w:p>
        </w:tc>
        <w:tc>
          <w:tcPr>
            <w:tcW w:w="1134" w:type="dxa"/>
            <w:tcBorders>
              <w:top w:val="nil"/>
              <w:left w:val="nil"/>
              <w:bottom w:val="nil"/>
              <w:right w:val="nil"/>
            </w:tcBorders>
            <w:vAlign w:val="center"/>
          </w:tcPr>
          <w:p w14:paraId="375DDA76"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1.573**</w:t>
            </w:r>
          </w:p>
        </w:tc>
        <w:tc>
          <w:tcPr>
            <w:tcW w:w="1353" w:type="dxa"/>
            <w:tcBorders>
              <w:top w:val="nil"/>
              <w:left w:val="nil"/>
              <w:bottom w:val="nil"/>
              <w:right w:val="nil"/>
            </w:tcBorders>
          </w:tcPr>
          <w:p w14:paraId="2692ABF2"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2.445*</w:t>
            </w:r>
          </w:p>
        </w:tc>
      </w:tr>
      <w:tr w:rsidR="00EC1DF5" w:rsidRPr="00EC1DF5" w14:paraId="61F52673" w14:textId="77777777" w:rsidTr="00453380">
        <w:tc>
          <w:tcPr>
            <w:tcW w:w="2107" w:type="dxa"/>
            <w:tcBorders>
              <w:top w:val="nil"/>
              <w:left w:val="nil"/>
              <w:bottom w:val="nil"/>
              <w:right w:val="nil"/>
            </w:tcBorders>
            <w:vAlign w:val="center"/>
          </w:tcPr>
          <w:p w14:paraId="6CBC4986"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 xml:space="preserve">  </w:t>
            </w:r>
          </w:p>
        </w:tc>
        <w:tc>
          <w:tcPr>
            <w:tcW w:w="868" w:type="dxa"/>
            <w:tcBorders>
              <w:top w:val="nil"/>
              <w:left w:val="nil"/>
              <w:bottom w:val="nil"/>
              <w:right w:val="nil"/>
            </w:tcBorders>
          </w:tcPr>
          <w:p w14:paraId="0E5D9132"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50" w:type="dxa"/>
            <w:tcBorders>
              <w:top w:val="nil"/>
              <w:left w:val="nil"/>
              <w:bottom w:val="nil"/>
              <w:right w:val="nil"/>
            </w:tcBorders>
            <w:vAlign w:val="center"/>
          </w:tcPr>
          <w:p w14:paraId="3697D3DA"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(8.721)</w:t>
            </w:r>
          </w:p>
        </w:tc>
        <w:tc>
          <w:tcPr>
            <w:tcW w:w="1200" w:type="dxa"/>
            <w:tcBorders>
              <w:top w:val="nil"/>
              <w:left w:val="nil"/>
              <w:bottom w:val="nil"/>
              <w:right w:val="nil"/>
            </w:tcBorders>
            <w:vAlign w:val="center"/>
          </w:tcPr>
          <w:p w14:paraId="79A71DDF"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(8.807)</w:t>
            </w:r>
          </w:p>
        </w:tc>
        <w:tc>
          <w:tcPr>
            <w:tcW w:w="1200" w:type="dxa"/>
            <w:tcBorders>
              <w:top w:val="nil"/>
              <w:left w:val="nil"/>
              <w:bottom w:val="nil"/>
              <w:right w:val="nil"/>
            </w:tcBorders>
            <w:vAlign w:val="center"/>
          </w:tcPr>
          <w:p w14:paraId="1B31DF63"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(8.825)</w:t>
            </w:r>
          </w:p>
        </w:tc>
        <w:tc>
          <w:tcPr>
            <w:tcW w:w="1200" w:type="dxa"/>
            <w:tcBorders>
              <w:top w:val="nil"/>
              <w:left w:val="nil"/>
              <w:bottom w:val="nil"/>
              <w:right w:val="nil"/>
            </w:tcBorders>
            <w:vAlign w:val="center"/>
          </w:tcPr>
          <w:p w14:paraId="635397AE"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(8.764)</w:t>
            </w:r>
          </w:p>
        </w:tc>
        <w:tc>
          <w:tcPr>
            <w:tcW w:w="1200" w:type="dxa"/>
            <w:tcBorders>
              <w:top w:val="nil"/>
              <w:left w:val="nil"/>
              <w:bottom w:val="nil"/>
              <w:right w:val="nil"/>
            </w:tcBorders>
            <w:vAlign w:val="center"/>
          </w:tcPr>
          <w:p w14:paraId="18EEC954"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(8.814)</w:t>
            </w:r>
          </w:p>
        </w:tc>
        <w:tc>
          <w:tcPr>
            <w:tcW w:w="1200" w:type="dxa"/>
            <w:tcBorders>
              <w:top w:val="nil"/>
              <w:left w:val="nil"/>
              <w:bottom w:val="nil"/>
              <w:right w:val="nil"/>
            </w:tcBorders>
            <w:vAlign w:val="center"/>
          </w:tcPr>
          <w:p w14:paraId="1BAE4A33"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(8.780)</w:t>
            </w:r>
          </w:p>
        </w:tc>
        <w:tc>
          <w:tcPr>
            <w:tcW w:w="1115" w:type="dxa"/>
            <w:tcBorders>
              <w:top w:val="nil"/>
              <w:left w:val="nil"/>
              <w:bottom w:val="nil"/>
              <w:right w:val="nil"/>
            </w:tcBorders>
            <w:vAlign w:val="center"/>
          </w:tcPr>
          <w:p w14:paraId="0861403A"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(0.630)</w:t>
            </w:r>
          </w:p>
        </w:tc>
        <w:tc>
          <w:tcPr>
            <w:tcW w:w="1134" w:type="dxa"/>
            <w:tcBorders>
              <w:top w:val="nil"/>
              <w:left w:val="nil"/>
              <w:bottom w:val="nil"/>
              <w:right w:val="nil"/>
            </w:tcBorders>
            <w:vAlign w:val="center"/>
          </w:tcPr>
          <w:p w14:paraId="15E99F4E"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(0.674)</w:t>
            </w:r>
          </w:p>
        </w:tc>
        <w:tc>
          <w:tcPr>
            <w:tcW w:w="1353" w:type="dxa"/>
            <w:tcBorders>
              <w:top w:val="nil"/>
              <w:left w:val="nil"/>
              <w:bottom w:val="nil"/>
              <w:right w:val="nil"/>
            </w:tcBorders>
          </w:tcPr>
          <w:p w14:paraId="3E912996"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(1.380)</w:t>
            </w:r>
          </w:p>
        </w:tc>
      </w:tr>
      <w:tr w:rsidR="00EC1DF5" w:rsidRPr="00EC1DF5" w14:paraId="7EA7CF4F" w14:textId="77777777" w:rsidTr="00453380">
        <w:tc>
          <w:tcPr>
            <w:tcW w:w="2107" w:type="dxa"/>
            <w:tcBorders>
              <w:top w:val="nil"/>
              <w:left w:val="nil"/>
              <w:bottom w:val="nil"/>
              <w:right w:val="nil"/>
            </w:tcBorders>
            <w:vAlign w:val="center"/>
          </w:tcPr>
          <w:p w14:paraId="14D0E425"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 xml:space="preserve"> Capex</w:t>
            </w:r>
          </w:p>
        </w:tc>
        <w:tc>
          <w:tcPr>
            <w:tcW w:w="868" w:type="dxa"/>
            <w:tcBorders>
              <w:top w:val="nil"/>
              <w:left w:val="nil"/>
              <w:bottom w:val="nil"/>
              <w:right w:val="nil"/>
            </w:tcBorders>
          </w:tcPr>
          <w:p w14:paraId="2CCD152B"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w:t>
            </w:r>
          </w:p>
        </w:tc>
        <w:tc>
          <w:tcPr>
            <w:tcW w:w="1250" w:type="dxa"/>
            <w:tcBorders>
              <w:top w:val="nil"/>
              <w:left w:val="nil"/>
              <w:bottom w:val="nil"/>
              <w:right w:val="nil"/>
            </w:tcBorders>
            <w:vAlign w:val="center"/>
          </w:tcPr>
          <w:p w14:paraId="52B1CF2A"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6.569***</w:t>
            </w:r>
          </w:p>
        </w:tc>
        <w:tc>
          <w:tcPr>
            <w:tcW w:w="1200" w:type="dxa"/>
            <w:tcBorders>
              <w:top w:val="nil"/>
              <w:left w:val="nil"/>
              <w:bottom w:val="nil"/>
              <w:right w:val="nil"/>
            </w:tcBorders>
            <w:vAlign w:val="center"/>
          </w:tcPr>
          <w:p w14:paraId="0A654F1C"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6.522***</w:t>
            </w:r>
          </w:p>
        </w:tc>
        <w:tc>
          <w:tcPr>
            <w:tcW w:w="1200" w:type="dxa"/>
            <w:tcBorders>
              <w:top w:val="nil"/>
              <w:left w:val="nil"/>
              <w:bottom w:val="nil"/>
              <w:right w:val="nil"/>
            </w:tcBorders>
            <w:vAlign w:val="center"/>
          </w:tcPr>
          <w:p w14:paraId="6B989845"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6.551***</w:t>
            </w:r>
          </w:p>
        </w:tc>
        <w:tc>
          <w:tcPr>
            <w:tcW w:w="1200" w:type="dxa"/>
            <w:tcBorders>
              <w:top w:val="nil"/>
              <w:left w:val="nil"/>
              <w:bottom w:val="nil"/>
              <w:right w:val="nil"/>
            </w:tcBorders>
            <w:vAlign w:val="center"/>
          </w:tcPr>
          <w:p w14:paraId="58168A9F"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6.554***</w:t>
            </w:r>
          </w:p>
        </w:tc>
        <w:tc>
          <w:tcPr>
            <w:tcW w:w="1200" w:type="dxa"/>
            <w:tcBorders>
              <w:top w:val="nil"/>
              <w:left w:val="nil"/>
              <w:bottom w:val="nil"/>
              <w:right w:val="nil"/>
            </w:tcBorders>
            <w:vAlign w:val="center"/>
          </w:tcPr>
          <w:p w14:paraId="73D0E3D4"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6.583***</w:t>
            </w:r>
          </w:p>
        </w:tc>
        <w:tc>
          <w:tcPr>
            <w:tcW w:w="1200" w:type="dxa"/>
            <w:tcBorders>
              <w:top w:val="nil"/>
              <w:left w:val="nil"/>
              <w:bottom w:val="nil"/>
              <w:right w:val="nil"/>
            </w:tcBorders>
            <w:vAlign w:val="center"/>
          </w:tcPr>
          <w:p w14:paraId="2FC135B3"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6.580***</w:t>
            </w:r>
          </w:p>
        </w:tc>
        <w:tc>
          <w:tcPr>
            <w:tcW w:w="1115" w:type="dxa"/>
            <w:tcBorders>
              <w:top w:val="nil"/>
              <w:left w:val="nil"/>
              <w:bottom w:val="nil"/>
              <w:right w:val="nil"/>
            </w:tcBorders>
            <w:vAlign w:val="center"/>
          </w:tcPr>
          <w:p w14:paraId="2235ED45"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0.246</w:t>
            </w:r>
          </w:p>
        </w:tc>
        <w:tc>
          <w:tcPr>
            <w:tcW w:w="1134" w:type="dxa"/>
            <w:tcBorders>
              <w:top w:val="nil"/>
              <w:left w:val="nil"/>
              <w:bottom w:val="nil"/>
              <w:right w:val="nil"/>
            </w:tcBorders>
            <w:vAlign w:val="center"/>
          </w:tcPr>
          <w:p w14:paraId="09DC305C"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0.450*</w:t>
            </w:r>
          </w:p>
        </w:tc>
        <w:tc>
          <w:tcPr>
            <w:tcW w:w="1353" w:type="dxa"/>
            <w:tcBorders>
              <w:top w:val="nil"/>
              <w:left w:val="nil"/>
              <w:bottom w:val="nil"/>
              <w:right w:val="nil"/>
            </w:tcBorders>
          </w:tcPr>
          <w:p w14:paraId="5F37E70D"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3.863**</w:t>
            </w:r>
          </w:p>
        </w:tc>
      </w:tr>
      <w:tr w:rsidR="00EC1DF5" w:rsidRPr="00EC1DF5" w14:paraId="17F87FE9" w14:textId="77777777" w:rsidTr="00453380">
        <w:tc>
          <w:tcPr>
            <w:tcW w:w="2107" w:type="dxa"/>
            <w:tcBorders>
              <w:top w:val="nil"/>
              <w:left w:val="nil"/>
              <w:bottom w:val="nil"/>
              <w:right w:val="nil"/>
            </w:tcBorders>
            <w:vAlign w:val="center"/>
          </w:tcPr>
          <w:p w14:paraId="06C917FE"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 xml:space="preserve">  </w:t>
            </w:r>
          </w:p>
        </w:tc>
        <w:tc>
          <w:tcPr>
            <w:tcW w:w="868" w:type="dxa"/>
            <w:tcBorders>
              <w:top w:val="nil"/>
              <w:left w:val="nil"/>
              <w:bottom w:val="nil"/>
              <w:right w:val="nil"/>
            </w:tcBorders>
          </w:tcPr>
          <w:p w14:paraId="6BAA1C59"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50" w:type="dxa"/>
            <w:tcBorders>
              <w:top w:val="nil"/>
              <w:left w:val="nil"/>
              <w:bottom w:val="nil"/>
              <w:right w:val="nil"/>
            </w:tcBorders>
            <w:vAlign w:val="center"/>
          </w:tcPr>
          <w:p w14:paraId="780E818F"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(1.345)</w:t>
            </w:r>
          </w:p>
        </w:tc>
        <w:tc>
          <w:tcPr>
            <w:tcW w:w="1200" w:type="dxa"/>
            <w:tcBorders>
              <w:top w:val="nil"/>
              <w:left w:val="nil"/>
              <w:bottom w:val="nil"/>
              <w:right w:val="nil"/>
            </w:tcBorders>
            <w:vAlign w:val="center"/>
          </w:tcPr>
          <w:p w14:paraId="5F8D3545"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(1.354)</w:t>
            </w:r>
          </w:p>
        </w:tc>
        <w:tc>
          <w:tcPr>
            <w:tcW w:w="1200" w:type="dxa"/>
            <w:tcBorders>
              <w:top w:val="nil"/>
              <w:left w:val="nil"/>
              <w:bottom w:val="nil"/>
              <w:right w:val="nil"/>
            </w:tcBorders>
            <w:vAlign w:val="center"/>
          </w:tcPr>
          <w:p w14:paraId="47418EAE"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(1.347)</w:t>
            </w:r>
          </w:p>
        </w:tc>
        <w:tc>
          <w:tcPr>
            <w:tcW w:w="1200" w:type="dxa"/>
            <w:tcBorders>
              <w:top w:val="nil"/>
              <w:left w:val="nil"/>
              <w:bottom w:val="nil"/>
              <w:right w:val="nil"/>
            </w:tcBorders>
            <w:vAlign w:val="center"/>
          </w:tcPr>
          <w:p w14:paraId="390B714B"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(1.348)</w:t>
            </w:r>
          </w:p>
        </w:tc>
        <w:tc>
          <w:tcPr>
            <w:tcW w:w="1200" w:type="dxa"/>
            <w:tcBorders>
              <w:top w:val="nil"/>
              <w:left w:val="nil"/>
              <w:bottom w:val="nil"/>
              <w:right w:val="nil"/>
            </w:tcBorders>
            <w:vAlign w:val="center"/>
          </w:tcPr>
          <w:p w14:paraId="07061A0C"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(1.339)</w:t>
            </w:r>
          </w:p>
        </w:tc>
        <w:tc>
          <w:tcPr>
            <w:tcW w:w="1200" w:type="dxa"/>
            <w:tcBorders>
              <w:top w:val="nil"/>
              <w:left w:val="nil"/>
              <w:bottom w:val="nil"/>
              <w:right w:val="nil"/>
            </w:tcBorders>
            <w:vAlign w:val="center"/>
          </w:tcPr>
          <w:p w14:paraId="102202FF"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(1.346)</w:t>
            </w:r>
          </w:p>
        </w:tc>
        <w:tc>
          <w:tcPr>
            <w:tcW w:w="1115" w:type="dxa"/>
            <w:tcBorders>
              <w:top w:val="nil"/>
              <w:left w:val="nil"/>
              <w:bottom w:val="nil"/>
              <w:right w:val="nil"/>
            </w:tcBorders>
            <w:vAlign w:val="center"/>
          </w:tcPr>
          <w:p w14:paraId="03D9B2CD"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(0.261)</w:t>
            </w:r>
          </w:p>
        </w:tc>
        <w:tc>
          <w:tcPr>
            <w:tcW w:w="1134" w:type="dxa"/>
            <w:tcBorders>
              <w:top w:val="nil"/>
              <w:left w:val="nil"/>
              <w:bottom w:val="nil"/>
              <w:right w:val="nil"/>
            </w:tcBorders>
            <w:vAlign w:val="center"/>
          </w:tcPr>
          <w:p w14:paraId="51AD24DC"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(0.262)</w:t>
            </w:r>
          </w:p>
        </w:tc>
        <w:tc>
          <w:tcPr>
            <w:tcW w:w="1353" w:type="dxa"/>
            <w:tcBorders>
              <w:top w:val="nil"/>
              <w:left w:val="nil"/>
              <w:bottom w:val="nil"/>
              <w:right w:val="nil"/>
            </w:tcBorders>
          </w:tcPr>
          <w:p w14:paraId="7A6BE336"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(1.577)</w:t>
            </w:r>
          </w:p>
        </w:tc>
      </w:tr>
      <w:tr w:rsidR="00EC1DF5" w:rsidRPr="00EC1DF5" w14:paraId="71CA0A0C" w14:textId="77777777" w:rsidTr="00453380">
        <w:tc>
          <w:tcPr>
            <w:tcW w:w="2107" w:type="dxa"/>
            <w:tcBorders>
              <w:top w:val="nil"/>
              <w:left w:val="nil"/>
              <w:bottom w:val="nil"/>
              <w:right w:val="nil"/>
            </w:tcBorders>
            <w:vAlign w:val="center"/>
          </w:tcPr>
          <w:p w14:paraId="334FD9B3"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 xml:space="preserve"> Slack</w:t>
            </w:r>
          </w:p>
        </w:tc>
        <w:tc>
          <w:tcPr>
            <w:tcW w:w="868" w:type="dxa"/>
            <w:tcBorders>
              <w:top w:val="nil"/>
              <w:left w:val="nil"/>
              <w:bottom w:val="nil"/>
              <w:right w:val="nil"/>
            </w:tcBorders>
          </w:tcPr>
          <w:p w14:paraId="195F6984"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w:t>
            </w:r>
          </w:p>
        </w:tc>
        <w:tc>
          <w:tcPr>
            <w:tcW w:w="1250" w:type="dxa"/>
            <w:tcBorders>
              <w:top w:val="nil"/>
              <w:left w:val="nil"/>
              <w:bottom w:val="nil"/>
              <w:right w:val="nil"/>
            </w:tcBorders>
            <w:vAlign w:val="center"/>
          </w:tcPr>
          <w:p w14:paraId="7C5FBD59"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16.034***</w:t>
            </w:r>
          </w:p>
        </w:tc>
        <w:tc>
          <w:tcPr>
            <w:tcW w:w="1200" w:type="dxa"/>
            <w:tcBorders>
              <w:top w:val="nil"/>
              <w:left w:val="nil"/>
              <w:bottom w:val="nil"/>
              <w:right w:val="nil"/>
            </w:tcBorders>
            <w:vAlign w:val="center"/>
          </w:tcPr>
          <w:p w14:paraId="7FEFFBB6"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15.873***</w:t>
            </w:r>
          </w:p>
        </w:tc>
        <w:tc>
          <w:tcPr>
            <w:tcW w:w="1200" w:type="dxa"/>
            <w:tcBorders>
              <w:top w:val="nil"/>
              <w:left w:val="nil"/>
              <w:bottom w:val="nil"/>
              <w:right w:val="nil"/>
            </w:tcBorders>
            <w:vAlign w:val="center"/>
          </w:tcPr>
          <w:p w14:paraId="3498630A"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15.867***</w:t>
            </w:r>
          </w:p>
        </w:tc>
        <w:tc>
          <w:tcPr>
            <w:tcW w:w="1200" w:type="dxa"/>
            <w:tcBorders>
              <w:top w:val="nil"/>
              <w:left w:val="nil"/>
              <w:bottom w:val="nil"/>
              <w:right w:val="nil"/>
            </w:tcBorders>
            <w:vAlign w:val="center"/>
          </w:tcPr>
          <w:p w14:paraId="551C3C17"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15.987***</w:t>
            </w:r>
          </w:p>
        </w:tc>
        <w:tc>
          <w:tcPr>
            <w:tcW w:w="1200" w:type="dxa"/>
            <w:tcBorders>
              <w:top w:val="nil"/>
              <w:left w:val="nil"/>
              <w:bottom w:val="nil"/>
              <w:right w:val="nil"/>
            </w:tcBorders>
            <w:vAlign w:val="center"/>
          </w:tcPr>
          <w:p w14:paraId="373A26CE"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15.879***</w:t>
            </w:r>
          </w:p>
        </w:tc>
        <w:tc>
          <w:tcPr>
            <w:tcW w:w="1200" w:type="dxa"/>
            <w:tcBorders>
              <w:top w:val="nil"/>
              <w:left w:val="nil"/>
              <w:bottom w:val="nil"/>
              <w:right w:val="nil"/>
            </w:tcBorders>
            <w:vAlign w:val="center"/>
          </w:tcPr>
          <w:p w14:paraId="4CEF8E9E"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15.995***</w:t>
            </w:r>
          </w:p>
        </w:tc>
        <w:tc>
          <w:tcPr>
            <w:tcW w:w="1115" w:type="dxa"/>
            <w:tcBorders>
              <w:top w:val="nil"/>
              <w:left w:val="nil"/>
              <w:bottom w:val="nil"/>
              <w:right w:val="nil"/>
            </w:tcBorders>
            <w:vAlign w:val="center"/>
          </w:tcPr>
          <w:p w14:paraId="1D3F1ED0"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2.822***</w:t>
            </w:r>
          </w:p>
        </w:tc>
        <w:tc>
          <w:tcPr>
            <w:tcW w:w="1134" w:type="dxa"/>
            <w:tcBorders>
              <w:top w:val="nil"/>
              <w:left w:val="nil"/>
              <w:bottom w:val="nil"/>
              <w:right w:val="nil"/>
            </w:tcBorders>
            <w:vAlign w:val="center"/>
          </w:tcPr>
          <w:p w14:paraId="198DDC1E"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3.008***</w:t>
            </w:r>
          </w:p>
        </w:tc>
        <w:tc>
          <w:tcPr>
            <w:tcW w:w="1353" w:type="dxa"/>
            <w:tcBorders>
              <w:top w:val="nil"/>
              <w:left w:val="nil"/>
              <w:bottom w:val="nil"/>
              <w:right w:val="nil"/>
            </w:tcBorders>
          </w:tcPr>
          <w:p w14:paraId="72423A78"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-4.654</w:t>
            </w:r>
          </w:p>
        </w:tc>
      </w:tr>
      <w:tr w:rsidR="00EC1DF5" w:rsidRPr="00EC1DF5" w14:paraId="0186354C" w14:textId="77777777" w:rsidTr="00453380">
        <w:tc>
          <w:tcPr>
            <w:tcW w:w="2107" w:type="dxa"/>
            <w:tcBorders>
              <w:top w:val="nil"/>
              <w:left w:val="nil"/>
              <w:bottom w:val="nil"/>
              <w:right w:val="nil"/>
            </w:tcBorders>
            <w:vAlign w:val="center"/>
          </w:tcPr>
          <w:p w14:paraId="6EF06352"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 xml:space="preserve">  </w:t>
            </w:r>
          </w:p>
        </w:tc>
        <w:tc>
          <w:tcPr>
            <w:tcW w:w="868" w:type="dxa"/>
            <w:tcBorders>
              <w:top w:val="nil"/>
              <w:left w:val="nil"/>
              <w:bottom w:val="nil"/>
              <w:right w:val="nil"/>
            </w:tcBorders>
          </w:tcPr>
          <w:p w14:paraId="171F2F76"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50" w:type="dxa"/>
            <w:tcBorders>
              <w:top w:val="nil"/>
              <w:left w:val="nil"/>
              <w:bottom w:val="nil"/>
              <w:right w:val="nil"/>
            </w:tcBorders>
            <w:vAlign w:val="center"/>
          </w:tcPr>
          <w:p w14:paraId="226C8049"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(3.733)</w:t>
            </w:r>
          </w:p>
        </w:tc>
        <w:tc>
          <w:tcPr>
            <w:tcW w:w="1200" w:type="dxa"/>
            <w:tcBorders>
              <w:top w:val="nil"/>
              <w:left w:val="nil"/>
              <w:bottom w:val="nil"/>
              <w:right w:val="nil"/>
            </w:tcBorders>
            <w:vAlign w:val="center"/>
          </w:tcPr>
          <w:p w14:paraId="37822FC3"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(3.737)</w:t>
            </w:r>
          </w:p>
        </w:tc>
        <w:tc>
          <w:tcPr>
            <w:tcW w:w="1200" w:type="dxa"/>
            <w:tcBorders>
              <w:top w:val="nil"/>
              <w:left w:val="nil"/>
              <w:bottom w:val="nil"/>
              <w:right w:val="nil"/>
            </w:tcBorders>
            <w:vAlign w:val="center"/>
          </w:tcPr>
          <w:p w14:paraId="186F0B02"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(3.734)</w:t>
            </w:r>
          </w:p>
        </w:tc>
        <w:tc>
          <w:tcPr>
            <w:tcW w:w="1200" w:type="dxa"/>
            <w:tcBorders>
              <w:top w:val="nil"/>
              <w:left w:val="nil"/>
              <w:bottom w:val="nil"/>
              <w:right w:val="nil"/>
            </w:tcBorders>
            <w:vAlign w:val="center"/>
          </w:tcPr>
          <w:p w14:paraId="770603EB"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(3.738)</w:t>
            </w:r>
          </w:p>
        </w:tc>
        <w:tc>
          <w:tcPr>
            <w:tcW w:w="1200" w:type="dxa"/>
            <w:tcBorders>
              <w:top w:val="nil"/>
              <w:left w:val="nil"/>
              <w:bottom w:val="nil"/>
              <w:right w:val="nil"/>
            </w:tcBorders>
            <w:vAlign w:val="center"/>
          </w:tcPr>
          <w:p w14:paraId="3CD1576A"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(3.726)</w:t>
            </w:r>
          </w:p>
        </w:tc>
        <w:tc>
          <w:tcPr>
            <w:tcW w:w="1200" w:type="dxa"/>
            <w:tcBorders>
              <w:top w:val="nil"/>
              <w:left w:val="nil"/>
              <w:bottom w:val="nil"/>
              <w:right w:val="nil"/>
            </w:tcBorders>
            <w:vAlign w:val="center"/>
          </w:tcPr>
          <w:p w14:paraId="46135FE3"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(3.749)</w:t>
            </w:r>
          </w:p>
        </w:tc>
        <w:tc>
          <w:tcPr>
            <w:tcW w:w="1115" w:type="dxa"/>
            <w:tcBorders>
              <w:top w:val="nil"/>
              <w:left w:val="nil"/>
              <w:bottom w:val="nil"/>
              <w:right w:val="nil"/>
            </w:tcBorders>
            <w:vAlign w:val="center"/>
          </w:tcPr>
          <w:p w14:paraId="70527442"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(0.983)</w:t>
            </w:r>
          </w:p>
        </w:tc>
        <w:tc>
          <w:tcPr>
            <w:tcW w:w="1134" w:type="dxa"/>
            <w:tcBorders>
              <w:top w:val="nil"/>
              <w:left w:val="nil"/>
              <w:bottom w:val="nil"/>
              <w:right w:val="nil"/>
            </w:tcBorders>
            <w:vAlign w:val="center"/>
          </w:tcPr>
          <w:p w14:paraId="2642FE4A"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(1.092)</w:t>
            </w:r>
          </w:p>
        </w:tc>
        <w:tc>
          <w:tcPr>
            <w:tcW w:w="1353" w:type="dxa"/>
            <w:tcBorders>
              <w:top w:val="nil"/>
              <w:left w:val="nil"/>
              <w:bottom w:val="nil"/>
              <w:right w:val="nil"/>
            </w:tcBorders>
          </w:tcPr>
          <w:p w14:paraId="73222F87"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(2.905)</w:t>
            </w:r>
          </w:p>
        </w:tc>
      </w:tr>
      <w:tr w:rsidR="00EC1DF5" w:rsidRPr="00EC1DF5" w14:paraId="0ACCEBE7" w14:textId="77777777" w:rsidTr="00453380">
        <w:tc>
          <w:tcPr>
            <w:tcW w:w="2107" w:type="dxa"/>
            <w:tcBorders>
              <w:top w:val="nil"/>
              <w:left w:val="nil"/>
              <w:bottom w:val="nil"/>
              <w:right w:val="nil"/>
            </w:tcBorders>
            <w:vAlign w:val="center"/>
          </w:tcPr>
          <w:p w14:paraId="14B763C7"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 xml:space="preserve"> Growth</w:t>
            </w:r>
          </w:p>
        </w:tc>
        <w:tc>
          <w:tcPr>
            <w:tcW w:w="868" w:type="dxa"/>
            <w:tcBorders>
              <w:top w:val="nil"/>
              <w:left w:val="nil"/>
              <w:bottom w:val="nil"/>
              <w:right w:val="nil"/>
            </w:tcBorders>
          </w:tcPr>
          <w:p w14:paraId="5A7B817D"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w:t>
            </w:r>
          </w:p>
        </w:tc>
        <w:tc>
          <w:tcPr>
            <w:tcW w:w="1250" w:type="dxa"/>
            <w:tcBorders>
              <w:top w:val="nil"/>
              <w:left w:val="nil"/>
              <w:bottom w:val="nil"/>
              <w:right w:val="nil"/>
            </w:tcBorders>
            <w:vAlign w:val="center"/>
          </w:tcPr>
          <w:p w14:paraId="4F238697"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0.718***</w:t>
            </w:r>
          </w:p>
        </w:tc>
        <w:tc>
          <w:tcPr>
            <w:tcW w:w="1200" w:type="dxa"/>
            <w:tcBorders>
              <w:top w:val="nil"/>
              <w:left w:val="nil"/>
              <w:bottom w:val="nil"/>
              <w:right w:val="nil"/>
            </w:tcBorders>
            <w:vAlign w:val="center"/>
          </w:tcPr>
          <w:p w14:paraId="20EF3FD9"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0.714***</w:t>
            </w:r>
          </w:p>
        </w:tc>
        <w:tc>
          <w:tcPr>
            <w:tcW w:w="1200" w:type="dxa"/>
            <w:tcBorders>
              <w:top w:val="nil"/>
              <w:left w:val="nil"/>
              <w:bottom w:val="nil"/>
              <w:right w:val="nil"/>
            </w:tcBorders>
            <w:vAlign w:val="center"/>
          </w:tcPr>
          <w:p w14:paraId="15713E61"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0.718***</w:t>
            </w:r>
          </w:p>
        </w:tc>
        <w:tc>
          <w:tcPr>
            <w:tcW w:w="1200" w:type="dxa"/>
            <w:tcBorders>
              <w:top w:val="nil"/>
              <w:left w:val="nil"/>
              <w:bottom w:val="nil"/>
              <w:right w:val="nil"/>
            </w:tcBorders>
            <w:vAlign w:val="center"/>
          </w:tcPr>
          <w:p w14:paraId="3472BAD9"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0.724***</w:t>
            </w:r>
          </w:p>
        </w:tc>
        <w:tc>
          <w:tcPr>
            <w:tcW w:w="1200" w:type="dxa"/>
            <w:tcBorders>
              <w:top w:val="nil"/>
              <w:left w:val="nil"/>
              <w:bottom w:val="nil"/>
              <w:right w:val="nil"/>
            </w:tcBorders>
            <w:vAlign w:val="center"/>
          </w:tcPr>
          <w:p w14:paraId="3076E5BC"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0.713***</w:t>
            </w:r>
          </w:p>
        </w:tc>
        <w:tc>
          <w:tcPr>
            <w:tcW w:w="1200" w:type="dxa"/>
            <w:tcBorders>
              <w:top w:val="nil"/>
              <w:left w:val="nil"/>
              <w:bottom w:val="nil"/>
              <w:right w:val="nil"/>
            </w:tcBorders>
            <w:vAlign w:val="center"/>
          </w:tcPr>
          <w:p w14:paraId="5C581B09"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0.711***</w:t>
            </w:r>
          </w:p>
        </w:tc>
        <w:tc>
          <w:tcPr>
            <w:tcW w:w="1115" w:type="dxa"/>
            <w:tcBorders>
              <w:top w:val="nil"/>
              <w:left w:val="nil"/>
              <w:bottom w:val="nil"/>
              <w:right w:val="nil"/>
            </w:tcBorders>
            <w:vAlign w:val="center"/>
          </w:tcPr>
          <w:p w14:paraId="3B121BE2"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-0.088***</w:t>
            </w:r>
          </w:p>
        </w:tc>
        <w:tc>
          <w:tcPr>
            <w:tcW w:w="1134" w:type="dxa"/>
            <w:tcBorders>
              <w:top w:val="nil"/>
              <w:left w:val="nil"/>
              <w:bottom w:val="nil"/>
              <w:right w:val="nil"/>
            </w:tcBorders>
            <w:vAlign w:val="center"/>
          </w:tcPr>
          <w:p w14:paraId="40C4915B"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-0.083***</w:t>
            </w:r>
          </w:p>
        </w:tc>
        <w:tc>
          <w:tcPr>
            <w:tcW w:w="1353" w:type="dxa"/>
            <w:tcBorders>
              <w:top w:val="nil"/>
              <w:left w:val="nil"/>
              <w:bottom w:val="nil"/>
              <w:right w:val="nil"/>
            </w:tcBorders>
          </w:tcPr>
          <w:p w14:paraId="50092B3F"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0.344**</w:t>
            </w:r>
          </w:p>
        </w:tc>
      </w:tr>
      <w:tr w:rsidR="00EC1DF5" w:rsidRPr="00EC1DF5" w14:paraId="689CFEC8" w14:textId="77777777" w:rsidTr="00453380">
        <w:tc>
          <w:tcPr>
            <w:tcW w:w="2107" w:type="dxa"/>
            <w:tcBorders>
              <w:top w:val="nil"/>
              <w:left w:val="nil"/>
              <w:bottom w:val="nil"/>
              <w:right w:val="nil"/>
            </w:tcBorders>
            <w:vAlign w:val="center"/>
          </w:tcPr>
          <w:p w14:paraId="7282B27D"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 xml:space="preserve">  </w:t>
            </w:r>
          </w:p>
        </w:tc>
        <w:tc>
          <w:tcPr>
            <w:tcW w:w="868" w:type="dxa"/>
            <w:tcBorders>
              <w:top w:val="nil"/>
              <w:left w:val="nil"/>
              <w:bottom w:val="nil"/>
              <w:right w:val="nil"/>
            </w:tcBorders>
          </w:tcPr>
          <w:p w14:paraId="1B0660BF"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50" w:type="dxa"/>
            <w:tcBorders>
              <w:top w:val="nil"/>
              <w:left w:val="nil"/>
              <w:bottom w:val="nil"/>
              <w:right w:val="nil"/>
            </w:tcBorders>
            <w:vAlign w:val="center"/>
          </w:tcPr>
          <w:p w14:paraId="5EBA3243"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(0.186)</w:t>
            </w:r>
          </w:p>
        </w:tc>
        <w:tc>
          <w:tcPr>
            <w:tcW w:w="1200" w:type="dxa"/>
            <w:tcBorders>
              <w:top w:val="nil"/>
              <w:left w:val="nil"/>
              <w:bottom w:val="nil"/>
              <w:right w:val="nil"/>
            </w:tcBorders>
            <w:vAlign w:val="center"/>
          </w:tcPr>
          <w:p w14:paraId="28271AFE"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(0.187)</w:t>
            </w:r>
          </w:p>
        </w:tc>
        <w:tc>
          <w:tcPr>
            <w:tcW w:w="1200" w:type="dxa"/>
            <w:tcBorders>
              <w:top w:val="nil"/>
              <w:left w:val="nil"/>
              <w:bottom w:val="nil"/>
              <w:right w:val="nil"/>
            </w:tcBorders>
            <w:vAlign w:val="center"/>
          </w:tcPr>
          <w:p w14:paraId="7F435644"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(0.188)</w:t>
            </w:r>
          </w:p>
        </w:tc>
        <w:tc>
          <w:tcPr>
            <w:tcW w:w="1200" w:type="dxa"/>
            <w:tcBorders>
              <w:top w:val="nil"/>
              <w:left w:val="nil"/>
              <w:bottom w:val="nil"/>
              <w:right w:val="nil"/>
            </w:tcBorders>
            <w:vAlign w:val="center"/>
          </w:tcPr>
          <w:p w14:paraId="5551604B"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(0.187)</w:t>
            </w:r>
          </w:p>
        </w:tc>
        <w:tc>
          <w:tcPr>
            <w:tcW w:w="1200" w:type="dxa"/>
            <w:tcBorders>
              <w:top w:val="nil"/>
              <w:left w:val="nil"/>
              <w:bottom w:val="nil"/>
              <w:right w:val="nil"/>
            </w:tcBorders>
            <w:vAlign w:val="center"/>
          </w:tcPr>
          <w:p w14:paraId="2DE8052C"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(0.187)</w:t>
            </w:r>
          </w:p>
        </w:tc>
        <w:tc>
          <w:tcPr>
            <w:tcW w:w="1200" w:type="dxa"/>
            <w:tcBorders>
              <w:top w:val="nil"/>
              <w:left w:val="nil"/>
              <w:bottom w:val="nil"/>
              <w:right w:val="nil"/>
            </w:tcBorders>
            <w:vAlign w:val="center"/>
          </w:tcPr>
          <w:p w14:paraId="391B405A"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(0.187)</w:t>
            </w:r>
          </w:p>
        </w:tc>
        <w:tc>
          <w:tcPr>
            <w:tcW w:w="1115" w:type="dxa"/>
            <w:tcBorders>
              <w:top w:val="nil"/>
              <w:left w:val="nil"/>
              <w:bottom w:val="nil"/>
              <w:right w:val="nil"/>
            </w:tcBorders>
            <w:vAlign w:val="center"/>
          </w:tcPr>
          <w:p w14:paraId="65808E97"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(0.015)</w:t>
            </w:r>
          </w:p>
        </w:tc>
        <w:tc>
          <w:tcPr>
            <w:tcW w:w="1134" w:type="dxa"/>
            <w:tcBorders>
              <w:top w:val="nil"/>
              <w:left w:val="nil"/>
              <w:bottom w:val="nil"/>
              <w:right w:val="nil"/>
            </w:tcBorders>
            <w:vAlign w:val="center"/>
          </w:tcPr>
          <w:p w14:paraId="0FEB2527"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(0.015)</w:t>
            </w:r>
          </w:p>
        </w:tc>
        <w:tc>
          <w:tcPr>
            <w:tcW w:w="1353" w:type="dxa"/>
            <w:tcBorders>
              <w:top w:val="nil"/>
              <w:left w:val="nil"/>
              <w:bottom w:val="nil"/>
              <w:right w:val="nil"/>
            </w:tcBorders>
          </w:tcPr>
          <w:p w14:paraId="4AFD0B08"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(0.143)</w:t>
            </w:r>
          </w:p>
        </w:tc>
      </w:tr>
      <w:tr w:rsidR="00EC1DF5" w:rsidRPr="00EC1DF5" w14:paraId="213B43D0" w14:textId="77777777" w:rsidTr="00453380">
        <w:tc>
          <w:tcPr>
            <w:tcW w:w="2107" w:type="dxa"/>
            <w:tcBorders>
              <w:top w:val="nil"/>
              <w:left w:val="nil"/>
              <w:right w:val="nil"/>
            </w:tcBorders>
            <w:vAlign w:val="center"/>
          </w:tcPr>
          <w:p w14:paraId="69E7266E"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 xml:space="preserve"> Leverage</w:t>
            </w:r>
          </w:p>
        </w:tc>
        <w:tc>
          <w:tcPr>
            <w:tcW w:w="868" w:type="dxa"/>
            <w:tcBorders>
              <w:top w:val="nil"/>
              <w:left w:val="nil"/>
              <w:right w:val="nil"/>
            </w:tcBorders>
          </w:tcPr>
          <w:p w14:paraId="63BA39C1"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w:t>
            </w:r>
          </w:p>
        </w:tc>
        <w:tc>
          <w:tcPr>
            <w:tcW w:w="1250" w:type="dxa"/>
            <w:tcBorders>
              <w:top w:val="nil"/>
              <w:left w:val="nil"/>
              <w:right w:val="nil"/>
            </w:tcBorders>
            <w:vAlign w:val="center"/>
          </w:tcPr>
          <w:p w14:paraId="7A467B40"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-0.846**</w:t>
            </w:r>
          </w:p>
        </w:tc>
        <w:tc>
          <w:tcPr>
            <w:tcW w:w="1200" w:type="dxa"/>
            <w:tcBorders>
              <w:top w:val="nil"/>
              <w:left w:val="nil"/>
              <w:right w:val="nil"/>
            </w:tcBorders>
            <w:vAlign w:val="center"/>
          </w:tcPr>
          <w:p w14:paraId="7CF333CB"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-0.857**</w:t>
            </w:r>
          </w:p>
        </w:tc>
        <w:tc>
          <w:tcPr>
            <w:tcW w:w="1200" w:type="dxa"/>
            <w:tcBorders>
              <w:top w:val="nil"/>
              <w:left w:val="nil"/>
              <w:right w:val="nil"/>
            </w:tcBorders>
            <w:vAlign w:val="center"/>
          </w:tcPr>
          <w:p w14:paraId="1916E22B"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-0.866**</w:t>
            </w:r>
          </w:p>
        </w:tc>
        <w:tc>
          <w:tcPr>
            <w:tcW w:w="1200" w:type="dxa"/>
            <w:tcBorders>
              <w:top w:val="nil"/>
              <w:left w:val="nil"/>
              <w:right w:val="nil"/>
            </w:tcBorders>
            <w:vAlign w:val="center"/>
          </w:tcPr>
          <w:p w14:paraId="1DEF42FF"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-0.851**</w:t>
            </w:r>
          </w:p>
        </w:tc>
        <w:tc>
          <w:tcPr>
            <w:tcW w:w="1200" w:type="dxa"/>
            <w:tcBorders>
              <w:top w:val="nil"/>
              <w:left w:val="nil"/>
              <w:right w:val="nil"/>
            </w:tcBorders>
            <w:vAlign w:val="center"/>
          </w:tcPr>
          <w:p w14:paraId="7EE9ED07"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-0.864**</w:t>
            </w:r>
          </w:p>
        </w:tc>
        <w:tc>
          <w:tcPr>
            <w:tcW w:w="1200" w:type="dxa"/>
            <w:tcBorders>
              <w:top w:val="nil"/>
              <w:left w:val="nil"/>
              <w:right w:val="nil"/>
            </w:tcBorders>
            <w:vAlign w:val="center"/>
          </w:tcPr>
          <w:p w14:paraId="6F370ED1"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-0.860**</w:t>
            </w:r>
          </w:p>
        </w:tc>
        <w:tc>
          <w:tcPr>
            <w:tcW w:w="1115" w:type="dxa"/>
            <w:tcBorders>
              <w:top w:val="nil"/>
              <w:left w:val="nil"/>
              <w:right w:val="nil"/>
            </w:tcBorders>
            <w:vAlign w:val="center"/>
          </w:tcPr>
          <w:p w14:paraId="2E4049B5"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0.190***</w:t>
            </w:r>
          </w:p>
        </w:tc>
        <w:tc>
          <w:tcPr>
            <w:tcW w:w="1134" w:type="dxa"/>
            <w:tcBorders>
              <w:top w:val="nil"/>
              <w:left w:val="nil"/>
              <w:right w:val="nil"/>
            </w:tcBorders>
            <w:vAlign w:val="center"/>
          </w:tcPr>
          <w:p w14:paraId="7358803D"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0.063</w:t>
            </w:r>
          </w:p>
        </w:tc>
        <w:tc>
          <w:tcPr>
            <w:tcW w:w="1353" w:type="dxa"/>
            <w:tcBorders>
              <w:top w:val="nil"/>
              <w:left w:val="nil"/>
              <w:bottom w:val="nil"/>
              <w:right w:val="nil"/>
            </w:tcBorders>
          </w:tcPr>
          <w:p w14:paraId="253C9C0C"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-1.127***</w:t>
            </w:r>
          </w:p>
        </w:tc>
      </w:tr>
      <w:tr w:rsidR="00EC1DF5" w:rsidRPr="00EC1DF5" w14:paraId="1EFDA483" w14:textId="77777777" w:rsidTr="00453380">
        <w:trPr>
          <w:trHeight w:val="391"/>
        </w:trPr>
        <w:tc>
          <w:tcPr>
            <w:tcW w:w="2107" w:type="dxa"/>
            <w:tcBorders>
              <w:top w:val="nil"/>
              <w:left w:val="nil"/>
              <w:bottom w:val="single" w:sz="4" w:space="0" w:color="auto"/>
              <w:right w:val="nil"/>
            </w:tcBorders>
            <w:vAlign w:val="center"/>
          </w:tcPr>
          <w:p w14:paraId="79A55907"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 xml:space="preserve">  </w:t>
            </w:r>
          </w:p>
        </w:tc>
        <w:tc>
          <w:tcPr>
            <w:tcW w:w="868" w:type="dxa"/>
            <w:tcBorders>
              <w:top w:val="nil"/>
              <w:left w:val="nil"/>
              <w:bottom w:val="single" w:sz="4" w:space="0" w:color="auto"/>
              <w:right w:val="nil"/>
            </w:tcBorders>
          </w:tcPr>
          <w:p w14:paraId="575552E9"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50" w:type="dxa"/>
            <w:tcBorders>
              <w:top w:val="nil"/>
              <w:left w:val="nil"/>
              <w:bottom w:val="single" w:sz="4" w:space="0" w:color="auto"/>
              <w:right w:val="nil"/>
            </w:tcBorders>
          </w:tcPr>
          <w:p w14:paraId="7F5A87BD"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(0.371)</w:t>
            </w:r>
          </w:p>
        </w:tc>
        <w:tc>
          <w:tcPr>
            <w:tcW w:w="1200" w:type="dxa"/>
            <w:tcBorders>
              <w:top w:val="nil"/>
              <w:left w:val="nil"/>
              <w:bottom w:val="single" w:sz="4" w:space="0" w:color="auto"/>
              <w:right w:val="nil"/>
            </w:tcBorders>
          </w:tcPr>
          <w:p w14:paraId="4F16485C"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(0.375)</w:t>
            </w:r>
          </w:p>
        </w:tc>
        <w:tc>
          <w:tcPr>
            <w:tcW w:w="1200" w:type="dxa"/>
            <w:tcBorders>
              <w:top w:val="nil"/>
              <w:left w:val="nil"/>
              <w:bottom w:val="single" w:sz="4" w:space="0" w:color="auto"/>
              <w:right w:val="nil"/>
            </w:tcBorders>
          </w:tcPr>
          <w:p w14:paraId="24E2BE13"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(0.373)</w:t>
            </w:r>
          </w:p>
        </w:tc>
        <w:tc>
          <w:tcPr>
            <w:tcW w:w="1200" w:type="dxa"/>
            <w:tcBorders>
              <w:top w:val="nil"/>
              <w:left w:val="nil"/>
              <w:bottom w:val="single" w:sz="4" w:space="0" w:color="auto"/>
              <w:right w:val="nil"/>
            </w:tcBorders>
          </w:tcPr>
          <w:p w14:paraId="29A2B1C6"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(0.370)</w:t>
            </w:r>
          </w:p>
        </w:tc>
        <w:tc>
          <w:tcPr>
            <w:tcW w:w="1200" w:type="dxa"/>
            <w:tcBorders>
              <w:top w:val="nil"/>
              <w:left w:val="nil"/>
              <w:bottom w:val="single" w:sz="4" w:space="0" w:color="auto"/>
              <w:right w:val="nil"/>
            </w:tcBorders>
          </w:tcPr>
          <w:p w14:paraId="618ACEB9"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(0.373)</w:t>
            </w:r>
          </w:p>
        </w:tc>
        <w:tc>
          <w:tcPr>
            <w:tcW w:w="1200" w:type="dxa"/>
            <w:tcBorders>
              <w:top w:val="nil"/>
              <w:left w:val="nil"/>
              <w:bottom w:val="single" w:sz="4" w:space="0" w:color="auto"/>
              <w:right w:val="nil"/>
            </w:tcBorders>
          </w:tcPr>
          <w:p w14:paraId="25296839"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(0.374)</w:t>
            </w:r>
          </w:p>
        </w:tc>
        <w:tc>
          <w:tcPr>
            <w:tcW w:w="1115" w:type="dxa"/>
            <w:tcBorders>
              <w:top w:val="nil"/>
              <w:left w:val="nil"/>
              <w:bottom w:val="single" w:sz="4" w:space="0" w:color="auto"/>
              <w:right w:val="nil"/>
            </w:tcBorders>
          </w:tcPr>
          <w:p w14:paraId="40902474"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(0.061)</w:t>
            </w:r>
          </w:p>
        </w:tc>
        <w:tc>
          <w:tcPr>
            <w:tcW w:w="1134" w:type="dxa"/>
            <w:tcBorders>
              <w:top w:val="nil"/>
              <w:left w:val="nil"/>
              <w:bottom w:val="single" w:sz="4" w:space="0" w:color="auto"/>
              <w:right w:val="nil"/>
            </w:tcBorders>
          </w:tcPr>
          <w:p w14:paraId="74D3567F"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(0.075)</w:t>
            </w:r>
          </w:p>
        </w:tc>
        <w:tc>
          <w:tcPr>
            <w:tcW w:w="1353" w:type="dxa"/>
            <w:tcBorders>
              <w:top w:val="nil"/>
              <w:left w:val="nil"/>
              <w:bottom w:val="nil"/>
              <w:right w:val="nil"/>
            </w:tcBorders>
          </w:tcPr>
          <w:p w14:paraId="6AAA369A"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(0.366)</w:t>
            </w:r>
          </w:p>
        </w:tc>
      </w:tr>
      <w:tr w:rsidR="00EC1DF5" w:rsidRPr="00EC1DF5" w14:paraId="01D6C16E" w14:textId="77777777" w:rsidTr="00453380">
        <w:tc>
          <w:tcPr>
            <w:tcW w:w="2107" w:type="dxa"/>
            <w:tcBorders>
              <w:top w:val="single" w:sz="4" w:space="0" w:color="auto"/>
              <w:left w:val="nil"/>
              <w:bottom w:val="nil"/>
              <w:right w:val="nil"/>
            </w:tcBorders>
            <w:vAlign w:val="center"/>
          </w:tcPr>
          <w:p w14:paraId="039D0505"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 xml:space="preserve"> Obs.</w:t>
            </w:r>
          </w:p>
        </w:tc>
        <w:tc>
          <w:tcPr>
            <w:tcW w:w="868" w:type="dxa"/>
            <w:tcBorders>
              <w:top w:val="single" w:sz="4" w:space="0" w:color="auto"/>
              <w:left w:val="nil"/>
              <w:bottom w:val="nil"/>
              <w:right w:val="nil"/>
            </w:tcBorders>
          </w:tcPr>
          <w:p w14:paraId="39D6329C"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50" w:type="dxa"/>
            <w:tcBorders>
              <w:top w:val="single" w:sz="4" w:space="0" w:color="auto"/>
              <w:left w:val="nil"/>
              <w:bottom w:val="nil"/>
              <w:right w:val="nil"/>
            </w:tcBorders>
            <w:vAlign w:val="center"/>
          </w:tcPr>
          <w:p w14:paraId="69606170"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4871</w:t>
            </w:r>
          </w:p>
        </w:tc>
        <w:tc>
          <w:tcPr>
            <w:tcW w:w="1200" w:type="dxa"/>
            <w:tcBorders>
              <w:top w:val="single" w:sz="4" w:space="0" w:color="auto"/>
              <w:left w:val="nil"/>
              <w:bottom w:val="nil"/>
              <w:right w:val="nil"/>
            </w:tcBorders>
            <w:vAlign w:val="center"/>
          </w:tcPr>
          <w:p w14:paraId="3186EC91"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4871</w:t>
            </w:r>
          </w:p>
        </w:tc>
        <w:tc>
          <w:tcPr>
            <w:tcW w:w="1200" w:type="dxa"/>
            <w:tcBorders>
              <w:top w:val="single" w:sz="4" w:space="0" w:color="auto"/>
              <w:left w:val="nil"/>
              <w:bottom w:val="nil"/>
              <w:right w:val="nil"/>
            </w:tcBorders>
            <w:vAlign w:val="center"/>
          </w:tcPr>
          <w:p w14:paraId="202E3937"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4871</w:t>
            </w:r>
          </w:p>
        </w:tc>
        <w:tc>
          <w:tcPr>
            <w:tcW w:w="1200" w:type="dxa"/>
            <w:tcBorders>
              <w:top w:val="single" w:sz="4" w:space="0" w:color="auto"/>
              <w:left w:val="nil"/>
              <w:bottom w:val="nil"/>
              <w:right w:val="nil"/>
            </w:tcBorders>
            <w:vAlign w:val="center"/>
          </w:tcPr>
          <w:p w14:paraId="2855B1D9"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4871</w:t>
            </w:r>
          </w:p>
        </w:tc>
        <w:tc>
          <w:tcPr>
            <w:tcW w:w="1200" w:type="dxa"/>
            <w:tcBorders>
              <w:top w:val="single" w:sz="4" w:space="0" w:color="auto"/>
              <w:left w:val="nil"/>
              <w:bottom w:val="nil"/>
              <w:right w:val="nil"/>
            </w:tcBorders>
            <w:vAlign w:val="center"/>
          </w:tcPr>
          <w:p w14:paraId="7A949484"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4871</w:t>
            </w:r>
          </w:p>
        </w:tc>
        <w:tc>
          <w:tcPr>
            <w:tcW w:w="1200" w:type="dxa"/>
            <w:tcBorders>
              <w:top w:val="single" w:sz="4" w:space="0" w:color="auto"/>
              <w:left w:val="nil"/>
              <w:bottom w:val="nil"/>
              <w:right w:val="nil"/>
            </w:tcBorders>
            <w:vAlign w:val="center"/>
          </w:tcPr>
          <w:p w14:paraId="31127F1F"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4871</w:t>
            </w:r>
          </w:p>
        </w:tc>
        <w:tc>
          <w:tcPr>
            <w:tcW w:w="1115" w:type="dxa"/>
            <w:tcBorders>
              <w:top w:val="single" w:sz="4" w:space="0" w:color="auto"/>
              <w:left w:val="nil"/>
              <w:bottom w:val="nil"/>
              <w:right w:val="nil"/>
            </w:tcBorders>
            <w:vAlign w:val="center"/>
          </w:tcPr>
          <w:p w14:paraId="2DA382C8"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3964</w:t>
            </w:r>
          </w:p>
        </w:tc>
        <w:tc>
          <w:tcPr>
            <w:tcW w:w="1134" w:type="dxa"/>
            <w:tcBorders>
              <w:top w:val="single" w:sz="4" w:space="0" w:color="auto"/>
              <w:left w:val="nil"/>
              <w:bottom w:val="nil"/>
              <w:right w:val="nil"/>
            </w:tcBorders>
            <w:vAlign w:val="center"/>
          </w:tcPr>
          <w:p w14:paraId="74DD072C"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3544</w:t>
            </w:r>
          </w:p>
        </w:tc>
        <w:tc>
          <w:tcPr>
            <w:tcW w:w="1353" w:type="dxa"/>
            <w:tcBorders>
              <w:top w:val="single" w:sz="4" w:space="0" w:color="auto"/>
              <w:left w:val="nil"/>
              <w:bottom w:val="nil"/>
              <w:right w:val="nil"/>
            </w:tcBorders>
          </w:tcPr>
          <w:p w14:paraId="5E691EFD"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4042</w:t>
            </w:r>
          </w:p>
        </w:tc>
      </w:tr>
      <w:tr w:rsidR="00EC1DF5" w:rsidRPr="00EC1DF5" w14:paraId="3375F309" w14:textId="77777777" w:rsidTr="00453380">
        <w:tc>
          <w:tcPr>
            <w:tcW w:w="2107" w:type="dxa"/>
            <w:tcBorders>
              <w:top w:val="nil"/>
              <w:left w:val="nil"/>
              <w:bottom w:val="nil"/>
              <w:right w:val="nil"/>
            </w:tcBorders>
            <w:vAlign w:val="center"/>
          </w:tcPr>
          <w:p w14:paraId="26C7538F"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 xml:space="preserve"> R-squared </w:t>
            </w:r>
          </w:p>
        </w:tc>
        <w:tc>
          <w:tcPr>
            <w:tcW w:w="868" w:type="dxa"/>
            <w:tcBorders>
              <w:top w:val="nil"/>
              <w:left w:val="nil"/>
              <w:bottom w:val="nil"/>
              <w:right w:val="nil"/>
            </w:tcBorders>
          </w:tcPr>
          <w:p w14:paraId="47DD4A13"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50" w:type="dxa"/>
            <w:tcBorders>
              <w:top w:val="nil"/>
              <w:left w:val="nil"/>
              <w:bottom w:val="nil"/>
              <w:right w:val="nil"/>
            </w:tcBorders>
            <w:vAlign w:val="center"/>
          </w:tcPr>
          <w:p w14:paraId="0F6FA36E"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0.261</w:t>
            </w:r>
          </w:p>
        </w:tc>
        <w:tc>
          <w:tcPr>
            <w:tcW w:w="1200" w:type="dxa"/>
            <w:tcBorders>
              <w:top w:val="nil"/>
              <w:left w:val="nil"/>
              <w:bottom w:val="nil"/>
              <w:right w:val="nil"/>
            </w:tcBorders>
            <w:vAlign w:val="center"/>
          </w:tcPr>
          <w:p w14:paraId="48DD7559"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0.257</w:t>
            </w:r>
          </w:p>
        </w:tc>
        <w:tc>
          <w:tcPr>
            <w:tcW w:w="1200" w:type="dxa"/>
            <w:tcBorders>
              <w:top w:val="nil"/>
              <w:left w:val="nil"/>
              <w:bottom w:val="nil"/>
              <w:right w:val="nil"/>
            </w:tcBorders>
            <w:vAlign w:val="center"/>
          </w:tcPr>
          <w:p w14:paraId="72EBAE9F"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0.257</w:t>
            </w:r>
          </w:p>
        </w:tc>
        <w:tc>
          <w:tcPr>
            <w:tcW w:w="1200" w:type="dxa"/>
            <w:tcBorders>
              <w:top w:val="nil"/>
              <w:left w:val="nil"/>
              <w:bottom w:val="nil"/>
              <w:right w:val="nil"/>
            </w:tcBorders>
            <w:vAlign w:val="center"/>
          </w:tcPr>
          <w:p w14:paraId="5696FB0D"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0.260</w:t>
            </w:r>
          </w:p>
        </w:tc>
        <w:tc>
          <w:tcPr>
            <w:tcW w:w="1200" w:type="dxa"/>
            <w:tcBorders>
              <w:top w:val="nil"/>
              <w:left w:val="nil"/>
              <w:bottom w:val="nil"/>
              <w:right w:val="nil"/>
            </w:tcBorders>
            <w:vAlign w:val="center"/>
          </w:tcPr>
          <w:p w14:paraId="792A1423"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0.257</w:t>
            </w:r>
          </w:p>
        </w:tc>
        <w:tc>
          <w:tcPr>
            <w:tcW w:w="1200" w:type="dxa"/>
            <w:tcBorders>
              <w:top w:val="nil"/>
              <w:left w:val="nil"/>
              <w:bottom w:val="nil"/>
              <w:right w:val="nil"/>
            </w:tcBorders>
            <w:vAlign w:val="center"/>
          </w:tcPr>
          <w:p w14:paraId="5E536A90"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0.258</w:t>
            </w:r>
          </w:p>
        </w:tc>
        <w:tc>
          <w:tcPr>
            <w:tcW w:w="1115" w:type="dxa"/>
            <w:tcBorders>
              <w:top w:val="nil"/>
              <w:left w:val="nil"/>
              <w:bottom w:val="nil"/>
              <w:right w:val="nil"/>
            </w:tcBorders>
            <w:vAlign w:val="center"/>
          </w:tcPr>
          <w:p w14:paraId="412C0D39"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w:t>
            </w:r>
          </w:p>
        </w:tc>
        <w:tc>
          <w:tcPr>
            <w:tcW w:w="1134" w:type="dxa"/>
            <w:tcBorders>
              <w:top w:val="nil"/>
              <w:left w:val="nil"/>
              <w:bottom w:val="nil"/>
              <w:right w:val="nil"/>
            </w:tcBorders>
            <w:vAlign w:val="center"/>
          </w:tcPr>
          <w:p w14:paraId="520427A9"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w:t>
            </w:r>
          </w:p>
        </w:tc>
        <w:tc>
          <w:tcPr>
            <w:tcW w:w="1353" w:type="dxa"/>
            <w:tcBorders>
              <w:top w:val="nil"/>
              <w:left w:val="nil"/>
              <w:bottom w:val="nil"/>
              <w:right w:val="nil"/>
            </w:tcBorders>
          </w:tcPr>
          <w:p w14:paraId="04726414"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w:t>
            </w:r>
          </w:p>
        </w:tc>
      </w:tr>
      <w:tr w:rsidR="00EC1DF5" w:rsidRPr="00EC1DF5" w14:paraId="4C5C57EF" w14:textId="77777777" w:rsidTr="00453380">
        <w:tc>
          <w:tcPr>
            <w:tcW w:w="2107" w:type="dxa"/>
            <w:tcBorders>
              <w:top w:val="nil"/>
              <w:left w:val="nil"/>
              <w:bottom w:val="nil"/>
              <w:right w:val="nil"/>
            </w:tcBorders>
            <w:vAlign w:val="center"/>
          </w:tcPr>
          <w:p w14:paraId="4EF97AB5"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Industry</w:t>
            </w:r>
          </w:p>
        </w:tc>
        <w:tc>
          <w:tcPr>
            <w:tcW w:w="868" w:type="dxa"/>
            <w:tcBorders>
              <w:top w:val="nil"/>
              <w:left w:val="nil"/>
              <w:bottom w:val="nil"/>
              <w:right w:val="nil"/>
            </w:tcBorders>
          </w:tcPr>
          <w:p w14:paraId="53E554CF"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50" w:type="dxa"/>
            <w:tcBorders>
              <w:top w:val="nil"/>
              <w:left w:val="nil"/>
              <w:bottom w:val="nil"/>
              <w:right w:val="nil"/>
            </w:tcBorders>
            <w:vAlign w:val="center"/>
          </w:tcPr>
          <w:p w14:paraId="1FF367FC"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Yes</w:t>
            </w:r>
          </w:p>
        </w:tc>
        <w:tc>
          <w:tcPr>
            <w:tcW w:w="1200" w:type="dxa"/>
            <w:tcBorders>
              <w:top w:val="nil"/>
              <w:left w:val="nil"/>
              <w:bottom w:val="nil"/>
              <w:right w:val="nil"/>
            </w:tcBorders>
            <w:vAlign w:val="center"/>
          </w:tcPr>
          <w:p w14:paraId="57E8FFC5"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Yes</w:t>
            </w:r>
          </w:p>
        </w:tc>
        <w:tc>
          <w:tcPr>
            <w:tcW w:w="1200" w:type="dxa"/>
            <w:tcBorders>
              <w:top w:val="nil"/>
              <w:left w:val="nil"/>
              <w:bottom w:val="nil"/>
              <w:right w:val="nil"/>
            </w:tcBorders>
            <w:vAlign w:val="center"/>
          </w:tcPr>
          <w:p w14:paraId="20A8FE83"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Yes</w:t>
            </w:r>
          </w:p>
        </w:tc>
        <w:tc>
          <w:tcPr>
            <w:tcW w:w="1200" w:type="dxa"/>
            <w:tcBorders>
              <w:top w:val="nil"/>
              <w:left w:val="nil"/>
              <w:bottom w:val="nil"/>
              <w:right w:val="nil"/>
            </w:tcBorders>
            <w:vAlign w:val="center"/>
          </w:tcPr>
          <w:p w14:paraId="0E38A82E"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Yes</w:t>
            </w:r>
          </w:p>
        </w:tc>
        <w:tc>
          <w:tcPr>
            <w:tcW w:w="1200" w:type="dxa"/>
            <w:tcBorders>
              <w:top w:val="nil"/>
              <w:left w:val="nil"/>
              <w:bottom w:val="nil"/>
              <w:right w:val="nil"/>
            </w:tcBorders>
            <w:vAlign w:val="center"/>
          </w:tcPr>
          <w:p w14:paraId="2E98B638"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Yes</w:t>
            </w:r>
          </w:p>
        </w:tc>
        <w:tc>
          <w:tcPr>
            <w:tcW w:w="1200" w:type="dxa"/>
            <w:tcBorders>
              <w:top w:val="nil"/>
              <w:left w:val="nil"/>
              <w:bottom w:val="nil"/>
              <w:right w:val="nil"/>
            </w:tcBorders>
            <w:vAlign w:val="center"/>
          </w:tcPr>
          <w:p w14:paraId="33933D17"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Yes</w:t>
            </w:r>
          </w:p>
        </w:tc>
        <w:tc>
          <w:tcPr>
            <w:tcW w:w="1115" w:type="dxa"/>
            <w:tcBorders>
              <w:top w:val="nil"/>
              <w:left w:val="nil"/>
              <w:bottom w:val="nil"/>
              <w:right w:val="nil"/>
            </w:tcBorders>
            <w:vAlign w:val="center"/>
          </w:tcPr>
          <w:p w14:paraId="329B5E6B"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Yes</w:t>
            </w:r>
          </w:p>
        </w:tc>
        <w:tc>
          <w:tcPr>
            <w:tcW w:w="1134" w:type="dxa"/>
            <w:tcBorders>
              <w:top w:val="nil"/>
              <w:left w:val="nil"/>
              <w:bottom w:val="nil"/>
              <w:right w:val="nil"/>
            </w:tcBorders>
            <w:vAlign w:val="center"/>
          </w:tcPr>
          <w:p w14:paraId="0D81F828"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Yes</w:t>
            </w:r>
          </w:p>
        </w:tc>
        <w:tc>
          <w:tcPr>
            <w:tcW w:w="1353" w:type="dxa"/>
            <w:tcBorders>
              <w:top w:val="nil"/>
              <w:left w:val="nil"/>
              <w:bottom w:val="nil"/>
              <w:right w:val="nil"/>
            </w:tcBorders>
          </w:tcPr>
          <w:p w14:paraId="4E19BC5F"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Yes</w:t>
            </w:r>
          </w:p>
        </w:tc>
      </w:tr>
      <w:tr w:rsidR="00EC1DF5" w:rsidRPr="00EC1DF5" w14:paraId="34C99ED8" w14:textId="77777777" w:rsidTr="00453380">
        <w:trPr>
          <w:trHeight w:val="213"/>
        </w:trPr>
        <w:tc>
          <w:tcPr>
            <w:tcW w:w="2107" w:type="dxa"/>
            <w:tcBorders>
              <w:top w:val="nil"/>
              <w:left w:val="nil"/>
              <w:right w:val="nil"/>
            </w:tcBorders>
            <w:vAlign w:val="center"/>
          </w:tcPr>
          <w:p w14:paraId="0DA65A59"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 xml:space="preserve">Year </w:t>
            </w:r>
          </w:p>
        </w:tc>
        <w:tc>
          <w:tcPr>
            <w:tcW w:w="868" w:type="dxa"/>
            <w:tcBorders>
              <w:top w:val="nil"/>
              <w:left w:val="nil"/>
              <w:right w:val="nil"/>
            </w:tcBorders>
          </w:tcPr>
          <w:p w14:paraId="41E4B8BC"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50" w:type="dxa"/>
            <w:tcBorders>
              <w:top w:val="nil"/>
              <w:left w:val="nil"/>
              <w:right w:val="nil"/>
            </w:tcBorders>
            <w:vAlign w:val="center"/>
          </w:tcPr>
          <w:p w14:paraId="7E8FEB2C"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Yes</w:t>
            </w:r>
          </w:p>
        </w:tc>
        <w:tc>
          <w:tcPr>
            <w:tcW w:w="1200" w:type="dxa"/>
            <w:tcBorders>
              <w:top w:val="nil"/>
              <w:left w:val="nil"/>
              <w:right w:val="nil"/>
            </w:tcBorders>
            <w:vAlign w:val="center"/>
          </w:tcPr>
          <w:p w14:paraId="723DDFE2"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Yes</w:t>
            </w:r>
          </w:p>
        </w:tc>
        <w:tc>
          <w:tcPr>
            <w:tcW w:w="1200" w:type="dxa"/>
            <w:tcBorders>
              <w:top w:val="nil"/>
              <w:left w:val="nil"/>
              <w:right w:val="nil"/>
            </w:tcBorders>
            <w:vAlign w:val="center"/>
          </w:tcPr>
          <w:p w14:paraId="4AC2C654"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Yes</w:t>
            </w:r>
          </w:p>
        </w:tc>
        <w:tc>
          <w:tcPr>
            <w:tcW w:w="1200" w:type="dxa"/>
            <w:tcBorders>
              <w:top w:val="nil"/>
              <w:left w:val="nil"/>
              <w:right w:val="nil"/>
            </w:tcBorders>
            <w:vAlign w:val="center"/>
          </w:tcPr>
          <w:p w14:paraId="2D3F6DA4"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Yes</w:t>
            </w:r>
          </w:p>
        </w:tc>
        <w:tc>
          <w:tcPr>
            <w:tcW w:w="1200" w:type="dxa"/>
            <w:tcBorders>
              <w:top w:val="nil"/>
              <w:left w:val="nil"/>
              <w:right w:val="nil"/>
            </w:tcBorders>
            <w:vAlign w:val="center"/>
          </w:tcPr>
          <w:p w14:paraId="755E0058"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Yes</w:t>
            </w:r>
          </w:p>
        </w:tc>
        <w:tc>
          <w:tcPr>
            <w:tcW w:w="1200" w:type="dxa"/>
            <w:tcBorders>
              <w:top w:val="nil"/>
              <w:left w:val="nil"/>
              <w:right w:val="nil"/>
            </w:tcBorders>
            <w:vAlign w:val="center"/>
          </w:tcPr>
          <w:p w14:paraId="32403305"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Yes</w:t>
            </w:r>
          </w:p>
        </w:tc>
        <w:tc>
          <w:tcPr>
            <w:tcW w:w="1115" w:type="dxa"/>
            <w:tcBorders>
              <w:top w:val="nil"/>
              <w:left w:val="nil"/>
              <w:right w:val="nil"/>
            </w:tcBorders>
            <w:vAlign w:val="center"/>
          </w:tcPr>
          <w:p w14:paraId="63F214D1"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Yes</w:t>
            </w:r>
          </w:p>
        </w:tc>
        <w:tc>
          <w:tcPr>
            <w:tcW w:w="1134" w:type="dxa"/>
            <w:tcBorders>
              <w:top w:val="nil"/>
              <w:left w:val="nil"/>
              <w:right w:val="nil"/>
            </w:tcBorders>
            <w:vAlign w:val="center"/>
          </w:tcPr>
          <w:p w14:paraId="59157323"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Yes</w:t>
            </w:r>
          </w:p>
        </w:tc>
        <w:tc>
          <w:tcPr>
            <w:tcW w:w="1353" w:type="dxa"/>
            <w:tcBorders>
              <w:top w:val="nil"/>
              <w:left w:val="nil"/>
              <w:right w:val="nil"/>
            </w:tcBorders>
          </w:tcPr>
          <w:p w14:paraId="26EEDE0F"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Yes</w:t>
            </w:r>
          </w:p>
        </w:tc>
      </w:tr>
      <w:tr w:rsidR="00EC1DF5" w:rsidRPr="00EC1DF5" w14:paraId="1BEBD382" w14:textId="77777777" w:rsidTr="00453380">
        <w:tc>
          <w:tcPr>
            <w:tcW w:w="10225" w:type="dxa"/>
            <w:gridSpan w:val="8"/>
            <w:vMerge w:val="restart"/>
            <w:tcBorders>
              <w:top w:val="nil"/>
              <w:left w:val="nil"/>
              <w:right w:val="nil"/>
            </w:tcBorders>
          </w:tcPr>
          <w:p w14:paraId="35DFA38E"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AR (1)</w:t>
            </w:r>
          </w:p>
          <w:p w14:paraId="5F924551"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AR (2)</w:t>
            </w:r>
          </w:p>
          <w:p w14:paraId="097A2040"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Hansen Test</w:t>
            </w:r>
          </w:p>
          <w:p w14:paraId="2D33F957"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115" w:type="dxa"/>
            <w:tcBorders>
              <w:top w:val="nil"/>
              <w:left w:val="nil"/>
              <w:right w:val="nil"/>
            </w:tcBorders>
            <w:vAlign w:val="center"/>
          </w:tcPr>
          <w:p w14:paraId="3DF13A06"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0.000</w:t>
            </w:r>
          </w:p>
        </w:tc>
        <w:tc>
          <w:tcPr>
            <w:tcW w:w="1134" w:type="dxa"/>
            <w:tcBorders>
              <w:top w:val="nil"/>
              <w:left w:val="nil"/>
              <w:right w:val="nil"/>
            </w:tcBorders>
            <w:vAlign w:val="center"/>
          </w:tcPr>
          <w:p w14:paraId="6A4BD397"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0.000</w:t>
            </w:r>
          </w:p>
        </w:tc>
        <w:tc>
          <w:tcPr>
            <w:tcW w:w="1353" w:type="dxa"/>
            <w:tcBorders>
              <w:top w:val="nil"/>
              <w:left w:val="nil"/>
              <w:right w:val="nil"/>
            </w:tcBorders>
          </w:tcPr>
          <w:p w14:paraId="7A0138C5"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0.000</w:t>
            </w:r>
          </w:p>
        </w:tc>
      </w:tr>
      <w:tr w:rsidR="00EC1DF5" w:rsidRPr="00EC1DF5" w14:paraId="7D02D0F0" w14:textId="77777777" w:rsidTr="00453380">
        <w:tc>
          <w:tcPr>
            <w:tcW w:w="10225" w:type="dxa"/>
            <w:gridSpan w:val="8"/>
            <w:vMerge/>
            <w:tcBorders>
              <w:left w:val="nil"/>
              <w:right w:val="nil"/>
            </w:tcBorders>
          </w:tcPr>
          <w:p w14:paraId="411DD21B"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115" w:type="dxa"/>
            <w:tcBorders>
              <w:top w:val="nil"/>
              <w:left w:val="nil"/>
              <w:right w:val="nil"/>
            </w:tcBorders>
            <w:vAlign w:val="center"/>
          </w:tcPr>
          <w:p w14:paraId="30123245"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0.034</w:t>
            </w:r>
          </w:p>
        </w:tc>
        <w:tc>
          <w:tcPr>
            <w:tcW w:w="1134" w:type="dxa"/>
            <w:tcBorders>
              <w:top w:val="nil"/>
              <w:left w:val="nil"/>
              <w:right w:val="nil"/>
            </w:tcBorders>
            <w:vAlign w:val="center"/>
          </w:tcPr>
          <w:p w14:paraId="451F6073"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0.463</w:t>
            </w:r>
          </w:p>
        </w:tc>
        <w:tc>
          <w:tcPr>
            <w:tcW w:w="1353" w:type="dxa"/>
            <w:tcBorders>
              <w:top w:val="nil"/>
              <w:left w:val="nil"/>
              <w:right w:val="nil"/>
            </w:tcBorders>
          </w:tcPr>
          <w:p w14:paraId="5FC3FE62"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0.952</w:t>
            </w:r>
          </w:p>
        </w:tc>
      </w:tr>
      <w:tr w:rsidR="00EC1DF5" w:rsidRPr="00EC1DF5" w14:paraId="23964697" w14:textId="77777777" w:rsidTr="00453380">
        <w:tc>
          <w:tcPr>
            <w:tcW w:w="10225" w:type="dxa"/>
            <w:gridSpan w:val="8"/>
            <w:vMerge/>
            <w:tcBorders>
              <w:left w:val="nil"/>
              <w:bottom w:val="single" w:sz="4" w:space="0" w:color="auto"/>
              <w:right w:val="nil"/>
            </w:tcBorders>
          </w:tcPr>
          <w:p w14:paraId="70167122"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115" w:type="dxa"/>
            <w:tcBorders>
              <w:top w:val="nil"/>
              <w:left w:val="nil"/>
              <w:bottom w:val="single" w:sz="4" w:space="0" w:color="auto"/>
              <w:right w:val="nil"/>
            </w:tcBorders>
          </w:tcPr>
          <w:p w14:paraId="27FF1F90"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0.052</w:t>
            </w:r>
          </w:p>
        </w:tc>
        <w:tc>
          <w:tcPr>
            <w:tcW w:w="1134" w:type="dxa"/>
            <w:tcBorders>
              <w:top w:val="nil"/>
              <w:left w:val="nil"/>
              <w:bottom w:val="single" w:sz="4" w:space="0" w:color="auto"/>
              <w:right w:val="nil"/>
            </w:tcBorders>
            <w:vAlign w:val="center"/>
          </w:tcPr>
          <w:p w14:paraId="016A94AF"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0.220</w:t>
            </w:r>
          </w:p>
          <w:p w14:paraId="70D6A7FB" w14:textId="77777777" w:rsidR="00AB41CC" w:rsidRPr="00EC1DF5" w:rsidRDefault="00AB41CC" w:rsidP="00453380">
            <w:pPr>
              <w:widowControl w:val="0"/>
              <w:autoSpaceDE w:val="0"/>
              <w:autoSpaceDN w:val="0"/>
              <w:adjustRightInd w:val="0"/>
              <w:spacing w:after="0" w:line="240" w:lineRule="auto"/>
              <w:rPr>
                <w:color w:val="auto"/>
                <w:sz w:val="18"/>
                <w:szCs w:val="18"/>
              </w:rPr>
            </w:pPr>
          </w:p>
          <w:p w14:paraId="75F7410B" w14:textId="77777777" w:rsidR="00AB41CC" w:rsidRPr="00EC1DF5" w:rsidRDefault="00AB41CC" w:rsidP="00453380">
            <w:pPr>
              <w:widowControl w:val="0"/>
              <w:autoSpaceDE w:val="0"/>
              <w:autoSpaceDN w:val="0"/>
              <w:adjustRightInd w:val="0"/>
              <w:spacing w:after="0" w:line="240" w:lineRule="auto"/>
              <w:rPr>
                <w:color w:val="auto"/>
                <w:sz w:val="18"/>
                <w:szCs w:val="18"/>
              </w:rPr>
            </w:pPr>
          </w:p>
          <w:p w14:paraId="298727ED"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353" w:type="dxa"/>
            <w:tcBorders>
              <w:top w:val="nil"/>
              <w:left w:val="nil"/>
              <w:bottom w:val="single" w:sz="4" w:space="0" w:color="auto"/>
              <w:right w:val="nil"/>
            </w:tcBorders>
          </w:tcPr>
          <w:p w14:paraId="41137C59"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lastRenderedPageBreak/>
              <w:t>0.296</w:t>
            </w:r>
          </w:p>
        </w:tc>
      </w:tr>
      <w:tr w:rsidR="00AB41CC" w:rsidRPr="00EC1DF5" w14:paraId="750612E8" w14:textId="77777777" w:rsidTr="00453380">
        <w:tc>
          <w:tcPr>
            <w:tcW w:w="13827" w:type="dxa"/>
            <w:gridSpan w:val="11"/>
            <w:tcBorders>
              <w:left w:val="nil"/>
              <w:bottom w:val="single" w:sz="4" w:space="0" w:color="auto"/>
              <w:right w:val="nil"/>
            </w:tcBorders>
          </w:tcPr>
          <w:p w14:paraId="571EC3AE" w14:textId="77777777" w:rsidR="00AB41CC" w:rsidRPr="00EC1DF5" w:rsidRDefault="00AB41CC" w:rsidP="00453380">
            <w:pPr>
              <w:widowControl w:val="0"/>
              <w:autoSpaceDE w:val="0"/>
              <w:autoSpaceDN w:val="0"/>
              <w:adjustRightInd w:val="0"/>
              <w:spacing w:after="0" w:line="240" w:lineRule="auto"/>
              <w:jc w:val="both"/>
              <w:rPr>
                <w:color w:val="auto"/>
                <w:sz w:val="18"/>
                <w:szCs w:val="18"/>
              </w:rPr>
            </w:pPr>
          </w:p>
          <w:p w14:paraId="5245C639" w14:textId="77777777" w:rsidR="00AB41CC" w:rsidRPr="00EC1DF5" w:rsidRDefault="00AB41CC" w:rsidP="00453380">
            <w:pPr>
              <w:widowControl w:val="0"/>
              <w:autoSpaceDE w:val="0"/>
              <w:autoSpaceDN w:val="0"/>
              <w:adjustRightInd w:val="0"/>
              <w:spacing w:after="0" w:line="240" w:lineRule="auto"/>
              <w:jc w:val="both"/>
              <w:rPr>
                <w:color w:val="auto"/>
                <w:sz w:val="18"/>
                <w:szCs w:val="18"/>
              </w:rPr>
            </w:pPr>
          </w:p>
          <w:p w14:paraId="59D254A5" w14:textId="77777777" w:rsidR="00AB41CC" w:rsidRPr="00EC1DF5" w:rsidRDefault="00AB41CC" w:rsidP="00453380">
            <w:pPr>
              <w:widowControl w:val="0"/>
              <w:autoSpaceDE w:val="0"/>
              <w:autoSpaceDN w:val="0"/>
              <w:adjustRightInd w:val="0"/>
              <w:spacing w:after="0" w:line="360" w:lineRule="auto"/>
              <w:jc w:val="both"/>
              <w:rPr>
                <w:color w:val="auto"/>
                <w:sz w:val="18"/>
                <w:szCs w:val="18"/>
              </w:rPr>
            </w:pPr>
            <w:r w:rsidRPr="00EC1DF5">
              <w:rPr>
                <w:color w:val="auto"/>
                <w:sz w:val="18"/>
                <w:szCs w:val="18"/>
              </w:rPr>
              <w:t xml:space="preserve">The table shows the panel fixed effect regression results of the pillars of corporate governance and financial sustainability and the Generalised Methods of Moments (GMM) results. We use Stepwise regression to present the fixed effects model results. </w:t>
            </w:r>
            <w:r w:rsidRPr="00EC1DF5">
              <w:rPr>
                <w:b/>
                <w:color w:val="auto"/>
                <w:sz w:val="18"/>
                <w:szCs w:val="18"/>
              </w:rPr>
              <w:t>Model 1</w:t>
            </w:r>
            <w:r w:rsidRPr="00EC1DF5">
              <w:rPr>
                <w:color w:val="auto"/>
                <w:sz w:val="18"/>
                <w:szCs w:val="18"/>
              </w:rPr>
              <w:t xml:space="preserve"> contains results of all the variables. The independent variables are </w:t>
            </w:r>
            <w:proofErr w:type="spellStart"/>
            <w:r w:rsidRPr="00EC1DF5">
              <w:rPr>
                <w:color w:val="auto"/>
                <w:sz w:val="18"/>
                <w:szCs w:val="18"/>
              </w:rPr>
              <w:t>board</w:t>
            </w:r>
            <w:proofErr w:type="spellEnd"/>
            <w:r w:rsidRPr="00EC1DF5">
              <w:rPr>
                <w:color w:val="auto"/>
                <w:sz w:val="18"/>
                <w:szCs w:val="18"/>
              </w:rPr>
              <w:t xml:space="preserve"> functions </w:t>
            </w:r>
            <w:r w:rsidRPr="00EC1DF5">
              <w:rPr>
                <w:i/>
                <w:color w:val="auto"/>
                <w:sz w:val="18"/>
                <w:szCs w:val="18"/>
              </w:rPr>
              <w:t>(BF),</w:t>
            </w:r>
            <w:r w:rsidRPr="00EC1DF5">
              <w:rPr>
                <w:color w:val="auto"/>
                <w:sz w:val="18"/>
                <w:szCs w:val="18"/>
              </w:rPr>
              <w:t xml:space="preserve"> board structure (</w:t>
            </w:r>
            <w:r w:rsidRPr="00EC1DF5">
              <w:rPr>
                <w:i/>
                <w:color w:val="auto"/>
                <w:sz w:val="18"/>
                <w:szCs w:val="18"/>
              </w:rPr>
              <w:t>BST</w:t>
            </w:r>
            <w:r w:rsidRPr="00EC1DF5">
              <w:rPr>
                <w:color w:val="auto"/>
                <w:sz w:val="18"/>
                <w:szCs w:val="18"/>
              </w:rPr>
              <w:t>), board composition (</w:t>
            </w:r>
            <w:r w:rsidRPr="00EC1DF5">
              <w:rPr>
                <w:i/>
                <w:color w:val="auto"/>
                <w:sz w:val="18"/>
                <w:szCs w:val="18"/>
              </w:rPr>
              <w:t>BC</w:t>
            </w:r>
            <w:r w:rsidRPr="00EC1DF5">
              <w:rPr>
                <w:color w:val="auto"/>
                <w:sz w:val="18"/>
                <w:szCs w:val="18"/>
              </w:rPr>
              <w:t>), board shareholder right (</w:t>
            </w:r>
            <w:r w:rsidRPr="00EC1DF5">
              <w:rPr>
                <w:i/>
                <w:color w:val="auto"/>
                <w:sz w:val="18"/>
                <w:szCs w:val="18"/>
              </w:rPr>
              <w:t>BSR</w:t>
            </w:r>
            <w:r w:rsidRPr="00EC1DF5">
              <w:rPr>
                <w:color w:val="auto"/>
                <w:sz w:val="18"/>
                <w:szCs w:val="18"/>
              </w:rPr>
              <w:t>) and board strategy (</w:t>
            </w:r>
            <w:r w:rsidRPr="00EC1DF5">
              <w:rPr>
                <w:i/>
                <w:color w:val="auto"/>
                <w:sz w:val="18"/>
                <w:szCs w:val="18"/>
              </w:rPr>
              <w:t>BSTR</w:t>
            </w:r>
            <w:r w:rsidRPr="00EC1DF5">
              <w:rPr>
                <w:color w:val="auto"/>
                <w:sz w:val="18"/>
                <w:szCs w:val="18"/>
              </w:rPr>
              <w:t>). For control variables, we include beta (</w:t>
            </w:r>
            <w:r w:rsidRPr="00EC1DF5">
              <w:rPr>
                <w:i/>
                <w:color w:val="auto"/>
                <w:sz w:val="18"/>
                <w:szCs w:val="18"/>
              </w:rPr>
              <w:t>Beta</w:t>
            </w:r>
            <w:r w:rsidRPr="00EC1DF5">
              <w:rPr>
                <w:color w:val="auto"/>
                <w:sz w:val="18"/>
                <w:szCs w:val="18"/>
              </w:rPr>
              <w:t>), firm size (</w:t>
            </w:r>
            <w:r w:rsidRPr="00EC1DF5">
              <w:rPr>
                <w:i/>
                <w:color w:val="auto"/>
                <w:sz w:val="18"/>
                <w:szCs w:val="18"/>
              </w:rPr>
              <w:t>Size</w:t>
            </w:r>
            <w:r w:rsidRPr="00EC1DF5">
              <w:rPr>
                <w:color w:val="auto"/>
                <w:sz w:val="18"/>
                <w:szCs w:val="18"/>
              </w:rPr>
              <w:t>), capital intensity (</w:t>
            </w:r>
            <w:r w:rsidRPr="00EC1DF5">
              <w:rPr>
                <w:i/>
                <w:color w:val="auto"/>
                <w:sz w:val="18"/>
                <w:szCs w:val="18"/>
              </w:rPr>
              <w:t>Capex),</w:t>
            </w:r>
            <w:r w:rsidRPr="00EC1DF5">
              <w:rPr>
                <w:color w:val="auto"/>
                <w:sz w:val="18"/>
                <w:szCs w:val="18"/>
              </w:rPr>
              <w:t xml:space="preserve"> sales growth </w:t>
            </w:r>
            <w:r w:rsidRPr="00EC1DF5">
              <w:rPr>
                <w:i/>
                <w:color w:val="auto"/>
                <w:sz w:val="18"/>
                <w:szCs w:val="18"/>
              </w:rPr>
              <w:t>(Growth</w:t>
            </w:r>
            <w:r w:rsidRPr="00EC1DF5">
              <w:rPr>
                <w:color w:val="auto"/>
                <w:sz w:val="18"/>
                <w:szCs w:val="18"/>
              </w:rPr>
              <w:t>) and financial leverage (</w:t>
            </w:r>
            <w:r w:rsidRPr="00EC1DF5">
              <w:rPr>
                <w:i/>
                <w:color w:val="auto"/>
                <w:sz w:val="18"/>
                <w:szCs w:val="18"/>
              </w:rPr>
              <w:t>Leverage</w:t>
            </w:r>
            <w:r w:rsidRPr="00EC1DF5">
              <w:rPr>
                <w:color w:val="auto"/>
                <w:sz w:val="18"/>
                <w:szCs w:val="18"/>
              </w:rPr>
              <w:t xml:space="preserve">). In </w:t>
            </w:r>
            <w:r w:rsidRPr="00EC1DF5">
              <w:rPr>
                <w:b/>
                <w:color w:val="auto"/>
                <w:sz w:val="18"/>
                <w:szCs w:val="18"/>
              </w:rPr>
              <w:t>Model 2</w:t>
            </w:r>
            <w:r w:rsidRPr="00EC1DF5">
              <w:rPr>
                <w:color w:val="auto"/>
                <w:sz w:val="18"/>
                <w:szCs w:val="18"/>
              </w:rPr>
              <w:t xml:space="preserve">, we use only </w:t>
            </w:r>
            <w:r w:rsidRPr="00EC1DF5">
              <w:rPr>
                <w:i/>
                <w:color w:val="auto"/>
                <w:sz w:val="18"/>
                <w:szCs w:val="18"/>
              </w:rPr>
              <w:t>BF</w:t>
            </w:r>
            <w:r w:rsidRPr="00EC1DF5">
              <w:rPr>
                <w:color w:val="auto"/>
                <w:sz w:val="18"/>
                <w:szCs w:val="18"/>
              </w:rPr>
              <w:t xml:space="preserve"> as the independent variables while controlling for all the control variables. In </w:t>
            </w:r>
            <w:r w:rsidRPr="00EC1DF5">
              <w:rPr>
                <w:b/>
                <w:color w:val="auto"/>
                <w:sz w:val="18"/>
                <w:szCs w:val="18"/>
              </w:rPr>
              <w:t>models 3, 4, 5 and 6</w:t>
            </w:r>
            <w:r w:rsidRPr="00EC1DF5">
              <w:rPr>
                <w:color w:val="auto"/>
                <w:sz w:val="18"/>
                <w:szCs w:val="18"/>
              </w:rPr>
              <w:t xml:space="preserve">, we include </w:t>
            </w:r>
            <w:r w:rsidRPr="00EC1DF5">
              <w:rPr>
                <w:i/>
                <w:color w:val="auto"/>
                <w:sz w:val="18"/>
                <w:szCs w:val="18"/>
              </w:rPr>
              <w:t xml:space="preserve">BST, BC, BSR </w:t>
            </w:r>
            <w:r w:rsidRPr="00EC1DF5">
              <w:rPr>
                <w:color w:val="auto"/>
                <w:sz w:val="18"/>
                <w:szCs w:val="18"/>
              </w:rPr>
              <w:t xml:space="preserve">and </w:t>
            </w:r>
            <w:r w:rsidRPr="00EC1DF5">
              <w:rPr>
                <w:i/>
                <w:color w:val="auto"/>
                <w:sz w:val="18"/>
                <w:szCs w:val="18"/>
              </w:rPr>
              <w:t xml:space="preserve">BSTR </w:t>
            </w:r>
            <w:r w:rsidRPr="00EC1DF5">
              <w:rPr>
                <w:color w:val="auto"/>
                <w:sz w:val="18"/>
                <w:szCs w:val="18"/>
              </w:rPr>
              <w:t xml:space="preserve">respectively. For the GMM results in </w:t>
            </w:r>
            <w:r w:rsidRPr="00EC1DF5">
              <w:rPr>
                <w:b/>
                <w:color w:val="auto"/>
                <w:sz w:val="18"/>
                <w:szCs w:val="18"/>
              </w:rPr>
              <w:t>Model 7</w:t>
            </w:r>
            <w:r w:rsidRPr="00EC1DF5">
              <w:rPr>
                <w:color w:val="auto"/>
                <w:sz w:val="18"/>
                <w:szCs w:val="18"/>
              </w:rPr>
              <w:t xml:space="preserve">, the first lag of </w:t>
            </w:r>
            <w:r w:rsidRPr="00EC1DF5">
              <w:rPr>
                <w:i/>
                <w:color w:val="auto"/>
                <w:sz w:val="18"/>
                <w:szCs w:val="18"/>
              </w:rPr>
              <w:t>Tobin’s Q</w:t>
            </w:r>
            <w:r w:rsidRPr="00EC1DF5">
              <w:rPr>
                <w:color w:val="auto"/>
                <w:sz w:val="18"/>
                <w:szCs w:val="18"/>
              </w:rPr>
              <w:t xml:space="preserve"> was used as the instrumental variable, however, failed to meet the validity of over-identification and under identification specifications. To enrich the validity of our instrumental variable, we include the second lag of </w:t>
            </w:r>
            <w:r w:rsidRPr="00EC1DF5">
              <w:rPr>
                <w:i/>
                <w:color w:val="auto"/>
                <w:sz w:val="18"/>
                <w:szCs w:val="18"/>
              </w:rPr>
              <w:t xml:space="preserve">Tobin’s Q </w:t>
            </w:r>
            <w:r w:rsidRPr="00EC1DF5">
              <w:rPr>
                <w:color w:val="auto"/>
                <w:sz w:val="18"/>
                <w:szCs w:val="18"/>
              </w:rPr>
              <w:t xml:space="preserve">in </w:t>
            </w:r>
            <w:r w:rsidRPr="00EC1DF5">
              <w:rPr>
                <w:b/>
                <w:color w:val="auto"/>
                <w:sz w:val="18"/>
                <w:szCs w:val="18"/>
              </w:rPr>
              <w:t>Model 8</w:t>
            </w:r>
            <w:r w:rsidRPr="00EC1DF5">
              <w:rPr>
                <w:color w:val="auto"/>
                <w:sz w:val="18"/>
                <w:szCs w:val="18"/>
              </w:rPr>
              <w:t xml:space="preserve"> which meets AR, (1) and (2) as well as the Hansen Test of identification restrictions. For further robustness check, we included ROA as another measure for financial sustainability using the 2-step GMM in </w:t>
            </w:r>
            <w:r w:rsidRPr="00EC1DF5">
              <w:rPr>
                <w:b/>
                <w:color w:val="auto"/>
                <w:sz w:val="18"/>
                <w:szCs w:val="18"/>
              </w:rPr>
              <w:t>Module 9</w:t>
            </w:r>
            <w:r w:rsidRPr="00EC1DF5">
              <w:rPr>
                <w:color w:val="auto"/>
                <w:sz w:val="18"/>
                <w:szCs w:val="18"/>
              </w:rPr>
              <w:t>.  Robust standard errors are in parenthesis *** p&lt;0.01, ** p&lt;0.05, * p&lt;0.1</w:t>
            </w:r>
          </w:p>
        </w:tc>
      </w:tr>
    </w:tbl>
    <w:p w14:paraId="05104DBD" w14:textId="77777777" w:rsidR="00AB41CC" w:rsidRPr="00EC1DF5" w:rsidRDefault="00AB41CC" w:rsidP="00AB41CC">
      <w:pPr>
        <w:rPr>
          <w:color w:val="auto"/>
        </w:rPr>
        <w:sectPr w:rsidR="00AB41CC" w:rsidRPr="00EC1DF5" w:rsidSect="004D7969">
          <w:pgSz w:w="16838" w:h="11906" w:orient="landscape"/>
          <w:pgMar w:top="567" w:right="567" w:bottom="567" w:left="567" w:header="567" w:footer="567" w:gutter="0"/>
          <w:cols w:space="708"/>
          <w:docGrid w:linePitch="360"/>
        </w:sectPr>
      </w:pPr>
    </w:p>
    <w:p w14:paraId="5D82FE16" w14:textId="77777777" w:rsidR="00AB41CC" w:rsidRPr="00EC1DF5" w:rsidRDefault="00AB41CC" w:rsidP="00AB41CC">
      <w:pPr>
        <w:rPr>
          <w:color w:val="auto"/>
        </w:rPr>
      </w:pPr>
    </w:p>
    <w:p w14:paraId="055A7533" w14:textId="77777777" w:rsidR="00AB41CC" w:rsidRPr="00EC1DF5" w:rsidRDefault="00AB41CC" w:rsidP="00AB41CC">
      <w:pPr>
        <w:rPr>
          <w:color w:val="auto"/>
        </w:rPr>
      </w:pPr>
    </w:p>
    <w:p w14:paraId="7A4EEBE2" w14:textId="77777777" w:rsidR="00AB41CC" w:rsidRPr="00EC1DF5" w:rsidRDefault="00AB41CC" w:rsidP="00AB41CC">
      <w:pPr>
        <w:rPr>
          <w:color w:val="auto"/>
        </w:rPr>
      </w:pPr>
    </w:p>
    <w:p w14:paraId="40BC2C72" w14:textId="77777777" w:rsidR="00AB41CC" w:rsidRPr="00EC1DF5" w:rsidRDefault="00AB41CC" w:rsidP="00AB41CC">
      <w:pPr>
        <w:rPr>
          <w:color w:val="auto"/>
        </w:rPr>
      </w:pPr>
    </w:p>
    <w:p w14:paraId="0E01E842" w14:textId="77777777" w:rsidR="00AB41CC" w:rsidRPr="00EC1DF5" w:rsidRDefault="00AB41CC" w:rsidP="00AB41CC">
      <w:pPr>
        <w:rPr>
          <w:color w:val="auto"/>
        </w:rPr>
      </w:pPr>
    </w:p>
    <w:p w14:paraId="7A37F374" w14:textId="77777777" w:rsidR="00AB41CC" w:rsidRPr="00EC1DF5" w:rsidRDefault="00AB41CC" w:rsidP="00AB41CC">
      <w:pPr>
        <w:rPr>
          <w:color w:val="auto"/>
        </w:rPr>
      </w:pPr>
    </w:p>
    <w:p w14:paraId="4F83B448" w14:textId="77777777" w:rsidR="00AB41CC" w:rsidRPr="00EC1DF5" w:rsidRDefault="00AB41CC" w:rsidP="00AB41CC">
      <w:pPr>
        <w:rPr>
          <w:color w:val="auto"/>
        </w:rPr>
      </w:pPr>
    </w:p>
    <w:p w14:paraId="0AA813D6" w14:textId="77777777" w:rsidR="00AB41CC" w:rsidRPr="00EC1DF5" w:rsidRDefault="00AB41CC" w:rsidP="00AB41CC">
      <w:pPr>
        <w:rPr>
          <w:color w:val="auto"/>
        </w:rPr>
      </w:pPr>
    </w:p>
    <w:p w14:paraId="6D0DBEDF" w14:textId="77777777" w:rsidR="00AB41CC" w:rsidRPr="00EC1DF5" w:rsidRDefault="00AB41CC" w:rsidP="00AB41CC">
      <w:pPr>
        <w:rPr>
          <w:color w:val="auto"/>
        </w:rPr>
      </w:pPr>
    </w:p>
    <w:p w14:paraId="436071D0" w14:textId="77777777" w:rsidR="00AB41CC" w:rsidRPr="00EC1DF5" w:rsidRDefault="00AB41CC" w:rsidP="00AB41CC">
      <w:pPr>
        <w:rPr>
          <w:color w:val="auto"/>
        </w:rPr>
      </w:pPr>
    </w:p>
    <w:p w14:paraId="65FB1BB1" w14:textId="77777777" w:rsidR="00AB41CC" w:rsidRPr="00EC1DF5" w:rsidRDefault="00AB41CC" w:rsidP="00AB41CC">
      <w:pPr>
        <w:rPr>
          <w:color w:val="auto"/>
        </w:rPr>
      </w:pPr>
    </w:p>
    <w:p w14:paraId="6D623B0D" w14:textId="77777777" w:rsidR="00AB41CC" w:rsidRPr="00EC1DF5" w:rsidRDefault="00AB41CC" w:rsidP="00AB41CC">
      <w:pPr>
        <w:rPr>
          <w:color w:val="auto"/>
        </w:rPr>
      </w:pPr>
    </w:p>
    <w:p w14:paraId="6C80552F" w14:textId="77777777" w:rsidR="00AB41CC" w:rsidRPr="00EC1DF5" w:rsidRDefault="00AB41CC" w:rsidP="00AB41CC">
      <w:pPr>
        <w:rPr>
          <w:color w:val="auto"/>
        </w:rPr>
      </w:pPr>
    </w:p>
    <w:p w14:paraId="1250E8D5" w14:textId="77777777" w:rsidR="00AB41CC" w:rsidRPr="00EC1DF5" w:rsidRDefault="00AB41CC" w:rsidP="00AB41CC">
      <w:pPr>
        <w:rPr>
          <w:color w:val="auto"/>
        </w:rPr>
      </w:pPr>
    </w:p>
    <w:p w14:paraId="4500F77D" w14:textId="77777777" w:rsidR="00AB41CC" w:rsidRPr="00EC1DF5" w:rsidRDefault="00AB41CC" w:rsidP="00AB41CC">
      <w:pPr>
        <w:rPr>
          <w:color w:val="auto"/>
        </w:rPr>
      </w:pPr>
    </w:p>
    <w:p w14:paraId="51235485" w14:textId="77777777" w:rsidR="00AB41CC" w:rsidRPr="00EC1DF5" w:rsidRDefault="00AB41CC" w:rsidP="00AB41CC">
      <w:pPr>
        <w:rPr>
          <w:color w:val="auto"/>
        </w:rPr>
      </w:pPr>
    </w:p>
    <w:p w14:paraId="536E518D" w14:textId="77777777" w:rsidR="00AB41CC" w:rsidRPr="00EC1DF5" w:rsidRDefault="00AB41CC" w:rsidP="00AB41CC">
      <w:pPr>
        <w:rPr>
          <w:color w:val="auto"/>
        </w:rPr>
      </w:pPr>
    </w:p>
    <w:p w14:paraId="4A3B62E4" w14:textId="77777777" w:rsidR="00AB41CC" w:rsidRPr="00EC1DF5" w:rsidRDefault="00AB41CC" w:rsidP="00AB41CC">
      <w:pPr>
        <w:pStyle w:val="Caption"/>
        <w:keepNext/>
        <w:rPr>
          <w:b/>
          <w:i w:val="0"/>
          <w:color w:val="auto"/>
          <w:sz w:val="20"/>
          <w:szCs w:val="20"/>
        </w:rPr>
      </w:pPr>
      <w:r w:rsidRPr="00EC1DF5">
        <w:rPr>
          <w:b/>
          <w:i w:val="0"/>
          <w:color w:val="auto"/>
          <w:sz w:val="20"/>
          <w:szCs w:val="20"/>
        </w:rPr>
        <w:t xml:space="preserve">           Table 7: The Role of Stakeholder Engagement (Environmental and Social Sustainability)</w:t>
      </w:r>
    </w:p>
    <w:tbl>
      <w:tblPr>
        <w:tblW w:w="14460" w:type="dxa"/>
        <w:tblInd w:w="284" w:type="dxa"/>
        <w:tblLayout w:type="fixed"/>
        <w:tblLook w:val="0000" w:firstRow="0" w:lastRow="0" w:firstColumn="0" w:lastColumn="0" w:noHBand="0" w:noVBand="0"/>
      </w:tblPr>
      <w:tblGrid>
        <w:gridCol w:w="2108"/>
        <w:gridCol w:w="1250"/>
        <w:gridCol w:w="1200"/>
        <w:gridCol w:w="1200"/>
        <w:gridCol w:w="1200"/>
        <w:gridCol w:w="1200"/>
        <w:gridCol w:w="1200"/>
        <w:gridCol w:w="1200"/>
        <w:gridCol w:w="1200"/>
        <w:gridCol w:w="1200"/>
        <w:gridCol w:w="1502"/>
      </w:tblGrid>
      <w:tr w:rsidR="00EC1DF5" w:rsidRPr="00EC1DF5" w14:paraId="6258A74C" w14:textId="77777777" w:rsidTr="00453380">
        <w:trPr>
          <w:trHeight w:val="381"/>
        </w:trPr>
        <w:tc>
          <w:tcPr>
            <w:tcW w:w="2108" w:type="dxa"/>
            <w:tcBorders>
              <w:top w:val="single" w:sz="4" w:space="0" w:color="auto"/>
              <w:left w:val="nil"/>
              <w:right w:val="nil"/>
            </w:tcBorders>
          </w:tcPr>
          <w:p w14:paraId="634DA868" w14:textId="77777777" w:rsidR="00AB41CC" w:rsidRPr="00EC1DF5" w:rsidRDefault="00AB41CC" w:rsidP="00453380">
            <w:pPr>
              <w:widowControl w:val="0"/>
              <w:autoSpaceDE w:val="0"/>
              <w:autoSpaceDN w:val="0"/>
              <w:adjustRightInd w:val="0"/>
              <w:spacing w:after="0" w:line="240" w:lineRule="auto"/>
              <w:jc w:val="center"/>
              <w:rPr>
                <w:color w:val="auto"/>
                <w:sz w:val="16"/>
                <w:szCs w:val="16"/>
              </w:rPr>
            </w:pPr>
            <w:bookmarkStart w:id="6" w:name="_Hlk9262196"/>
          </w:p>
        </w:tc>
        <w:tc>
          <w:tcPr>
            <w:tcW w:w="6050" w:type="dxa"/>
            <w:gridSpan w:val="5"/>
            <w:tcBorders>
              <w:top w:val="single" w:sz="4" w:space="0" w:color="auto"/>
              <w:left w:val="nil"/>
              <w:right w:val="nil"/>
            </w:tcBorders>
            <w:vAlign w:val="center"/>
          </w:tcPr>
          <w:p w14:paraId="354286FB" w14:textId="77777777" w:rsidR="00AB41CC" w:rsidRPr="00EC1DF5" w:rsidRDefault="00AB41CC" w:rsidP="00453380">
            <w:pPr>
              <w:widowControl w:val="0"/>
              <w:autoSpaceDE w:val="0"/>
              <w:autoSpaceDN w:val="0"/>
              <w:adjustRightInd w:val="0"/>
              <w:spacing w:after="0" w:line="240" w:lineRule="auto"/>
              <w:jc w:val="center"/>
              <w:rPr>
                <w:color w:val="auto"/>
                <w:sz w:val="18"/>
                <w:szCs w:val="18"/>
              </w:rPr>
            </w:pPr>
            <w:r w:rsidRPr="00EC1DF5">
              <w:rPr>
                <w:color w:val="auto"/>
                <w:sz w:val="18"/>
                <w:szCs w:val="18"/>
              </w:rPr>
              <w:t>Environmental Sustainability</w:t>
            </w:r>
          </w:p>
        </w:tc>
        <w:tc>
          <w:tcPr>
            <w:tcW w:w="6302" w:type="dxa"/>
            <w:gridSpan w:val="5"/>
            <w:tcBorders>
              <w:top w:val="single" w:sz="4" w:space="0" w:color="auto"/>
              <w:left w:val="nil"/>
              <w:right w:val="nil"/>
            </w:tcBorders>
            <w:vAlign w:val="center"/>
          </w:tcPr>
          <w:p w14:paraId="544125EC" w14:textId="77777777" w:rsidR="00AB41CC" w:rsidRPr="00EC1DF5" w:rsidRDefault="00AB41CC" w:rsidP="00453380">
            <w:pPr>
              <w:widowControl w:val="0"/>
              <w:autoSpaceDE w:val="0"/>
              <w:autoSpaceDN w:val="0"/>
              <w:adjustRightInd w:val="0"/>
              <w:spacing w:after="0" w:line="240" w:lineRule="auto"/>
              <w:jc w:val="center"/>
              <w:rPr>
                <w:color w:val="auto"/>
                <w:sz w:val="18"/>
                <w:szCs w:val="18"/>
              </w:rPr>
            </w:pPr>
            <w:r w:rsidRPr="00EC1DF5">
              <w:rPr>
                <w:color w:val="auto"/>
                <w:sz w:val="18"/>
                <w:szCs w:val="18"/>
              </w:rPr>
              <w:t>Social Sustainability</w:t>
            </w:r>
          </w:p>
        </w:tc>
      </w:tr>
      <w:tr w:rsidR="00EC1DF5" w:rsidRPr="00EC1DF5" w14:paraId="4D52FCA1" w14:textId="77777777" w:rsidTr="00453380">
        <w:trPr>
          <w:trHeight w:val="439"/>
        </w:trPr>
        <w:tc>
          <w:tcPr>
            <w:tcW w:w="2108" w:type="dxa"/>
            <w:tcBorders>
              <w:left w:val="nil"/>
              <w:bottom w:val="single" w:sz="4" w:space="0" w:color="auto"/>
              <w:right w:val="nil"/>
            </w:tcBorders>
          </w:tcPr>
          <w:p w14:paraId="7E170345" w14:textId="77777777" w:rsidR="00AB41CC" w:rsidRPr="00EC1DF5" w:rsidRDefault="00AB41CC" w:rsidP="00453380">
            <w:pPr>
              <w:widowControl w:val="0"/>
              <w:autoSpaceDE w:val="0"/>
              <w:autoSpaceDN w:val="0"/>
              <w:adjustRightInd w:val="0"/>
              <w:spacing w:after="0" w:line="240" w:lineRule="auto"/>
              <w:jc w:val="center"/>
              <w:rPr>
                <w:color w:val="auto"/>
                <w:sz w:val="16"/>
                <w:szCs w:val="16"/>
              </w:rPr>
            </w:pPr>
            <w:r w:rsidRPr="00EC1DF5">
              <w:rPr>
                <w:color w:val="auto"/>
                <w:sz w:val="16"/>
                <w:szCs w:val="16"/>
              </w:rPr>
              <w:t xml:space="preserve">   </w:t>
            </w:r>
          </w:p>
        </w:tc>
        <w:tc>
          <w:tcPr>
            <w:tcW w:w="1250" w:type="dxa"/>
            <w:tcBorders>
              <w:left w:val="nil"/>
              <w:bottom w:val="single" w:sz="4" w:space="0" w:color="auto"/>
              <w:right w:val="nil"/>
            </w:tcBorders>
            <w:vAlign w:val="center"/>
          </w:tcPr>
          <w:p w14:paraId="53E56726"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 xml:space="preserve">  (1)</w:t>
            </w:r>
          </w:p>
        </w:tc>
        <w:tc>
          <w:tcPr>
            <w:tcW w:w="1200" w:type="dxa"/>
            <w:tcBorders>
              <w:left w:val="nil"/>
              <w:bottom w:val="single" w:sz="4" w:space="0" w:color="auto"/>
              <w:right w:val="nil"/>
            </w:tcBorders>
            <w:vAlign w:val="center"/>
          </w:tcPr>
          <w:p w14:paraId="22B30B07"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noProof/>
                <w:color w:val="auto"/>
                <w:sz w:val="18"/>
                <w:szCs w:val="18"/>
                <w:lang w:eastAsia="en-GB"/>
              </w:rPr>
              <mc:AlternateContent>
                <mc:Choice Requires="wps">
                  <w:drawing>
                    <wp:anchor distT="0" distB="0" distL="114300" distR="114300" simplePos="0" relativeHeight="251659264" behindDoc="0" locked="0" layoutInCell="1" allowOverlap="1" wp14:anchorId="7BA37197" wp14:editId="4849BB05">
                      <wp:simplePos x="0" y="0"/>
                      <wp:positionH relativeFrom="column">
                        <wp:posOffset>-840105</wp:posOffset>
                      </wp:positionH>
                      <wp:positionV relativeFrom="paragraph">
                        <wp:posOffset>-45720</wp:posOffset>
                      </wp:positionV>
                      <wp:extent cx="3522345" cy="0"/>
                      <wp:effectExtent l="0" t="0" r="20955" b="19050"/>
                      <wp:wrapNone/>
                      <wp:docPr id="3" name="Straight Connector 3"/>
                      <wp:cNvGraphicFramePr/>
                      <a:graphic xmlns:a="http://schemas.openxmlformats.org/drawingml/2006/main">
                        <a:graphicData uri="http://schemas.microsoft.com/office/word/2010/wordprocessingShape">
                          <wps:wsp>
                            <wps:cNvCnPr/>
                            <wps:spPr>
                              <a:xfrm flipV="1">
                                <a:off x="0" y="0"/>
                                <a:ext cx="35223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365760"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15pt,-3.6pt" to="211.2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" strokecolor="black [3200]" strokeweight=".5pt">
                      <v:stroke joinstyle="miter"/>
                    </v:line>
                  </w:pict>
                </mc:Fallback>
              </mc:AlternateContent>
            </w:r>
            <w:r w:rsidRPr="00EC1DF5">
              <w:rPr>
                <w:color w:val="auto"/>
                <w:sz w:val="18"/>
                <w:szCs w:val="18"/>
              </w:rPr>
              <w:t xml:space="preserve">  (2)</w:t>
            </w:r>
          </w:p>
        </w:tc>
        <w:tc>
          <w:tcPr>
            <w:tcW w:w="1200" w:type="dxa"/>
            <w:tcBorders>
              <w:left w:val="nil"/>
              <w:bottom w:val="single" w:sz="4" w:space="0" w:color="auto"/>
              <w:right w:val="nil"/>
            </w:tcBorders>
            <w:vAlign w:val="center"/>
          </w:tcPr>
          <w:p w14:paraId="49BAC670"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 xml:space="preserve">  (3)</w:t>
            </w:r>
          </w:p>
        </w:tc>
        <w:tc>
          <w:tcPr>
            <w:tcW w:w="1200" w:type="dxa"/>
            <w:tcBorders>
              <w:left w:val="nil"/>
              <w:bottom w:val="single" w:sz="4" w:space="0" w:color="auto"/>
              <w:right w:val="nil"/>
            </w:tcBorders>
            <w:vAlign w:val="center"/>
          </w:tcPr>
          <w:p w14:paraId="1D5B87B0"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 xml:space="preserve">  (4)</w:t>
            </w:r>
          </w:p>
        </w:tc>
        <w:tc>
          <w:tcPr>
            <w:tcW w:w="1200" w:type="dxa"/>
            <w:tcBorders>
              <w:left w:val="nil"/>
              <w:bottom w:val="single" w:sz="4" w:space="0" w:color="auto"/>
              <w:right w:val="nil"/>
            </w:tcBorders>
            <w:vAlign w:val="center"/>
          </w:tcPr>
          <w:p w14:paraId="5B712BF9"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 xml:space="preserve">  (5)</w:t>
            </w:r>
          </w:p>
        </w:tc>
        <w:tc>
          <w:tcPr>
            <w:tcW w:w="1200" w:type="dxa"/>
            <w:tcBorders>
              <w:left w:val="nil"/>
              <w:bottom w:val="single" w:sz="4" w:space="0" w:color="auto"/>
              <w:right w:val="nil"/>
            </w:tcBorders>
            <w:vAlign w:val="center"/>
          </w:tcPr>
          <w:p w14:paraId="1FB0E2C6"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noProof/>
                <w:color w:val="auto"/>
                <w:sz w:val="18"/>
                <w:szCs w:val="18"/>
                <w:lang w:eastAsia="en-GB"/>
              </w:rPr>
              <mc:AlternateContent>
                <mc:Choice Requires="wps">
                  <w:drawing>
                    <wp:anchor distT="0" distB="0" distL="114300" distR="114300" simplePos="0" relativeHeight="251660288" behindDoc="0" locked="0" layoutInCell="1" allowOverlap="1" wp14:anchorId="4F9890BF" wp14:editId="2AF5D8BD">
                      <wp:simplePos x="0" y="0"/>
                      <wp:positionH relativeFrom="column">
                        <wp:posOffset>-83185</wp:posOffset>
                      </wp:positionH>
                      <wp:positionV relativeFrom="paragraph">
                        <wp:posOffset>-40005</wp:posOffset>
                      </wp:positionV>
                      <wp:extent cx="4015105" cy="0"/>
                      <wp:effectExtent l="0" t="0" r="23495" b="19050"/>
                      <wp:wrapNone/>
                      <wp:docPr id="5" name="Straight Connector 5"/>
                      <wp:cNvGraphicFramePr/>
                      <a:graphic xmlns:a="http://schemas.openxmlformats.org/drawingml/2006/main">
                        <a:graphicData uri="http://schemas.microsoft.com/office/word/2010/wordprocessingShape">
                          <wps:wsp>
                            <wps:cNvCnPr/>
                            <wps:spPr>
                              <a:xfrm>
                                <a:off x="0" y="0"/>
                                <a:ext cx="40151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25960A"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5pt,-3.15pt" to="309.6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" strokecolor="black [3200]" strokeweight=".5pt">
                      <v:stroke joinstyle="miter"/>
                    </v:line>
                  </w:pict>
                </mc:Fallback>
              </mc:AlternateContent>
            </w:r>
            <w:r w:rsidRPr="00EC1DF5">
              <w:rPr>
                <w:color w:val="auto"/>
                <w:sz w:val="18"/>
                <w:szCs w:val="18"/>
              </w:rPr>
              <w:t xml:space="preserve">  (6)</w:t>
            </w:r>
          </w:p>
        </w:tc>
        <w:tc>
          <w:tcPr>
            <w:tcW w:w="1200" w:type="dxa"/>
            <w:tcBorders>
              <w:left w:val="nil"/>
              <w:bottom w:val="single" w:sz="4" w:space="0" w:color="auto"/>
              <w:right w:val="nil"/>
            </w:tcBorders>
            <w:vAlign w:val="center"/>
          </w:tcPr>
          <w:p w14:paraId="5FF88E4F"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 xml:space="preserve">  (7)</w:t>
            </w:r>
          </w:p>
        </w:tc>
        <w:tc>
          <w:tcPr>
            <w:tcW w:w="1200" w:type="dxa"/>
            <w:tcBorders>
              <w:left w:val="nil"/>
              <w:bottom w:val="single" w:sz="4" w:space="0" w:color="auto"/>
              <w:right w:val="nil"/>
            </w:tcBorders>
            <w:vAlign w:val="center"/>
          </w:tcPr>
          <w:p w14:paraId="5D78585F"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 xml:space="preserve">  (8)</w:t>
            </w:r>
          </w:p>
        </w:tc>
        <w:tc>
          <w:tcPr>
            <w:tcW w:w="1200" w:type="dxa"/>
            <w:tcBorders>
              <w:left w:val="nil"/>
              <w:bottom w:val="single" w:sz="4" w:space="0" w:color="auto"/>
              <w:right w:val="nil"/>
            </w:tcBorders>
            <w:vAlign w:val="center"/>
          </w:tcPr>
          <w:p w14:paraId="6CE30F06"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 xml:space="preserve">  (9)</w:t>
            </w:r>
          </w:p>
        </w:tc>
        <w:tc>
          <w:tcPr>
            <w:tcW w:w="1502" w:type="dxa"/>
            <w:tcBorders>
              <w:left w:val="nil"/>
              <w:bottom w:val="single" w:sz="4" w:space="0" w:color="auto"/>
              <w:right w:val="nil"/>
            </w:tcBorders>
            <w:vAlign w:val="center"/>
          </w:tcPr>
          <w:p w14:paraId="5DC44334"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 xml:space="preserve">  (10)</w:t>
            </w:r>
          </w:p>
        </w:tc>
      </w:tr>
      <w:tr w:rsidR="00EC1DF5" w:rsidRPr="00EC1DF5" w14:paraId="538C9319" w14:textId="77777777" w:rsidTr="00453380">
        <w:tc>
          <w:tcPr>
            <w:tcW w:w="2108" w:type="dxa"/>
            <w:tcBorders>
              <w:top w:val="single" w:sz="4" w:space="0" w:color="auto"/>
              <w:left w:val="nil"/>
              <w:bottom w:val="nil"/>
              <w:right w:val="nil"/>
            </w:tcBorders>
          </w:tcPr>
          <w:p w14:paraId="03B2850F" w14:textId="77777777" w:rsidR="00AB41CC" w:rsidRPr="00EC1DF5" w:rsidRDefault="00AB41CC" w:rsidP="00453380">
            <w:pPr>
              <w:widowControl w:val="0"/>
              <w:autoSpaceDE w:val="0"/>
              <w:autoSpaceDN w:val="0"/>
              <w:adjustRightInd w:val="0"/>
              <w:spacing w:after="0" w:line="240" w:lineRule="auto"/>
              <w:rPr>
                <w:b/>
                <w:color w:val="auto"/>
                <w:sz w:val="18"/>
                <w:szCs w:val="18"/>
              </w:rPr>
            </w:pPr>
            <w:r w:rsidRPr="00EC1DF5">
              <w:rPr>
                <w:b/>
                <w:color w:val="auto"/>
                <w:sz w:val="18"/>
                <w:szCs w:val="18"/>
              </w:rPr>
              <w:t xml:space="preserve"> </w:t>
            </w:r>
            <w:r w:rsidRPr="00EC1DF5">
              <w:rPr>
                <w:b/>
                <w:i/>
                <w:color w:val="auto"/>
                <w:sz w:val="18"/>
                <w:szCs w:val="18"/>
              </w:rPr>
              <w:t>BF</w:t>
            </w:r>
          </w:p>
        </w:tc>
        <w:tc>
          <w:tcPr>
            <w:tcW w:w="1250" w:type="dxa"/>
            <w:tcBorders>
              <w:top w:val="single" w:sz="4" w:space="0" w:color="auto"/>
              <w:left w:val="nil"/>
              <w:bottom w:val="nil"/>
              <w:right w:val="nil"/>
            </w:tcBorders>
            <w:vAlign w:val="center"/>
          </w:tcPr>
          <w:p w14:paraId="72A73862"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0.086***</w:t>
            </w:r>
          </w:p>
        </w:tc>
        <w:tc>
          <w:tcPr>
            <w:tcW w:w="1200" w:type="dxa"/>
            <w:tcBorders>
              <w:top w:val="single" w:sz="4" w:space="0" w:color="auto"/>
              <w:left w:val="nil"/>
              <w:bottom w:val="nil"/>
              <w:right w:val="nil"/>
            </w:tcBorders>
            <w:vAlign w:val="center"/>
          </w:tcPr>
          <w:p w14:paraId="142B00B0"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single" w:sz="4" w:space="0" w:color="auto"/>
              <w:left w:val="nil"/>
              <w:bottom w:val="nil"/>
              <w:right w:val="nil"/>
            </w:tcBorders>
            <w:vAlign w:val="center"/>
          </w:tcPr>
          <w:p w14:paraId="50C627CB"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single" w:sz="4" w:space="0" w:color="auto"/>
              <w:left w:val="nil"/>
              <w:bottom w:val="nil"/>
              <w:right w:val="nil"/>
            </w:tcBorders>
            <w:vAlign w:val="center"/>
          </w:tcPr>
          <w:p w14:paraId="5CF17800"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single" w:sz="4" w:space="0" w:color="auto"/>
              <w:left w:val="nil"/>
              <w:bottom w:val="nil"/>
              <w:right w:val="nil"/>
            </w:tcBorders>
            <w:vAlign w:val="center"/>
          </w:tcPr>
          <w:p w14:paraId="36958F5D"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single" w:sz="4" w:space="0" w:color="auto"/>
              <w:left w:val="nil"/>
              <w:bottom w:val="nil"/>
              <w:right w:val="nil"/>
            </w:tcBorders>
            <w:vAlign w:val="center"/>
          </w:tcPr>
          <w:p w14:paraId="22A9A3D3"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0.039</w:t>
            </w:r>
          </w:p>
        </w:tc>
        <w:tc>
          <w:tcPr>
            <w:tcW w:w="1200" w:type="dxa"/>
            <w:tcBorders>
              <w:top w:val="single" w:sz="4" w:space="0" w:color="auto"/>
              <w:left w:val="nil"/>
              <w:bottom w:val="nil"/>
              <w:right w:val="nil"/>
            </w:tcBorders>
            <w:vAlign w:val="center"/>
          </w:tcPr>
          <w:p w14:paraId="60FEA29A"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single" w:sz="4" w:space="0" w:color="auto"/>
              <w:left w:val="nil"/>
              <w:bottom w:val="nil"/>
              <w:right w:val="nil"/>
            </w:tcBorders>
            <w:vAlign w:val="center"/>
          </w:tcPr>
          <w:p w14:paraId="23B0DCB1"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single" w:sz="4" w:space="0" w:color="auto"/>
              <w:left w:val="nil"/>
              <w:bottom w:val="nil"/>
              <w:right w:val="nil"/>
            </w:tcBorders>
            <w:vAlign w:val="center"/>
          </w:tcPr>
          <w:p w14:paraId="530F379C"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502" w:type="dxa"/>
            <w:tcBorders>
              <w:top w:val="single" w:sz="4" w:space="0" w:color="auto"/>
              <w:left w:val="nil"/>
              <w:bottom w:val="nil"/>
              <w:right w:val="nil"/>
            </w:tcBorders>
            <w:vAlign w:val="center"/>
          </w:tcPr>
          <w:p w14:paraId="09D53630" w14:textId="77777777" w:rsidR="00AB41CC" w:rsidRPr="00EC1DF5" w:rsidRDefault="00AB41CC" w:rsidP="00453380">
            <w:pPr>
              <w:widowControl w:val="0"/>
              <w:autoSpaceDE w:val="0"/>
              <w:autoSpaceDN w:val="0"/>
              <w:adjustRightInd w:val="0"/>
              <w:spacing w:after="0" w:line="240" w:lineRule="auto"/>
              <w:rPr>
                <w:color w:val="auto"/>
                <w:sz w:val="18"/>
                <w:szCs w:val="18"/>
              </w:rPr>
            </w:pPr>
          </w:p>
        </w:tc>
      </w:tr>
      <w:tr w:rsidR="00EC1DF5" w:rsidRPr="00EC1DF5" w14:paraId="2CE8A6BC" w14:textId="77777777" w:rsidTr="00453380">
        <w:tc>
          <w:tcPr>
            <w:tcW w:w="2108" w:type="dxa"/>
            <w:tcBorders>
              <w:top w:val="nil"/>
              <w:left w:val="nil"/>
              <w:bottom w:val="nil"/>
              <w:right w:val="nil"/>
            </w:tcBorders>
          </w:tcPr>
          <w:p w14:paraId="52F400BF"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 xml:space="preserve">  </w:t>
            </w:r>
          </w:p>
        </w:tc>
        <w:tc>
          <w:tcPr>
            <w:tcW w:w="1250" w:type="dxa"/>
            <w:tcBorders>
              <w:top w:val="nil"/>
              <w:left w:val="nil"/>
              <w:bottom w:val="nil"/>
              <w:right w:val="nil"/>
            </w:tcBorders>
            <w:vAlign w:val="center"/>
          </w:tcPr>
          <w:p w14:paraId="75CD70FB"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(0.034)</w:t>
            </w:r>
          </w:p>
        </w:tc>
        <w:tc>
          <w:tcPr>
            <w:tcW w:w="1200" w:type="dxa"/>
            <w:tcBorders>
              <w:top w:val="nil"/>
              <w:left w:val="nil"/>
              <w:bottom w:val="nil"/>
              <w:right w:val="nil"/>
            </w:tcBorders>
            <w:vAlign w:val="center"/>
          </w:tcPr>
          <w:p w14:paraId="657445F7"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38AD0D71"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61E9736D"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53FE1275"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551707FE"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(0.030)</w:t>
            </w:r>
          </w:p>
        </w:tc>
        <w:tc>
          <w:tcPr>
            <w:tcW w:w="1200" w:type="dxa"/>
            <w:tcBorders>
              <w:top w:val="nil"/>
              <w:left w:val="nil"/>
              <w:bottom w:val="nil"/>
              <w:right w:val="nil"/>
            </w:tcBorders>
            <w:vAlign w:val="center"/>
          </w:tcPr>
          <w:p w14:paraId="6F9A6DEB"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1277B7A0"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15CC344B"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502" w:type="dxa"/>
            <w:tcBorders>
              <w:top w:val="nil"/>
              <w:left w:val="nil"/>
              <w:bottom w:val="nil"/>
              <w:right w:val="nil"/>
            </w:tcBorders>
            <w:vAlign w:val="center"/>
          </w:tcPr>
          <w:p w14:paraId="55FED971" w14:textId="77777777" w:rsidR="00AB41CC" w:rsidRPr="00EC1DF5" w:rsidRDefault="00AB41CC" w:rsidP="00453380">
            <w:pPr>
              <w:widowControl w:val="0"/>
              <w:autoSpaceDE w:val="0"/>
              <w:autoSpaceDN w:val="0"/>
              <w:adjustRightInd w:val="0"/>
              <w:spacing w:after="0" w:line="240" w:lineRule="auto"/>
              <w:rPr>
                <w:color w:val="auto"/>
                <w:sz w:val="18"/>
                <w:szCs w:val="18"/>
              </w:rPr>
            </w:pPr>
          </w:p>
        </w:tc>
      </w:tr>
      <w:tr w:rsidR="00EC1DF5" w:rsidRPr="00EC1DF5" w14:paraId="17297474" w14:textId="77777777" w:rsidTr="00453380">
        <w:tc>
          <w:tcPr>
            <w:tcW w:w="2108" w:type="dxa"/>
            <w:tcBorders>
              <w:top w:val="nil"/>
              <w:left w:val="nil"/>
              <w:bottom w:val="nil"/>
              <w:right w:val="nil"/>
            </w:tcBorders>
          </w:tcPr>
          <w:p w14:paraId="7451363D"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 xml:space="preserve">     Low Stake X </w:t>
            </w:r>
            <w:r w:rsidRPr="00EC1DF5">
              <w:rPr>
                <w:i/>
                <w:color w:val="auto"/>
                <w:sz w:val="18"/>
                <w:szCs w:val="18"/>
              </w:rPr>
              <w:t>BF</w:t>
            </w:r>
          </w:p>
        </w:tc>
        <w:tc>
          <w:tcPr>
            <w:tcW w:w="1250" w:type="dxa"/>
            <w:tcBorders>
              <w:top w:val="nil"/>
              <w:left w:val="nil"/>
              <w:bottom w:val="nil"/>
              <w:right w:val="nil"/>
            </w:tcBorders>
            <w:vAlign w:val="center"/>
          </w:tcPr>
          <w:p w14:paraId="6A9AA7FC"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-0.004</w:t>
            </w:r>
          </w:p>
        </w:tc>
        <w:tc>
          <w:tcPr>
            <w:tcW w:w="1200" w:type="dxa"/>
            <w:tcBorders>
              <w:top w:val="nil"/>
              <w:left w:val="nil"/>
              <w:bottom w:val="nil"/>
              <w:right w:val="nil"/>
            </w:tcBorders>
            <w:vAlign w:val="center"/>
          </w:tcPr>
          <w:p w14:paraId="4A2B690E"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7E6A173F"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470AD1EF"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05249605"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679BE946"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0.030**</w:t>
            </w:r>
          </w:p>
        </w:tc>
        <w:tc>
          <w:tcPr>
            <w:tcW w:w="1200" w:type="dxa"/>
            <w:tcBorders>
              <w:top w:val="nil"/>
              <w:left w:val="nil"/>
              <w:bottom w:val="nil"/>
              <w:right w:val="nil"/>
            </w:tcBorders>
            <w:vAlign w:val="center"/>
          </w:tcPr>
          <w:p w14:paraId="635109C1"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36F01D76"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34A7045F"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502" w:type="dxa"/>
            <w:tcBorders>
              <w:top w:val="nil"/>
              <w:left w:val="nil"/>
              <w:bottom w:val="nil"/>
              <w:right w:val="nil"/>
            </w:tcBorders>
            <w:vAlign w:val="center"/>
          </w:tcPr>
          <w:p w14:paraId="065F7573" w14:textId="77777777" w:rsidR="00AB41CC" w:rsidRPr="00EC1DF5" w:rsidRDefault="00AB41CC" w:rsidP="00453380">
            <w:pPr>
              <w:widowControl w:val="0"/>
              <w:autoSpaceDE w:val="0"/>
              <w:autoSpaceDN w:val="0"/>
              <w:adjustRightInd w:val="0"/>
              <w:spacing w:after="0" w:line="240" w:lineRule="auto"/>
              <w:rPr>
                <w:color w:val="auto"/>
                <w:sz w:val="18"/>
                <w:szCs w:val="18"/>
              </w:rPr>
            </w:pPr>
          </w:p>
        </w:tc>
      </w:tr>
      <w:tr w:rsidR="00EC1DF5" w:rsidRPr="00EC1DF5" w14:paraId="4A8D8230" w14:textId="77777777" w:rsidTr="00453380">
        <w:tc>
          <w:tcPr>
            <w:tcW w:w="2108" w:type="dxa"/>
            <w:tcBorders>
              <w:top w:val="nil"/>
              <w:left w:val="nil"/>
              <w:bottom w:val="nil"/>
              <w:right w:val="nil"/>
            </w:tcBorders>
          </w:tcPr>
          <w:p w14:paraId="2C65380B"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 xml:space="preserve">  </w:t>
            </w:r>
          </w:p>
        </w:tc>
        <w:tc>
          <w:tcPr>
            <w:tcW w:w="1250" w:type="dxa"/>
            <w:tcBorders>
              <w:top w:val="nil"/>
              <w:left w:val="nil"/>
              <w:bottom w:val="nil"/>
              <w:right w:val="nil"/>
            </w:tcBorders>
            <w:vAlign w:val="center"/>
          </w:tcPr>
          <w:p w14:paraId="4223D6C9"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(0.013)</w:t>
            </w:r>
          </w:p>
        </w:tc>
        <w:tc>
          <w:tcPr>
            <w:tcW w:w="1200" w:type="dxa"/>
            <w:tcBorders>
              <w:top w:val="nil"/>
              <w:left w:val="nil"/>
              <w:bottom w:val="nil"/>
              <w:right w:val="nil"/>
            </w:tcBorders>
            <w:vAlign w:val="center"/>
          </w:tcPr>
          <w:p w14:paraId="73F3C039"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6922376D"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60B54004"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2465B71E"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6D2EAF52"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(0.013)</w:t>
            </w:r>
          </w:p>
        </w:tc>
        <w:tc>
          <w:tcPr>
            <w:tcW w:w="1200" w:type="dxa"/>
            <w:tcBorders>
              <w:top w:val="nil"/>
              <w:left w:val="nil"/>
              <w:bottom w:val="nil"/>
              <w:right w:val="nil"/>
            </w:tcBorders>
            <w:vAlign w:val="center"/>
          </w:tcPr>
          <w:p w14:paraId="3308CA2F"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73414E67"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2B69C3C0"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502" w:type="dxa"/>
            <w:tcBorders>
              <w:top w:val="nil"/>
              <w:left w:val="nil"/>
              <w:bottom w:val="nil"/>
              <w:right w:val="nil"/>
            </w:tcBorders>
            <w:vAlign w:val="center"/>
          </w:tcPr>
          <w:p w14:paraId="138759D2" w14:textId="77777777" w:rsidR="00AB41CC" w:rsidRPr="00EC1DF5" w:rsidRDefault="00AB41CC" w:rsidP="00453380">
            <w:pPr>
              <w:widowControl w:val="0"/>
              <w:autoSpaceDE w:val="0"/>
              <w:autoSpaceDN w:val="0"/>
              <w:adjustRightInd w:val="0"/>
              <w:spacing w:after="0" w:line="240" w:lineRule="auto"/>
              <w:rPr>
                <w:color w:val="auto"/>
                <w:sz w:val="18"/>
                <w:szCs w:val="18"/>
              </w:rPr>
            </w:pPr>
          </w:p>
        </w:tc>
      </w:tr>
      <w:tr w:rsidR="00EC1DF5" w:rsidRPr="00EC1DF5" w14:paraId="21F51507" w14:textId="77777777" w:rsidTr="00453380">
        <w:tc>
          <w:tcPr>
            <w:tcW w:w="2108" w:type="dxa"/>
            <w:tcBorders>
              <w:top w:val="nil"/>
              <w:left w:val="nil"/>
              <w:bottom w:val="nil"/>
              <w:right w:val="nil"/>
            </w:tcBorders>
          </w:tcPr>
          <w:p w14:paraId="31C84E6B"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 xml:space="preserve">     High Stake X </w:t>
            </w:r>
            <w:r w:rsidRPr="00EC1DF5">
              <w:rPr>
                <w:i/>
                <w:color w:val="auto"/>
                <w:sz w:val="18"/>
                <w:szCs w:val="18"/>
              </w:rPr>
              <w:t>BF</w:t>
            </w:r>
          </w:p>
        </w:tc>
        <w:tc>
          <w:tcPr>
            <w:tcW w:w="1250" w:type="dxa"/>
            <w:tcBorders>
              <w:top w:val="nil"/>
              <w:left w:val="nil"/>
              <w:bottom w:val="nil"/>
              <w:right w:val="nil"/>
            </w:tcBorders>
            <w:vAlign w:val="center"/>
          </w:tcPr>
          <w:p w14:paraId="6C7536AF"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0.090***</w:t>
            </w:r>
          </w:p>
        </w:tc>
        <w:tc>
          <w:tcPr>
            <w:tcW w:w="1200" w:type="dxa"/>
            <w:tcBorders>
              <w:top w:val="nil"/>
              <w:left w:val="nil"/>
              <w:bottom w:val="nil"/>
              <w:right w:val="nil"/>
            </w:tcBorders>
            <w:vAlign w:val="center"/>
          </w:tcPr>
          <w:p w14:paraId="67BFD347"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451946CD"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75BDF18C"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12E88837"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7DBE5F4C"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0.123***</w:t>
            </w:r>
          </w:p>
        </w:tc>
        <w:tc>
          <w:tcPr>
            <w:tcW w:w="1200" w:type="dxa"/>
            <w:tcBorders>
              <w:top w:val="nil"/>
              <w:left w:val="nil"/>
              <w:bottom w:val="nil"/>
              <w:right w:val="nil"/>
            </w:tcBorders>
            <w:vAlign w:val="center"/>
          </w:tcPr>
          <w:p w14:paraId="0B5AE518"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39136E36"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3977D2B4"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502" w:type="dxa"/>
            <w:tcBorders>
              <w:top w:val="nil"/>
              <w:left w:val="nil"/>
              <w:bottom w:val="nil"/>
              <w:right w:val="nil"/>
            </w:tcBorders>
            <w:vAlign w:val="center"/>
          </w:tcPr>
          <w:p w14:paraId="44DB0900" w14:textId="77777777" w:rsidR="00AB41CC" w:rsidRPr="00EC1DF5" w:rsidRDefault="00AB41CC" w:rsidP="00453380">
            <w:pPr>
              <w:widowControl w:val="0"/>
              <w:autoSpaceDE w:val="0"/>
              <w:autoSpaceDN w:val="0"/>
              <w:adjustRightInd w:val="0"/>
              <w:spacing w:after="0" w:line="240" w:lineRule="auto"/>
              <w:rPr>
                <w:color w:val="auto"/>
                <w:sz w:val="18"/>
                <w:szCs w:val="18"/>
              </w:rPr>
            </w:pPr>
          </w:p>
        </w:tc>
      </w:tr>
      <w:tr w:rsidR="00EC1DF5" w:rsidRPr="00EC1DF5" w14:paraId="50D5DF15" w14:textId="77777777" w:rsidTr="00453380">
        <w:tc>
          <w:tcPr>
            <w:tcW w:w="2108" w:type="dxa"/>
            <w:tcBorders>
              <w:top w:val="nil"/>
              <w:left w:val="nil"/>
              <w:bottom w:val="nil"/>
              <w:right w:val="nil"/>
            </w:tcBorders>
          </w:tcPr>
          <w:p w14:paraId="523460B8"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 xml:space="preserve">  </w:t>
            </w:r>
          </w:p>
        </w:tc>
        <w:tc>
          <w:tcPr>
            <w:tcW w:w="1250" w:type="dxa"/>
            <w:tcBorders>
              <w:top w:val="nil"/>
              <w:left w:val="nil"/>
              <w:bottom w:val="nil"/>
              <w:right w:val="nil"/>
            </w:tcBorders>
            <w:vAlign w:val="center"/>
          </w:tcPr>
          <w:p w14:paraId="3E6F4F02"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(0.020)</w:t>
            </w:r>
          </w:p>
        </w:tc>
        <w:tc>
          <w:tcPr>
            <w:tcW w:w="1200" w:type="dxa"/>
            <w:tcBorders>
              <w:top w:val="nil"/>
              <w:left w:val="nil"/>
              <w:bottom w:val="nil"/>
              <w:right w:val="nil"/>
            </w:tcBorders>
            <w:vAlign w:val="center"/>
          </w:tcPr>
          <w:p w14:paraId="4F36C33D"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02ECC7E4"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50BD294E"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03E66704"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390AA81F"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(0.018)</w:t>
            </w:r>
          </w:p>
        </w:tc>
        <w:tc>
          <w:tcPr>
            <w:tcW w:w="1200" w:type="dxa"/>
            <w:tcBorders>
              <w:top w:val="nil"/>
              <w:left w:val="nil"/>
              <w:bottom w:val="nil"/>
              <w:right w:val="nil"/>
            </w:tcBorders>
            <w:vAlign w:val="center"/>
          </w:tcPr>
          <w:p w14:paraId="68E0726B"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059265D1"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5C58A877"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502" w:type="dxa"/>
            <w:tcBorders>
              <w:top w:val="nil"/>
              <w:left w:val="nil"/>
              <w:bottom w:val="nil"/>
              <w:right w:val="nil"/>
            </w:tcBorders>
            <w:vAlign w:val="center"/>
          </w:tcPr>
          <w:p w14:paraId="5043B725" w14:textId="77777777" w:rsidR="00AB41CC" w:rsidRPr="00EC1DF5" w:rsidRDefault="00AB41CC" w:rsidP="00453380">
            <w:pPr>
              <w:widowControl w:val="0"/>
              <w:autoSpaceDE w:val="0"/>
              <w:autoSpaceDN w:val="0"/>
              <w:adjustRightInd w:val="0"/>
              <w:spacing w:after="0" w:line="240" w:lineRule="auto"/>
              <w:rPr>
                <w:color w:val="auto"/>
                <w:sz w:val="18"/>
                <w:szCs w:val="18"/>
              </w:rPr>
            </w:pPr>
          </w:p>
        </w:tc>
      </w:tr>
      <w:tr w:rsidR="00EC1DF5" w:rsidRPr="00EC1DF5" w14:paraId="5559393F" w14:textId="77777777" w:rsidTr="00453380">
        <w:tc>
          <w:tcPr>
            <w:tcW w:w="2108" w:type="dxa"/>
            <w:tcBorders>
              <w:top w:val="nil"/>
              <w:left w:val="nil"/>
              <w:bottom w:val="nil"/>
              <w:right w:val="nil"/>
            </w:tcBorders>
          </w:tcPr>
          <w:p w14:paraId="37DBFDE6" w14:textId="77777777" w:rsidR="00AB41CC" w:rsidRPr="00EC1DF5" w:rsidRDefault="00AB41CC" w:rsidP="00453380">
            <w:pPr>
              <w:widowControl w:val="0"/>
              <w:autoSpaceDE w:val="0"/>
              <w:autoSpaceDN w:val="0"/>
              <w:adjustRightInd w:val="0"/>
              <w:spacing w:after="0" w:line="240" w:lineRule="auto"/>
              <w:rPr>
                <w:b/>
                <w:color w:val="auto"/>
                <w:sz w:val="18"/>
                <w:szCs w:val="18"/>
              </w:rPr>
            </w:pPr>
            <w:r w:rsidRPr="00EC1DF5">
              <w:rPr>
                <w:b/>
                <w:color w:val="auto"/>
                <w:sz w:val="18"/>
                <w:szCs w:val="18"/>
              </w:rPr>
              <w:t xml:space="preserve"> </w:t>
            </w:r>
            <w:r w:rsidRPr="00EC1DF5">
              <w:rPr>
                <w:b/>
                <w:i/>
                <w:color w:val="auto"/>
                <w:sz w:val="18"/>
                <w:szCs w:val="18"/>
              </w:rPr>
              <w:t>BST</w:t>
            </w:r>
          </w:p>
        </w:tc>
        <w:tc>
          <w:tcPr>
            <w:tcW w:w="1250" w:type="dxa"/>
            <w:tcBorders>
              <w:top w:val="nil"/>
              <w:left w:val="nil"/>
              <w:bottom w:val="nil"/>
              <w:right w:val="nil"/>
            </w:tcBorders>
            <w:vAlign w:val="center"/>
          </w:tcPr>
          <w:p w14:paraId="0DA82F28"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0825D9C4"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0.070</w:t>
            </w:r>
          </w:p>
        </w:tc>
        <w:tc>
          <w:tcPr>
            <w:tcW w:w="1200" w:type="dxa"/>
            <w:tcBorders>
              <w:top w:val="nil"/>
              <w:left w:val="nil"/>
              <w:bottom w:val="nil"/>
              <w:right w:val="nil"/>
            </w:tcBorders>
            <w:vAlign w:val="center"/>
          </w:tcPr>
          <w:p w14:paraId="2F1FEB94"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769D4928"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0B0C6CCF"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76B6FC9D"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650614CF"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0.104***</w:t>
            </w:r>
          </w:p>
        </w:tc>
        <w:tc>
          <w:tcPr>
            <w:tcW w:w="1200" w:type="dxa"/>
            <w:tcBorders>
              <w:top w:val="nil"/>
              <w:left w:val="nil"/>
              <w:bottom w:val="nil"/>
              <w:right w:val="nil"/>
            </w:tcBorders>
            <w:vAlign w:val="center"/>
          </w:tcPr>
          <w:p w14:paraId="35593A1E"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3B176079"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502" w:type="dxa"/>
            <w:tcBorders>
              <w:top w:val="nil"/>
              <w:left w:val="nil"/>
              <w:bottom w:val="nil"/>
              <w:right w:val="nil"/>
            </w:tcBorders>
            <w:vAlign w:val="center"/>
          </w:tcPr>
          <w:p w14:paraId="0ADCD80E" w14:textId="77777777" w:rsidR="00AB41CC" w:rsidRPr="00EC1DF5" w:rsidRDefault="00AB41CC" w:rsidP="00453380">
            <w:pPr>
              <w:widowControl w:val="0"/>
              <w:autoSpaceDE w:val="0"/>
              <w:autoSpaceDN w:val="0"/>
              <w:adjustRightInd w:val="0"/>
              <w:spacing w:after="0" w:line="240" w:lineRule="auto"/>
              <w:rPr>
                <w:color w:val="auto"/>
                <w:sz w:val="18"/>
                <w:szCs w:val="18"/>
              </w:rPr>
            </w:pPr>
          </w:p>
        </w:tc>
      </w:tr>
      <w:tr w:rsidR="00EC1DF5" w:rsidRPr="00EC1DF5" w14:paraId="319C699D" w14:textId="77777777" w:rsidTr="00453380">
        <w:tc>
          <w:tcPr>
            <w:tcW w:w="2108" w:type="dxa"/>
            <w:tcBorders>
              <w:top w:val="nil"/>
              <w:left w:val="nil"/>
              <w:bottom w:val="nil"/>
              <w:right w:val="nil"/>
            </w:tcBorders>
          </w:tcPr>
          <w:p w14:paraId="5AF60D83"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 xml:space="preserve">  </w:t>
            </w:r>
          </w:p>
        </w:tc>
        <w:tc>
          <w:tcPr>
            <w:tcW w:w="1250" w:type="dxa"/>
            <w:tcBorders>
              <w:top w:val="nil"/>
              <w:left w:val="nil"/>
              <w:bottom w:val="nil"/>
              <w:right w:val="nil"/>
            </w:tcBorders>
            <w:vAlign w:val="center"/>
          </w:tcPr>
          <w:p w14:paraId="2C713C73"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0F28C3CC"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(0.038)</w:t>
            </w:r>
          </w:p>
        </w:tc>
        <w:tc>
          <w:tcPr>
            <w:tcW w:w="1200" w:type="dxa"/>
            <w:tcBorders>
              <w:top w:val="nil"/>
              <w:left w:val="nil"/>
              <w:bottom w:val="nil"/>
              <w:right w:val="nil"/>
            </w:tcBorders>
            <w:vAlign w:val="center"/>
          </w:tcPr>
          <w:p w14:paraId="29EC2F8B"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64E8B771"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4ED262FC"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782C3DD4"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544CD784"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(0.034)</w:t>
            </w:r>
          </w:p>
        </w:tc>
        <w:tc>
          <w:tcPr>
            <w:tcW w:w="1200" w:type="dxa"/>
            <w:tcBorders>
              <w:top w:val="nil"/>
              <w:left w:val="nil"/>
              <w:bottom w:val="nil"/>
              <w:right w:val="nil"/>
            </w:tcBorders>
            <w:vAlign w:val="center"/>
          </w:tcPr>
          <w:p w14:paraId="22F4B334"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208B99F9"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502" w:type="dxa"/>
            <w:tcBorders>
              <w:top w:val="nil"/>
              <w:left w:val="nil"/>
              <w:bottom w:val="nil"/>
              <w:right w:val="nil"/>
            </w:tcBorders>
            <w:vAlign w:val="center"/>
          </w:tcPr>
          <w:p w14:paraId="269EB542" w14:textId="77777777" w:rsidR="00AB41CC" w:rsidRPr="00EC1DF5" w:rsidRDefault="00AB41CC" w:rsidP="00453380">
            <w:pPr>
              <w:widowControl w:val="0"/>
              <w:autoSpaceDE w:val="0"/>
              <w:autoSpaceDN w:val="0"/>
              <w:adjustRightInd w:val="0"/>
              <w:spacing w:after="0" w:line="240" w:lineRule="auto"/>
              <w:rPr>
                <w:color w:val="auto"/>
                <w:sz w:val="18"/>
                <w:szCs w:val="18"/>
              </w:rPr>
            </w:pPr>
          </w:p>
        </w:tc>
      </w:tr>
      <w:tr w:rsidR="00EC1DF5" w:rsidRPr="00EC1DF5" w14:paraId="3668F248" w14:textId="77777777" w:rsidTr="00453380">
        <w:tc>
          <w:tcPr>
            <w:tcW w:w="2108" w:type="dxa"/>
            <w:tcBorders>
              <w:top w:val="nil"/>
              <w:left w:val="nil"/>
              <w:bottom w:val="nil"/>
              <w:right w:val="nil"/>
            </w:tcBorders>
          </w:tcPr>
          <w:p w14:paraId="588C6E32"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 xml:space="preserve">     Low Stake X </w:t>
            </w:r>
            <w:r w:rsidRPr="00EC1DF5">
              <w:rPr>
                <w:i/>
                <w:color w:val="auto"/>
                <w:sz w:val="18"/>
                <w:szCs w:val="18"/>
              </w:rPr>
              <w:t>BST</w:t>
            </w:r>
          </w:p>
        </w:tc>
        <w:tc>
          <w:tcPr>
            <w:tcW w:w="1250" w:type="dxa"/>
            <w:tcBorders>
              <w:top w:val="nil"/>
              <w:left w:val="nil"/>
              <w:bottom w:val="nil"/>
              <w:right w:val="nil"/>
            </w:tcBorders>
            <w:vAlign w:val="center"/>
          </w:tcPr>
          <w:p w14:paraId="1E6C5CEB"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3E35544D"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-0.014</w:t>
            </w:r>
          </w:p>
        </w:tc>
        <w:tc>
          <w:tcPr>
            <w:tcW w:w="1200" w:type="dxa"/>
            <w:tcBorders>
              <w:top w:val="nil"/>
              <w:left w:val="nil"/>
              <w:bottom w:val="nil"/>
              <w:right w:val="nil"/>
            </w:tcBorders>
            <w:vAlign w:val="center"/>
          </w:tcPr>
          <w:p w14:paraId="1EEFD8E7"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7260E1F8"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09C9CEF3"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1E14EA77"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237394D3"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-0.019</w:t>
            </w:r>
          </w:p>
        </w:tc>
        <w:tc>
          <w:tcPr>
            <w:tcW w:w="1200" w:type="dxa"/>
            <w:tcBorders>
              <w:top w:val="nil"/>
              <w:left w:val="nil"/>
              <w:bottom w:val="nil"/>
              <w:right w:val="nil"/>
            </w:tcBorders>
            <w:vAlign w:val="center"/>
          </w:tcPr>
          <w:p w14:paraId="242121F8"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2620ED3B"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502" w:type="dxa"/>
            <w:tcBorders>
              <w:top w:val="nil"/>
              <w:left w:val="nil"/>
              <w:bottom w:val="nil"/>
              <w:right w:val="nil"/>
            </w:tcBorders>
            <w:vAlign w:val="center"/>
          </w:tcPr>
          <w:p w14:paraId="5839A482" w14:textId="77777777" w:rsidR="00AB41CC" w:rsidRPr="00EC1DF5" w:rsidRDefault="00AB41CC" w:rsidP="00453380">
            <w:pPr>
              <w:widowControl w:val="0"/>
              <w:autoSpaceDE w:val="0"/>
              <w:autoSpaceDN w:val="0"/>
              <w:adjustRightInd w:val="0"/>
              <w:spacing w:after="0" w:line="240" w:lineRule="auto"/>
              <w:rPr>
                <w:color w:val="auto"/>
                <w:sz w:val="18"/>
                <w:szCs w:val="18"/>
              </w:rPr>
            </w:pPr>
          </w:p>
        </w:tc>
      </w:tr>
      <w:tr w:rsidR="00EC1DF5" w:rsidRPr="00EC1DF5" w14:paraId="080E0AD8" w14:textId="77777777" w:rsidTr="00453380">
        <w:tc>
          <w:tcPr>
            <w:tcW w:w="2108" w:type="dxa"/>
            <w:tcBorders>
              <w:top w:val="nil"/>
              <w:left w:val="nil"/>
              <w:bottom w:val="nil"/>
              <w:right w:val="nil"/>
            </w:tcBorders>
          </w:tcPr>
          <w:p w14:paraId="732392F0"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 xml:space="preserve">  </w:t>
            </w:r>
          </w:p>
        </w:tc>
        <w:tc>
          <w:tcPr>
            <w:tcW w:w="1250" w:type="dxa"/>
            <w:tcBorders>
              <w:top w:val="nil"/>
              <w:left w:val="nil"/>
              <w:bottom w:val="nil"/>
              <w:right w:val="nil"/>
            </w:tcBorders>
            <w:vAlign w:val="center"/>
          </w:tcPr>
          <w:p w14:paraId="36C8F8C6"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56FC99DF"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(0.013)</w:t>
            </w:r>
          </w:p>
        </w:tc>
        <w:tc>
          <w:tcPr>
            <w:tcW w:w="1200" w:type="dxa"/>
            <w:tcBorders>
              <w:top w:val="nil"/>
              <w:left w:val="nil"/>
              <w:bottom w:val="nil"/>
              <w:right w:val="nil"/>
            </w:tcBorders>
            <w:vAlign w:val="center"/>
          </w:tcPr>
          <w:p w14:paraId="33A7E6F7"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4B545B3C"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7E3CEDE7"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027FA059"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75371952"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(0.012)</w:t>
            </w:r>
          </w:p>
        </w:tc>
        <w:tc>
          <w:tcPr>
            <w:tcW w:w="1200" w:type="dxa"/>
            <w:tcBorders>
              <w:top w:val="nil"/>
              <w:left w:val="nil"/>
              <w:bottom w:val="nil"/>
              <w:right w:val="nil"/>
            </w:tcBorders>
            <w:vAlign w:val="center"/>
          </w:tcPr>
          <w:p w14:paraId="5DD35853"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0FF04A89"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502" w:type="dxa"/>
            <w:tcBorders>
              <w:top w:val="nil"/>
              <w:left w:val="nil"/>
              <w:bottom w:val="nil"/>
              <w:right w:val="nil"/>
            </w:tcBorders>
            <w:vAlign w:val="center"/>
          </w:tcPr>
          <w:p w14:paraId="10683035" w14:textId="77777777" w:rsidR="00AB41CC" w:rsidRPr="00EC1DF5" w:rsidRDefault="00AB41CC" w:rsidP="00453380">
            <w:pPr>
              <w:widowControl w:val="0"/>
              <w:autoSpaceDE w:val="0"/>
              <w:autoSpaceDN w:val="0"/>
              <w:adjustRightInd w:val="0"/>
              <w:spacing w:after="0" w:line="240" w:lineRule="auto"/>
              <w:rPr>
                <w:color w:val="auto"/>
                <w:sz w:val="18"/>
                <w:szCs w:val="18"/>
              </w:rPr>
            </w:pPr>
          </w:p>
        </w:tc>
      </w:tr>
      <w:tr w:rsidR="00EC1DF5" w:rsidRPr="00EC1DF5" w14:paraId="68806C10" w14:textId="77777777" w:rsidTr="00453380">
        <w:tc>
          <w:tcPr>
            <w:tcW w:w="2108" w:type="dxa"/>
            <w:tcBorders>
              <w:top w:val="nil"/>
              <w:left w:val="nil"/>
              <w:bottom w:val="nil"/>
              <w:right w:val="nil"/>
            </w:tcBorders>
          </w:tcPr>
          <w:p w14:paraId="1DC2ACAE"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 xml:space="preserve">     High Stake X </w:t>
            </w:r>
            <w:r w:rsidRPr="00EC1DF5">
              <w:rPr>
                <w:i/>
                <w:color w:val="auto"/>
                <w:sz w:val="18"/>
                <w:szCs w:val="18"/>
              </w:rPr>
              <w:t>BST</w:t>
            </w:r>
          </w:p>
        </w:tc>
        <w:tc>
          <w:tcPr>
            <w:tcW w:w="1250" w:type="dxa"/>
            <w:tcBorders>
              <w:top w:val="nil"/>
              <w:left w:val="nil"/>
              <w:bottom w:val="nil"/>
              <w:right w:val="nil"/>
            </w:tcBorders>
            <w:vAlign w:val="center"/>
          </w:tcPr>
          <w:p w14:paraId="50674921"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256D607D"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0.089***</w:t>
            </w:r>
          </w:p>
        </w:tc>
        <w:tc>
          <w:tcPr>
            <w:tcW w:w="1200" w:type="dxa"/>
            <w:tcBorders>
              <w:top w:val="nil"/>
              <w:left w:val="nil"/>
              <w:bottom w:val="nil"/>
              <w:right w:val="nil"/>
            </w:tcBorders>
            <w:vAlign w:val="center"/>
          </w:tcPr>
          <w:p w14:paraId="701B6BA8"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66FDFA79"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387EEA45"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77EE2BA2"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070CEC80"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0.116***</w:t>
            </w:r>
          </w:p>
        </w:tc>
        <w:tc>
          <w:tcPr>
            <w:tcW w:w="1200" w:type="dxa"/>
            <w:tcBorders>
              <w:top w:val="nil"/>
              <w:left w:val="nil"/>
              <w:bottom w:val="nil"/>
              <w:right w:val="nil"/>
            </w:tcBorders>
            <w:vAlign w:val="center"/>
          </w:tcPr>
          <w:p w14:paraId="15D9ADB7"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5AE9F655"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502" w:type="dxa"/>
            <w:tcBorders>
              <w:top w:val="nil"/>
              <w:left w:val="nil"/>
              <w:bottom w:val="nil"/>
              <w:right w:val="nil"/>
            </w:tcBorders>
            <w:vAlign w:val="center"/>
          </w:tcPr>
          <w:p w14:paraId="5C9C0533" w14:textId="77777777" w:rsidR="00AB41CC" w:rsidRPr="00EC1DF5" w:rsidRDefault="00AB41CC" w:rsidP="00453380">
            <w:pPr>
              <w:widowControl w:val="0"/>
              <w:autoSpaceDE w:val="0"/>
              <w:autoSpaceDN w:val="0"/>
              <w:adjustRightInd w:val="0"/>
              <w:spacing w:after="0" w:line="240" w:lineRule="auto"/>
              <w:rPr>
                <w:color w:val="auto"/>
                <w:sz w:val="18"/>
                <w:szCs w:val="18"/>
              </w:rPr>
            </w:pPr>
          </w:p>
        </w:tc>
      </w:tr>
      <w:tr w:rsidR="00EC1DF5" w:rsidRPr="00EC1DF5" w14:paraId="2518F74F" w14:textId="77777777" w:rsidTr="00453380">
        <w:tc>
          <w:tcPr>
            <w:tcW w:w="2108" w:type="dxa"/>
            <w:tcBorders>
              <w:top w:val="nil"/>
              <w:left w:val="nil"/>
              <w:bottom w:val="nil"/>
              <w:right w:val="nil"/>
            </w:tcBorders>
          </w:tcPr>
          <w:p w14:paraId="21BE894A"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 xml:space="preserve">  </w:t>
            </w:r>
          </w:p>
        </w:tc>
        <w:tc>
          <w:tcPr>
            <w:tcW w:w="1250" w:type="dxa"/>
            <w:tcBorders>
              <w:top w:val="nil"/>
              <w:left w:val="nil"/>
              <w:bottom w:val="nil"/>
              <w:right w:val="nil"/>
            </w:tcBorders>
            <w:vAlign w:val="center"/>
          </w:tcPr>
          <w:p w14:paraId="25A5AFCE"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60563618"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(0.020)</w:t>
            </w:r>
          </w:p>
        </w:tc>
        <w:tc>
          <w:tcPr>
            <w:tcW w:w="1200" w:type="dxa"/>
            <w:tcBorders>
              <w:top w:val="nil"/>
              <w:left w:val="nil"/>
              <w:bottom w:val="nil"/>
              <w:right w:val="nil"/>
            </w:tcBorders>
            <w:vAlign w:val="center"/>
          </w:tcPr>
          <w:p w14:paraId="666622C3"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77509031"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68B8A395"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0E6867AB"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565DCB1C"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(0.018)</w:t>
            </w:r>
          </w:p>
        </w:tc>
        <w:tc>
          <w:tcPr>
            <w:tcW w:w="1200" w:type="dxa"/>
            <w:tcBorders>
              <w:top w:val="nil"/>
              <w:left w:val="nil"/>
              <w:bottom w:val="nil"/>
              <w:right w:val="nil"/>
            </w:tcBorders>
            <w:vAlign w:val="center"/>
          </w:tcPr>
          <w:p w14:paraId="6745CFA8"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7C3C3BBD"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502" w:type="dxa"/>
            <w:tcBorders>
              <w:top w:val="nil"/>
              <w:left w:val="nil"/>
              <w:bottom w:val="nil"/>
              <w:right w:val="nil"/>
            </w:tcBorders>
            <w:vAlign w:val="center"/>
          </w:tcPr>
          <w:p w14:paraId="2DCCCE74" w14:textId="77777777" w:rsidR="00AB41CC" w:rsidRPr="00EC1DF5" w:rsidRDefault="00AB41CC" w:rsidP="00453380">
            <w:pPr>
              <w:widowControl w:val="0"/>
              <w:autoSpaceDE w:val="0"/>
              <w:autoSpaceDN w:val="0"/>
              <w:adjustRightInd w:val="0"/>
              <w:spacing w:after="0" w:line="240" w:lineRule="auto"/>
              <w:rPr>
                <w:color w:val="auto"/>
                <w:sz w:val="18"/>
                <w:szCs w:val="18"/>
              </w:rPr>
            </w:pPr>
          </w:p>
        </w:tc>
      </w:tr>
      <w:tr w:rsidR="00EC1DF5" w:rsidRPr="00EC1DF5" w14:paraId="0D1B2CDD" w14:textId="77777777" w:rsidTr="00453380">
        <w:tc>
          <w:tcPr>
            <w:tcW w:w="2108" w:type="dxa"/>
            <w:tcBorders>
              <w:top w:val="nil"/>
              <w:left w:val="nil"/>
              <w:bottom w:val="nil"/>
              <w:right w:val="nil"/>
            </w:tcBorders>
          </w:tcPr>
          <w:p w14:paraId="49D449E5" w14:textId="77777777" w:rsidR="00AB41CC" w:rsidRPr="00EC1DF5" w:rsidRDefault="00AB41CC" w:rsidP="00453380">
            <w:pPr>
              <w:widowControl w:val="0"/>
              <w:autoSpaceDE w:val="0"/>
              <w:autoSpaceDN w:val="0"/>
              <w:adjustRightInd w:val="0"/>
              <w:spacing w:after="0" w:line="240" w:lineRule="auto"/>
              <w:rPr>
                <w:b/>
                <w:color w:val="auto"/>
                <w:sz w:val="18"/>
                <w:szCs w:val="18"/>
              </w:rPr>
            </w:pPr>
            <w:r w:rsidRPr="00EC1DF5">
              <w:rPr>
                <w:b/>
                <w:color w:val="auto"/>
                <w:sz w:val="18"/>
                <w:szCs w:val="18"/>
              </w:rPr>
              <w:t xml:space="preserve"> </w:t>
            </w:r>
            <w:r w:rsidRPr="00EC1DF5">
              <w:rPr>
                <w:b/>
                <w:i/>
                <w:color w:val="auto"/>
                <w:sz w:val="18"/>
                <w:szCs w:val="18"/>
              </w:rPr>
              <w:t>BC</w:t>
            </w:r>
          </w:p>
        </w:tc>
        <w:tc>
          <w:tcPr>
            <w:tcW w:w="1250" w:type="dxa"/>
            <w:tcBorders>
              <w:top w:val="nil"/>
              <w:left w:val="nil"/>
              <w:bottom w:val="nil"/>
              <w:right w:val="nil"/>
            </w:tcBorders>
            <w:vAlign w:val="center"/>
          </w:tcPr>
          <w:p w14:paraId="7023B8DF"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25782552"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0D3C7A42"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0.042</w:t>
            </w:r>
          </w:p>
        </w:tc>
        <w:tc>
          <w:tcPr>
            <w:tcW w:w="1200" w:type="dxa"/>
            <w:tcBorders>
              <w:top w:val="nil"/>
              <w:left w:val="nil"/>
              <w:bottom w:val="nil"/>
              <w:right w:val="nil"/>
            </w:tcBorders>
            <w:vAlign w:val="center"/>
          </w:tcPr>
          <w:p w14:paraId="642AE3AE"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5C6D82C5"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703EA35E"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2E0E4B41"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7569CB0F"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0.022*</w:t>
            </w:r>
          </w:p>
        </w:tc>
        <w:tc>
          <w:tcPr>
            <w:tcW w:w="1200" w:type="dxa"/>
            <w:tcBorders>
              <w:top w:val="nil"/>
              <w:left w:val="nil"/>
              <w:bottom w:val="nil"/>
              <w:right w:val="nil"/>
            </w:tcBorders>
            <w:vAlign w:val="center"/>
          </w:tcPr>
          <w:p w14:paraId="76A00578"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502" w:type="dxa"/>
            <w:tcBorders>
              <w:top w:val="nil"/>
              <w:left w:val="nil"/>
              <w:bottom w:val="nil"/>
              <w:right w:val="nil"/>
            </w:tcBorders>
            <w:vAlign w:val="center"/>
          </w:tcPr>
          <w:p w14:paraId="73FEB2B8" w14:textId="77777777" w:rsidR="00AB41CC" w:rsidRPr="00EC1DF5" w:rsidRDefault="00AB41CC" w:rsidP="00453380">
            <w:pPr>
              <w:widowControl w:val="0"/>
              <w:autoSpaceDE w:val="0"/>
              <w:autoSpaceDN w:val="0"/>
              <w:adjustRightInd w:val="0"/>
              <w:spacing w:after="0" w:line="240" w:lineRule="auto"/>
              <w:rPr>
                <w:color w:val="auto"/>
                <w:sz w:val="18"/>
                <w:szCs w:val="18"/>
              </w:rPr>
            </w:pPr>
          </w:p>
        </w:tc>
      </w:tr>
      <w:tr w:rsidR="00EC1DF5" w:rsidRPr="00EC1DF5" w14:paraId="4224D8D3" w14:textId="77777777" w:rsidTr="00453380">
        <w:tc>
          <w:tcPr>
            <w:tcW w:w="2108" w:type="dxa"/>
            <w:tcBorders>
              <w:top w:val="nil"/>
              <w:left w:val="nil"/>
              <w:bottom w:val="nil"/>
              <w:right w:val="nil"/>
            </w:tcBorders>
          </w:tcPr>
          <w:p w14:paraId="6694E30A"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 xml:space="preserve">  </w:t>
            </w:r>
          </w:p>
        </w:tc>
        <w:tc>
          <w:tcPr>
            <w:tcW w:w="1250" w:type="dxa"/>
            <w:tcBorders>
              <w:top w:val="nil"/>
              <w:left w:val="nil"/>
              <w:bottom w:val="nil"/>
              <w:right w:val="nil"/>
            </w:tcBorders>
            <w:vAlign w:val="center"/>
          </w:tcPr>
          <w:p w14:paraId="78D6DEC8"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662D8AED"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7C379211"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(0.027)</w:t>
            </w:r>
          </w:p>
        </w:tc>
        <w:tc>
          <w:tcPr>
            <w:tcW w:w="1200" w:type="dxa"/>
            <w:tcBorders>
              <w:top w:val="nil"/>
              <w:left w:val="nil"/>
              <w:bottom w:val="nil"/>
              <w:right w:val="nil"/>
            </w:tcBorders>
            <w:vAlign w:val="center"/>
          </w:tcPr>
          <w:p w14:paraId="7AEB8C8F"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397C49DA"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702A0C6E"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182BC8CE"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62C34F97"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(0.026)</w:t>
            </w:r>
          </w:p>
        </w:tc>
        <w:tc>
          <w:tcPr>
            <w:tcW w:w="1200" w:type="dxa"/>
            <w:tcBorders>
              <w:top w:val="nil"/>
              <w:left w:val="nil"/>
              <w:bottom w:val="nil"/>
              <w:right w:val="nil"/>
            </w:tcBorders>
            <w:vAlign w:val="center"/>
          </w:tcPr>
          <w:p w14:paraId="79D13C01"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502" w:type="dxa"/>
            <w:tcBorders>
              <w:top w:val="nil"/>
              <w:left w:val="nil"/>
              <w:bottom w:val="nil"/>
              <w:right w:val="nil"/>
            </w:tcBorders>
            <w:vAlign w:val="center"/>
          </w:tcPr>
          <w:p w14:paraId="6AF7DEA2" w14:textId="77777777" w:rsidR="00AB41CC" w:rsidRPr="00EC1DF5" w:rsidRDefault="00AB41CC" w:rsidP="00453380">
            <w:pPr>
              <w:widowControl w:val="0"/>
              <w:autoSpaceDE w:val="0"/>
              <w:autoSpaceDN w:val="0"/>
              <w:adjustRightInd w:val="0"/>
              <w:spacing w:after="0" w:line="240" w:lineRule="auto"/>
              <w:rPr>
                <w:color w:val="auto"/>
                <w:sz w:val="18"/>
                <w:szCs w:val="18"/>
              </w:rPr>
            </w:pPr>
          </w:p>
        </w:tc>
      </w:tr>
      <w:tr w:rsidR="00EC1DF5" w:rsidRPr="00EC1DF5" w14:paraId="16D30D0F" w14:textId="77777777" w:rsidTr="00453380">
        <w:tc>
          <w:tcPr>
            <w:tcW w:w="2108" w:type="dxa"/>
            <w:tcBorders>
              <w:top w:val="nil"/>
              <w:left w:val="nil"/>
              <w:bottom w:val="nil"/>
              <w:right w:val="nil"/>
            </w:tcBorders>
          </w:tcPr>
          <w:p w14:paraId="1A9EE6C1"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 xml:space="preserve">     Low Stake X </w:t>
            </w:r>
            <w:r w:rsidRPr="00EC1DF5">
              <w:rPr>
                <w:i/>
                <w:color w:val="auto"/>
                <w:sz w:val="18"/>
                <w:szCs w:val="18"/>
              </w:rPr>
              <w:t>BC</w:t>
            </w:r>
          </w:p>
        </w:tc>
        <w:tc>
          <w:tcPr>
            <w:tcW w:w="1250" w:type="dxa"/>
            <w:tcBorders>
              <w:top w:val="nil"/>
              <w:left w:val="nil"/>
              <w:bottom w:val="nil"/>
              <w:right w:val="nil"/>
            </w:tcBorders>
            <w:vAlign w:val="center"/>
          </w:tcPr>
          <w:p w14:paraId="5D073442"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786CA004"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7A43A3B3"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-0.013</w:t>
            </w:r>
          </w:p>
        </w:tc>
        <w:tc>
          <w:tcPr>
            <w:tcW w:w="1200" w:type="dxa"/>
            <w:tcBorders>
              <w:top w:val="nil"/>
              <w:left w:val="nil"/>
              <w:bottom w:val="nil"/>
              <w:right w:val="nil"/>
            </w:tcBorders>
            <w:vAlign w:val="center"/>
          </w:tcPr>
          <w:p w14:paraId="0FEBF9C0"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6AD8E7A1"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1E3B0420"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591A042F"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561F60A1"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0.022</w:t>
            </w:r>
          </w:p>
        </w:tc>
        <w:tc>
          <w:tcPr>
            <w:tcW w:w="1200" w:type="dxa"/>
            <w:tcBorders>
              <w:top w:val="nil"/>
              <w:left w:val="nil"/>
              <w:bottom w:val="nil"/>
              <w:right w:val="nil"/>
            </w:tcBorders>
            <w:vAlign w:val="center"/>
          </w:tcPr>
          <w:p w14:paraId="0CCAED5D"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502" w:type="dxa"/>
            <w:tcBorders>
              <w:top w:val="nil"/>
              <w:left w:val="nil"/>
              <w:bottom w:val="nil"/>
              <w:right w:val="nil"/>
            </w:tcBorders>
            <w:vAlign w:val="center"/>
          </w:tcPr>
          <w:p w14:paraId="6000B956" w14:textId="77777777" w:rsidR="00AB41CC" w:rsidRPr="00EC1DF5" w:rsidRDefault="00AB41CC" w:rsidP="00453380">
            <w:pPr>
              <w:widowControl w:val="0"/>
              <w:autoSpaceDE w:val="0"/>
              <w:autoSpaceDN w:val="0"/>
              <w:adjustRightInd w:val="0"/>
              <w:spacing w:after="0" w:line="240" w:lineRule="auto"/>
              <w:rPr>
                <w:color w:val="auto"/>
                <w:sz w:val="18"/>
                <w:szCs w:val="18"/>
              </w:rPr>
            </w:pPr>
          </w:p>
        </w:tc>
      </w:tr>
      <w:tr w:rsidR="00EC1DF5" w:rsidRPr="00EC1DF5" w14:paraId="4A6C1B7A" w14:textId="77777777" w:rsidTr="00453380">
        <w:tc>
          <w:tcPr>
            <w:tcW w:w="2108" w:type="dxa"/>
            <w:tcBorders>
              <w:top w:val="nil"/>
              <w:left w:val="nil"/>
              <w:bottom w:val="nil"/>
              <w:right w:val="nil"/>
            </w:tcBorders>
          </w:tcPr>
          <w:p w14:paraId="39A8B2BF"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 xml:space="preserve">  </w:t>
            </w:r>
          </w:p>
        </w:tc>
        <w:tc>
          <w:tcPr>
            <w:tcW w:w="1250" w:type="dxa"/>
            <w:tcBorders>
              <w:top w:val="nil"/>
              <w:left w:val="nil"/>
              <w:bottom w:val="nil"/>
              <w:right w:val="nil"/>
            </w:tcBorders>
            <w:vAlign w:val="center"/>
          </w:tcPr>
          <w:p w14:paraId="17DE0901"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3C0C2702"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394141AE"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(0.015)</w:t>
            </w:r>
          </w:p>
        </w:tc>
        <w:tc>
          <w:tcPr>
            <w:tcW w:w="1200" w:type="dxa"/>
            <w:tcBorders>
              <w:top w:val="nil"/>
              <w:left w:val="nil"/>
              <w:bottom w:val="nil"/>
              <w:right w:val="nil"/>
            </w:tcBorders>
            <w:vAlign w:val="center"/>
          </w:tcPr>
          <w:p w14:paraId="178194C4"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6134F3E6"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477DB072"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3BE6E2DA"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23998C14"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(0.014)</w:t>
            </w:r>
          </w:p>
        </w:tc>
        <w:tc>
          <w:tcPr>
            <w:tcW w:w="1200" w:type="dxa"/>
            <w:tcBorders>
              <w:top w:val="nil"/>
              <w:left w:val="nil"/>
              <w:bottom w:val="nil"/>
              <w:right w:val="nil"/>
            </w:tcBorders>
            <w:vAlign w:val="center"/>
          </w:tcPr>
          <w:p w14:paraId="549FAEA9"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502" w:type="dxa"/>
            <w:tcBorders>
              <w:top w:val="nil"/>
              <w:left w:val="nil"/>
              <w:bottom w:val="nil"/>
              <w:right w:val="nil"/>
            </w:tcBorders>
            <w:vAlign w:val="center"/>
          </w:tcPr>
          <w:p w14:paraId="0CFC699B" w14:textId="77777777" w:rsidR="00AB41CC" w:rsidRPr="00EC1DF5" w:rsidRDefault="00AB41CC" w:rsidP="00453380">
            <w:pPr>
              <w:widowControl w:val="0"/>
              <w:autoSpaceDE w:val="0"/>
              <w:autoSpaceDN w:val="0"/>
              <w:adjustRightInd w:val="0"/>
              <w:spacing w:after="0" w:line="240" w:lineRule="auto"/>
              <w:rPr>
                <w:color w:val="auto"/>
                <w:sz w:val="18"/>
                <w:szCs w:val="18"/>
              </w:rPr>
            </w:pPr>
          </w:p>
        </w:tc>
      </w:tr>
      <w:tr w:rsidR="00EC1DF5" w:rsidRPr="00EC1DF5" w14:paraId="3FEDE82A" w14:textId="77777777" w:rsidTr="00453380">
        <w:tc>
          <w:tcPr>
            <w:tcW w:w="2108" w:type="dxa"/>
            <w:tcBorders>
              <w:top w:val="nil"/>
              <w:left w:val="nil"/>
              <w:bottom w:val="nil"/>
              <w:right w:val="nil"/>
            </w:tcBorders>
          </w:tcPr>
          <w:p w14:paraId="3066EBB1"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 xml:space="preserve">     High Stake X </w:t>
            </w:r>
            <w:r w:rsidRPr="00EC1DF5">
              <w:rPr>
                <w:i/>
                <w:color w:val="auto"/>
                <w:sz w:val="18"/>
                <w:szCs w:val="18"/>
              </w:rPr>
              <w:t>BC</w:t>
            </w:r>
          </w:p>
        </w:tc>
        <w:tc>
          <w:tcPr>
            <w:tcW w:w="1250" w:type="dxa"/>
            <w:tcBorders>
              <w:top w:val="nil"/>
              <w:left w:val="nil"/>
              <w:bottom w:val="nil"/>
              <w:right w:val="nil"/>
            </w:tcBorders>
            <w:vAlign w:val="center"/>
          </w:tcPr>
          <w:p w14:paraId="776CAD01"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1F35F90D"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74A01A99"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0.081***</w:t>
            </w:r>
          </w:p>
        </w:tc>
        <w:tc>
          <w:tcPr>
            <w:tcW w:w="1200" w:type="dxa"/>
            <w:tcBorders>
              <w:top w:val="nil"/>
              <w:left w:val="nil"/>
              <w:bottom w:val="nil"/>
              <w:right w:val="nil"/>
            </w:tcBorders>
            <w:vAlign w:val="center"/>
          </w:tcPr>
          <w:p w14:paraId="3D29463C"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73783FF0"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6739D9B7"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31622151"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1CA4E01E"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0.127***</w:t>
            </w:r>
          </w:p>
        </w:tc>
        <w:tc>
          <w:tcPr>
            <w:tcW w:w="1200" w:type="dxa"/>
            <w:tcBorders>
              <w:top w:val="nil"/>
              <w:left w:val="nil"/>
              <w:bottom w:val="nil"/>
              <w:right w:val="nil"/>
            </w:tcBorders>
            <w:vAlign w:val="center"/>
          </w:tcPr>
          <w:p w14:paraId="7C36A182"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502" w:type="dxa"/>
            <w:tcBorders>
              <w:top w:val="nil"/>
              <w:left w:val="nil"/>
              <w:bottom w:val="nil"/>
              <w:right w:val="nil"/>
            </w:tcBorders>
            <w:vAlign w:val="center"/>
          </w:tcPr>
          <w:p w14:paraId="56DEE46C" w14:textId="77777777" w:rsidR="00AB41CC" w:rsidRPr="00EC1DF5" w:rsidRDefault="00AB41CC" w:rsidP="00453380">
            <w:pPr>
              <w:widowControl w:val="0"/>
              <w:autoSpaceDE w:val="0"/>
              <w:autoSpaceDN w:val="0"/>
              <w:adjustRightInd w:val="0"/>
              <w:spacing w:after="0" w:line="240" w:lineRule="auto"/>
              <w:rPr>
                <w:color w:val="auto"/>
                <w:sz w:val="18"/>
                <w:szCs w:val="18"/>
              </w:rPr>
            </w:pPr>
          </w:p>
        </w:tc>
      </w:tr>
      <w:tr w:rsidR="00EC1DF5" w:rsidRPr="00EC1DF5" w14:paraId="75B46102" w14:textId="77777777" w:rsidTr="00453380">
        <w:tc>
          <w:tcPr>
            <w:tcW w:w="2108" w:type="dxa"/>
            <w:tcBorders>
              <w:top w:val="nil"/>
              <w:left w:val="nil"/>
              <w:bottom w:val="nil"/>
              <w:right w:val="nil"/>
            </w:tcBorders>
          </w:tcPr>
          <w:p w14:paraId="24F06070"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 xml:space="preserve">  </w:t>
            </w:r>
          </w:p>
        </w:tc>
        <w:tc>
          <w:tcPr>
            <w:tcW w:w="1250" w:type="dxa"/>
            <w:tcBorders>
              <w:top w:val="nil"/>
              <w:left w:val="nil"/>
              <w:bottom w:val="nil"/>
              <w:right w:val="nil"/>
            </w:tcBorders>
            <w:vAlign w:val="center"/>
          </w:tcPr>
          <w:p w14:paraId="34B05F9C"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6D50C2FA"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4E54F2D2"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(0.022)</w:t>
            </w:r>
          </w:p>
        </w:tc>
        <w:tc>
          <w:tcPr>
            <w:tcW w:w="1200" w:type="dxa"/>
            <w:tcBorders>
              <w:top w:val="nil"/>
              <w:left w:val="nil"/>
              <w:bottom w:val="nil"/>
              <w:right w:val="nil"/>
            </w:tcBorders>
            <w:vAlign w:val="center"/>
          </w:tcPr>
          <w:p w14:paraId="2BF441D3"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548E05D5"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67828F79"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16C6FFA8"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6B4A9CAE"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(0.020)</w:t>
            </w:r>
          </w:p>
        </w:tc>
        <w:tc>
          <w:tcPr>
            <w:tcW w:w="1200" w:type="dxa"/>
            <w:tcBorders>
              <w:top w:val="nil"/>
              <w:left w:val="nil"/>
              <w:bottom w:val="nil"/>
              <w:right w:val="nil"/>
            </w:tcBorders>
            <w:vAlign w:val="center"/>
          </w:tcPr>
          <w:p w14:paraId="2869B872"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502" w:type="dxa"/>
            <w:tcBorders>
              <w:top w:val="nil"/>
              <w:left w:val="nil"/>
              <w:bottom w:val="nil"/>
              <w:right w:val="nil"/>
            </w:tcBorders>
            <w:vAlign w:val="center"/>
          </w:tcPr>
          <w:p w14:paraId="7AD5C35B" w14:textId="77777777" w:rsidR="00AB41CC" w:rsidRPr="00EC1DF5" w:rsidRDefault="00AB41CC" w:rsidP="00453380">
            <w:pPr>
              <w:widowControl w:val="0"/>
              <w:autoSpaceDE w:val="0"/>
              <w:autoSpaceDN w:val="0"/>
              <w:adjustRightInd w:val="0"/>
              <w:spacing w:after="0" w:line="240" w:lineRule="auto"/>
              <w:rPr>
                <w:color w:val="auto"/>
                <w:sz w:val="18"/>
                <w:szCs w:val="18"/>
              </w:rPr>
            </w:pPr>
          </w:p>
        </w:tc>
      </w:tr>
      <w:tr w:rsidR="00EC1DF5" w:rsidRPr="00EC1DF5" w14:paraId="2D57996E" w14:textId="77777777" w:rsidTr="00453380">
        <w:tc>
          <w:tcPr>
            <w:tcW w:w="2108" w:type="dxa"/>
            <w:tcBorders>
              <w:top w:val="nil"/>
              <w:left w:val="nil"/>
              <w:bottom w:val="nil"/>
              <w:right w:val="nil"/>
            </w:tcBorders>
          </w:tcPr>
          <w:p w14:paraId="23FA79BF" w14:textId="77777777" w:rsidR="00AB41CC" w:rsidRPr="00EC1DF5" w:rsidRDefault="00AB41CC" w:rsidP="00453380">
            <w:pPr>
              <w:widowControl w:val="0"/>
              <w:autoSpaceDE w:val="0"/>
              <w:autoSpaceDN w:val="0"/>
              <w:adjustRightInd w:val="0"/>
              <w:spacing w:after="0" w:line="240" w:lineRule="auto"/>
              <w:rPr>
                <w:b/>
                <w:color w:val="auto"/>
                <w:sz w:val="18"/>
                <w:szCs w:val="18"/>
              </w:rPr>
            </w:pPr>
            <w:r w:rsidRPr="00EC1DF5">
              <w:rPr>
                <w:b/>
                <w:color w:val="auto"/>
                <w:sz w:val="18"/>
                <w:szCs w:val="18"/>
              </w:rPr>
              <w:t xml:space="preserve"> </w:t>
            </w:r>
            <w:r w:rsidRPr="00EC1DF5">
              <w:rPr>
                <w:b/>
                <w:i/>
                <w:color w:val="auto"/>
                <w:sz w:val="18"/>
                <w:szCs w:val="18"/>
              </w:rPr>
              <w:t>BSR</w:t>
            </w:r>
          </w:p>
        </w:tc>
        <w:tc>
          <w:tcPr>
            <w:tcW w:w="1250" w:type="dxa"/>
            <w:tcBorders>
              <w:top w:val="nil"/>
              <w:left w:val="nil"/>
              <w:bottom w:val="nil"/>
              <w:right w:val="nil"/>
            </w:tcBorders>
            <w:vAlign w:val="center"/>
          </w:tcPr>
          <w:p w14:paraId="5B1D5D24"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108B163B"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42E09B58"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3DB44481"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0.072***</w:t>
            </w:r>
          </w:p>
        </w:tc>
        <w:tc>
          <w:tcPr>
            <w:tcW w:w="1200" w:type="dxa"/>
            <w:tcBorders>
              <w:top w:val="nil"/>
              <w:left w:val="nil"/>
              <w:bottom w:val="nil"/>
              <w:right w:val="nil"/>
            </w:tcBorders>
            <w:vAlign w:val="center"/>
          </w:tcPr>
          <w:p w14:paraId="47B4D1EB"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7EE60207"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58E8C8B1"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75681BC5"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35FE3CDE"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0.056**</w:t>
            </w:r>
          </w:p>
        </w:tc>
        <w:tc>
          <w:tcPr>
            <w:tcW w:w="1502" w:type="dxa"/>
            <w:tcBorders>
              <w:top w:val="nil"/>
              <w:left w:val="nil"/>
              <w:bottom w:val="nil"/>
              <w:right w:val="nil"/>
            </w:tcBorders>
            <w:vAlign w:val="center"/>
          </w:tcPr>
          <w:p w14:paraId="7571E47E" w14:textId="77777777" w:rsidR="00AB41CC" w:rsidRPr="00EC1DF5" w:rsidRDefault="00AB41CC" w:rsidP="00453380">
            <w:pPr>
              <w:widowControl w:val="0"/>
              <w:autoSpaceDE w:val="0"/>
              <w:autoSpaceDN w:val="0"/>
              <w:adjustRightInd w:val="0"/>
              <w:spacing w:after="0" w:line="240" w:lineRule="auto"/>
              <w:rPr>
                <w:color w:val="auto"/>
                <w:sz w:val="18"/>
                <w:szCs w:val="18"/>
              </w:rPr>
            </w:pPr>
          </w:p>
        </w:tc>
      </w:tr>
      <w:tr w:rsidR="00EC1DF5" w:rsidRPr="00EC1DF5" w14:paraId="6AC800F7" w14:textId="77777777" w:rsidTr="00453380">
        <w:tc>
          <w:tcPr>
            <w:tcW w:w="2108" w:type="dxa"/>
            <w:tcBorders>
              <w:top w:val="nil"/>
              <w:left w:val="nil"/>
              <w:bottom w:val="nil"/>
              <w:right w:val="nil"/>
            </w:tcBorders>
          </w:tcPr>
          <w:p w14:paraId="14A5DAEB"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 xml:space="preserve">  </w:t>
            </w:r>
          </w:p>
        </w:tc>
        <w:tc>
          <w:tcPr>
            <w:tcW w:w="1250" w:type="dxa"/>
            <w:tcBorders>
              <w:top w:val="nil"/>
              <w:left w:val="nil"/>
              <w:bottom w:val="nil"/>
              <w:right w:val="nil"/>
            </w:tcBorders>
            <w:vAlign w:val="center"/>
          </w:tcPr>
          <w:p w14:paraId="39CC2790"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68169002"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449F8E9E"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382F20D6"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(0.025)</w:t>
            </w:r>
          </w:p>
        </w:tc>
        <w:tc>
          <w:tcPr>
            <w:tcW w:w="1200" w:type="dxa"/>
            <w:tcBorders>
              <w:top w:val="nil"/>
              <w:left w:val="nil"/>
              <w:bottom w:val="nil"/>
              <w:right w:val="nil"/>
            </w:tcBorders>
            <w:vAlign w:val="center"/>
          </w:tcPr>
          <w:p w14:paraId="030B78A1"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6A1F6585"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51867F87"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2FD73137"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6D87D648"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(0.022)</w:t>
            </w:r>
          </w:p>
        </w:tc>
        <w:tc>
          <w:tcPr>
            <w:tcW w:w="1502" w:type="dxa"/>
            <w:tcBorders>
              <w:top w:val="nil"/>
              <w:left w:val="nil"/>
              <w:bottom w:val="nil"/>
              <w:right w:val="nil"/>
            </w:tcBorders>
            <w:vAlign w:val="center"/>
          </w:tcPr>
          <w:p w14:paraId="0F34770E" w14:textId="77777777" w:rsidR="00AB41CC" w:rsidRPr="00EC1DF5" w:rsidRDefault="00AB41CC" w:rsidP="00453380">
            <w:pPr>
              <w:widowControl w:val="0"/>
              <w:autoSpaceDE w:val="0"/>
              <w:autoSpaceDN w:val="0"/>
              <w:adjustRightInd w:val="0"/>
              <w:spacing w:after="0" w:line="240" w:lineRule="auto"/>
              <w:rPr>
                <w:color w:val="auto"/>
                <w:sz w:val="18"/>
                <w:szCs w:val="18"/>
              </w:rPr>
            </w:pPr>
          </w:p>
        </w:tc>
      </w:tr>
      <w:tr w:rsidR="00EC1DF5" w:rsidRPr="00EC1DF5" w14:paraId="2632722D" w14:textId="77777777" w:rsidTr="00453380">
        <w:tc>
          <w:tcPr>
            <w:tcW w:w="2108" w:type="dxa"/>
            <w:tcBorders>
              <w:top w:val="nil"/>
              <w:left w:val="nil"/>
              <w:bottom w:val="nil"/>
              <w:right w:val="nil"/>
            </w:tcBorders>
          </w:tcPr>
          <w:p w14:paraId="15D9FC5E"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 xml:space="preserve">     Low Stake X </w:t>
            </w:r>
            <w:r w:rsidRPr="00EC1DF5">
              <w:rPr>
                <w:i/>
                <w:color w:val="auto"/>
                <w:sz w:val="18"/>
                <w:szCs w:val="18"/>
              </w:rPr>
              <w:t>BSR</w:t>
            </w:r>
          </w:p>
        </w:tc>
        <w:tc>
          <w:tcPr>
            <w:tcW w:w="1250" w:type="dxa"/>
            <w:tcBorders>
              <w:top w:val="nil"/>
              <w:left w:val="nil"/>
              <w:bottom w:val="nil"/>
              <w:right w:val="nil"/>
            </w:tcBorders>
            <w:vAlign w:val="center"/>
          </w:tcPr>
          <w:p w14:paraId="66B366B5"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0B780F50"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17F03693"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756A55F4"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-0.023</w:t>
            </w:r>
          </w:p>
        </w:tc>
        <w:tc>
          <w:tcPr>
            <w:tcW w:w="1200" w:type="dxa"/>
            <w:tcBorders>
              <w:top w:val="nil"/>
              <w:left w:val="nil"/>
              <w:bottom w:val="nil"/>
              <w:right w:val="nil"/>
            </w:tcBorders>
            <w:vAlign w:val="center"/>
          </w:tcPr>
          <w:p w14:paraId="0B706675"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721750DF"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038667F6"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564F000A"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2FC157E6"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0.015</w:t>
            </w:r>
          </w:p>
        </w:tc>
        <w:tc>
          <w:tcPr>
            <w:tcW w:w="1502" w:type="dxa"/>
            <w:tcBorders>
              <w:top w:val="nil"/>
              <w:left w:val="nil"/>
              <w:bottom w:val="nil"/>
              <w:right w:val="nil"/>
            </w:tcBorders>
            <w:vAlign w:val="center"/>
          </w:tcPr>
          <w:p w14:paraId="2755EB59" w14:textId="77777777" w:rsidR="00AB41CC" w:rsidRPr="00EC1DF5" w:rsidRDefault="00AB41CC" w:rsidP="00453380">
            <w:pPr>
              <w:widowControl w:val="0"/>
              <w:autoSpaceDE w:val="0"/>
              <w:autoSpaceDN w:val="0"/>
              <w:adjustRightInd w:val="0"/>
              <w:spacing w:after="0" w:line="240" w:lineRule="auto"/>
              <w:rPr>
                <w:color w:val="auto"/>
                <w:sz w:val="18"/>
                <w:szCs w:val="18"/>
              </w:rPr>
            </w:pPr>
          </w:p>
        </w:tc>
      </w:tr>
      <w:tr w:rsidR="00EC1DF5" w:rsidRPr="00EC1DF5" w14:paraId="66DA0082" w14:textId="77777777" w:rsidTr="00453380">
        <w:tc>
          <w:tcPr>
            <w:tcW w:w="2108" w:type="dxa"/>
            <w:tcBorders>
              <w:top w:val="nil"/>
              <w:left w:val="nil"/>
              <w:bottom w:val="nil"/>
              <w:right w:val="nil"/>
            </w:tcBorders>
          </w:tcPr>
          <w:p w14:paraId="7852EEB4"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 xml:space="preserve">  </w:t>
            </w:r>
          </w:p>
        </w:tc>
        <w:tc>
          <w:tcPr>
            <w:tcW w:w="1250" w:type="dxa"/>
            <w:tcBorders>
              <w:top w:val="nil"/>
              <w:left w:val="nil"/>
              <w:bottom w:val="nil"/>
              <w:right w:val="nil"/>
            </w:tcBorders>
            <w:vAlign w:val="center"/>
          </w:tcPr>
          <w:p w14:paraId="209C5EBC"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29EB2924"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3D96118F"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412C7FBA"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(0.016)</w:t>
            </w:r>
          </w:p>
        </w:tc>
        <w:tc>
          <w:tcPr>
            <w:tcW w:w="1200" w:type="dxa"/>
            <w:tcBorders>
              <w:top w:val="nil"/>
              <w:left w:val="nil"/>
              <w:bottom w:val="nil"/>
              <w:right w:val="nil"/>
            </w:tcBorders>
            <w:vAlign w:val="center"/>
          </w:tcPr>
          <w:p w14:paraId="632CE82C"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4CD3C583"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734D1126"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6E97C17C"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4EE6946D"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(0.015)</w:t>
            </w:r>
          </w:p>
        </w:tc>
        <w:tc>
          <w:tcPr>
            <w:tcW w:w="1502" w:type="dxa"/>
            <w:tcBorders>
              <w:top w:val="nil"/>
              <w:left w:val="nil"/>
              <w:bottom w:val="nil"/>
              <w:right w:val="nil"/>
            </w:tcBorders>
            <w:vAlign w:val="center"/>
          </w:tcPr>
          <w:p w14:paraId="7ED90677" w14:textId="77777777" w:rsidR="00AB41CC" w:rsidRPr="00EC1DF5" w:rsidRDefault="00AB41CC" w:rsidP="00453380">
            <w:pPr>
              <w:widowControl w:val="0"/>
              <w:autoSpaceDE w:val="0"/>
              <w:autoSpaceDN w:val="0"/>
              <w:adjustRightInd w:val="0"/>
              <w:spacing w:after="0" w:line="240" w:lineRule="auto"/>
              <w:rPr>
                <w:color w:val="auto"/>
                <w:sz w:val="18"/>
                <w:szCs w:val="18"/>
              </w:rPr>
            </w:pPr>
          </w:p>
        </w:tc>
      </w:tr>
      <w:tr w:rsidR="00EC1DF5" w:rsidRPr="00EC1DF5" w14:paraId="45960A1E" w14:textId="77777777" w:rsidTr="00453380">
        <w:tc>
          <w:tcPr>
            <w:tcW w:w="2108" w:type="dxa"/>
            <w:tcBorders>
              <w:top w:val="nil"/>
              <w:left w:val="nil"/>
              <w:bottom w:val="nil"/>
              <w:right w:val="nil"/>
            </w:tcBorders>
          </w:tcPr>
          <w:p w14:paraId="5452700A"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 xml:space="preserve">     High Stake X </w:t>
            </w:r>
            <w:r w:rsidRPr="00EC1DF5">
              <w:rPr>
                <w:i/>
                <w:color w:val="auto"/>
                <w:sz w:val="18"/>
                <w:szCs w:val="18"/>
              </w:rPr>
              <w:t>BSR</w:t>
            </w:r>
          </w:p>
        </w:tc>
        <w:tc>
          <w:tcPr>
            <w:tcW w:w="1250" w:type="dxa"/>
            <w:tcBorders>
              <w:top w:val="nil"/>
              <w:left w:val="nil"/>
              <w:bottom w:val="nil"/>
              <w:right w:val="nil"/>
            </w:tcBorders>
            <w:vAlign w:val="center"/>
          </w:tcPr>
          <w:p w14:paraId="79A1104A"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32FACCDD"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5A91F600"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2C97554A"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0.074***</w:t>
            </w:r>
          </w:p>
        </w:tc>
        <w:tc>
          <w:tcPr>
            <w:tcW w:w="1200" w:type="dxa"/>
            <w:tcBorders>
              <w:top w:val="nil"/>
              <w:left w:val="nil"/>
              <w:bottom w:val="nil"/>
              <w:right w:val="nil"/>
            </w:tcBorders>
            <w:vAlign w:val="center"/>
          </w:tcPr>
          <w:p w14:paraId="44AFB1F4"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234AAEB7"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031D6A7E"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1A8B063E"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627B4148"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0.109***</w:t>
            </w:r>
          </w:p>
        </w:tc>
        <w:tc>
          <w:tcPr>
            <w:tcW w:w="1502" w:type="dxa"/>
            <w:tcBorders>
              <w:top w:val="nil"/>
              <w:left w:val="nil"/>
              <w:bottom w:val="nil"/>
              <w:right w:val="nil"/>
            </w:tcBorders>
            <w:vAlign w:val="center"/>
          </w:tcPr>
          <w:p w14:paraId="2D843FF3" w14:textId="77777777" w:rsidR="00AB41CC" w:rsidRPr="00EC1DF5" w:rsidRDefault="00AB41CC" w:rsidP="00453380">
            <w:pPr>
              <w:widowControl w:val="0"/>
              <w:autoSpaceDE w:val="0"/>
              <w:autoSpaceDN w:val="0"/>
              <w:adjustRightInd w:val="0"/>
              <w:spacing w:after="0" w:line="240" w:lineRule="auto"/>
              <w:rPr>
                <w:color w:val="auto"/>
                <w:sz w:val="18"/>
                <w:szCs w:val="18"/>
              </w:rPr>
            </w:pPr>
          </w:p>
        </w:tc>
      </w:tr>
      <w:tr w:rsidR="00EC1DF5" w:rsidRPr="00EC1DF5" w14:paraId="061A539F" w14:textId="77777777" w:rsidTr="00453380">
        <w:tc>
          <w:tcPr>
            <w:tcW w:w="2108" w:type="dxa"/>
            <w:tcBorders>
              <w:top w:val="nil"/>
              <w:left w:val="nil"/>
              <w:bottom w:val="nil"/>
              <w:right w:val="nil"/>
            </w:tcBorders>
          </w:tcPr>
          <w:p w14:paraId="280F0D9F"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 xml:space="preserve">  </w:t>
            </w:r>
          </w:p>
        </w:tc>
        <w:tc>
          <w:tcPr>
            <w:tcW w:w="1250" w:type="dxa"/>
            <w:tcBorders>
              <w:top w:val="nil"/>
              <w:left w:val="nil"/>
              <w:bottom w:val="nil"/>
              <w:right w:val="nil"/>
            </w:tcBorders>
            <w:vAlign w:val="center"/>
          </w:tcPr>
          <w:p w14:paraId="648A55BD"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2A0830B8"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1741BC64"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4FE50EFC"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(0.022)</w:t>
            </w:r>
          </w:p>
        </w:tc>
        <w:tc>
          <w:tcPr>
            <w:tcW w:w="1200" w:type="dxa"/>
            <w:tcBorders>
              <w:top w:val="nil"/>
              <w:left w:val="nil"/>
              <w:bottom w:val="nil"/>
              <w:right w:val="nil"/>
            </w:tcBorders>
            <w:vAlign w:val="center"/>
          </w:tcPr>
          <w:p w14:paraId="217CBE67"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49A13BA0"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49794A88"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4D2D2257"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578B42C3"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(0.019)</w:t>
            </w:r>
          </w:p>
        </w:tc>
        <w:tc>
          <w:tcPr>
            <w:tcW w:w="1502" w:type="dxa"/>
            <w:tcBorders>
              <w:top w:val="nil"/>
              <w:left w:val="nil"/>
              <w:bottom w:val="nil"/>
              <w:right w:val="nil"/>
            </w:tcBorders>
            <w:vAlign w:val="center"/>
          </w:tcPr>
          <w:p w14:paraId="148D26E8" w14:textId="77777777" w:rsidR="00AB41CC" w:rsidRPr="00EC1DF5" w:rsidRDefault="00AB41CC" w:rsidP="00453380">
            <w:pPr>
              <w:widowControl w:val="0"/>
              <w:autoSpaceDE w:val="0"/>
              <w:autoSpaceDN w:val="0"/>
              <w:adjustRightInd w:val="0"/>
              <w:spacing w:after="0" w:line="240" w:lineRule="auto"/>
              <w:rPr>
                <w:color w:val="auto"/>
                <w:sz w:val="18"/>
                <w:szCs w:val="18"/>
              </w:rPr>
            </w:pPr>
          </w:p>
        </w:tc>
      </w:tr>
      <w:tr w:rsidR="00EC1DF5" w:rsidRPr="00EC1DF5" w14:paraId="1D0040A0" w14:textId="77777777" w:rsidTr="00453380">
        <w:tc>
          <w:tcPr>
            <w:tcW w:w="2108" w:type="dxa"/>
            <w:tcBorders>
              <w:top w:val="nil"/>
              <w:left w:val="nil"/>
              <w:bottom w:val="nil"/>
              <w:right w:val="nil"/>
            </w:tcBorders>
          </w:tcPr>
          <w:p w14:paraId="3B06BD39" w14:textId="77777777" w:rsidR="00AB41CC" w:rsidRPr="00EC1DF5" w:rsidRDefault="00AB41CC" w:rsidP="00453380">
            <w:pPr>
              <w:widowControl w:val="0"/>
              <w:autoSpaceDE w:val="0"/>
              <w:autoSpaceDN w:val="0"/>
              <w:adjustRightInd w:val="0"/>
              <w:spacing w:after="0" w:line="240" w:lineRule="auto"/>
              <w:rPr>
                <w:b/>
                <w:color w:val="auto"/>
                <w:sz w:val="18"/>
                <w:szCs w:val="18"/>
              </w:rPr>
            </w:pPr>
            <w:r w:rsidRPr="00EC1DF5">
              <w:rPr>
                <w:b/>
                <w:color w:val="auto"/>
                <w:sz w:val="18"/>
                <w:szCs w:val="18"/>
              </w:rPr>
              <w:t xml:space="preserve"> </w:t>
            </w:r>
            <w:r w:rsidRPr="00EC1DF5">
              <w:rPr>
                <w:b/>
                <w:i/>
                <w:color w:val="auto"/>
                <w:sz w:val="18"/>
                <w:szCs w:val="18"/>
              </w:rPr>
              <w:t>BSTR</w:t>
            </w:r>
          </w:p>
        </w:tc>
        <w:tc>
          <w:tcPr>
            <w:tcW w:w="1250" w:type="dxa"/>
            <w:tcBorders>
              <w:top w:val="nil"/>
              <w:left w:val="nil"/>
              <w:bottom w:val="nil"/>
              <w:right w:val="nil"/>
            </w:tcBorders>
            <w:vAlign w:val="center"/>
          </w:tcPr>
          <w:p w14:paraId="0C9611F8"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743C1DE6"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4153F358"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4CAB5B4C"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64DA54C3"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0.043***</w:t>
            </w:r>
          </w:p>
        </w:tc>
        <w:tc>
          <w:tcPr>
            <w:tcW w:w="1200" w:type="dxa"/>
            <w:tcBorders>
              <w:top w:val="nil"/>
              <w:left w:val="nil"/>
              <w:bottom w:val="nil"/>
              <w:right w:val="nil"/>
            </w:tcBorders>
            <w:vAlign w:val="center"/>
          </w:tcPr>
          <w:p w14:paraId="26F2BB19"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49006408"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2F0A585B"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3AEC5F8B"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502" w:type="dxa"/>
            <w:tcBorders>
              <w:top w:val="nil"/>
              <w:left w:val="nil"/>
              <w:bottom w:val="nil"/>
              <w:right w:val="nil"/>
            </w:tcBorders>
            <w:vAlign w:val="center"/>
          </w:tcPr>
          <w:p w14:paraId="191A3216"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0.096***</w:t>
            </w:r>
          </w:p>
        </w:tc>
      </w:tr>
      <w:tr w:rsidR="00EC1DF5" w:rsidRPr="00EC1DF5" w14:paraId="6A6BFEA5" w14:textId="77777777" w:rsidTr="00453380">
        <w:tc>
          <w:tcPr>
            <w:tcW w:w="2108" w:type="dxa"/>
            <w:tcBorders>
              <w:top w:val="nil"/>
              <w:left w:val="nil"/>
              <w:bottom w:val="nil"/>
              <w:right w:val="nil"/>
            </w:tcBorders>
          </w:tcPr>
          <w:p w14:paraId="2DBBEA4E"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 xml:space="preserve">  </w:t>
            </w:r>
          </w:p>
        </w:tc>
        <w:tc>
          <w:tcPr>
            <w:tcW w:w="1250" w:type="dxa"/>
            <w:tcBorders>
              <w:top w:val="nil"/>
              <w:left w:val="nil"/>
              <w:bottom w:val="nil"/>
              <w:right w:val="nil"/>
            </w:tcBorders>
            <w:vAlign w:val="center"/>
          </w:tcPr>
          <w:p w14:paraId="1D18844F"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50989999"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094966B1"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5FF53B30"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5DEC84B1"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(0.032)</w:t>
            </w:r>
          </w:p>
        </w:tc>
        <w:tc>
          <w:tcPr>
            <w:tcW w:w="1200" w:type="dxa"/>
            <w:tcBorders>
              <w:top w:val="nil"/>
              <w:left w:val="nil"/>
              <w:bottom w:val="nil"/>
              <w:right w:val="nil"/>
            </w:tcBorders>
            <w:vAlign w:val="center"/>
          </w:tcPr>
          <w:p w14:paraId="55AB557D"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28FB786D"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5247A32C"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214BA3F5"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502" w:type="dxa"/>
            <w:tcBorders>
              <w:top w:val="nil"/>
              <w:left w:val="nil"/>
              <w:bottom w:val="nil"/>
              <w:right w:val="nil"/>
            </w:tcBorders>
            <w:vAlign w:val="center"/>
          </w:tcPr>
          <w:p w14:paraId="6DDDA0BA"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(0.030)</w:t>
            </w:r>
          </w:p>
        </w:tc>
      </w:tr>
      <w:tr w:rsidR="00EC1DF5" w:rsidRPr="00EC1DF5" w14:paraId="2C053202" w14:textId="77777777" w:rsidTr="00453380">
        <w:tc>
          <w:tcPr>
            <w:tcW w:w="2108" w:type="dxa"/>
            <w:tcBorders>
              <w:top w:val="nil"/>
              <w:left w:val="nil"/>
              <w:bottom w:val="nil"/>
              <w:right w:val="nil"/>
            </w:tcBorders>
          </w:tcPr>
          <w:p w14:paraId="4C15028A"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 xml:space="preserve">     Low Stake X </w:t>
            </w:r>
            <w:r w:rsidRPr="00EC1DF5">
              <w:rPr>
                <w:i/>
                <w:color w:val="auto"/>
                <w:sz w:val="18"/>
                <w:szCs w:val="18"/>
              </w:rPr>
              <w:t>BSTR</w:t>
            </w:r>
          </w:p>
        </w:tc>
        <w:tc>
          <w:tcPr>
            <w:tcW w:w="1250" w:type="dxa"/>
            <w:tcBorders>
              <w:top w:val="nil"/>
              <w:left w:val="nil"/>
              <w:bottom w:val="nil"/>
              <w:right w:val="nil"/>
            </w:tcBorders>
            <w:vAlign w:val="center"/>
          </w:tcPr>
          <w:p w14:paraId="5D0F58F9"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30D5376D"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7EBC2ACF"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13C33BB7"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43D6A057"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-0.015</w:t>
            </w:r>
          </w:p>
        </w:tc>
        <w:tc>
          <w:tcPr>
            <w:tcW w:w="1200" w:type="dxa"/>
            <w:tcBorders>
              <w:top w:val="nil"/>
              <w:left w:val="nil"/>
              <w:bottom w:val="nil"/>
              <w:right w:val="nil"/>
            </w:tcBorders>
            <w:vAlign w:val="center"/>
          </w:tcPr>
          <w:p w14:paraId="1BD200AD"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6270A2DF"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16251D6E"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28E6C553"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502" w:type="dxa"/>
            <w:tcBorders>
              <w:top w:val="nil"/>
              <w:left w:val="nil"/>
              <w:bottom w:val="nil"/>
              <w:right w:val="nil"/>
            </w:tcBorders>
            <w:vAlign w:val="center"/>
          </w:tcPr>
          <w:p w14:paraId="382CDC1E"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0.044**</w:t>
            </w:r>
          </w:p>
        </w:tc>
      </w:tr>
      <w:tr w:rsidR="00EC1DF5" w:rsidRPr="00EC1DF5" w14:paraId="197CFA6A" w14:textId="77777777" w:rsidTr="00453380">
        <w:tc>
          <w:tcPr>
            <w:tcW w:w="2108" w:type="dxa"/>
            <w:tcBorders>
              <w:top w:val="nil"/>
              <w:left w:val="nil"/>
              <w:bottom w:val="nil"/>
              <w:right w:val="nil"/>
            </w:tcBorders>
          </w:tcPr>
          <w:p w14:paraId="5E5C38A9"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 xml:space="preserve">  </w:t>
            </w:r>
          </w:p>
        </w:tc>
        <w:tc>
          <w:tcPr>
            <w:tcW w:w="1250" w:type="dxa"/>
            <w:tcBorders>
              <w:top w:val="nil"/>
              <w:left w:val="nil"/>
              <w:bottom w:val="nil"/>
              <w:right w:val="nil"/>
            </w:tcBorders>
            <w:vAlign w:val="center"/>
          </w:tcPr>
          <w:p w14:paraId="12F6A59B"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1B3BE89A"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645725BF"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7E500D5D"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601DA816"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(0.017)</w:t>
            </w:r>
          </w:p>
        </w:tc>
        <w:tc>
          <w:tcPr>
            <w:tcW w:w="1200" w:type="dxa"/>
            <w:tcBorders>
              <w:top w:val="nil"/>
              <w:left w:val="nil"/>
              <w:bottom w:val="nil"/>
              <w:right w:val="nil"/>
            </w:tcBorders>
            <w:vAlign w:val="center"/>
          </w:tcPr>
          <w:p w14:paraId="6CC64535"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0D59EDB4"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4E00D826"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117107C5"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502" w:type="dxa"/>
            <w:tcBorders>
              <w:top w:val="nil"/>
              <w:left w:val="nil"/>
              <w:bottom w:val="nil"/>
              <w:right w:val="nil"/>
            </w:tcBorders>
            <w:vAlign w:val="center"/>
          </w:tcPr>
          <w:p w14:paraId="3843BB80"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(0.018)</w:t>
            </w:r>
          </w:p>
        </w:tc>
      </w:tr>
      <w:tr w:rsidR="00EC1DF5" w:rsidRPr="00EC1DF5" w14:paraId="52ACF929" w14:textId="77777777" w:rsidTr="00453380">
        <w:tc>
          <w:tcPr>
            <w:tcW w:w="2108" w:type="dxa"/>
            <w:tcBorders>
              <w:top w:val="nil"/>
              <w:left w:val="nil"/>
              <w:bottom w:val="nil"/>
              <w:right w:val="nil"/>
            </w:tcBorders>
          </w:tcPr>
          <w:p w14:paraId="6A9F70F9"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 xml:space="preserve">     High Stake X </w:t>
            </w:r>
            <w:r w:rsidRPr="00EC1DF5">
              <w:rPr>
                <w:i/>
                <w:color w:val="auto"/>
                <w:sz w:val="18"/>
                <w:szCs w:val="18"/>
              </w:rPr>
              <w:t>BSTR</w:t>
            </w:r>
          </w:p>
        </w:tc>
        <w:tc>
          <w:tcPr>
            <w:tcW w:w="1250" w:type="dxa"/>
            <w:tcBorders>
              <w:top w:val="nil"/>
              <w:left w:val="nil"/>
              <w:bottom w:val="nil"/>
              <w:right w:val="nil"/>
            </w:tcBorders>
          </w:tcPr>
          <w:p w14:paraId="01BDF0B4"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tcPr>
          <w:p w14:paraId="6EC7E09C"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tcPr>
          <w:p w14:paraId="0500BBDC"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tcPr>
          <w:p w14:paraId="0833A2CB"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tcPr>
          <w:p w14:paraId="3FF8FE3E"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-0.496**</w:t>
            </w:r>
          </w:p>
        </w:tc>
        <w:tc>
          <w:tcPr>
            <w:tcW w:w="1200" w:type="dxa"/>
            <w:tcBorders>
              <w:top w:val="nil"/>
              <w:left w:val="nil"/>
              <w:bottom w:val="nil"/>
              <w:right w:val="nil"/>
            </w:tcBorders>
          </w:tcPr>
          <w:p w14:paraId="4E3E68B7"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tcPr>
          <w:p w14:paraId="4B44064D"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tcPr>
          <w:p w14:paraId="0BB29F4D"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tcPr>
          <w:p w14:paraId="5E9612F4"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502" w:type="dxa"/>
            <w:tcBorders>
              <w:top w:val="nil"/>
              <w:left w:val="nil"/>
              <w:bottom w:val="nil"/>
              <w:right w:val="nil"/>
            </w:tcBorders>
          </w:tcPr>
          <w:p w14:paraId="3E620D82"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0.311***</w:t>
            </w:r>
          </w:p>
        </w:tc>
      </w:tr>
      <w:tr w:rsidR="00EC1DF5" w:rsidRPr="00EC1DF5" w14:paraId="16B6B183" w14:textId="77777777" w:rsidTr="00453380">
        <w:trPr>
          <w:trHeight w:val="321"/>
        </w:trPr>
        <w:tc>
          <w:tcPr>
            <w:tcW w:w="2108" w:type="dxa"/>
            <w:tcBorders>
              <w:top w:val="nil"/>
              <w:left w:val="nil"/>
              <w:bottom w:val="single" w:sz="4" w:space="0" w:color="auto"/>
              <w:right w:val="nil"/>
            </w:tcBorders>
          </w:tcPr>
          <w:p w14:paraId="50DF77EE"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50" w:type="dxa"/>
            <w:tcBorders>
              <w:top w:val="nil"/>
              <w:left w:val="nil"/>
              <w:bottom w:val="single" w:sz="4" w:space="0" w:color="auto"/>
              <w:right w:val="nil"/>
            </w:tcBorders>
          </w:tcPr>
          <w:p w14:paraId="2808BDBA"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single" w:sz="4" w:space="0" w:color="auto"/>
              <w:right w:val="nil"/>
            </w:tcBorders>
          </w:tcPr>
          <w:p w14:paraId="7263615C"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single" w:sz="4" w:space="0" w:color="auto"/>
              <w:right w:val="nil"/>
            </w:tcBorders>
          </w:tcPr>
          <w:p w14:paraId="699AE9A0"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single" w:sz="4" w:space="0" w:color="auto"/>
              <w:right w:val="nil"/>
            </w:tcBorders>
          </w:tcPr>
          <w:p w14:paraId="77018BD8"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single" w:sz="4" w:space="0" w:color="auto"/>
              <w:right w:val="nil"/>
            </w:tcBorders>
          </w:tcPr>
          <w:p w14:paraId="115ECCD1"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(0.021)</w:t>
            </w:r>
          </w:p>
        </w:tc>
        <w:tc>
          <w:tcPr>
            <w:tcW w:w="1200" w:type="dxa"/>
            <w:tcBorders>
              <w:top w:val="nil"/>
              <w:left w:val="nil"/>
              <w:bottom w:val="single" w:sz="4" w:space="0" w:color="auto"/>
              <w:right w:val="nil"/>
            </w:tcBorders>
          </w:tcPr>
          <w:p w14:paraId="7CE41E67"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single" w:sz="4" w:space="0" w:color="auto"/>
              <w:right w:val="nil"/>
            </w:tcBorders>
          </w:tcPr>
          <w:p w14:paraId="566F4343"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single" w:sz="4" w:space="0" w:color="auto"/>
              <w:right w:val="nil"/>
            </w:tcBorders>
          </w:tcPr>
          <w:p w14:paraId="05744646"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single" w:sz="4" w:space="0" w:color="auto"/>
              <w:right w:val="nil"/>
            </w:tcBorders>
          </w:tcPr>
          <w:p w14:paraId="58B8923E"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502" w:type="dxa"/>
            <w:tcBorders>
              <w:top w:val="nil"/>
              <w:left w:val="nil"/>
              <w:bottom w:val="single" w:sz="4" w:space="0" w:color="auto"/>
              <w:right w:val="nil"/>
            </w:tcBorders>
          </w:tcPr>
          <w:p w14:paraId="3BCF31CF"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(0.020)</w:t>
            </w:r>
          </w:p>
        </w:tc>
      </w:tr>
      <w:tr w:rsidR="00EC1DF5" w:rsidRPr="00EC1DF5" w14:paraId="591BAB5F" w14:textId="77777777" w:rsidTr="00453380">
        <w:tc>
          <w:tcPr>
            <w:tcW w:w="2108" w:type="dxa"/>
            <w:tcBorders>
              <w:top w:val="single" w:sz="4" w:space="0" w:color="auto"/>
              <w:left w:val="nil"/>
              <w:bottom w:val="nil"/>
              <w:right w:val="nil"/>
            </w:tcBorders>
          </w:tcPr>
          <w:p w14:paraId="79C4A3DC"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 xml:space="preserve"> Obs.</w:t>
            </w:r>
          </w:p>
        </w:tc>
        <w:tc>
          <w:tcPr>
            <w:tcW w:w="1250" w:type="dxa"/>
            <w:tcBorders>
              <w:top w:val="single" w:sz="4" w:space="0" w:color="auto"/>
              <w:left w:val="nil"/>
              <w:bottom w:val="nil"/>
              <w:right w:val="nil"/>
            </w:tcBorders>
          </w:tcPr>
          <w:p w14:paraId="07CF34BF"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4871</w:t>
            </w:r>
          </w:p>
        </w:tc>
        <w:tc>
          <w:tcPr>
            <w:tcW w:w="1200" w:type="dxa"/>
            <w:tcBorders>
              <w:top w:val="single" w:sz="4" w:space="0" w:color="auto"/>
              <w:left w:val="nil"/>
              <w:bottom w:val="nil"/>
              <w:right w:val="nil"/>
            </w:tcBorders>
          </w:tcPr>
          <w:p w14:paraId="332746C0"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4871</w:t>
            </w:r>
          </w:p>
        </w:tc>
        <w:tc>
          <w:tcPr>
            <w:tcW w:w="1200" w:type="dxa"/>
            <w:tcBorders>
              <w:top w:val="single" w:sz="4" w:space="0" w:color="auto"/>
              <w:left w:val="nil"/>
              <w:bottom w:val="nil"/>
              <w:right w:val="nil"/>
            </w:tcBorders>
          </w:tcPr>
          <w:p w14:paraId="04D1F28B"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4871</w:t>
            </w:r>
          </w:p>
        </w:tc>
        <w:tc>
          <w:tcPr>
            <w:tcW w:w="1200" w:type="dxa"/>
            <w:tcBorders>
              <w:top w:val="single" w:sz="4" w:space="0" w:color="auto"/>
              <w:left w:val="nil"/>
              <w:bottom w:val="nil"/>
              <w:right w:val="nil"/>
            </w:tcBorders>
          </w:tcPr>
          <w:p w14:paraId="05527A38"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4871</w:t>
            </w:r>
          </w:p>
        </w:tc>
        <w:tc>
          <w:tcPr>
            <w:tcW w:w="1200" w:type="dxa"/>
            <w:tcBorders>
              <w:top w:val="single" w:sz="4" w:space="0" w:color="auto"/>
              <w:left w:val="nil"/>
              <w:bottom w:val="nil"/>
              <w:right w:val="nil"/>
            </w:tcBorders>
          </w:tcPr>
          <w:p w14:paraId="482760E7"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4871</w:t>
            </w:r>
          </w:p>
        </w:tc>
        <w:tc>
          <w:tcPr>
            <w:tcW w:w="1200" w:type="dxa"/>
            <w:tcBorders>
              <w:top w:val="single" w:sz="4" w:space="0" w:color="auto"/>
              <w:left w:val="nil"/>
              <w:bottom w:val="nil"/>
              <w:right w:val="nil"/>
            </w:tcBorders>
          </w:tcPr>
          <w:p w14:paraId="29BD5E5A"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4871</w:t>
            </w:r>
          </w:p>
        </w:tc>
        <w:tc>
          <w:tcPr>
            <w:tcW w:w="1200" w:type="dxa"/>
            <w:tcBorders>
              <w:top w:val="single" w:sz="4" w:space="0" w:color="auto"/>
              <w:left w:val="nil"/>
              <w:bottom w:val="nil"/>
              <w:right w:val="nil"/>
            </w:tcBorders>
          </w:tcPr>
          <w:p w14:paraId="60D973C4"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4871</w:t>
            </w:r>
          </w:p>
        </w:tc>
        <w:tc>
          <w:tcPr>
            <w:tcW w:w="1200" w:type="dxa"/>
            <w:tcBorders>
              <w:top w:val="single" w:sz="4" w:space="0" w:color="auto"/>
              <w:left w:val="nil"/>
              <w:bottom w:val="nil"/>
              <w:right w:val="nil"/>
            </w:tcBorders>
          </w:tcPr>
          <w:p w14:paraId="113B1493"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4871</w:t>
            </w:r>
          </w:p>
        </w:tc>
        <w:tc>
          <w:tcPr>
            <w:tcW w:w="1200" w:type="dxa"/>
            <w:tcBorders>
              <w:top w:val="single" w:sz="4" w:space="0" w:color="auto"/>
              <w:left w:val="nil"/>
              <w:bottom w:val="nil"/>
              <w:right w:val="nil"/>
            </w:tcBorders>
          </w:tcPr>
          <w:p w14:paraId="2291143C"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4871</w:t>
            </w:r>
          </w:p>
        </w:tc>
        <w:tc>
          <w:tcPr>
            <w:tcW w:w="1502" w:type="dxa"/>
            <w:tcBorders>
              <w:top w:val="single" w:sz="4" w:space="0" w:color="auto"/>
              <w:left w:val="nil"/>
              <w:bottom w:val="nil"/>
              <w:right w:val="nil"/>
            </w:tcBorders>
          </w:tcPr>
          <w:p w14:paraId="32C20A8E"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4871</w:t>
            </w:r>
          </w:p>
        </w:tc>
      </w:tr>
      <w:tr w:rsidR="00EC1DF5" w:rsidRPr="00EC1DF5" w14:paraId="53F63BA1" w14:textId="77777777" w:rsidTr="00453380">
        <w:tc>
          <w:tcPr>
            <w:tcW w:w="2108" w:type="dxa"/>
            <w:tcBorders>
              <w:top w:val="nil"/>
              <w:left w:val="nil"/>
              <w:bottom w:val="nil"/>
              <w:right w:val="nil"/>
            </w:tcBorders>
          </w:tcPr>
          <w:p w14:paraId="158A47C9"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lastRenderedPageBreak/>
              <w:t xml:space="preserve"> R-squared </w:t>
            </w:r>
          </w:p>
        </w:tc>
        <w:tc>
          <w:tcPr>
            <w:tcW w:w="1250" w:type="dxa"/>
            <w:tcBorders>
              <w:top w:val="nil"/>
              <w:left w:val="nil"/>
              <w:bottom w:val="nil"/>
              <w:right w:val="nil"/>
            </w:tcBorders>
          </w:tcPr>
          <w:p w14:paraId="74F0AF8D"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0.439</w:t>
            </w:r>
          </w:p>
        </w:tc>
        <w:tc>
          <w:tcPr>
            <w:tcW w:w="1200" w:type="dxa"/>
            <w:tcBorders>
              <w:top w:val="nil"/>
              <w:left w:val="nil"/>
              <w:bottom w:val="nil"/>
              <w:right w:val="nil"/>
            </w:tcBorders>
          </w:tcPr>
          <w:p w14:paraId="508BA3A4"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0.436</w:t>
            </w:r>
          </w:p>
        </w:tc>
        <w:tc>
          <w:tcPr>
            <w:tcW w:w="1200" w:type="dxa"/>
            <w:tcBorders>
              <w:top w:val="nil"/>
              <w:left w:val="nil"/>
              <w:bottom w:val="nil"/>
              <w:right w:val="nil"/>
            </w:tcBorders>
          </w:tcPr>
          <w:p w14:paraId="1811A851"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0.436</w:t>
            </w:r>
          </w:p>
        </w:tc>
        <w:tc>
          <w:tcPr>
            <w:tcW w:w="1200" w:type="dxa"/>
            <w:tcBorders>
              <w:top w:val="nil"/>
              <w:left w:val="nil"/>
              <w:bottom w:val="nil"/>
              <w:right w:val="nil"/>
            </w:tcBorders>
          </w:tcPr>
          <w:p w14:paraId="7872E7D1"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0.438</w:t>
            </w:r>
          </w:p>
        </w:tc>
        <w:tc>
          <w:tcPr>
            <w:tcW w:w="1200" w:type="dxa"/>
            <w:tcBorders>
              <w:top w:val="nil"/>
              <w:left w:val="nil"/>
              <w:bottom w:val="nil"/>
              <w:right w:val="nil"/>
            </w:tcBorders>
          </w:tcPr>
          <w:p w14:paraId="6B342633"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0.544</w:t>
            </w:r>
          </w:p>
        </w:tc>
        <w:tc>
          <w:tcPr>
            <w:tcW w:w="1200" w:type="dxa"/>
            <w:tcBorders>
              <w:top w:val="nil"/>
              <w:left w:val="nil"/>
              <w:bottom w:val="nil"/>
              <w:right w:val="nil"/>
            </w:tcBorders>
          </w:tcPr>
          <w:p w14:paraId="4AAA544F"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0.389</w:t>
            </w:r>
          </w:p>
        </w:tc>
        <w:tc>
          <w:tcPr>
            <w:tcW w:w="1200" w:type="dxa"/>
            <w:tcBorders>
              <w:top w:val="nil"/>
              <w:left w:val="nil"/>
              <w:bottom w:val="nil"/>
              <w:right w:val="nil"/>
            </w:tcBorders>
          </w:tcPr>
          <w:p w14:paraId="03713631"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0.390</w:t>
            </w:r>
          </w:p>
        </w:tc>
        <w:tc>
          <w:tcPr>
            <w:tcW w:w="1200" w:type="dxa"/>
            <w:tcBorders>
              <w:top w:val="nil"/>
              <w:left w:val="nil"/>
              <w:bottom w:val="nil"/>
              <w:right w:val="nil"/>
            </w:tcBorders>
          </w:tcPr>
          <w:p w14:paraId="2938A0F6"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0.388</w:t>
            </w:r>
          </w:p>
        </w:tc>
        <w:tc>
          <w:tcPr>
            <w:tcW w:w="1200" w:type="dxa"/>
            <w:tcBorders>
              <w:top w:val="nil"/>
              <w:left w:val="nil"/>
              <w:bottom w:val="nil"/>
              <w:right w:val="nil"/>
            </w:tcBorders>
          </w:tcPr>
          <w:p w14:paraId="7C83C8D1"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0.389</w:t>
            </w:r>
          </w:p>
        </w:tc>
        <w:tc>
          <w:tcPr>
            <w:tcW w:w="1502" w:type="dxa"/>
            <w:tcBorders>
              <w:top w:val="nil"/>
              <w:left w:val="nil"/>
              <w:bottom w:val="nil"/>
              <w:right w:val="nil"/>
            </w:tcBorders>
          </w:tcPr>
          <w:p w14:paraId="66BBF6C1"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0.455</w:t>
            </w:r>
          </w:p>
        </w:tc>
      </w:tr>
      <w:tr w:rsidR="00EC1DF5" w:rsidRPr="00EC1DF5" w14:paraId="0E6BD581" w14:textId="77777777" w:rsidTr="00453380">
        <w:tc>
          <w:tcPr>
            <w:tcW w:w="2108" w:type="dxa"/>
            <w:tcBorders>
              <w:top w:val="nil"/>
              <w:left w:val="nil"/>
              <w:right w:val="nil"/>
            </w:tcBorders>
          </w:tcPr>
          <w:p w14:paraId="285A7072"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Industry</w:t>
            </w:r>
          </w:p>
        </w:tc>
        <w:tc>
          <w:tcPr>
            <w:tcW w:w="1250" w:type="dxa"/>
            <w:tcBorders>
              <w:top w:val="nil"/>
              <w:left w:val="nil"/>
              <w:right w:val="nil"/>
            </w:tcBorders>
          </w:tcPr>
          <w:p w14:paraId="3098A0E7"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Yes</w:t>
            </w:r>
          </w:p>
        </w:tc>
        <w:tc>
          <w:tcPr>
            <w:tcW w:w="1200" w:type="dxa"/>
            <w:tcBorders>
              <w:top w:val="nil"/>
              <w:left w:val="nil"/>
              <w:right w:val="nil"/>
            </w:tcBorders>
          </w:tcPr>
          <w:p w14:paraId="6A618F70"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Yes</w:t>
            </w:r>
          </w:p>
        </w:tc>
        <w:tc>
          <w:tcPr>
            <w:tcW w:w="1200" w:type="dxa"/>
            <w:tcBorders>
              <w:top w:val="nil"/>
              <w:left w:val="nil"/>
              <w:right w:val="nil"/>
            </w:tcBorders>
          </w:tcPr>
          <w:p w14:paraId="3BC8AD81"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Yes</w:t>
            </w:r>
          </w:p>
        </w:tc>
        <w:tc>
          <w:tcPr>
            <w:tcW w:w="1200" w:type="dxa"/>
            <w:tcBorders>
              <w:top w:val="nil"/>
              <w:left w:val="nil"/>
              <w:right w:val="nil"/>
            </w:tcBorders>
          </w:tcPr>
          <w:p w14:paraId="1CB50455"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Yes</w:t>
            </w:r>
          </w:p>
        </w:tc>
        <w:tc>
          <w:tcPr>
            <w:tcW w:w="1200" w:type="dxa"/>
            <w:tcBorders>
              <w:top w:val="nil"/>
              <w:left w:val="nil"/>
              <w:right w:val="nil"/>
            </w:tcBorders>
          </w:tcPr>
          <w:p w14:paraId="6773FBE1"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Yes</w:t>
            </w:r>
          </w:p>
        </w:tc>
        <w:tc>
          <w:tcPr>
            <w:tcW w:w="1200" w:type="dxa"/>
            <w:tcBorders>
              <w:top w:val="nil"/>
              <w:left w:val="nil"/>
              <w:right w:val="nil"/>
            </w:tcBorders>
          </w:tcPr>
          <w:p w14:paraId="6792E01F"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Yes</w:t>
            </w:r>
          </w:p>
        </w:tc>
        <w:tc>
          <w:tcPr>
            <w:tcW w:w="1200" w:type="dxa"/>
            <w:tcBorders>
              <w:top w:val="nil"/>
              <w:left w:val="nil"/>
              <w:right w:val="nil"/>
            </w:tcBorders>
          </w:tcPr>
          <w:p w14:paraId="08ACE8FF"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Yes</w:t>
            </w:r>
          </w:p>
        </w:tc>
        <w:tc>
          <w:tcPr>
            <w:tcW w:w="1200" w:type="dxa"/>
            <w:tcBorders>
              <w:top w:val="nil"/>
              <w:left w:val="nil"/>
              <w:right w:val="nil"/>
            </w:tcBorders>
          </w:tcPr>
          <w:p w14:paraId="6C73290B"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Yes</w:t>
            </w:r>
          </w:p>
        </w:tc>
        <w:tc>
          <w:tcPr>
            <w:tcW w:w="1200" w:type="dxa"/>
            <w:tcBorders>
              <w:top w:val="nil"/>
              <w:left w:val="nil"/>
              <w:right w:val="nil"/>
            </w:tcBorders>
          </w:tcPr>
          <w:p w14:paraId="18FA83DC"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Yes</w:t>
            </w:r>
          </w:p>
        </w:tc>
        <w:tc>
          <w:tcPr>
            <w:tcW w:w="1502" w:type="dxa"/>
            <w:tcBorders>
              <w:top w:val="nil"/>
              <w:left w:val="nil"/>
              <w:right w:val="nil"/>
            </w:tcBorders>
          </w:tcPr>
          <w:p w14:paraId="5DA141F2"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Yes</w:t>
            </w:r>
          </w:p>
        </w:tc>
      </w:tr>
      <w:tr w:rsidR="00EC1DF5" w:rsidRPr="00EC1DF5" w14:paraId="2E81FCB9" w14:textId="77777777" w:rsidTr="00453380">
        <w:trPr>
          <w:trHeight w:val="361"/>
        </w:trPr>
        <w:tc>
          <w:tcPr>
            <w:tcW w:w="2108" w:type="dxa"/>
            <w:tcBorders>
              <w:top w:val="nil"/>
              <w:left w:val="nil"/>
              <w:bottom w:val="single" w:sz="4" w:space="0" w:color="auto"/>
              <w:right w:val="nil"/>
            </w:tcBorders>
          </w:tcPr>
          <w:p w14:paraId="59EA819D"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 xml:space="preserve">Year </w:t>
            </w:r>
          </w:p>
        </w:tc>
        <w:tc>
          <w:tcPr>
            <w:tcW w:w="1250" w:type="dxa"/>
            <w:tcBorders>
              <w:top w:val="nil"/>
              <w:left w:val="nil"/>
              <w:bottom w:val="single" w:sz="4" w:space="0" w:color="auto"/>
              <w:right w:val="nil"/>
            </w:tcBorders>
          </w:tcPr>
          <w:p w14:paraId="147B5661"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Yes</w:t>
            </w:r>
          </w:p>
        </w:tc>
        <w:tc>
          <w:tcPr>
            <w:tcW w:w="1200" w:type="dxa"/>
            <w:tcBorders>
              <w:top w:val="nil"/>
              <w:left w:val="nil"/>
              <w:bottom w:val="single" w:sz="4" w:space="0" w:color="auto"/>
              <w:right w:val="nil"/>
            </w:tcBorders>
          </w:tcPr>
          <w:p w14:paraId="5AAD81C2"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Yes</w:t>
            </w:r>
          </w:p>
        </w:tc>
        <w:tc>
          <w:tcPr>
            <w:tcW w:w="1200" w:type="dxa"/>
            <w:tcBorders>
              <w:top w:val="nil"/>
              <w:left w:val="nil"/>
              <w:bottom w:val="single" w:sz="4" w:space="0" w:color="auto"/>
              <w:right w:val="nil"/>
            </w:tcBorders>
          </w:tcPr>
          <w:p w14:paraId="4D57C3FF"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Yes</w:t>
            </w:r>
          </w:p>
        </w:tc>
        <w:tc>
          <w:tcPr>
            <w:tcW w:w="1200" w:type="dxa"/>
            <w:tcBorders>
              <w:top w:val="nil"/>
              <w:left w:val="nil"/>
              <w:bottom w:val="single" w:sz="4" w:space="0" w:color="auto"/>
              <w:right w:val="nil"/>
            </w:tcBorders>
          </w:tcPr>
          <w:p w14:paraId="3B06E348"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Yes</w:t>
            </w:r>
          </w:p>
        </w:tc>
        <w:tc>
          <w:tcPr>
            <w:tcW w:w="1200" w:type="dxa"/>
            <w:tcBorders>
              <w:top w:val="nil"/>
              <w:left w:val="nil"/>
              <w:bottom w:val="single" w:sz="4" w:space="0" w:color="auto"/>
              <w:right w:val="nil"/>
            </w:tcBorders>
          </w:tcPr>
          <w:p w14:paraId="124A0C3D"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Yes</w:t>
            </w:r>
          </w:p>
        </w:tc>
        <w:tc>
          <w:tcPr>
            <w:tcW w:w="1200" w:type="dxa"/>
            <w:tcBorders>
              <w:top w:val="nil"/>
              <w:left w:val="nil"/>
              <w:bottom w:val="single" w:sz="4" w:space="0" w:color="auto"/>
              <w:right w:val="nil"/>
            </w:tcBorders>
          </w:tcPr>
          <w:p w14:paraId="3DC433C9"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Yes</w:t>
            </w:r>
          </w:p>
        </w:tc>
        <w:tc>
          <w:tcPr>
            <w:tcW w:w="1200" w:type="dxa"/>
            <w:tcBorders>
              <w:top w:val="nil"/>
              <w:left w:val="nil"/>
              <w:bottom w:val="single" w:sz="4" w:space="0" w:color="auto"/>
              <w:right w:val="nil"/>
            </w:tcBorders>
          </w:tcPr>
          <w:p w14:paraId="2B0385A1"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Yes</w:t>
            </w:r>
          </w:p>
        </w:tc>
        <w:tc>
          <w:tcPr>
            <w:tcW w:w="1200" w:type="dxa"/>
            <w:tcBorders>
              <w:top w:val="nil"/>
              <w:left w:val="nil"/>
              <w:bottom w:val="single" w:sz="4" w:space="0" w:color="auto"/>
              <w:right w:val="nil"/>
            </w:tcBorders>
          </w:tcPr>
          <w:p w14:paraId="412A42A3"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Yes</w:t>
            </w:r>
          </w:p>
        </w:tc>
        <w:tc>
          <w:tcPr>
            <w:tcW w:w="1200" w:type="dxa"/>
            <w:tcBorders>
              <w:top w:val="nil"/>
              <w:left w:val="nil"/>
              <w:bottom w:val="single" w:sz="4" w:space="0" w:color="auto"/>
              <w:right w:val="nil"/>
            </w:tcBorders>
          </w:tcPr>
          <w:p w14:paraId="0D4B3631"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Yes</w:t>
            </w:r>
          </w:p>
        </w:tc>
        <w:tc>
          <w:tcPr>
            <w:tcW w:w="1502" w:type="dxa"/>
            <w:tcBorders>
              <w:top w:val="nil"/>
              <w:left w:val="nil"/>
              <w:bottom w:val="single" w:sz="4" w:space="0" w:color="auto"/>
              <w:right w:val="nil"/>
            </w:tcBorders>
          </w:tcPr>
          <w:p w14:paraId="196ABA83"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Yes</w:t>
            </w:r>
          </w:p>
        </w:tc>
      </w:tr>
      <w:tr w:rsidR="00AB41CC" w:rsidRPr="00EC1DF5" w14:paraId="33659188" w14:textId="77777777" w:rsidTr="00453380">
        <w:trPr>
          <w:trHeight w:val="361"/>
        </w:trPr>
        <w:tc>
          <w:tcPr>
            <w:tcW w:w="14460" w:type="dxa"/>
            <w:gridSpan w:val="11"/>
            <w:tcBorders>
              <w:top w:val="single" w:sz="4" w:space="0" w:color="auto"/>
              <w:left w:val="nil"/>
              <w:bottom w:val="single" w:sz="4" w:space="0" w:color="auto"/>
              <w:right w:val="nil"/>
            </w:tcBorders>
          </w:tcPr>
          <w:p w14:paraId="4BC90379" w14:textId="77777777" w:rsidR="00AB41CC" w:rsidRPr="00EC1DF5" w:rsidRDefault="00AB41CC" w:rsidP="00453380">
            <w:pPr>
              <w:widowControl w:val="0"/>
              <w:autoSpaceDE w:val="0"/>
              <w:autoSpaceDN w:val="0"/>
              <w:adjustRightInd w:val="0"/>
              <w:spacing w:after="0" w:line="360" w:lineRule="auto"/>
              <w:rPr>
                <w:color w:val="auto"/>
                <w:sz w:val="18"/>
                <w:szCs w:val="18"/>
              </w:rPr>
            </w:pPr>
          </w:p>
          <w:p w14:paraId="7997109F" w14:textId="77777777" w:rsidR="00AB41CC" w:rsidRPr="00EC1DF5" w:rsidRDefault="00AB41CC" w:rsidP="00453380">
            <w:pPr>
              <w:widowControl w:val="0"/>
              <w:autoSpaceDE w:val="0"/>
              <w:autoSpaceDN w:val="0"/>
              <w:adjustRightInd w:val="0"/>
              <w:spacing w:after="0" w:line="360" w:lineRule="auto"/>
              <w:rPr>
                <w:color w:val="auto"/>
                <w:sz w:val="18"/>
                <w:szCs w:val="18"/>
              </w:rPr>
            </w:pPr>
            <w:r w:rsidRPr="00EC1DF5">
              <w:rPr>
                <w:color w:val="auto"/>
                <w:sz w:val="18"/>
                <w:szCs w:val="18"/>
              </w:rPr>
              <w:t xml:space="preserve">In this table, we present the stakeholder engagement interaction with corporate governance pillars on environmental and social sustainability. </w:t>
            </w:r>
            <w:r w:rsidRPr="00EC1DF5">
              <w:rPr>
                <w:b/>
                <w:bCs/>
                <w:color w:val="auto"/>
                <w:sz w:val="18"/>
                <w:szCs w:val="18"/>
              </w:rPr>
              <w:t>Models 1 to 5</w:t>
            </w:r>
            <w:r w:rsidRPr="00EC1DF5">
              <w:rPr>
                <w:color w:val="auto"/>
                <w:sz w:val="18"/>
                <w:szCs w:val="18"/>
              </w:rPr>
              <w:t xml:space="preserve"> represent the stepwise results of the interaction effect on environmental sustainability and </w:t>
            </w:r>
            <w:r w:rsidRPr="00EC1DF5">
              <w:rPr>
                <w:b/>
                <w:bCs/>
                <w:color w:val="auto"/>
                <w:sz w:val="18"/>
                <w:szCs w:val="18"/>
              </w:rPr>
              <w:t>Models 6 to 10</w:t>
            </w:r>
            <w:r w:rsidRPr="00EC1DF5">
              <w:rPr>
                <w:color w:val="auto"/>
                <w:sz w:val="18"/>
                <w:szCs w:val="18"/>
              </w:rPr>
              <w:t xml:space="preserve"> shows stepwise interaction effect on social sustainability. All the control variables used in </w:t>
            </w:r>
            <w:r w:rsidRPr="00EC1DF5">
              <w:rPr>
                <w:b/>
                <w:bCs/>
                <w:color w:val="auto"/>
                <w:sz w:val="18"/>
                <w:szCs w:val="18"/>
              </w:rPr>
              <w:t>Tables 3</w:t>
            </w:r>
            <w:r w:rsidRPr="00EC1DF5">
              <w:rPr>
                <w:color w:val="auto"/>
                <w:sz w:val="18"/>
                <w:szCs w:val="18"/>
              </w:rPr>
              <w:t xml:space="preserve"> </w:t>
            </w:r>
            <w:r w:rsidRPr="00EC1DF5">
              <w:rPr>
                <w:b/>
                <w:bCs/>
                <w:color w:val="auto"/>
                <w:sz w:val="18"/>
                <w:szCs w:val="18"/>
              </w:rPr>
              <w:t>and 4</w:t>
            </w:r>
            <w:r w:rsidRPr="00EC1DF5">
              <w:rPr>
                <w:color w:val="auto"/>
                <w:sz w:val="18"/>
                <w:szCs w:val="18"/>
              </w:rPr>
              <w:t xml:space="preserve"> were included in the full analysis but outputs were omitted in this table. For interaction effects, we employed the two main levels of engagement i.e., low stakeholder engagement (</w:t>
            </w:r>
            <w:r w:rsidRPr="00EC1DF5">
              <w:rPr>
                <w:i/>
                <w:color w:val="auto"/>
                <w:sz w:val="18"/>
                <w:szCs w:val="18"/>
              </w:rPr>
              <w:t>Low Stake</w:t>
            </w:r>
            <w:r w:rsidRPr="00EC1DF5">
              <w:rPr>
                <w:color w:val="auto"/>
                <w:sz w:val="18"/>
                <w:szCs w:val="18"/>
              </w:rPr>
              <w:t>) and high stakeholder engagement (</w:t>
            </w:r>
            <w:r w:rsidRPr="00EC1DF5">
              <w:rPr>
                <w:i/>
                <w:color w:val="auto"/>
                <w:sz w:val="18"/>
                <w:szCs w:val="18"/>
              </w:rPr>
              <w:t>High Stake</w:t>
            </w:r>
            <w:r w:rsidRPr="00EC1DF5">
              <w:rPr>
                <w:color w:val="auto"/>
                <w:sz w:val="18"/>
                <w:szCs w:val="18"/>
              </w:rPr>
              <w:t>) to interact with all five independent variables (</w:t>
            </w:r>
            <w:r w:rsidRPr="00EC1DF5">
              <w:rPr>
                <w:i/>
                <w:color w:val="auto"/>
                <w:sz w:val="18"/>
                <w:szCs w:val="18"/>
              </w:rPr>
              <w:t>BF, BST, BS, BSR</w:t>
            </w:r>
            <w:r w:rsidRPr="00EC1DF5">
              <w:rPr>
                <w:color w:val="auto"/>
                <w:sz w:val="18"/>
                <w:szCs w:val="18"/>
              </w:rPr>
              <w:t xml:space="preserve"> and </w:t>
            </w:r>
            <w:r w:rsidRPr="00EC1DF5">
              <w:rPr>
                <w:i/>
                <w:color w:val="auto"/>
                <w:sz w:val="18"/>
                <w:szCs w:val="18"/>
              </w:rPr>
              <w:t>BSTR</w:t>
            </w:r>
            <w:r w:rsidRPr="00EC1DF5">
              <w:rPr>
                <w:color w:val="auto"/>
                <w:sz w:val="18"/>
                <w:szCs w:val="18"/>
              </w:rPr>
              <w:t>). Due to the skewness in the stakeholder engagement variable at the extreme ends, we could only group into low and high engagements.</w:t>
            </w:r>
          </w:p>
        </w:tc>
      </w:tr>
      <w:bookmarkEnd w:id="6"/>
    </w:tbl>
    <w:p w14:paraId="5A8CEC4A" w14:textId="77777777" w:rsidR="00AB41CC" w:rsidRPr="00EC1DF5" w:rsidRDefault="00AB41CC" w:rsidP="00AB41CC">
      <w:pPr>
        <w:rPr>
          <w:color w:val="auto"/>
        </w:rPr>
        <w:sectPr w:rsidR="00AB41CC" w:rsidRPr="00EC1DF5" w:rsidSect="007512D8">
          <w:type w:val="continuous"/>
          <w:pgSz w:w="16838" w:h="11906" w:orient="landscape"/>
          <w:pgMar w:top="567" w:right="567" w:bottom="567" w:left="567" w:header="708" w:footer="708" w:gutter="0"/>
          <w:cols w:space="708"/>
          <w:docGrid w:linePitch="360"/>
        </w:sectPr>
      </w:pPr>
    </w:p>
    <w:p w14:paraId="6B51C393" w14:textId="77777777" w:rsidR="00AB41CC" w:rsidRPr="00EC1DF5" w:rsidRDefault="00AB41CC" w:rsidP="00AB41CC">
      <w:pPr>
        <w:pStyle w:val="Caption"/>
        <w:keepNext/>
        <w:rPr>
          <w:color w:val="auto"/>
        </w:rPr>
      </w:pPr>
      <w:r w:rsidRPr="00EC1DF5">
        <w:rPr>
          <w:b/>
          <w:i w:val="0"/>
          <w:color w:val="auto"/>
          <w:sz w:val="20"/>
          <w:szCs w:val="20"/>
        </w:rPr>
        <w:lastRenderedPageBreak/>
        <w:t xml:space="preserve">            Table 8</w:t>
      </w:r>
      <w:r w:rsidRPr="00EC1DF5">
        <w:rPr>
          <w:color w:val="auto"/>
          <w:sz w:val="20"/>
          <w:szCs w:val="20"/>
        </w:rPr>
        <w:t>:</w:t>
      </w:r>
      <w:r w:rsidRPr="00EC1DF5">
        <w:rPr>
          <w:b/>
          <w:i w:val="0"/>
          <w:color w:val="auto"/>
          <w:sz w:val="20"/>
          <w:szCs w:val="20"/>
        </w:rPr>
        <w:t xml:space="preserve"> The Role of Stakeholder Engagement (Financial Sustainability – Tobin’s Q)</w:t>
      </w:r>
    </w:p>
    <w:tbl>
      <w:tblPr>
        <w:tblpPr w:leftFromText="180" w:rightFromText="180" w:vertAnchor="text" w:horzAnchor="page" w:tblpX="1121" w:tblpY="205"/>
        <w:tblW w:w="0" w:type="auto"/>
        <w:tblLayout w:type="fixed"/>
        <w:tblLook w:val="0000" w:firstRow="0" w:lastRow="0" w:firstColumn="0" w:lastColumn="0" w:noHBand="0" w:noVBand="0"/>
      </w:tblPr>
      <w:tblGrid>
        <w:gridCol w:w="2108"/>
        <w:gridCol w:w="1250"/>
        <w:gridCol w:w="1200"/>
        <w:gridCol w:w="1200"/>
        <w:gridCol w:w="1200"/>
        <w:gridCol w:w="1200"/>
      </w:tblGrid>
      <w:tr w:rsidR="00EC1DF5" w:rsidRPr="00EC1DF5" w14:paraId="0F83B80A" w14:textId="77777777" w:rsidTr="00453380">
        <w:trPr>
          <w:trHeight w:val="266"/>
        </w:trPr>
        <w:tc>
          <w:tcPr>
            <w:tcW w:w="2108" w:type="dxa"/>
            <w:tcBorders>
              <w:top w:val="single" w:sz="4" w:space="0" w:color="auto"/>
              <w:left w:val="nil"/>
              <w:bottom w:val="single" w:sz="4" w:space="0" w:color="auto"/>
              <w:right w:val="nil"/>
            </w:tcBorders>
            <w:vAlign w:val="center"/>
          </w:tcPr>
          <w:p w14:paraId="3AC8BF6F" w14:textId="77777777" w:rsidR="00AB41CC" w:rsidRPr="00EC1DF5" w:rsidRDefault="00AB41CC" w:rsidP="00453380">
            <w:pPr>
              <w:widowControl w:val="0"/>
              <w:autoSpaceDE w:val="0"/>
              <w:autoSpaceDN w:val="0"/>
              <w:adjustRightInd w:val="0"/>
              <w:spacing w:after="0" w:line="240" w:lineRule="auto"/>
              <w:jc w:val="center"/>
              <w:rPr>
                <w:color w:val="auto"/>
                <w:sz w:val="18"/>
                <w:szCs w:val="18"/>
              </w:rPr>
            </w:pPr>
          </w:p>
        </w:tc>
        <w:tc>
          <w:tcPr>
            <w:tcW w:w="1250" w:type="dxa"/>
            <w:tcBorders>
              <w:top w:val="single" w:sz="4" w:space="0" w:color="auto"/>
              <w:left w:val="nil"/>
              <w:bottom w:val="single" w:sz="4" w:space="0" w:color="auto"/>
              <w:right w:val="nil"/>
            </w:tcBorders>
            <w:vAlign w:val="center"/>
          </w:tcPr>
          <w:p w14:paraId="4264E7DB"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(1)</w:t>
            </w:r>
          </w:p>
        </w:tc>
        <w:tc>
          <w:tcPr>
            <w:tcW w:w="1200" w:type="dxa"/>
            <w:tcBorders>
              <w:top w:val="single" w:sz="4" w:space="0" w:color="auto"/>
              <w:left w:val="nil"/>
              <w:bottom w:val="single" w:sz="4" w:space="0" w:color="auto"/>
              <w:right w:val="nil"/>
            </w:tcBorders>
            <w:vAlign w:val="center"/>
          </w:tcPr>
          <w:p w14:paraId="341F90EE"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(2)</w:t>
            </w:r>
          </w:p>
        </w:tc>
        <w:tc>
          <w:tcPr>
            <w:tcW w:w="1200" w:type="dxa"/>
            <w:tcBorders>
              <w:top w:val="single" w:sz="4" w:space="0" w:color="auto"/>
              <w:left w:val="nil"/>
              <w:bottom w:val="single" w:sz="4" w:space="0" w:color="auto"/>
              <w:right w:val="nil"/>
            </w:tcBorders>
            <w:vAlign w:val="center"/>
          </w:tcPr>
          <w:p w14:paraId="3A07C22B"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(3)</w:t>
            </w:r>
          </w:p>
        </w:tc>
        <w:tc>
          <w:tcPr>
            <w:tcW w:w="1200" w:type="dxa"/>
            <w:tcBorders>
              <w:top w:val="single" w:sz="4" w:space="0" w:color="auto"/>
              <w:left w:val="nil"/>
              <w:bottom w:val="single" w:sz="4" w:space="0" w:color="auto"/>
              <w:right w:val="nil"/>
            </w:tcBorders>
            <w:vAlign w:val="center"/>
          </w:tcPr>
          <w:p w14:paraId="56B0BEF1"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(4)</w:t>
            </w:r>
          </w:p>
        </w:tc>
        <w:tc>
          <w:tcPr>
            <w:tcW w:w="1200" w:type="dxa"/>
            <w:tcBorders>
              <w:top w:val="single" w:sz="4" w:space="0" w:color="auto"/>
              <w:left w:val="nil"/>
              <w:bottom w:val="single" w:sz="4" w:space="0" w:color="auto"/>
              <w:right w:val="nil"/>
            </w:tcBorders>
            <w:vAlign w:val="center"/>
          </w:tcPr>
          <w:p w14:paraId="5599FCCA"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(5)</w:t>
            </w:r>
          </w:p>
        </w:tc>
      </w:tr>
      <w:tr w:rsidR="00EC1DF5" w:rsidRPr="00EC1DF5" w14:paraId="24458E15" w14:textId="77777777" w:rsidTr="00453380">
        <w:tc>
          <w:tcPr>
            <w:tcW w:w="2108" w:type="dxa"/>
            <w:tcBorders>
              <w:top w:val="single" w:sz="4" w:space="0" w:color="auto"/>
              <w:left w:val="nil"/>
              <w:bottom w:val="nil"/>
              <w:right w:val="nil"/>
            </w:tcBorders>
            <w:vAlign w:val="center"/>
          </w:tcPr>
          <w:p w14:paraId="4B380544"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i/>
                <w:color w:val="auto"/>
                <w:sz w:val="18"/>
                <w:szCs w:val="18"/>
              </w:rPr>
              <w:t>BF</w:t>
            </w:r>
          </w:p>
        </w:tc>
        <w:tc>
          <w:tcPr>
            <w:tcW w:w="1250" w:type="dxa"/>
            <w:tcBorders>
              <w:top w:val="single" w:sz="4" w:space="0" w:color="auto"/>
              <w:left w:val="nil"/>
              <w:bottom w:val="nil"/>
              <w:right w:val="nil"/>
            </w:tcBorders>
            <w:vAlign w:val="center"/>
          </w:tcPr>
          <w:p w14:paraId="3F2ECCEE"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-0.194</w:t>
            </w:r>
          </w:p>
        </w:tc>
        <w:tc>
          <w:tcPr>
            <w:tcW w:w="1200" w:type="dxa"/>
            <w:tcBorders>
              <w:top w:val="single" w:sz="4" w:space="0" w:color="auto"/>
              <w:left w:val="nil"/>
              <w:bottom w:val="nil"/>
              <w:right w:val="nil"/>
            </w:tcBorders>
            <w:vAlign w:val="center"/>
          </w:tcPr>
          <w:p w14:paraId="0178AE64"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single" w:sz="4" w:space="0" w:color="auto"/>
              <w:left w:val="nil"/>
              <w:bottom w:val="nil"/>
              <w:right w:val="nil"/>
            </w:tcBorders>
            <w:vAlign w:val="center"/>
          </w:tcPr>
          <w:p w14:paraId="0DC6E356"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single" w:sz="4" w:space="0" w:color="auto"/>
              <w:left w:val="nil"/>
              <w:bottom w:val="nil"/>
              <w:right w:val="nil"/>
            </w:tcBorders>
            <w:vAlign w:val="center"/>
          </w:tcPr>
          <w:p w14:paraId="220C05C7"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single" w:sz="4" w:space="0" w:color="auto"/>
              <w:left w:val="nil"/>
              <w:bottom w:val="nil"/>
              <w:right w:val="nil"/>
            </w:tcBorders>
            <w:vAlign w:val="center"/>
          </w:tcPr>
          <w:p w14:paraId="424676BA" w14:textId="77777777" w:rsidR="00AB41CC" w:rsidRPr="00EC1DF5" w:rsidRDefault="00AB41CC" w:rsidP="00453380">
            <w:pPr>
              <w:widowControl w:val="0"/>
              <w:autoSpaceDE w:val="0"/>
              <w:autoSpaceDN w:val="0"/>
              <w:adjustRightInd w:val="0"/>
              <w:spacing w:after="0" w:line="240" w:lineRule="auto"/>
              <w:rPr>
                <w:color w:val="auto"/>
                <w:sz w:val="18"/>
                <w:szCs w:val="18"/>
              </w:rPr>
            </w:pPr>
          </w:p>
        </w:tc>
      </w:tr>
      <w:tr w:rsidR="00EC1DF5" w:rsidRPr="00EC1DF5" w14:paraId="3D903110" w14:textId="77777777" w:rsidTr="00453380">
        <w:tc>
          <w:tcPr>
            <w:tcW w:w="2108" w:type="dxa"/>
            <w:tcBorders>
              <w:top w:val="nil"/>
              <w:left w:val="nil"/>
              <w:bottom w:val="nil"/>
              <w:right w:val="nil"/>
            </w:tcBorders>
            <w:vAlign w:val="center"/>
          </w:tcPr>
          <w:p w14:paraId="1B6888F5"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50" w:type="dxa"/>
            <w:tcBorders>
              <w:top w:val="nil"/>
              <w:left w:val="nil"/>
              <w:bottom w:val="nil"/>
              <w:right w:val="nil"/>
            </w:tcBorders>
            <w:vAlign w:val="center"/>
          </w:tcPr>
          <w:p w14:paraId="145AE3DE"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(0.182)</w:t>
            </w:r>
          </w:p>
        </w:tc>
        <w:tc>
          <w:tcPr>
            <w:tcW w:w="1200" w:type="dxa"/>
            <w:tcBorders>
              <w:top w:val="nil"/>
              <w:left w:val="nil"/>
              <w:bottom w:val="nil"/>
              <w:right w:val="nil"/>
            </w:tcBorders>
            <w:vAlign w:val="center"/>
          </w:tcPr>
          <w:p w14:paraId="7DE46C59"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3F1D9515"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6CED1F1E"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5FCFAF98" w14:textId="77777777" w:rsidR="00AB41CC" w:rsidRPr="00EC1DF5" w:rsidRDefault="00AB41CC" w:rsidP="00453380">
            <w:pPr>
              <w:widowControl w:val="0"/>
              <w:autoSpaceDE w:val="0"/>
              <w:autoSpaceDN w:val="0"/>
              <w:adjustRightInd w:val="0"/>
              <w:spacing w:after="0" w:line="240" w:lineRule="auto"/>
              <w:rPr>
                <w:color w:val="auto"/>
                <w:sz w:val="18"/>
                <w:szCs w:val="18"/>
              </w:rPr>
            </w:pPr>
          </w:p>
        </w:tc>
      </w:tr>
      <w:tr w:rsidR="00EC1DF5" w:rsidRPr="00EC1DF5" w14:paraId="1AE20EB7" w14:textId="77777777" w:rsidTr="00453380">
        <w:tc>
          <w:tcPr>
            <w:tcW w:w="2108" w:type="dxa"/>
            <w:tcBorders>
              <w:top w:val="nil"/>
              <w:left w:val="nil"/>
              <w:bottom w:val="nil"/>
              <w:right w:val="nil"/>
            </w:tcBorders>
            <w:vAlign w:val="center"/>
          </w:tcPr>
          <w:p w14:paraId="5FB6FA4B" w14:textId="77777777" w:rsidR="00AB41CC" w:rsidRPr="00EC1DF5" w:rsidRDefault="00AB41CC" w:rsidP="00453380">
            <w:pPr>
              <w:widowControl w:val="0"/>
              <w:autoSpaceDE w:val="0"/>
              <w:autoSpaceDN w:val="0"/>
              <w:adjustRightInd w:val="0"/>
              <w:spacing w:after="0" w:line="240" w:lineRule="auto"/>
              <w:ind w:firstLine="175"/>
              <w:rPr>
                <w:color w:val="auto"/>
                <w:sz w:val="18"/>
                <w:szCs w:val="18"/>
              </w:rPr>
            </w:pPr>
            <w:r w:rsidRPr="00EC1DF5">
              <w:rPr>
                <w:color w:val="auto"/>
                <w:sz w:val="18"/>
                <w:szCs w:val="18"/>
              </w:rPr>
              <w:t xml:space="preserve">Low Stake X </w:t>
            </w:r>
            <w:r w:rsidRPr="00EC1DF5">
              <w:rPr>
                <w:i/>
                <w:color w:val="auto"/>
                <w:sz w:val="18"/>
                <w:szCs w:val="18"/>
              </w:rPr>
              <w:t>BF</w:t>
            </w:r>
          </w:p>
        </w:tc>
        <w:tc>
          <w:tcPr>
            <w:tcW w:w="1250" w:type="dxa"/>
            <w:tcBorders>
              <w:top w:val="nil"/>
              <w:left w:val="nil"/>
              <w:bottom w:val="nil"/>
              <w:right w:val="nil"/>
            </w:tcBorders>
            <w:vAlign w:val="center"/>
          </w:tcPr>
          <w:p w14:paraId="09ACF407"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0.110</w:t>
            </w:r>
          </w:p>
        </w:tc>
        <w:tc>
          <w:tcPr>
            <w:tcW w:w="1200" w:type="dxa"/>
            <w:tcBorders>
              <w:top w:val="nil"/>
              <w:left w:val="nil"/>
              <w:bottom w:val="nil"/>
              <w:right w:val="nil"/>
            </w:tcBorders>
            <w:vAlign w:val="center"/>
          </w:tcPr>
          <w:p w14:paraId="4B1A6FC8"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503F312F"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234EB6A3"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1DC14789" w14:textId="77777777" w:rsidR="00AB41CC" w:rsidRPr="00EC1DF5" w:rsidRDefault="00AB41CC" w:rsidP="00453380">
            <w:pPr>
              <w:widowControl w:val="0"/>
              <w:autoSpaceDE w:val="0"/>
              <w:autoSpaceDN w:val="0"/>
              <w:adjustRightInd w:val="0"/>
              <w:spacing w:after="0" w:line="240" w:lineRule="auto"/>
              <w:rPr>
                <w:color w:val="auto"/>
                <w:sz w:val="18"/>
                <w:szCs w:val="18"/>
              </w:rPr>
            </w:pPr>
          </w:p>
        </w:tc>
      </w:tr>
      <w:tr w:rsidR="00EC1DF5" w:rsidRPr="00EC1DF5" w14:paraId="36204D16" w14:textId="77777777" w:rsidTr="00453380">
        <w:tc>
          <w:tcPr>
            <w:tcW w:w="2108" w:type="dxa"/>
            <w:tcBorders>
              <w:top w:val="nil"/>
              <w:left w:val="nil"/>
              <w:bottom w:val="nil"/>
              <w:right w:val="nil"/>
            </w:tcBorders>
            <w:vAlign w:val="center"/>
          </w:tcPr>
          <w:p w14:paraId="6D5B41F1" w14:textId="77777777" w:rsidR="00AB41CC" w:rsidRPr="00EC1DF5" w:rsidRDefault="00AB41CC" w:rsidP="00453380">
            <w:pPr>
              <w:widowControl w:val="0"/>
              <w:autoSpaceDE w:val="0"/>
              <w:autoSpaceDN w:val="0"/>
              <w:adjustRightInd w:val="0"/>
              <w:spacing w:after="0" w:line="240" w:lineRule="auto"/>
              <w:ind w:firstLine="175"/>
              <w:rPr>
                <w:color w:val="auto"/>
                <w:sz w:val="18"/>
                <w:szCs w:val="18"/>
              </w:rPr>
            </w:pPr>
          </w:p>
        </w:tc>
        <w:tc>
          <w:tcPr>
            <w:tcW w:w="1250" w:type="dxa"/>
            <w:tcBorders>
              <w:top w:val="nil"/>
              <w:left w:val="nil"/>
              <w:bottom w:val="nil"/>
              <w:right w:val="nil"/>
            </w:tcBorders>
            <w:vAlign w:val="center"/>
          </w:tcPr>
          <w:p w14:paraId="60FDB4FB"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(0.095)</w:t>
            </w:r>
          </w:p>
        </w:tc>
        <w:tc>
          <w:tcPr>
            <w:tcW w:w="1200" w:type="dxa"/>
            <w:tcBorders>
              <w:top w:val="nil"/>
              <w:left w:val="nil"/>
              <w:bottom w:val="nil"/>
              <w:right w:val="nil"/>
            </w:tcBorders>
            <w:vAlign w:val="center"/>
          </w:tcPr>
          <w:p w14:paraId="0014F9E6"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3FC39192"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4CB45D8A"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3E7553E5" w14:textId="77777777" w:rsidR="00AB41CC" w:rsidRPr="00EC1DF5" w:rsidRDefault="00AB41CC" w:rsidP="00453380">
            <w:pPr>
              <w:widowControl w:val="0"/>
              <w:autoSpaceDE w:val="0"/>
              <w:autoSpaceDN w:val="0"/>
              <w:adjustRightInd w:val="0"/>
              <w:spacing w:after="0" w:line="240" w:lineRule="auto"/>
              <w:rPr>
                <w:color w:val="auto"/>
                <w:sz w:val="18"/>
                <w:szCs w:val="18"/>
              </w:rPr>
            </w:pPr>
          </w:p>
        </w:tc>
      </w:tr>
      <w:tr w:rsidR="00EC1DF5" w:rsidRPr="00EC1DF5" w14:paraId="35DCCB23" w14:textId="77777777" w:rsidTr="00453380">
        <w:tc>
          <w:tcPr>
            <w:tcW w:w="2108" w:type="dxa"/>
            <w:tcBorders>
              <w:top w:val="nil"/>
              <w:left w:val="nil"/>
              <w:bottom w:val="nil"/>
              <w:right w:val="nil"/>
            </w:tcBorders>
            <w:vAlign w:val="center"/>
          </w:tcPr>
          <w:p w14:paraId="103A171E" w14:textId="77777777" w:rsidR="00AB41CC" w:rsidRPr="00EC1DF5" w:rsidRDefault="00AB41CC" w:rsidP="00453380">
            <w:pPr>
              <w:widowControl w:val="0"/>
              <w:autoSpaceDE w:val="0"/>
              <w:autoSpaceDN w:val="0"/>
              <w:adjustRightInd w:val="0"/>
              <w:spacing w:after="0" w:line="240" w:lineRule="auto"/>
              <w:ind w:firstLine="175"/>
              <w:rPr>
                <w:color w:val="auto"/>
                <w:sz w:val="18"/>
                <w:szCs w:val="18"/>
              </w:rPr>
            </w:pPr>
            <w:r w:rsidRPr="00EC1DF5">
              <w:rPr>
                <w:color w:val="auto"/>
                <w:sz w:val="18"/>
                <w:szCs w:val="18"/>
              </w:rPr>
              <w:t xml:space="preserve">High Stake X </w:t>
            </w:r>
            <w:r w:rsidRPr="00EC1DF5">
              <w:rPr>
                <w:i/>
                <w:color w:val="auto"/>
                <w:sz w:val="18"/>
                <w:szCs w:val="18"/>
              </w:rPr>
              <w:t>BF</w:t>
            </w:r>
          </w:p>
        </w:tc>
        <w:tc>
          <w:tcPr>
            <w:tcW w:w="1250" w:type="dxa"/>
            <w:tcBorders>
              <w:top w:val="nil"/>
              <w:left w:val="nil"/>
              <w:bottom w:val="nil"/>
              <w:right w:val="nil"/>
            </w:tcBorders>
            <w:vAlign w:val="center"/>
          </w:tcPr>
          <w:p w14:paraId="1F959060"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0.198***</w:t>
            </w:r>
          </w:p>
        </w:tc>
        <w:tc>
          <w:tcPr>
            <w:tcW w:w="1200" w:type="dxa"/>
            <w:tcBorders>
              <w:top w:val="nil"/>
              <w:left w:val="nil"/>
              <w:bottom w:val="nil"/>
              <w:right w:val="nil"/>
            </w:tcBorders>
            <w:vAlign w:val="center"/>
          </w:tcPr>
          <w:p w14:paraId="47D06860"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2140F8E1"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54988696"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7A7000D4" w14:textId="77777777" w:rsidR="00AB41CC" w:rsidRPr="00EC1DF5" w:rsidRDefault="00AB41CC" w:rsidP="00453380">
            <w:pPr>
              <w:widowControl w:val="0"/>
              <w:autoSpaceDE w:val="0"/>
              <w:autoSpaceDN w:val="0"/>
              <w:adjustRightInd w:val="0"/>
              <w:spacing w:after="0" w:line="240" w:lineRule="auto"/>
              <w:rPr>
                <w:color w:val="auto"/>
                <w:sz w:val="18"/>
                <w:szCs w:val="18"/>
              </w:rPr>
            </w:pPr>
          </w:p>
        </w:tc>
      </w:tr>
      <w:tr w:rsidR="00EC1DF5" w:rsidRPr="00EC1DF5" w14:paraId="03B719C3" w14:textId="77777777" w:rsidTr="00453380">
        <w:tc>
          <w:tcPr>
            <w:tcW w:w="2108" w:type="dxa"/>
            <w:tcBorders>
              <w:top w:val="nil"/>
              <w:left w:val="nil"/>
              <w:bottom w:val="nil"/>
              <w:right w:val="nil"/>
            </w:tcBorders>
            <w:vAlign w:val="center"/>
          </w:tcPr>
          <w:p w14:paraId="7269DCF2"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50" w:type="dxa"/>
            <w:tcBorders>
              <w:top w:val="nil"/>
              <w:left w:val="nil"/>
              <w:bottom w:val="nil"/>
              <w:right w:val="nil"/>
            </w:tcBorders>
            <w:vAlign w:val="center"/>
          </w:tcPr>
          <w:p w14:paraId="624E2AF2"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(0.072)</w:t>
            </w:r>
          </w:p>
        </w:tc>
        <w:tc>
          <w:tcPr>
            <w:tcW w:w="1200" w:type="dxa"/>
            <w:tcBorders>
              <w:top w:val="nil"/>
              <w:left w:val="nil"/>
              <w:bottom w:val="nil"/>
              <w:right w:val="nil"/>
            </w:tcBorders>
            <w:vAlign w:val="center"/>
          </w:tcPr>
          <w:p w14:paraId="6BD269A4"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022BAFB8"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6100D220"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7789FCE0" w14:textId="77777777" w:rsidR="00AB41CC" w:rsidRPr="00EC1DF5" w:rsidRDefault="00AB41CC" w:rsidP="00453380">
            <w:pPr>
              <w:widowControl w:val="0"/>
              <w:autoSpaceDE w:val="0"/>
              <w:autoSpaceDN w:val="0"/>
              <w:adjustRightInd w:val="0"/>
              <w:spacing w:after="0" w:line="240" w:lineRule="auto"/>
              <w:rPr>
                <w:color w:val="auto"/>
                <w:sz w:val="18"/>
                <w:szCs w:val="18"/>
              </w:rPr>
            </w:pPr>
          </w:p>
        </w:tc>
      </w:tr>
      <w:tr w:rsidR="00EC1DF5" w:rsidRPr="00EC1DF5" w14:paraId="374323AC" w14:textId="77777777" w:rsidTr="00453380">
        <w:tc>
          <w:tcPr>
            <w:tcW w:w="2108" w:type="dxa"/>
            <w:tcBorders>
              <w:top w:val="nil"/>
              <w:left w:val="nil"/>
              <w:bottom w:val="nil"/>
              <w:right w:val="nil"/>
            </w:tcBorders>
            <w:vAlign w:val="center"/>
          </w:tcPr>
          <w:p w14:paraId="2263EF09"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i/>
                <w:color w:val="auto"/>
                <w:sz w:val="18"/>
                <w:szCs w:val="18"/>
              </w:rPr>
              <w:t>BST</w:t>
            </w:r>
          </w:p>
        </w:tc>
        <w:tc>
          <w:tcPr>
            <w:tcW w:w="1250" w:type="dxa"/>
            <w:tcBorders>
              <w:top w:val="nil"/>
              <w:left w:val="nil"/>
              <w:bottom w:val="nil"/>
              <w:right w:val="nil"/>
            </w:tcBorders>
            <w:vAlign w:val="center"/>
          </w:tcPr>
          <w:p w14:paraId="6ED5F1A7"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20A47527"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0.160</w:t>
            </w:r>
          </w:p>
        </w:tc>
        <w:tc>
          <w:tcPr>
            <w:tcW w:w="1200" w:type="dxa"/>
            <w:tcBorders>
              <w:top w:val="nil"/>
              <w:left w:val="nil"/>
              <w:bottom w:val="nil"/>
              <w:right w:val="nil"/>
            </w:tcBorders>
            <w:vAlign w:val="center"/>
          </w:tcPr>
          <w:p w14:paraId="602F18C8"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09D692AB"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07C54DB7" w14:textId="77777777" w:rsidR="00AB41CC" w:rsidRPr="00EC1DF5" w:rsidRDefault="00AB41CC" w:rsidP="00453380">
            <w:pPr>
              <w:widowControl w:val="0"/>
              <w:autoSpaceDE w:val="0"/>
              <w:autoSpaceDN w:val="0"/>
              <w:adjustRightInd w:val="0"/>
              <w:spacing w:after="0" w:line="240" w:lineRule="auto"/>
              <w:rPr>
                <w:color w:val="auto"/>
                <w:sz w:val="18"/>
                <w:szCs w:val="18"/>
              </w:rPr>
            </w:pPr>
          </w:p>
        </w:tc>
      </w:tr>
      <w:tr w:rsidR="00EC1DF5" w:rsidRPr="00EC1DF5" w14:paraId="3C668383" w14:textId="77777777" w:rsidTr="00453380">
        <w:tc>
          <w:tcPr>
            <w:tcW w:w="2108" w:type="dxa"/>
            <w:tcBorders>
              <w:top w:val="nil"/>
              <w:left w:val="nil"/>
              <w:bottom w:val="nil"/>
              <w:right w:val="nil"/>
            </w:tcBorders>
            <w:vAlign w:val="center"/>
          </w:tcPr>
          <w:p w14:paraId="25BC4E2F"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50" w:type="dxa"/>
            <w:tcBorders>
              <w:top w:val="nil"/>
              <w:left w:val="nil"/>
              <w:bottom w:val="nil"/>
              <w:right w:val="nil"/>
            </w:tcBorders>
            <w:vAlign w:val="center"/>
          </w:tcPr>
          <w:p w14:paraId="44102C9A"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3B8BED62"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(0.189)</w:t>
            </w:r>
          </w:p>
        </w:tc>
        <w:tc>
          <w:tcPr>
            <w:tcW w:w="1200" w:type="dxa"/>
            <w:tcBorders>
              <w:top w:val="nil"/>
              <w:left w:val="nil"/>
              <w:bottom w:val="nil"/>
              <w:right w:val="nil"/>
            </w:tcBorders>
            <w:vAlign w:val="center"/>
          </w:tcPr>
          <w:p w14:paraId="021E8F7D"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69735B71"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0987DE44" w14:textId="77777777" w:rsidR="00AB41CC" w:rsidRPr="00EC1DF5" w:rsidRDefault="00AB41CC" w:rsidP="00453380">
            <w:pPr>
              <w:widowControl w:val="0"/>
              <w:autoSpaceDE w:val="0"/>
              <w:autoSpaceDN w:val="0"/>
              <w:adjustRightInd w:val="0"/>
              <w:spacing w:after="0" w:line="240" w:lineRule="auto"/>
              <w:rPr>
                <w:color w:val="auto"/>
                <w:sz w:val="18"/>
                <w:szCs w:val="18"/>
              </w:rPr>
            </w:pPr>
          </w:p>
        </w:tc>
      </w:tr>
      <w:tr w:rsidR="00EC1DF5" w:rsidRPr="00EC1DF5" w14:paraId="4F8A9706" w14:textId="77777777" w:rsidTr="00453380">
        <w:tc>
          <w:tcPr>
            <w:tcW w:w="2108" w:type="dxa"/>
            <w:tcBorders>
              <w:top w:val="nil"/>
              <w:left w:val="nil"/>
              <w:bottom w:val="nil"/>
              <w:right w:val="nil"/>
            </w:tcBorders>
            <w:vAlign w:val="center"/>
          </w:tcPr>
          <w:p w14:paraId="43D003E5" w14:textId="77777777" w:rsidR="00AB41CC" w:rsidRPr="00EC1DF5" w:rsidRDefault="00AB41CC" w:rsidP="00453380">
            <w:pPr>
              <w:widowControl w:val="0"/>
              <w:autoSpaceDE w:val="0"/>
              <w:autoSpaceDN w:val="0"/>
              <w:adjustRightInd w:val="0"/>
              <w:spacing w:after="0" w:line="240" w:lineRule="auto"/>
              <w:ind w:firstLine="175"/>
              <w:rPr>
                <w:color w:val="auto"/>
                <w:sz w:val="18"/>
                <w:szCs w:val="18"/>
              </w:rPr>
            </w:pPr>
            <w:r w:rsidRPr="00EC1DF5">
              <w:rPr>
                <w:color w:val="auto"/>
                <w:sz w:val="18"/>
                <w:szCs w:val="18"/>
              </w:rPr>
              <w:t xml:space="preserve">Low Stake X </w:t>
            </w:r>
            <w:r w:rsidRPr="00EC1DF5">
              <w:rPr>
                <w:i/>
                <w:color w:val="auto"/>
                <w:sz w:val="18"/>
                <w:szCs w:val="18"/>
              </w:rPr>
              <w:t>BF</w:t>
            </w:r>
          </w:p>
        </w:tc>
        <w:tc>
          <w:tcPr>
            <w:tcW w:w="1250" w:type="dxa"/>
            <w:tcBorders>
              <w:top w:val="nil"/>
              <w:left w:val="nil"/>
              <w:bottom w:val="nil"/>
              <w:right w:val="nil"/>
            </w:tcBorders>
            <w:vAlign w:val="center"/>
          </w:tcPr>
          <w:p w14:paraId="1E3230B9"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0683FC75"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0.095</w:t>
            </w:r>
          </w:p>
        </w:tc>
        <w:tc>
          <w:tcPr>
            <w:tcW w:w="1200" w:type="dxa"/>
            <w:tcBorders>
              <w:top w:val="nil"/>
              <w:left w:val="nil"/>
              <w:bottom w:val="nil"/>
              <w:right w:val="nil"/>
            </w:tcBorders>
            <w:vAlign w:val="center"/>
          </w:tcPr>
          <w:p w14:paraId="1078C06A"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037A66EC"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09CB18FF" w14:textId="77777777" w:rsidR="00AB41CC" w:rsidRPr="00EC1DF5" w:rsidRDefault="00AB41CC" w:rsidP="00453380">
            <w:pPr>
              <w:widowControl w:val="0"/>
              <w:autoSpaceDE w:val="0"/>
              <w:autoSpaceDN w:val="0"/>
              <w:adjustRightInd w:val="0"/>
              <w:spacing w:after="0" w:line="240" w:lineRule="auto"/>
              <w:rPr>
                <w:color w:val="auto"/>
                <w:sz w:val="18"/>
                <w:szCs w:val="18"/>
              </w:rPr>
            </w:pPr>
          </w:p>
        </w:tc>
      </w:tr>
      <w:tr w:rsidR="00EC1DF5" w:rsidRPr="00EC1DF5" w14:paraId="76C6742A" w14:textId="77777777" w:rsidTr="00453380">
        <w:tc>
          <w:tcPr>
            <w:tcW w:w="2108" w:type="dxa"/>
            <w:tcBorders>
              <w:top w:val="nil"/>
              <w:left w:val="nil"/>
              <w:bottom w:val="nil"/>
              <w:right w:val="nil"/>
            </w:tcBorders>
            <w:vAlign w:val="center"/>
          </w:tcPr>
          <w:p w14:paraId="12D0975A" w14:textId="77777777" w:rsidR="00AB41CC" w:rsidRPr="00EC1DF5" w:rsidRDefault="00AB41CC" w:rsidP="00453380">
            <w:pPr>
              <w:widowControl w:val="0"/>
              <w:autoSpaceDE w:val="0"/>
              <w:autoSpaceDN w:val="0"/>
              <w:adjustRightInd w:val="0"/>
              <w:spacing w:after="0" w:line="240" w:lineRule="auto"/>
              <w:ind w:firstLine="175"/>
              <w:rPr>
                <w:color w:val="auto"/>
                <w:sz w:val="18"/>
                <w:szCs w:val="18"/>
              </w:rPr>
            </w:pPr>
          </w:p>
        </w:tc>
        <w:tc>
          <w:tcPr>
            <w:tcW w:w="1250" w:type="dxa"/>
            <w:tcBorders>
              <w:top w:val="nil"/>
              <w:left w:val="nil"/>
              <w:bottom w:val="nil"/>
              <w:right w:val="nil"/>
            </w:tcBorders>
            <w:vAlign w:val="center"/>
          </w:tcPr>
          <w:p w14:paraId="674B06D3"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4451B028"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(0.096)</w:t>
            </w:r>
          </w:p>
        </w:tc>
        <w:tc>
          <w:tcPr>
            <w:tcW w:w="1200" w:type="dxa"/>
            <w:tcBorders>
              <w:top w:val="nil"/>
              <w:left w:val="nil"/>
              <w:bottom w:val="nil"/>
              <w:right w:val="nil"/>
            </w:tcBorders>
            <w:vAlign w:val="center"/>
          </w:tcPr>
          <w:p w14:paraId="0CDFD0C4"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0158A7B4"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41265638" w14:textId="77777777" w:rsidR="00AB41CC" w:rsidRPr="00EC1DF5" w:rsidRDefault="00AB41CC" w:rsidP="00453380">
            <w:pPr>
              <w:widowControl w:val="0"/>
              <w:autoSpaceDE w:val="0"/>
              <w:autoSpaceDN w:val="0"/>
              <w:adjustRightInd w:val="0"/>
              <w:spacing w:after="0" w:line="240" w:lineRule="auto"/>
              <w:rPr>
                <w:color w:val="auto"/>
                <w:sz w:val="18"/>
                <w:szCs w:val="18"/>
              </w:rPr>
            </w:pPr>
          </w:p>
        </w:tc>
      </w:tr>
      <w:tr w:rsidR="00EC1DF5" w:rsidRPr="00EC1DF5" w14:paraId="26E46F1F" w14:textId="77777777" w:rsidTr="00453380">
        <w:tc>
          <w:tcPr>
            <w:tcW w:w="2108" w:type="dxa"/>
            <w:tcBorders>
              <w:top w:val="nil"/>
              <w:left w:val="nil"/>
              <w:bottom w:val="nil"/>
              <w:right w:val="nil"/>
            </w:tcBorders>
            <w:vAlign w:val="center"/>
          </w:tcPr>
          <w:p w14:paraId="3663620D" w14:textId="77777777" w:rsidR="00AB41CC" w:rsidRPr="00EC1DF5" w:rsidRDefault="00AB41CC" w:rsidP="00453380">
            <w:pPr>
              <w:widowControl w:val="0"/>
              <w:autoSpaceDE w:val="0"/>
              <w:autoSpaceDN w:val="0"/>
              <w:adjustRightInd w:val="0"/>
              <w:spacing w:after="0" w:line="240" w:lineRule="auto"/>
              <w:ind w:firstLine="175"/>
              <w:rPr>
                <w:color w:val="auto"/>
                <w:sz w:val="18"/>
                <w:szCs w:val="18"/>
              </w:rPr>
            </w:pPr>
            <w:r w:rsidRPr="00EC1DF5">
              <w:rPr>
                <w:color w:val="auto"/>
                <w:sz w:val="18"/>
                <w:szCs w:val="18"/>
              </w:rPr>
              <w:t xml:space="preserve">High Stake X </w:t>
            </w:r>
            <w:r w:rsidRPr="00EC1DF5">
              <w:rPr>
                <w:i/>
                <w:color w:val="auto"/>
                <w:sz w:val="18"/>
                <w:szCs w:val="18"/>
              </w:rPr>
              <w:t>BF</w:t>
            </w:r>
          </w:p>
        </w:tc>
        <w:tc>
          <w:tcPr>
            <w:tcW w:w="1250" w:type="dxa"/>
            <w:tcBorders>
              <w:top w:val="nil"/>
              <w:left w:val="nil"/>
              <w:bottom w:val="nil"/>
              <w:right w:val="nil"/>
            </w:tcBorders>
            <w:vAlign w:val="center"/>
          </w:tcPr>
          <w:p w14:paraId="1DB54AB1"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4EFF2418"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0.208***</w:t>
            </w:r>
          </w:p>
        </w:tc>
        <w:tc>
          <w:tcPr>
            <w:tcW w:w="1200" w:type="dxa"/>
            <w:tcBorders>
              <w:top w:val="nil"/>
              <w:left w:val="nil"/>
              <w:bottom w:val="nil"/>
              <w:right w:val="nil"/>
            </w:tcBorders>
            <w:vAlign w:val="center"/>
          </w:tcPr>
          <w:p w14:paraId="2D18849C"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20A430FC"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55F804FE" w14:textId="77777777" w:rsidR="00AB41CC" w:rsidRPr="00EC1DF5" w:rsidRDefault="00AB41CC" w:rsidP="00453380">
            <w:pPr>
              <w:widowControl w:val="0"/>
              <w:autoSpaceDE w:val="0"/>
              <w:autoSpaceDN w:val="0"/>
              <w:adjustRightInd w:val="0"/>
              <w:spacing w:after="0" w:line="240" w:lineRule="auto"/>
              <w:rPr>
                <w:color w:val="auto"/>
                <w:sz w:val="18"/>
                <w:szCs w:val="18"/>
              </w:rPr>
            </w:pPr>
          </w:p>
        </w:tc>
      </w:tr>
      <w:tr w:rsidR="00EC1DF5" w:rsidRPr="00EC1DF5" w14:paraId="461D2E54" w14:textId="77777777" w:rsidTr="00453380">
        <w:tc>
          <w:tcPr>
            <w:tcW w:w="2108" w:type="dxa"/>
            <w:tcBorders>
              <w:top w:val="nil"/>
              <w:left w:val="nil"/>
              <w:bottom w:val="nil"/>
              <w:right w:val="nil"/>
            </w:tcBorders>
            <w:vAlign w:val="center"/>
          </w:tcPr>
          <w:p w14:paraId="2487D2DA"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50" w:type="dxa"/>
            <w:tcBorders>
              <w:top w:val="nil"/>
              <w:left w:val="nil"/>
              <w:bottom w:val="nil"/>
              <w:right w:val="nil"/>
            </w:tcBorders>
            <w:vAlign w:val="center"/>
          </w:tcPr>
          <w:p w14:paraId="09B0BFD4"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5CBBD831"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(0.074)</w:t>
            </w:r>
          </w:p>
        </w:tc>
        <w:tc>
          <w:tcPr>
            <w:tcW w:w="1200" w:type="dxa"/>
            <w:tcBorders>
              <w:top w:val="nil"/>
              <w:left w:val="nil"/>
              <w:bottom w:val="nil"/>
              <w:right w:val="nil"/>
            </w:tcBorders>
            <w:vAlign w:val="center"/>
          </w:tcPr>
          <w:p w14:paraId="2D61C823"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1B47B59E"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290F2C24" w14:textId="77777777" w:rsidR="00AB41CC" w:rsidRPr="00EC1DF5" w:rsidRDefault="00AB41CC" w:rsidP="00453380">
            <w:pPr>
              <w:widowControl w:val="0"/>
              <w:autoSpaceDE w:val="0"/>
              <w:autoSpaceDN w:val="0"/>
              <w:adjustRightInd w:val="0"/>
              <w:spacing w:after="0" w:line="240" w:lineRule="auto"/>
              <w:rPr>
                <w:color w:val="auto"/>
                <w:sz w:val="18"/>
                <w:szCs w:val="18"/>
              </w:rPr>
            </w:pPr>
          </w:p>
        </w:tc>
      </w:tr>
      <w:tr w:rsidR="00EC1DF5" w:rsidRPr="00EC1DF5" w14:paraId="640176A4" w14:textId="77777777" w:rsidTr="00453380">
        <w:tc>
          <w:tcPr>
            <w:tcW w:w="2108" w:type="dxa"/>
            <w:tcBorders>
              <w:top w:val="nil"/>
              <w:left w:val="nil"/>
              <w:bottom w:val="nil"/>
              <w:right w:val="nil"/>
            </w:tcBorders>
            <w:vAlign w:val="center"/>
          </w:tcPr>
          <w:p w14:paraId="688730C4"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i/>
                <w:color w:val="auto"/>
                <w:sz w:val="18"/>
                <w:szCs w:val="18"/>
              </w:rPr>
              <w:t>BC</w:t>
            </w:r>
          </w:p>
        </w:tc>
        <w:tc>
          <w:tcPr>
            <w:tcW w:w="1250" w:type="dxa"/>
            <w:tcBorders>
              <w:top w:val="nil"/>
              <w:left w:val="nil"/>
              <w:bottom w:val="nil"/>
              <w:right w:val="nil"/>
            </w:tcBorders>
            <w:vAlign w:val="center"/>
          </w:tcPr>
          <w:p w14:paraId="2566D0C2"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7463581F"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22389F90"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0.354***</w:t>
            </w:r>
          </w:p>
        </w:tc>
        <w:tc>
          <w:tcPr>
            <w:tcW w:w="1200" w:type="dxa"/>
            <w:tcBorders>
              <w:top w:val="nil"/>
              <w:left w:val="nil"/>
              <w:bottom w:val="nil"/>
              <w:right w:val="nil"/>
            </w:tcBorders>
            <w:vAlign w:val="center"/>
          </w:tcPr>
          <w:p w14:paraId="714E2C5A"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5F087F1D" w14:textId="77777777" w:rsidR="00AB41CC" w:rsidRPr="00EC1DF5" w:rsidRDefault="00AB41CC" w:rsidP="00453380">
            <w:pPr>
              <w:widowControl w:val="0"/>
              <w:autoSpaceDE w:val="0"/>
              <w:autoSpaceDN w:val="0"/>
              <w:adjustRightInd w:val="0"/>
              <w:spacing w:after="0" w:line="240" w:lineRule="auto"/>
              <w:rPr>
                <w:color w:val="auto"/>
                <w:sz w:val="18"/>
                <w:szCs w:val="18"/>
              </w:rPr>
            </w:pPr>
          </w:p>
        </w:tc>
      </w:tr>
      <w:tr w:rsidR="00EC1DF5" w:rsidRPr="00EC1DF5" w14:paraId="24DB2208" w14:textId="77777777" w:rsidTr="00453380">
        <w:tc>
          <w:tcPr>
            <w:tcW w:w="2108" w:type="dxa"/>
            <w:tcBorders>
              <w:top w:val="nil"/>
              <w:left w:val="nil"/>
              <w:bottom w:val="nil"/>
              <w:right w:val="nil"/>
            </w:tcBorders>
            <w:vAlign w:val="center"/>
          </w:tcPr>
          <w:p w14:paraId="27315C21"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50" w:type="dxa"/>
            <w:tcBorders>
              <w:top w:val="nil"/>
              <w:left w:val="nil"/>
              <w:bottom w:val="nil"/>
              <w:right w:val="nil"/>
            </w:tcBorders>
            <w:vAlign w:val="center"/>
          </w:tcPr>
          <w:p w14:paraId="2BA81CB4"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6B620080"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29BA29E9"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(0.120)</w:t>
            </w:r>
          </w:p>
        </w:tc>
        <w:tc>
          <w:tcPr>
            <w:tcW w:w="1200" w:type="dxa"/>
            <w:tcBorders>
              <w:top w:val="nil"/>
              <w:left w:val="nil"/>
              <w:bottom w:val="nil"/>
              <w:right w:val="nil"/>
            </w:tcBorders>
            <w:vAlign w:val="center"/>
          </w:tcPr>
          <w:p w14:paraId="65E6896A"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58328312" w14:textId="77777777" w:rsidR="00AB41CC" w:rsidRPr="00EC1DF5" w:rsidRDefault="00AB41CC" w:rsidP="00453380">
            <w:pPr>
              <w:widowControl w:val="0"/>
              <w:autoSpaceDE w:val="0"/>
              <w:autoSpaceDN w:val="0"/>
              <w:adjustRightInd w:val="0"/>
              <w:spacing w:after="0" w:line="240" w:lineRule="auto"/>
              <w:rPr>
                <w:color w:val="auto"/>
                <w:sz w:val="18"/>
                <w:szCs w:val="18"/>
              </w:rPr>
            </w:pPr>
          </w:p>
        </w:tc>
      </w:tr>
      <w:tr w:rsidR="00EC1DF5" w:rsidRPr="00EC1DF5" w14:paraId="723ADAD2" w14:textId="77777777" w:rsidTr="00453380">
        <w:tc>
          <w:tcPr>
            <w:tcW w:w="2108" w:type="dxa"/>
            <w:tcBorders>
              <w:top w:val="nil"/>
              <w:left w:val="nil"/>
              <w:bottom w:val="nil"/>
              <w:right w:val="nil"/>
            </w:tcBorders>
            <w:vAlign w:val="center"/>
          </w:tcPr>
          <w:p w14:paraId="05B5543E" w14:textId="77777777" w:rsidR="00AB41CC" w:rsidRPr="00EC1DF5" w:rsidRDefault="00AB41CC" w:rsidP="00453380">
            <w:pPr>
              <w:widowControl w:val="0"/>
              <w:autoSpaceDE w:val="0"/>
              <w:autoSpaceDN w:val="0"/>
              <w:adjustRightInd w:val="0"/>
              <w:spacing w:after="0" w:line="240" w:lineRule="auto"/>
              <w:ind w:firstLine="175"/>
              <w:rPr>
                <w:color w:val="auto"/>
                <w:sz w:val="18"/>
                <w:szCs w:val="18"/>
              </w:rPr>
            </w:pPr>
            <w:r w:rsidRPr="00EC1DF5">
              <w:rPr>
                <w:color w:val="auto"/>
                <w:sz w:val="18"/>
                <w:szCs w:val="18"/>
              </w:rPr>
              <w:t xml:space="preserve">Low Stake X </w:t>
            </w:r>
            <w:r w:rsidRPr="00EC1DF5">
              <w:rPr>
                <w:i/>
                <w:color w:val="auto"/>
                <w:sz w:val="18"/>
                <w:szCs w:val="18"/>
              </w:rPr>
              <w:t>BF</w:t>
            </w:r>
          </w:p>
        </w:tc>
        <w:tc>
          <w:tcPr>
            <w:tcW w:w="1250" w:type="dxa"/>
            <w:tcBorders>
              <w:top w:val="nil"/>
              <w:left w:val="nil"/>
              <w:bottom w:val="nil"/>
              <w:right w:val="nil"/>
            </w:tcBorders>
            <w:vAlign w:val="center"/>
          </w:tcPr>
          <w:p w14:paraId="186D7F01"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3BAE10D8"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1FC91340"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-0.131</w:t>
            </w:r>
          </w:p>
        </w:tc>
        <w:tc>
          <w:tcPr>
            <w:tcW w:w="1200" w:type="dxa"/>
            <w:tcBorders>
              <w:top w:val="nil"/>
              <w:left w:val="nil"/>
              <w:bottom w:val="nil"/>
              <w:right w:val="nil"/>
            </w:tcBorders>
            <w:vAlign w:val="center"/>
          </w:tcPr>
          <w:p w14:paraId="7FF43D7C"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57E7C9F0" w14:textId="77777777" w:rsidR="00AB41CC" w:rsidRPr="00EC1DF5" w:rsidRDefault="00AB41CC" w:rsidP="00453380">
            <w:pPr>
              <w:widowControl w:val="0"/>
              <w:autoSpaceDE w:val="0"/>
              <w:autoSpaceDN w:val="0"/>
              <w:adjustRightInd w:val="0"/>
              <w:spacing w:after="0" w:line="240" w:lineRule="auto"/>
              <w:rPr>
                <w:color w:val="auto"/>
                <w:sz w:val="18"/>
                <w:szCs w:val="18"/>
              </w:rPr>
            </w:pPr>
          </w:p>
        </w:tc>
      </w:tr>
      <w:tr w:rsidR="00EC1DF5" w:rsidRPr="00EC1DF5" w14:paraId="5807A5DF" w14:textId="77777777" w:rsidTr="00453380">
        <w:tc>
          <w:tcPr>
            <w:tcW w:w="2108" w:type="dxa"/>
            <w:tcBorders>
              <w:top w:val="nil"/>
              <w:left w:val="nil"/>
              <w:bottom w:val="nil"/>
              <w:right w:val="nil"/>
            </w:tcBorders>
            <w:vAlign w:val="center"/>
          </w:tcPr>
          <w:p w14:paraId="56E993F0" w14:textId="77777777" w:rsidR="00AB41CC" w:rsidRPr="00EC1DF5" w:rsidRDefault="00AB41CC" w:rsidP="00453380">
            <w:pPr>
              <w:widowControl w:val="0"/>
              <w:autoSpaceDE w:val="0"/>
              <w:autoSpaceDN w:val="0"/>
              <w:adjustRightInd w:val="0"/>
              <w:spacing w:after="0" w:line="240" w:lineRule="auto"/>
              <w:ind w:firstLine="175"/>
              <w:rPr>
                <w:color w:val="auto"/>
                <w:sz w:val="18"/>
                <w:szCs w:val="18"/>
              </w:rPr>
            </w:pPr>
          </w:p>
        </w:tc>
        <w:tc>
          <w:tcPr>
            <w:tcW w:w="1250" w:type="dxa"/>
            <w:tcBorders>
              <w:top w:val="nil"/>
              <w:left w:val="nil"/>
              <w:bottom w:val="nil"/>
              <w:right w:val="nil"/>
            </w:tcBorders>
            <w:vAlign w:val="center"/>
          </w:tcPr>
          <w:p w14:paraId="59DD3C85"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1767AE75"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7F9C86CE"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(0.103)</w:t>
            </w:r>
          </w:p>
        </w:tc>
        <w:tc>
          <w:tcPr>
            <w:tcW w:w="1200" w:type="dxa"/>
            <w:tcBorders>
              <w:top w:val="nil"/>
              <w:left w:val="nil"/>
              <w:bottom w:val="nil"/>
              <w:right w:val="nil"/>
            </w:tcBorders>
            <w:vAlign w:val="center"/>
          </w:tcPr>
          <w:p w14:paraId="32EC97E7"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398C578E" w14:textId="77777777" w:rsidR="00AB41CC" w:rsidRPr="00EC1DF5" w:rsidRDefault="00AB41CC" w:rsidP="00453380">
            <w:pPr>
              <w:widowControl w:val="0"/>
              <w:autoSpaceDE w:val="0"/>
              <w:autoSpaceDN w:val="0"/>
              <w:adjustRightInd w:val="0"/>
              <w:spacing w:after="0" w:line="240" w:lineRule="auto"/>
              <w:rPr>
                <w:color w:val="auto"/>
                <w:sz w:val="18"/>
                <w:szCs w:val="18"/>
              </w:rPr>
            </w:pPr>
          </w:p>
        </w:tc>
      </w:tr>
      <w:tr w:rsidR="00EC1DF5" w:rsidRPr="00EC1DF5" w14:paraId="5FC9F37E" w14:textId="77777777" w:rsidTr="00453380">
        <w:tc>
          <w:tcPr>
            <w:tcW w:w="2108" w:type="dxa"/>
            <w:tcBorders>
              <w:top w:val="nil"/>
              <w:left w:val="nil"/>
              <w:bottom w:val="nil"/>
              <w:right w:val="nil"/>
            </w:tcBorders>
            <w:vAlign w:val="center"/>
          </w:tcPr>
          <w:p w14:paraId="38733A33" w14:textId="77777777" w:rsidR="00AB41CC" w:rsidRPr="00EC1DF5" w:rsidRDefault="00AB41CC" w:rsidP="00453380">
            <w:pPr>
              <w:widowControl w:val="0"/>
              <w:autoSpaceDE w:val="0"/>
              <w:autoSpaceDN w:val="0"/>
              <w:adjustRightInd w:val="0"/>
              <w:spacing w:after="0" w:line="240" w:lineRule="auto"/>
              <w:ind w:firstLine="175"/>
              <w:rPr>
                <w:color w:val="auto"/>
                <w:sz w:val="18"/>
                <w:szCs w:val="18"/>
              </w:rPr>
            </w:pPr>
            <w:r w:rsidRPr="00EC1DF5">
              <w:rPr>
                <w:color w:val="auto"/>
                <w:sz w:val="18"/>
                <w:szCs w:val="18"/>
              </w:rPr>
              <w:t xml:space="preserve">High Stake X </w:t>
            </w:r>
            <w:r w:rsidRPr="00EC1DF5">
              <w:rPr>
                <w:i/>
                <w:color w:val="auto"/>
                <w:sz w:val="18"/>
                <w:szCs w:val="18"/>
              </w:rPr>
              <w:t>BF</w:t>
            </w:r>
          </w:p>
        </w:tc>
        <w:tc>
          <w:tcPr>
            <w:tcW w:w="1250" w:type="dxa"/>
            <w:tcBorders>
              <w:top w:val="nil"/>
              <w:left w:val="nil"/>
              <w:bottom w:val="nil"/>
              <w:right w:val="nil"/>
            </w:tcBorders>
            <w:vAlign w:val="center"/>
          </w:tcPr>
          <w:p w14:paraId="378C765E"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22A5C4B3"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4C77C49E"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0.243***</w:t>
            </w:r>
          </w:p>
        </w:tc>
        <w:tc>
          <w:tcPr>
            <w:tcW w:w="1200" w:type="dxa"/>
            <w:tcBorders>
              <w:top w:val="nil"/>
              <w:left w:val="nil"/>
              <w:bottom w:val="nil"/>
              <w:right w:val="nil"/>
            </w:tcBorders>
            <w:vAlign w:val="center"/>
          </w:tcPr>
          <w:p w14:paraId="29BEC714"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16E81067" w14:textId="77777777" w:rsidR="00AB41CC" w:rsidRPr="00EC1DF5" w:rsidRDefault="00AB41CC" w:rsidP="00453380">
            <w:pPr>
              <w:widowControl w:val="0"/>
              <w:autoSpaceDE w:val="0"/>
              <w:autoSpaceDN w:val="0"/>
              <w:adjustRightInd w:val="0"/>
              <w:spacing w:after="0" w:line="240" w:lineRule="auto"/>
              <w:rPr>
                <w:color w:val="auto"/>
                <w:sz w:val="18"/>
                <w:szCs w:val="18"/>
              </w:rPr>
            </w:pPr>
          </w:p>
        </w:tc>
      </w:tr>
      <w:tr w:rsidR="00EC1DF5" w:rsidRPr="00EC1DF5" w14:paraId="7F732C93" w14:textId="77777777" w:rsidTr="00453380">
        <w:tc>
          <w:tcPr>
            <w:tcW w:w="2108" w:type="dxa"/>
            <w:tcBorders>
              <w:top w:val="nil"/>
              <w:left w:val="nil"/>
              <w:bottom w:val="nil"/>
              <w:right w:val="nil"/>
            </w:tcBorders>
            <w:vAlign w:val="center"/>
          </w:tcPr>
          <w:p w14:paraId="618F0BD4"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50" w:type="dxa"/>
            <w:tcBorders>
              <w:top w:val="nil"/>
              <w:left w:val="nil"/>
              <w:bottom w:val="nil"/>
              <w:right w:val="nil"/>
            </w:tcBorders>
            <w:vAlign w:val="center"/>
          </w:tcPr>
          <w:p w14:paraId="47C5A2CD"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040363B3"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1114799C"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(0.077)</w:t>
            </w:r>
          </w:p>
        </w:tc>
        <w:tc>
          <w:tcPr>
            <w:tcW w:w="1200" w:type="dxa"/>
            <w:tcBorders>
              <w:top w:val="nil"/>
              <w:left w:val="nil"/>
              <w:bottom w:val="nil"/>
              <w:right w:val="nil"/>
            </w:tcBorders>
            <w:vAlign w:val="center"/>
          </w:tcPr>
          <w:p w14:paraId="598A1642"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2184D1D9" w14:textId="77777777" w:rsidR="00AB41CC" w:rsidRPr="00EC1DF5" w:rsidRDefault="00AB41CC" w:rsidP="00453380">
            <w:pPr>
              <w:widowControl w:val="0"/>
              <w:autoSpaceDE w:val="0"/>
              <w:autoSpaceDN w:val="0"/>
              <w:adjustRightInd w:val="0"/>
              <w:spacing w:after="0" w:line="240" w:lineRule="auto"/>
              <w:rPr>
                <w:color w:val="auto"/>
                <w:sz w:val="18"/>
                <w:szCs w:val="18"/>
              </w:rPr>
            </w:pPr>
          </w:p>
        </w:tc>
      </w:tr>
      <w:tr w:rsidR="00EC1DF5" w:rsidRPr="00EC1DF5" w14:paraId="3E681C4B" w14:textId="77777777" w:rsidTr="00453380">
        <w:tc>
          <w:tcPr>
            <w:tcW w:w="2108" w:type="dxa"/>
            <w:tcBorders>
              <w:top w:val="nil"/>
              <w:left w:val="nil"/>
              <w:bottom w:val="nil"/>
              <w:right w:val="nil"/>
            </w:tcBorders>
            <w:vAlign w:val="center"/>
          </w:tcPr>
          <w:p w14:paraId="0081ECD5"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i/>
                <w:color w:val="auto"/>
                <w:sz w:val="18"/>
                <w:szCs w:val="18"/>
              </w:rPr>
              <w:t>BSR</w:t>
            </w:r>
          </w:p>
        </w:tc>
        <w:tc>
          <w:tcPr>
            <w:tcW w:w="1250" w:type="dxa"/>
            <w:tcBorders>
              <w:top w:val="nil"/>
              <w:left w:val="nil"/>
              <w:bottom w:val="nil"/>
              <w:right w:val="nil"/>
            </w:tcBorders>
            <w:vAlign w:val="center"/>
          </w:tcPr>
          <w:p w14:paraId="13674A60"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7C9CF1AE"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2BF09D61"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48D26988"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-0.194*</w:t>
            </w:r>
          </w:p>
        </w:tc>
        <w:tc>
          <w:tcPr>
            <w:tcW w:w="1200" w:type="dxa"/>
            <w:tcBorders>
              <w:top w:val="nil"/>
              <w:left w:val="nil"/>
              <w:bottom w:val="nil"/>
              <w:right w:val="nil"/>
            </w:tcBorders>
            <w:vAlign w:val="center"/>
          </w:tcPr>
          <w:p w14:paraId="4B275156" w14:textId="77777777" w:rsidR="00AB41CC" w:rsidRPr="00EC1DF5" w:rsidRDefault="00AB41CC" w:rsidP="00453380">
            <w:pPr>
              <w:widowControl w:val="0"/>
              <w:autoSpaceDE w:val="0"/>
              <w:autoSpaceDN w:val="0"/>
              <w:adjustRightInd w:val="0"/>
              <w:spacing w:after="0" w:line="240" w:lineRule="auto"/>
              <w:rPr>
                <w:color w:val="auto"/>
                <w:sz w:val="18"/>
                <w:szCs w:val="18"/>
              </w:rPr>
            </w:pPr>
          </w:p>
        </w:tc>
      </w:tr>
      <w:tr w:rsidR="00EC1DF5" w:rsidRPr="00EC1DF5" w14:paraId="11B99206" w14:textId="77777777" w:rsidTr="00453380">
        <w:tc>
          <w:tcPr>
            <w:tcW w:w="2108" w:type="dxa"/>
            <w:tcBorders>
              <w:top w:val="nil"/>
              <w:left w:val="nil"/>
              <w:bottom w:val="nil"/>
              <w:right w:val="nil"/>
            </w:tcBorders>
            <w:vAlign w:val="center"/>
          </w:tcPr>
          <w:p w14:paraId="3B125119"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50" w:type="dxa"/>
            <w:tcBorders>
              <w:top w:val="nil"/>
              <w:left w:val="nil"/>
              <w:bottom w:val="nil"/>
              <w:right w:val="nil"/>
            </w:tcBorders>
            <w:vAlign w:val="center"/>
          </w:tcPr>
          <w:p w14:paraId="48BDFC7B"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3B8BD0B4"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7DD250F2"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08783FAA"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(0.115)</w:t>
            </w:r>
          </w:p>
        </w:tc>
        <w:tc>
          <w:tcPr>
            <w:tcW w:w="1200" w:type="dxa"/>
            <w:tcBorders>
              <w:top w:val="nil"/>
              <w:left w:val="nil"/>
              <w:bottom w:val="nil"/>
              <w:right w:val="nil"/>
            </w:tcBorders>
            <w:vAlign w:val="center"/>
          </w:tcPr>
          <w:p w14:paraId="082F1808" w14:textId="77777777" w:rsidR="00AB41CC" w:rsidRPr="00EC1DF5" w:rsidRDefault="00AB41CC" w:rsidP="00453380">
            <w:pPr>
              <w:widowControl w:val="0"/>
              <w:autoSpaceDE w:val="0"/>
              <w:autoSpaceDN w:val="0"/>
              <w:adjustRightInd w:val="0"/>
              <w:spacing w:after="0" w:line="240" w:lineRule="auto"/>
              <w:rPr>
                <w:color w:val="auto"/>
                <w:sz w:val="18"/>
                <w:szCs w:val="18"/>
              </w:rPr>
            </w:pPr>
          </w:p>
        </w:tc>
      </w:tr>
      <w:tr w:rsidR="00EC1DF5" w:rsidRPr="00EC1DF5" w14:paraId="17EFF523" w14:textId="77777777" w:rsidTr="00453380">
        <w:tc>
          <w:tcPr>
            <w:tcW w:w="2108" w:type="dxa"/>
            <w:tcBorders>
              <w:top w:val="nil"/>
              <w:left w:val="nil"/>
              <w:bottom w:val="nil"/>
              <w:right w:val="nil"/>
            </w:tcBorders>
            <w:vAlign w:val="center"/>
          </w:tcPr>
          <w:p w14:paraId="17239C9D" w14:textId="77777777" w:rsidR="00AB41CC" w:rsidRPr="00EC1DF5" w:rsidRDefault="00AB41CC" w:rsidP="00453380">
            <w:pPr>
              <w:widowControl w:val="0"/>
              <w:autoSpaceDE w:val="0"/>
              <w:autoSpaceDN w:val="0"/>
              <w:adjustRightInd w:val="0"/>
              <w:spacing w:after="0" w:line="240" w:lineRule="auto"/>
              <w:ind w:firstLine="175"/>
              <w:rPr>
                <w:color w:val="auto"/>
                <w:sz w:val="18"/>
                <w:szCs w:val="18"/>
              </w:rPr>
            </w:pPr>
            <w:r w:rsidRPr="00EC1DF5">
              <w:rPr>
                <w:color w:val="auto"/>
                <w:sz w:val="18"/>
                <w:szCs w:val="18"/>
              </w:rPr>
              <w:t xml:space="preserve">Low Stake X </w:t>
            </w:r>
            <w:r w:rsidRPr="00EC1DF5">
              <w:rPr>
                <w:i/>
                <w:color w:val="auto"/>
                <w:sz w:val="18"/>
                <w:szCs w:val="18"/>
              </w:rPr>
              <w:t>BF</w:t>
            </w:r>
          </w:p>
        </w:tc>
        <w:tc>
          <w:tcPr>
            <w:tcW w:w="1250" w:type="dxa"/>
            <w:tcBorders>
              <w:top w:val="nil"/>
              <w:left w:val="nil"/>
              <w:bottom w:val="nil"/>
              <w:right w:val="nil"/>
            </w:tcBorders>
            <w:vAlign w:val="center"/>
          </w:tcPr>
          <w:p w14:paraId="4C3C01DC"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3520320F"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2F2D3AD3"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75366E2A"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0.097</w:t>
            </w:r>
          </w:p>
        </w:tc>
        <w:tc>
          <w:tcPr>
            <w:tcW w:w="1200" w:type="dxa"/>
            <w:tcBorders>
              <w:top w:val="nil"/>
              <w:left w:val="nil"/>
              <w:bottom w:val="nil"/>
              <w:right w:val="nil"/>
            </w:tcBorders>
            <w:vAlign w:val="center"/>
          </w:tcPr>
          <w:p w14:paraId="442D4655" w14:textId="77777777" w:rsidR="00AB41CC" w:rsidRPr="00EC1DF5" w:rsidRDefault="00AB41CC" w:rsidP="00453380">
            <w:pPr>
              <w:widowControl w:val="0"/>
              <w:autoSpaceDE w:val="0"/>
              <w:autoSpaceDN w:val="0"/>
              <w:adjustRightInd w:val="0"/>
              <w:spacing w:after="0" w:line="240" w:lineRule="auto"/>
              <w:rPr>
                <w:color w:val="auto"/>
                <w:sz w:val="18"/>
                <w:szCs w:val="18"/>
              </w:rPr>
            </w:pPr>
          </w:p>
        </w:tc>
      </w:tr>
      <w:tr w:rsidR="00EC1DF5" w:rsidRPr="00EC1DF5" w14:paraId="3FF9AFDD" w14:textId="77777777" w:rsidTr="00453380">
        <w:tc>
          <w:tcPr>
            <w:tcW w:w="2108" w:type="dxa"/>
            <w:tcBorders>
              <w:top w:val="nil"/>
              <w:left w:val="nil"/>
              <w:bottom w:val="nil"/>
              <w:right w:val="nil"/>
            </w:tcBorders>
            <w:vAlign w:val="center"/>
          </w:tcPr>
          <w:p w14:paraId="6B9BF36A" w14:textId="77777777" w:rsidR="00AB41CC" w:rsidRPr="00EC1DF5" w:rsidRDefault="00AB41CC" w:rsidP="00453380">
            <w:pPr>
              <w:widowControl w:val="0"/>
              <w:autoSpaceDE w:val="0"/>
              <w:autoSpaceDN w:val="0"/>
              <w:adjustRightInd w:val="0"/>
              <w:spacing w:after="0" w:line="240" w:lineRule="auto"/>
              <w:ind w:firstLine="175"/>
              <w:rPr>
                <w:color w:val="auto"/>
                <w:sz w:val="18"/>
                <w:szCs w:val="18"/>
              </w:rPr>
            </w:pPr>
          </w:p>
        </w:tc>
        <w:tc>
          <w:tcPr>
            <w:tcW w:w="1250" w:type="dxa"/>
            <w:tcBorders>
              <w:top w:val="nil"/>
              <w:left w:val="nil"/>
              <w:bottom w:val="nil"/>
              <w:right w:val="nil"/>
            </w:tcBorders>
            <w:vAlign w:val="center"/>
          </w:tcPr>
          <w:p w14:paraId="58D61015"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2733E918"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0D82140A"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524780B3"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(0.095)</w:t>
            </w:r>
          </w:p>
        </w:tc>
        <w:tc>
          <w:tcPr>
            <w:tcW w:w="1200" w:type="dxa"/>
            <w:tcBorders>
              <w:top w:val="nil"/>
              <w:left w:val="nil"/>
              <w:bottom w:val="nil"/>
              <w:right w:val="nil"/>
            </w:tcBorders>
            <w:vAlign w:val="center"/>
          </w:tcPr>
          <w:p w14:paraId="1C212E4B" w14:textId="77777777" w:rsidR="00AB41CC" w:rsidRPr="00EC1DF5" w:rsidRDefault="00AB41CC" w:rsidP="00453380">
            <w:pPr>
              <w:widowControl w:val="0"/>
              <w:autoSpaceDE w:val="0"/>
              <w:autoSpaceDN w:val="0"/>
              <w:adjustRightInd w:val="0"/>
              <w:spacing w:after="0" w:line="240" w:lineRule="auto"/>
              <w:rPr>
                <w:color w:val="auto"/>
                <w:sz w:val="18"/>
                <w:szCs w:val="18"/>
              </w:rPr>
            </w:pPr>
          </w:p>
        </w:tc>
      </w:tr>
      <w:tr w:rsidR="00EC1DF5" w:rsidRPr="00EC1DF5" w14:paraId="6D6F0611" w14:textId="77777777" w:rsidTr="00453380">
        <w:tc>
          <w:tcPr>
            <w:tcW w:w="2108" w:type="dxa"/>
            <w:tcBorders>
              <w:top w:val="nil"/>
              <w:left w:val="nil"/>
              <w:bottom w:val="nil"/>
              <w:right w:val="nil"/>
            </w:tcBorders>
            <w:vAlign w:val="center"/>
          </w:tcPr>
          <w:p w14:paraId="68DC8919" w14:textId="77777777" w:rsidR="00AB41CC" w:rsidRPr="00EC1DF5" w:rsidRDefault="00AB41CC" w:rsidP="00453380">
            <w:pPr>
              <w:widowControl w:val="0"/>
              <w:autoSpaceDE w:val="0"/>
              <w:autoSpaceDN w:val="0"/>
              <w:adjustRightInd w:val="0"/>
              <w:spacing w:after="0" w:line="240" w:lineRule="auto"/>
              <w:ind w:firstLine="175"/>
              <w:rPr>
                <w:color w:val="auto"/>
                <w:sz w:val="18"/>
                <w:szCs w:val="18"/>
              </w:rPr>
            </w:pPr>
            <w:r w:rsidRPr="00EC1DF5">
              <w:rPr>
                <w:color w:val="auto"/>
                <w:sz w:val="18"/>
                <w:szCs w:val="18"/>
              </w:rPr>
              <w:t xml:space="preserve">High Stake X </w:t>
            </w:r>
            <w:r w:rsidRPr="00EC1DF5">
              <w:rPr>
                <w:i/>
                <w:color w:val="auto"/>
                <w:sz w:val="18"/>
                <w:szCs w:val="18"/>
              </w:rPr>
              <w:t>BF</w:t>
            </w:r>
          </w:p>
        </w:tc>
        <w:tc>
          <w:tcPr>
            <w:tcW w:w="1250" w:type="dxa"/>
            <w:tcBorders>
              <w:top w:val="nil"/>
              <w:left w:val="nil"/>
              <w:bottom w:val="nil"/>
              <w:right w:val="nil"/>
            </w:tcBorders>
            <w:vAlign w:val="center"/>
          </w:tcPr>
          <w:p w14:paraId="6F847FC9"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49273DF3"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01807DE8"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396ACC9A"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0.188**</w:t>
            </w:r>
          </w:p>
        </w:tc>
        <w:tc>
          <w:tcPr>
            <w:tcW w:w="1200" w:type="dxa"/>
            <w:tcBorders>
              <w:top w:val="nil"/>
              <w:left w:val="nil"/>
              <w:bottom w:val="nil"/>
              <w:right w:val="nil"/>
            </w:tcBorders>
            <w:vAlign w:val="center"/>
          </w:tcPr>
          <w:p w14:paraId="513806F0" w14:textId="77777777" w:rsidR="00AB41CC" w:rsidRPr="00EC1DF5" w:rsidRDefault="00AB41CC" w:rsidP="00453380">
            <w:pPr>
              <w:widowControl w:val="0"/>
              <w:autoSpaceDE w:val="0"/>
              <w:autoSpaceDN w:val="0"/>
              <w:adjustRightInd w:val="0"/>
              <w:spacing w:after="0" w:line="240" w:lineRule="auto"/>
              <w:rPr>
                <w:color w:val="auto"/>
                <w:sz w:val="18"/>
                <w:szCs w:val="18"/>
              </w:rPr>
            </w:pPr>
          </w:p>
        </w:tc>
      </w:tr>
      <w:tr w:rsidR="00EC1DF5" w:rsidRPr="00EC1DF5" w14:paraId="35462AA5" w14:textId="77777777" w:rsidTr="00453380">
        <w:tc>
          <w:tcPr>
            <w:tcW w:w="2108" w:type="dxa"/>
            <w:tcBorders>
              <w:top w:val="nil"/>
              <w:left w:val="nil"/>
              <w:bottom w:val="nil"/>
              <w:right w:val="nil"/>
            </w:tcBorders>
            <w:vAlign w:val="center"/>
          </w:tcPr>
          <w:p w14:paraId="5748B50F"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50" w:type="dxa"/>
            <w:tcBorders>
              <w:top w:val="nil"/>
              <w:left w:val="nil"/>
              <w:bottom w:val="nil"/>
              <w:right w:val="nil"/>
            </w:tcBorders>
            <w:vAlign w:val="center"/>
          </w:tcPr>
          <w:p w14:paraId="1B56D618"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6D6021CB"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1BFD691A"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63B5C3C3"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(0.084)</w:t>
            </w:r>
          </w:p>
        </w:tc>
        <w:tc>
          <w:tcPr>
            <w:tcW w:w="1200" w:type="dxa"/>
            <w:tcBorders>
              <w:top w:val="nil"/>
              <w:left w:val="nil"/>
              <w:bottom w:val="nil"/>
              <w:right w:val="nil"/>
            </w:tcBorders>
            <w:vAlign w:val="center"/>
          </w:tcPr>
          <w:p w14:paraId="4F240E51" w14:textId="77777777" w:rsidR="00AB41CC" w:rsidRPr="00EC1DF5" w:rsidRDefault="00AB41CC" w:rsidP="00453380">
            <w:pPr>
              <w:widowControl w:val="0"/>
              <w:autoSpaceDE w:val="0"/>
              <w:autoSpaceDN w:val="0"/>
              <w:adjustRightInd w:val="0"/>
              <w:spacing w:after="0" w:line="240" w:lineRule="auto"/>
              <w:rPr>
                <w:color w:val="auto"/>
                <w:sz w:val="18"/>
                <w:szCs w:val="18"/>
              </w:rPr>
            </w:pPr>
          </w:p>
        </w:tc>
      </w:tr>
      <w:tr w:rsidR="00EC1DF5" w:rsidRPr="00EC1DF5" w14:paraId="59BC7DFE" w14:textId="77777777" w:rsidTr="00453380">
        <w:tc>
          <w:tcPr>
            <w:tcW w:w="2108" w:type="dxa"/>
            <w:tcBorders>
              <w:top w:val="nil"/>
              <w:left w:val="nil"/>
              <w:bottom w:val="nil"/>
              <w:right w:val="nil"/>
            </w:tcBorders>
            <w:vAlign w:val="center"/>
          </w:tcPr>
          <w:p w14:paraId="5FDEC106"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i/>
                <w:color w:val="auto"/>
                <w:sz w:val="18"/>
                <w:szCs w:val="18"/>
              </w:rPr>
              <w:t>BSTR</w:t>
            </w:r>
          </w:p>
        </w:tc>
        <w:tc>
          <w:tcPr>
            <w:tcW w:w="1250" w:type="dxa"/>
            <w:tcBorders>
              <w:top w:val="nil"/>
              <w:left w:val="nil"/>
              <w:bottom w:val="nil"/>
              <w:right w:val="nil"/>
            </w:tcBorders>
            <w:vAlign w:val="center"/>
          </w:tcPr>
          <w:p w14:paraId="7F9FEF26"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35A67B31"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4ED0E057"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3E3B45C5"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02F05A15"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-0.115</w:t>
            </w:r>
          </w:p>
        </w:tc>
      </w:tr>
      <w:tr w:rsidR="00EC1DF5" w:rsidRPr="00EC1DF5" w14:paraId="48C5B219" w14:textId="77777777" w:rsidTr="00453380">
        <w:tc>
          <w:tcPr>
            <w:tcW w:w="2108" w:type="dxa"/>
            <w:tcBorders>
              <w:top w:val="nil"/>
              <w:left w:val="nil"/>
              <w:bottom w:val="nil"/>
              <w:right w:val="nil"/>
            </w:tcBorders>
            <w:vAlign w:val="center"/>
          </w:tcPr>
          <w:p w14:paraId="2F3A531E"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50" w:type="dxa"/>
            <w:tcBorders>
              <w:top w:val="nil"/>
              <w:left w:val="nil"/>
              <w:bottom w:val="nil"/>
              <w:right w:val="nil"/>
            </w:tcBorders>
            <w:vAlign w:val="center"/>
          </w:tcPr>
          <w:p w14:paraId="6B936835"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1111AFF2"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6E977F99"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4507029F"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38FC7949"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(0.142)</w:t>
            </w:r>
          </w:p>
        </w:tc>
      </w:tr>
      <w:tr w:rsidR="00EC1DF5" w:rsidRPr="00EC1DF5" w14:paraId="5E1780C6" w14:textId="77777777" w:rsidTr="00453380">
        <w:tc>
          <w:tcPr>
            <w:tcW w:w="2108" w:type="dxa"/>
            <w:tcBorders>
              <w:top w:val="nil"/>
              <w:left w:val="nil"/>
              <w:bottom w:val="nil"/>
              <w:right w:val="nil"/>
            </w:tcBorders>
            <w:vAlign w:val="center"/>
          </w:tcPr>
          <w:p w14:paraId="634E34FC" w14:textId="77777777" w:rsidR="00AB41CC" w:rsidRPr="00EC1DF5" w:rsidRDefault="00AB41CC" w:rsidP="00453380">
            <w:pPr>
              <w:widowControl w:val="0"/>
              <w:autoSpaceDE w:val="0"/>
              <w:autoSpaceDN w:val="0"/>
              <w:adjustRightInd w:val="0"/>
              <w:spacing w:after="0" w:line="240" w:lineRule="auto"/>
              <w:ind w:firstLine="175"/>
              <w:rPr>
                <w:color w:val="auto"/>
                <w:sz w:val="18"/>
                <w:szCs w:val="18"/>
              </w:rPr>
            </w:pPr>
            <w:r w:rsidRPr="00EC1DF5">
              <w:rPr>
                <w:color w:val="auto"/>
                <w:sz w:val="18"/>
                <w:szCs w:val="18"/>
              </w:rPr>
              <w:t xml:space="preserve">Low Stake X </w:t>
            </w:r>
            <w:r w:rsidRPr="00EC1DF5">
              <w:rPr>
                <w:i/>
                <w:color w:val="auto"/>
                <w:sz w:val="18"/>
                <w:szCs w:val="18"/>
              </w:rPr>
              <w:t>BF</w:t>
            </w:r>
          </w:p>
        </w:tc>
        <w:tc>
          <w:tcPr>
            <w:tcW w:w="1250" w:type="dxa"/>
            <w:tcBorders>
              <w:top w:val="nil"/>
              <w:left w:val="nil"/>
              <w:bottom w:val="nil"/>
              <w:right w:val="nil"/>
            </w:tcBorders>
            <w:vAlign w:val="center"/>
          </w:tcPr>
          <w:p w14:paraId="4A538176"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009A6483"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3E0EA47F"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52C96ABD"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1410A85C"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0.033</w:t>
            </w:r>
          </w:p>
        </w:tc>
      </w:tr>
      <w:tr w:rsidR="00EC1DF5" w:rsidRPr="00EC1DF5" w14:paraId="7C82E7A6" w14:textId="77777777" w:rsidTr="00453380">
        <w:tc>
          <w:tcPr>
            <w:tcW w:w="2108" w:type="dxa"/>
            <w:tcBorders>
              <w:top w:val="nil"/>
              <w:left w:val="nil"/>
              <w:bottom w:val="nil"/>
              <w:right w:val="nil"/>
            </w:tcBorders>
            <w:vAlign w:val="center"/>
          </w:tcPr>
          <w:p w14:paraId="46B42457" w14:textId="77777777" w:rsidR="00AB41CC" w:rsidRPr="00EC1DF5" w:rsidRDefault="00AB41CC" w:rsidP="00453380">
            <w:pPr>
              <w:widowControl w:val="0"/>
              <w:autoSpaceDE w:val="0"/>
              <w:autoSpaceDN w:val="0"/>
              <w:adjustRightInd w:val="0"/>
              <w:spacing w:after="0" w:line="240" w:lineRule="auto"/>
              <w:ind w:firstLine="175"/>
              <w:rPr>
                <w:color w:val="auto"/>
                <w:sz w:val="18"/>
                <w:szCs w:val="18"/>
              </w:rPr>
            </w:pPr>
          </w:p>
        </w:tc>
        <w:tc>
          <w:tcPr>
            <w:tcW w:w="1250" w:type="dxa"/>
            <w:tcBorders>
              <w:top w:val="nil"/>
              <w:left w:val="nil"/>
              <w:bottom w:val="nil"/>
              <w:right w:val="nil"/>
            </w:tcBorders>
            <w:vAlign w:val="center"/>
          </w:tcPr>
          <w:p w14:paraId="07E2F37A"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28A348F1"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1B32132E"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6B168614"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5A229A36"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(0.099)</w:t>
            </w:r>
          </w:p>
        </w:tc>
      </w:tr>
      <w:tr w:rsidR="00EC1DF5" w:rsidRPr="00EC1DF5" w14:paraId="68984A95" w14:textId="77777777" w:rsidTr="00453380">
        <w:tc>
          <w:tcPr>
            <w:tcW w:w="2108" w:type="dxa"/>
            <w:tcBorders>
              <w:top w:val="nil"/>
              <w:left w:val="nil"/>
              <w:bottom w:val="nil"/>
              <w:right w:val="nil"/>
            </w:tcBorders>
            <w:vAlign w:val="center"/>
          </w:tcPr>
          <w:p w14:paraId="44FDC9EF" w14:textId="77777777" w:rsidR="00AB41CC" w:rsidRPr="00EC1DF5" w:rsidRDefault="00AB41CC" w:rsidP="00453380">
            <w:pPr>
              <w:widowControl w:val="0"/>
              <w:autoSpaceDE w:val="0"/>
              <w:autoSpaceDN w:val="0"/>
              <w:adjustRightInd w:val="0"/>
              <w:spacing w:after="0" w:line="240" w:lineRule="auto"/>
              <w:ind w:firstLine="175"/>
              <w:rPr>
                <w:color w:val="auto"/>
                <w:sz w:val="18"/>
                <w:szCs w:val="18"/>
              </w:rPr>
            </w:pPr>
            <w:r w:rsidRPr="00EC1DF5">
              <w:rPr>
                <w:color w:val="auto"/>
                <w:sz w:val="18"/>
                <w:szCs w:val="18"/>
              </w:rPr>
              <w:t xml:space="preserve">High Stake X </w:t>
            </w:r>
            <w:r w:rsidRPr="00EC1DF5">
              <w:rPr>
                <w:i/>
                <w:color w:val="auto"/>
                <w:sz w:val="18"/>
                <w:szCs w:val="18"/>
              </w:rPr>
              <w:t>BF</w:t>
            </w:r>
          </w:p>
        </w:tc>
        <w:tc>
          <w:tcPr>
            <w:tcW w:w="1250" w:type="dxa"/>
            <w:tcBorders>
              <w:top w:val="nil"/>
              <w:left w:val="nil"/>
              <w:bottom w:val="nil"/>
              <w:right w:val="nil"/>
            </w:tcBorders>
            <w:vAlign w:val="center"/>
          </w:tcPr>
          <w:p w14:paraId="5738AEC3"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34955FFC"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619004A9"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6D0FB77C"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nil"/>
              <w:right w:val="nil"/>
            </w:tcBorders>
            <w:vAlign w:val="center"/>
          </w:tcPr>
          <w:p w14:paraId="0EFF0610"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0.206**</w:t>
            </w:r>
          </w:p>
        </w:tc>
      </w:tr>
      <w:tr w:rsidR="00EC1DF5" w:rsidRPr="00EC1DF5" w14:paraId="522554D5" w14:textId="77777777" w:rsidTr="00453380">
        <w:tc>
          <w:tcPr>
            <w:tcW w:w="2108" w:type="dxa"/>
            <w:tcBorders>
              <w:top w:val="nil"/>
              <w:left w:val="nil"/>
              <w:bottom w:val="single" w:sz="4" w:space="0" w:color="auto"/>
              <w:right w:val="nil"/>
            </w:tcBorders>
            <w:vAlign w:val="center"/>
          </w:tcPr>
          <w:p w14:paraId="35722DDE"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50" w:type="dxa"/>
            <w:tcBorders>
              <w:top w:val="nil"/>
              <w:left w:val="nil"/>
              <w:bottom w:val="single" w:sz="4" w:space="0" w:color="auto"/>
              <w:right w:val="nil"/>
            </w:tcBorders>
            <w:vAlign w:val="center"/>
          </w:tcPr>
          <w:p w14:paraId="78565B29"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single" w:sz="4" w:space="0" w:color="auto"/>
              <w:right w:val="nil"/>
            </w:tcBorders>
            <w:vAlign w:val="center"/>
          </w:tcPr>
          <w:p w14:paraId="23F438F8"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single" w:sz="4" w:space="0" w:color="auto"/>
              <w:right w:val="nil"/>
            </w:tcBorders>
            <w:vAlign w:val="center"/>
          </w:tcPr>
          <w:p w14:paraId="6B3A4C58"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single" w:sz="4" w:space="0" w:color="auto"/>
              <w:right w:val="nil"/>
            </w:tcBorders>
            <w:vAlign w:val="center"/>
          </w:tcPr>
          <w:p w14:paraId="368FCC66" w14:textId="77777777" w:rsidR="00AB41CC" w:rsidRPr="00EC1DF5" w:rsidRDefault="00AB41CC" w:rsidP="00453380">
            <w:pPr>
              <w:widowControl w:val="0"/>
              <w:autoSpaceDE w:val="0"/>
              <w:autoSpaceDN w:val="0"/>
              <w:adjustRightInd w:val="0"/>
              <w:spacing w:after="0" w:line="240" w:lineRule="auto"/>
              <w:rPr>
                <w:color w:val="auto"/>
                <w:sz w:val="18"/>
                <w:szCs w:val="18"/>
              </w:rPr>
            </w:pPr>
          </w:p>
        </w:tc>
        <w:tc>
          <w:tcPr>
            <w:tcW w:w="1200" w:type="dxa"/>
            <w:tcBorders>
              <w:top w:val="nil"/>
              <w:left w:val="nil"/>
              <w:bottom w:val="single" w:sz="4" w:space="0" w:color="auto"/>
              <w:right w:val="nil"/>
            </w:tcBorders>
            <w:vAlign w:val="center"/>
          </w:tcPr>
          <w:p w14:paraId="45A1256B"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(0.090)</w:t>
            </w:r>
          </w:p>
        </w:tc>
      </w:tr>
      <w:tr w:rsidR="00EC1DF5" w:rsidRPr="00EC1DF5" w14:paraId="02C3370F" w14:textId="77777777" w:rsidTr="00453380">
        <w:tc>
          <w:tcPr>
            <w:tcW w:w="2108" w:type="dxa"/>
            <w:tcBorders>
              <w:top w:val="single" w:sz="4" w:space="0" w:color="auto"/>
              <w:left w:val="nil"/>
              <w:bottom w:val="nil"/>
              <w:right w:val="nil"/>
            </w:tcBorders>
            <w:vAlign w:val="center"/>
          </w:tcPr>
          <w:p w14:paraId="7D345CD9"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Obs.</w:t>
            </w:r>
          </w:p>
        </w:tc>
        <w:tc>
          <w:tcPr>
            <w:tcW w:w="1250" w:type="dxa"/>
            <w:tcBorders>
              <w:top w:val="single" w:sz="4" w:space="0" w:color="auto"/>
              <w:left w:val="nil"/>
              <w:bottom w:val="nil"/>
              <w:right w:val="nil"/>
            </w:tcBorders>
            <w:vAlign w:val="center"/>
          </w:tcPr>
          <w:p w14:paraId="5CDAD921"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4931</w:t>
            </w:r>
          </w:p>
        </w:tc>
        <w:tc>
          <w:tcPr>
            <w:tcW w:w="1200" w:type="dxa"/>
            <w:tcBorders>
              <w:top w:val="single" w:sz="4" w:space="0" w:color="auto"/>
              <w:left w:val="nil"/>
              <w:bottom w:val="nil"/>
              <w:right w:val="nil"/>
            </w:tcBorders>
            <w:vAlign w:val="center"/>
          </w:tcPr>
          <w:p w14:paraId="52C8C132"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4931</w:t>
            </w:r>
          </w:p>
        </w:tc>
        <w:tc>
          <w:tcPr>
            <w:tcW w:w="1200" w:type="dxa"/>
            <w:tcBorders>
              <w:top w:val="single" w:sz="4" w:space="0" w:color="auto"/>
              <w:left w:val="nil"/>
              <w:bottom w:val="nil"/>
              <w:right w:val="nil"/>
            </w:tcBorders>
            <w:vAlign w:val="center"/>
          </w:tcPr>
          <w:p w14:paraId="7AA87ED1"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4931</w:t>
            </w:r>
          </w:p>
        </w:tc>
        <w:tc>
          <w:tcPr>
            <w:tcW w:w="1200" w:type="dxa"/>
            <w:tcBorders>
              <w:top w:val="single" w:sz="4" w:space="0" w:color="auto"/>
              <w:left w:val="nil"/>
              <w:bottom w:val="nil"/>
              <w:right w:val="nil"/>
            </w:tcBorders>
            <w:vAlign w:val="center"/>
          </w:tcPr>
          <w:p w14:paraId="2D160818"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4931</w:t>
            </w:r>
          </w:p>
        </w:tc>
        <w:tc>
          <w:tcPr>
            <w:tcW w:w="1200" w:type="dxa"/>
            <w:tcBorders>
              <w:top w:val="single" w:sz="4" w:space="0" w:color="auto"/>
              <w:left w:val="nil"/>
              <w:bottom w:val="nil"/>
              <w:right w:val="nil"/>
            </w:tcBorders>
            <w:vAlign w:val="center"/>
          </w:tcPr>
          <w:p w14:paraId="41415769"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4931</w:t>
            </w:r>
          </w:p>
        </w:tc>
      </w:tr>
      <w:tr w:rsidR="00EC1DF5" w:rsidRPr="00EC1DF5" w14:paraId="5CE8F321" w14:textId="77777777" w:rsidTr="00453380">
        <w:tc>
          <w:tcPr>
            <w:tcW w:w="2108" w:type="dxa"/>
            <w:tcBorders>
              <w:top w:val="nil"/>
              <w:left w:val="nil"/>
              <w:bottom w:val="nil"/>
              <w:right w:val="nil"/>
            </w:tcBorders>
            <w:vAlign w:val="center"/>
          </w:tcPr>
          <w:p w14:paraId="1623DABF"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R-squared</w:t>
            </w:r>
          </w:p>
        </w:tc>
        <w:tc>
          <w:tcPr>
            <w:tcW w:w="1250" w:type="dxa"/>
            <w:tcBorders>
              <w:top w:val="nil"/>
              <w:left w:val="nil"/>
              <w:bottom w:val="nil"/>
              <w:right w:val="nil"/>
            </w:tcBorders>
            <w:vAlign w:val="center"/>
          </w:tcPr>
          <w:p w14:paraId="788B8FE0"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0.146</w:t>
            </w:r>
          </w:p>
        </w:tc>
        <w:tc>
          <w:tcPr>
            <w:tcW w:w="1200" w:type="dxa"/>
            <w:tcBorders>
              <w:top w:val="nil"/>
              <w:left w:val="nil"/>
              <w:bottom w:val="nil"/>
              <w:right w:val="nil"/>
            </w:tcBorders>
            <w:vAlign w:val="center"/>
          </w:tcPr>
          <w:p w14:paraId="1D1B87F4"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0.145</w:t>
            </w:r>
          </w:p>
        </w:tc>
        <w:tc>
          <w:tcPr>
            <w:tcW w:w="1200" w:type="dxa"/>
            <w:tcBorders>
              <w:top w:val="nil"/>
              <w:left w:val="nil"/>
              <w:bottom w:val="nil"/>
              <w:right w:val="nil"/>
            </w:tcBorders>
            <w:vAlign w:val="center"/>
          </w:tcPr>
          <w:p w14:paraId="443B4D9E"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0.146</w:t>
            </w:r>
          </w:p>
        </w:tc>
        <w:tc>
          <w:tcPr>
            <w:tcW w:w="1200" w:type="dxa"/>
            <w:tcBorders>
              <w:top w:val="nil"/>
              <w:left w:val="nil"/>
              <w:bottom w:val="nil"/>
              <w:right w:val="nil"/>
            </w:tcBorders>
            <w:vAlign w:val="center"/>
          </w:tcPr>
          <w:p w14:paraId="321D8628"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0.144</w:t>
            </w:r>
          </w:p>
        </w:tc>
        <w:tc>
          <w:tcPr>
            <w:tcW w:w="1200" w:type="dxa"/>
            <w:tcBorders>
              <w:top w:val="nil"/>
              <w:left w:val="nil"/>
              <w:bottom w:val="nil"/>
              <w:right w:val="nil"/>
            </w:tcBorders>
            <w:vAlign w:val="center"/>
          </w:tcPr>
          <w:p w14:paraId="31B08B9E"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0.145</w:t>
            </w:r>
          </w:p>
        </w:tc>
      </w:tr>
      <w:tr w:rsidR="00EC1DF5" w:rsidRPr="00EC1DF5" w14:paraId="6AABC6AF" w14:textId="77777777" w:rsidTr="00453380">
        <w:tc>
          <w:tcPr>
            <w:tcW w:w="2108" w:type="dxa"/>
            <w:tcBorders>
              <w:top w:val="nil"/>
              <w:left w:val="nil"/>
              <w:right w:val="nil"/>
            </w:tcBorders>
            <w:vAlign w:val="center"/>
          </w:tcPr>
          <w:p w14:paraId="6FC424CF"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Industry Dummy</w:t>
            </w:r>
          </w:p>
        </w:tc>
        <w:tc>
          <w:tcPr>
            <w:tcW w:w="1250" w:type="dxa"/>
            <w:tcBorders>
              <w:top w:val="nil"/>
              <w:left w:val="nil"/>
              <w:right w:val="nil"/>
            </w:tcBorders>
            <w:vAlign w:val="center"/>
          </w:tcPr>
          <w:p w14:paraId="52C501A6"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Yes</w:t>
            </w:r>
          </w:p>
        </w:tc>
        <w:tc>
          <w:tcPr>
            <w:tcW w:w="1200" w:type="dxa"/>
            <w:tcBorders>
              <w:top w:val="nil"/>
              <w:left w:val="nil"/>
              <w:right w:val="nil"/>
            </w:tcBorders>
            <w:vAlign w:val="center"/>
          </w:tcPr>
          <w:p w14:paraId="6ADD1F3C"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Yes</w:t>
            </w:r>
          </w:p>
        </w:tc>
        <w:tc>
          <w:tcPr>
            <w:tcW w:w="1200" w:type="dxa"/>
            <w:tcBorders>
              <w:top w:val="nil"/>
              <w:left w:val="nil"/>
              <w:right w:val="nil"/>
            </w:tcBorders>
            <w:vAlign w:val="center"/>
          </w:tcPr>
          <w:p w14:paraId="40042A25"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Yes</w:t>
            </w:r>
          </w:p>
        </w:tc>
        <w:tc>
          <w:tcPr>
            <w:tcW w:w="1200" w:type="dxa"/>
            <w:tcBorders>
              <w:top w:val="nil"/>
              <w:left w:val="nil"/>
              <w:right w:val="nil"/>
            </w:tcBorders>
            <w:vAlign w:val="center"/>
          </w:tcPr>
          <w:p w14:paraId="7AD1B643"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Yes</w:t>
            </w:r>
          </w:p>
        </w:tc>
        <w:tc>
          <w:tcPr>
            <w:tcW w:w="1200" w:type="dxa"/>
            <w:tcBorders>
              <w:top w:val="nil"/>
              <w:left w:val="nil"/>
              <w:right w:val="nil"/>
            </w:tcBorders>
            <w:vAlign w:val="center"/>
          </w:tcPr>
          <w:p w14:paraId="5A4A2CF6"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Yes</w:t>
            </w:r>
          </w:p>
        </w:tc>
      </w:tr>
      <w:tr w:rsidR="00EC1DF5" w:rsidRPr="00EC1DF5" w14:paraId="69BEE96A" w14:textId="77777777" w:rsidTr="00453380">
        <w:tc>
          <w:tcPr>
            <w:tcW w:w="2108" w:type="dxa"/>
            <w:tcBorders>
              <w:top w:val="nil"/>
              <w:left w:val="nil"/>
              <w:bottom w:val="nil"/>
              <w:right w:val="nil"/>
            </w:tcBorders>
            <w:vAlign w:val="center"/>
          </w:tcPr>
          <w:p w14:paraId="5AF2284D"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Year Dummy</w:t>
            </w:r>
          </w:p>
        </w:tc>
        <w:tc>
          <w:tcPr>
            <w:tcW w:w="1250" w:type="dxa"/>
            <w:tcBorders>
              <w:top w:val="nil"/>
              <w:left w:val="nil"/>
              <w:bottom w:val="nil"/>
              <w:right w:val="nil"/>
            </w:tcBorders>
            <w:vAlign w:val="center"/>
          </w:tcPr>
          <w:p w14:paraId="1700EE10"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Yes</w:t>
            </w:r>
          </w:p>
        </w:tc>
        <w:tc>
          <w:tcPr>
            <w:tcW w:w="1200" w:type="dxa"/>
            <w:tcBorders>
              <w:top w:val="nil"/>
              <w:left w:val="nil"/>
              <w:bottom w:val="nil"/>
              <w:right w:val="nil"/>
            </w:tcBorders>
            <w:vAlign w:val="center"/>
          </w:tcPr>
          <w:p w14:paraId="19B9985B"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Yes</w:t>
            </w:r>
          </w:p>
        </w:tc>
        <w:tc>
          <w:tcPr>
            <w:tcW w:w="1200" w:type="dxa"/>
            <w:tcBorders>
              <w:top w:val="nil"/>
              <w:left w:val="nil"/>
              <w:bottom w:val="nil"/>
              <w:right w:val="nil"/>
            </w:tcBorders>
            <w:vAlign w:val="center"/>
          </w:tcPr>
          <w:p w14:paraId="0016ABE9"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Yes</w:t>
            </w:r>
          </w:p>
        </w:tc>
        <w:tc>
          <w:tcPr>
            <w:tcW w:w="1200" w:type="dxa"/>
            <w:tcBorders>
              <w:top w:val="nil"/>
              <w:left w:val="nil"/>
              <w:bottom w:val="nil"/>
              <w:right w:val="nil"/>
            </w:tcBorders>
            <w:vAlign w:val="center"/>
          </w:tcPr>
          <w:p w14:paraId="00CDBCC0"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Yes</w:t>
            </w:r>
          </w:p>
        </w:tc>
        <w:tc>
          <w:tcPr>
            <w:tcW w:w="1200" w:type="dxa"/>
            <w:tcBorders>
              <w:top w:val="nil"/>
              <w:left w:val="nil"/>
              <w:bottom w:val="nil"/>
              <w:right w:val="nil"/>
            </w:tcBorders>
            <w:vAlign w:val="center"/>
          </w:tcPr>
          <w:p w14:paraId="6FCEC094" w14:textId="77777777" w:rsidR="00AB41CC" w:rsidRPr="00EC1DF5" w:rsidRDefault="00AB41CC" w:rsidP="00453380">
            <w:pPr>
              <w:widowControl w:val="0"/>
              <w:autoSpaceDE w:val="0"/>
              <w:autoSpaceDN w:val="0"/>
              <w:adjustRightInd w:val="0"/>
              <w:spacing w:after="0" w:line="240" w:lineRule="auto"/>
              <w:rPr>
                <w:color w:val="auto"/>
                <w:sz w:val="18"/>
                <w:szCs w:val="18"/>
              </w:rPr>
            </w:pPr>
            <w:r w:rsidRPr="00EC1DF5">
              <w:rPr>
                <w:color w:val="auto"/>
                <w:sz w:val="18"/>
                <w:szCs w:val="18"/>
              </w:rPr>
              <w:t>Yes</w:t>
            </w:r>
          </w:p>
        </w:tc>
      </w:tr>
      <w:tr w:rsidR="00EC1DF5" w:rsidRPr="00EC1DF5" w14:paraId="0A678D78" w14:textId="77777777" w:rsidTr="00453380">
        <w:tc>
          <w:tcPr>
            <w:tcW w:w="8158" w:type="dxa"/>
            <w:gridSpan w:val="6"/>
            <w:tcBorders>
              <w:top w:val="nil"/>
              <w:left w:val="nil"/>
              <w:bottom w:val="single" w:sz="4" w:space="0" w:color="auto"/>
              <w:right w:val="nil"/>
            </w:tcBorders>
            <w:vAlign w:val="center"/>
          </w:tcPr>
          <w:p w14:paraId="5C0D6EFB" w14:textId="77777777" w:rsidR="00AB41CC" w:rsidRPr="00EC1DF5" w:rsidRDefault="00AB41CC" w:rsidP="00453380">
            <w:pPr>
              <w:widowControl w:val="0"/>
              <w:autoSpaceDE w:val="0"/>
              <w:autoSpaceDN w:val="0"/>
              <w:adjustRightInd w:val="0"/>
              <w:spacing w:after="0" w:line="240" w:lineRule="auto"/>
              <w:rPr>
                <w:color w:val="auto"/>
                <w:sz w:val="18"/>
                <w:szCs w:val="18"/>
              </w:rPr>
            </w:pPr>
          </w:p>
        </w:tc>
      </w:tr>
      <w:tr w:rsidR="00EC1DF5" w:rsidRPr="00EC1DF5" w14:paraId="5719AF3E" w14:textId="77777777" w:rsidTr="00453380">
        <w:trPr>
          <w:trHeight w:val="444"/>
        </w:trPr>
        <w:tc>
          <w:tcPr>
            <w:tcW w:w="8158" w:type="dxa"/>
            <w:gridSpan w:val="6"/>
            <w:tcBorders>
              <w:top w:val="single" w:sz="4" w:space="0" w:color="auto"/>
              <w:left w:val="nil"/>
              <w:bottom w:val="single" w:sz="4" w:space="0" w:color="auto"/>
              <w:right w:val="nil"/>
            </w:tcBorders>
          </w:tcPr>
          <w:p w14:paraId="41AAF8DB" w14:textId="77777777" w:rsidR="00AB41CC" w:rsidRPr="00EC1DF5" w:rsidRDefault="00AB41CC" w:rsidP="00453380">
            <w:pPr>
              <w:widowControl w:val="0"/>
              <w:autoSpaceDE w:val="0"/>
              <w:autoSpaceDN w:val="0"/>
              <w:adjustRightInd w:val="0"/>
              <w:spacing w:after="0" w:line="360" w:lineRule="auto"/>
              <w:jc w:val="both"/>
              <w:rPr>
                <w:color w:val="auto"/>
                <w:sz w:val="18"/>
                <w:szCs w:val="18"/>
              </w:rPr>
            </w:pPr>
            <w:r w:rsidRPr="00EC1DF5">
              <w:rPr>
                <w:color w:val="auto"/>
                <w:sz w:val="18"/>
                <w:szCs w:val="18"/>
              </w:rPr>
              <w:t xml:space="preserve"> Table 8 shows the stakeholder engagement interaction with corporate governance pillars on financial sustainability. </w:t>
            </w:r>
            <w:r w:rsidRPr="00EC1DF5">
              <w:rPr>
                <w:b/>
                <w:bCs/>
                <w:color w:val="auto"/>
                <w:sz w:val="18"/>
                <w:szCs w:val="18"/>
              </w:rPr>
              <w:t>Models 1 to 5</w:t>
            </w:r>
            <w:r w:rsidRPr="00EC1DF5">
              <w:rPr>
                <w:color w:val="auto"/>
                <w:sz w:val="18"/>
                <w:szCs w:val="18"/>
              </w:rPr>
              <w:t xml:space="preserve"> represent the stepwise results of the interaction effect on Tobin’s Q. For interaction effects, we employed the two main levels of engagement i.e., low stakeholder engagement (</w:t>
            </w:r>
            <w:r w:rsidRPr="00EC1DF5">
              <w:rPr>
                <w:i/>
                <w:color w:val="auto"/>
                <w:sz w:val="18"/>
                <w:szCs w:val="18"/>
              </w:rPr>
              <w:t>Low Stake</w:t>
            </w:r>
            <w:r w:rsidRPr="00EC1DF5">
              <w:rPr>
                <w:color w:val="auto"/>
                <w:sz w:val="18"/>
                <w:szCs w:val="18"/>
              </w:rPr>
              <w:t>) and high stakeholder engagement (</w:t>
            </w:r>
            <w:r w:rsidRPr="00EC1DF5">
              <w:rPr>
                <w:i/>
                <w:color w:val="auto"/>
                <w:sz w:val="18"/>
                <w:szCs w:val="18"/>
              </w:rPr>
              <w:t>High Stake</w:t>
            </w:r>
            <w:r w:rsidRPr="00EC1DF5">
              <w:rPr>
                <w:color w:val="auto"/>
                <w:sz w:val="18"/>
                <w:szCs w:val="18"/>
              </w:rPr>
              <w:t>) to interact with all five independent variables (</w:t>
            </w:r>
            <w:r w:rsidRPr="00EC1DF5">
              <w:rPr>
                <w:i/>
                <w:color w:val="auto"/>
                <w:sz w:val="18"/>
                <w:szCs w:val="18"/>
              </w:rPr>
              <w:t>BF, BST, BS, BSR</w:t>
            </w:r>
            <w:r w:rsidRPr="00EC1DF5">
              <w:rPr>
                <w:color w:val="auto"/>
                <w:sz w:val="18"/>
                <w:szCs w:val="18"/>
              </w:rPr>
              <w:t xml:space="preserve"> and </w:t>
            </w:r>
            <w:r w:rsidRPr="00EC1DF5">
              <w:rPr>
                <w:i/>
                <w:color w:val="auto"/>
                <w:sz w:val="18"/>
                <w:szCs w:val="18"/>
              </w:rPr>
              <w:t>BSTR</w:t>
            </w:r>
            <w:r w:rsidRPr="00EC1DF5">
              <w:rPr>
                <w:color w:val="auto"/>
                <w:sz w:val="18"/>
                <w:szCs w:val="18"/>
              </w:rPr>
              <w:t xml:space="preserve">). </w:t>
            </w:r>
          </w:p>
        </w:tc>
      </w:tr>
    </w:tbl>
    <w:p w14:paraId="0F64B485" w14:textId="77777777" w:rsidR="00AB41CC" w:rsidRPr="00EC1DF5" w:rsidRDefault="00AB41CC" w:rsidP="00AB41CC">
      <w:pPr>
        <w:rPr>
          <w:color w:val="auto"/>
        </w:rPr>
      </w:pPr>
    </w:p>
    <w:p w14:paraId="256E0160" w14:textId="77777777" w:rsidR="00AB41CC" w:rsidRPr="00EC1DF5" w:rsidRDefault="00AB41CC" w:rsidP="00AB41CC">
      <w:pPr>
        <w:spacing w:line="480" w:lineRule="auto"/>
        <w:rPr>
          <w:b/>
          <w:color w:val="auto"/>
          <w:u w:val="single"/>
        </w:rPr>
      </w:pPr>
    </w:p>
    <w:p w14:paraId="0837760D" w14:textId="77777777" w:rsidR="00AB41CC" w:rsidRPr="00EC1DF5" w:rsidRDefault="00AB41CC" w:rsidP="00AB41CC">
      <w:pPr>
        <w:spacing w:line="480" w:lineRule="auto"/>
        <w:rPr>
          <w:b/>
          <w:color w:val="auto"/>
          <w:u w:val="single"/>
        </w:rPr>
      </w:pPr>
    </w:p>
    <w:p w14:paraId="52B890B6" w14:textId="77777777" w:rsidR="00AB41CC" w:rsidRPr="00EC1DF5" w:rsidRDefault="00AB41CC" w:rsidP="00AB41CC">
      <w:pPr>
        <w:rPr>
          <w:color w:val="auto"/>
        </w:rPr>
      </w:pPr>
    </w:p>
    <w:p w14:paraId="7E7C70BC" w14:textId="06FDDD41" w:rsidR="008D2349" w:rsidRPr="00EC1DF5" w:rsidRDefault="008D2349" w:rsidP="0012185B">
      <w:pPr>
        <w:spacing w:before="240" w:after="0" w:line="276" w:lineRule="auto"/>
        <w:ind w:left="567" w:hanging="567"/>
        <w:rPr>
          <w:color w:val="auto"/>
        </w:rPr>
      </w:pPr>
    </w:p>
    <w:p w14:paraId="541DAAF4" w14:textId="11343028" w:rsidR="008D2349" w:rsidRPr="00EC1DF5" w:rsidRDefault="008D2349" w:rsidP="0012185B">
      <w:pPr>
        <w:spacing w:before="240" w:after="0" w:line="276" w:lineRule="auto"/>
        <w:ind w:left="567" w:hanging="567"/>
        <w:rPr>
          <w:color w:val="auto"/>
        </w:rPr>
      </w:pPr>
    </w:p>
    <w:p w14:paraId="1A281605" w14:textId="0EE18D18" w:rsidR="008D2349" w:rsidRPr="00EC1DF5" w:rsidRDefault="008D2349" w:rsidP="0012185B">
      <w:pPr>
        <w:spacing w:before="240" w:after="0" w:line="276" w:lineRule="auto"/>
        <w:ind w:left="567" w:hanging="567"/>
        <w:rPr>
          <w:color w:val="auto"/>
        </w:rPr>
      </w:pPr>
    </w:p>
    <w:p w14:paraId="7DEE8BEF" w14:textId="437B5532" w:rsidR="008D2349" w:rsidRPr="00EC1DF5" w:rsidRDefault="008D2349" w:rsidP="0012185B">
      <w:pPr>
        <w:spacing w:before="240" w:after="0" w:line="276" w:lineRule="auto"/>
        <w:ind w:left="567" w:hanging="567"/>
        <w:rPr>
          <w:color w:val="auto"/>
        </w:rPr>
      </w:pPr>
    </w:p>
    <w:p w14:paraId="6D80454A" w14:textId="6CEF17D3" w:rsidR="008D2349" w:rsidRPr="00EC1DF5" w:rsidRDefault="008D2349" w:rsidP="0012185B">
      <w:pPr>
        <w:spacing w:before="240" w:after="0" w:line="276" w:lineRule="auto"/>
        <w:ind w:left="567" w:hanging="567"/>
        <w:rPr>
          <w:color w:val="auto"/>
        </w:rPr>
      </w:pPr>
    </w:p>
    <w:sectPr w:rsidR="008D2349" w:rsidRPr="00EC1DF5" w:rsidSect="003758B1">
      <w:headerReference w:type="even" r:id="rId14"/>
      <w:headerReference w:type="default" r:id="rId15"/>
      <w:footerReference w:type="default" r:id="rId16"/>
      <w:headerReference w:type="first" r:id="rId17"/>
      <w:type w:val="continuous"/>
      <w:pgSz w:w="11906" w:h="16838"/>
      <w:pgMar w:top="1440" w:right="1440" w:bottom="1440" w:left="1440" w:header="706" w:footer="5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0747B0" w14:textId="77777777" w:rsidR="00A23F87" w:rsidRDefault="00A23F87" w:rsidP="001F0ED2">
      <w:pPr>
        <w:spacing w:after="0" w:line="240" w:lineRule="auto"/>
      </w:pPr>
      <w:r>
        <w:separator/>
      </w:r>
    </w:p>
  </w:endnote>
  <w:endnote w:type="continuationSeparator" w:id="0">
    <w:p w14:paraId="658EC61E" w14:textId="77777777" w:rsidR="00A23F87" w:rsidRDefault="00A23F87" w:rsidP="001F0E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0000000000000000000"/>
    <w:charset w:val="00"/>
    <w:family w:val="roman"/>
    <w:notTrueType/>
    <w:pitch w:val="default"/>
  </w:font>
  <w:font w:name="DengXian">
    <w:altName w:val="等线"/>
    <w:panose1 w:val="02010600030101010101"/>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E65B63" w14:textId="77777777" w:rsidR="00073692" w:rsidRDefault="000736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888CF9" w14:textId="77777777" w:rsidR="00E21407" w:rsidRPr="004D7969" w:rsidRDefault="00E21407">
    <w:pPr>
      <w:pStyle w:val="Footer"/>
      <w:jc w:val="center"/>
      <w:rPr>
        <w:color w:val="auto"/>
      </w:rPr>
    </w:pPr>
    <w:r w:rsidRPr="004D7969">
      <w:rPr>
        <w:color w:val="auto"/>
      </w:rPr>
      <w:t xml:space="preserve">Page </w:t>
    </w:r>
    <w:r w:rsidRPr="004D7969">
      <w:rPr>
        <w:color w:val="auto"/>
      </w:rPr>
      <w:fldChar w:fldCharType="begin"/>
    </w:r>
    <w:r w:rsidRPr="004D7969">
      <w:rPr>
        <w:color w:val="auto"/>
      </w:rPr>
      <w:instrText xml:space="preserve"> PAGE  \* Arabic  \* MERGEFORMAT </w:instrText>
    </w:r>
    <w:r w:rsidRPr="004D7969">
      <w:rPr>
        <w:color w:val="auto"/>
      </w:rPr>
      <w:fldChar w:fldCharType="separate"/>
    </w:r>
    <w:r>
      <w:rPr>
        <w:noProof/>
        <w:color w:val="auto"/>
      </w:rPr>
      <w:t>21</w:t>
    </w:r>
    <w:r w:rsidRPr="004D7969">
      <w:rPr>
        <w:color w:val="auto"/>
      </w:rPr>
      <w:fldChar w:fldCharType="end"/>
    </w:r>
    <w:r w:rsidRPr="004D7969">
      <w:rPr>
        <w:color w:val="auto"/>
      </w:rPr>
      <w:t xml:space="preserve"> of </w:t>
    </w:r>
    <w:r w:rsidRPr="004D7969">
      <w:rPr>
        <w:color w:val="auto"/>
      </w:rPr>
      <w:fldChar w:fldCharType="begin"/>
    </w:r>
    <w:r w:rsidRPr="004D7969">
      <w:rPr>
        <w:color w:val="auto"/>
      </w:rPr>
      <w:instrText xml:space="preserve"> NUMPAGES  \* Arabic  \* MERGEFORMAT </w:instrText>
    </w:r>
    <w:r w:rsidRPr="004D7969">
      <w:rPr>
        <w:color w:val="auto"/>
      </w:rPr>
      <w:fldChar w:fldCharType="separate"/>
    </w:r>
    <w:r>
      <w:rPr>
        <w:noProof/>
        <w:color w:val="auto"/>
      </w:rPr>
      <w:t>48</w:t>
    </w:r>
    <w:r w:rsidRPr="004D7969">
      <w:rPr>
        <w:color w:val="auto"/>
      </w:rPr>
      <w:fldChar w:fldCharType="end"/>
    </w:r>
  </w:p>
  <w:p w14:paraId="7594FCC7" w14:textId="77777777" w:rsidR="00E21407" w:rsidRDefault="00E214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105CC2" w14:textId="77777777" w:rsidR="00073692" w:rsidRDefault="0007369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18422437"/>
      <w:docPartObj>
        <w:docPartGallery w:val="Page Numbers (Bottom of Page)"/>
        <w:docPartUnique/>
      </w:docPartObj>
    </w:sdtPr>
    <w:sdtEndPr>
      <w:rPr>
        <w:noProof/>
      </w:rPr>
    </w:sdtEndPr>
    <w:sdtContent>
      <w:p w14:paraId="46AA5E46" w14:textId="4F730F0B" w:rsidR="00E21407" w:rsidRDefault="00E21407">
        <w:pPr>
          <w:pStyle w:val="Footer"/>
          <w:jc w:val="center"/>
        </w:pPr>
        <w:r>
          <w:fldChar w:fldCharType="begin"/>
        </w:r>
        <w:r>
          <w:instrText xml:space="preserve"> PAGE   \* MERGEFORMAT </w:instrText>
        </w:r>
        <w:r>
          <w:fldChar w:fldCharType="separate"/>
        </w:r>
        <w:r>
          <w:rPr>
            <w:noProof/>
          </w:rPr>
          <w:t>48</w:t>
        </w:r>
        <w:r>
          <w:rPr>
            <w:noProof/>
          </w:rPr>
          <w:fldChar w:fldCharType="end"/>
        </w:r>
      </w:p>
    </w:sdtContent>
  </w:sdt>
  <w:p w14:paraId="5936398B" w14:textId="77777777" w:rsidR="00E21407" w:rsidRDefault="00E21407">
    <w:pPr>
      <w:pStyle w:val="Footer"/>
    </w:pPr>
  </w:p>
  <w:p w14:paraId="02182E39" w14:textId="77777777" w:rsidR="00E21407" w:rsidRDefault="00E2140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56CF62" w14:textId="77777777" w:rsidR="00A23F87" w:rsidRDefault="00A23F87" w:rsidP="001F0ED2">
      <w:pPr>
        <w:spacing w:after="0" w:line="240" w:lineRule="auto"/>
      </w:pPr>
      <w:r>
        <w:separator/>
      </w:r>
    </w:p>
  </w:footnote>
  <w:footnote w:type="continuationSeparator" w:id="0">
    <w:p w14:paraId="00C368FA" w14:textId="77777777" w:rsidR="00A23F87" w:rsidRDefault="00A23F87" w:rsidP="001F0E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D96FBF" w14:textId="74593F08" w:rsidR="00073692" w:rsidRDefault="001C0FD4">
    <w:pPr>
      <w:pStyle w:val="Header"/>
    </w:pPr>
    <w:r>
      <w:rPr>
        <w:noProof/>
      </w:rPr>
      <w:pict w14:anchorId="4A387E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0702079" o:spid="_x0000_s2050" type="#_x0000_t136" style="position:absolute;margin-left:0;margin-top:0;width:538.4pt;height:97.85pt;rotation:315;z-index:-251655168;mso-position-horizontal:center;mso-position-horizontal-relative:margin;mso-position-vertical:center;mso-position-vertical-relative:margin" o:allowincell="f" fillcolor="silver" stroked="f">
          <v:fill opacity=".5"/>
          <v:textpath style="font-family:&quot;Times New Roman&quot;;font-size:1pt" string="MANUSCRI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43BBB5" w14:textId="77F3C8C6" w:rsidR="00073692" w:rsidRDefault="001C0FD4">
    <w:pPr>
      <w:pStyle w:val="Header"/>
    </w:pPr>
    <w:r>
      <w:rPr>
        <w:noProof/>
      </w:rPr>
      <w:pict w14:anchorId="4E719F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0702080" o:spid="_x0000_s2051" type="#_x0000_t136" style="position:absolute;margin-left:0;margin-top:0;width:538.4pt;height:97.85pt;rotation:315;z-index:-251653120;mso-position-horizontal:center;mso-position-horizontal-relative:margin;mso-position-vertical:center;mso-position-vertical-relative:margin" o:allowincell="f" fillcolor="silver" stroked="f">
          <v:fill opacity=".5"/>
          <v:textpath style="font-family:&quot;Times New Roman&quot;;font-size:1pt" string="MANUSCRIP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6B7D8D" w14:textId="7FE3E1DF" w:rsidR="00073692" w:rsidRDefault="001C0FD4">
    <w:pPr>
      <w:pStyle w:val="Header"/>
    </w:pPr>
    <w:r>
      <w:rPr>
        <w:noProof/>
      </w:rPr>
      <w:pict w14:anchorId="34DF91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0702078" o:spid="_x0000_s2049" type="#_x0000_t136" style="position:absolute;margin-left:0;margin-top:0;width:538.4pt;height:97.85pt;rotation:315;z-index:-251657216;mso-position-horizontal:center;mso-position-horizontal-relative:margin;mso-position-vertical:center;mso-position-vertical-relative:margin" o:allowincell="f" fillcolor="silver" stroked="f">
          <v:fill opacity=".5"/>
          <v:textpath style="font-family:&quot;Times New Roman&quot;;font-size:1pt" string="MANUSCRIP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ACE35D" w14:textId="79BDD8F4" w:rsidR="00073692" w:rsidRDefault="001C0FD4">
    <w:pPr>
      <w:pStyle w:val="Header"/>
    </w:pPr>
    <w:r>
      <w:rPr>
        <w:noProof/>
      </w:rPr>
      <w:pict w14:anchorId="5C02FD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0702082" o:spid="_x0000_s2053" type="#_x0000_t136" style="position:absolute;margin-left:0;margin-top:0;width:538.4pt;height:97.85pt;rotation:315;z-index:-251649024;mso-position-horizontal:center;mso-position-horizontal-relative:margin;mso-position-vertical:center;mso-position-vertical-relative:margin" o:allowincell="f" fillcolor="silver" stroked="f">
          <v:fill opacity=".5"/>
          <v:textpath style="font-family:&quot;Times New Roman&quot;;font-size:1pt" string="MANUSCRIP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C75033" w14:textId="2BC746A7" w:rsidR="00073692" w:rsidRDefault="001C0FD4">
    <w:pPr>
      <w:pStyle w:val="Header"/>
    </w:pPr>
    <w:r>
      <w:rPr>
        <w:noProof/>
      </w:rPr>
      <w:pict w14:anchorId="60EAD3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0702083" o:spid="_x0000_s2054" type="#_x0000_t136" style="position:absolute;margin-left:0;margin-top:0;width:538.4pt;height:97.85pt;rotation:315;z-index:-251646976;mso-position-horizontal:center;mso-position-horizontal-relative:margin;mso-position-vertical:center;mso-position-vertical-relative:margin" o:allowincell="f" fillcolor="silver" stroked="f">
          <v:fill opacity=".5"/>
          <v:textpath style="font-family:&quot;Times New Roman&quot;;font-size:1pt" string="MANUSCRIP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45755" w14:textId="4A3C0E7F" w:rsidR="00073692" w:rsidRDefault="001C0FD4">
    <w:pPr>
      <w:pStyle w:val="Header"/>
    </w:pPr>
    <w:r>
      <w:rPr>
        <w:noProof/>
      </w:rPr>
      <w:pict w14:anchorId="444FF3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0702081" o:spid="_x0000_s2052" type="#_x0000_t136" style="position:absolute;margin-left:0;margin-top:0;width:538.4pt;height:97.85pt;rotation:315;z-index:-251651072;mso-position-horizontal:center;mso-position-horizontal-relative:margin;mso-position-vertical:center;mso-position-vertical-relative:margin" o:allowincell="f" fillcolor="silver" stroked="f">
          <v:fill opacity=".5"/>
          <v:textpath style="font-family:&quot;Times New Roman&quot;;font-size:1pt" string="MANUSCRI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5276A7"/>
    <w:multiLevelType w:val="multilevel"/>
    <w:tmpl w:val="D868B45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EDF0AD2"/>
    <w:multiLevelType w:val="hybridMultilevel"/>
    <w:tmpl w:val="E7D6A5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C8271E"/>
    <w:multiLevelType w:val="hybridMultilevel"/>
    <w:tmpl w:val="26169026"/>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F111B2"/>
    <w:multiLevelType w:val="hybridMultilevel"/>
    <w:tmpl w:val="951AA13E"/>
    <w:lvl w:ilvl="0" w:tplc="3168F020">
      <w:start w:val="1"/>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414174"/>
    <w:multiLevelType w:val="multilevel"/>
    <w:tmpl w:val="D868B45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6EE0DE6"/>
    <w:multiLevelType w:val="hybridMultilevel"/>
    <w:tmpl w:val="A7329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743F39"/>
    <w:multiLevelType w:val="multilevel"/>
    <w:tmpl w:val="D868B45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71069A1"/>
    <w:multiLevelType w:val="multilevel"/>
    <w:tmpl w:val="D868B45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BA53EAD"/>
    <w:multiLevelType w:val="multilevel"/>
    <w:tmpl w:val="987C59EA"/>
    <w:lvl w:ilvl="0">
      <w:start w:val="1"/>
      <w:numFmt w:val="decimal"/>
      <w:lvlText w:val="%1."/>
      <w:lvlJc w:val="left"/>
      <w:pPr>
        <w:ind w:left="360" w:hanging="360"/>
      </w:pPr>
      <w:rPr>
        <w:rFonts w:hint="default"/>
        <w:b/>
        <w:bCs w:val="0"/>
        <w:i w:val="0"/>
        <w:iCs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A8731EA"/>
    <w:multiLevelType w:val="hybridMultilevel"/>
    <w:tmpl w:val="8E608524"/>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CB01BF4"/>
    <w:multiLevelType w:val="multilevel"/>
    <w:tmpl w:val="0D4A0A2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70D56AF2"/>
    <w:multiLevelType w:val="hybridMultilevel"/>
    <w:tmpl w:val="95BE01E2"/>
    <w:lvl w:ilvl="0" w:tplc="D2A81ED0">
      <w:start w:val="1"/>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7"/>
  </w:num>
  <w:num w:numId="4">
    <w:abstractNumId w:val="10"/>
  </w:num>
  <w:num w:numId="5">
    <w:abstractNumId w:val="4"/>
  </w:num>
  <w:num w:numId="6">
    <w:abstractNumId w:val="2"/>
  </w:num>
  <w:num w:numId="7">
    <w:abstractNumId w:val="6"/>
  </w:num>
  <w:num w:numId="8">
    <w:abstractNumId w:val="8"/>
  </w:num>
  <w:num w:numId="9">
    <w:abstractNumId w:val="9"/>
  </w:num>
  <w:num w:numId="10">
    <w:abstractNumId w:val="1"/>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DF5"/>
    <w:rsid w:val="000110BA"/>
    <w:rsid w:val="0001598E"/>
    <w:rsid w:val="0002691F"/>
    <w:rsid w:val="000269D2"/>
    <w:rsid w:val="000375D0"/>
    <w:rsid w:val="0004140D"/>
    <w:rsid w:val="00042344"/>
    <w:rsid w:val="0005195F"/>
    <w:rsid w:val="00053BFC"/>
    <w:rsid w:val="0005568C"/>
    <w:rsid w:val="00056773"/>
    <w:rsid w:val="00056BB1"/>
    <w:rsid w:val="00061628"/>
    <w:rsid w:val="00063556"/>
    <w:rsid w:val="000671AB"/>
    <w:rsid w:val="00072E0B"/>
    <w:rsid w:val="00073692"/>
    <w:rsid w:val="0007426D"/>
    <w:rsid w:val="0008265F"/>
    <w:rsid w:val="000954C3"/>
    <w:rsid w:val="00095769"/>
    <w:rsid w:val="000A168F"/>
    <w:rsid w:val="000A298B"/>
    <w:rsid w:val="000C0B96"/>
    <w:rsid w:val="000C27BD"/>
    <w:rsid w:val="000D0F2A"/>
    <w:rsid w:val="000D5D0F"/>
    <w:rsid w:val="000E41A6"/>
    <w:rsid w:val="000E4D22"/>
    <w:rsid w:val="000F1B24"/>
    <w:rsid w:val="000F461F"/>
    <w:rsid w:val="0010153C"/>
    <w:rsid w:val="0010721E"/>
    <w:rsid w:val="00115038"/>
    <w:rsid w:val="0012185B"/>
    <w:rsid w:val="00123B16"/>
    <w:rsid w:val="00124653"/>
    <w:rsid w:val="001308E2"/>
    <w:rsid w:val="00143992"/>
    <w:rsid w:val="0014426D"/>
    <w:rsid w:val="00144A5F"/>
    <w:rsid w:val="001504AD"/>
    <w:rsid w:val="0015144E"/>
    <w:rsid w:val="00154BDD"/>
    <w:rsid w:val="001569C0"/>
    <w:rsid w:val="00157532"/>
    <w:rsid w:val="0016391C"/>
    <w:rsid w:val="00166A3F"/>
    <w:rsid w:val="00173D37"/>
    <w:rsid w:val="00187F64"/>
    <w:rsid w:val="0019167F"/>
    <w:rsid w:val="001A1408"/>
    <w:rsid w:val="001A180C"/>
    <w:rsid w:val="001A24E5"/>
    <w:rsid w:val="001A33EF"/>
    <w:rsid w:val="001B6AF8"/>
    <w:rsid w:val="001C0FD4"/>
    <w:rsid w:val="001C4CD2"/>
    <w:rsid w:val="001C6918"/>
    <w:rsid w:val="001D04C3"/>
    <w:rsid w:val="001E7B09"/>
    <w:rsid w:val="001F0ED2"/>
    <w:rsid w:val="002031F4"/>
    <w:rsid w:val="00204323"/>
    <w:rsid w:val="00205483"/>
    <w:rsid w:val="002114BD"/>
    <w:rsid w:val="00233480"/>
    <w:rsid w:val="00234B2C"/>
    <w:rsid w:val="00243352"/>
    <w:rsid w:val="00256F70"/>
    <w:rsid w:val="00257611"/>
    <w:rsid w:val="00283AB7"/>
    <w:rsid w:val="00290ACD"/>
    <w:rsid w:val="00296C25"/>
    <w:rsid w:val="002A0C5B"/>
    <w:rsid w:val="002A3015"/>
    <w:rsid w:val="002A3A32"/>
    <w:rsid w:val="002A448E"/>
    <w:rsid w:val="002A77C4"/>
    <w:rsid w:val="002B2E8C"/>
    <w:rsid w:val="002B3804"/>
    <w:rsid w:val="002C1C59"/>
    <w:rsid w:val="002C2052"/>
    <w:rsid w:val="002C3A2C"/>
    <w:rsid w:val="002E1ED4"/>
    <w:rsid w:val="002E3722"/>
    <w:rsid w:val="002E664E"/>
    <w:rsid w:val="002F0CE0"/>
    <w:rsid w:val="00300355"/>
    <w:rsid w:val="00300D21"/>
    <w:rsid w:val="003011C1"/>
    <w:rsid w:val="003025E9"/>
    <w:rsid w:val="003139E0"/>
    <w:rsid w:val="00316CC3"/>
    <w:rsid w:val="00317267"/>
    <w:rsid w:val="00323E0A"/>
    <w:rsid w:val="003245BD"/>
    <w:rsid w:val="00324EDA"/>
    <w:rsid w:val="003318B2"/>
    <w:rsid w:val="003335B9"/>
    <w:rsid w:val="003450CC"/>
    <w:rsid w:val="0034661C"/>
    <w:rsid w:val="00346B2B"/>
    <w:rsid w:val="00353A8E"/>
    <w:rsid w:val="003758B1"/>
    <w:rsid w:val="00382EBA"/>
    <w:rsid w:val="00390DE3"/>
    <w:rsid w:val="003943F9"/>
    <w:rsid w:val="003A0B3A"/>
    <w:rsid w:val="003A45C0"/>
    <w:rsid w:val="003B7195"/>
    <w:rsid w:val="003C57F3"/>
    <w:rsid w:val="003C792D"/>
    <w:rsid w:val="003E0BB9"/>
    <w:rsid w:val="003E0FF6"/>
    <w:rsid w:val="003E4C5D"/>
    <w:rsid w:val="003F1A34"/>
    <w:rsid w:val="0040217C"/>
    <w:rsid w:val="004135B3"/>
    <w:rsid w:val="004315EE"/>
    <w:rsid w:val="00433958"/>
    <w:rsid w:val="00440181"/>
    <w:rsid w:val="00444209"/>
    <w:rsid w:val="00447C3B"/>
    <w:rsid w:val="00450073"/>
    <w:rsid w:val="00453380"/>
    <w:rsid w:val="00454657"/>
    <w:rsid w:val="00457067"/>
    <w:rsid w:val="004574AC"/>
    <w:rsid w:val="00460541"/>
    <w:rsid w:val="00463DA7"/>
    <w:rsid w:val="00474A05"/>
    <w:rsid w:val="00475E46"/>
    <w:rsid w:val="0048372A"/>
    <w:rsid w:val="00484ECE"/>
    <w:rsid w:val="00487340"/>
    <w:rsid w:val="0048743C"/>
    <w:rsid w:val="004901B0"/>
    <w:rsid w:val="0049172F"/>
    <w:rsid w:val="0049328A"/>
    <w:rsid w:val="00496A3C"/>
    <w:rsid w:val="00497379"/>
    <w:rsid w:val="004A4DE5"/>
    <w:rsid w:val="004A5DFE"/>
    <w:rsid w:val="004A621E"/>
    <w:rsid w:val="004B56FB"/>
    <w:rsid w:val="004B6223"/>
    <w:rsid w:val="004B6C4E"/>
    <w:rsid w:val="004C6A5E"/>
    <w:rsid w:val="004D7437"/>
    <w:rsid w:val="004D7969"/>
    <w:rsid w:val="004F3077"/>
    <w:rsid w:val="004F3F41"/>
    <w:rsid w:val="0050367D"/>
    <w:rsid w:val="005037FB"/>
    <w:rsid w:val="00504A6D"/>
    <w:rsid w:val="00510BF1"/>
    <w:rsid w:val="005111D2"/>
    <w:rsid w:val="0051399C"/>
    <w:rsid w:val="0052229E"/>
    <w:rsid w:val="00523EEB"/>
    <w:rsid w:val="0053107B"/>
    <w:rsid w:val="00533874"/>
    <w:rsid w:val="005377E5"/>
    <w:rsid w:val="005377F9"/>
    <w:rsid w:val="00540A00"/>
    <w:rsid w:val="00554DD1"/>
    <w:rsid w:val="00555F7A"/>
    <w:rsid w:val="0055637E"/>
    <w:rsid w:val="00560D51"/>
    <w:rsid w:val="00566FD2"/>
    <w:rsid w:val="005670CB"/>
    <w:rsid w:val="005714BB"/>
    <w:rsid w:val="00571D04"/>
    <w:rsid w:val="005720AC"/>
    <w:rsid w:val="00573398"/>
    <w:rsid w:val="005741FE"/>
    <w:rsid w:val="005747D1"/>
    <w:rsid w:val="00581C4E"/>
    <w:rsid w:val="00582DD0"/>
    <w:rsid w:val="00584F31"/>
    <w:rsid w:val="00596541"/>
    <w:rsid w:val="005A1214"/>
    <w:rsid w:val="005B2190"/>
    <w:rsid w:val="005B3818"/>
    <w:rsid w:val="005B59B0"/>
    <w:rsid w:val="005C0D0A"/>
    <w:rsid w:val="005C6D40"/>
    <w:rsid w:val="005D2AE8"/>
    <w:rsid w:val="005D59E4"/>
    <w:rsid w:val="005D6959"/>
    <w:rsid w:val="005E3FC6"/>
    <w:rsid w:val="005E45C0"/>
    <w:rsid w:val="005E4E17"/>
    <w:rsid w:val="005F0338"/>
    <w:rsid w:val="005F4ACE"/>
    <w:rsid w:val="005F4D7E"/>
    <w:rsid w:val="006144C4"/>
    <w:rsid w:val="006265CD"/>
    <w:rsid w:val="00627953"/>
    <w:rsid w:val="00632D0B"/>
    <w:rsid w:val="00633DB0"/>
    <w:rsid w:val="0063418C"/>
    <w:rsid w:val="00642409"/>
    <w:rsid w:val="0064247F"/>
    <w:rsid w:val="006563B8"/>
    <w:rsid w:val="00656B6D"/>
    <w:rsid w:val="00661E0B"/>
    <w:rsid w:val="00664271"/>
    <w:rsid w:val="00666891"/>
    <w:rsid w:val="0067676D"/>
    <w:rsid w:val="00677113"/>
    <w:rsid w:val="006775EF"/>
    <w:rsid w:val="00692577"/>
    <w:rsid w:val="00697806"/>
    <w:rsid w:val="006A03FC"/>
    <w:rsid w:val="006A24C7"/>
    <w:rsid w:val="006B3330"/>
    <w:rsid w:val="006B3C2B"/>
    <w:rsid w:val="006B7841"/>
    <w:rsid w:val="006C4AE9"/>
    <w:rsid w:val="006D26F4"/>
    <w:rsid w:val="006D579B"/>
    <w:rsid w:val="006E0294"/>
    <w:rsid w:val="006E21C8"/>
    <w:rsid w:val="006E3421"/>
    <w:rsid w:val="006F2D5E"/>
    <w:rsid w:val="006F79BA"/>
    <w:rsid w:val="007007E3"/>
    <w:rsid w:val="00702FB2"/>
    <w:rsid w:val="0070398E"/>
    <w:rsid w:val="00704E9C"/>
    <w:rsid w:val="0071734E"/>
    <w:rsid w:val="00720F93"/>
    <w:rsid w:val="007228E9"/>
    <w:rsid w:val="007253C8"/>
    <w:rsid w:val="007254F3"/>
    <w:rsid w:val="00725EF6"/>
    <w:rsid w:val="007274CA"/>
    <w:rsid w:val="007303FE"/>
    <w:rsid w:val="00742585"/>
    <w:rsid w:val="007455F8"/>
    <w:rsid w:val="00745980"/>
    <w:rsid w:val="007512D8"/>
    <w:rsid w:val="00752A1C"/>
    <w:rsid w:val="00753AFB"/>
    <w:rsid w:val="0075682C"/>
    <w:rsid w:val="00760C11"/>
    <w:rsid w:val="00762C6A"/>
    <w:rsid w:val="0076575D"/>
    <w:rsid w:val="0077254D"/>
    <w:rsid w:val="007726BB"/>
    <w:rsid w:val="007726DC"/>
    <w:rsid w:val="007739BE"/>
    <w:rsid w:val="00780FA9"/>
    <w:rsid w:val="00783921"/>
    <w:rsid w:val="00787010"/>
    <w:rsid w:val="00790416"/>
    <w:rsid w:val="007911A5"/>
    <w:rsid w:val="007923CF"/>
    <w:rsid w:val="007968D1"/>
    <w:rsid w:val="00796EAA"/>
    <w:rsid w:val="00797FF9"/>
    <w:rsid w:val="007A021F"/>
    <w:rsid w:val="007A6DED"/>
    <w:rsid w:val="007B6ABA"/>
    <w:rsid w:val="007C0B30"/>
    <w:rsid w:val="007D1D3A"/>
    <w:rsid w:val="007D3AF6"/>
    <w:rsid w:val="007E1988"/>
    <w:rsid w:val="007E1C9B"/>
    <w:rsid w:val="007E6C65"/>
    <w:rsid w:val="007F06A5"/>
    <w:rsid w:val="0080380F"/>
    <w:rsid w:val="00812F7B"/>
    <w:rsid w:val="00822D67"/>
    <w:rsid w:val="00824A79"/>
    <w:rsid w:val="0082527B"/>
    <w:rsid w:val="008307F7"/>
    <w:rsid w:val="00845CFF"/>
    <w:rsid w:val="00847AEF"/>
    <w:rsid w:val="00857E21"/>
    <w:rsid w:val="00857F42"/>
    <w:rsid w:val="00866252"/>
    <w:rsid w:val="00866A3B"/>
    <w:rsid w:val="00866D45"/>
    <w:rsid w:val="008678E1"/>
    <w:rsid w:val="008704BF"/>
    <w:rsid w:val="00873D62"/>
    <w:rsid w:val="00887975"/>
    <w:rsid w:val="008A5007"/>
    <w:rsid w:val="008A747F"/>
    <w:rsid w:val="008B4161"/>
    <w:rsid w:val="008B59C3"/>
    <w:rsid w:val="008B602B"/>
    <w:rsid w:val="008B671A"/>
    <w:rsid w:val="008D2349"/>
    <w:rsid w:val="008D7558"/>
    <w:rsid w:val="008E2EA6"/>
    <w:rsid w:val="008F7785"/>
    <w:rsid w:val="0090009E"/>
    <w:rsid w:val="009037A9"/>
    <w:rsid w:val="00916B28"/>
    <w:rsid w:val="00921748"/>
    <w:rsid w:val="009219D0"/>
    <w:rsid w:val="00921CAF"/>
    <w:rsid w:val="00924DA1"/>
    <w:rsid w:val="009271A9"/>
    <w:rsid w:val="00934889"/>
    <w:rsid w:val="009348B5"/>
    <w:rsid w:val="00946F85"/>
    <w:rsid w:val="00963E3D"/>
    <w:rsid w:val="00966CE4"/>
    <w:rsid w:val="0097184C"/>
    <w:rsid w:val="009720F2"/>
    <w:rsid w:val="0097212B"/>
    <w:rsid w:val="0098780B"/>
    <w:rsid w:val="00990748"/>
    <w:rsid w:val="0099114E"/>
    <w:rsid w:val="0099187B"/>
    <w:rsid w:val="0099213B"/>
    <w:rsid w:val="009925A9"/>
    <w:rsid w:val="00992F9D"/>
    <w:rsid w:val="00993E77"/>
    <w:rsid w:val="009A08EE"/>
    <w:rsid w:val="009A59FA"/>
    <w:rsid w:val="009B0368"/>
    <w:rsid w:val="009B3CA5"/>
    <w:rsid w:val="009C39E6"/>
    <w:rsid w:val="009C4CD9"/>
    <w:rsid w:val="009C5F25"/>
    <w:rsid w:val="009D27F8"/>
    <w:rsid w:val="009D7223"/>
    <w:rsid w:val="009D7CD6"/>
    <w:rsid w:val="009E12FF"/>
    <w:rsid w:val="009E3382"/>
    <w:rsid w:val="009F051C"/>
    <w:rsid w:val="009F26CE"/>
    <w:rsid w:val="009F46D4"/>
    <w:rsid w:val="00A05270"/>
    <w:rsid w:val="00A10042"/>
    <w:rsid w:val="00A114E8"/>
    <w:rsid w:val="00A16B74"/>
    <w:rsid w:val="00A21000"/>
    <w:rsid w:val="00A227C2"/>
    <w:rsid w:val="00A23F87"/>
    <w:rsid w:val="00A25BE1"/>
    <w:rsid w:val="00A329C7"/>
    <w:rsid w:val="00A638E4"/>
    <w:rsid w:val="00A67389"/>
    <w:rsid w:val="00A67464"/>
    <w:rsid w:val="00A703F7"/>
    <w:rsid w:val="00A7501F"/>
    <w:rsid w:val="00A774A7"/>
    <w:rsid w:val="00A77CCC"/>
    <w:rsid w:val="00A84BF8"/>
    <w:rsid w:val="00A85E74"/>
    <w:rsid w:val="00A9210C"/>
    <w:rsid w:val="00A92A06"/>
    <w:rsid w:val="00A9329D"/>
    <w:rsid w:val="00A93594"/>
    <w:rsid w:val="00A964F4"/>
    <w:rsid w:val="00AA3C1A"/>
    <w:rsid w:val="00AA79A3"/>
    <w:rsid w:val="00AB0E9D"/>
    <w:rsid w:val="00AB17D5"/>
    <w:rsid w:val="00AB41CC"/>
    <w:rsid w:val="00AB44A4"/>
    <w:rsid w:val="00AB48BB"/>
    <w:rsid w:val="00AB5AEB"/>
    <w:rsid w:val="00AB650D"/>
    <w:rsid w:val="00AC0438"/>
    <w:rsid w:val="00AC3427"/>
    <w:rsid w:val="00AC4EEA"/>
    <w:rsid w:val="00AC68D3"/>
    <w:rsid w:val="00AD431C"/>
    <w:rsid w:val="00AE6568"/>
    <w:rsid w:val="00AF02A6"/>
    <w:rsid w:val="00AF2FC3"/>
    <w:rsid w:val="00AF3E0A"/>
    <w:rsid w:val="00AF638C"/>
    <w:rsid w:val="00AF7DB6"/>
    <w:rsid w:val="00B06472"/>
    <w:rsid w:val="00B06923"/>
    <w:rsid w:val="00B074FF"/>
    <w:rsid w:val="00B12C82"/>
    <w:rsid w:val="00B24F55"/>
    <w:rsid w:val="00B307BA"/>
    <w:rsid w:val="00B37CE9"/>
    <w:rsid w:val="00B516B0"/>
    <w:rsid w:val="00B5691C"/>
    <w:rsid w:val="00B576BC"/>
    <w:rsid w:val="00B60EF5"/>
    <w:rsid w:val="00B705F7"/>
    <w:rsid w:val="00B7587B"/>
    <w:rsid w:val="00B77651"/>
    <w:rsid w:val="00B8138F"/>
    <w:rsid w:val="00B83EA2"/>
    <w:rsid w:val="00B93D13"/>
    <w:rsid w:val="00B951F7"/>
    <w:rsid w:val="00B9558A"/>
    <w:rsid w:val="00BA0376"/>
    <w:rsid w:val="00BA0890"/>
    <w:rsid w:val="00BA2E06"/>
    <w:rsid w:val="00BA56C1"/>
    <w:rsid w:val="00BB1636"/>
    <w:rsid w:val="00BC3F99"/>
    <w:rsid w:val="00BE3A13"/>
    <w:rsid w:val="00BE5DA7"/>
    <w:rsid w:val="00BF1A62"/>
    <w:rsid w:val="00BF358E"/>
    <w:rsid w:val="00BF7A27"/>
    <w:rsid w:val="00C024F9"/>
    <w:rsid w:val="00C028BF"/>
    <w:rsid w:val="00C032EB"/>
    <w:rsid w:val="00C066A5"/>
    <w:rsid w:val="00C211AA"/>
    <w:rsid w:val="00C475C7"/>
    <w:rsid w:val="00C523A8"/>
    <w:rsid w:val="00C7053A"/>
    <w:rsid w:val="00C719E0"/>
    <w:rsid w:val="00C7402A"/>
    <w:rsid w:val="00C811A9"/>
    <w:rsid w:val="00C81B87"/>
    <w:rsid w:val="00C82E98"/>
    <w:rsid w:val="00C842AC"/>
    <w:rsid w:val="00C94496"/>
    <w:rsid w:val="00CA0508"/>
    <w:rsid w:val="00CA133E"/>
    <w:rsid w:val="00CA4E3D"/>
    <w:rsid w:val="00CA5933"/>
    <w:rsid w:val="00CB3C20"/>
    <w:rsid w:val="00CB4A34"/>
    <w:rsid w:val="00CC2F76"/>
    <w:rsid w:val="00CC39D2"/>
    <w:rsid w:val="00CC7FF6"/>
    <w:rsid w:val="00CD01FF"/>
    <w:rsid w:val="00CE7618"/>
    <w:rsid w:val="00CF461C"/>
    <w:rsid w:val="00CF5AF3"/>
    <w:rsid w:val="00D056D1"/>
    <w:rsid w:val="00D14756"/>
    <w:rsid w:val="00D16FB5"/>
    <w:rsid w:val="00D27EFD"/>
    <w:rsid w:val="00D3351F"/>
    <w:rsid w:val="00D35A20"/>
    <w:rsid w:val="00D4264B"/>
    <w:rsid w:val="00D50B3F"/>
    <w:rsid w:val="00D52274"/>
    <w:rsid w:val="00D540F5"/>
    <w:rsid w:val="00D628D6"/>
    <w:rsid w:val="00D63C68"/>
    <w:rsid w:val="00D649E0"/>
    <w:rsid w:val="00D71B0B"/>
    <w:rsid w:val="00D80849"/>
    <w:rsid w:val="00D87DE8"/>
    <w:rsid w:val="00D9065D"/>
    <w:rsid w:val="00DA0996"/>
    <w:rsid w:val="00DA1727"/>
    <w:rsid w:val="00DA41EB"/>
    <w:rsid w:val="00DB073F"/>
    <w:rsid w:val="00DB3895"/>
    <w:rsid w:val="00DB6B1D"/>
    <w:rsid w:val="00DB7DC6"/>
    <w:rsid w:val="00DC10CD"/>
    <w:rsid w:val="00DC1C32"/>
    <w:rsid w:val="00DC4795"/>
    <w:rsid w:val="00DC757B"/>
    <w:rsid w:val="00DD1875"/>
    <w:rsid w:val="00DD37B7"/>
    <w:rsid w:val="00DE2B7E"/>
    <w:rsid w:val="00DE6553"/>
    <w:rsid w:val="00E02598"/>
    <w:rsid w:val="00E21103"/>
    <w:rsid w:val="00E21407"/>
    <w:rsid w:val="00E31B87"/>
    <w:rsid w:val="00E35A8D"/>
    <w:rsid w:val="00E433B7"/>
    <w:rsid w:val="00E464F8"/>
    <w:rsid w:val="00E472A6"/>
    <w:rsid w:val="00E47604"/>
    <w:rsid w:val="00E5000A"/>
    <w:rsid w:val="00E53E02"/>
    <w:rsid w:val="00E554C5"/>
    <w:rsid w:val="00E56E73"/>
    <w:rsid w:val="00E57698"/>
    <w:rsid w:val="00E603B2"/>
    <w:rsid w:val="00E62788"/>
    <w:rsid w:val="00E63B28"/>
    <w:rsid w:val="00E8188C"/>
    <w:rsid w:val="00E9256A"/>
    <w:rsid w:val="00E9402E"/>
    <w:rsid w:val="00EA4C49"/>
    <w:rsid w:val="00EA5D2C"/>
    <w:rsid w:val="00EB0D3B"/>
    <w:rsid w:val="00EB11AE"/>
    <w:rsid w:val="00EB422C"/>
    <w:rsid w:val="00EB6156"/>
    <w:rsid w:val="00EC1DF5"/>
    <w:rsid w:val="00EC2D2E"/>
    <w:rsid w:val="00ED5A7F"/>
    <w:rsid w:val="00ED6AFA"/>
    <w:rsid w:val="00EE1CD2"/>
    <w:rsid w:val="00EE42CF"/>
    <w:rsid w:val="00EE5D76"/>
    <w:rsid w:val="00EE6120"/>
    <w:rsid w:val="00EF1572"/>
    <w:rsid w:val="00EF1935"/>
    <w:rsid w:val="00EF38CF"/>
    <w:rsid w:val="00F10F4C"/>
    <w:rsid w:val="00F12CA0"/>
    <w:rsid w:val="00F17684"/>
    <w:rsid w:val="00F4245B"/>
    <w:rsid w:val="00F46A98"/>
    <w:rsid w:val="00F54439"/>
    <w:rsid w:val="00F57634"/>
    <w:rsid w:val="00F61231"/>
    <w:rsid w:val="00F644E6"/>
    <w:rsid w:val="00F66756"/>
    <w:rsid w:val="00F71EFB"/>
    <w:rsid w:val="00F76B62"/>
    <w:rsid w:val="00F817C0"/>
    <w:rsid w:val="00F853D7"/>
    <w:rsid w:val="00F90F73"/>
    <w:rsid w:val="00F91860"/>
    <w:rsid w:val="00F961CE"/>
    <w:rsid w:val="00F9661E"/>
    <w:rsid w:val="00FA5FC3"/>
    <w:rsid w:val="00FB03E6"/>
    <w:rsid w:val="00FB28FA"/>
    <w:rsid w:val="00FB7DF5"/>
    <w:rsid w:val="00FC250A"/>
    <w:rsid w:val="00FC31AE"/>
    <w:rsid w:val="00FC5F5E"/>
    <w:rsid w:val="00FC7FF9"/>
    <w:rsid w:val="00FD272C"/>
    <w:rsid w:val="00FD3D75"/>
    <w:rsid w:val="00FD454C"/>
    <w:rsid w:val="00FD67A7"/>
    <w:rsid w:val="00FD7E9F"/>
    <w:rsid w:val="00FE255F"/>
    <w:rsid w:val="00FE51A2"/>
    <w:rsid w:val="00FF06AA"/>
    <w:rsid w:val="00FF717D"/>
    <w:rsid w:val="1E1EEB35"/>
    <w:rsid w:val="263EF951"/>
    <w:rsid w:val="4ABBFEF5"/>
    <w:rsid w:val="6C7D105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6853CADB"/>
  <w15:chartTrackingRefBased/>
  <w15:docId w15:val="{9629D88D-583C-43B4-8FAB-B5963E0A2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color w:val="4472C4" w:themeColor="accent1"/>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C475C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475C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475C7"/>
    <w:pPr>
      <w:keepNext/>
      <w:keepLines/>
      <w:spacing w:before="40" w:after="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C475C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21748"/>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75C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475C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475C7"/>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C475C7"/>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573398"/>
    <w:pPr>
      <w:ind w:left="720"/>
      <w:contextualSpacing/>
    </w:pPr>
  </w:style>
  <w:style w:type="character" w:styleId="PlaceholderText">
    <w:name w:val="Placeholder Text"/>
    <w:basedOn w:val="DefaultParagraphFont"/>
    <w:uiPriority w:val="99"/>
    <w:semiHidden/>
    <w:rsid w:val="00566FD2"/>
    <w:rPr>
      <w:color w:val="808080"/>
    </w:rPr>
  </w:style>
  <w:style w:type="paragraph" w:styleId="Caption">
    <w:name w:val="caption"/>
    <w:basedOn w:val="Normal"/>
    <w:next w:val="Normal"/>
    <w:uiPriority w:val="35"/>
    <w:unhideWhenUsed/>
    <w:qFormat/>
    <w:rsid w:val="00B37CE9"/>
    <w:pPr>
      <w:spacing w:after="200" w:line="240" w:lineRule="auto"/>
    </w:pPr>
    <w:rPr>
      <w:i/>
      <w:iCs/>
      <w:color w:val="44546A" w:themeColor="text2"/>
      <w:sz w:val="18"/>
      <w:szCs w:val="18"/>
    </w:rPr>
  </w:style>
  <w:style w:type="paragraph" w:styleId="NoSpacing">
    <w:name w:val="No Spacing"/>
    <w:uiPriority w:val="1"/>
    <w:qFormat/>
    <w:rsid w:val="00C475C7"/>
    <w:pPr>
      <w:spacing w:after="0" w:line="240" w:lineRule="auto"/>
    </w:pPr>
  </w:style>
  <w:style w:type="paragraph" w:styleId="Subtitle">
    <w:name w:val="Subtitle"/>
    <w:basedOn w:val="Normal"/>
    <w:next w:val="Normal"/>
    <w:link w:val="SubtitleChar"/>
    <w:uiPriority w:val="11"/>
    <w:qFormat/>
    <w:rsid w:val="00A25BE1"/>
    <w:pPr>
      <w:numPr>
        <w:ilvl w:val="1"/>
      </w:numPr>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25BE1"/>
    <w:rPr>
      <w:rFonts w:asciiTheme="minorHAnsi" w:eastAsiaTheme="minorEastAsia" w:hAnsiTheme="minorHAnsi" w:cstheme="minorBidi"/>
      <w:color w:val="5A5A5A" w:themeColor="text1" w:themeTint="A5"/>
      <w:spacing w:val="15"/>
      <w:sz w:val="22"/>
      <w:szCs w:val="22"/>
    </w:rPr>
  </w:style>
  <w:style w:type="character" w:styleId="CommentReference">
    <w:name w:val="annotation reference"/>
    <w:basedOn w:val="DefaultParagraphFont"/>
    <w:uiPriority w:val="99"/>
    <w:semiHidden/>
    <w:unhideWhenUsed/>
    <w:rsid w:val="00692577"/>
    <w:rPr>
      <w:sz w:val="16"/>
      <w:szCs w:val="16"/>
    </w:rPr>
  </w:style>
  <w:style w:type="paragraph" w:styleId="CommentText">
    <w:name w:val="annotation text"/>
    <w:basedOn w:val="Normal"/>
    <w:link w:val="CommentTextChar"/>
    <w:uiPriority w:val="99"/>
    <w:semiHidden/>
    <w:unhideWhenUsed/>
    <w:rsid w:val="00692577"/>
    <w:pPr>
      <w:spacing w:line="240" w:lineRule="auto"/>
    </w:pPr>
    <w:rPr>
      <w:sz w:val="20"/>
      <w:szCs w:val="20"/>
    </w:rPr>
  </w:style>
  <w:style w:type="character" w:customStyle="1" w:styleId="CommentTextChar">
    <w:name w:val="Comment Text Char"/>
    <w:basedOn w:val="DefaultParagraphFont"/>
    <w:link w:val="CommentText"/>
    <w:uiPriority w:val="99"/>
    <w:semiHidden/>
    <w:rsid w:val="00692577"/>
    <w:rPr>
      <w:sz w:val="20"/>
      <w:szCs w:val="20"/>
    </w:rPr>
  </w:style>
  <w:style w:type="paragraph" w:styleId="CommentSubject">
    <w:name w:val="annotation subject"/>
    <w:basedOn w:val="CommentText"/>
    <w:next w:val="CommentText"/>
    <w:link w:val="CommentSubjectChar"/>
    <w:uiPriority w:val="99"/>
    <w:semiHidden/>
    <w:unhideWhenUsed/>
    <w:rsid w:val="00692577"/>
    <w:rPr>
      <w:b/>
      <w:bCs/>
    </w:rPr>
  </w:style>
  <w:style w:type="character" w:customStyle="1" w:styleId="CommentSubjectChar">
    <w:name w:val="Comment Subject Char"/>
    <w:basedOn w:val="CommentTextChar"/>
    <w:link w:val="CommentSubject"/>
    <w:uiPriority w:val="99"/>
    <w:semiHidden/>
    <w:rsid w:val="00692577"/>
    <w:rPr>
      <w:b/>
      <w:bCs/>
      <w:sz w:val="20"/>
      <w:szCs w:val="20"/>
    </w:rPr>
  </w:style>
  <w:style w:type="paragraph" w:styleId="BalloonText">
    <w:name w:val="Balloon Text"/>
    <w:basedOn w:val="Normal"/>
    <w:link w:val="BalloonTextChar"/>
    <w:uiPriority w:val="99"/>
    <w:semiHidden/>
    <w:unhideWhenUsed/>
    <w:rsid w:val="006925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577"/>
    <w:rPr>
      <w:rFonts w:ascii="Segoe UI" w:hAnsi="Segoe UI" w:cs="Segoe UI"/>
      <w:sz w:val="18"/>
      <w:szCs w:val="18"/>
    </w:rPr>
  </w:style>
  <w:style w:type="paragraph" w:styleId="Revision">
    <w:name w:val="Revision"/>
    <w:hidden/>
    <w:uiPriority w:val="99"/>
    <w:semiHidden/>
    <w:rsid w:val="00CA5933"/>
    <w:pPr>
      <w:spacing w:after="0" w:line="240" w:lineRule="auto"/>
    </w:pPr>
    <w:rPr>
      <w:lang w:val="en-GB"/>
    </w:rPr>
  </w:style>
  <w:style w:type="paragraph" w:styleId="Header">
    <w:name w:val="header"/>
    <w:basedOn w:val="Normal"/>
    <w:link w:val="HeaderChar"/>
    <w:uiPriority w:val="99"/>
    <w:unhideWhenUsed/>
    <w:rsid w:val="001F0E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0ED2"/>
    <w:rPr>
      <w:lang w:val="en-GB"/>
    </w:rPr>
  </w:style>
  <w:style w:type="paragraph" w:styleId="Footer">
    <w:name w:val="footer"/>
    <w:basedOn w:val="Normal"/>
    <w:link w:val="FooterChar"/>
    <w:uiPriority w:val="99"/>
    <w:unhideWhenUsed/>
    <w:rsid w:val="001F0E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0ED2"/>
    <w:rPr>
      <w:lang w:val="en-GB"/>
    </w:rPr>
  </w:style>
  <w:style w:type="character" w:customStyle="1" w:styleId="Heading5Char">
    <w:name w:val="Heading 5 Char"/>
    <w:basedOn w:val="DefaultParagraphFont"/>
    <w:link w:val="Heading5"/>
    <w:uiPriority w:val="9"/>
    <w:rsid w:val="00921748"/>
    <w:rPr>
      <w:rFonts w:asciiTheme="majorHAnsi" w:eastAsiaTheme="majorEastAsia" w:hAnsiTheme="majorHAnsi" w:cstheme="majorBidi"/>
      <w:color w:val="2F5496" w:themeColor="accent1" w:themeShade="B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EFF54-2F24-4017-B1ED-8281764C7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52</Pages>
  <Words>14693</Words>
  <Characters>83755</Characters>
  <Application>Microsoft Office Word</Application>
  <DocSecurity>4</DocSecurity>
  <Lines>697</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Konadu</dc:creator>
  <cp:keywords/>
  <dc:description/>
  <cp:lastModifiedBy>Linda Edwards</cp:lastModifiedBy>
  <cp:revision>2</cp:revision>
  <cp:lastPrinted>2021-04-02T20:36:00Z</cp:lastPrinted>
  <dcterms:created xsi:type="dcterms:W3CDTF">2021-11-10T14:03:00Z</dcterms:created>
  <dcterms:modified xsi:type="dcterms:W3CDTF">2021-11-10T14:03:00Z</dcterms:modified>
</cp:coreProperties>
</file>