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BC" w:rsidRPr="00876226" w:rsidRDefault="006419BC" w:rsidP="003F18BD">
      <w:pPr>
        <w:jc w:val="center"/>
        <w:rPr>
          <w:rFonts w:cstheme="minorHAnsi"/>
          <w:b/>
          <w:sz w:val="36"/>
          <w:lang w:val="en-GB"/>
        </w:rPr>
      </w:pPr>
      <w:r w:rsidRPr="00876226">
        <w:rPr>
          <w:rFonts w:cstheme="minorHAnsi"/>
          <w:b/>
          <w:sz w:val="28"/>
          <w:lang w:val="en-GB"/>
        </w:rPr>
        <w:t>COVID-19 and metabolic disease; update and clinical management</w:t>
      </w:r>
    </w:p>
    <w:p w:rsidR="006419BC" w:rsidRPr="00876226" w:rsidRDefault="006419BC">
      <w:pPr>
        <w:rPr>
          <w:rFonts w:cstheme="minorHAnsi"/>
          <w:lang w:val="en-GB"/>
        </w:rPr>
      </w:pPr>
    </w:p>
    <w:p w:rsidR="006419BC" w:rsidRPr="00876226" w:rsidRDefault="006419BC">
      <w:pPr>
        <w:rPr>
          <w:rFonts w:cstheme="minorHAnsi"/>
          <w:lang w:val="en-GB"/>
        </w:rPr>
      </w:pPr>
      <w:r w:rsidRPr="00876226">
        <w:rPr>
          <w:rFonts w:cstheme="minorHAnsi"/>
          <w:lang w:val="en-GB"/>
        </w:rPr>
        <w:t xml:space="preserve">Charlotte Steenblock PhD </w:t>
      </w:r>
      <w:r w:rsidRPr="00B25D96">
        <w:rPr>
          <w:rFonts w:cstheme="minorHAnsi"/>
          <w:vertAlign w:val="superscript"/>
          <w:lang w:val="en-GB"/>
        </w:rPr>
        <w:t>1</w:t>
      </w:r>
      <w:r w:rsidRPr="00B25D96">
        <w:rPr>
          <w:rFonts w:cstheme="minorHAnsi"/>
          <w:lang w:val="en-GB"/>
        </w:rPr>
        <w:t xml:space="preserve">, Prof Peter E. H. Schwarz MD </w:t>
      </w:r>
      <w:r w:rsidRPr="00B25D96">
        <w:rPr>
          <w:rFonts w:cstheme="minorHAnsi"/>
          <w:vertAlign w:val="superscript"/>
          <w:lang w:val="en-GB"/>
        </w:rPr>
        <w:t>1,2,3</w:t>
      </w:r>
      <w:r w:rsidRPr="00812349">
        <w:rPr>
          <w:rFonts w:cstheme="minorHAnsi"/>
          <w:lang w:val="en-GB"/>
        </w:rPr>
        <w:t xml:space="preserve">, Prof </w:t>
      </w:r>
      <w:r w:rsidRPr="00D47D74">
        <w:rPr>
          <w:rFonts w:cstheme="minorHAnsi"/>
          <w:lang w:val="en-GB"/>
        </w:rPr>
        <w:t>Barbara Ludwig</w:t>
      </w:r>
      <w:r w:rsidRPr="00C92A01">
        <w:rPr>
          <w:rFonts w:cstheme="minorHAnsi"/>
          <w:lang w:val="en-GB"/>
        </w:rPr>
        <w:t xml:space="preserve"> MD </w:t>
      </w:r>
      <w:r w:rsidRPr="00710071">
        <w:rPr>
          <w:rFonts w:cstheme="minorHAnsi"/>
          <w:vertAlign w:val="superscript"/>
          <w:lang w:val="en-GB"/>
        </w:rPr>
        <w:t>1, 2, 3,4,5</w:t>
      </w:r>
      <w:r w:rsidRPr="00710071">
        <w:rPr>
          <w:rFonts w:cstheme="minorHAnsi"/>
          <w:lang w:val="en-GB"/>
        </w:rPr>
        <w:t xml:space="preserve">, </w:t>
      </w:r>
      <w:r w:rsidRPr="00276A60">
        <w:rPr>
          <w:rFonts w:cstheme="minorHAnsi"/>
          <w:lang w:val="en-GB"/>
        </w:rPr>
        <w:t>Prof Andreas Linkermann</w:t>
      </w:r>
      <w:r w:rsidRPr="00EA05A2">
        <w:rPr>
          <w:rFonts w:cstheme="minorHAnsi"/>
          <w:lang w:val="en-GB"/>
        </w:rPr>
        <w:t xml:space="preserve"> MD </w:t>
      </w:r>
      <w:r w:rsidRPr="00E3451E">
        <w:rPr>
          <w:rFonts w:cstheme="minorHAnsi"/>
          <w:vertAlign w:val="superscript"/>
          <w:lang w:val="en-GB"/>
        </w:rPr>
        <w:t>1</w:t>
      </w:r>
      <w:r w:rsidRPr="00E3451E">
        <w:rPr>
          <w:rFonts w:cstheme="minorHAnsi"/>
          <w:lang w:val="en-GB"/>
        </w:rPr>
        <w:t xml:space="preserve">, Prof </w:t>
      </w:r>
      <w:r w:rsidRPr="00CE4108">
        <w:rPr>
          <w:rFonts w:cstheme="minorHAnsi"/>
          <w:lang w:val="en-GB"/>
        </w:rPr>
        <w:t>Paul Zimmet</w:t>
      </w:r>
      <w:r w:rsidRPr="00A613AF">
        <w:rPr>
          <w:rFonts w:cstheme="minorHAnsi"/>
          <w:lang w:val="en-GB"/>
        </w:rPr>
        <w:t xml:space="preserve"> MD </w:t>
      </w:r>
      <w:r w:rsidRPr="00A613AF">
        <w:rPr>
          <w:rFonts w:cstheme="minorHAnsi"/>
          <w:vertAlign w:val="superscript"/>
          <w:lang w:val="en-GB"/>
        </w:rPr>
        <w:t>6</w:t>
      </w:r>
      <w:r w:rsidRPr="00A613AF">
        <w:rPr>
          <w:rFonts w:cstheme="minorHAnsi"/>
          <w:lang w:val="en-GB"/>
        </w:rPr>
        <w:t xml:space="preserve">, Konstantin Kulebyakin PhD </w:t>
      </w:r>
      <w:r w:rsidRPr="00A613AF">
        <w:rPr>
          <w:rFonts w:cstheme="minorHAnsi"/>
          <w:vertAlign w:val="superscript"/>
          <w:lang w:val="en-GB"/>
        </w:rPr>
        <w:t>7,8</w:t>
      </w:r>
      <w:r w:rsidRPr="00A613AF">
        <w:rPr>
          <w:rFonts w:cstheme="minorHAnsi"/>
          <w:lang w:val="en-GB"/>
        </w:rPr>
        <w:t xml:space="preserve">, </w:t>
      </w:r>
      <w:r>
        <w:rPr>
          <w:rFonts w:cstheme="minorHAnsi"/>
          <w:lang w:val="en-GB"/>
        </w:rPr>
        <w:t xml:space="preserve">Prof </w:t>
      </w:r>
      <w:r w:rsidRPr="00A613AF">
        <w:rPr>
          <w:rFonts w:cstheme="minorHAnsi"/>
          <w:lang w:val="en-GB"/>
        </w:rPr>
        <w:t xml:space="preserve">Vsevolod </w:t>
      </w:r>
      <w:r w:rsidRPr="00CE38A3">
        <w:rPr>
          <w:rFonts w:cstheme="minorHAnsi"/>
          <w:lang w:val="en-GB"/>
        </w:rPr>
        <w:t>A. Tkachuk</w:t>
      </w:r>
      <w:r>
        <w:rPr>
          <w:rFonts w:cstheme="minorHAnsi"/>
          <w:lang w:val="en-GB"/>
        </w:rPr>
        <w:t xml:space="preserve"> DSc</w:t>
      </w:r>
      <w:r w:rsidRPr="000637E9">
        <w:rPr>
          <w:rFonts w:cstheme="minorHAnsi"/>
          <w:vertAlign w:val="superscript"/>
          <w:lang w:val="en-GB"/>
        </w:rPr>
        <w:t>7,8</w:t>
      </w:r>
      <w:r w:rsidRPr="00B1341E">
        <w:rPr>
          <w:rFonts w:cstheme="minorHAnsi"/>
          <w:lang w:val="en-GB"/>
        </w:rPr>
        <w:t xml:space="preserve">, </w:t>
      </w:r>
      <w:r w:rsidRPr="008D495C">
        <w:rPr>
          <w:rFonts w:cstheme="minorHAnsi"/>
          <w:lang w:val="en-GB"/>
        </w:rPr>
        <w:t>Prof Alexander G.</w:t>
      </w:r>
      <w:r w:rsidRPr="004816AB">
        <w:rPr>
          <w:rFonts w:cstheme="minorHAnsi"/>
          <w:lang w:val="en-GB"/>
        </w:rPr>
        <w:t xml:space="preserve"> Markov</w:t>
      </w:r>
      <w:r w:rsidRPr="00876226">
        <w:rPr>
          <w:rFonts w:cstheme="minorHAnsi"/>
          <w:lang w:val="en-GB"/>
        </w:rPr>
        <w:t xml:space="preserve"> DSc </w:t>
      </w:r>
      <w:r w:rsidRPr="00876226">
        <w:rPr>
          <w:rFonts w:cstheme="minorHAnsi"/>
          <w:vertAlign w:val="superscript"/>
          <w:lang w:val="en-GB"/>
        </w:rPr>
        <w:t>9</w:t>
      </w:r>
      <w:r w:rsidRPr="00876226">
        <w:rPr>
          <w:rFonts w:cstheme="minorHAnsi"/>
          <w:lang w:val="en-GB"/>
        </w:rPr>
        <w:t xml:space="preserve">, Prof Hendrik Lehnert MD </w:t>
      </w:r>
      <w:r w:rsidRPr="00876226">
        <w:rPr>
          <w:rFonts w:cstheme="minorHAnsi"/>
          <w:vertAlign w:val="superscript"/>
          <w:lang w:val="en-GB"/>
        </w:rPr>
        <w:t>10</w:t>
      </w:r>
      <w:r w:rsidRPr="00876226">
        <w:rPr>
          <w:rFonts w:cstheme="minorHAnsi"/>
          <w:lang w:val="en-GB"/>
        </w:rPr>
        <w:t xml:space="preserve">, Prof Martin Hrabě de Angelis MD </w:t>
      </w:r>
      <w:r w:rsidRPr="00876226">
        <w:rPr>
          <w:rFonts w:cstheme="minorHAnsi"/>
          <w:vertAlign w:val="superscript"/>
          <w:lang w:val="en-GB"/>
        </w:rPr>
        <w:t>3,11,12</w:t>
      </w:r>
      <w:r w:rsidRPr="00876226">
        <w:rPr>
          <w:rFonts w:cstheme="minorHAnsi"/>
          <w:lang w:val="en-GB"/>
        </w:rPr>
        <w:t xml:space="preserve">, Hannes </w:t>
      </w:r>
      <w:r w:rsidRPr="00876226">
        <w:rPr>
          <w:rFonts w:cstheme="minorHAnsi"/>
          <w:color w:val="212121"/>
          <w:shd w:val="clear" w:color="auto" w:fill="FFFFFF"/>
          <w:lang w:val="en-GB"/>
        </w:rPr>
        <w:t xml:space="preserve">Rietzsch MD </w:t>
      </w:r>
      <w:r w:rsidRPr="00876226">
        <w:rPr>
          <w:rFonts w:cstheme="minorHAnsi"/>
          <w:color w:val="212121"/>
          <w:shd w:val="clear" w:color="auto" w:fill="FFFFFF"/>
          <w:vertAlign w:val="superscript"/>
          <w:lang w:val="en-GB"/>
        </w:rPr>
        <w:t>1</w:t>
      </w:r>
      <w:r w:rsidRPr="00876226">
        <w:rPr>
          <w:rFonts w:cstheme="minorHAnsi"/>
          <w:color w:val="212121"/>
          <w:shd w:val="clear" w:color="auto" w:fill="FFFFFF"/>
          <w:lang w:val="en-GB"/>
        </w:rPr>
        <w:t xml:space="preserve">, Roman N. Rodionov PhD </w:t>
      </w:r>
      <w:r w:rsidRPr="00876226">
        <w:rPr>
          <w:rFonts w:cstheme="minorHAnsi"/>
          <w:color w:val="212121"/>
          <w:shd w:val="clear" w:color="auto" w:fill="FFFFFF"/>
          <w:vertAlign w:val="superscript"/>
          <w:lang w:val="en-GB"/>
        </w:rPr>
        <w:t>1</w:t>
      </w:r>
      <w:r w:rsidRPr="00876226">
        <w:rPr>
          <w:rFonts w:cstheme="minorHAnsi"/>
          <w:color w:val="212121"/>
          <w:shd w:val="clear" w:color="auto" w:fill="FFFFFF"/>
          <w:lang w:val="en-GB"/>
        </w:rPr>
        <w:t xml:space="preserve">, Prof Kamlesh Khunti MD </w:t>
      </w:r>
      <w:r w:rsidRPr="00876226">
        <w:rPr>
          <w:rFonts w:cstheme="minorHAnsi"/>
          <w:color w:val="212121"/>
          <w:shd w:val="clear" w:color="auto" w:fill="FFFFFF"/>
          <w:vertAlign w:val="superscript"/>
          <w:lang w:val="en-GB"/>
        </w:rPr>
        <w:t>13</w:t>
      </w:r>
      <w:r w:rsidRPr="00876226">
        <w:rPr>
          <w:rFonts w:cstheme="minorHAnsi"/>
          <w:color w:val="212121"/>
          <w:shd w:val="clear" w:color="auto" w:fill="FFFFFF"/>
          <w:lang w:val="en-GB"/>
        </w:rPr>
        <w:t>, David Hopkins</w:t>
      </w:r>
      <w:r>
        <w:rPr>
          <w:rFonts w:cstheme="minorHAnsi"/>
          <w:color w:val="212121"/>
          <w:shd w:val="clear" w:color="auto" w:fill="FFFFFF"/>
          <w:lang w:val="en-GB"/>
        </w:rPr>
        <w:t xml:space="preserve"> FRCP</w:t>
      </w:r>
      <w:r w:rsidRPr="00876226">
        <w:rPr>
          <w:rFonts w:cstheme="minorHAnsi"/>
          <w:color w:val="212121"/>
          <w:shd w:val="clear" w:color="auto" w:fill="FFFFFF"/>
          <w:lang w:val="en-GB"/>
        </w:rPr>
        <w:t xml:space="preserve"> </w:t>
      </w:r>
      <w:r w:rsidRPr="00876226">
        <w:rPr>
          <w:rFonts w:cstheme="minorHAnsi"/>
          <w:color w:val="212121"/>
          <w:shd w:val="clear" w:color="auto" w:fill="FFFFFF"/>
          <w:vertAlign w:val="superscript"/>
          <w:lang w:val="en-GB"/>
        </w:rPr>
        <w:t>14</w:t>
      </w:r>
      <w:r w:rsidRPr="00876226">
        <w:rPr>
          <w:rFonts w:cstheme="minorHAnsi"/>
          <w:color w:val="212121"/>
          <w:shd w:val="clear" w:color="auto" w:fill="FFFFFF"/>
          <w:lang w:val="en-GB"/>
        </w:rPr>
        <w:t xml:space="preserve">, Prof Andreas L. Birkenfeld MD </w:t>
      </w:r>
      <w:r w:rsidRPr="00876226">
        <w:rPr>
          <w:rFonts w:cstheme="minorHAnsi"/>
          <w:color w:val="212121"/>
          <w:shd w:val="clear" w:color="auto" w:fill="FFFFFF"/>
          <w:vertAlign w:val="superscript"/>
          <w:lang w:val="en-GB"/>
        </w:rPr>
        <w:t>1,14,15,16,17</w:t>
      </w:r>
      <w:r w:rsidRPr="00876226">
        <w:rPr>
          <w:rFonts w:cstheme="minorHAnsi"/>
          <w:color w:val="212121"/>
          <w:shd w:val="clear" w:color="auto" w:fill="FFFFFF"/>
          <w:lang w:val="en-GB"/>
        </w:rPr>
        <w:t xml:space="preserve">, Prof Bernhard Boehm MD </w:t>
      </w:r>
      <w:r w:rsidRPr="00876226">
        <w:rPr>
          <w:rFonts w:cstheme="minorHAnsi"/>
          <w:color w:val="212121"/>
          <w:shd w:val="clear" w:color="auto" w:fill="FFFFFF"/>
          <w:vertAlign w:val="superscript"/>
          <w:lang w:val="en-GB"/>
        </w:rPr>
        <w:t>18,19</w:t>
      </w:r>
      <w:r w:rsidRPr="00876226">
        <w:rPr>
          <w:rFonts w:cstheme="minorHAnsi"/>
          <w:color w:val="212121"/>
          <w:shd w:val="clear" w:color="auto" w:fill="FFFFFF"/>
          <w:lang w:val="en-GB"/>
        </w:rPr>
        <w:t>, Prof Richard I. G. Holt</w:t>
      </w:r>
      <w:r>
        <w:rPr>
          <w:rFonts w:cstheme="minorHAnsi"/>
          <w:color w:val="212121"/>
          <w:shd w:val="clear" w:color="auto" w:fill="FFFFFF"/>
          <w:lang w:val="en-GB"/>
        </w:rPr>
        <w:t xml:space="preserve"> FRCP</w:t>
      </w:r>
      <w:r w:rsidRPr="00876226">
        <w:rPr>
          <w:rFonts w:cstheme="minorHAnsi"/>
          <w:color w:val="212121"/>
          <w:shd w:val="clear" w:color="auto" w:fill="FFFFFF"/>
          <w:lang w:val="en-GB"/>
        </w:rPr>
        <w:t xml:space="preserve"> </w:t>
      </w:r>
      <w:r w:rsidRPr="00876226">
        <w:rPr>
          <w:rFonts w:cstheme="minorHAnsi"/>
          <w:color w:val="212121"/>
          <w:shd w:val="clear" w:color="auto" w:fill="FFFFFF"/>
          <w:vertAlign w:val="superscript"/>
          <w:lang w:val="en-GB"/>
        </w:rPr>
        <w:t>20</w:t>
      </w:r>
      <w:r w:rsidRPr="00876226">
        <w:rPr>
          <w:rFonts w:cstheme="minorHAnsi"/>
          <w:color w:val="212121"/>
          <w:shd w:val="clear" w:color="auto" w:fill="FFFFFF"/>
          <w:lang w:val="en-GB"/>
        </w:rPr>
        <w:t xml:space="preserve">, Prof Jay S. Skyler MD </w:t>
      </w:r>
      <w:r w:rsidRPr="00876226">
        <w:rPr>
          <w:rFonts w:cstheme="minorHAnsi"/>
          <w:color w:val="212121"/>
          <w:shd w:val="clear" w:color="auto" w:fill="FFFFFF"/>
          <w:vertAlign w:val="superscript"/>
          <w:lang w:val="en-GB"/>
        </w:rPr>
        <w:t>21</w:t>
      </w:r>
      <w:r w:rsidRPr="00876226">
        <w:rPr>
          <w:rFonts w:cstheme="minorHAnsi"/>
          <w:color w:val="212121"/>
          <w:shd w:val="clear" w:color="auto" w:fill="FFFFFF"/>
          <w:lang w:val="en-GB"/>
        </w:rPr>
        <w:t xml:space="preserve">, Prof J. Hans DeVries MD </w:t>
      </w:r>
      <w:r w:rsidRPr="00876226">
        <w:rPr>
          <w:rFonts w:cstheme="minorHAnsi"/>
          <w:color w:val="212121"/>
          <w:shd w:val="clear" w:color="auto" w:fill="FFFFFF"/>
          <w:vertAlign w:val="superscript"/>
          <w:lang w:val="en-GB"/>
        </w:rPr>
        <w:t>22,23</w:t>
      </w:r>
      <w:r w:rsidRPr="00876226">
        <w:rPr>
          <w:rFonts w:cstheme="minorHAnsi"/>
          <w:color w:val="212121"/>
          <w:shd w:val="clear" w:color="auto" w:fill="FFFFFF"/>
          <w:lang w:val="en-GB"/>
        </w:rPr>
        <w:t xml:space="preserve">, Prof Eric Renard MD </w:t>
      </w:r>
      <w:r w:rsidRPr="00876226">
        <w:rPr>
          <w:rFonts w:cstheme="minorHAnsi"/>
          <w:color w:val="212121"/>
          <w:shd w:val="clear" w:color="auto" w:fill="FFFFFF"/>
          <w:vertAlign w:val="superscript"/>
          <w:lang w:val="en-GB"/>
        </w:rPr>
        <w:t>24</w:t>
      </w:r>
      <w:r w:rsidRPr="00876226">
        <w:rPr>
          <w:rFonts w:cstheme="minorHAnsi"/>
          <w:color w:val="212121"/>
          <w:shd w:val="clear" w:color="auto" w:fill="FFFFFF"/>
          <w:lang w:val="en-GB"/>
        </w:rPr>
        <w:t xml:space="preserve">, Prof Robert H. Eckel MD </w:t>
      </w:r>
      <w:r w:rsidRPr="00876226">
        <w:rPr>
          <w:rFonts w:cstheme="minorHAnsi"/>
          <w:color w:val="212121"/>
          <w:shd w:val="clear" w:color="auto" w:fill="FFFFFF"/>
          <w:vertAlign w:val="superscript"/>
          <w:lang w:val="en-GB"/>
        </w:rPr>
        <w:t>25</w:t>
      </w:r>
      <w:r w:rsidRPr="00876226">
        <w:rPr>
          <w:rFonts w:cstheme="minorHAnsi"/>
          <w:color w:val="212121"/>
          <w:shd w:val="clear" w:color="auto" w:fill="FFFFFF"/>
          <w:lang w:val="en-GB"/>
        </w:rPr>
        <w:t xml:space="preserve">, Prof K. George M. M. Alberti FRCP </w:t>
      </w:r>
      <w:r w:rsidRPr="00876226">
        <w:rPr>
          <w:rFonts w:cstheme="minorHAnsi"/>
          <w:color w:val="212121"/>
          <w:shd w:val="clear" w:color="auto" w:fill="FFFFFF"/>
          <w:vertAlign w:val="superscript"/>
          <w:lang w:val="en-GB"/>
        </w:rPr>
        <w:t>26</w:t>
      </w:r>
      <w:r w:rsidRPr="00876226">
        <w:rPr>
          <w:rFonts w:cstheme="minorHAnsi"/>
          <w:color w:val="212121"/>
          <w:shd w:val="clear" w:color="auto" w:fill="FFFFFF"/>
          <w:lang w:val="en-GB"/>
        </w:rPr>
        <w:t xml:space="preserve">, Prof Bruno Geloneze MD </w:t>
      </w:r>
      <w:r w:rsidRPr="00876226">
        <w:rPr>
          <w:rFonts w:cstheme="minorHAnsi"/>
          <w:color w:val="212121"/>
          <w:shd w:val="clear" w:color="auto" w:fill="FFFFFF"/>
          <w:vertAlign w:val="superscript"/>
          <w:lang w:val="en-GB"/>
        </w:rPr>
        <w:t>27</w:t>
      </w:r>
      <w:r w:rsidRPr="00876226">
        <w:rPr>
          <w:rFonts w:cstheme="minorHAnsi"/>
          <w:color w:val="212121"/>
          <w:shd w:val="clear" w:color="auto" w:fill="FFFFFF"/>
          <w:lang w:val="en-GB"/>
        </w:rPr>
        <w:t xml:space="preserve">, Prof Juliana C. Chan MD </w:t>
      </w:r>
      <w:r w:rsidRPr="00876226">
        <w:rPr>
          <w:rFonts w:cstheme="minorHAnsi"/>
          <w:color w:val="212121"/>
          <w:shd w:val="clear" w:color="auto" w:fill="FFFFFF"/>
          <w:vertAlign w:val="superscript"/>
          <w:lang w:val="en-GB"/>
        </w:rPr>
        <w:t>28</w:t>
      </w:r>
      <w:r w:rsidRPr="00876226">
        <w:rPr>
          <w:rFonts w:cstheme="minorHAnsi"/>
          <w:color w:val="212121"/>
          <w:shd w:val="clear" w:color="auto" w:fill="FFFFFF"/>
          <w:lang w:val="en-GB"/>
        </w:rPr>
        <w:t xml:space="preserve">, Prof Jean Claude Mbanya MD </w:t>
      </w:r>
      <w:r w:rsidRPr="00876226">
        <w:rPr>
          <w:rFonts w:cstheme="minorHAnsi"/>
          <w:color w:val="212121"/>
          <w:shd w:val="clear" w:color="auto" w:fill="FFFFFF"/>
          <w:vertAlign w:val="superscript"/>
          <w:lang w:val="en-GB"/>
        </w:rPr>
        <w:t>29</w:t>
      </w:r>
      <w:r w:rsidRPr="00876226">
        <w:rPr>
          <w:rFonts w:cstheme="minorHAnsi"/>
          <w:color w:val="212121"/>
          <w:shd w:val="clear" w:color="auto" w:fill="FFFFFF"/>
          <w:lang w:val="en-GB"/>
        </w:rPr>
        <w:t xml:space="preserve">, Henry C. Onyegbutulem FWACP </w:t>
      </w:r>
      <w:r w:rsidRPr="00876226">
        <w:rPr>
          <w:rFonts w:cstheme="minorHAnsi"/>
          <w:color w:val="212121"/>
          <w:shd w:val="clear" w:color="auto" w:fill="FFFFFF"/>
          <w:vertAlign w:val="superscript"/>
          <w:lang w:val="en-GB"/>
        </w:rPr>
        <w:t>30</w:t>
      </w:r>
      <w:r w:rsidRPr="00876226">
        <w:rPr>
          <w:rFonts w:cstheme="minorHAnsi"/>
          <w:color w:val="212121"/>
          <w:shd w:val="clear" w:color="auto" w:fill="FFFFFF"/>
          <w:lang w:val="en-GB"/>
        </w:rPr>
        <w:t xml:space="preserve">, Ambady Ramachandran </w:t>
      </w:r>
      <w:r>
        <w:rPr>
          <w:rFonts w:cstheme="minorHAnsi"/>
          <w:color w:val="212121"/>
          <w:shd w:val="clear" w:color="auto" w:fill="FFFFFF"/>
          <w:lang w:val="en-GB"/>
        </w:rPr>
        <w:t>MD</w:t>
      </w:r>
      <w:r w:rsidRPr="00876226">
        <w:rPr>
          <w:rFonts w:cstheme="minorHAnsi"/>
          <w:color w:val="212121"/>
          <w:shd w:val="clear" w:color="auto" w:fill="FFFFFF"/>
          <w:lang w:val="en-GB"/>
        </w:rPr>
        <w:t xml:space="preserve"> </w:t>
      </w:r>
      <w:r w:rsidRPr="00876226">
        <w:rPr>
          <w:rFonts w:cstheme="minorHAnsi"/>
          <w:color w:val="212121"/>
          <w:shd w:val="clear" w:color="auto" w:fill="FFFFFF"/>
          <w:vertAlign w:val="superscript"/>
          <w:lang w:val="en-GB"/>
        </w:rPr>
        <w:t>31</w:t>
      </w:r>
      <w:r w:rsidRPr="00876226">
        <w:rPr>
          <w:rFonts w:cstheme="minorHAnsi"/>
          <w:color w:val="212121"/>
          <w:shd w:val="clear" w:color="auto" w:fill="FFFFFF"/>
          <w:lang w:val="en-GB"/>
        </w:rPr>
        <w:t xml:space="preserve">, Prof Abdul Basit FRCP </w:t>
      </w:r>
      <w:r w:rsidRPr="00876226">
        <w:rPr>
          <w:rFonts w:cstheme="minorHAnsi"/>
          <w:color w:val="212121"/>
          <w:shd w:val="clear" w:color="auto" w:fill="FFFFFF"/>
          <w:vertAlign w:val="superscript"/>
          <w:lang w:val="en-GB"/>
        </w:rPr>
        <w:t>32</w:t>
      </w:r>
      <w:r w:rsidRPr="00876226">
        <w:rPr>
          <w:rFonts w:cstheme="minorHAnsi"/>
          <w:color w:val="212121"/>
          <w:shd w:val="clear" w:color="auto" w:fill="FFFFFF"/>
          <w:lang w:val="en-GB"/>
        </w:rPr>
        <w:t xml:space="preserve">, Prof Mohamed Hassanein FRCP </w:t>
      </w:r>
      <w:r w:rsidRPr="00876226">
        <w:rPr>
          <w:rFonts w:cstheme="minorHAnsi"/>
          <w:color w:val="212121"/>
          <w:shd w:val="clear" w:color="auto" w:fill="FFFFFF"/>
          <w:vertAlign w:val="superscript"/>
          <w:lang w:val="en-GB"/>
        </w:rPr>
        <w:t>33</w:t>
      </w:r>
      <w:r w:rsidRPr="00876226">
        <w:rPr>
          <w:rFonts w:cstheme="minorHAnsi"/>
          <w:color w:val="212121"/>
          <w:shd w:val="clear" w:color="auto" w:fill="FFFFFF"/>
          <w:lang w:val="en-GB"/>
        </w:rPr>
        <w:t xml:space="preserve">, </w:t>
      </w:r>
      <w:r>
        <w:rPr>
          <w:rFonts w:cstheme="minorHAnsi"/>
          <w:color w:val="212121"/>
          <w:shd w:val="clear" w:color="auto" w:fill="FFFFFF"/>
          <w:lang w:val="en-GB"/>
        </w:rPr>
        <w:t xml:space="preserve">Gavin Bewick PhD </w:t>
      </w:r>
      <w:r w:rsidRPr="00156703">
        <w:rPr>
          <w:rFonts w:cstheme="minorHAnsi"/>
          <w:color w:val="212121"/>
          <w:shd w:val="clear" w:color="auto" w:fill="FFFFFF"/>
          <w:vertAlign w:val="superscript"/>
          <w:lang w:val="en-GB"/>
        </w:rPr>
        <w:t>14</w:t>
      </w:r>
      <w:r>
        <w:rPr>
          <w:rFonts w:cstheme="minorHAnsi"/>
          <w:color w:val="212121"/>
          <w:shd w:val="clear" w:color="auto" w:fill="FFFFFF"/>
          <w:lang w:val="en-GB"/>
        </w:rPr>
        <w:t xml:space="preserve">, </w:t>
      </w:r>
      <w:r w:rsidRPr="00876226">
        <w:rPr>
          <w:rFonts w:cstheme="minorHAnsi"/>
          <w:color w:val="212121"/>
          <w:shd w:val="clear" w:color="auto" w:fill="FFFFFF"/>
          <w:lang w:val="en-GB"/>
        </w:rPr>
        <w:t xml:space="preserve">Prof Giatgen A. Spinas MD </w:t>
      </w:r>
      <w:r w:rsidRPr="00876226">
        <w:rPr>
          <w:rFonts w:cstheme="minorHAnsi"/>
          <w:color w:val="212121"/>
          <w:shd w:val="clear" w:color="auto" w:fill="FFFFFF"/>
          <w:vertAlign w:val="superscript"/>
          <w:lang w:val="en-GB"/>
        </w:rPr>
        <w:t>4</w:t>
      </w:r>
      <w:r w:rsidRPr="00876226">
        <w:rPr>
          <w:rFonts w:cstheme="minorHAnsi"/>
          <w:color w:val="212121"/>
          <w:shd w:val="clear" w:color="auto" w:fill="FFFFFF"/>
          <w:lang w:val="en-GB"/>
        </w:rPr>
        <w:t xml:space="preserve">, Prof Felix Beuschlein MD </w:t>
      </w:r>
      <w:r w:rsidRPr="00876226">
        <w:rPr>
          <w:rFonts w:cstheme="minorHAnsi"/>
          <w:color w:val="212121"/>
          <w:shd w:val="clear" w:color="auto" w:fill="FFFFFF"/>
          <w:vertAlign w:val="superscript"/>
          <w:lang w:val="en-GB"/>
        </w:rPr>
        <w:t>4</w:t>
      </w:r>
      <w:r w:rsidRPr="00876226">
        <w:rPr>
          <w:rFonts w:cstheme="minorHAnsi"/>
          <w:color w:val="212121"/>
          <w:shd w:val="clear" w:color="auto" w:fill="FFFFFF"/>
          <w:lang w:val="en-GB"/>
        </w:rPr>
        <w:t xml:space="preserve">, Prof </w:t>
      </w:r>
      <w:r w:rsidRPr="00876226">
        <w:rPr>
          <w:rFonts w:cstheme="minorHAnsi"/>
          <w:lang w:val="en-GB"/>
        </w:rPr>
        <w:t xml:space="preserve">Rüdiger Landgraf MD </w:t>
      </w:r>
      <w:r w:rsidRPr="00876226">
        <w:rPr>
          <w:rFonts w:cstheme="minorHAnsi"/>
          <w:vertAlign w:val="superscript"/>
          <w:lang w:val="en-GB"/>
        </w:rPr>
        <w:t>34</w:t>
      </w:r>
      <w:r w:rsidRPr="00876226">
        <w:rPr>
          <w:rFonts w:cstheme="minorHAnsi"/>
          <w:lang w:val="en-GB"/>
        </w:rPr>
        <w:t xml:space="preserve">, Prof Francesco Rubino MD </w:t>
      </w:r>
      <w:r w:rsidRPr="00876226">
        <w:rPr>
          <w:rFonts w:cstheme="minorHAnsi"/>
          <w:vertAlign w:val="superscript"/>
          <w:lang w:val="en-GB"/>
        </w:rPr>
        <w:t>14,35</w:t>
      </w:r>
      <w:r w:rsidRPr="00876226">
        <w:rPr>
          <w:rFonts w:cstheme="minorHAnsi"/>
          <w:lang w:val="en-GB"/>
        </w:rPr>
        <w:t xml:space="preserve">, Prof Geltrude Mingrone MD </w:t>
      </w:r>
      <w:r w:rsidRPr="00876226">
        <w:rPr>
          <w:rFonts w:cstheme="minorHAnsi"/>
          <w:vertAlign w:val="superscript"/>
          <w:lang w:val="en-GB"/>
        </w:rPr>
        <w:t>14,36,37</w:t>
      </w:r>
      <w:r w:rsidRPr="00876226">
        <w:rPr>
          <w:rFonts w:cstheme="minorHAnsi"/>
          <w:lang w:val="en-GB"/>
        </w:rPr>
        <w:t xml:space="preserve">, Prof Stefan R. Bornstein MD </w:t>
      </w:r>
      <w:r w:rsidRPr="00876226">
        <w:rPr>
          <w:rFonts w:cstheme="minorHAnsi"/>
          <w:vertAlign w:val="superscript"/>
          <w:lang w:val="en-GB"/>
        </w:rPr>
        <w:t>1,2,3,4,14*</w:t>
      </w:r>
    </w:p>
    <w:p w:rsidR="006419BC" w:rsidRPr="00876226" w:rsidRDefault="006419BC">
      <w:pPr>
        <w:rPr>
          <w:rFonts w:cstheme="minorHAnsi"/>
          <w:lang w:val="en-GB"/>
        </w:rPr>
      </w:pPr>
    </w:p>
    <w:p w:rsidR="006419BC" w:rsidRPr="00876226" w:rsidRDefault="006419BC" w:rsidP="004C4A84">
      <w:pPr>
        <w:pStyle w:val="KeinLeerraum"/>
        <w:numPr>
          <w:ilvl w:val="0"/>
          <w:numId w:val="6"/>
        </w:numPr>
        <w:ind w:left="284" w:hanging="284"/>
        <w:rPr>
          <w:rFonts w:asciiTheme="minorHAnsi" w:hAnsiTheme="minorHAnsi" w:cstheme="minorHAnsi"/>
          <w:lang w:val="en-GB"/>
        </w:rPr>
      </w:pPr>
      <w:r w:rsidRPr="00876226">
        <w:rPr>
          <w:rFonts w:asciiTheme="minorHAnsi" w:hAnsiTheme="minorHAnsi" w:cstheme="minorHAnsi"/>
          <w:vertAlign w:val="superscript"/>
          <w:lang w:val="en-GB"/>
        </w:rPr>
        <w:t>1</w:t>
      </w:r>
      <w:r w:rsidRPr="00876226">
        <w:rPr>
          <w:rFonts w:asciiTheme="minorHAnsi" w:hAnsiTheme="minorHAnsi" w:cstheme="minorHAnsi"/>
          <w:lang w:val="en-GB"/>
        </w:rPr>
        <w:t xml:space="preserve">Department of Internal Medicine III, University Hospital Carl Gustav Carus, Technische Universität Dresden, Dresden, Germany. </w:t>
      </w:r>
    </w:p>
    <w:p w:rsidR="006419BC" w:rsidRPr="00A613AF"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A613AF">
        <w:rPr>
          <w:rFonts w:eastAsia="Times New Roman" w:cstheme="minorHAnsi"/>
          <w:vertAlign w:val="superscript"/>
          <w:lang w:val="en-GB" w:eastAsia="de-DE"/>
        </w:rPr>
        <w:t>2</w:t>
      </w:r>
      <w:r w:rsidRPr="00A613AF">
        <w:rPr>
          <w:rFonts w:eastAsia="Times New Roman" w:cstheme="minorHAnsi"/>
          <w:lang w:val="en-GB" w:eastAsia="de-DE"/>
        </w:rPr>
        <w:t>Paul Langerhans Institute Dresden (PLID) of the Helmholtz Center Munich at the University Hospital Carl Gustav Carus and Faculty of Medicine of the TU Dresden, Dresden, Germany.</w:t>
      </w:r>
    </w:p>
    <w:p w:rsidR="006419BC" w:rsidRPr="00A613AF"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A613AF">
        <w:rPr>
          <w:rFonts w:eastAsia="Times New Roman" w:cstheme="minorHAnsi"/>
          <w:vertAlign w:val="superscript"/>
          <w:lang w:val="en-GB" w:eastAsia="de-DE"/>
        </w:rPr>
        <w:t>3</w:t>
      </w:r>
      <w:r w:rsidRPr="00A613AF">
        <w:rPr>
          <w:rFonts w:eastAsia="Times New Roman" w:cstheme="minorHAnsi"/>
          <w:lang w:val="en-GB" w:eastAsia="de-DE"/>
        </w:rPr>
        <w:t>German Center for Diabetes Research (DZD e.V.), Neuherberg, Germany.</w:t>
      </w:r>
    </w:p>
    <w:p w:rsidR="006419BC" w:rsidRPr="00A613AF"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A613AF">
        <w:rPr>
          <w:rFonts w:eastAsia="Times New Roman" w:cstheme="minorHAnsi"/>
          <w:vertAlign w:val="superscript"/>
          <w:lang w:val="en-GB" w:eastAsia="de-DE"/>
        </w:rPr>
        <w:t>4</w:t>
      </w:r>
      <w:r w:rsidRPr="00A613AF">
        <w:rPr>
          <w:rFonts w:eastAsia="Times New Roman" w:cstheme="minorHAnsi"/>
          <w:lang w:val="en-GB" w:eastAsia="de-DE"/>
        </w:rPr>
        <w:t>Department of Endocrinology, Diabetology and Clinical Nutrition, University Hospital Zurich, Zurich, Switzerland.</w:t>
      </w:r>
    </w:p>
    <w:p w:rsidR="006419BC" w:rsidRPr="00B25D96" w:rsidRDefault="006419BC" w:rsidP="004C4A84">
      <w:pPr>
        <w:numPr>
          <w:ilvl w:val="0"/>
          <w:numId w:val="6"/>
        </w:numPr>
        <w:shd w:val="clear" w:color="auto" w:fill="FFFFFF"/>
        <w:spacing w:after="0" w:line="240" w:lineRule="auto"/>
        <w:ind w:left="284" w:hanging="284"/>
        <w:rPr>
          <w:rFonts w:eastAsia="Times New Roman" w:cstheme="minorHAnsi"/>
          <w:lang w:eastAsia="de-DE"/>
        </w:rPr>
      </w:pPr>
      <w:r w:rsidRPr="00B25D96">
        <w:rPr>
          <w:rFonts w:eastAsia="Times New Roman" w:cstheme="minorHAnsi"/>
          <w:vertAlign w:val="superscript"/>
          <w:lang w:eastAsia="de-DE"/>
        </w:rPr>
        <w:t>5</w:t>
      </w:r>
      <w:r w:rsidRPr="00B25D96">
        <w:rPr>
          <w:rFonts w:eastAsia="Times New Roman" w:cstheme="minorHAnsi"/>
          <w:lang w:eastAsia="de-DE"/>
        </w:rPr>
        <w:t>DFG-Center for Regenerative Therapies Dresden, Technische Universität Dresden, Dresden, Germany.</w:t>
      </w:r>
    </w:p>
    <w:p w:rsidR="006419BC" w:rsidRPr="00A613AF" w:rsidRDefault="006419BC" w:rsidP="00582145">
      <w:pPr>
        <w:numPr>
          <w:ilvl w:val="0"/>
          <w:numId w:val="6"/>
        </w:numPr>
        <w:shd w:val="clear" w:color="auto" w:fill="FFFFFF"/>
        <w:spacing w:after="0" w:line="240" w:lineRule="auto"/>
        <w:ind w:left="284" w:hanging="284"/>
        <w:rPr>
          <w:rFonts w:cstheme="minorHAnsi"/>
          <w:lang w:val="en-GB"/>
        </w:rPr>
      </w:pPr>
      <w:r w:rsidRPr="00A613AF">
        <w:rPr>
          <w:rFonts w:eastAsia="Times New Roman" w:cstheme="minorHAnsi"/>
          <w:vertAlign w:val="superscript"/>
          <w:lang w:val="en-GB" w:eastAsia="de-DE"/>
        </w:rPr>
        <w:t>6</w:t>
      </w:r>
      <w:r w:rsidRPr="00A613AF">
        <w:rPr>
          <w:rFonts w:eastAsia="Times New Roman" w:cstheme="minorHAnsi"/>
          <w:lang w:val="en-GB" w:eastAsia="de-DE"/>
        </w:rPr>
        <w:t>Department of Diabetes, Central Clinical School, Monash University, Melbourne, Victoria, Australia.</w:t>
      </w:r>
    </w:p>
    <w:p w:rsidR="006419BC" w:rsidRPr="00A613AF" w:rsidRDefault="006419BC" w:rsidP="00E27EC1">
      <w:pPr>
        <w:numPr>
          <w:ilvl w:val="0"/>
          <w:numId w:val="6"/>
        </w:numPr>
        <w:shd w:val="clear" w:color="auto" w:fill="FFFFFF"/>
        <w:spacing w:after="0" w:line="240" w:lineRule="auto"/>
        <w:ind w:left="284" w:hanging="284"/>
        <w:rPr>
          <w:rFonts w:cstheme="minorHAnsi"/>
          <w:lang w:val="en-GB"/>
        </w:rPr>
      </w:pPr>
      <w:r w:rsidRPr="00A613AF">
        <w:rPr>
          <w:rFonts w:cstheme="minorHAnsi"/>
          <w:color w:val="000000"/>
          <w:vertAlign w:val="superscript"/>
          <w:lang w:val="en-GB"/>
        </w:rPr>
        <w:t>7</w:t>
      </w:r>
      <w:r w:rsidRPr="00A613AF">
        <w:rPr>
          <w:rFonts w:cstheme="minorHAnsi"/>
          <w:color w:val="000000"/>
          <w:lang w:val="en-GB"/>
        </w:rPr>
        <w:t>Department of Biochemistry and Molecular Medicine, Faculty of Medicine, Lomonosov Moscow State University, Moscow, Russia</w:t>
      </w:r>
    </w:p>
    <w:p w:rsidR="006419BC" w:rsidRPr="00A613AF" w:rsidRDefault="006419BC" w:rsidP="00582145">
      <w:pPr>
        <w:numPr>
          <w:ilvl w:val="0"/>
          <w:numId w:val="6"/>
        </w:numPr>
        <w:shd w:val="clear" w:color="auto" w:fill="FFFFFF"/>
        <w:spacing w:after="0" w:line="240" w:lineRule="auto"/>
        <w:ind w:left="284" w:hanging="284"/>
        <w:rPr>
          <w:rFonts w:cstheme="minorHAnsi"/>
          <w:lang w:val="en-GB"/>
        </w:rPr>
      </w:pPr>
      <w:r w:rsidRPr="00A613AF">
        <w:rPr>
          <w:rFonts w:cstheme="minorHAnsi"/>
          <w:color w:val="000000"/>
          <w:vertAlign w:val="superscript"/>
          <w:lang w:val="en-GB"/>
        </w:rPr>
        <w:t>8</w:t>
      </w:r>
      <w:r w:rsidRPr="00A613AF">
        <w:rPr>
          <w:rFonts w:cstheme="minorHAnsi"/>
          <w:color w:val="000000"/>
          <w:lang w:val="en-GB"/>
        </w:rPr>
        <w:t xml:space="preserve">Institute for Regenerative Medicine, Medical Research and Education Centre, Lomonosov Moscow State University, Moscow, Russia; </w:t>
      </w:r>
    </w:p>
    <w:p w:rsidR="006419BC" w:rsidRPr="00A613AF" w:rsidRDefault="006419BC" w:rsidP="002067F4">
      <w:pPr>
        <w:numPr>
          <w:ilvl w:val="0"/>
          <w:numId w:val="6"/>
        </w:numPr>
        <w:shd w:val="clear" w:color="auto" w:fill="FFFFFF"/>
        <w:spacing w:after="0" w:line="240" w:lineRule="auto"/>
        <w:ind w:left="284" w:hanging="284"/>
        <w:rPr>
          <w:rFonts w:eastAsia="Times New Roman" w:cstheme="minorHAnsi"/>
          <w:vertAlign w:val="superscript"/>
          <w:lang w:val="en-GB" w:eastAsia="de-DE"/>
        </w:rPr>
      </w:pPr>
      <w:r w:rsidRPr="00A613AF">
        <w:rPr>
          <w:rFonts w:eastAsia="Times New Roman" w:cstheme="minorHAnsi"/>
          <w:vertAlign w:val="superscript"/>
          <w:lang w:val="en-GB" w:eastAsia="de-DE"/>
        </w:rPr>
        <w:t xml:space="preserve">9 </w:t>
      </w:r>
      <w:r w:rsidRPr="00A613AF">
        <w:rPr>
          <w:rFonts w:cstheme="minorHAnsi"/>
          <w:color w:val="212121"/>
          <w:shd w:val="clear" w:color="auto" w:fill="FFFFFF"/>
          <w:lang w:val="en-GB"/>
        </w:rPr>
        <w:t>Department of General Physiology, St. Petersburg State University, St. Petersburg, Russia.</w:t>
      </w:r>
    </w:p>
    <w:p w:rsidR="006419BC" w:rsidRPr="00A613AF" w:rsidRDefault="006419BC" w:rsidP="00613ADA">
      <w:pPr>
        <w:numPr>
          <w:ilvl w:val="0"/>
          <w:numId w:val="6"/>
        </w:numPr>
        <w:shd w:val="clear" w:color="auto" w:fill="FFFFFF"/>
        <w:spacing w:after="0" w:line="240" w:lineRule="auto"/>
        <w:ind w:left="284" w:hanging="284"/>
        <w:rPr>
          <w:rFonts w:eastAsia="Times New Roman" w:cstheme="minorHAnsi"/>
          <w:vertAlign w:val="superscript"/>
          <w:lang w:val="en-GB" w:eastAsia="de-DE"/>
        </w:rPr>
      </w:pPr>
      <w:r w:rsidRPr="00A613AF">
        <w:rPr>
          <w:rFonts w:eastAsia="Times New Roman" w:cstheme="minorHAnsi"/>
          <w:vertAlign w:val="superscript"/>
          <w:lang w:val="en-GB" w:eastAsia="de-DE"/>
        </w:rPr>
        <w:t>10</w:t>
      </w:r>
      <w:r w:rsidRPr="00A613AF">
        <w:rPr>
          <w:rFonts w:cstheme="minorHAnsi"/>
          <w:color w:val="212121"/>
          <w:shd w:val="clear" w:color="auto" w:fill="FFFFFF"/>
          <w:lang w:val="en-GB"/>
        </w:rPr>
        <w:t xml:space="preserve"> Paris</w:t>
      </w:r>
      <w:r>
        <w:rPr>
          <w:rFonts w:cstheme="minorHAnsi"/>
          <w:color w:val="212121"/>
          <w:shd w:val="clear" w:color="auto" w:fill="FFFFFF"/>
          <w:lang w:val="en-GB"/>
        </w:rPr>
        <w:t xml:space="preserve"> </w:t>
      </w:r>
      <w:r w:rsidRPr="00A613AF">
        <w:rPr>
          <w:rFonts w:cstheme="minorHAnsi"/>
          <w:color w:val="212121"/>
          <w:shd w:val="clear" w:color="auto" w:fill="FFFFFF"/>
          <w:lang w:val="en-GB"/>
        </w:rPr>
        <w:t>Lodron</w:t>
      </w:r>
      <w:r>
        <w:rPr>
          <w:rFonts w:cstheme="minorHAnsi"/>
          <w:color w:val="212121"/>
          <w:shd w:val="clear" w:color="auto" w:fill="FFFFFF"/>
          <w:lang w:val="en-GB"/>
        </w:rPr>
        <w:t xml:space="preserve"> </w:t>
      </w:r>
      <w:r w:rsidRPr="00A613AF">
        <w:rPr>
          <w:rFonts w:cstheme="minorHAnsi"/>
          <w:color w:val="212121"/>
          <w:shd w:val="clear" w:color="auto" w:fill="FFFFFF"/>
          <w:lang w:val="en-GB"/>
        </w:rPr>
        <w:t>University Salzburg, Salzburg, Austria.</w:t>
      </w:r>
    </w:p>
    <w:p w:rsidR="006419BC" w:rsidRPr="00B25D96" w:rsidRDefault="006419BC" w:rsidP="00613ADA">
      <w:pPr>
        <w:numPr>
          <w:ilvl w:val="0"/>
          <w:numId w:val="6"/>
        </w:numPr>
        <w:shd w:val="clear" w:color="auto" w:fill="FFFFFF"/>
        <w:spacing w:after="0" w:line="240" w:lineRule="auto"/>
        <w:ind w:left="284" w:hanging="284"/>
        <w:rPr>
          <w:rFonts w:eastAsia="Times New Roman" w:cstheme="minorHAnsi"/>
          <w:vertAlign w:val="superscript"/>
          <w:lang w:eastAsia="de-DE"/>
        </w:rPr>
      </w:pPr>
      <w:r w:rsidRPr="00B25D96">
        <w:rPr>
          <w:rFonts w:eastAsia="Times New Roman" w:cstheme="minorHAnsi"/>
          <w:vertAlign w:val="superscript"/>
          <w:lang w:eastAsia="de-DE"/>
        </w:rPr>
        <w:t>11</w:t>
      </w:r>
      <w:r w:rsidRPr="00B25D96">
        <w:rPr>
          <w:rFonts w:cstheme="minorHAnsi"/>
          <w:shd w:val="clear" w:color="auto" w:fill="FFFFFF"/>
        </w:rPr>
        <w:t>Institute of Experimental Genetics, Helmholtz Zentrum München, Neuherberg, Germany.</w:t>
      </w:r>
    </w:p>
    <w:p w:rsidR="006419BC" w:rsidRPr="00A613AF" w:rsidRDefault="006419BC" w:rsidP="00613ADA">
      <w:pPr>
        <w:numPr>
          <w:ilvl w:val="0"/>
          <w:numId w:val="6"/>
        </w:numPr>
        <w:shd w:val="clear" w:color="auto" w:fill="FFFFFF"/>
        <w:spacing w:after="0" w:line="240" w:lineRule="auto"/>
        <w:ind w:left="284" w:hanging="284"/>
        <w:rPr>
          <w:rFonts w:eastAsia="Times New Roman" w:cstheme="minorHAnsi"/>
          <w:vertAlign w:val="superscript"/>
          <w:lang w:val="en-GB" w:eastAsia="de-DE"/>
        </w:rPr>
      </w:pPr>
      <w:r w:rsidRPr="00A613AF">
        <w:rPr>
          <w:rFonts w:eastAsia="Times New Roman" w:cstheme="minorHAnsi"/>
          <w:vertAlign w:val="superscript"/>
          <w:lang w:val="en-GB" w:eastAsia="de-DE"/>
        </w:rPr>
        <w:t>12</w:t>
      </w:r>
      <w:r w:rsidRPr="00A613AF">
        <w:rPr>
          <w:rFonts w:eastAsia="Times New Roman" w:cstheme="minorHAnsi"/>
          <w:lang w:val="en-GB" w:eastAsia="de-DE"/>
        </w:rPr>
        <w:t>Chair of Experimental Genetics, TUM School of Life Sciences, Technische Universität München, Freising, Germany</w:t>
      </w:r>
    </w:p>
    <w:p w:rsidR="006419BC" w:rsidRPr="00876226" w:rsidRDefault="006419BC" w:rsidP="004C4A84">
      <w:pPr>
        <w:pStyle w:val="KeinLeerraum"/>
        <w:numPr>
          <w:ilvl w:val="0"/>
          <w:numId w:val="6"/>
        </w:numPr>
        <w:ind w:left="284" w:hanging="284"/>
        <w:rPr>
          <w:rFonts w:asciiTheme="minorHAnsi" w:hAnsiTheme="minorHAnsi" w:cstheme="minorHAnsi"/>
          <w:bCs/>
          <w:lang w:val="en-GB"/>
        </w:rPr>
      </w:pPr>
      <w:r w:rsidRPr="00A613AF">
        <w:rPr>
          <w:rFonts w:asciiTheme="minorHAnsi" w:eastAsia="Times New Roman" w:hAnsiTheme="minorHAnsi" w:cstheme="minorHAnsi"/>
          <w:vertAlign w:val="superscript"/>
          <w:lang w:val="en-GB" w:eastAsia="de-DE"/>
        </w:rPr>
        <w:t>13</w:t>
      </w:r>
      <w:r w:rsidRPr="00876226">
        <w:rPr>
          <w:rFonts w:asciiTheme="minorHAnsi" w:hAnsiTheme="minorHAnsi" w:cstheme="minorHAnsi"/>
          <w:bCs/>
          <w:lang w:val="en-GB"/>
        </w:rPr>
        <w:t>Diabetes Research Centre, University of Leicester, UK</w:t>
      </w:r>
    </w:p>
    <w:p w:rsidR="006419BC" w:rsidRPr="00CE38A3" w:rsidRDefault="006419BC" w:rsidP="004C4A84">
      <w:pPr>
        <w:pStyle w:val="KeinLeerraum"/>
        <w:numPr>
          <w:ilvl w:val="0"/>
          <w:numId w:val="6"/>
        </w:numPr>
        <w:ind w:left="284" w:hanging="284"/>
        <w:rPr>
          <w:rFonts w:asciiTheme="minorHAnsi" w:hAnsiTheme="minorHAnsi" w:cstheme="minorHAnsi"/>
          <w:lang w:val="en-GB"/>
        </w:rPr>
      </w:pPr>
      <w:r w:rsidRPr="00CE38A3">
        <w:rPr>
          <w:rFonts w:asciiTheme="minorHAnsi" w:hAnsiTheme="minorHAnsi" w:cstheme="minorHAnsi"/>
          <w:vertAlign w:val="superscript"/>
          <w:lang w:val="en-GB"/>
        </w:rPr>
        <w:t>14</w:t>
      </w:r>
      <w:r w:rsidRPr="00876226">
        <w:rPr>
          <w:rFonts w:asciiTheme="minorHAnsi" w:hAnsiTheme="minorHAnsi" w:cstheme="minorHAnsi"/>
          <w:bCs/>
          <w:lang w:val="en-GB"/>
        </w:rPr>
        <w:t>Department of Diabetes, School of Life Course Science and Medicine, Kings College London, London, UK</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15</w:t>
      </w:r>
      <w:r w:rsidRPr="00CE38A3">
        <w:rPr>
          <w:rFonts w:eastAsia="Times New Roman" w:cstheme="minorHAnsi"/>
          <w:lang w:val="en-GB" w:eastAsia="de-DE"/>
        </w:rPr>
        <w:t>Department of Diabetology, Endocrinology and Nephrology, University Hospital Tübingen, Tübingen, Germany.</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16</w:t>
      </w:r>
      <w:r w:rsidRPr="00CE38A3">
        <w:rPr>
          <w:rFonts w:eastAsia="Times New Roman" w:cstheme="minorHAnsi"/>
          <w:lang w:val="en-GB" w:eastAsia="de-DE"/>
        </w:rPr>
        <w:t>Institute for Diabetes Research and Metabolic Diseases of the Helmholtz Centre Munich at the University of Tübingen, Tübingen, Germany.</w:t>
      </w:r>
    </w:p>
    <w:p w:rsidR="006419BC" w:rsidRPr="00812349" w:rsidRDefault="006419BC" w:rsidP="004C4A84">
      <w:pPr>
        <w:numPr>
          <w:ilvl w:val="0"/>
          <w:numId w:val="6"/>
        </w:numPr>
        <w:shd w:val="clear" w:color="auto" w:fill="FFFFFF"/>
        <w:spacing w:after="0" w:line="240" w:lineRule="auto"/>
        <w:ind w:left="284" w:hanging="284"/>
        <w:rPr>
          <w:rFonts w:eastAsia="Times New Roman" w:cstheme="minorHAnsi"/>
          <w:lang w:eastAsia="de-DE"/>
        </w:rPr>
      </w:pPr>
      <w:r w:rsidRPr="00B25D96">
        <w:rPr>
          <w:rFonts w:eastAsia="Times New Roman" w:cstheme="minorHAnsi"/>
          <w:vertAlign w:val="superscript"/>
          <w:lang w:eastAsia="de-DE"/>
        </w:rPr>
        <w:t>17</w:t>
      </w:r>
      <w:r w:rsidRPr="00812349">
        <w:rPr>
          <w:rFonts w:eastAsia="Times New Roman" w:cstheme="minorHAnsi"/>
          <w:lang w:eastAsia="de-DE"/>
        </w:rPr>
        <w:t>Deutsches Zentrum für Diabetesforschung, DZD e.V., Neuherberg, Germany</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18</w:t>
      </w:r>
      <w:r w:rsidRPr="00CE38A3">
        <w:rPr>
          <w:rFonts w:eastAsia="Times New Roman" w:cstheme="minorHAnsi"/>
          <w:lang w:val="en-GB" w:eastAsia="de-DE"/>
        </w:rPr>
        <w:t>Department of Endocrinology, Tan Tock Seng Hospital, Singapore, Singapore.</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19</w:t>
      </w:r>
      <w:r w:rsidRPr="00CE38A3">
        <w:rPr>
          <w:rFonts w:eastAsia="Times New Roman" w:cstheme="minorHAnsi"/>
          <w:lang w:val="en-GB" w:eastAsia="de-DE"/>
        </w:rPr>
        <w:t>Lee Kong Chian School of Medicine, Nanyang Technological University, Singapore, Singapore.</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20</w:t>
      </w:r>
      <w:r w:rsidRPr="00CE38A3">
        <w:rPr>
          <w:rFonts w:eastAsia="Times New Roman" w:cstheme="minorHAnsi"/>
          <w:lang w:val="en-GB" w:eastAsia="de-DE"/>
        </w:rPr>
        <w:t>Human Development and Health, Faculty of Medicine, University of Southampton, Southampton, UK.</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21</w:t>
      </w:r>
      <w:r w:rsidRPr="00CE38A3">
        <w:rPr>
          <w:rFonts w:eastAsia="Times New Roman" w:cstheme="minorHAnsi"/>
          <w:lang w:val="en-GB" w:eastAsia="de-DE"/>
        </w:rPr>
        <w:t>Diabetes Research Institute, University of Miami Miller School of Medicine, Miami, FL, USA.</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22</w:t>
      </w:r>
      <w:r w:rsidRPr="00CE38A3">
        <w:rPr>
          <w:rFonts w:eastAsia="Times New Roman" w:cstheme="minorHAnsi"/>
          <w:lang w:val="en-GB" w:eastAsia="de-DE"/>
        </w:rPr>
        <w:t>Amsterdam UMC, Internal Medicine, University of Amsterdam, Amsterdam, the Netherlands.</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lastRenderedPageBreak/>
        <w:t>23</w:t>
      </w:r>
      <w:r w:rsidRPr="00CE38A3">
        <w:rPr>
          <w:rFonts w:eastAsia="Times New Roman" w:cstheme="minorHAnsi"/>
          <w:lang w:val="en-GB" w:eastAsia="de-DE"/>
        </w:rPr>
        <w:t>Profil Institute for Metabolic Research, Neuss, Germany.</w:t>
      </w:r>
    </w:p>
    <w:p w:rsidR="006419BC" w:rsidRPr="00CE38A3" w:rsidRDefault="006419BC" w:rsidP="004C4A84">
      <w:pPr>
        <w:pStyle w:val="KeinLeerraum"/>
        <w:numPr>
          <w:ilvl w:val="0"/>
          <w:numId w:val="6"/>
        </w:numPr>
        <w:ind w:left="284" w:hanging="284"/>
        <w:rPr>
          <w:rFonts w:asciiTheme="minorHAnsi" w:hAnsiTheme="minorHAnsi" w:cstheme="minorHAnsi"/>
          <w:lang w:val="en-GB"/>
        </w:rPr>
      </w:pPr>
      <w:r w:rsidRPr="00CE38A3">
        <w:rPr>
          <w:rFonts w:asciiTheme="minorHAnsi" w:hAnsiTheme="minorHAnsi" w:cstheme="minorHAnsi"/>
          <w:vertAlign w:val="superscript"/>
          <w:lang w:val="en-GB"/>
        </w:rPr>
        <w:t>24</w:t>
      </w:r>
      <w:r w:rsidRPr="00876226">
        <w:rPr>
          <w:rFonts w:asciiTheme="minorHAnsi" w:hAnsiTheme="minorHAnsi" w:cstheme="minorHAnsi"/>
          <w:lang w:val="en-GB"/>
        </w:rPr>
        <w:t>Department of Endocrinology, Diabetes, Nutrition, Montpellier University Hospital, and Institute of Functional Genomics, University of Montpellier, INSERM, CNRS, Montpellier, France</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25</w:t>
      </w:r>
      <w:r w:rsidRPr="00CE38A3">
        <w:rPr>
          <w:rFonts w:eastAsia="Times New Roman" w:cstheme="minorHAnsi"/>
          <w:lang w:val="en-GB" w:eastAsia="de-DE"/>
        </w:rPr>
        <w:t>Division of Endocrinology, Metabolism, and Diabetes, University of Colorado Anschutz Medical Campus, Aurora, CO, USA.</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cstheme="minorHAnsi"/>
          <w:vertAlign w:val="superscript"/>
          <w:lang w:val="en-GB"/>
        </w:rPr>
        <w:t>26</w:t>
      </w:r>
      <w:r w:rsidRPr="00CE38A3">
        <w:rPr>
          <w:rFonts w:eastAsia="Times New Roman" w:cstheme="minorHAnsi"/>
          <w:lang w:val="en-GB" w:eastAsia="de-DE"/>
        </w:rPr>
        <w:t>Imperial College, London, UK.</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27</w:t>
      </w:r>
      <w:r w:rsidRPr="00CE38A3">
        <w:rPr>
          <w:rFonts w:eastAsia="Times New Roman" w:cstheme="minorHAnsi"/>
          <w:lang w:val="en-GB" w:eastAsia="de-DE"/>
        </w:rPr>
        <w:t>Obesity and Comorbidities Research Center (OCRC), Laboratory of Investigation in Metabolism and Diabetes (LIMED)/Gastrocentro, Universidade de Campinas (UNICAMP), Campinas, Brazil.</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28</w:t>
      </w:r>
      <w:r w:rsidRPr="00CE38A3">
        <w:rPr>
          <w:rFonts w:eastAsia="Times New Roman" w:cstheme="minorHAnsi"/>
          <w:lang w:val="en-GB" w:eastAsia="de-DE"/>
        </w:rPr>
        <w:t>Department of Medicine and Therapeutics, Hong Kong Institute of Diabetes and Obesity and Li Ka Shing Institute of Health Science, Chinese University of Hong Kong and Prince of Wales Hospital, Hong Kong SAR, China.</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29</w:t>
      </w:r>
      <w:r w:rsidRPr="00CE38A3">
        <w:rPr>
          <w:rFonts w:eastAsia="Times New Roman" w:cstheme="minorHAnsi"/>
          <w:lang w:val="en-GB" w:eastAsia="de-DE"/>
        </w:rPr>
        <w:t>Department of Internal Medicine and Specialties, Faculty of Medicine and Biomedical Sciences, University of Yaoundé, Yaounde, Cameroon.</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30</w:t>
      </w:r>
      <w:r w:rsidRPr="00CE38A3">
        <w:rPr>
          <w:rFonts w:eastAsia="Times New Roman" w:cstheme="minorHAnsi"/>
          <w:lang w:val="en-GB" w:eastAsia="de-DE"/>
        </w:rPr>
        <w:t>Endocrine, Diabetes and Metabolic Unit, Department of Internal Medicine, Nile University of Nigeria/Asokoro Hospital, Abuja, Nigeria.</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31</w:t>
      </w:r>
      <w:r w:rsidRPr="00CE38A3">
        <w:rPr>
          <w:rFonts w:eastAsia="Times New Roman" w:cstheme="minorHAnsi"/>
          <w:lang w:val="en-GB" w:eastAsia="de-DE"/>
        </w:rPr>
        <w:t>India Diabetes Research Foundation, Dr A Ramachandran's Diabetes Hospitals, Chennai, India.</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32</w:t>
      </w:r>
      <w:r w:rsidRPr="00CE38A3">
        <w:rPr>
          <w:rFonts w:eastAsia="Times New Roman" w:cstheme="minorHAnsi"/>
          <w:lang w:val="en-GB" w:eastAsia="de-DE"/>
        </w:rPr>
        <w:t>Baqai Institute of Diabetology and Endocrinology, Baqai Medical University, Karachi, Pakistan.</w:t>
      </w:r>
    </w:p>
    <w:p w:rsidR="006419BC" w:rsidRPr="00CE38A3" w:rsidRDefault="006419BC" w:rsidP="004C4A84">
      <w:pPr>
        <w:numPr>
          <w:ilvl w:val="0"/>
          <w:numId w:val="6"/>
        </w:numPr>
        <w:shd w:val="clear" w:color="auto" w:fill="FFFFFF"/>
        <w:spacing w:after="0" w:line="240" w:lineRule="auto"/>
        <w:ind w:left="284" w:hanging="284"/>
        <w:rPr>
          <w:rFonts w:cstheme="minorHAnsi"/>
          <w:lang w:val="en-GB"/>
        </w:rPr>
      </w:pPr>
      <w:r w:rsidRPr="00CE38A3">
        <w:rPr>
          <w:rFonts w:eastAsia="Times New Roman" w:cstheme="minorHAnsi"/>
          <w:vertAlign w:val="superscript"/>
          <w:lang w:val="en-GB" w:eastAsia="de-DE"/>
        </w:rPr>
        <w:t>33</w:t>
      </w:r>
      <w:r w:rsidRPr="00CE38A3">
        <w:rPr>
          <w:rFonts w:eastAsia="Times New Roman" w:cstheme="minorHAnsi"/>
          <w:lang w:val="en-GB" w:eastAsia="de-DE"/>
        </w:rPr>
        <w:t>Dubai Hospital, Dubai Health Authority and Gulf Medical University, Dubai, United Arab Emirates.</w:t>
      </w:r>
    </w:p>
    <w:p w:rsidR="006419BC" w:rsidRPr="00CE38A3" w:rsidRDefault="006419BC" w:rsidP="004C4A84">
      <w:pPr>
        <w:pStyle w:val="KeinLeerraum"/>
        <w:numPr>
          <w:ilvl w:val="0"/>
          <w:numId w:val="6"/>
        </w:numPr>
        <w:ind w:left="284" w:hanging="284"/>
        <w:rPr>
          <w:rFonts w:asciiTheme="minorHAnsi" w:hAnsiTheme="minorHAnsi" w:cstheme="minorHAnsi"/>
          <w:lang w:val="en-GB"/>
        </w:rPr>
      </w:pPr>
      <w:r w:rsidRPr="00CE38A3">
        <w:rPr>
          <w:rFonts w:asciiTheme="minorHAnsi" w:hAnsiTheme="minorHAnsi" w:cstheme="minorHAnsi"/>
          <w:vertAlign w:val="superscript"/>
          <w:lang w:val="en-GB"/>
        </w:rPr>
        <w:t>34</w:t>
      </w:r>
      <w:r w:rsidRPr="00876226">
        <w:rPr>
          <w:rFonts w:asciiTheme="minorHAnsi" w:hAnsiTheme="minorHAnsi" w:cstheme="minorHAnsi"/>
          <w:bCs/>
          <w:lang w:val="en-GB"/>
        </w:rPr>
        <w:t>German Diabetes Foundation, Düsseldorf, Germany</w:t>
      </w:r>
    </w:p>
    <w:p w:rsidR="006419BC" w:rsidRPr="00CE38A3" w:rsidRDefault="006419BC" w:rsidP="004C4A84">
      <w:pPr>
        <w:numPr>
          <w:ilvl w:val="0"/>
          <w:numId w:val="6"/>
        </w:numPr>
        <w:shd w:val="clear" w:color="auto" w:fill="FFFFFF"/>
        <w:spacing w:after="0" w:line="240" w:lineRule="auto"/>
        <w:ind w:left="284" w:hanging="284"/>
        <w:rPr>
          <w:rFonts w:cstheme="minorHAnsi"/>
          <w:lang w:val="en-GB"/>
        </w:rPr>
      </w:pPr>
      <w:r w:rsidRPr="00CE38A3">
        <w:rPr>
          <w:rFonts w:cstheme="minorHAnsi"/>
          <w:vertAlign w:val="superscript"/>
          <w:lang w:val="en-GB"/>
        </w:rPr>
        <w:t>35</w:t>
      </w:r>
      <w:r w:rsidRPr="00CE38A3">
        <w:rPr>
          <w:rFonts w:eastAsia="Times New Roman" w:cstheme="minorHAnsi"/>
          <w:lang w:val="en-GB" w:eastAsia="de-DE"/>
        </w:rPr>
        <w:t>Bariatric and Metabolic Surgery, King's College Hospital, London, UK.</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cstheme="minorHAnsi"/>
          <w:vertAlign w:val="superscript"/>
          <w:lang w:val="en-GB"/>
        </w:rPr>
        <w:t>36</w:t>
      </w:r>
      <w:r w:rsidRPr="00CE38A3">
        <w:rPr>
          <w:rFonts w:eastAsia="Times New Roman" w:cstheme="minorHAnsi"/>
          <w:lang w:val="en-GB" w:eastAsia="de-DE"/>
        </w:rPr>
        <w:t>Fondazione Policlinico Universitario Agostino Gemelli IRCCS, Rome, Italy.</w:t>
      </w:r>
    </w:p>
    <w:p w:rsidR="006419BC" w:rsidRPr="00CE38A3" w:rsidRDefault="006419BC" w:rsidP="004C4A84">
      <w:pPr>
        <w:numPr>
          <w:ilvl w:val="0"/>
          <w:numId w:val="6"/>
        </w:numPr>
        <w:shd w:val="clear" w:color="auto" w:fill="FFFFFF"/>
        <w:spacing w:after="0" w:line="240" w:lineRule="auto"/>
        <w:ind w:left="284" w:hanging="284"/>
        <w:rPr>
          <w:rFonts w:eastAsia="Times New Roman" w:cstheme="minorHAnsi"/>
          <w:lang w:val="en-GB" w:eastAsia="de-DE"/>
        </w:rPr>
      </w:pPr>
      <w:r w:rsidRPr="00CE38A3">
        <w:rPr>
          <w:rFonts w:eastAsia="Times New Roman" w:cstheme="minorHAnsi"/>
          <w:vertAlign w:val="superscript"/>
          <w:lang w:val="en-GB" w:eastAsia="de-DE"/>
        </w:rPr>
        <w:t>37</w:t>
      </w:r>
      <w:r w:rsidRPr="00CE38A3">
        <w:rPr>
          <w:rFonts w:eastAsia="Times New Roman" w:cstheme="minorHAnsi"/>
          <w:lang w:val="en-GB" w:eastAsia="de-DE"/>
        </w:rPr>
        <w:t>Università Cattolica del Sacro Cuore, Rome, Italy.</w:t>
      </w:r>
    </w:p>
    <w:p w:rsidR="006419BC" w:rsidRPr="00CE38A3" w:rsidRDefault="006419BC" w:rsidP="003F18BD">
      <w:pPr>
        <w:pStyle w:val="KeinLeerraum"/>
        <w:rPr>
          <w:rFonts w:asciiTheme="minorHAnsi" w:hAnsiTheme="minorHAnsi" w:cstheme="minorHAnsi"/>
          <w:szCs w:val="24"/>
          <w:lang w:val="en-GB"/>
        </w:rPr>
      </w:pPr>
    </w:p>
    <w:p w:rsidR="006419BC" w:rsidRPr="00CE38A3" w:rsidRDefault="006419BC" w:rsidP="003F18BD">
      <w:pPr>
        <w:pStyle w:val="KeinLeerraum"/>
        <w:rPr>
          <w:rFonts w:asciiTheme="minorHAnsi" w:hAnsiTheme="minorHAnsi" w:cstheme="minorHAnsi"/>
          <w:szCs w:val="24"/>
          <w:lang w:val="en-GB"/>
        </w:rPr>
      </w:pPr>
    </w:p>
    <w:p w:rsidR="006419BC" w:rsidRPr="00876226" w:rsidRDefault="006419BC" w:rsidP="003F18BD">
      <w:pPr>
        <w:pStyle w:val="MittleresRaster21"/>
        <w:jc w:val="both"/>
        <w:rPr>
          <w:rFonts w:asciiTheme="minorHAnsi" w:hAnsiTheme="minorHAnsi" w:cstheme="minorHAnsi"/>
          <w:sz w:val="24"/>
          <w:szCs w:val="24"/>
          <w:vertAlign w:val="superscript"/>
        </w:rPr>
      </w:pPr>
    </w:p>
    <w:p w:rsidR="006419BC" w:rsidRPr="00B25D96" w:rsidRDefault="006419BC" w:rsidP="00ED7133">
      <w:pPr>
        <w:pStyle w:val="MittleresRaster21"/>
        <w:spacing w:line="480" w:lineRule="auto"/>
        <w:jc w:val="both"/>
        <w:rPr>
          <w:rFonts w:asciiTheme="minorHAnsi" w:hAnsiTheme="minorHAnsi" w:cstheme="minorHAnsi"/>
          <w:sz w:val="24"/>
          <w:szCs w:val="24"/>
          <w:vertAlign w:val="superscript"/>
        </w:rPr>
      </w:pPr>
    </w:p>
    <w:p w:rsidR="006419BC" w:rsidRPr="00D47D74" w:rsidRDefault="006419BC" w:rsidP="00ED7133">
      <w:pPr>
        <w:pStyle w:val="MittleresRaster21"/>
        <w:spacing w:line="480" w:lineRule="auto"/>
        <w:jc w:val="both"/>
        <w:rPr>
          <w:rFonts w:asciiTheme="minorHAnsi" w:hAnsiTheme="minorHAnsi" w:cstheme="minorHAnsi"/>
          <w:szCs w:val="24"/>
        </w:rPr>
      </w:pPr>
      <w:r w:rsidRPr="00812349">
        <w:rPr>
          <w:rFonts w:asciiTheme="minorHAnsi" w:hAnsiTheme="minorHAnsi" w:cstheme="minorHAnsi"/>
          <w:szCs w:val="24"/>
        </w:rPr>
        <w:t xml:space="preserve">Abstract word counts: </w:t>
      </w:r>
      <w:r w:rsidRPr="00D47D74">
        <w:rPr>
          <w:rFonts w:asciiTheme="minorHAnsi" w:hAnsiTheme="minorHAnsi" w:cstheme="minorHAnsi"/>
          <w:szCs w:val="24"/>
        </w:rPr>
        <w:t>124</w:t>
      </w:r>
    </w:p>
    <w:p w:rsidR="006419BC" w:rsidRPr="00EA05A2" w:rsidRDefault="006419BC" w:rsidP="00ED7133">
      <w:pPr>
        <w:pStyle w:val="MittleresRaster21"/>
        <w:spacing w:line="480" w:lineRule="auto"/>
        <w:jc w:val="both"/>
        <w:rPr>
          <w:rFonts w:asciiTheme="minorHAnsi" w:hAnsiTheme="minorHAnsi" w:cstheme="minorHAnsi"/>
          <w:szCs w:val="24"/>
        </w:rPr>
      </w:pPr>
      <w:r w:rsidRPr="00710071">
        <w:rPr>
          <w:rFonts w:asciiTheme="minorHAnsi" w:hAnsiTheme="minorHAnsi" w:cstheme="minorHAnsi"/>
          <w:szCs w:val="24"/>
        </w:rPr>
        <w:t xml:space="preserve">Text word count: </w:t>
      </w:r>
      <w:r w:rsidRPr="00276A60">
        <w:rPr>
          <w:rFonts w:asciiTheme="minorHAnsi" w:hAnsiTheme="minorHAnsi" w:cstheme="minorHAnsi"/>
          <w:szCs w:val="24"/>
        </w:rPr>
        <w:t>5</w:t>
      </w:r>
      <w:r>
        <w:rPr>
          <w:rFonts w:asciiTheme="minorHAnsi" w:hAnsiTheme="minorHAnsi" w:cstheme="minorHAnsi"/>
          <w:szCs w:val="24"/>
        </w:rPr>
        <w:t>745</w:t>
      </w:r>
      <w:r w:rsidRPr="00276A60">
        <w:rPr>
          <w:rFonts w:asciiTheme="minorHAnsi" w:hAnsiTheme="minorHAnsi" w:cstheme="minorHAnsi"/>
          <w:szCs w:val="24"/>
        </w:rPr>
        <w:t xml:space="preserve"> </w:t>
      </w:r>
    </w:p>
    <w:p w:rsidR="006419BC" w:rsidRPr="00E3451E" w:rsidRDefault="006419BC" w:rsidP="00ED7133">
      <w:pPr>
        <w:pStyle w:val="MittleresRaster21"/>
        <w:spacing w:line="480" w:lineRule="auto"/>
        <w:jc w:val="both"/>
        <w:rPr>
          <w:rFonts w:asciiTheme="minorHAnsi" w:hAnsiTheme="minorHAnsi" w:cstheme="minorHAnsi"/>
          <w:szCs w:val="24"/>
        </w:rPr>
      </w:pPr>
      <w:r w:rsidRPr="00E3451E">
        <w:rPr>
          <w:rFonts w:asciiTheme="minorHAnsi" w:hAnsiTheme="minorHAnsi" w:cstheme="minorHAnsi"/>
          <w:szCs w:val="24"/>
        </w:rPr>
        <w:t xml:space="preserve">References: </w:t>
      </w:r>
      <w:r>
        <w:rPr>
          <w:rFonts w:asciiTheme="minorHAnsi" w:hAnsiTheme="minorHAnsi" w:cstheme="minorHAnsi"/>
          <w:szCs w:val="24"/>
        </w:rPr>
        <w:t>150</w:t>
      </w:r>
    </w:p>
    <w:p w:rsidR="006419BC" w:rsidRPr="00A613AF" w:rsidRDefault="006419BC" w:rsidP="00ED7133">
      <w:pPr>
        <w:pStyle w:val="MittleresRaster21"/>
        <w:spacing w:line="480" w:lineRule="auto"/>
        <w:jc w:val="both"/>
        <w:rPr>
          <w:rFonts w:asciiTheme="minorHAnsi" w:hAnsiTheme="minorHAnsi" w:cstheme="minorHAnsi"/>
          <w:szCs w:val="24"/>
        </w:rPr>
      </w:pPr>
      <w:r w:rsidRPr="00CE4108">
        <w:rPr>
          <w:rFonts w:asciiTheme="minorHAnsi" w:hAnsiTheme="minorHAnsi" w:cstheme="minorHAnsi"/>
          <w:szCs w:val="24"/>
        </w:rPr>
        <w:t>Tables:</w:t>
      </w:r>
      <w:r w:rsidRPr="00A613AF">
        <w:rPr>
          <w:rFonts w:asciiTheme="minorHAnsi" w:hAnsiTheme="minorHAnsi" w:cstheme="minorHAnsi"/>
          <w:szCs w:val="24"/>
        </w:rPr>
        <w:t xml:space="preserve"> 3</w:t>
      </w:r>
    </w:p>
    <w:p w:rsidR="006419BC" w:rsidRPr="00B1341E" w:rsidRDefault="006419BC" w:rsidP="00ED7133">
      <w:pPr>
        <w:pStyle w:val="MittleresRaster21"/>
        <w:spacing w:line="480" w:lineRule="auto"/>
        <w:jc w:val="both"/>
        <w:rPr>
          <w:rFonts w:asciiTheme="minorHAnsi" w:hAnsiTheme="minorHAnsi" w:cstheme="minorHAnsi"/>
          <w:szCs w:val="24"/>
        </w:rPr>
      </w:pPr>
      <w:r w:rsidRPr="000637E9">
        <w:rPr>
          <w:rFonts w:asciiTheme="minorHAnsi" w:hAnsiTheme="minorHAnsi" w:cstheme="minorHAnsi"/>
          <w:szCs w:val="24"/>
        </w:rPr>
        <w:t xml:space="preserve">Figures: </w:t>
      </w:r>
      <w:r>
        <w:rPr>
          <w:rFonts w:asciiTheme="minorHAnsi" w:hAnsiTheme="minorHAnsi" w:cstheme="minorHAnsi"/>
          <w:szCs w:val="24"/>
        </w:rPr>
        <w:t>3</w:t>
      </w:r>
    </w:p>
    <w:p w:rsidR="006419BC" w:rsidRPr="008D495C" w:rsidRDefault="006419BC" w:rsidP="003F18BD">
      <w:pPr>
        <w:pStyle w:val="MittleresRaster21"/>
        <w:jc w:val="both"/>
        <w:rPr>
          <w:rFonts w:asciiTheme="minorHAnsi" w:hAnsiTheme="minorHAnsi" w:cstheme="minorHAnsi"/>
          <w:szCs w:val="24"/>
        </w:rPr>
      </w:pPr>
    </w:p>
    <w:p w:rsidR="006419BC" w:rsidRPr="00876226" w:rsidRDefault="006419BC" w:rsidP="00102249">
      <w:pPr>
        <w:pStyle w:val="MittleresRaster21"/>
        <w:tabs>
          <w:tab w:val="left" w:pos="2960"/>
          <w:tab w:val="left" w:pos="5360"/>
        </w:tabs>
        <w:jc w:val="both"/>
        <w:rPr>
          <w:rFonts w:asciiTheme="minorHAnsi" w:hAnsiTheme="minorHAnsi" w:cstheme="minorHAnsi"/>
          <w:szCs w:val="24"/>
        </w:rPr>
      </w:pPr>
      <w:r w:rsidRPr="00876226">
        <w:rPr>
          <w:rFonts w:asciiTheme="minorHAnsi" w:hAnsiTheme="minorHAnsi" w:cstheme="minorHAnsi"/>
          <w:szCs w:val="24"/>
        </w:rPr>
        <w:tab/>
      </w:r>
      <w:r w:rsidRPr="00876226">
        <w:rPr>
          <w:rFonts w:asciiTheme="minorHAnsi" w:hAnsiTheme="minorHAnsi" w:cstheme="minorHAnsi"/>
          <w:szCs w:val="24"/>
        </w:rPr>
        <w:tab/>
      </w:r>
    </w:p>
    <w:p w:rsidR="006419BC" w:rsidRPr="00876226" w:rsidRDefault="006419BC" w:rsidP="003F18BD">
      <w:pPr>
        <w:pStyle w:val="MittleresRaster21"/>
        <w:jc w:val="both"/>
        <w:rPr>
          <w:rFonts w:asciiTheme="minorHAnsi" w:hAnsiTheme="minorHAnsi" w:cstheme="minorHAnsi"/>
          <w:szCs w:val="24"/>
          <w:vertAlign w:val="superscript"/>
        </w:rPr>
      </w:pPr>
    </w:p>
    <w:p w:rsidR="006419BC" w:rsidRPr="00876226" w:rsidRDefault="006419BC" w:rsidP="003F18BD">
      <w:pPr>
        <w:pStyle w:val="MittleresRaster21"/>
        <w:jc w:val="both"/>
        <w:rPr>
          <w:rFonts w:asciiTheme="minorHAnsi" w:hAnsiTheme="minorHAnsi" w:cstheme="minorHAnsi"/>
          <w:szCs w:val="24"/>
          <w:vertAlign w:val="superscript"/>
        </w:rPr>
      </w:pPr>
    </w:p>
    <w:p w:rsidR="006419BC" w:rsidRPr="00876226" w:rsidRDefault="006419BC" w:rsidP="003F18BD">
      <w:pPr>
        <w:pStyle w:val="MittleresRaster21"/>
        <w:jc w:val="both"/>
        <w:rPr>
          <w:rFonts w:asciiTheme="minorHAnsi" w:hAnsiTheme="minorHAnsi" w:cstheme="minorHAnsi"/>
          <w:szCs w:val="24"/>
          <w:vertAlign w:val="superscript"/>
        </w:rPr>
      </w:pPr>
    </w:p>
    <w:p w:rsidR="006419BC" w:rsidRPr="00876226" w:rsidRDefault="006419BC" w:rsidP="003F18BD">
      <w:pPr>
        <w:pStyle w:val="MittleresRaster21"/>
        <w:jc w:val="both"/>
        <w:rPr>
          <w:rFonts w:asciiTheme="minorHAnsi" w:hAnsiTheme="minorHAnsi" w:cstheme="minorHAnsi"/>
          <w:szCs w:val="24"/>
        </w:rPr>
      </w:pPr>
      <w:r w:rsidRPr="00876226">
        <w:rPr>
          <w:rFonts w:asciiTheme="minorHAnsi" w:hAnsiTheme="minorHAnsi" w:cstheme="minorHAnsi"/>
          <w:szCs w:val="24"/>
          <w:vertAlign w:val="superscript"/>
        </w:rPr>
        <w:t>*</w:t>
      </w:r>
      <w:r w:rsidRPr="00876226">
        <w:rPr>
          <w:rFonts w:asciiTheme="minorHAnsi" w:hAnsiTheme="minorHAnsi" w:cstheme="minorHAnsi"/>
          <w:szCs w:val="24"/>
        </w:rPr>
        <w:t>Correspondence:</w:t>
      </w:r>
      <w:r w:rsidRPr="00876226">
        <w:rPr>
          <w:rFonts w:asciiTheme="minorHAnsi" w:hAnsiTheme="minorHAnsi" w:cstheme="minorHAnsi"/>
          <w:szCs w:val="24"/>
        </w:rPr>
        <w:tab/>
        <w:t>Stefan R. Bornstein</w:t>
      </w:r>
    </w:p>
    <w:p w:rsidR="006419BC" w:rsidRPr="00876226" w:rsidRDefault="006419BC" w:rsidP="003F18BD">
      <w:pPr>
        <w:pStyle w:val="MittleresRaster21"/>
        <w:ind w:left="1416" w:firstLine="708"/>
        <w:jc w:val="both"/>
        <w:rPr>
          <w:rFonts w:asciiTheme="minorHAnsi" w:hAnsiTheme="minorHAnsi" w:cstheme="minorHAnsi"/>
          <w:szCs w:val="24"/>
        </w:rPr>
      </w:pPr>
      <w:r w:rsidRPr="00876226">
        <w:rPr>
          <w:rFonts w:asciiTheme="minorHAnsi" w:hAnsiTheme="minorHAnsi" w:cstheme="minorHAnsi"/>
          <w:szCs w:val="24"/>
        </w:rPr>
        <w:t xml:space="preserve">Department of Internal Medicine III </w:t>
      </w:r>
    </w:p>
    <w:p w:rsidR="006419BC" w:rsidRPr="00156703" w:rsidRDefault="006419BC" w:rsidP="003F18BD">
      <w:pPr>
        <w:pStyle w:val="MittleresRaster21"/>
        <w:ind w:left="1416" w:firstLine="708"/>
        <w:jc w:val="both"/>
        <w:rPr>
          <w:rFonts w:asciiTheme="minorHAnsi" w:hAnsiTheme="minorHAnsi" w:cstheme="minorHAnsi"/>
          <w:szCs w:val="24"/>
          <w:lang w:val="de-DE"/>
        </w:rPr>
      </w:pPr>
      <w:r w:rsidRPr="00156703">
        <w:rPr>
          <w:rFonts w:asciiTheme="minorHAnsi" w:hAnsiTheme="minorHAnsi" w:cstheme="minorHAnsi"/>
          <w:szCs w:val="24"/>
          <w:lang w:val="de-DE"/>
        </w:rPr>
        <w:t xml:space="preserve">Technische Universität Dresden </w:t>
      </w:r>
    </w:p>
    <w:p w:rsidR="006419BC" w:rsidRPr="00156703" w:rsidRDefault="006419BC" w:rsidP="003F18BD">
      <w:pPr>
        <w:pStyle w:val="MittleresRaster21"/>
        <w:ind w:left="1416" w:firstLine="708"/>
        <w:jc w:val="both"/>
        <w:rPr>
          <w:rFonts w:asciiTheme="minorHAnsi" w:hAnsiTheme="minorHAnsi" w:cstheme="minorHAnsi"/>
          <w:szCs w:val="24"/>
          <w:lang w:val="de-DE"/>
        </w:rPr>
      </w:pPr>
      <w:r w:rsidRPr="00156703">
        <w:rPr>
          <w:rFonts w:asciiTheme="minorHAnsi" w:hAnsiTheme="minorHAnsi" w:cstheme="minorHAnsi"/>
          <w:szCs w:val="24"/>
          <w:lang w:val="de-DE"/>
        </w:rPr>
        <w:t>Fetscherstrasse 74</w:t>
      </w:r>
    </w:p>
    <w:p w:rsidR="006419BC" w:rsidRPr="00156703" w:rsidRDefault="006419BC" w:rsidP="003F18BD">
      <w:pPr>
        <w:pStyle w:val="MittleresRaster21"/>
        <w:ind w:left="1416" w:firstLine="708"/>
        <w:jc w:val="both"/>
        <w:rPr>
          <w:rFonts w:asciiTheme="minorHAnsi" w:hAnsiTheme="minorHAnsi" w:cstheme="minorHAnsi"/>
          <w:szCs w:val="24"/>
          <w:lang w:val="de-DE"/>
        </w:rPr>
      </w:pPr>
      <w:r w:rsidRPr="00156703">
        <w:rPr>
          <w:rFonts w:asciiTheme="minorHAnsi" w:hAnsiTheme="minorHAnsi" w:cstheme="minorHAnsi"/>
          <w:szCs w:val="24"/>
          <w:lang w:val="de-DE"/>
        </w:rPr>
        <w:t xml:space="preserve">01307 Dresden </w:t>
      </w:r>
    </w:p>
    <w:p w:rsidR="006419BC" w:rsidRPr="00156703" w:rsidRDefault="006419BC" w:rsidP="003F18BD">
      <w:pPr>
        <w:pStyle w:val="MittleresRaster21"/>
        <w:ind w:left="1416" w:firstLine="708"/>
        <w:jc w:val="both"/>
        <w:rPr>
          <w:rFonts w:asciiTheme="minorHAnsi" w:hAnsiTheme="minorHAnsi" w:cstheme="minorHAnsi"/>
          <w:szCs w:val="24"/>
          <w:lang w:val="de-DE"/>
        </w:rPr>
      </w:pPr>
      <w:r w:rsidRPr="00156703">
        <w:rPr>
          <w:rFonts w:asciiTheme="minorHAnsi" w:hAnsiTheme="minorHAnsi" w:cstheme="minorHAnsi"/>
          <w:szCs w:val="24"/>
          <w:lang w:val="de-DE"/>
        </w:rPr>
        <w:t xml:space="preserve">Germany </w:t>
      </w:r>
    </w:p>
    <w:p w:rsidR="006419BC" w:rsidRPr="00156703" w:rsidRDefault="006419BC" w:rsidP="003F18BD">
      <w:pPr>
        <w:pStyle w:val="MittleresRaster21"/>
        <w:ind w:left="1416" w:firstLine="708"/>
        <w:jc w:val="both"/>
        <w:rPr>
          <w:rFonts w:asciiTheme="minorHAnsi" w:hAnsiTheme="minorHAnsi" w:cstheme="minorHAnsi"/>
          <w:szCs w:val="24"/>
          <w:lang w:val="de-DE"/>
        </w:rPr>
      </w:pPr>
      <w:r w:rsidRPr="00156703">
        <w:rPr>
          <w:rFonts w:asciiTheme="minorHAnsi" w:hAnsiTheme="minorHAnsi" w:cstheme="minorHAnsi"/>
          <w:szCs w:val="24"/>
          <w:lang w:val="de-DE"/>
        </w:rPr>
        <w:t>Tel.: +49 351 458 5955</w:t>
      </w:r>
    </w:p>
    <w:p w:rsidR="006419BC" w:rsidRPr="00156703" w:rsidRDefault="006419BC" w:rsidP="00347FA4">
      <w:pPr>
        <w:pStyle w:val="MittleresRaster21"/>
        <w:ind w:left="1416" w:firstLine="708"/>
        <w:jc w:val="both"/>
        <w:rPr>
          <w:lang w:val="de-DE"/>
        </w:rPr>
      </w:pPr>
      <w:r w:rsidRPr="00156703">
        <w:rPr>
          <w:rFonts w:asciiTheme="minorHAnsi" w:hAnsiTheme="minorHAnsi" w:cstheme="minorHAnsi"/>
          <w:szCs w:val="24"/>
          <w:lang w:val="de-DE"/>
        </w:rPr>
        <w:t>E-mail: stefan.bornstein@uniklinikum-dresden.de</w:t>
      </w:r>
    </w:p>
    <w:p w:rsidR="006419BC" w:rsidRPr="00876226" w:rsidRDefault="006419BC" w:rsidP="00A838A3">
      <w:pPr>
        <w:spacing w:line="480" w:lineRule="auto"/>
        <w:rPr>
          <w:rFonts w:cstheme="minorHAnsi"/>
          <w:b/>
          <w:sz w:val="24"/>
          <w:lang w:val="en-GB"/>
        </w:rPr>
      </w:pPr>
      <w:r w:rsidRPr="00876226">
        <w:rPr>
          <w:rFonts w:cstheme="minorHAnsi"/>
          <w:b/>
          <w:sz w:val="24"/>
          <w:lang w:val="en-GB"/>
        </w:rPr>
        <w:lastRenderedPageBreak/>
        <w:t>Search strategy and selection criteria</w:t>
      </w:r>
    </w:p>
    <w:p w:rsidR="006419BC" w:rsidRPr="00876226" w:rsidRDefault="006419BC" w:rsidP="00A838A3">
      <w:pPr>
        <w:spacing w:line="480" w:lineRule="auto"/>
        <w:jc w:val="both"/>
        <w:rPr>
          <w:rFonts w:cstheme="minorHAnsi"/>
          <w:lang w:val="en-GB"/>
        </w:rPr>
      </w:pPr>
      <w:r w:rsidRPr="00876226">
        <w:rPr>
          <w:rFonts w:cstheme="minorHAnsi"/>
          <w:lang w:val="en-GB"/>
        </w:rPr>
        <w:t xml:space="preserve">We searched PubMed and Google Scholar for articles published up to July 27, 2021. Search items included “COVID-19”, “post-COVID”, “long COVID”, “SARS-CoV-2”, “ACE2”, “DPP4”, diabetes”, “metabolic syndrome”, “obesity”, “hyperglycaemia”, “hyperglycemia”, “hypoglycaemia”, “hypoglycemia”, “insulin”, “steroids”, “glucocorticoid”, “dexamethasone”, “complications”, “risk”, “long-term consequences”, and “endocrine system”. The reference list of original articles, narrative reviews, clinical guidelines, position statements, systematic reviews, and meta-analyses was screened for relevant publications. The final reference list was selected based on relevance to the topic of this Review with preference given to the most recent relevant publications. </w:t>
      </w:r>
    </w:p>
    <w:p w:rsidR="006419BC" w:rsidRPr="00876226" w:rsidRDefault="006419BC">
      <w:pPr>
        <w:rPr>
          <w:rFonts w:cstheme="minorHAnsi"/>
          <w:b/>
          <w:sz w:val="24"/>
          <w:lang w:val="en-GB"/>
        </w:rPr>
      </w:pPr>
      <w:r w:rsidRPr="00876226">
        <w:rPr>
          <w:rFonts w:cstheme="minorHAnsi"/>
          <w:b/>
          <w:sz w:val="24"/>
          <w:lang w:val="en-GB"/>
        </w:rPr>
        <w:br w:type="page"/>
      </w:r>
    </w:p>
    <w:p w:rsidR="006419BC" w:rsidRPr="00876226" w:rsidRDefault="006419BC" w:rsidP="003B0D0B">
      <w:pPr>
        <w:spacing w:line="480" w:lineRule="auto"/>
        <w:rPr>
          <w:rFonts w:cstheme="minorHAnsi"/>
          <w:b/>
          <w:lang w:val="en-GB"/>
        </w:rPr>
      </w:pPr>
      <w:r w:rsidRPr="00876226">
        <w:rPr>
          <w:rFonts w:cstheme="minorHAnsi"/>
          <w:b/>
          <w:lang w:val="en-GB"/>
        </w:rPr>
        <w:lastRenderedPageBreak/>
        <w:t>Abstract</w:t>
      </w:r>
    </w:p>
    <w:p w:rsidR="006419BC" w:rsidRPr="008D495C" w:rsidRDefault="006419BC" w:rsidP="005318EC">
      <w:pPr>
        <w:spacing w:line="480" w:lineRule="auto"/>
        <w:jc w:val="both"/>
        <w:rPr>
          <w:rFonts w:cstheme="minorHAnsi"/>
          <w:lang w:val="en-GB"/>
        </w:rPr>
      </w:pPr>
      <w:r w:rsidRPr="00876226">
        <w:rPr>
          <w:rFonts w:cstheme="minorHAnsi"/>
          <w:lang w:val="en-GB"/>
        </w:rPr>
        <w:t xml:space="preserve">Up to 50% of the people who died from COVID-19 suffered from metabolic and vascular disorders. Notably, there are many direct links between COVID-19 and the metabolic and endocrine systems. Thus, patients with metabolic dysfunction (obesity, </w:t>
      </w:r>
      <w:r w:rsidRPr="00876226">
        <w:rPr>
          <w:rFonts w:cstheme="minorHAnsi"/>
          <w:color w:val="000000" w:themeColor="text1"/>
          <w:lang w:val="en-GB"/>
        </w:rPr>
        <w:t xml:space="preserve">hypertension, </w:t>
      </w:r>
      <w:r w:rsidRPr="00CE38A3">
        <w:rPr>
          <w:rFonts w:cstheme="minorHAnsi"/>
          <w:color w:val="000000" w:themeColor="text1"/>
          <w:shd w:val="clear" w:color="auto" w:fill="FFFFFF"/>
          <w:lang w:val="en-GB"/>
        </w:rPr>
        <w:t xml:space="preserve">non-alcoholic fatty liver disease, </w:t>
      </w:r>
      <w:r w:rsidRPr="00876226">
        <w:rPr>
          <w:rFonts w:cstheme="minorHAnsi"/>
          <w:lang w:val="en-GB"/>
        </w:rPr>
        <w:t>and diabetes)</w:t>
      </w:r>
      <w:r w:rsidRPr="00B25D96">
        <w:rPr>
          <w:rFonts w:cstheme="minorHAnsi"/>
          <w:lang w:val="en-GB"/>
        </w:rPr>
        <w:t xml:space="preserve"> are not only </w:t>
      </w:r>
      <w:r w:rsidRPr="00812349">
        <w:rPr>
          <w:rFonts w:cstheme="minorHAnsi"/>
          <w:lang w:val="en-GB"/>
        </w:rPr>
        <w:t xml:space="preserve">at higher </w:t>
      </w:r>
      <w:r w:rsidRPr="00D47D74">
        <w:rPr>
          <w:rFonts w:cstheme="minorHAnsi"/>
          <w:lang w:val="en-GB"/>
        </w:rPr>
        <w:t>risk of developing severe COVID-19</w:t>
      </w:r>
      <w:r w:rsidRPr="00C92A01">
        <w:rPr>
          <w:rFonts w:cstheme="minorHAnsi"/>
          <w:lang w:val="en-GB"/>
        </w:rPr>
        <w:t xml:space="preserve"> </w:t>
      </w:r>
      <w:r w:rsidRPr="002C352D">
        <w:rPr>
          <w:rFonts w:cstheme="minorHAnsi"/>
          <w:lang w:val="en-GB"/>
        </w:rPr>
        <w:t>but</w:t>
      </w:r>
      <w:r w:rsidRPr="00710071">
        <w:rPr>
          <w:rFonts w:cstheme="minorHAnsi"/>
          <w:lang w:val="en-GB"/>
        </w:rPr>
        <w:t xml:space="preserve"> infection with SARS-CoV-2 may </w:t>
      </w:r>
      <w:r w:rsidRPr="00276A60">
        <w:rPr>
          <w:rFonts w:cstheme="minorHAnsi"/>
          <w:lang w:val="en-GB"/>
        </w:rPr>
        <w:t>lead to new-onset diabetes or aggravation of pre-existing</w:t>
      </w:r>
      <w:r w:rsidRPr="00EA05A2">
        <w:rPr>
          <w:rFonts w:cstheme="minorHAnsi"/>
          <w:lang w:val="en-GB"/>
        </w:rPr>
        <w:t xml:space="preserve"> metabolic disorders.</w:t>
      </w:r>
      <w:r w:rsidRPr="00E3451E">
        <w:rPr>
          <w:rFonts w:cstheme="minorHAnsi"/>
          <w:lang w:val="en-GB"/>
        </w:rPr>
        <w:t xml:space="preserve"> Now, with more than a year</w:t>
      </w:r>
      <w:r w:rsidRPr="00CE4108">
        <w:rPr>
          <w:rFonts w:cstheme="minorHAnsi"/>
          <w:lang w:val="en-GB"/>
        </w:rPr>
        <w:t>’s</w:t>
      </w:r>
      <w:r w:rsidRPr="00A613AF">
        <w:rPr>
          <w:rFonts w:cstheme="minorHAnsi"/>
          <w:lang w:val="en-GB"/>
        </w:rPr>
        <w:t xml:space="preserve"> experience, we provide an update on the mechanisms </w:t>
      </w:r>
      <w:r w:rsidRPr="00CE38A3">
        <w:rPr>
          <w:rFonts w:cstheme="minorHAnsi"/>
          <w:lang w:val="en-GB"/>
        </w:rPr>
        <w:t xml:space="preserve">on how metabolic and endocrine </w:t>
      </w:r>
      <w:r w:rsidRPr="000637E9">
        <w:rPr>
          <w:rFonts w:cstheme="minorHAnsi"/>
          <w:lang w:val="en-GB"/>
        </w:rPr>
        <w:t>disorders might predispose patients to develop severe COVID-19. Secondly, we update on practical recommendations and management of both COVID-19 and post-COVID. Finally, we summarise new treatment options related to</w:t>
      </w:r>
      <w:r w:rsidRPr="00B1341E">
        <w:rPr>
          <w:rFonts w:cstheme="minorHAnsi"/>
          <w:lang w:val="en-GB"/>
        </w:rPr>
        <w:t xml:space="preserve"> COVID-19 and metabolic diseases and </w:t>
      </w:r>
      <w:r w:rsidRPr="008D495C">
        <w:rPr>
          <w:rFonts w:cstheme="minorHAnsi"/>
          <w:lang w:val="en-GB"/>
        </w:rPr>
        <w:t xml:space="preserve">highlight current challenges.  </w:t>
      </w:r>
    </w:p>
    <w:p w:rsidR="006419BC" w:rsidRPr="004816AB" w:rsidRDefault="006419BC" w:rsidP="005318EC">
      <w:pPr>
        <w:spacing w:line="480" w:lineRule="auto"/>
        <w:jc w:val="both"/>
        <w:rPr>
          <w:rFonts w:cstheme="minorHAnsi"/>
          <w:lang w:val="en-GB"/>
        </w:rPr>
      </w:pPr>
    </w:p>
    <w:p w:rsidR="006419BC" w:rsidRPr="00876226" w:rsidRDefault="006419BC" w:rsidP="003B0D0B">
      <w:pPr>
        <w:spacing w:line="480" w:lineRule="auto"/>
        <w:rPr>
          <w:rFonts w:cstheme="minorHAnsi"/>
          <w:lang w:val="en-GB"/>
        </w:rPr>
      </w:pPr>
    </w:p>
    <w:p w:rsidR="006419BC" w:rsidRPr="00876226" w:rsidRDefault="006419BC" w:rsidP="003B0D0B">
      <w:pPr>
        <w:spacing w:line="480" w:lineRule="auto"/>
        <w:rPr>
          <w:rFonts w:cstheme="minorHAnsi"/>
          <w:lang w:val="en-GB"/>
        </w:rPr>
      </w:pPr>
      <w:r w:rsidRPr="00876226">
        <w:rPr>
          <w:rFonts w:cstheme="minorHAnsi"/>
          <w:lang w:val="en-GB"/>
        </w:rPr>
        <w:br w:type="page"/>
      </w:r>
    </w:p>
    <w:p w:rsidR="006419BC" w:rsidRPr="00876226" w:rsidRDefault="006419BC" w:rsidP="003B0D0B">
      <w:pPr>
        <w:spacing w:line="480" w:lineRule="auto"/>
        <w:rPr>
          <w:rFonts w:cstheme="minorHAnsi"/>
          <w:b/>
          <w:lang w:val="en-GB"/>
        </w:rPr>
      </w:pPr>
      <w:r w:rsidRPr="00876226">
        <w:rPr>
          <w:rFonts w:cstheme="minorHAnsi"/>
          <w:b/>
          <w:lang w:val="en-GB"/>
        </w:rPr>
        <w:lastRenderedPageBreak/>
        <w:t>Introduction</w:t>
      </w:r>
    </w:p>
    <w:p w:rsidR="006419BC" w:rsidRPr="00876226" w:rsidRDefault="006419BC" w:rsidP="00E8257E">
      <w:pPr>
        <w:spacing w:line="480" w:lineRule="auto"/>
        <w:jc w:val="both"/>
        <w:rPr>
          <w:rFonts w:cstheme="minorHAnsi"/>
          <w:lang w:val="en-GB"/>
        </w:rPr>
      </w:pPr>
      <w:r w:rsidRPr="00876226">
        <w:rPr>
          <w:rFonts w:cstheme="minorHAnsi"/>
          <w:lang w:val="en-GB"/>
        </w:rPr>
        <w:t xml:space="preserve">SARS-CoV-2 spread rapidly across the globe in early 2020 causing a worldwide pandemic. Although many who are infected show no or mild symptoms, the resulting disease, COVID-19, has a wide range of presentations including severe illness and fatal outcomes. Across the world, the pandemic has had immense financial impact and many people have been seriously affected through redundancy, reduced income, and restricted work and psychosocial life due to lockdown or quarantine regulations. </w:t>
      </w:r>
      <w:bookmarkStart w:id="0" w:name="_GoBack"/>
      <w:bookmarkEnd w:id="0"/>
      <w:r w:rsidRPr="00876226">
        <w:rPr>
          <w:rFonts w:cstheme="minorHAnsi"/>
          <w:lang w:val="en-GB"/>
        </w:rPr>
        <w:t>However, in some areas, the pandemic has provided new opportunities for progress related to digitalisation in private and professional lives including medicine and treatment options.</w:t>
      </w:r>
    </w:p>
    <w:p w:rsidR="006419BC" w:rsidRPr="00876226" w:rsidRDefault="006419BC" w:rsidP="00A838A3">
      <w:pPr>
        <w:spacing w:line="480" w:lineRule="auto"/>
        <w:jc w:val="both"/>
        <w:rPr>
          <w:rFonts w:cstheme="minorHAnsi"/>
          <w:color w:val="222222"/>
          <w:shd w:val="clear" w:color="auto" w:fill="FFFFFF"/>
          <w:lang w:val="en-GB"/>
        </w:rPr>
      </w:pPr>
      <w:r w:rsidRPr="00876226">
        <w:rPr>
          <w:rFonts w:cstheme="minorHAnsi"/>
          <w:color w:val="000000"/>
          <w:lang w:val="en-GB" w:eastAsia="de-DE"/>
        </w:rPr>
        <w:t>Around one fifth of the global population is affected by one or more chronic  disease conditions putting them at increased risk of severe COVID-19 (defined as fever and at least one sign/symptom of respiratory disease AND requirement for hospitalisation) if infected</w:t>
      </w:r>
      <w:r>
        <w:rPr>
          <w:rFonts w:cstheme="minorHAnsi"/>
          <w:color w:val="000000"/>
          <w:lang w:val="en-GB" w:eastAsia="de-DE"/>
        </w:rPr>
        <w:t>.</w:t>
      </w:r>
      <w:r w:rsidRPr="00876226">
        <w:rPr>
          <w:rFonts w:cstheme="minorHAnsi"/>
          <w:color w:val="000000"/>
          <w:lang w:val="en-GB" w:eastAsia="de-DE"/>
        </w:rPr>
        <w:t xml:space="preserve"> </w:t>
      </w:r>
      <w:r w:rsidRPr="00876226">
        <w:rPr>
          <w:rFonts w:cstheme="minorHAnsi"/>
          <w:noProof/>
          <w:color w:val="000000"/>
          <w:vertAlign w:val="superscript"/>
          <w:lang w:val="en-GB" w:eastAsia="de-DE"/>
        </w:rPr>
        <w:t>1</w:t>
      </w:r>
      <w:r w:rsidRPr="00876226">
        <w:rPr>
          <w:rFonts w:cstheme="minorHAnsi"/>
          <w:color w:val="000000"/>
          <w:lang w:val="en-GB" w:eastAsia="de-DE"/>
        </w:rPr>
        <w:t xml:space="preserve"> Underlying conditions were reported in more than 50% of COVID-19 </w:t>
      </w:r>
      <w:r w:rsidRPr="00077079">
        <w:rPr>
          <w:rFonts w:cstheme="minorHAnsi"/>
          <w:color w:val="000000"/>
          <w:lang w:val="en-GB" w:eastAsia="de-DE"/>
        </w:rPr>
        <w:t>patients</w:t>
      </w:r>
      <w:r w:rsidRPr="00277BE8">
        <w:rPr>
          <w:rFonts w:cstheme="minorHAnsi"/>
          <w:color w:val="000000"/>
          <w:lang w:val="en-GB" w:eastAsia="de-DE"/>
        </w:rPr>
        <w:t xml:space="preserve"> and around one-third had multiple comorbidities</w:t>
      </w:r>
      <w:r>
        <w:rPr>
          <w:rFonts w:cstheme="minorHAnsi"/>
          <w:color w:val="000000"/>
          <w:lang w:val="en-GB" w:eastAsia="de-DE"/>
        </w:rPr>
        <w:t>.</w:t>
      </w:r>
      <w:r w:rsidRPr="00277BE8">
        <w:rPr>
          <w:rFonts w:cstheme="minorHAnsi"/>
          <w:color w:val="000000"/>
          <w:lang w:val="en-GB" w:eastAsia="de-DE"/>
        </w:rPr>
        <w:t xml:space="preserve"> </w:t>
      </w:r>
      <w:r w:rsidRPr="00876226">
        <w:rPr>
          <w:rFonts w:cstheme="minorHAnsi"/>
          <w:noProof/>
          <w:color w:val="000000"/>
          <w:vertAlign w:val="superscript"/>
          <w:lang w:val="en-GB" w:eastAsia="de-DE"/>
        </w:rPr>
        <w:t>2</w:t>
      </w:r>
      <w:r w:rsidRPr="00876226">
        <w:rPr>
          <w:rFonts w:cstheme="minorHAnsi"/>
          <w:color w:val="000000"/>
          <w:lang w:val="en-GB" w:eastAsia="de-DE"/>
        </w:rPr>
        <w:t xml:space="preserve"> Age and comorbidities common in the elderly such as</w:t>
      </w:r>
      <w:r w:rsidRPr="00077079">
        <w:rPr>
          <w:rFonts w:cstheme="minorHAnsi"/>
          <w:color w:val="000000"/>
          <w:lang w:val="en-GB" w:eastAsia="de-DE"/>
        </w:rPr>
        <w:t xml:space="preserve"> obesity, diabetes, </w:t>
      </w:r>
      <w:r w:rsidRPr="00277BE8">
        <w:rPr>
          <w:rFonts w:cstheme="minorHAnsi"/>
          <w:color w:val="000000"/>
          <w:lang w:val="en-GB" w:eastAsia="de-DE"/>
        </w:rPr>
        <w:t xml:space="preserve">hypertension, </w:t>
      </w:r>
      <w:r w:rsidRPr="00B25D96">
        <w:rPr>
          <w:rFonts w:cstheme="minorHAnsi"/>
          <w:color w:val="000000"/>
          <w:lang w:val="en-GB" w:eastAsia="de-DE"/>
        </w:rPr>
        <w:t>and pulmonary, cardiovascular</w:t>
      </w:r>
      <w:r w:rsidRPr="00812349">
        <w:rPr>
          <w:rFonts w:cstheme="minorHAnsi"/>
          <w:color w:val="000000"/>
          <w:lang w:val="en-GB" w:eastAsia="de-DE"/>
        </w:rPr>
        <w:t xml:space="preserve">, </w:t>
      </w:r>
      <w:r w:rsidRPr="00812349">
        <w:rPr>
          <w:rFonts w:cstheme="minorHAnsi"/>
          <w:color w:val="000000" w:themeColor="text1"/>
          <w:lang w:val="en-GB" w:eastAsia="de-DE"/>
        </w:rPr>
        <w:t>kidney</w:t>
      </w:r>
      <w:r w:rsidRPr="00D47D74">
        <w:rPr>
          <w:rFonts w:cstheme="minorHAnsi"/>
          <w:color w:val="000000" w:themeColor="text1"/>
          <w:lang w:val="en-GB" w:eastAsia="de-DE"/>
        </w:rPr>
        <w:t xml:space="preserve">, </w:t>
      </w:r>
      <w:r w:rsidRPr="00C92A01">
        <w:rPr>
          <w:rFonts w:cstheme="minorHAnsi"/>
          <w:color w:val="000000" w:themeColor="text1"/>
          <w:lang w:val="en-GB" w:eastAsia="de-DE"/>
        </w:rPr>
        <w:t xml:space="preserve">and </w:t>
      </w:r>
      <w:r w:rsidRPr="000637E9">
        <w:rPr>
          <w:rFonts w:cstheme="minorHAnsi"/>
          <w:color w:val="000000" w:themeColor="text1"/>
          <w:shd w:val="clear" w:color="auto" w:fill="FFFFFF"/>
          <w:lang w:val="en-GB"/>
        </w:rPr>
        <w:t xml:space="preserve">non-alcoholic fatty liver </w:t>
      </w:r>
      <w:r w:rsidRPr="00876226">
        <w:rPr>
          <w:rFonts w:cstheme="minorHAnsi"/>
          <w:color w:val="000000" w:themeColor="text1"/>
          <w:lang w:val="en-GB" w:eastAsia="de-DE"/>
        </w:rPr>
        <w:t xml:space="preserve">disease are risk factors </w:t>
      </w:r>
      <w:r w:rsidRPr="00876226">
        <w:rPr>
          <w:rFonts w:cstheme="minorHAnsi"/>
          <w:color w:val="000000"/>
          <w:lang w:val="en-GB" w:eastAsia="de-DE"/>
        </w:rPr>
        <w:t xml:space="preserve">influencing the progression and </w:t>
      </w:r>
      <w:r w:rsidRPr="00876226">
        <w:rPr>
          <w:rFonts w:cstheme="minorHAnsi"/>
          <w:color w:val="000000" w:themeColor="text1"/>
          <w:lang w:val="en-GB" w:eastAsia="de-DE"/>
        </w:rPr>
        <w:t>prognosis of COVID-19</w:t>
      </w:r>
      <w:r>
        <w:rPr>
          <w:rFonts w:cstheme="minorHAnsi"/>
          <w:color w:val="000000" w:themeColor="text1"/>
          <w:lang w:val="en-GB" w:eastAsia="de-DE"/>
        </w:rPr>
        <w:t>.</w:t>
      </w:r>
      <w:r w:rsidRPr="00876226">
        <w:rPr>
          <w:rFonts w:cstheme="minorHAnsi"/>
          <w:color w:val="000000" w:themeColor="text1"/>
          <w:lang w:val="en-GB" w:eastAsia="de-DE"/>
        </w:rPr>
        <w:t xml:space="preserve"> </w:t>
      </w:r>
      <w:r w:rsidRPr="00876226">
        <w:rPr>
          <w:rFonts w:cstheme="minorHAnsi"/>
          <w:noProof/>
          <w:color w:val="000000" w:themeColor="text1"/>
          <w:vertAlign w:val="superscript"/>
          <w:lang w:val="en-GB" w:eastAsia="de-DE"/>
        </w:rPr>
        <w:t>3-8</w:t>
      </w:r>
      <w:r w:rsidRPr="00876226">
        <w:rPr>
          <w:rFonts w:cstheme="minorHAnsi"/>
          <w:color w:val="000000" w:themeColor="text1"/>
          <w:lang w:val="en-GB" w:eastAsia="de-DE"/>
        </w:rPr>
        <w:t xml:space="preserve"> </w:t>
      </w:r>
      <w:r w:rsidRPr="00876226">
        <w:rPr>
          <w:rFonts w:cstheme="minorHAnsi"/>
          <w:color w:val="000000" w:themeColor="text1"/>
          <w:lang w:val="en-GB"/>
        </w:rPr>
        <w:t>Thereby, the COVID-19 pandemic in con</w:t>
      </w:r>
      <w:r w:rsidRPr="00077079">
        <w:rPr>
          <w:rFonts w:cstheme="minorHAnsi"/>
          <w:color w:val="000000" w:themeColor="text1"/>
          <w:lang w:val="en-GB"/>
        </w:rPr>
        <w:t>junction with type 2 diabetes and obesity</w:t>
      </w:r>
      <w:r w:rsidRPr="00277BE8">
        <w:rPr>
          <w:rFonts w:cstheme="minorHAnsi"/>
          <w:color w:val="000000" w:themeColor="text1"/>
          <w:lang w:val="en-GB"/>
        </w:rPr>
        <w:t>, both characteris</w:t>
      </w:r>
      <w:r w:rsidRPr="00B25D96">
        <w:rPr>
          <w:rFonts w:cstheme="minorHAnsi"/>
          <w:color w:val="000000" w:themeColor="text1"/>
          <w:lang w:val="en-GB"/>
        </w:rPr>
        <w:t xml:space="preserve">ed by severe insulin resistance </w:t>
      </w:r>
      <w:r w:rsidRPr="00876226">
        <w:rPr>
          <w:rFonts w:cstheme="minorHAnsi"/>
          <w:noProof/>
          <w:color w:val="000000" w:themeColor="text1"/>
          <w:vertAlign w:val="superscript"/>
          <w:lang w:val="en-GB"/>
        </w:rPr>
        <w:t>9</w:t>
      </w:r>
      <w:r w:rsidRPr="00876226">
        <w:rPr>
          <w:rFonts w:cstheme="minorHAnsi"/>
          <w:color w:val="000000" w:themeColor="text1"/>
          <w:lang w:val="en-GB"/>
        </w:rPr>
        <w:t>, have</w:t>
      </w:r>
      <w:r w:rsidRPr="00077079">
        <w:rPr>
          <w:rFonts w:cstheme="minorHAnsi"/>
          <w:color w:val="000000" w:themeColor="text1"/>
          <w:lang w:val="en-GB"/>
        </w:rPr>
        <w:t xml:space="preserve"> </w:t>
      </w:r>
      <w:r w:rsidRPr="00277BE8">
        <w:rPr>
          <w:rFonts w:cstheme="minorHAnsi"/>
          <w:color w:val="000000" w:themeColor="text1"/>
          <w:lang w:val="en-GB"/>
        </w:rPr>
        <w:t xml:space="preserve">numerous </w:t>
      </w:r>
      <w:r w:rsidRPr="00B25D96">
        <w:rPr>
          <w:rFonts w:cstheme="minorHAnsi"/>
          <w:lang w:val="en-GB"/>
        </w:rPr>
        <w:t xml:space="preserve">consequences. </w:t>
      </w:r>
      <w:r w:rsidRPr="00812349">
        <w:rPr>
          <w:rFonts w:cstheme="minorHAnsi"/>
          <w:lang w:val="en-GB"/>
        </w:rPr>
        <w:t>As recently reported, BMI is strongly correlated with immune signatures predicting severe COVID-19</w:t>
      </w:r>
      <w:r>
        <w:rPr>
          <w:rFonts w:cstheme="minorHAnsi"/>
          <w:lang w:val="en-GB"/>
        </w:rPr>
        <w:t>.</w:t>
      </w:r>
      <w:r w:rsidRPr="00D47D74">
        <w:rPr>
          <w:rFonts w:cstheme="minorHAnsi"/>
          <w:lang w:val="en-GB"/>
        </w:rPr>
        <w:t xml:space="preserve"> </w:t>
      </w:r>
      <w:r w:rsidRPr="00876226">
        <w:rPr>
          <w:rFonts w:cstheme="minorHAnsi"/>
          <w:noProof/>
          <w:vertAlign w:val="superscript"/>
          <w:lang w:val="en-GB"/>
        </w:rPr>
        <w:t>10</w:t>
      </w:r>
      <w:r w:rsidRPr="00876226">
        <w:rPr>
          <w:lang w:val="en-GB"/>
        </w:rPr>
        <w:t xml:space="preserve"> Distinct immunological signatures discriminate severe COVID-19 from non-SARS-CoV-2-driven critical pneumonia</w:t>
      </w:r>
      <w:r>
        <w:rPr>
          <w:lang w:val="en-GB"/>
        </w:rPr>
        <w:t xml:space="preserve"> </w:t>
      </w:r>
      <w:r w:rsidRPr="00876226">
        <w:rPr>
          <w:rFonts w:cstheme="minorHAnsi"/>
          <w:noProof/>
          <w:vertAlign w:val="superscript"/>
          <w:lang w:val="en-GB"/>
        </w:rPr>
        <w:t>10</w:t>
      </w:r>
      <w:r w:rsidRPr="00876226">
        <w:rPr>
          <w:rFonts w:cstheme="minorHAnsi"/>
          <w:lang w:val="en-GB"/>
        </w:rPr>
        <w:t>, and the presence of obesity may shift severe manifestations of COVID-19  to younger ages as reported by the John</w:t>
      </w:r>
      <w:r w:rsidRPr="00277BE8">
        <w:rPr>
          <w:rFonts w:cstheme="minorHAnsi"/>
          <w:lang w:val="en-GB"/>
        </w:rPr>
        <w:t xml:space="preserve"> Hopkins University</w:t>
      </w:r>
      <w:r>
        <w:rPr>
          <w:rFonts w:cstheme="minorHAnsi"/>
          <w:lang w:val="en-GB"/>
        </w:rPr>
        <w:t>.</w:t>
      </w:r>
      <w:r w:rsidRPr="00277BE8">
        <w:rPr>
          <w:rFonts w:cstheme="minorHAnsi"/>
          <w:lang w:val="en-GB"/>
        </w:rPr>
        <w:t xml:space="preserve"> </w:t>
      </w:r>
      <w:r w:rsidRPr="00F34EF5">
        <w:rPr>
          <w:rFonts w:cstheme="minorHAnsi"/>
          <w:noProof/>
          <w:vertAlign w:val="superscript"/>
          <w:lang w:val="en-GB"/>
        </w:rPr>
        <w:t>11</w:t>
      </w:r>
      <w:r w:rsidRPr="00876226">
        <w:rPr>
          <w:rFonts w:cstheme="minorHAnsi"/>
          <w:lang w:val="en-GB"/>
        </w:rPr>
        <w:t xml:space="preserve"> In addition, the </w:t>
      </w:r>
      <w:r w:rsidRPr="00077079">
        <w:rPr>
          <w:rFonts w:cstheme="minorHAnsi"/>
          <w:lang w:val="en-GB"/>
        </w:rPr>
        <w:t xml:space="preserve">underlying diseases might be aggravated making </w:t>
      </w:r>
      <w:r w:rsidRPr="00277BE8">
        <w:rPr>
          <w:rFonts w:cstheme="minorHAnsi"/>
          <w:lang w:val="en-GB"/>
        </w:rPr>
        <w:t>the patients</w:t>
      </w:r>
      <w:r w:rsidRPr="00B25D96">
        <w:rPr>
          <w:rFonts w:cstheme="minorHAnsi"/>
          <w:lang w:val="en-GB"/>
        </w:rPr>
        <w:t xml:space="preserve"> more prone to serious long-t</w:t>
      </w:r>
      <w:r w:rsidRPr="00812349">
        <w:rPr>
          <w:rFonts w:cstheme="minorHAnsi"/>
          <w:lang w:val="en-GB"/>
        </w:rPr>
        <w:t>erm consequences</w:t>
      </w:r>
      <w:r>
        <w:rPr>
          <w:rFonts w:cstheme="minorHAnsi"/>
          <w:lang w:val="en-GB"/>
        </w:rPr>
        <w:t>.</w:t>
      </w:r>
      <w:r w:rsidRPr="00812349">
        <w:rPr>
          <w:rFonts w:cstheme="minorHAnsi"/>
          <w:lang w:val="en-GB"/>
        </w:rPr>
        <w:t xml:space="preserve"> </w:t>
      </w:r>
      <w:r w:rsidRPr="00F34EF5">
        <w:rPr>
          <w:rFonts w:cstheme="minorHAnsi"/>
          <w:noProof/>
          <w:vertAlign w:val="superscript"/>
          <w:lang w:val="en-GB"/>
        </w:rPr>
        <w:t>12,13</w:t>
      </w:r>
      <w:r w:rsidRPr="00876226">
        <w:rPr>
          <w:rFonts w:cstheme="minorHAnsi"/>
          <w:lang w:val="en-GB"/>
        </w:rPr>
        <w:t xml:space="preserve"> </w:t>
      </w:r>
      <w:r w:rsidRPr="00876226">
        <w:rPr>
          <w:rFonts w:cstheme="minorHAnsi"/>
          <w:color w:val="000000" w:themeColor="text1"/>
          <w:shd w:val="clear" w:color="auto" w:fill="FFFFFF"/>
          <w:lang w:val="en-GB"/>
        </w:rPr>
        <w:t>The severity and mortality associated with these medical conditions showed significant geographic differences</w:t>
      </w:r>
      <w:r>
        <w:rPr>
          <w:rFonts w:cstheme="minorHAnsi"/>
          <w:color w:val="000000" w:themeColor="text1"/>
          <w:shd w:val="clear" w:color="auto" w:fill="FFFFFF"/>
          <w:lang w:val="en-GB"/>
        </w:rPr>
        <w:t>.</w:t>
      </w:r>
      <w:r w:rsidRPr="00876226">
        <w:rPr>
          <w:rFonts w:cstheme="minorHAnsi"/>
          <w:color w:val="000000" w:themeColor="text1"/>
          <w:shd w:val="clear" w:color="auto" w:fill="FFFFFF"/>
          <w:lang w:val="en-GB"/>
        </w:rPr>
        <w:t xml:space="preserve"> </w:t>
      </w:r>
      <w:r w:rsidRPr="00876226">
        <w:rPr>
          <w:rFonts w:cstheme="minorHAnsi"/>
          <w:noProof/>
          <w:color w:val="000000" w:themeColor="text1"/>
          <w:vertAlign w:val="superscript"/>
          <w:lang w:val="en-GB" w:eastAsia="de-DE"/>
        </w:rPr>
        <w:t>2</w:t>
      </w:r>
      <w:r w:rsidRPr="00876226">
        <w:rPr>
          <w:rFonts w:cstheme="minorHAnsi"/>
          <w:color w:val="000000" w:themeColor="text1"/>
          <w:lang w:val="en-GB" w:eastAsia="de-DE"/>
        </w:rPr>
        <w:t xml:space="preserve"> </w:t>
      </w:r>
      <w:r w:rsidRPr="00876226">
        <w:rPr>
          <w:rFonts w:cstheme="minorHAnsi"/>
          <w:color w:val="000000" w:themeColor="text1"/>
          <w:shd w:val="clear" w:color="auto" w:fill="FFFFFF"/>
          <w:lang w:val="en-GB"/>
        </w:rPr>
        <w:t>Deprived</w:t>
      </w:r>
      <w:r w:rsidRPr="000637E9">
        <w:rPr>
          <w:rFonts w:cstheme="minorHAnsi"/>
          <w:color w:val="000000" w:themeColor="text1"/>
          <w:shd w:val="clear" w:color="auto" w:fill="FFFFFF"/>
          <w:lang w:val="en-GB"/>
        </w:rPr>
        <w:t xml:space="preserve"> populations lacking access to health services in normal circumstances are left most vulnerable during times of crisis</w:t>
      </w:r>
      <w:r>
        <w:rPr>
          <w:rFonts w:cstheme="minorHAnsi"/>
          <w:color w:val="000000" w:themeColor="text1"/>
          <w:shd w:val="clear" w:color="auto" w:fill="FFFFFF"/>
          <w:lang w:val="en-GB"/>
        </w:rPr>
        <w:t>.</w:t>
      </w:r>
      <w:r w:rsidRPr="000637E9">
        <w:rPr>
          <w:rFonts w:cstheme="minorHAnsi"/>
          <w:color w:val="000000" w:themeColor="text1"/>
          <w:shd w:val="clear" w:color="auto" w:fill="FFFFFF"/>
          <w:lang w:val="en-GB"/>
        </w:rPr>
        <w:t xml:space="preserve"> </w:t>
      </w:r>
      <w:r w:rsidRPr="00F34EF5">
        <w:rPr>
          <w:rFonts w:cstheme="minorHAnsi"/>
          <w:noProof/>
          <w:color w:val="000000" w:themeColor="text1"/>
          <w:shd w:val="clear" w:color="auto" w:fill="FFFFFF"/>
          <w:vertAlign w:val="superscript"/>
          <w:lang w:val="en-GB"/>
        </w:rPr>
        <w:t>14</w:t>
      </w:r>
      <w:r w:rsidRPr="000637E9">
        <w:rPr>
          <w:rFonts w:cstheme="minorHAnsi"/>
          <w:color w:val="000000" w:themeColor="text1"/>
          <w:shd w:val="clear" w:color="auto" w:fill="FFFFFF"/>
          <w:lang w:val="en-GB"/>
        </w:rPr>
        <w:t xml:space="preserve"> Moreover, </w:t>
      </w:r>
      <w:r w:rsidRPr="00876226">
        <w:rPr>
          <w:rFonts w:cstheme="minorHAnsi"/>
          <w:color w:val="000000" w:themeColor="text1"/>
          <w:lang w:val="en-GB" w:eastAsia="de-DE"/>
        </w:rPr>
        <w:t>i</w:t>
      </w:r>
      <w:r w:rsidRPr="00876226">
        <w:rPr>
          <w:rFonts w:cstheme="minorHAnsi"/>
          <w:color w:val="000000" w:themeColor="text1"/>
          <w:shd w:val="clear" w:color="auto" w:fill="FFFFFF"/>
          <w:lang w:val="en-GB"/>
        </w:rPr>
        <w:t xml:space="preserve">n lower income countries, a high socioeconomic status is associated with obesity whereas in higher income </w:t>
      </w:r>
      <w:r w:rsidRPr="00077079">
        <w:rPr>
          <w:rFonts w:cstheme="minorHAnsi"/>
          <w:color w:val="222222"/>
          <w:shd w:val="clear" w:color="auto" w:fill="FFFFFF"/>
          <w:lang w:val="en-GB"/>
        </w:rPr>
        <w:t>countries the inverse is the case</w:t>
      </w:r>
      <w:r>
        <w:rPr>
          <w:rFonts w:cstheme="minorHAnsi"/>
          <w:color w:val="222222"/>
          <w:shd w:val="clear" w:color="auto" w:fill="FFFFFF"/>
          <w:lang w:val="en-GB"/>
        </w:rPr>
        <w:t>.</w:t>
      </w:r>
      <w:r w:rsidRPr="00277BE8">
        <w:rPr>
          <w:rFonts w:cstheme="minorHAnsi"/>
          <w:color w:val="222222"/>
          <w:shd w:val="clear" w:color="auto" w:fill="FFFFFF"/>
          <w:lang w:val="en-GB"/>
        </w:rPr>
        <w:t xml:space="preserve"> </w:t>
      </w:r>
      <w:r w:rsidRPr="00F34EF5">
        <w:rPr>
          <w:rFonts w:cstheme="minorHAnsi"/>
          <w:noProof/>
          <w:color w:val="222222"/>
          <w:shd w:val="clear" w:color="auto" w:fill="FFFFFF"/>
          <w:vertAlign w:val="superscript"/>
          <w:lang w:val="en-GB"/>
        </w:rPr>
        <w:t>15</w:t>
      </w:r>
      <w:r w:rsidRPr="00876226">
        <w:rPr>
          <w:rFonts w:cstheme="minorHAnsi"/>
          <w:color w:val="222222"/>
          <w:shd w:val="clear" w:color="auto" w:fill="FFFFFF"/>
          <w:lang w:val="en-GB"/>
        </w:rPr>
        <w:t xml:space="preserve">  In countries with a low rate of obesity, the fatality rates have been</w:t>
      </w:r>
      <w:r w:rsidRPr="00077079">
        <w:rPr>
          <w:rFonts w:cstheme="minorHAnsi"/>
          <w:color w:val="222222"/>
          <w:shd w:val="clear" w:color="auto" w:fill="FFFFFF"/>
          <w:lang w:val="en-GB"/>
        </w:rPr>
        <w:t xml:space="preserve"> lower</w:t>
      </w:r>
      <w:r>
        <w:rPr>
          <w:rFonts w:cstheme="minorHAnsi"/>
          <w:color w:val="222222"/>
          <w:shd w:val="clear" w:color="auto" w:fill="FFFFFF"/>
          <w:lang w:val="en-GB"/>
        </w:rPr>
        <w:t>.</w:t>
      </w:r>
      <w:r w:rsidRPr="00077079">
        <w:rPr>
          <w:rFonts w:cstheme="minorHAnsi"/>
          <w:color w:val="222222"/>
          <w:shd w:val="clear" w:color="auto" w:fill="FFFFFF"/>
          <w:lang w:val="en-GB"/>
        </w:rPr>
        <w:t xml:space="preserve"> </w:t>
      </w:r>
      <w:r w:rsidRPr="00F34EF5">
        <w:rPr>
          <w:rFonts w:cstheme="minorHAnsi"/>
          <w:noProof/>
          <w:color w:val="222222"/>
          <w:shd w:val="clear" w:color="auto" w:fill="FFFFFF"/>
          <w:vertAlign w:val="superscript"/>
          <w:lang w:val="en-GB"/>
        </w:rPr>
        <w:t>15</w:t>
      </w:r>
      <w:r w:rsidRPr="00876226">
        <w:rPr>
          <w:rFonts w:cstheme="minorHAnsi"/>
          <w:color w:val="222222"/>
          <w:shd w:val="clear" w:color="auto" w:fill="FFFFFF"/>
          <w:lang w:val="en-GB"/>
        </w:rPr>
        <w:t xml:space="preserve"> </w:t>
      </w:r>
    </w:p>
    <w:p w:rsidR="006419BC" w:rsidRPr="00876226" w:rsidRDefault="006419BC" w:rsidP="00A838A3">
      <w:pPr>
        <w:spacing w:line="480" w:lineRule="auto"/>
        <w:jc w:val="both"/>
        <w:rPr>
          <w:rFonts w:cstheme="minorHAnsi"/>
          <w:lang w:val="en-GB"/>
        </w:rPr>
      </w:pPr>
      <w:r w:rsidRPr="00B25D96">
        <w:rPr>
          <w:rFonts w:cstheme="minorHAnsi"/>
          <w:color w:val="222222"/>
          <w:shd w:val="clear" w:color="auto" w:fill="FFFFFF"/>
          <w:lang w:val="en-GB"/>
        </w:rPr>
        <w:lastRenderedPageBreak/>
        <w:t>Now, more than 1</w:t>
      </w:r>
      <w:r w:rsidRPr="00812349">
        <w:rPr>
          <w:rFonts w:cstheme="minorHAnsi"/>
          <w:color w:val="222222"/>
          <w:shd w:val="clear" w:color="auto" w:fill="FFFFFF"/>
          <w:lang w:val="en-GB"/>
        </w:rPr>
        <w:t>·5 years after the initial infections</w:t>
      </w:r>
      <w:r w:rsidRPr="00D47D74">
        <w:rPr>
          <w:rFonts w:cstheme="minorHAnsi"/>
          <w:color w:val="222222"/>
          <w:shd w:val="clear" w:color="auto" w:fill="FFFFFF"/>
          <w:lang w:val="en-GB"/>
        </w:rPr>
        <w:t>, it has been confirmed that</w:t>
      </w:r>
      <w:r w:rsidRPr="00C92A01">
        <w:rPr>
          <w:rFonts w:cstheme="minorHAnsi"/>
          <w:color w:val="222222"/>
          <w:shd w:val="clear" w:color="auto" w:fill="FFFFFF"/>
          <w:lang w:val="en-GB"/>
        </w:rPr>
        <w:t xml:space="preserve"> people with metabolic diseases are not just prone to severe COVID-19, but also have a higher risk </w:t>
      </w:r>
      <w:r w:rsidRPr="00710071">
        <w:rPr>
          <w:rFonts w:cstheme="minorHAnsi"/>
          <w:color w:val="222222"/>
          <w:shd w:val="clear" w:color="auto" w:fill="FFFFFF"/>
          <w:lang w:val="en-GB"/>
        </w:rPr>
        <w:t>post-acute sequelae of COVID-19 and vaccine breakthrough</w:t>
      </w:r>
      <w:r>
        <w:rPr>
          <w:rFonts w:cstheme="minorHAnsi"/>
          <w:color w:val="222222"/>
          <w:shd w:val="clear" w:color="auto" w:fill="FFFFFF"/>
          <w:lang w:val="en-GB"/>
        </w:rPr>
        <w:t>.</w:t>
      </w:r>
      <w:r w:rsidRPr="00276A60">
        <w:rPr>
          <w:rFonts w:cstheme="minorHAnsi"/>
          <w:color w:val="222222"/>
          <w:shd w:val="clear" w:color="auto" w:fill="FFFFFF"/>
          <w:lang w:val="en-GB"/>
        </w:rPr>
        <w:t xml:space="preserve"> </w:t>
      </w:r>
      <w:r w:rsidRPr="00F34EF5">
        <w:rPr>
          <w:rFonts w:cstheme="minorHAnsi"/>
          <w:noProof/>
          <w:color w:val="222222"/>
          <w:shd w:val="clear" w:color="auto" w:fill="FFFFFF"/>
          <w:vertAlign w:val="superscript"/>
          <w:lang w:val="en-GB"/>
        </w:rPr>
        <w:t>16-18</w:t>
      </w:r>
      <w:r w:rsidRPr="00876226">
        <w:rPr>
          <w:rFonts w:cstheme="minorHAnsi"/>
          <w:color w:val="222222"/>
          <w:shd w:val="clear" w:color="auto" w:fill="FFFFFF"/>
          <w:lang w:val="en-GB"/>
        </w:rPr>
        <w:t xml:space="preserve"> </w:t>
      </w:r>
    </w:p>
    <w:p w:rsidR="006419BC" w:rsidRPr="00B25D96" w:rsidRDefault="006419BC" w:rsidP="00A838A3">
      <w:pPr>
        <w:spacing w:line="480" w:lineRule="auto"/>
        <w:jc w:val="both"/>
        <w:rPr>
          <w:rFonts w:cstheme="minorHAnsi"/>
          <w:lang w:val="en-GB"/>
        </w:rPr>
      </w:pPr>
    </w:p>
    <w:p w:rsidR="006419BC" w:rsidRPr="00D47D74" w:rsidRDefault="006419BC" w:rsidP="003B0D0B">
      <w:pPr>
        <w:spacing w:line="480" w:lineRule="auto"/>
        <w:rPr>
          <w:rFonts w:cstheme="minorHAnsi"/>
          <w:b/>
          <w:lang w:val="en-GB"/>
        </w:rPr>
      </w:pPr>
      <w:r w:rsidRPr="00812349">
        <w:rPr>
          <w:rFonts w:cstheme="minorHAnsi"/>
          <w:b/>
          <w:lang w:val="en-GB"/>
        </w:rPr>
        <w:t>Metabolic and endocrin</w:t>
      </w:r>
      <w:r w:rsidRPr="00D47D74">
        <w:rPr>
          <w:rFonts w:cstheme="minorHAnsi"/>
          <w:b/>
          <w:lang w:val="en-GB"/>
        </w:rPr>
        <w:t>e pathways linked to SARS-CoV-2</w:t>
      </w:r>
    </w:p>
    <w:p w:rsidR="006419BC" w:rsidRPr="00876226" w:rsidRDefault="006419BC" w:rsidP="00543BE7">
      <w:pPr>
        <w:pStyle w:val="berschrift1"/>
        <w:shd w:val="clear" w:color="auto" w:fill="FFFFFF"/>
        <w:spacing w:line="480" w:lineRule="auto"/>
        <w:jc w:val="both"/>
        <w:rPr>
          <w:rFonts w:asciiTheme="minorHAnsi" w:hAnsiTheme="minorHAnsi" w:cstheme="minorHAnsi"/>
          <w:sz w:val="22"/>
          <w:szCs w:val="22"/>
          <w:lang w:val="en-GB"/>
        </w:rPr>
      </w:pPr>
      <w:r w:rsidRPr="00C92A01">
        <w:rPr>
          <w:rFonts w:asciiTheme="minorHAnsi" w:hAnsiTheme="minorHAnsi" w:cstheme="minorHAnsi"/>
          <w:b w:val="0"/>
          <w:sz w:val="22"/>
          <w:szCs w:val="22"/>
          <w:lang w:val="en-GB"/>
        </w:rPr>
        <w:t xml:space="preserve">Entry of </w:t>
      </w:r>
      <w:r w:rsidRPr="00710071">
        <w:rPr>
          <w:rFonts w:asciiTheme="minorHAnsi" w:hAnsiTheme="minorHAnsi" w:cstheme="minorHAnsi"/>
          <w:b w:val="0"/>
          <w:sz w:val="22"/>
          <w:szCs w:val="22"/>
          <w:lang w:val="en-GB"/>
        </w:rPr>
        <w:t xml:space="preserve">SARS-CoV-2 into </w:t>
      </w:r>
      <w:r w:rsidRPr="00276A60">
        <w:rPr>
          <w:rFonts w:asciiTheme="minorHAnsi" w:hAnsiTheme="minorHAnsi" w:cstheme="minorHAnsi"/>
          <w:b w:val="0"/>
          <w:sz w:val="22"/>
          <w:szCs w:val="22"/>
          <w:lang w:val="en-GB"/>
        </w:rPr>
        <w:t>cells is mediated via binding of the viral spike glycoproteins to cellular angiotensin-converting enzyme 2 (ACE2). In the</w:t>
      </w:r>
      <w:r w:rsidRPr="00EA05A2">
        <w:rPr>
          <w:rFonts w:asciiTheme="minorHAnsi" w:hAnsiTheme="minorHAnsi" w:cstheme="minorHAnsi"/>
          <w:b w:val="0"/>
          <w:sz w:val="22"/>
          <w:szCs w:val="22"/>
          <w:lang w:val="en-GB"/>
        </w:rPr>
        <w:t xml:space="preserve"> renin-angiotensin-aldosterone </w:t>
      </w:r>
      <w:r w:rsidRPr="00E3451E">
        <w:rPr>
          <w:rFonts w:asciiTheme="minorHAnsi" w:hAnsiTheme="minorHAnsi" w:cstheme="minorHAnsi"/>
          <w:b w:val="0"/>
          <w:sz w:val="22"/>
          <w:szCs w:val="22"/>
          <w:lang w:val="en-GB"/>
        </w:rPr>
        <w:t>system (RAAS), ACE2 acts as key regulator controlling</w:t>
      </w:r>
      <w:r w:rsidRPr="00CE4108">
        <w:rPr>
          <w:rFonts w:asciiTheme="minorHAnsi" w:hAnsiTheme="minorHAnsi" w:cstheme="minorHAnsi"/>
          <w:b w:val="0"/>
          <w:sz w:val="22"/>
          <w:szCs w:val="22"/>
          <w:lang w:val="en-GB"/>
        </w:rPr>
        <w:t xml:space="preserve"> the generation of the vasodilating </w:t>
      </w:r>
      <w:r w:rsidRPr="000637E9">
        <w:rPr>
          <w:rFonts w:ascii="Calibri" w:hAnsi="Calibri" w:cs="Calibri"/>
          <w:b w:val="0"/>
          <w:sz w:val="22"/>
          <w:szCs w:val="22"/>
          <w:lang w:val="en-GB"/>
        </w:rPr>
        <w:t xml:space="preserve">angiotensin-(1-7) [Ang-(1-7)] </w:t>
      </w:r>
      <w:r w:rsidRPr="00876226">
        <w:rPr>
          <w:rFonts w:asciiTheme="minorHAnsi" w:hAnsiTheme="minorHAnsi" w:cstheme="minorHAnsi"/>
          <w:b w:val="0"/>
          <w:sz w:val="22"/>
          <w:szCs w:val="22"/>
          <w:lang w:val="en-GB"/>
        </w:rPr>
        <w:t xml:space="preserve">from Ang II. </w:t>
      </w:r>
      <w:r w:rsidRPr="00077079">
        <w:rPr>
          <w:rFonts w:asciiTheme="minorHAnsi" w:hAnsiTheme="minorHAnsi" w:cstheme="minorHAnsi"/>
          <w:b w:val="0"/>
          <w:sz w:val="22"/>
          <w:szCs w:val="22"/>
          <w:lang w:val="en-GB"/>
        </w:rPr>
        <w:t>Furthermore, A</w:t>
      </w:r>
      <w:r w:rsidRPr="00277BE8">
        <w:rPr>
          <w:rFonts w:asciiTheme="minorHAnsi" w:hAnsiTheme="minorHAnsi" w:cstheme="minorHAnsi"/>
          <w:b w:val="0"/>
          <w:sz w:val="22"/>
          <w:szCs w:val="22"/>
          <w:lang w:val="en-GB"/>
        </w:rPr>
        <w:t>CE2 is able to</w:t>
      </w:r>
      <w:r w:rsidRPr="00B25D96">
        <w:rPr>
          <w:rFonts w:asciiTheme="minorHAnsi" w:hAnsiTheme="minorHAnsi" w:cstheme="minorHAnsi"/>
          <w:b w:val="0"/>
          <w:sz w:val="22"/>
          <w:szCs w:val="22"/>
          <w:lang w:val="en-GB"/>
        </w:rPr>
        <w:t xml:space="preserve"> cleave Ang </w:t>
      </w:r>
      <w:r w:rsidRPr="00812349">
        <w:rPr>
          <w:rFonts w:asciiTheme="minorHAnsi" w:hAnsiTheme="minorHAnsi" w:cstheme="minorHAnsi"/>
          <w:b w:val="0"/>
          <w:sz w:val="22"/>
          <w:szCs w:val="22"/>
          <w:lang w:val="en-GB"/>
        </w:rPr>
        <w:t>I to Ang-(</w:t>
      </w:r>
      <w:r w:rsidRPr="00D47D74">
        <w:rPr>
          <w:rFonts w:asciiTheme="minorHAnsi" w:hAnsiTheme="minorHAnsi" w:cstheme="minorHAnsi"/>
          <w:b w:val="0"/>
          <w:sz w:val="22"/>
          <w:szCs w:val="22"/>
          <w:lang w:val="en-GB"/>
        </w:rPr>
        <w:t>1-9)</w:t>
      </w:r>
      <w:r w:rsidRPr="00C92A01">
        <w:rPr>
          <w:rFonts w:asciiTheme="minorHAnsi" w:hAnsiTheme="minorHAnsi" w:cstheme="minorHAnsi"/>
          <w:b w:val="0"/>
          <w:sz w:val="22"/>
          <w:szCs w:val="22"/>
          <w:lang w:val="en-GB"/>
        </w:rPr>
        <w:t xml:space="preserve">, which can be further converted to </w:t>
      </w:r>
      <w:r w:rsidRPr="00710071">
        <w:rPr>
          <w:rFonts w:asciiTheme="minorHAnsi" w:hAnsiTheme="minorHAnsi" w:cstheme="minorHAnsi"/>
          <w:b w:val="0"/>
          <w:sz w:val="22"/>
          <w:szCs w:val="22"/>
          <w:lang w:val="en-GB"/>
        </w:rPr>
        <w:t xml:space="preserve">Ang-(1-7) by ACE. </w:t>
      </w:r>
      <w:r w:rsidRPr="00276A60">
        <w:rPr>
          <w:rFonts w:asciiTheme="minorHAnsi" w:hAnsiTheme="minorHAnsi" w:cstheme="minorHAnsi"/>
          <w:b w:val="0"/>
          <w:sz w:val="22"/>
          <w:szCs w:val="22"/>
          <w:lang w:val="en-GB"/>
        </w:rPr>
        <w:t>ACE2, Ang-(1-7), and its mitochondrial assembly (Mas) receptor</w:t>
      </w:r>
      <w:r w:rsidRPr="00EA05A2">
        <w:rPr>
          <w:rFonts w:asciiTheme="minorHAnsi" w:hAnsiTheme="minorHAnsi" w:cstheme="minorHAnsi"/>
          <w:b w:val="0"/>
          <w:sz w:val="22"/>
          <w:szCs w:val="22"/>
          <w:lang w:val="en-GB"/>
        </w:rPr>
        <w:t xml:space="preserve"> </w:t>
      </w:r>
      <w:r w:rsidRPr="00E3451E">
        <w:rPr>
          <w:rFonts w:asciiTheme="minorHAnsi" w:hAnsiTheme="minorHAnsi" w:cstheme="minorHAnsi"/>
          <w:b w:val="0"/>
          <w:sz w:val="22"/>
          <w:szCs w:val="22"/>
          <w:lang w:val="en-GB"/>
        </w:rPr>
        <w:t>constitute the vasoprotective arm of the RAAS leading to anti-inflammatory and anti-fibrotic responses (Fig. 1A</w:t>
      </w:r>
      <w:r w:rsidRPr="00CE4108">
        <w:rPr>
          <w:rFonts w:asciiTheme="minorHAnsi" w:hAnsiTheme="minorHAnsi" w:cstheme="minorHAnsi"/>
          <w:b w:val="0"/>
          <w:sz w:val="22"/>
          <w:szCs w:val="22"/>
          <w:lang w:val="en-GB"/>
        </w:rPr>
        <w:t>)</w:t>
      </w:r>
      <w:r>
        <w:rPr>
          <w:rFonts w:asciiTheme="minorHAnsi" w:hAnsiTheme="minorHAnsi" w:cstheme="minorHAnsi"/>
          <w:b w:val="0"/>
          <w:sz w:val="22"/>
          <w:szCs w:val="22"/>
          <w:lang w:val="en-GB"/>
        </w:rPr>
        <w:t>.</w:t>
      </w:r>
      <w:r w:rsidRPr="00A613AF">
        <w:rPr>
          <w:rFonts w:asciiTheme="minorHAnsi" w:hAnsiTheme="minorHAnsi" w:cstheme="minorHAnsi"/>
          <w:b w:val="0"/>
          <w:sz w:val="22"/>
          <w:szCs w:val="22"/>
          <w:lang w:val="en-GB"/>
        </w:rPr>
        <w:t xml:space="preserve"> </w:t>
      </w:r>
      <w:r w:rsidRPr="00F34EF5">
        <w:rPr>
          <w:rFonts w:asciiTheme="minorHAnsi" w:hAnsiTheme="minorHAnsi" w:cstheme="minorHAnsi"/>
          <w:b w:val="0"/>
          <w:noProof/>
          <w:sz w:val="22"/>
          <w:szCs w:val="22"/>
          <w:vertAlign w:val="superscript"/>
          <w:lang w:val="en-GB"/>
        </w:rPr>
        <w:t>19</w:t>
      </w:r>
      <w:r w:rsidRPr="00876226">
        <w:rPr>
          <w:rFonts w:asciiTheme="minorHAnsi" w:hAnsiTheme="minorHAnsi" w:cstheme="minorHAnsi"/>
          <w:b w:val="0"/>
          <w:sz w:val="22"/>
          <w:szCs w:val="22"/>
          <w:lang w:val="en-GB"/>
        </w:rPr>
        <w:t xml:space="preserve"> On the other hand, when ACE activity is high</w:t>
      </w:r>
      <w:r w:rsidRPr="00077079">
        <w:rPr>
          <w:rFonts w:asciiTheme="minorHAnsi" w:hAnsiTheme="minorHAnsi" w:cstheme="minorHAnsi"/>
          <w:b w:val="0"/>
          <w:sz w:val="22"/>
          <w:szCs w:val="22"/>
          <w:lang w:val="en-GB"/>
        </w:rPr>
        <w:t xml:space="preserve"> and ACE</w:t>
      </w:r>
      <w:r w:rsidRPr="00277BE8">
        <w:rPr>
          <w:rFonts w:asciiTheme="minorHAnsi" w:hAnsiTheme="minorHAnsi" w:cstheme="minorHAnsi"/>
          <w:b w:val="0"/>
          <w:sz w:val="22"/>
          <w:szCs w:val="22"/>
          <w:lang w:val="en-GB"/>
        </w:rPr>
        <w:t xml:space="preserve">2 </w:t>
      </w:r>
      <w:r w:rsidRPr="00B25D96">
        <w:rPr>
          <w:rFonts w:asciiTheme="minorHAnsi" w:hAnsiTheme="minorHAnsi" w:cstheme="minorHAnsi"/>
          <w:b w:val="0"/>
          <w:sz w:val="22"/>
          <w:szCs w:val="22"/>
          <w:lang w:val="en-GB"/>
        </w:rPr>
        <w:t xml:space="preserve">is inhibited, </w:t>
      </w:r>
      <w:r w:rsidRPr="00812349">
        <w:rPr>
          <w:rFonts w:asciiTheme="minorHAnsi" w:hAnsiTheme="minorHAnsi" w:cstheme="minorHAnsi"/>
          <w:b w:val="0"/>
          <w:sz w:val="22"/>
          <w:szCs w:val="22"/>
          <w:lang w:val="en-GB"/>
        </w:rPr>
        <w:t xml:space="preserve">Ang II acts via the </w:t>
      </w:r>
      <w:r w:rsidRPr="00D47D74">
        <w:rPr>
          <w:rFonts w:asciiTheme="minorHAnsi" w:hAnsiTheme="minorHAnsi" w:cstheme="minorHAnsi"/>
          <w:b w:val="0"/>
          <w:sz w:val="22"/>
          <w:szCs w:val="22"/>
          <w:lang w:val="en-GB"/>
        </w:rPr>
        <w:t xml:space="preserve">Ang II receptors AT1R and AT2R to exert pro-inflammatory responses and </w:t>
      </w:r>
      <w:r w:rsidRPr="00C92A01">
        <w:rPr>
          <w:rFonts w:asciiTheme="minorHAnsi" w:hAnsiTheme="minorHAnsi" w:cstheme="minorHAnsi"/>
          <w:b w:val="0"/>
          <w:sz w:val="22"/>
          <w:szCs w:val="22"/>
          <w:lang w:val="en-GB"/>
        </w:rPr>
        <w:t xml:space="preserve">to </w:t>
      </w:r>
      <w:r w:rsidRPr="00710071">
        <w:rPr>
          <w:rFonts w:asciiTheme="minorHAnsi" w:hAnsiTheme="minorHAnsi" w:cstheme="minorHAnsi"/>
          <w:b w:val="0"/>
          <w:sz w:val="22"/>
          <w:szCs w:val="22"/>
          <w:lang w:val="en-GB"/>
        </w:rPr>
        <w:t>stimulate aldosterone production. Thereby, a deregulation of the ACE/ACE2 balance may lead to arterial hypertension accompanied by an exaggerate</w:t>
      </w:r>
      <w:r w:rsidRPr="00276A60">
        <w:rPr>
          <w:rFonts w:asciiTheme="minorHAnsi" w:hAnsiTheme="minorHAnsi" w:cstheme="minorHAnsi"/>
          <w:b w:val="0"/>
          <w:sz w:val="22"/>
          <w:szCs w:val="22"/>
          <w:lang w:val="en-GB"/>
        </w:rPr>
        <w:t>d inflammatory response, which in the absence of adequate intervention, might culminate in end-organ damage</w:t>
      </w:r>
      <w:r>
        <w:rPr>
          <w:rFonts w:asciiTheme="minorHAnsi" w:hAnsiTheme="minorHAnsi" w:cstheme="minorHAnsi"/>
          <w:b w:val="0"/>
          <w:sz w:val="22"/>
          <w:szCs w:val="22"/>
          <w:lang w:val="en-GB"/>
        </w:rPr>
        <w:t>.</w:t>
      </w:r>
      <w:r w:rsidRPr="00276A60">
        <w:rPr>
          <w:rFonts w:asciiTheme="minorHAnsi" w:hAnsiTheme="minorHAnsi" w:cstheme="minorHAnsi"/>
          <w:b w:val="0"/>
          <w:sz w:val="22"/>
          <w:szCs w:val="22"/>
          <w:lang w:val="en-GB"/>
        </w:rPr>
        <w:t xml:space="preserve"> </w:t>
      </w:r>
      <w:r w:rsidRPr="00F34EF5">
        <w:rPr>
          <w:rFonts w:asciiTheme="minorHAnsi" w:hAnsiTheme="minorHAnsi" w:cstheme="minorHAnsi"/>
          <w:b w:val="0"/>
          <w:noProof/>
          <w:sz w:val="22"/>
          <w:szCs w:val="22"/>
          <w:vertAlign w:val="superscript"/>
          <w:lang w:val="en-GB"/>
        </w:rPr>
        <w:t>20</w:t>
      </w:r>
      <w:r w:rsidRPr="00876226">
        <w:rPr>
          <w:rFonts w:asciiTheme="minorHAnsi" w:hAnsiTheme="minorHAnsi" w:cstheme="minorHAnsi"/>
          <w:sz w:val="22"/>
          <w:szCs w:val="22"/>
          <w:lang w:val="en-GB"/>
        </w:rPr>
        <w:t xml:space="preserve"> </w:t>
      </w:r>
    </w:p>
    <w:p w:rsidR="006419BC" w:rsidRPr="000637E9" w:rsidRDefault="006419BC" w:rsidP="00300D82">
      <w:pPr>
        <w:pStyle w:val="StandardWeb"/>
        <w:spacing w:line="480" w:lineRule="auto"/>
        <w:jc w:val="both"/>
        <w:rPr>
          <w:rFonts w:asciiTheme="minorHAnsi" w:hAnsiTheme="minorHAnsi" w:cstheme="minorHAnsi"/>
          <w:sz w:val="22"/>
          <w:szCs w:val="22"/>
          <w:lang w:val="en-GB"/>
        </w:rPr>
      </w:pPr>
      <w:r w:rsidRPr="00B25D96">
        <w:rPr>
          <w:rFonts w:asciiTheme="minorHAnsi" w:hAnsiTheme="minorHAnsi" w:cstheme="minorHAnsi"/>
          <w:sz w:val="22"/>
          <w:szCs w:val="22"/>
          <w:lang w:val="en-GB"/>
        </w:rPr>
        <w:t>The cellular levels of ACE2 depend on several factors such as other RAAS components, gene polymorphisms,</w:t>
      </w:r>
      <w:r w:rsidRPr="00812349">
        <w:rPr>
          <w:rFonts w:asciiTheme="minorHAnsi" w:hAnsiTheme="minorHAnsi" w:cstheme="minorHAnsi"/>
          <w:sz w:val="22"/>
          <w:szCs w:val="22"/>
          <w:lang w:val="en-GB"/>
        </w:rPr>
        <w:t xml:space="preserve"> and clinical conditions such as hypertension and vascular diseases</w:t>
      </w:r>
      <w:r>
        <w:rPr>
          <w:rFonts w:asciiTheme="minorHAnsi" w:hAnsiTheme="minorHAnsi" w:cstheme="minorHAnsi"/>
          <w:sz w:val="22"/>
          <w:szCs w:val="22"/>
          <w:lang w:val="en-GB"/>
        </w:rPr>
        <w:t>.</w:t>
      </w:r>
      <w:r w:rsidRPr="00D47D74">
        <w:rPr>
          <w:rFonts w:asciiTheme="minorHAnsi" w:hAnsiTheme="minorHAnsi" w:cstheme="minorHAnsi"/>
          <w:sz w:val="22"/>
          <w:szCs w:val="22"/>
          <w:lang w:val="en-GB"/>
        </w:rPr>
        <w:t xml:space="preserve"> </w:t>
      </w:r>
      <w:r w:rsidRPr="00F34EF5">
        <w:rPr>
          <w:rFonts w:asciiTheme="minorHAnsi" w:hAnsiTheme="minorHAnsi" w:cstheme="minorHAnsi"/>
          <w:noProof/>
          <w:sz w:val="22"/>
          <w:szCs w:val="22"/>
          <w:vertAlign w:val="superscript"/>
          <w:lang w:val="en-GB"/>
        </w:rPr>
        <w:t>21</w:t>
      </w:r>
      <w:r w:rsidRPr="00876226">
        <w:rPr>
          <w:rFonts w:asciiTheme="minorHAnsi" w:hAnsiTheme="minorHAnsi" w:cstheme="minorHAnsi"/>
          <w:sz w:val="22"/>
          <w:szCs w:val="22"/>
          <w:lang w:val="en-GB"/>
        </w:rPr>
        <w:t xml:space="preserve"> ACE2 is expressed in many tissues and cell types</w:t>
      </w:r>
      <w:r w:rsidRPr="00B25D96">
        <w:rPr>
          <w:rFonts w:asciiTheme="minorHAnsi" w:hAnsiTheme="minorHAnsi" w:cstheme="minorHAnsi"/>
          <w:sz w:val="22"/>
          <w:szCs w:val="22"/>
          <w:lang w:val="en-GB"/>
        </w:rPr>
        <w:t xml:space="preserve"> and therefore </w:t>
      </w:r>
      <w:r w:rsidRPr="00812349">
        <w:rPr>
          <w:rFonts w:asciiTheme="minorHAnsi" w:hAnsiTheme="minorHAnsi" w:cstheme="minorHAnsi"/>
          <w:sz w:val="22"/>
          <w:szCs w:val="22"/>
          <w:lang w:val="en-GB"/>
        </w:rPr>
        <w:t xml:space="preserve">at the pandemic onset, we speculated </w:t>
      </w:r>
      <w:r w:rsidRPr="00D47D74">
        <w:rPr>
          <w:rFonts w:asciiTheme="minorHAnsi" w:hAnsiTheme="minorHAnsi" w:cstheme="minorHAnsi"/>
          <w:sz w:val="22"/>
          <w:szCs w:val="22"/>
          <w:lang w:val="en-GB"/>
        </w:rPr>
        <w:t xml:space="preserve">that a high ACE2 expression </w:t>
      </w:r>
      <w:r w:rsidRPr="00710071">
        <w:rPr>
          <w:rFonts w:asciiTheme="minorHAnsi" w:hAnsiTheme="minorHAnsi" w:cstheme="minorHAnsi"/>
          <w:sz w:val="22"/>
          <w:szCs w:val="22"/>
          <w:lang w:val="en-GB"/>
        </w:rPr>
        <w:t>would be responsible for</w:t>
      </w:r>
      <w:r w:rsidRPr="00276A60">
        <w:rPr>
          <w:rFonts w:asciiTheme="minorHAnsi" w:hAnsiTheme="minorHAnsi" w:cstheme="minorHAnsi"/>
          <w:sz w:val="22"/>
          <w:szCs w:val="22"/>
          <w:lang w:val="en-GB"/>
        </w:rPr>
        <w:t xml:space="preserve"> infection with SARS-CoV-2</w:t>
      </w:r>
      <w:r>
        <w:rPr>
          <w:rFonts w:asciiTheme="minorHAnsi" w:hAnsiTheme="minorHAnsi" w:cstheme="minorHAnsi"/>
          <w:sz w:val="22"/>
          <w:szCs w:val="22"/>
          <w:lang w:val="en-GB"/>
        </w:rPr>
        <w:t>.</w:t>
      </w:r>
      <w:r w:rsidRPr="00276A60">
        <w:rPr>
          <w:rFonts w:asciiTheme="minorHAnsi" w:hAnsiTheme="minorHAnsi" w:cstheme="minorHAnsi"/>
          <w:sz w:val="22"/>
          <w:szCs w:val="22"/>
          <w:lang w:val="en-GB"/>
        </w:rPr>
        <w:t xml:space="preserve"> </w:t>
      </w:r>
      <w:r w:rsidRPr="00F34EF5">
        <w:rPr>
          <w:rFonts w:asciiTheme="minorHAnsi" w:hAnsiTheme="minorHAnsi" w:cstheme="minorHAnsi"/>
          <w:noProof/>
          <w:sz w:val="22"/>
          <w:szCs w:val="22"/>
          <w:vertAlign w:val="superscript"/>
          <w:lang w:val="en-GB"/>
        </w:rPr>
        <w:t>22</w:t>
      </w:r>
      <w:r w:rsidRPr="00876226">
        <w:rPr>
          <w:rFonts w:asciiTheme="minorHAnsi" w:hAnsiTheme="minorHAnsi" w:cstheme="minorHAnsi"/>
          <w:sz w:val="22"/>
          <w:szCs w:val="22"/>
          <w:lang w:val="en-GB"/>
        </w:rPr>
        <w:t xml:space="preserve"> </w:t>
      </w:r>
      <w:r w:rsidRPr="00876226">
        <w:rPr>
          <w:rFonts w:asciiTheme="minorHAnsi" w:hAnsiTheme="minorHAnsi" w:cstheme="minorHAnsi"/>
          <w:color w:val="212121"/>
          <w:sz w:val="22"/>
          <w:szCs w:val="22"/>
          <w:shd w:val="clear" w:color="auto" w:fill="FFFFFF"/>
          <w:lang w:val="en-GB"/>
        </w:rPr>
        <w:t>In t</w:t>
      </w:r>
      <w:r w:rsidRPr="00876226">
        <w:rPr>
          <w:rFonts w:asciiTheme="minorHAnsi" w:hAnsiTheme="minorHAnsi" w:cstheme="minorHAnsi"/>
          <w:sz w:val="22"/>
          <w:szCs w:val="22"/>
          <w:lang w:val="en-GB"/>
        </w:rPr>
        <w:t xml:space="preserve">he endocrine </w:t>
      </w:r>
      <w:r w:rsidRPr="00077079">
        <w:rPr>
          <w:rFonts w:asciiTheme="minorHAnsi" w:hAnsiTheme="minorHAnsi" w:cstheme="minorHAnsi"/>
          <w:sz w:val="22"/>
          <w:szCs w:val="22"/>
          <w:lang w:val="en-GB"/>
        </w:rPr>
        <w:t xml:space="preserve">system, ACE2 is expressed </w:t>
      </w:r>
      <w:r w:rsidRPr="00277BE8">
        <w:rPr>
          <w:rFonts w:asciiTheme="minorHAnsi" w:hAnsiTheme="minorHAnsi" w:cstheme="minorHAnsi"/>
          <w:sz w:val="22"/>
          <w:szCs w:val="22"/>
          <w:lang w:val="en-GB"/>
        </w:rPr>
        <w:t>in</w:t>
      </w:r>
      <w:r w:rsidRPr="00B25D96">
        <w:rPr>
          <w:rFonts w:asciiTheme="minorHAnsi" w:hAnsiTheme="minorHAnsi" w:cstheme="minorHAnsi"/>
          <w:sz w:val="22"/>
          <w:szCs w:val="22"/>
          <w:lang w:val="en-GB"/>
        </w:rPr>
        <w:t xml:space="preserve"> all </w:t>
      </w:r>
      <w:r w:rsidRPr="00812349">
        <w:rPr>
          <w:rFonts w:asciiTheme="minorHAnsi" w:hAnsiTheme="minorHAnsi" w:cstheme="minorHAnsi"/>
          <w:sz w:val="22"/>
          <w:szCs w:val="22"/>
          <w:lang w:val="en-GB"/>
        </w:rPr>
        <w:t xml:space="preserve">organs of the </w:t>
      </w:r>
      <w:r w:rsidRPr="00D47D74">
        <w:rPr>
          <w:rFonts w:asciiTheme="minorHAnsi" w:hAnsiTheme="minorHAnsi" w:cstheme="minorHAnsi"/>
          <w:sz w:val="22"/>
          <w:szCs w:val="22"/>
          <w:lang w:val="en-GB"/>
        </w:rPr>
        <w:t xml:space="preserve">hypothalamus-pituitary-adrenal cortex </w:t>
      </w:r>
      <w:r w:rsidRPr="00C92A01">
        <w:rPr>
          <w:rFonts w:asciiTheme="minorHAnsi" w:hAnsiTheme="minorHAnsi" w:cstheme="minorHAnsi"/>
          <w:sz w:val="22"/>
          <w:szCs w:val="22"/>
          <w:lang w:val="en-GB"/>
        </w:rPr>
        <w:t xml:space="preserve">(HPA) </w:t>
      </w:r>
      <w:r w:rsidRPr="00710071">
        <w:rPr>
          <w:rFonts w:asciiTheme="minorHAnsi" w:hAnsiTheme="minorHAnsi" w:cstheme="minorHAnsi"/>
          <w:sz w:val="22"/>
          <w:szCs w:val="22"/>
          <w:lang w:val="en-GB"/>
        </w:rPr>
        <w:t xml:space="preserve">axis </w:t>
      </w:r>
      <w:r w:rsidRPr="00F34EF5">
        <w:rPr>
          <w:rFonts w:asciiTheme="minorHAnsi" w:hAnsiTheme="minorHAnsi" w:cstheme="minorHAnsi"/>
          <w:noProof/>
          <w:sz w:val="22"/>
          <w:szCs w:val="22"/>
          <w:vertAlign w:val="superscript"/>
          <w:lang w:val="en-GB"/>
        </w:rPr>
        <w:t>23</w:t>
      </w:r>
      <w:r w:rsidRPr="00876226">
        <w:rPr>
          <w:rFonts w:asciiTheme="minorHAnsi" w:hAnsiTheme="minorHAnsi" w:cstheme="minorHAnsi"/>
          <w:noProof/>
          <w:sz w:val="22"/>
          <w:szCs w:val="22"/>
          <w:lang w:val="en-GB"/>
        </w:rPr>
        <w:t>, whereas in pancreatic islets, contradicting results have been presented.</w:t>
      </w:r>
      <w:r w:rsidRPr="00077079">
        <w:rPr>
          <w:rFonts w:asciiTheme="minorHAnsi" w:hAnsiTheme="minorHAnsi" w:cstheme="minorHAnsi"/>
          <w:sz w:val="22"/>
          <w:szCs w:val="22"/>
          <w:lang w:val="en-GB"/>
        </w:rPr>
        <w:t xml:space="preserve"> Some reports show no expression of ACE2 in </w:t>
      </w:r>
      <w:r w:rsidRPr="00277BE8">
        <w:rPr>
          <w:rFonts w:asciiTheme="minorHAnsi" w:hAnsiTheme="minorHAnsi" w:cstheme="minorHAnsi"/>
          <w:sz w:val="22"/>
          <w:szCs w:val="22"/>
          <w:lang w:val="en-GB"/>
        </w:rPr>
        <w:t xml:space="preserve">the </w:t>
      </w:r>
      <w:r w:rsidRPr="00B25D96">
        <w:rPr>
          <w:rFonts w:asciiTheme="minorHAnsi" w:hAnsiTheme="minorHAnsi" w:cstheme="minorHAnsi"/>
          <w:sz w:val="22"/>
          <w:szCs w:val="22"/>
          <w:lang w:val="en-GB"/>
        </w:rPr>
        <w:t>islets of Langerhans</w:t>
      </w:r>
      <w:r w:rsidRPr="00812349">
        <w:rPr>
          <w:rFonts w:asciiTheme="minorHAnsi" w:hAnsiTheme="minorHAnsi" w:cstheme="minorHAnsi"/>
          <w:sz w:val="22"/>
          <w:szCs w:val="22"/>
          <w:lang w:val="en-GB"/>
        </w:rPr>
        <w:t xml:space="preserve"> but in </w:t>
      </w:r>
      <w:r w:rsidRPr="00D47D74">
        <w:rPr>
          <w:rFonts w:asciiTheme="minorHAnsi" w:hAnsiTheme="minorHAnsi" w:cstheme="minorHAnsi"/>
          <w:sz w:val="22"/>
          <w:szCs w:val="22"/>
          <w:lang w:val="en-GB"/>
        </w:rPr>
        <w:t>pancreatic epithelial cells</w:t>
      </w:r>
      <w:r w:rsidRPr="00C92A01">
        <w:rPr>
          <w:rFonts w:asciiTheme="minorHAnsi" w:hAnsiTheme="minorHAnsi" w:cstheme="minorHAnsi"/>
          <w:sz w:val="22"/>
          <w:szCs w:val="22"/>
          <w:lang w:val="en-GB"/>
        </w:rPr>
        <w:t xml:space="preserve"> only</w:t>
      </w:r>
      <w:r w:rsidRPr="00710071">
        <w:rPr>
          <w:rFonts w:asciiTheme="minorHAnsi" w:hAnsiTheme="minorHAnsi" w:cstheme="minorHAnsi"/>
          <w:sz w:val="22"/>
          <w:szCs w:val="22"/>
          <w:lang w:val="en-GB"/>
        </w:rPr>
        <w:t xml:space="preserve"> </w:t>
      </w:r>
      <w:r w:rsidRPr="00F34EF5">
        <w:rPr>
          <w:rFonts w:asciiTheme="minorHAnsi" w:hAnsiTheme="minorHAnsi" w:cstheme="minorHAnsi"/>
          <w:noProof/>
          <w:sz w:val="22"/>
          <w:szCs w:val="22"/>
          <w:vertAlign w:val="superscript"/>
          <w:lang w:val="en-GB"/>
        </w:rPr>
        <w:t>24-26</w:t>
      </w:r>
      <w:r w:rsidRPr="00876226">
        <w:rPr>
          <w:rFonts w:asciiTheme="minorHAnsi" w:hAnsiTheme="minorHAnsi" w:cstheme="minorHAnsi"/>
          <w:sz w:val="22"/>
          <w:szCs w:val="22"/>
          <w:lang w:val="en-GB"/>
        </w:rPr>
        <w:t xml:space="preserve">, whereas others do show expression of </w:t>
      </w:r>
      <w:r w:rsidRPr="00077079">
        <w:rPr>
          <w:rFonts w:asciiTheme="minorHAnsi" w:hAnsiTheme="minorHAnsi" w:cstheme="minorHAnsi"/>
          <w:sz w:val="22"/>
          <w:szCs w:val="22"/>
          <w:lang w:val="en-GB"/>
        </w:rPr>
        <w:t xml:space="preserve">ACE2 in beta-cells </w:t>
      </w:r>
      <w:r w:rsidRPr="00277BE8">
        <w:rPr>
          <w:rFonts w:asciiTheme="minorHAnsi" w:hAnsiTheme="minorHAnsi" w:cstheme="minorHAnsi"/>
          <w:sz w:val="22"/>
          <w:szCs w:val="22"/>
          <w:lang w:val="en-GB"/>
        </w:rPr>
        <w:t xml:space="preserve">in </w:t>
      </w:r>
      <w:r w:rsidRPr="00B25D96">
        <w:rPr>
          <w:rFonts w:asciiTheme="minorHAnsi" w:hAnsiTheme="minorHAnsi" w:cstheme="minorHAnsi"/>
          <w:sz w:val="22"/>
          <w:szCs w:val="22"/>
          <w:lang w:val="en-GB"/>
        </w:rPr>
        <w:t>a subset of COVID-19 patients</w:t>
      </w:r>
      <w:r>
        <w:rPr>
          <w:rFonts w:asciiTheme="minorHAnsi" w:hAnsiTheme="minorHAnsi" w:cstheme="minorHAnsi"/>
          <w:sz w:val="22"/>
          <w:szCs w:val="22"/>
          <w:lang w:val="en-GB"/>
        </w:rPr>
        <w:t>.</w:t>
      </w:r>
      <w:r w:rsidRPr="00812349">
        <w:rPr>
          <w:rFonts w:asciiTheme="minorHAnsi" w:hAnsiTheme="minorHAnsi" w:cstheme="minorHAnsi"/>
          <w:sz w:val="22"/>
          <w:szCs w:val="22"/>
          <w:lang w:val="en-GB"/>
        </w:rPr>
        <w:t xml:space="preserve"> </w:t>
      </w:r>
      <w:r w:rsidRPr="00F34EF5">
        <w:rPr>
          <w:rFonts w:asciiTheme="minorHAnsi" w:hAnsiTheme="minorHAnsi" w:cstheme="minorHAnsi"/>
          <w:noProof/>
          <w:sz w:val="22"/>
          <w:szCs w:val="22"/>
          <w:vertAlign w:val="superscript"/>
          <w:lang w:val="en-GB"/>
        </w:rPr>
        <w:t>27-29</w:t>
      </w:r>
      <w:r w:rsidRPr="00876226">
        <w:rPr>
          <w:rFonts w:asciiTheme="minorHAnsi" w:hAnsiTheme="minorHAnsi" w:cstheme="minorHAnsi"/>
          <w:sz w:val="22"/>
          <w:szCs w:val="22"/>
          <w:lang w:val="en-GB"/>
        </w:rPr>
        <w:t xml:space="preserve"> </w:t>
      </w:r>
      <w:r w:rsidRPr="000637E9">
        <w:rPr>
          <w:rFonts w:asciiTheme="minorHAnsi" w:hAnsiTheme="minorHAnsi" w:cstheme="minorHAnsi"/>
          <w:sz w:val="22"/>
          <w:szCs w:val="22"/>
          <w:lang w:val="en-GB"/>
        </w:rPr>
        <w:t xml:space="preserve">We ourselves have performed a study on SARS-CoV-2 infection of beta-cells with 11 patients that died due to COVID-19. Here, in </w:t>
      </w:r>
      <w:r w:rsidRPr="000637E9">
        <w:rPr>
          <w:rFonts w:asciiTheme="minorHAnsi" w:hAnsiTheme="minorHAnsi" w:cstheme="minorHAnsi"/>
          <w:sz w:val="22"/>
          <w:szCs w:val="22"/>
          <w:lang w:val="en-GB"/>
        </w:rPr>
        <w:lastRenderedPageBreak/>
        <w:t>comparison to other studies with just 1-3 patients, we observed that only a smaller percentage of the patients actually do express ACE2 in beta-cells indicating that other factors are involved in the infection as well</w:t>
      </w:r>
      <w:r>
        <w:rPr>
          <w:rFonts w:asciiTheme="minorHAnsi" w:hAnsiTheme="minorHAnsi" w:cstheme="minorHAnsi"/>
          <w:sz w:val="22"/>
          <w:szCs w:val="22"/>
          <w:lang w:val="en-GB"/>
        </w:rPr>
        <w:t>.</w:t>
      </w:r>
      <w:r w:rsidRPr="000637E9">
        <w:rPr>
          <w:rFonts w:asciiTheme="minorHAnsi" w:hAnsiTheme="minorHAnsi" w:cstheme="minorHAnsi"/>
          <w:sz w:val="22"/>
          <w:szCs w:val="22"/>
          <w:lang w:val="en-GB"/>
        </w:rPr>
        <w:t xml:space="preserve"> </w:t>
      </w:r>
      <w:r w:rsidRPr="00F34EF5">
        <w:rPr>
          <w:rFonts w:asciiTheme="minorHAnsi" w:hAnsiTheme="minorHAnsi" w:cstheme="minorHAnsi"/>
          <w:noProof/>
          <w:sz w:val="22"/>
          <w:szCs w:val="22"/>
          <w:vertAlign w:val="superscript"/>
          <w:lang w:val="en-GB"/>
        </w:rPr>
        <w:t>30</w:t>
      </w:r>
    </w:p>
    <w:p w:rsidR="006419BC" w:rsidRPr="000637E9" w:rsidRDefault="006419BC" w:rsidP="00300D82">
      <w:pPr>
        <w:pStyle w:val="berschrift1"/>
        <w:shd w:val="clear" w:color="auto" w:fill="FFFFFF"/>
        <w:spacing w:before="0" w:beforeAutospacing="0" w:after="225" w:afterAutospacing="0" w:line="480" w:lineRule="auto"/>
        <w:jc w:val="both"/>
        <w:rPr>
          <w:rFonts w:cstheme="minorHAnsi"/>
          <w:lang w:val="en-GB"/>
        </w:rPr>
      </w:pPr>
      <w:r w:rsidRPr="00876226">
        <w:rPr>
          <w:rFonts w:asciiTheme="minorHAnsi" w:hAnsiTheme="minorHAnsi" w:cstheme="minorHAnsi"/>
          <w:b w:val="0"/>
          <w:sz w:val="22"/>
          <w:szCs w:val="22"/>
          <w:lang w:val="en-GB"/>
        </w:rPr>
        <w:t>Whether the expression of ACE2 observed in some COVID-19 patients was due to the infection, or conversely, that these patients were infected due to the high expression of ACE2 remains uncertain.  Expression of ACE2 is increased upon inflammatory stress suggesting an enhancement of the beta-cell sensitivity to SARS-CoV-2 during inflammatory conditions</w:t>
      </w:r>
      <w:r>
        <w:rPr>
          <w:rFonts w:asciiTheme="minorHAnsi" w:hAnsiTheme="minorHAnsi" w:cstheme="minorHAnsi"/>
          <w:b w:val="0"/>
          <w:sz w:val="22"/>
          <w:szCs w:val="22"/>
          <w:lang w:val="en-GB"/>
        </w:rPr>
        <w:t>.</w:t>
      </w:r>
      <w:r w:rsidRPr="00876226">
        <w:rPr>
          <w:rFonts w:asciiTheme="minorHAnsi" w:hAnsiTheme="minorHAnsi" w:cstheme="minorHAnsi"/>
          <w:b w:val="0"/>
          <w:sz w:val="22"/>
          <w:szCs w:val="22"/>
          <w:lang w:val="en-GB"/>
        </w:rPr>
        <w:t xml:space="preserve"> </w:t>
      </w:r>
      <w:r w:rsidRPr="00F34EF5">
        <w:rPr>
          <w:rFonts w:asciiTheme="minorHAnsi" w:hAnsiTheme="minorHAnsi" w:cstheme="minorHAnsi"/>
          <w:b w:val="0"/>
          <w:noProof/>
          <w:sz w:val="22"/>
          <w:szCs w:val="22"/>
          <w:vertAlign w:val="superscript"/>
          <w:lang w:val="en-GB"/>
        </w:rPr>
        <w:t>27</w:t>
      </w:r>
      <w:r w:rsidRPr="00876226">
        <w:rPr>
          <w:rFonts w:asciiTheme="minorHAnsi" w:hAnsiTheme="minorHAnsi" w:cstheme="minorHAnsi"/>
          <w:b w:val="0"/>
          <w:sz w:val="22"/>
          <w:szCs w:val="22"/>
          <w:lang w:val="en-GB"/>
        </w:rPr>
        <w:t xml:space="preserve"> </w:t>
      </w:r>
    </w:p>
    <w:p w:rsidR="006419BC" w:rsidRDefault="006419BC" w:rsidP="001852B9">
      <w:pPr>
        <w:pStyle w:val="berschrift1"/>
        <w:shd w:val="clear" w:color="auto" w:fill="FFFFFF"/>
        <w:spacing w:line="480" w:lineRule="auto"/>
        <w:jc w:val="both"/>
        <w:rPr>
          <w:rFonts w:asciiTheme="minorHAnsi" w:hAnsiTheme="minorHAnsi" w:cstheme="minorHAnsi"/>
          <w:b w:val="0"/>
          <w:sz w:val="22"/>
          <w:szCs w:val="22"/>
          <w:lang w:val="en-GB"/>
        </w:rPr>
      </w:pPr>
      <w:r w:rsidRPr="00876226">
        <w:rPr>
          <w:rFonts w:asciiTheme="minorHAnsi" w:hAnsiTheme="minorHAnsi" w:cstheme="minorHAnsi"/>
          <w:b w:val="0"/>
          <w:sz w:val="22"/>
          <w:szCs w:val="22"/>
          <w:lang w:val="en-GB"/>
        </w:rPr>
        <w:t xml:space="preserve">Following binding of SARS-CoV-2 to ACE2, the receptor is internalised by the infected cell leading to a </w:t>
      </w:r>
      <w:r w:rsidRPr="008D495C">
        <w:rPr>
          <w:rFonts w:asciiTheme="minorHAnsi" w:hAnsiTheme="minorHAnsi" w:cstheme="minorHAnsi"/>
          <w:b w:val="0"/>
          <w:sz w:val="22"/>
          <w:szCs w:val="22"/>
          <w:lang w:val="en-GB"/>
        </w:rPr>
        <w:t xml:space="preserve">distinct downregulation of ACE2. </w:t>
      </w:r>
      <w:r w:rsidRPr="008D495C">
        <w:rPr>
          <w:rFonts w:asciiTheme="minorHAnsi" w:hAnsiTheme="minorHAnsi" w:cstheme="minorHAnsi"/>
          <w:b w:val="0"/>
          <w:color w:val="212121"/>
          <w:sz w:val="22"/>
          <w:szCs w:val="22"/>
          <w:shd w:val="clear" w:color="auto" w:fill="FFFFFF"/>
          <w:lang w:val="en-GB"/>
        </w:rPr>
        <w:t>Such d</w:t>
      </w:r>
      <w:r w:rsidRPr="00537E96">
        <w:rPr>
          <w:rFonts w:asciiTheme="minorHAnsi" w:hAnsiTheme="minorHAnsi" w:cstheme="minorHAnsi"/>
          <w:b w:val="0"/>
          <w:sz w:val="22"/>
          <w:szCs w:val="22"/>
          <w:lang w:val="en-GB"/>
        </w:rPr>
        <w:t>ownregulation of ACE2 in the intestinal epithelium has been suggested to lead to upregulation of the sodium-glucose-transporter-1 (SGLT1) thereby precipitating hyperglycaemia</w:t>
      </w:r>
      <w:r>
        <w:rPr>
          <w:rFonts w:asciiTheme="minorHAnsi" w:hAnsiTheme="minorHAnsi" w:cstheme="minorHAnsi"/>
          <w:b w:val="0"/>
          <w:sz w:val="22"/>
          <w:szCs w:val="22"/>
          <w:lang w:val="en-GB"/>
        </w:rPr>
        <w:t>.</w:t>
      </w:r>
      <w:r w:rsidRPr="00537E96">
        <w:rPr>
          <w:rFonts w:asciiTheme="minorHAnsi" w:hAnsiTheme="minorHAnsi" w:cstheme="minorHAnsi"/>
          <w:b w:val="0"/>
          <w:sz w:val="22"/>
          <w:szCs w:val="22"/>
          <w:lang w:val="en-GB"/>
        </w:rPr>
        <w:t xml:space="preserve"> </w:t>
      </w:r>
      <w:r w:rsidRPr="00F34EF5">
        <w:rPr>
          <w:rFonts w:asciiTheme="minorHAnsi" w:hAnsiTheme="minorHAnsi" w:cstheme="minorHAnsi"/>
          <w:b w:val="0"/>
          <w:noProof/>
          <w:sz w:val="22"/>
          <w:szCs w:val="22"/>
          <w:vertAlign w:val="superscript"/>
          <w:lang w:val="en-GB"/>
        </w:rPr>
        <w:t>31</w:t>
      </w:r>
      <w:r w:rsidRPr="008D495C">
        <w:rPr>
          <w:rFonts w:asciiTheme="minorHAnsi" w:hAnsiTheme="minorHAnsi" w:cstheme="minorHAnsi"/>
          <w:b w:val="0"/>
          <w:sz w:val="22"/>
          <w:szCs w:val="22"/>
          <w:lang w:val="en-GB"/>
        </w:rPr>
        <w:t xml:space="preserve"> Furthermore</w:t>
      </w:r>
      <w:r w:rsidRPr="00537E96">
        <w:rPr>
          <w:rFonts w:asciiTheme="minorHAnsi" w:hAnsiTheme="minorHAnsi" w:cstheme="minorHAnsi"/>
          <w:b w:val="0"/>
          <w:sz w:val="22"/>
          <w:szCs w:val="22"/>
          <w:lang w:val="en-GB"/>
        </w:rPr>
        <w:t>, the protective arm of the RAAS is potentially removed which might lead to a multiorgan hyperinflammatory response (cytokine storm) (Fig. 1B). Thus, the RAAS and in particular ACE2 seems to pose attractive targets to fight COVID-19</w:t>
      </w:r>
      <w:r>
        <w:rPr>
          <w:rFonts w:asciiTheme="minorHAnsi" w:hAnsiTheme="minorHAnsi" w:cstheme="minorHAnsi"/>
          <w:b w:val="0"/>
          <w:sz w:val="22"/>
          <w:szCs w:val="22"/>
          <w:lang w:val="en-GB"/>
        </w:rPr>
        <w:t>.</w:t>
      </w:r>
      <w:r w:rsidRPr="00537E96">
        <w:rPr>
          <w:rFonts w:asciiTheme="minorHAnsi" w:hAnsiTheme="minorHAnsi" w:cstheme="minorHAnsi"/>
          <w:b w:val="0"/>
          <w:sz w:val="22"/>
          <w:szCs w:val="22"/>
          <w:lang w:val="en-GB"/>
        </w:rPr>
        <w:t xml:space="preserve"> </w:t>
      </w:r>
      <w:r w:rsidRPr="00F34EF5">
        <w:rPr>
          <w:rFonts w:asciiTheme="minorHAnsi" w:hAnsiTheme="minorHAnsi" w:cstheme="minorHAnsi"/>
          <w:b w:val="0"/>
          <w:bCs w:val="0"/>
          <w:noProof/>
          <w:sz w:val="22"/>
          <w:szCs w:val="22"/>
          <w:vertAlign w:val="superscript"/>
          <w:lang w:val="en-GB"/>
        </w:rPr>
        <w:t>32</w:t>
      </w:r>
      <w:r w:rsidRPr="008D495C">
        <w:rPr>
          <w:rFonts w:asciiTheme="minorHAnsi" w:hAnsiTheme="minorHAnsi" w:cstheme="minorHAnsi"/>
          <w:b w:val="0"/>
          <w:sz w:val="22"/>
          <w:szCs w:val="22"/>
          <w:lang w:val="en-GB"/>
        </w:rPr>
        <w:t xml:space="preserve"> While </w:t>
      </w:r>
      <w:r w:rsidRPr="00537E96">
        <w:rPr>
          <w:rFonts w:asciiTheme="minorHAnsi" w:hAnsiTheme="minorHAnsi" w:cstheme="minorHAnsi"/>
          <w:b w:val="0"/>
          <w:sz w:val="22"/>
          <w:szCs w:val="22"/>
          <w:lang w:val="en-GB"/>
        </w:rPr>
        <w:t xml:space="preserve">medications such as ACE inhibitors (ACEi) and angiotensin II receptor blockers (ARBs) could increase ACE2 expression and potentiate SARS-CoV-2 cell entry </w:t>
      </w:r>
      <w:r w:rsidRPr="00F34EF5">
        <w:rPr>
          <w:rFonts w:asciiTheme="minorHAnsi" w:hAnsiTheme="minorHAnsi" w:cstheme="minorHAnsi"/>
          <w:b w:val="0"/>
          <w:bCs w:val="0"/>
          <w:noProof/>
          <w:sz w:val="22"/>
          <w:szCs w:val="22"/>
          <w:vertAlign w:val="superscript"/>
          <w:lang w:val="en-GB"/>
        </w:rPr>
        <w:t>33</w:t>
      </w:r>
      <w:r w:rsidRPr="008D495C">
        <w:rPr>
          <w:rFonts w:asciiTheme="minorHAnsi" w:hAnsiTheme="minorHAnsi" w:cstheme="minorHAnsi"/>
          <w:b w:val="0"/>
          <w:sz w:val="22"/>
          <w:szCs w:val="22"/>
          <w:lang w:val="en-GB"/>
        </w:rPr>
        <w:t>, increased ACE2 production would result in a higher circulating level of soluble ACE2, which neutrali</w:t>
      </w:r>
      <w:r w:rsidRPr="00537E96">
        <w:rPr>
          <w:rFonts w:asciiTheme="minorHAnsi" w:hAnsiTheme="minorHAnsi" w:cstheme="minorHAnsi"/>
          <w:b w:val="0"/>
          <w:sz w:val="22"/>
          <w:szCs w:val="22"/>
          <w:lang w:val="en-GB"/>
        </w:rPr>
        <w:t>ses SARS-CoV-2</w:t>
      </w:r>
      <w:r>
        <w:rPr>
          <w:rFonts w:asciiTheme="minorHAnsi" w:hAnsiTheme="minorHAnsi" w:cstheme="minorHAnsi"/>
          <w:b w:val="0"/>
          <w:sz w:val="22"/>
          <w:szCs w:val="22"/>
          <w:lang w:val="en-GB"/>
        </w:rPr>
        <w:t xml:space="preserve"> </w:t>
      </w:r>
      <w:r w:rsidRPr="008D495C">
        <w:rPr>
          <w:rFonts w:asciiTheme="minorHAnsi" w:hAnsiTheme="minorHAnsi" w:cstheme="minorHAnsi"/>
          <w:b w:val="0"/>
          <w:sz w:val="22"/>
          <w:szCs w:val="22"/>
          <w:lang w:val="en-GB"/>
        </w:rPr>
        <w:t>(Table 1)</w:t>
      </w:r>
      <w:r>
        <w:rPr>
          <w:rFonts w:asciiTheme="minorHAnsi" w:hAnsiTheme="minorHAnsi" w:cstheme="minorHAnsi"/>
          <w:b w:val="0"/>
          <w:sz w:val="22"/>
          <w:szCs w:val="22"/>
          <w:lang w:val="en-GB"/>
        </w:rPr>
        <w:t>.</w:t>
      </w:r>
      <w:r w:rsidRPr="00537E96">
        <w:rPr>
          <w:rFonts w:asciiTheme="minorHAnsi" w:hAnsiTheme="minorHAnsi" w:cstheme="minorHAnsi"/>
          <w:b w:val="0"/>
          <w:sz w:val="22"/>
          <w:szCs w:val="22"/>
          <w:lang w:val="en-GB"/>
        </w:rPr>
        <w:t xml:space="preserve"> </w:t>
      </w:r>
      <w:r w:rsidRPr="00F34EF5">
        <w:rPr>
          <w:rFonts w:asciiTheme="minorHAnsi" w:hAnsiTheme="minorHAnsi" w:cstheme="minorHAnsi"/>
          <w:b w:val="0"/>
          <w:bCs w:val="0"/>
          <w:noProof/>
          <w:sz w:val="22"/>
          <w:szCs w:val="22"/>
          <w:vertAlign w:val="superscript"/>
          <w:lang w:val="en-GB"/>
        </w:rPr>
        <w:t>34</w:t>
      </w:r>
      <w:r w:rsidRPr="008D495C" w:rsidDel="007A3720">
        <w:rPr>
          <w:rFonts w:asciiTheme="minorHAnsi" w:hAnsiTheme="minorHAnsi" w:cstheme="minorHAnsi"/>
          <w:b w:val="0"/>
          <w:sz w:val="22"/>
          <w:szCs w:val="22"/>
          <w:lang w:val="en-GB"/>
        </w:rPr>
        <w:t xml:space="preserve"> </w:t>
      </w:r>
      <w:r w:rsidRPr="00537E96">
        <w:rPr>
          <w:rFonts w:asciiTheme="minorHAnsi" w:hAnsiTheme="minorHAnsi" w:cstheme="minorHAnsi"/>
          <w:b w:val="0"/>
          <w:sz w:val="22"/>
          <w:szCs w:val="22"/>
          <w:lang w:val="en-GB"/>
        </w:rPr>
        <w:t>The use of ACEi/ARBs is higher in COVID-19 patients compared to control patients, which is caused by the higher prevalence of COVID-19 among people with hypertension, cardiovascular and renal diseases</w:t>
      </w:r>
      <w:r>
        <w:rPr>
          <w:rFonts w:asciiTheme="minorHAnsi" w:hAnsiTheme="minorHAnsi" w:cstheme="minorHAnsi"/>
          <w:b w:val="0"/>
          <w:sz w:val="22"/>
          <w:szCs w:val="22"/>
          <w:lang w:val="en-GB"/>
        </w:rPr>
        <w:t>.</w:t>
      </w:r>
      <w:r w:rsidRPr="00537E96">
        <w:rPr>
          <w:rFonts w:asciiTheme="minorHAnsi" w:hAnsiTheme="minorHAnsi" w:cstheme="minorHAnsi"/>
          <w:b w:val="0"/>
          <w:sz w:val="22"/>
          <w:szCs w:val="22"/>
          <w:lang w:val="en-GB"/>
        </w:rPr>
        <w:t xml:space="preserve"> </w:t>
      </w:r>
      <w:r w:rsidRPr="00F34EF5">
        <w:rPr>
          <w:rFonts w:asciiTheme="minorHAnsi" w:hAnsiTheme="minorHAnsi" w:cstheme="minorHAnsi"/>
          <w:b w:val="0"/>
          <w:bCs w:val="0"/>
          <w:noProof/>
          <w:sz w:val="22"/>
          <w:szCs w:val="22"/>
          <w:vertAlign w:val="superscript"/>
          <w:lang w:val="en-GB"/>
        </w:rPr>
        <w:t>35-37</w:t>
      </w:r>
      <w:r w:rsidRPr="008D495C">
        <w:rPr>
          <w:rFonts w:asciiTheme="minorHAnsi" w:hAnsiTheme="minorHAnsi" w:cstheme="minorHAnsi"/>
          <w:b w:val="0"/>
          <w:sz w:val="22"/>
          <w:szCs w:val="22"/>
          <w:lang w:val="en-GB"/>
        </w:rPr>
        <w:t xml:space="preserve"> Nevertheless, none of the observational studies </w:t>
      </w:r>
      <w:r w:rsidRPr="00537E96">
        <w:rPr>
          <w:rFonts w:asciiTheme="minorHAnsi" w:hAnsiTheme="minorHAnsi" w:cstheme="minorHAnsi"/>
          <w:b w:val="0"/>
          <w:sz w:val="22"/>
          <w:szCs w:val="22"/>
          <w:lang w:val="en-GB"/>
        </w:rPr>
        <w:t>performed so far show an association between the use of ACEi and ARBs and disease outcome, severity or death</w:t>
      </w:r>
      <w:r>
        <w:rPr>
          <w:rFonts w:asciiTheme="minorHAnsi" w:hAnsiTheme="minorHAnsi" w:cstheme="minorHAnsi"/>
          <w:b w:val="0"/>
          <w:sz w:val="22"/>
          <w:szCs w:val="22"/>
          <w:lang w:val="en-GB"/>
        </w:rPr>
        <w:t>.</w:t>
      </w:r>
      <w:r w:rsidRPr="00537E96">
        <w:rPr>
          <w:rFonts w:asciiTheme="minorHAnsi" w:hAnsiTheme="minorHAnsi" w:cstheme="minorHAnsi"/>
          <w:b w:val="0"/>
          <w:sz w:val="22"/>
          <w:szCs w:val="22"/>
          <w:lang w:val="en-GB"/>
        </w:rPr>
        <w:t xml:space="preserve"> </w:t>
      </w:r>
      <w:r w:rsidRPr="00F34EF5">
        <w:rPr>
          <w:rFonts w:asciiTheme="minorHAnsi" w:hAnsiTheme="minorHAnsi" w:cstheme="minorHAnsi"/>
          <w:b w:val="0"/>
          <w:bCs w:val="0"/>
          <w:noProof/>
          <w:sz w:val="22"/>
          <w:szCs w:val="22"/>
          <w:vertAlign w:val="superscript"/>
          <w:lang w:val="en-GB"/>
        </w:rPr>
        <w:t>38</w:t>
      </w:r>
      <w:r w:rsidRPr="008D495C">
        <w:rPr>
          <w:rFonts w:asciiTheme="minorHAnsi" w:hAnsiTheme="minorHAnsi" w:cstheme="minorHAnsi"/>
          <w:b w:val="0"/>
          <w:sz w:val="22"/>
          <w:szCs w:val="22"/>
          <w:lang w:val="en-GB"/>
        </w:rPr>
        <w:t xml:space="preserve"> Significant and independent associations between plasmatic aldosterone and C-reactive protein levels and the severity of COVID-19 have been reported</w:t>
      </w:r>
      <w:r>
        <w:rPr>
          <w:rFonts w:asciiTheme="minorHAnsi" w:hAnsiTheme="minorHAnsi" w:cstheme="minorHAnsi"/>
          <w:b w:val="0"/>
          <w:sz w:val="22"/>
          <w:szCs w:val="22"/>
          <w:lang w:val="en-GB"/>
        </w:rPr>
        <w:t>.</w:t>
      </w:r>
      <w:r w:rsidRPr="00537E96">
        <w:rPr>
          <w:rFonts w:asciiTheme="minorHAnsi" w:hAnsiTheme="minorHAnsi" w:cstheme="minorHAnsi"/>
          <w:b w:val="0"/>
          <w:sz w:val="22"/>
          <w:szCs w:val="22"/>
          <w:lang w:val="en-GB"/>
        </w:rPr>
        <w:t xml:space="preserve"> </w:t>
      </w:r>
      <w:r w:rsidRPr="00F34EF5">
        <w:rPr>
          <w:rFonts w:asciiTheme="minorHAnsi" w:hAnsiTheme="minorHAnsi" w:cstheme="minorHAnsi"/>
          <w:b w:val="0"/>
          <w:bCs w:val="0"/>
          <w:noProof/>
          <w:sz w:val="22"/>
          <w:szCs w:val="22"/>
          <w:vertAlign w:val="superscript"/>
          <w:lang w:val="en-GB"/>
        </w:rPr>
        <w:t>39</w:t>
      </w:r>
      <w:r>
        <w:rPr>
          <w:rFonts w:asciiTheme="minorHAnsi" w:hAnsiTheme="minorHAnsi" w:cstheme="minorHAnsi"/>
          <w:b w:val="0"/>
          <w:sz w:val="22"/>
          <w:szCs w:val="22"/>
          <w:lang w:val="en-GB"/>
        </w:rPr>
        <w:t xml:space="preserve"> </w:t>
      </w:r>
      <w:r w:rsidRPr="008D495C">
        <w:rPr>
          <w:rFonts w:asciiTheme="minorHAnsi" w:hAnsiTheme="minorHAnsi" w:cstheme="minorHAnsi"/>
          <w:b w:val="0"/>
          <w:sz w:val="22"/>
          <w:szCs w:val="22"/>
          <w:lang w:val="en-GB"/>
        </w:rPr>
        <w:t xml:space="preserve">The SARS-CoV-2 spike proteins require two proteolytic processing steps prior to cell </w:t>
      </w:r>
      <w:r w:rsidRPr="00537E96">
        <w:rPr>
          <w:rFonts w:asciiTheme="minorHAnsi" w:hAnsiTheme="minorHAnsi" w:cstheme="minorHAnsi"/>
          <w:b w:val="0"/>
          <w:sz w:val="22"/>
          <w:szCs w:val="22"/>
          <w:lang w:val="en-GB"/>
        </w:rPr>
        <w:t xml:space="preserve">entry. These are mediated by host cell proteases such as </w:t>
      </w:r>
      <w:r w:rsidRPr="00537E96">
        <w:rPr>
          <w:rFonts w:asciiTheme="minorHAnsi" w:hAnsiTheme="minorHAnsi" w:cstheme="minorHAnsi"/>
          <w:b w:val="0"/>
          <w:color w:val="000000" w:themeColor="text1"/>
          <w:sz w:val="22"/>
          <w:szCs w:val="22"/>
          <w:lang w:val="en-GB"/>
        </w:rPr>
        <w:t xml:space="preserve">furin, </w:t>
      </w:r>
      <w:r w:rsidRPr="00537E96">
        <w:rPr>
          <w:rStyle w:val="Fett"/>
          <w:rFonts w:asciiTheme="minorHAnsi" w:hAnsiTheme="minorHAnsi" w:cstheme="minorHAnsi"/>
          <w:color w:val="000000" w:themeColor="text1"/>
          <w:sz w:val="22"/>
          <w:szCs w:val="22"/>
          <w:shd w:val="clear" w:color="auto" w:fill="FFFFFF"/>
          <w:lang w:val="en-GB"/>
        </w:rPr>
        <w:t>transmembrane</w:t>
      </w:r>
      <w:r w:rsidRPr="000637E9">
        <w:rPr>
          <w:rStyle w:val="Fett"/>
          <w:rFonts w:asciiTheme="minorHAnsi" w:hAnsiTheme="minorHAnsi" w:cstheme="minorHAnsi"/>
          <w:color w:val="000000" w:themeColor="text1"/>
          <w:sz w:val="22"/>
          <w:szCs w:val="22"/>
          <w:shd w:val="clear" w:color="auto" w:fill="FFFFFF"/>
          <w:lang w:val="en-GB"/>
        </w:rPr>
        <w:t xml:space="preserve"> protease serine subtype 2 (</w:t>
      </w:r>
      <w:r w:rsidRPr="00876226">
        <w:rPr>
          <w:rFonts w:asciiTheme="minorHAnsi" w:hAnsiTheme="minorHAnsi" w:cstheme="minorHAnsi"/>
          <w:b w:val="0"/>
          <w:color w:val="000000" w:themeColor="text1"/>
          <w:sz w:val="22"/>
          <w:szCs w:val="22"/>
          <w:lang w:val="en-GB"/>
        </w:rPr>
        <w:t>TMPRSS2</w:t>
      </w:r>
      <w:r w:rsidRPr="000637E9">
        <w:rPr>
          <w:rStyle w:val="Fett"/>
          <w:rFonts w:asciiTheme="minorHAnsi" w:hAnsiTheme="minorHAnsi" w:cstheme="minorHAnsi"/>
          <w:color w:val="111111"/>
          <w:sz w:val="22"/>
          <w:szCs w:val="22"/>
          <w:shd w:val="clear" w:color="auto" w:fill="FFFFFF"/>
          <w:lang w:val="en-GB"/>
        </w:rPr>
        <w:t>)</w:t>
      </w:r>
      <w:r w:rsidRPr="00876226">
        <w:rPr>
          <w:rFonts w:asciiTheme="minorHAnsi" w:hAnsiTheme="minorHAnsi" w:cstheme="minorHAnsi"/>
          <w:b w:val="0"/>
          <w:sz w:val="22"/>
          <w:szCs w:val="22"/>
          <w:lang w:val="en-GB"/>
        </w:rPr>
        <w:t xml:space="preserve"> and cathepsin L, leading to fusion of the viral envelope and the plasma or endosome membrane of the host</w:t>
      </w:r>
      <w:r>
        <w:rPr>
          <w:rFonts w:asciiTheme="minorHAnsi" w:hAnsiTheme="minorHAnsi" w:cstheme="minorHAnsi"/>
          <w:b w:val="0"/>
          <w:sz w:val="22"/>
          <w:szCs w:val="22"/>
          <w:lang w:val="en-GB"/>
        </w:rPr>
        <w:t xml:space="preserve"> (Fig. 1B).</w:t>
      </w:r>
      <w:r w:rsidRPr="00876226">
        <w:rPr>
          <w:rFonts w:asciiTheme="minorHAnsi" w:hAnsiTheme="minorHAnsi" w:cstheme="minorHAnsi"/>
          <w:b w:val="0"/>
          <w:sz w:val="22"/>
          <w:szCs w:val="22"/>
          <w:lang w:val="en-GB"/>
        </w:rPr>
        <w:t xml:space="preserve"> </w:t>
      </w:r>
      <w:r w:rsidRPr="00F34EF5">
        <w:rPr>
          <w:rFonts w:asciiTheme="minorHAnsi" w:hAnsiTheme="minorHAnsi" w:cstheme="minorHAnsi"/>
          <w:b w:val="0"/>
          <w:noProof/>
          <w:sz w:val="22"/>
          <w:szCs w:val="22"/>
          <w:vertAlign w:val="superscript"/>
          <w:lang w:val="en-GB"/>
        </w:rPr>
        <w:t>40,41</w:t>
      </w:r>
      <w:r w:rsidRPr="00876226">
        <w:rPr>
          <w:rFonts w:asciiTheme="minorHAnsi" w:hAnsiTheme="minorHAnsi" w:cstheme="minorHAnsi"/>
          <w:b w:val="0"/>
          <w:sz w:val="22"/>
          <w:szCs w:val="22"/>
          <w:lang w:val="en-GB"/>
        </w:rPr>
        <w:t xml:space="preserve"> </w:t>
      </w:r>
    </w:p>
    <w:p w:rsidR="006419BC" w:rsidRPr="00876226" w:rsidRDefault="006419BC" w:rsidP="001852B9">
      <w:pPr>
        <w:pStyle w:val="berschrift1"/>
        <w:shd w:val="clear" w:color="auto" w:fill="FFFFFF"/>
        <w:spacing w:line="480" w:lineRule="auto"/>
        <w:jc w:val="both"/>
        <w:rPr>
          <w:rFonts w:asciiTheme="minorHAnsi" w:hAnsiTheme="minorHAnsi" w:cstheme="minorHAnsi"/>
          <w:b w:val="0"/>
          <w:color w:val="1C1D1E"/>
          <w:sz w:val="22"/>
          <w:szCs w:val="22"/>
          <w:shd w:val="clear" w:color="auto" w:fill="FFFFFF"/>
          <w:lang w:val="en-GB"/>
        </w:rPr>
      </w:pPr>
      <w:r w:rsidRPr="00876226">
        <w:rPr>
          <w:rFonts w:asciiTheme="minorHAnsi" w:hAnsiTheme="minorHAnsi" w:cstheme="minorHAnsi"/>
          <w:b w:val="0"/>
          <w:sz w:val="22"/>
          <w:szCs w:val="22"/>
          <w:lang w:val="en-GB"/>
        </w:rPr>
        <w:lastRenderedPageBreak/>
        <w:t xml:space="preserve">New variants of the original SARS-CoV-2 </w:t>
      </w:r>
      <w:r>
        <w:rPr>
          <w:rFonts w:asciiTheme="minorHAnsi" w:hAnsiTheme="minorHAnsi" w:cstheme="minorHAnsi"/>
          <w:b w:val="0"/>
          <w:sz w:val="22"/>
          <w:szCs w:val="22"/>
          <w:lang w:val="en-GB"/>
        </w:rPr>
        <w:t xml:space="preserve">strain </w:t>
      </w:r>
      <w:r w:rsidRPr="00876226">
        <w:rPr>
          <w:rFonts w:asciiTheme="minorHAnsi" w:hAnsiTheme="minorHAnsi" w:cstheme="minorHAnsi"/>
          <w:b w:val="0"/>
          <w:sz w:val="22"/>
          <w:szCs w:val="22"/>
          <w:lang w:val="en-GB"/>
        </w:rPr>
        <w:t xml:space="preserve">being up to 90% more contagious </w:t>
      </w:r>
      <w:r>
        <w:rPr>
          <w:rFonts w:asciiTheme="minorHAnsi" w:hAnsiTheme="minorHAnsi" w:cstheme="minorHAnsi"/>
          <w:b w:val="0"/>
          <w:sz w:val="22"/>
          <w:szCs w:val="22"/>
          <w:lang w:val="en-GB"/>
        </w:rPr>
        <w:t>have</w:t>
      </w:r>
      <w:r w:rsidRPr="00876226">
        <w:rPr>
          <w:rFonts w:asciiTheme="minorHAnsi" w:hAnsiTheme="minorHAnsi" w:cstheme="minorHAnsi"/>
          <w:b w:val="0"/>
          <w:sz w:val="22"/>
          <w:szCs w:val="22"/>
          <w:lang w:val="en-GB"/>
        </w:rPr>
        <w:t xml:space="preserve"> emerg</w:t>
      </w:r>
      <w:r>
        <w:rPr>
          <w:rFonts w:asciiTheme="minorHAnsi" w:hAnsiTheme="minorHAnsi" w:cstheme="minorHAnsi"/>
          <w:b w:val="0"/>
          <w:sz w:val="22"/>
          <w:szCs w:val="22"/>
          <w:lang w:val="en-GB"/>
        </w:rPr>
        <w:t xml:space="preserve">ed. </w:t>
      </w:r>
      <w:r w:rsidRPr="00F34EF5">
        <w:rPr>
          <w:rFonts w:asciiTheme="minorHAnsi" w:hAnsiTheme="minorHAnsi" w:cstheme="minorHAnsi"/>
          <w:b w:val="0"/>
          <w:noProof/>
          <w:sz w:val="22"/>
          <w:szCs w:val="22"/>
          <w:vertAlign w:val="superscript"/>
          <w:lang w:val="en-GB"/>
        </w:rPr>
        <w:t>42-44</w:t>
      </w:r>
      <w:r w:rsidRPr="00876226">
        <w:rPr>
          <w:rFonts w:asciiTheme="minorHAnsi" w:hAnsiTheme="minorHAnsi" w:cstheme="minorHAnsi"/>
          <w:b w:val="0"/>
          <w:sz w:val="22"/>
          <w:szCs w:val="22"/>
          <w:lang w:val="en-GB"/>
        </w:rPr>
        <w:t xml:space="preserve"> Three of these variants (</w:t>
      </w:r>
      <w:r w:rsidRPr="00876226">
        <w:rPr>
          <w:rFonts w:asciiTheme="minorHAnsi" w:hAnsiTheme="minorHAnsi" w:cstheme="minorHAnsi"/>
          <w:b w:val="0"/>
          <w:color w:val="212121"/>
          <w:sz w:val="22"/>
          <w:szCs w:val="22"/>
          <w:shd w:val="clear" w:color="auto" w:fill="FFFFFF"/>
          <w:lang w:val="en-GB"/>
        </w:rPr>
        <w:t>alpha (</w:t>
      </w:r>
      <w:r w:rsidRPr="00876226">
        <w:rPr>
          <w:rFonts w:asciiTheme="minorHAnsi" w:hAnsiTheme="minorHAnsi" w:cstheme="minorHAnsi"/>
          <w:b w:val="0"/>
          <w:color w:val="212121"/>
          <w:sz w:val="22"/>
          <w:szCs w:val="22"/>
          <w:lang w:val="en-GB"/>
        </w:rPr>
        <w:t>B.1.1.7</w:t>
      </w:r>
      <w:r w:rsidRPr="00876226">
        <w:rPr>
          <w:rFonts w:asciiTheme="minorHAnsi" w:hAnsiTheme="minorHAnsi" w:cstheme="minorHAnsi"/>
          <w:b w:val="0"/>
          <w:color w:val="212121"/>
          <w:sz w:val="22"/>
          <w:szCs w:val="22"/>
          <w:shd w:val="clear" w:color="auto" w:fill="FFFFFF"/>
          <w:lang w:val="en-GB"/>
        </w:rPr>
        <w:t>), beta (</w:t>
      </w:r>
      <w:r w:rsidRPr="00876226">
        <w:rPr>
          <w:rFonts w:asciiTheme="minorHAnsi" w:hAnsiTheme="minorHAnsi" w:cstheme="minorHAnsi"/>
          <w:b w:val="0"/>
          <w:color w:val="212121"/>
          <w:sz w:val="22"/>
          <w:szCs w:val="22"/>
          <w:lang w:val="en-GB"/>
        </w:rPr>
        <w:t>B.1.351</w:t>
      </w:r>
      <w:r w:rsidRPr="00876226">
        <w:rPr>
          <w:rFonts w:asciiTheme="minorHAnsi" w:hAnsiTheme="minorHAnsi" w:cstheme="minorHAnsi"/>
          <w:b w:val="0"/>
          <w:color w:val="212121"/>
          <w:sz w:val="22"/>
          <w:szCs w:val="22"/>
          <w:shd w:val="clear" w:color="auto" w:fill="FFFFFF"/>
          <w:lang w:val="en-GB"/>
        </w:rPr>
        <w:t xml:space="preserve">), and gamma (P.1)) </w:t>
      </w:r>
      <w:r w:rsidRPr="00876226">
        <w:rPr>
          <w:rFonts w:asciiTheme="minorHAnsi" w:hAnsiTheme="minorHAnsi" w:cstheme="minorHAnsi"/>
          <w:b w:val="0"/>
          <w:sz w:val="22"/>
          <w:szCs w:val="22"/>
          <w:lang w:val="en-GB"/>
        </w:rPr>
        <w:t>are among others mutated in the receptor binding domain (RBD), whereby the binding affinity to ACE2 is increased</w:t>
      </w:r>
      <w:r>
        <w:rPr>
          <w:rFonts w:asciiTheme="minorHAnsi" w:hAnsiTheme="minorHAnsi" w:cstheme="minorHAnsi"/>
          <w:b w:val="0"/>
          <w:sz w:val="22"/>
          <w:szCs w:val="22"/>
          <w:lang w:val="en-GB"/>
        </w:rPr>
        <w:t>.</w:t>
      </w:r>
      <w:r w:rsidRPr="00876226">
        <w:rPr>
          <w:rFonts w:asciiTheme="minorHAnsi" w:hAnsiTheme="minorHAnsi" w:cstheme="minorHAnsi"/>
          <w:b w:val="0"/>
          <w:sz w:val="22"/>
          <w:szCs w:val="22"/>
          <w:lang w:val="en-GB"/>
        </w:rPr>
        <w:t xml:space="preserve"> </w:t>
      </w:r>
      <w:r w:rsidRPr="00F34EF5">
        <w:rPr>
          <w:rFonts w:asciiTheme="minorHAnsi" w:hAnsiTheme="minorHAnsi" w:cstheme="minorHAnsi"/>
          <w:b w:val="0"/>
          <w:noProof/>
          <w:sz w:val="22"/>
          <w:szCs w:val="22"/>
          <w:vertAlign w:val="superscript"/>
          <w:lang w:val="en-GB"/>
        </w:rPr>
        <w:t>45</w:t>
      </w:r>
      <w:r w:rsidRPr="00876226">
        <w:rPr>
          <w:rFonts w:asciiTheme="minorHAnsi" w:hAnsiTheme="minorHAnsi" w:cstheme="minorHAnsi"/>
          <w:b w:val="0"/>
          <w:sz w:val="22"/>
          <w:szCs w:val="22"/>
          <w:lang w:val="en-GB"/>
        </w:rPr>
        <w:t xml:space="preserve"> </w:t>
      </w:r>
      <w:r>
        <w:rPr>
          <w:rFonts w:asciiTheme="minorHAnsi" w:hAnsiTheme="minorHAnsi" w:cstheme="minorHAnsi"/>
          <w:b w:val="0"/>
          <w:sz w:val="22"/>
          <w:szCs w:val="22"/>
          <w:lang w:val="en-GB"/>
        </w:rPr>
        <w:t>Another lineage, B.1.617.2</w:t>
      </w:r>
      <w:r w:rsidRPr="00876226">
        <w:rPr>
          <w:rFonts w:asciiTheme="minorHAnsi" w:hAnsiTheme="minorHAnsi" w:cstheme="minorHAnsi"/>
          <w:b w:val="0"/>
          <w:sz w:val="22"/>
          <w:szCs w:val="22"/>
          <w:lang w:val="en-GB"/>
        </w:rPr>
        <w:t xml:space="preserve"> (delta)</w:t>
      </w:r>
      <w:r>
        <w:rPr>
          <w:rFonts w:asciiTheme="minorHAnsi" w:hAnsiTheme="minorHAnsi" w:cstheme="minorHAnsi"/>
          <w:b w:val="0"/>
          <w:sz w:val="22"/>
          <w:szCs w:val="22"/>
          <w:lang w:val="en-GB"/>
        </w:rPr>
        <w:t>,</w:t>
      </w:r>
      <w:r w:rsidRPr="00876226">
        <w:rPr>
          <w:rFonts w:asciiTheme="minorHAnsi" w:hAnsiTheme="minorHAnsi" w:cstheme="minorHAnsi"/>
          <w:b w:val="0"/>
          <w:sz w:val="22"/>
          <w:szCs w:val="22"/>
          <w:lang w:val="en-GB"/>
        </w:rPr>
        <w:t xml:space="preserve"> </w:t>
      </w:r>
      <w:r w:rsidRPr="000637E9">
        <w:rPr>
          <w:rFonts w:asciiTheme="minorHAnsi" w:hAnsiTheme="minorHAnsi" w:cstheme="minorHAnsi"/>
          <w:b w:val="0"/>
          <w:color w:val="212121"/>
          <w:sz w:val="22"/>
          <w:szCs w:val="22"/>
          <w:shd w:val="clear" w:color="auto" w:fill="FFFFFF"/>
          <w:lang w:val="en-GB"/>
        </w:rPr>
        <w:t xml:space="preserve">with a higher affinity to ACE 2 </w:t>
      </w:r>
      <w:r>
        <w:rPr>
          <w:rFonts w:asciiTheme="minorHAnsi" w:hAnsiTheme="minorHAnsi" w:cstheme="minorHAnsi"/>
          <w:b w:val="0"/>
          <w:color w:val="212121"/>
          <w:sz w:val="22"/>
          <w:szCs w:val="22"/>
          <w:shd w:val="clear" w:color="auto" w:fill="FFFFFF"/>
          <w:lang w:val="en-GB"/>
        </w:rPr>
        <w:t>due to mutations in the spike protein shows increased</w:t>
      </w:r>
      <w:r w:rsidRPr="000637E9">
        <w:rPr>
          <w:rFonts w:asciiTheme="minorHAnsi" w:hAnsiTheme="minorHAnsi" w:cstheme="minorHAnsi"/>
          <w:b w:val="0"/>
          <w:color w:val="212121"/>
          <w:sz w:val="22"/>
          <w:szCs w:val="22"/>
          <w:shd w:val="clear" w:color="auto" w:fill="FFFFFF"/>
          <w:lang w:val="en-GB"/>
        </w:rPr>
        <w:t xml:space="preserve"> </w:t>
      </w:r>
      <w:r>
        <w:rPr>
          <w:rFonts w:asciiTheme="minorHAnsi" w:hAnsiTheme="minorHAnsi" w:cstheme="minorHAnsi"/>
          <w:b w:val="0"/>
          <w:color w:val="212121"/>
          <w:sz w:val="22"/>
          <w:szCs w:val="22"/>
          <w:shd w:val="clear" w:color="auto" w:fill="FFFFFF"/>
          <w:lang w:val="en-GB"/>
        </w:rPr>
        <w:t xml:space="preserve">transmissibility of the virus. </w:t>
      </w:r>
      <w:r w:rsidRPr="00F34EF5">
        <w:rPr>
          <w:rFonts w:asciiTheme="minorHAnsi" w:hAnsiTheme="minorHAnsi" w:cstheme="minorHAnsi"/>
          <w:b w:val="0"/>
          <w:noProof/>
          <w:color w:val="212121"/>
          <w:sz w:val="22"/>
          <w:szCs w:val="22"/>
          <w:shd w:val="clear" w:color="auto" w:fill="FFFFFF"/>
          <w:vertAlign w:val="superscript"/>
          <w:lang w:val="en-GB"/>
        </w:rPr>
        <w:t>46</w:t>
      </w:r>
      <w:r w:rsidRPr="000637E9">
        <w:rPr>
          <w:rFonts w:asciiTheme="minorHAnsi" w:hAnsiTheme="minorHAnsi" w:cstheme="minorHAnsi"/>
          <w:b w:val="0"/>
          <w:color w:val="212121"/>
          <w:sz w:val="22"/>
          <w:szCs w:val="22"/>
          <w:shd w:val="clear" w:color="auto" w:fill="FFFFFF"/>
          <w:lang w:val="en-GB"/>
        </w:rPr>
        <w:t xml:space="preserve"> </w:t>
      </w:r>
      <w:r w:rsidRPr="00876226">
        <w:rPr>
          <w:rFonts w:asciiTheme="minorHAnsi" w:hAnsiTheme="minorHAnsi" w:cstheme="minorHAnsi"/>
          <w:b w:val="0"/>
          <w:sz w:val="22"/>
          <w:szCs w:val="22"/>
          <w:lang w:val="en-GB"/>
        </w:rPr>
        <w:t>Thus, b</w:t>
      </w:r>
      <w:r w:rsidRPr="00876226">
        <w:rPr>
          <w:rFonts w:asciiTheme="minorHAnsi" w:hAnsiTheme="minorHAnsi" w:cstheme="minorHAnsi"/>
          <w:b w:val="0"/>
          <w:color w:val="1C1D1E"/>
          <w:sz w:val="22"/>
          <w:szCs w:val="22"/>
          <w:shd w:val="clear" w:color="auto" w:fill="FFFFFF"/>
          <w:lang w:val="en-GB"/>
        </w:rPr>
        <w:t xml:space="preserve">locking the interaction between ACE2 and RBD interaction would be an essential approach to inhibit the transmission and </w:t>
      </w:r>
      <w:r w:rsidRPr="00876226">
        <w:rPr>
          <w:rFonts w:asciiTheme="minorHAnsi" w:hAnsiTheme="minorHAnsi" w:cstheme="minorHAnsi"/>
          <w:b w:val="0"/>
          <w:sz w:val="22"/>
          <w:szCs w:val="22"/>
          <w:lang w:val="en-GB"/>
        </w:rPr>
        <w:t xml:space="preserve">infection with SARS‐CoV‐2 </w:t>
      </w:r>
      <w:r w:rsidRPr="00F34EF5">
        <w:rPr>
          <w:rFonts w:asciiTheme="minorHAnsi" w:hAnsiTheme="minorHAnsi" w:cstheme="minorHAnsi"/>
          <w:b w:val="0"/>
          <w:noProof/>
          <w:sz w:val="22"/>
          <w:szCs w:val="22"/>
          <w:vertAlign w:val="superscript"/>
          <w:lang w:val="en-GB"/>
        </w:rPr>
        <w:t>41</w:t>
      </w:r>
      <w:r w:rsidRPr="00876226">
        <w:rPr>
          <w:rFonts w:asciiTheme="minorHAnsi" w:hAnsiTheme="minorHAnsi" w:cstheme="minorHAnsi"/>
          <w:b w:val="0"/>
          <w:sz w:val="22"/>
          <w:szCs w:val="22"/>
          <w:lang w:val="en-GB"/>
        </w:rPr>
        <w:t>, and the SARS‐CoV‐2 RBD domain should serve as a central target for conceiving anti‐COVID‐19 therapeutic strategies</w:t>
      </w:r>
      <w:r>
        <w:rPr>
          <w:rFonts w:asciiTheme="minorHAnsi" w:hAnsiTheme="minorHAnsi" w:cstheme="minorHAnsi"/>
          <w:b w:val="0"/>
          <w:sz w:val="22"/>
          <w:szCs w:val="22"/>
          <w:lang w:val="en-GB"/>
        </w:rPr>
        <w:t>.</w:t>
      </w:r>
      <w:r w:rsidRPr="00876226">
        <w:rPr>
          <w:rFonts w:asciiTheme="minorHAnsi" w:hAnsiTheme="minorHAnsi" w:cstheme="minorHAnsi"/>
          <w:b w:val="0"/>
          <w:sz w:val="22"/>
          <w:szCs w:val="22"/>
          <w:lang w:val="en-GB"/>
        </w:rPr>
        <w:t xml:space="preserve"> </w:t>
      </w:r>
      <w:r w:rsidRPr="00F34EF5">
        <w:rPr>
          <w:rFonts w:asciiTheme="minorHAnsi" w:hAnsiTheme="minorHAnsi" w:cstheme="minorHAnsi"/>
          <w:b w:val="0"/>
          <w:noProof/>
          <w:sz w:val="22"/>
          <w:szCs w:val="22"/>
          <w:vertAlign w:val="superscript"/>
          <w:lang w:val="en-GB"/>
        </w:rPr>
        <w:t>47</w:t>
      </w:r>
      <w:r w:rsidRPr="00876226">
        <w:rPr>
          <w:rFonts w:asciiTheme="minorHAnsi" w:hAnsiTheme="minorHAnsi" w:cstheme="minorHAnsi"/>
          <w:b w:val="0"/>
          <w:sz w:val="22"/>
          <w:szCs w:val="22"/>
          <w:lang w:val="en-GB"/>
        </w:rPr>
        <w:t xml:space="preserve"> </w:t>
      </w:r>
    </w:p>
    <w:p w:rsidR="006419BC" w:rsidRPr="00876226" w:rsidRDefault="006419BC" w:rsidP="00D441D2">
      <w:pPr>
        <w:pStyle w:val="berschrift1"/>
        <w:shd w:val="clear" w:color="auto" w:fill="FFFFFF"/>
        <w:spacing w:line="480" w:lineRule="auto"/>
        <w:jc w:val="both"/>
        <w:rPr>
          <w:rFonts w:asciiTheme="minorHAnsi" w:hAnsiTheme="minorHAnsi" w:cstheme="minorHAnsi"/>
          <w:b w:val="0"/>
          <w:color w:val="000000" w:themeColor="text1"/>
          <w:sz w:val="22"/>
          <w:szCs w:val="22"/>
          <w:shd w:val="clear" w:color="auto" w:fill="FFFFFF"/>
          <w:lang w:val="en-GB"/>
        </w:rPr>
      </w:pPr>
      <w:r w:rsidRPr="00876226">
        <w:rPr>
          <w:rFonts w:asciiTheme="minorHAnsi" w:hAnsiTheme="minorHAnsi" w:cstheme="minorHAnsi"/>
          <w:b w:val="0"/>
          <w:color w:val="1C1D1E"/>
          <w:sz w:val="22"/>
          <w:szCs w:val="22"/>
          <w:shd w:val="clear" w:color="auto" w:fill="FFFFFF"/>
          <w:lang w:val="en-GB"/>
        </w:rPr>
        <w:t xml:space="preserve">Additional factors </w:t>
      </w:r>
      <w:r>
        <w:rPr>
          <w:rFonts w:asciiTheme="minorHAnsi" w:hAnsiTheme="minorHAnsi" w:cstheme="minorHAnsi"/>
          <w:b w:val="0"/>
          <w:color w:val="1C1D1E"/>
          <w:sz w:val="22"/>
          <w:szCs w:val="22"/>
          <w:shd w:val="clear" w:color="auto" w:fill="FFFFFF"/>
          <w:lang w:val="en-GB"/>
        </w:rPr>
        <w:t xml:space="preserve">expressed among others in pancreatic beta-cells </w:t>
      </w:r>
      <w:r w:rsidRPr="00876226">
        <w:rPr>
          <w:rFonts w:asciiTheme="minorHAnsi" w:hAnsiTheme="minorHAnsi" w:cstheme="minorHAnsi"/>
          <w:b w:val="0"/>
          <w:color w:val="1C1D1E"/>
          <w:sz w:val="22"/>
          <w:szCs w:val="22"/>
          <w:shd w:val="clear" w:color="auto" w:fill="FFFFFF"/>
          <w:lang w:val="en-GB"/>
        </w:rPr>
        <w:t>were identified to be critical for infection with SARS-CoV-2 (Fig. 1B)</w:t>
      </w:r>
      <w:r>
        <w:rPr>
          <w:rFonts w:asciiTheme="minorHAnsi" w:hAnsiTheme="minorHAnsi" w:cstheme="minorHAnsi"/>
          <w:b w:val="0"/>
          <w:color w:val="1C1D1E"/>
          <w:sz w:val="22"/>
          <w:szCs w:val="22"/>
          <w:shd w:val="clear" w:color="auto" w:fill="FFFFFF"/>
          <w:lang w:val="en-GB"/>
        </w:rPr>
        <w:t xml:space="preserve">. </w:t>
      </w:r>
      <w:r w:rsidRPr="00F34EF5">
        <w:rPr>
          <w:rFonts w:asciiTheme="minorHAnsi" w:hAnsiTheme="minorHAnsi" w:cstheme="minorHAnsi"/>
          <w:b w:val="0"/>
          <w:noProof/>
          <w:color w:val="1C1D1E"/>
          <w:sz w:val="22"/>
          <w:szCs w:val="22"/>
          <w:shd w:val="clear" w:color="auto" w:fill="FFFFFF"/>
          <w:vertAlign w:val="superscript"/>
          <w:lang w:val="en-GB"/>
        </w:rPr>
        <w:t>29,30</w:t>
      </w:r>
      <w:r w:rsidRPr="00876226">
        <w:rPr>
          <w:rFonts w:asciiTheme="minorHAnsi" w:hAnsiTheme="minorHAnsi" w:cstheme="minorHAnsi"/>
          <w:b w:val="0"/>
          <w:color w:val="1C1D1E"/>
          <w:sz w:val="22"/>
          <w:szCs w:val="22"/>
          <w:shd w:val="clear" w:color="auto" w:fill="FFFFFF"/>
          <w:lang w:val="en-GB"/>
        </w:rPr>
        <w:t xml:space="preserve"> Neuropilin-1 (NRP1), known to bind furin-cleaved substrates, facilitates SARS-CoV-2 entry and infectivity </w:t>
      </w:r>
      <w:r w:rsidRPr="00F34EF5">
        <w:rPr>
          <w:rFonts w:asciiTheme="minorHAnsi" w:hAnsiTheme="minorHAnsi" w:cstheme="minorHAnsi"/>
          <w:b w:val="0"/>
          <w:noProof/>
          <w:color w:val="1C1D1E"/>
          <w:sz w:val="22"/>
          <w:szCs w:val="22"/>
          <w:shd w:val="clear" w:color="auto" w:fill="FFFFFF"/>
          <w:vertAlign w:val="superscript"/>
          <w:lang w:val="en-GB"/>
        </w:rPr>
        <w:t>48</w:t>
      </w:r>
      <w:r w:rsidRPr="00876226">
        <w:rPr>
          <w:rFonts w:asciiTheme="minorHAnsi" w:hAnsiTheme="minorHAnsi" w:cstheme="minorHAnsi"/>
          <w:b w:val="0"/>
          <w:color w:val="1C1D1E"/>
          <w:sz w:val="22"/>
          <w:szCs w:val="22"/>
          <w:shd w:val="clear" w:color="auto" w:fill="FFFFFF"/>
          <w:lang w:val="en-GB"/>
        </w:rPr>
        <w:t xml:space="preserve"> suggesting that in cells with a low expression of ACE2, virus entry is increased due to promotion of the interaction between SARS-CoV-2 and ACE2 via NRP1. In </w:t>
      </w:r>
      <w:r w:rsidRPr="00876226">
        <w:rPr>
          <w:rFonts w:asciiTheme="minorHAnsi" w:hAnsiTheme="minorHAnsi" w:cstheme="minorHAnsi"/>
          <w:b w:val="0"/>
          <w:color w:val="000000" w:themeColor="text1"/>
          <w:sz w:val="22"/>
          <w:szCs w:val="22"/>
          <w:shd w:val="clear" w:color="auto" w:fill="FFFFFF"/>
          <w:lang w:val="en-GB"/>
        </w:rPr>
        <w:t xml:space="preserve">addition, </w:t>
      </w:r>
      <w:r w:rsidRPr="000637E9">
        <w:rPr>
          <w:rFonts w:asciiTheme="minorHAnsi" w:hAnsiTheme="minorHAnsi" w:cstheme="minorHAnsi"/>
          <w:b w:val="0"/>
          <w:color w:val="000000" w:themeColor="text1"/>
          <w:sz w:val="22"/>
          <w:szCs w:val="22"/>
          <w:shd w:val="clear" w:color="auto" w:fill="FFFFFF"/>
          <w:lang w:val="en-GB"/>
        </w:rPr>
        <w:t>high-mobility-group-protein B1</w:t>
      </w:r>
      <w:r w:rsidRPr="00876226">
        <w:rPr>
          <w:rFonts w:asciiTheme="minorHAnsi" w:hAnsiTheme="minorHAnsi" w:cstheme="minorHAnsi"/>
          <w:b w:val="0"/>
          <w:color w:val="000000" w:themeColor="text1"/>
          <w:sz w:val="22"/>
          <w:szCs w:val="22"/>
          <w:shd w:val="clear" w:color="auto" w:fill="FFFFFF"/>
          <w:lang w:val="en-GB"/>
        </w:rPr>
        <w:t xml:space="preserve"> (HMBG1</w:t>
      </w:r>
      <w:r w:rsidRPr="00876226">
        <w:rPr>
          <w:rFonts w:asciiTheme="minorHAnsi" w:hAnsiTheme="minorHAnsi" w:cstheme="minorHAnsi"/>
          <w:b w:val="0"/>
          <w:color w:val="1C1D1E"/>
          <w:sz w:val="22"/>
          <w:szCs w:val="22"/>
          <w:shd w:val="clear" w:color="auto" w:fill="FFFFFF"/>
          <w:lang w:val="en-GB"/>
        </w:rPr>
        <w:t>), a DNA binding protein regulating chromatin and known to be pro-viral, was shown to regulate the expression of ACE2 and being essential for viral entry</w:t>
      </w:r>
      <w:r>
        <w:rPr>
          <w:rFonts w:asciiTheme="minorHAnsi" w:hAnsiTheme="minorHAnsi" w:cstheme="minorHAnsi"/>
          <w:b w:val="0"/>
          <w:color w:val="1C1D1E"/>
          <w:sz w:val="22"/>
          <w:szCs w:val="22"/>
          <w:shd w:val="clear" w:color="auto" w:fill="FFFFFF"/>
          <w:lang w:val="en-GB"/>
        </w:rPr>
        <w:t>.</w:t>
      </w:r>
      <w:r w:rsidRPr="00876226">
        <w:rPr>
          <w:rFonts w:asciiTheme="minorHAnsi" w:hAnsiTheme="minorHAnsi" w:cstheme="minorHAnsi"/>
          <w:b w:val="0"/>
          <w:color w:val="1C1D1E"/>
          <w:sz w:val="22"/>
          <w:szCs w:val="22"/>
          <w:shd w:val="clear" w:color="auto" w:fill="FFFFFF"/>
          <w:lang w:val="en-GB"/>
        </w:rPr>
        <w:t xml:space="preserve"> </w:t>
      </w:r>
      <w:r w:rsidRPr="00F34EF5">
        <w:rPr>
          <w:rFonts w:asciiTheme="minorHAnsi" w:hAnsiTheme="minorHAnsi" w:cstheme="minorHAnsi"/>
          <w:b w:val="0"/>
          <w:noProof/>
          <w:color w:val="000000" w:themeColor="text1"/>
          <w:sz w:val="22"/>
          <w:szCs w:val="22"/>
          <w:shd w:val="clear" w:color="auto" w:fill="FFFFFF"/>
          <w:vertAlign w:val="superscript"/>
          <w:lang w:val="en-GB"/>
        </w:rPr>
        <w:t>49</w:t>
      </w:r>
      <w:r w:rsidRPr="00876226">
        <w:rPr>
          <w:rFonts w:asciiTheme="minorHAnsi" w:hAnsiTheme="minorHAnsi" w:cstheme="minorHAnsi"/>
          <w:b w:val="0"/>
          <w:color w:val="000000" w:themeColor="text1"/>
          <w:sz w:val="22"/>
          <w:szCs w:val="22"/>
          <w:shd w:val="clear" w:color="auto" w:fill="FFFFFF"/>
          <w:lang w:val="en-GB"/>
        </w:rPr>
        <w:t xml:space="preserve"> Furthermore, HMGB1 is released from necroptotic cells, and systemic levels of TNF</w:t>
      </w:r>
      <w:r>
        <w:rPr>
          <w:rFonts w:asciiTheme="minorHAnsi" w:hAnsiTheme="minorHAnsi" w:cstheme="minorHAnsi"/>
          <w:b w:val="0"/>
          <w:color w:val="000000" w:themeColor="text1"/>
          <w:sz w:val="22"/>
          <w:szCs w:val="22"/>
          <w:shd w:val="clear" w:color="auto" w:fill="FFFFFF"/>
          <w:lang w:val="en-GB"/>
        </w:rPr>
        <w:t>-</w:t>
      </w:r>
      <w:r w:rsidRPr="00876226">
        <w:rPr>
          <w:rFonts w:ascii="Symbol" w:hAnsi="Symbol" w:cstheme="minorHAnsi"/>
          <w:b w:val="0"/>
          <w:color w:val="000000" w:themeColor="text1"/>
          <w:sz w:val="22"/>
          <w:szCs w:val="22"/>
          <w:shd w:val="clear" w:color="auto" w:fill="FFFFFF"/>
          <w:lang w:val="en-GB"/>
        </w:rPr>
        <w:t></w:t>
      </w:r>
      <w:r w:rsidRPr="00876226">
        <w:rPr>
          <w:rFonts w:asciiTheme="minorHAnsi" w:hAnsiTheme="minorHAnsi" w:cstheme="minorHAnsi"/>
          <w:b w:val="0"/>
          <w:color w:val="000000" w:themeColor="text1"/>
          <w:sz w:val="22"/>
          <w:szCs w:val="22"/>
          <w:shd w:val="clear" w:color="auto" w:fill="FFFFFF"/>
          <w:lang w:val="en-GB"/>
        </w:rPr>
        <w:t xml:space="preserve"> and IFN</w:t>
      </w:r>
      <w:r>
        <w:rPr>
          <w:rFonts w:asciiTheme="minorHAnsi" w:hAnsiTheme="minorHAnsi" w:cstheme="minorHAnsi"/>
          <w:b w:val="0"/>
          <w:color w:val="000000" w:themeColor="text1"/>
          <w:sz w:val="22"/>
          <w:szCs w:val="22"/>
          <w:shd w:val="clear" w:color="auto" w:fill="FFFFFF"/>
          <w:lang w:val="en-GB"/>
        </w:rPr>
        <w:t>-</w:t>
      </w:r>
      <w:r w:rsidRPr="00876226">
        <w:rPr>
          <w:rFonts w:ascii="Symbol" w:hAnsi="Symbol" w:cstheme="minorHAnsi"/>
          <w:b w:val="0"/>
          <w:color w:val="000000" w:themeColor="text1"/>
          <w:sz w:val="22"/>
          <w:szCs w:val="22"/>
          <w:shd w:val="clear" w:color="auto" w:fill="FFFFFF"/>
          <w:lang w:val="en-GB"/>
        </w:rPr>
        <w:t></w:t>
      </w:r>
      <w:r w:rsidRPr="00876226">
        <w:rPr>
          <w:rFonts w:asciiTheme="minorHAnsi" w:hAnsiTheme="minorHAnsi" w:cstheme="minorHAnsi"/>
          <w:b w:val="0"/>
          <w:color w:val="000000" w:themeColor="text1"/>
          <w:sz w:val="22"/>
          <w:szCs w:val="22"/>
          <w:shd w:val="clear" w:color="auto" w:fill="FFFFFF"/>
          <w:lang w:val="en-GB"/>
        </w:rPr>
        <w:t xml:space="preserve"> were demonstrated to cause necroptosis in SARS-CoV-2-infected individuals</w:t>
      </w:r>
      <w:r>
        <w:rPr>
          <w:rFonts w:asciiTheme="minorHAnsi" w:hAnsiTheme="minorHAnsi" w:cstheme="minorHAnsi"/>
          <w:b w:val="0"/>
          <w:color w:val="000000" w:themeColor="text1"/>
          <w:sz w:val="22"/>
          <w:szCs w:val="22"/>
          <w:shd w:val="clear" w:color="auto" w:fill="FFFFFF"/>
          <w:lang w:val="en-GB"/>
        </w:rPr>
        <w:t>.</w:t>
      </w:r>
      <w:r w:rsidRPr="00876226">
        <w:rPr>
          <w:rFonts w:asciiTheme="minorHAnsi" w:hAnsiTheme="minorHAnsi" w:cstheme="minorHAnsi"/>
          <w:b w:val="0"/>
          <w:color w:val="000000" w:themeColor="text1"/>
          <w:sz w:val="22"/>
          <w:szCs w:val="22"/>
          <w:shd w:val="clear" w:color="auto" w:fill="FFFFFF"/>
          <w:lang w:val="en-GB"/>
        </w:rPr>
        <w:t xml:space="preserve"> </w:t>
      </w:r>
      <w:r w:rsidRPr="00F34EF5">
        <w:rPr>
          <w:rFonts w:asciiTheme="minorHAnsi" w:hAnsiTheme="minorHAnsi" w:cstheme="minorHAnsi"/>
          <w:b w:val="0"/>
          <w:noProof/>
          <w:color w:val="000000" w:themeColor="text1"/>
          <w:sz w:val="22"/>
          <w:szCs w:val="22"/>
          <w:shd w:val="clear" w:color="auto" w:fill="FFFFFF"/>
          <w:vertAlign w:val="superscript"/>
          <w:lang w:val="en-GB"/>
        </w:rPr>
        <w:t>50</w:t>
      </w:r>
      <w:r w:rsidRPr="00876226">
        <w:rPr>
          <w:rFonts w:asciiTheme="minorHAnsi" w:hAnsiTheme="minorHAnsi" w:cstheme="minorHAnsi"/>
          <w:b w:val="0"/>
          <w:color w:val="000000" w:themeColor="text1"/>
          <w:sz w:val="22"/>
          <w:szCs w:val="22"/>
          <w:shd w:val="clear" w:color="auto" w:fill="FFFFFF"/>
          <w:lang w:val="en-GB"/>
        </w:rPr>
        <w:t xml:space="preserve"> Along similar lines, the key kinase mediator of necroptosis, receptor-interacting protein kinase 3 (RIPK3), is strongly upregulated in patients with severe COVID-19 </w:t>
      </w:r>
      <w:r w:rsidRPr="00F34EF5">
        <w:rPr>
          <w:rFonts w:asciiTheme="minorHAnsi" w:hAnsiTheme="minorHAnsi" w:cstheme="minorHAnsi"/>
          <w:b w:val="0"/>
          <w:noProof/>
          <w:color w:val="000000" w:themeColor="text1"/>
          <w:sz w:val="22"/>
          <w:szCs w:val="22"/>
          <w:shd w:val="clear" w:color="auto" w:fill="FFFFFF"/>
          <w:vertAlign w:val="superscript"/>
          <w:lang w:val="en-GB"/>
        </w:rPr>
        <w:t>51</w:t>
      </w:r>
      <w:r w:rsidRPr="00876226">
        <w:rPr>
          <w:rFonts w:asciiTheme="minorHAnsi" w:hAnsiTheme="minorHAnsi" w:cstheme="minorHAnsi"/>
          <w:b w:val="0"/>
          <w:color w:val="000000" w:themeColor="text1"/>
          <w:sz w:val="22"/>
          <w:szCs w:val="22"/>
          <w:shd w:val="clear" w:color="auto" w:fill="FFFFFF"/>
          <w:lang w:val="en-GB"/>
        </w:rPr>
        <w:t>, suggesting a feed-forward loop of cell death and inflammation</w:t>
      </w:r>
      <w:r>
        <w:rPr>
          <w:rFonts w:asciiTheme="minorHAnsi" w:hAnsiTheme="minorHAnsi" w:cstheme="minorHAnsi"/>
          <w:b w:val="0"/>
          <w:color w:val="000000" w:themeColor="text1"/>
          <w:sz w:val="22"/>
          <w:szCs w:val="22"/>
          <w:shd w:val="clear" w:color="auto" w:fill="FFFFFF"/>
          <w:lang w:val="en-GB"/>
        </w:rPr>
        <w:t>.</w:t>
      </w:r>
      <w:r w:rsidRPr="00876226">
        <w:rPr>
          <w:rFonts w:asciiTheme="minorHAnsi" w:hAnsiTheme="minorHAnsi" w:cstheme="minorHAnsi"/>
          <w:b w:val="0"/>
          <w:color w:val="000000" w:themeColor="text1"/>
          <w:sz w:val="22"/>
          <w:szCs w:val="22"/>
          <w:shd w:val="clear" w:color="auto" w:fill="FFFFFF"/>
          <w:lang w:val="en-GB"/>
        </w:rPr>
        <w:t xml:space="preserve"> </w:t>
      </w:r>
      <w:r w:rsidRPr="00F34EF5">
        <w:rPr>
          <w:rFonts w:asciiTheme="minorHAnsi" w:hAnsiTheme="minorHAnsi" w:cstheme="minorHAnsi"/>
          <w:b w:val="0"/>
          <w:noProof/>
          <w:color w:val="000000" w:themeColor="text1"/>
          <w:sz w:val="22"/>
          <w:szCs w:val="22"/>
          <w:shd w:val="clear" w:color="auto" w:fill="FFFFFF"/>
          <w:vertAlign w:val="superscript"/>
          <w:lang w:val="en-GB"/>
        </w:rPr>
        <w:t>52</w:t>
      </w:r>
      <w:r w:rsidRPr="00876226">
        <w:rPr>
          <w:rFonts w:asciiTheme="minorHAnsi" w:hAnsiTheme="minorHAnsi" w:cstheme="minorHAnsi"/>
          <w:b w:val="0"/>
          <w:color w:val="000000" w:themeColor="text1"/>
          <w:sz w:val="22"/>
          <w:szCs w:val="22"/>
          <w:shd w:val="clear" w:color="auto" w:fill="FFFFFF"/>
          <w:lang w:val="en-GB"/>
        </w:rPr>
        <w:t xml:space="preserve"> In analogy to HMGB1, members of the </w:t>
      </w:r>
      <w:r w:rsidRPr="000637E9">
        <w:rPr>
          <w:rFonts w:asciiTheme="minorHAnsi" w:hAnsiTheme="minorHAnsi" w:cstheme="minorHAnsi"/>
          <w:b w:val="0"/>
          <w:color w:val="000000" w:themeColor="text1"/>
          <w:sz w:val="22"/>
          <w:szCs w:val="22"/>
          <w:shd w:val="clear" w:color="auto" w:fill="FFFFFF"/>
          <w:lang w:val="en-GB"/>
        </w:rPr>
        <w:t>switching defective/sucrose non-fermenting</w:t>
      </w:r>
      <w:r w:rsidRPr="00876226">
        <w:rPr>
          <w:rFonts w:asciiTheme="minorHAnsi" w:hAnsiTheme="minorHAnsi" w:cstheme="minorHAnsi"/>
          <w:b w:val="0"/>
          <w:color w:val="000000" w:themeColor="text1"/>
          <w:sz w:val="22"/>
          <w:szCs w:val="22"/>
          <w:shd w:val="clear" w:color="auto" w:fill="FFFFFF"/>
          <w:lang w:val="en-GB"/>
        </w:rPr>
        <w:t xml:space="preserve"> (SWI/SNF) chromatin-remodelling complex, such as </w:t>
      </w:r>
      <w:r w:rsidRPr="000637E9">
        <w:rPr>
          <w:rFonts w:asciiTheme="minorHAnsi" w:hAnsiTheme="minorHAnsi" w:cstheme="minorHAnsi"/>
          <w:b w:val="0"/>
          <w:color w:val="212121"/>
          <w:sz w:val="22"/>
          <w:szCs w:val="22"/>
          <w:shd w:val="clear" w:color="auto" w:fill="FFFFFF"/>
          <w:lang w:val="en-GB"/>
        </w:rPr>
        <w:t xml:space="preserve">SWI/SNF </w:t>
      </w:r>
      <w:r w:rsidRPr="000637E9">
        <w:rPr>
          <w:rFonts w:asciiTheme="minorHAnsi" w:hAnsiTheme="minorHAnsi" w:cstheme="minorHAnsi"/>
          <w:b w:val="0"/>
          <w:color w:val="000000" w:themeColor="text1"/>
          <w:sz w:val="22"/>
          <w:szCs w:val="22"/>
          <w:shd w:val="clear" w:color="auto" w:fill="FFFFFF"/>
          <w:lang w:val="en-GB"/>
        </w:rPr>
        <w:t>related, matrix associated, actin dependent regulator of chromatin A4 (</w:t>
      </w:r>
      <w:r w:rsidRPr="00876226">
        <w:rPr>
          <w:rFonts w:asciiTheme="minorHAnsi" w:hAnsiTheme="minorHAnsi" w:cstheme="minorHAnsi"/>
          <w:b w:val="0"/>
          <w:color w:val="000000" w:themeColor="text1"/>
          <w:sz w:val="22"/>
          <w:szCs w:val="22"/>
          <w:shd w:val="clear" w:color="auto" w:fill="FFFFFF"/>
          <w:lang w:val="en-GB"/>
        </w:rPr>
        <w:t>SMARCA4), regulate the expression of ACE2</w:t>
      </w:r>
      <w:r>
        <w:rPr>
          <w:rFonts w:asciiTheme="minorHAnsi" w:hAnsiTheme="minorHAnsi" w:cstheme="minorHAnsi"/>
          <w:b w:val="0"/>
          <w:color w:val="000000" w:themeColor="text1"/>
          <w:sz w:val="22"/>
          <w:szCs w:val="22"/>
          <w:shd w:val="clear" w:color="auto" w:fill="FFFFFF"/>
          <w:lang w:val="en-GB"/>
        </w:rPr>
        <w:t xml:space="preserve"> </w:t>
      </w:r>
      <w:r w:rsidRPr="00876226">
        <w:rPr>
          <w:rFonts w:asciiTheme="minorHAnsi" w:hAnsiTheme="minorHAnsi" w:cstheme="minorHAnsi"/>
          <w:b w:val="0"/>
          <w:color w:val="000000" w:themeColor="text1"/>
          <w:sz w:val="22"/>
          <w:szCs w:val="22"/>
          <w:shd w:val="clear" w:color="auto" w:fill="FFFFFF"/>
          <w:lang w:val="en-GB"/>
        </w:rPr>
        <w:t>(Fig. 1B).</w:t>
      </w:r>
      <w:r w:rsidRPr="00876226">
        <w:rPr>
          <w:rFonts w:asciiTheme="minorHAnsi" w:hAnsiTheme="minorHAnsi" w:cstheme="minorHAnsi"/>
          <w:b w:val="0"/>
          <w:color w:val="000000" w:themeColor="text1"/>
          <w:sz w:val="22"/>
          <w:szCs w:val="22"/>
          <w:shd w:val="clear" w:color="auto" w:fill="FFFFFF"/>
          <w:lang w:val="en-GB"/>
        </w:rPr>
        <w:t xml:space="preserve"> </w:t>
      </w:r>
      <w:r w:rsidRPr="00F34EF5">
        <w:rPr>
          <w:rFonts w:asciiTheme="minorHAnsi" w:hAnsiTheme="minorHAnsi" w:cstheme="minorHAnsi"/>
          <w:b w:val="0"/>
          <w:noProof/>
          <w:color w:val="000000" w:themeColor="text1"/>
          <w:sz w:val="22"/>
          <w:szCs w:val="22"/>
          <w:shd w:val="clear" w:color="auto" w:fill="FFFFFF"/>
          <w:vertAlign w:val="superscript"/>
          <w:lang w:val="en-GB"/>
        </w:rPr>
        <w:t>49</w:t>
      </w:r>
      <w:r w:rsidRPr="00876226">
        <w:rPr>
          <w:rFonts w:asciiTheme="minorHAnsi" w:hAnsiTheme="minorHAnsi" w:cstheme="minorHAnsi"/>
          <w:b w:val="0"/>
          <w:color w:val="000000" w:themeColor="text1"/>
          <w:sz w:val="22"/>
          <w:szCs w:val="22"/>
          <w:shd w:val="clear" w:color="auto" w:fill="FFFFFF"/>
          <w:lang w:val="en-GB"/>
        </w:rPr>
        <w:t xml:space="preserve"> Such alternative factors are potential new therapeutic targets for inhibiting SARS-CoV-2 infection. </w:t>
      </w:r>
    </w:p>
    <w:p w:rsidR="006419BC" w:rsidRPr="00876226" w:rsidRDefault="006419BC" w:rsidP="00D441D2">
      <w:pPr>
        <w:pStyle w:val="berschrift1"/>
        <w:shd w:val="clear" w:color="auto" w:fill="FFFFFF"/>
        <w:spacing w:line="480" w:lineRule="auto"/>
        <w:jc w:val="both"/>
        <w:rPr>
          <w:rFonts w:asciiTheme="minorHAnsi" w:hAnsiTheme="minorHAnsi" w:cstheme="minorHAnsi"/>
          <w:b w:val="0"/>
          <w:sz w:val="22"/>
          <w:szCs w:val="22"/>
          <w:lang w:val="en-GB"/>
        </w:rPr>
      </w:pPr>
      <w:r w:rsidRPr="00876226">
        <w:rPr>
          <w:rFonts w:asciiTheme="minorHAnsi" w:hAnsiTheme="minorHAnsi" w:cstheme="minorHAnsi"/>
          <w:b w:val="0"/>
          <w:noProof/>
          <w:color w:val="000000" w:themeColor="text1"/>
          <w:sz w:val="22"/>
          <w:szCs w:val="22"/>
          <w:lang w:val="en-GB"/>
        </w:rPr>
        <w:t>The Middle East respiratory syndrome (MERS</w:t>
      </w:r>
      <w:r w:rsidRPr="00077079">
        <w:rPr>
          <w:rFonts w:asciiTheme="minorHAnsi" w:hAnsiTheme="minorHAnsi" w:cstheme="minorHAnsi"/>
          <w:b w:val="0"/>
          <w:noProof/>
          <w:color w:val="000000" w:themeColor="text1"/>
          <w:sz w:val="22"/>
          <w:szCs w:val="22"/>
          <w:lang w:val="en-GB"/>
        </w:rPr>
        <w:t xml:space="preserve">)-CoV receptor </w:t>
      </w:r>
      <w:r w:rsidRPr="00077079">
        <w:rPr>
          <w:rFonts w:asciiTheme="minorHAnsi" w:hAnsiTheme="minorHAnsi" w:cstheme="minorHAnsi"/>
          <w:b w:val="0"/>
          <w:color w:val="000000" w:themeColor="text1"/>
          <w:sz w:val="22"/>
          <w:szCs w:val="22"/>
          <w:lang w:val="en-GB"/>
        </w:rPr>
        <w:t>dipeptidylpeptidase-4 (</w:t>
      </w:r>
      <w:r w:rsidRPr="00077079">
        <w:rPr>
          <w:rFonts w:asciiTheme="minorHAnsi" w:hAnsiTheme="minorHAnsi" w:cstheme="minorHAnsi"/>
          <w:b w:val="0"/>
          <w:noProof/>
          <w:color w:val="000000" w:themeColor="text1"/>
          <w:sz w:val="22"/>
          <w:szCs w:val="22"/>
          <w:lang w:val="en-GB"/>
        </w:rPr>
        <w:t>DPP4) has also been suggested as an alternative receptor for SARS-CoV-2</w:t>
      </w:r>
      <w:r>
        <w:rPr>
          <w:rFonts w:asciiTheme="minorHAnsi" w:hAnsiTheme="minorHAnsi" w:cstheme="minorHAnsi"/>
          <w:b w:val="0"/>
          <w:noProof/>
          <w:color w:val="000000" w:themeColor="text1"/>
          <w:sz w:val="22"/>
          <w:szCs w:val="22"/>
          <w:lang w:val="en-GB"/>
        </w:rPr>
        <w:t>.</w:t>
      </w:r>
      <w:r w:rsidRPr="00077079">
        <w:rPr>
          <w:rFonts w:asciiTheme="minorHAnsi" w:hAnsiTheme="minorHAnsi" w:cstheme="minorHAnsi"/>
          <w:b w:val="0"/>
          <w:noProof/>
          <w:color w:val="000000" w:themeColor="text1"/>
          <w:sz w:val="22"/>
          <w:szCs w:val="22"/>
          <w:lang w:val="en-GB"/>
        </w:rPr>
        <w:t xml:space="preserve"> </w:t>
      </w:r>
      <w:r w:rsidRPr="00F34EF5">
        <w:rPr>
          <w:rFonts w:asciiTheme="minorHAnsi" w:hAnsiTheme="minorHAnsi" w:cstheme="minorHAnsi"/>
          <w:b w:val="0"/>
          <w:noProof/>
          <w:color w:val="000000" w:themeColor="text1"/>
          <w:sz w:val="22"/>
          <w:szCs w:val="22"/>
          <w:vertAlign w:val="superscript"/>
          <w:lang w:val="en-GB"/>
        </w:rPr>
        <w:t>53</w:t>
      </w:r>
      <w:r>
        <w:rPr>
          <w:rFonts w:asciiTheme="minorHAnsi" w:hAnsiTheme="minorHAnsi" w:cstheme="minorHAnsi"/>
          <w:b w:val="0"/>
          <w:noProof/>
          <w:color w:val="000000" w:themeColor="text1"/>
          <w:sz w:val="22"/>
          <w:szCs w:val="22"/>
          <w:lang w:val="en-GB"/>
        </w:rPr>
        <w:t xml:space="preserve"> DPP4</w:t>
      </w:r>
      <w:r w:rsidRPr="00876226">
        <w:rPr>
          <w:rFonts w:asciiTheme="minorHAnsi" w:hAnsiTheme="minorHAnsi" w:cstheme="minorHAnsi"/>
          <w:b w:val="0"/>
          <w:noProof/>
          <w:color w:val="000000" w:themeColor="text1"/>
          <w:sz w:val="22"/>
          <w:szCs w:val="22"/>
          <w:lang w:val="en-GB"/>
        </w:rPr>
        <w:t xml:space="preserve"> has previously been shown to be expressed by cells of the immune system as well as on epithelial and endothelial</w:t>
      </w:r>
      <w:r w:rsidRPr="00077079">
        <w:rPr>
          <w:rFonts w:asciiTheme="minorHAnsi" w:hAnsiTheme="minorHAnsi" w:cstheme="minorHAnsi"/>
          <w:b w:val="0"/>
          <w:noProof/>
          <w:color w:val="000000" w:themeColor="text1"/>
          <w:sz w:val="22"/>
          <w:szCs w:val="22"/>
          <w:lang w:val="en-GB"/>
        </w:rPr>
        <w:t xml:space="preserve"> cells in pancreas, lung, </w:t>
      </w:r>
      <w:r w:rsidRPr="00077079">
        <w:rPr>
          <w:rFonts w:asciiTheme="minorHAnsi" w:hAnsiTheme="minorHAnsi" w:cstheme="minorHAnsi"/>
          <w:b w:val="0"/>
          <w:noProof/>
          <w:color w:val="000000" w:themeColor="text1"/>
          <w:sz w:val="22"/>
          <w:szCs w:val="22"/>
          <w:lang w:val="en-GB"/>
        </w:rPr>
        <w:lastRenderedPageBreak/>
        <w:t xml:space="preserve">and kidney </w:t>
      </w:r>
      <w:r w:rsidRPr="00F34EF5">
        <w:rPr>
          <w:rFonts w:asciiTheme="minorHAnsi" w:hAnsiTheme="minorHAnsi" w:cstheme="minorHAnsi"/>
          <w:b w:val="0"/>
          <w:noProof/>
          <w:color w:val="000000" w:themeColor="text1"/>
          <w:sz w:val="22"/>
          <w:szCs w:val="22"/>
          <w:vertAlign w:val="superscript"/>
          <w:lang w:val="en-GB"/>
        </w:rPr>
        <w:t>54</w:t>
      </w:r>
      <w:r>
        <w:rPr>
          <w:rFonts w:asciiTheme="minorHAnsi" w:hAnsiTheme="minorHAnsi" w:cstheme="minorHAnsi"/>
          <w:b w:val="0"/>
          <w:noProof/>
          <w:color w:val="000000" w:themeColor="text1"/>
          <w:sz w:val="22"/>
          <w:szCs w:val="22"/>
          <w:lang w:val="en-GB"/>
        </w:rPr>
        <w:t>, and we have</w:t>
      </w:r>
      <w:r w:rsidRPr="00876226">
        <w:rPr>
          <w:rFonts w:asciiTheme="minorHAnsi" w:hAnsiTheme="minorHAnsi" w:cstheme="minorHAnsi"/>
          <w:b w:val="0"/>
          <w:noProof/>
          <w:color w:val="000000" w:themeColor="text1"/>
          <w:sz w:val="22"/>
          <w:szCs w:val="22"/>
          <w:lang w:val="en-GB"/>
        </w:rPr>
        <w:t xml:space="preserve"> shown that DPP4 is expressed in both the exocrine and endocrine pancreas</w:t>
      </w:r>
      <w:r>
        <w:rPr>
          <w:rFonts w:asciiTheme="minorHAnsi" w:hAnsiTheme="minorHAnsi" w:cstheme="minorHAnsi"/>
          <w:b w:val="0"/>
          <w:noProof/>
          <w:color w:val="000000" w:themeColor="text1"/>
          <w:sz w:val="22"/>
          <w:szCs w:val="22"/>
          <w:lang w:val="en-GB"/>
        </w:rPr>
        <w:t>.</w:t>
      </w:r>
      <w:r w:rsidRPr="00876226">
        <w:rPr>
          <w:rFonts w:asciiTheme="minorHAnsi" w:hAnsiTheme="minorHAnsi" w:cstheme="minorHAnsi"/>
          <w:b w:val="0"/>
          <w:noProof/>
          <w:color w:val="000000" w:themeColor="text1"/>
          <w:sz w:val="22"/>
          <w:szCs w:val="22"/>
          <w:lang w:val="en-GB"/>
        </w:rPr>
        <w:t xml:space="preserve"> </w:t>
      </w:r>
      <w:r w:rsidRPr="00F34EF5">
        <w:rPr>
          <w:rFonts w:asciiTheme="minorHAnsi" w:hAnsiTheme="minorHAnsi" w:cstheme="minorHAnsi"/>
          <w:b w:val="0"/>
          <w:noProof/>
          <w:color w:val="000000" w:themeColor="text1"/>
          <w:sz w:val="22"/>
          <w:szCs w:val="22"/>
          <w:vertAlign w:val="superscript"/>
          <w:lang w:val="en-GB"/>
        </w:rPr>
        <w:t>30</w:t>
      </w:r>
      <w:r w:rsidRPr="00876226">
        <w:rPr>
          <w:rFonts w:asciiTheme="minorHAnsi" w:hAnsiTheme="minorHAnsi" w:cstheme="minorHAnsi"/>
          <w:b w:val="0"/>
          <w:noProof/>
          <w:color w:val="000000" w:themeColor="text1"/>
          <w:sz w:val="22"/>
          <w:szCs w:val="22"/>
          <w:lang w:val="en-GB"/>
        </w:rPr>
        <w:t xml:space="preserve"> DPP4 is an aminopeptidase playing a critical role in glucose metabolism and DPP4 in</w:t>
      </w:r>
      <w:r w:rsidRPr="00077079">
        <w:rPr>
          <w:rFonts w:asciiTheme="minorHAnsi" w:hAnsiTheme="minorHAnsi" w:cstheme="minorHAnsi"/>
          <w:b w:val="0"/>
          <w:noProof/>
          <w:color w:val="000000" w:themeColor="text1"/>
          <w:sz w:val="22"/>
          <w:szCs w:val="22"/>
          <w:lang w:val="en-GB"/>
        </w:rPr>
        <w:t xml:space="preserve">hibitors are widely used for the treatment of </w:t>
      </w:r>
      <w:r w:rsidRPr="00277BE8">
        <w:rPr>
          <w:rFonts w:asciiTheme="minorHAnsi" w:hAnsiTheme="minorHAnsi" w:cstheme="minorHAnsi"/>
          <w:b w:val="0"/>
          <w:noProof/>
          <w:color w:val="000000" w:themeColor="text1"/>
          <w:sz w:val="22"/>
          <w:szCs w:val="22"/>
          <w:lang w:val="en-GB"/>
        </w:rPr>
        <w:t>type 2 diabetes</w:t>
      </w:r>
      <w:r>
        <w:rPr>
          <w:rFonts w:asciiTheme="minorHAnsi" w:hAnsiTheme="minorHAnsi" w:cstheme="minorHAnsi"/>
          <w:b w:val="0"/>
          <w:noProof/>
          <w:color w:val="000000" w:themeColor="text1"/>
          <w:sz w:val="22"/>
          <w:szCs w:val="22"/>
          <w:lang w:val="en-GB"/>
        </w:rPr>
        <w:t>.</w:t>
      </w:r>
      <w:r w:rsidRPr="00277BE8">
        <w:rPr>
          <w:rFonts w:asciiTheme="minorHAnsi" w:hAnsiTheme="minorHAnsi" w:cstheme="minorHAnsi"/>
          <w:b w:val="0"/>
          <w:noProof/>
          <w:color w:val="000000" w:themeColor="text1"/>
          <w:sz w:val="22"/>
          <w:szCs w:val="22"/>
          <w:lang w:val="en-GB"/>
        </w:rPr>
        <w:t xml:space="preserve"> </w:t>
      </w:r>
      <w:r w:rsidRPr="00F34EF5">
        <w:rPr>
          <w:rFonts w:asciiTheme="minorHAnsi" w:hAnsiTheme="minorHAnsi" w:cstheme="minorHAnsi"/>
          <w:b w:val="0"/>
          <w:noProof/>
          <w:color w:val="000000" w:themeColor="text1"/>
          <w:sz w:val="22"/>
          <w:szCs w:val="22"/>
          <w:vertAlign w:val="superscript"/>
          <w:lang w:val="en-GB"/>
        </w:rPr>
        <w:t>55</w:t>
      </w:r>
      <w:r w:rsidRPr="00876226">
        <w:rPr>
          <w:rFonts w:asciiTheme="minorHAnsi" w:hAnsiTheme="minorHAnsi" w:cstheme="minorHAnsi"/>
          <w:b w:val="0"/>
          <w:noProof/>
          <w:color w:val="000000" w:themeColor="text1"/>
          <w:sz w:val="22"/>
          <w:szCs w:val="22"/>
          <w:lang w:val="en-GB"/>
        </w:rPr>
        <w:t xml:space="preserve"> First reports did not show clinical evidence that drugs targeting DPP4-related pathways exhibit any benefits or harm in relation to human coronavirus infections</w:t>
      </w:r>
      <w:r>
        <w:rPr>
          <w:rFonts w:asciiTheme="minorHAnsi" w:hAnsiTheme="minorHAnsi" w:cstheme="minorHAnsi"/>
          <w:b w:val="0"/>
          <w:noProof/>
          <w:color w:val="000000" w:themeColor="text1"/>
          <w:sz w:val="22"/>
          <w:szCs w:val="22"/>
          <w:lang w:val="en-GB"/>
        </w:rPr>
        <w:t>.</w:t>
      </w:r>
      <w:r w:rsidRPr="00876226">
        <w:rPr>
          <w:rFonts w:asciiTheme="minorHAnsi" w:hAnsiTheme="minorHAnsi" w:cstheme="minorHAnsi"/>
          <w:b w:val="0"/>
          <w:noProof/>
          <w:color w:val="000000" w:themeColor="text1"/>
          <w:sz w:val="22"/>
          <w:szCs w:val="22"/>
          <w:lang w:val="en-GB"/>
        </w:rPr>
        <w:t xml:space="preserve"> </w:t>
      </w:r>
      <w:r w:rsidRPr="00F34EF5">
        <w:rPr>
          <w:rFonts w:asciiTheme="minorHAnsi" w:hAnsiTheme="minorHAnsi" w:cstheme="minorHAnsi"/>
          <w:b w:val="0"/>
          <w:noProof/>
          <w:color w:val="000000" w:themeColor="text1"/>
          <w:sz w:val="22"/>
          <w:szCs w:val="22"/>
          <w:vertAlign w:val="superscript"/>
          <w:lang w:val="en-GB"/>
        </w:rPr>
        <w:t>56</w:t>
      </w:r>
      <w:r w:rsidRPr="00876226">
        <w:rPr>
          <w:rFonts w:asciiTheme="minorHAnsi" w:hAnsiTheme="minorHAnsi" w:cstheme="minorHAnsi"/>
          <w:b w:val="0"/>
          <w:noProof/>
          <w:color w:val="000000" w:themeColor="text1"/>
          <w:sz w:val="22"/>
          <w:szCs w:val="22"/>
          <w:lang w:val="en-GB"/>
        </w:rPr>
        <w:t xml:space="preserve"> However, a later study with 2·8 million people showed worse outcomes though probably due to conf</w:t>
      </w:r>
      <w:r>
        <w:rPr>
          <w:rFonts w:asciiTheme="minorHAnsi" w:hAnsiTheme="minorHAnsi" w:cstheme="minorHAnsi"/>
          <w:b w:val="0"/>
          <w:noProof/>
          <w:color w:val="000000" w:themeColor="text1"/>
          <w:sz w:val="22"/>
          <w:szCs w:val="22"/>
          <w:lang w:val="en-GB"/>
        </w:rPr>
        <w:t>oun</w:t>
      </w:r>
      <w:r w:rsidRPr="00876226">
        <w:rPr>
          <w:rFonts w:asciiTheme="minorHAnsi" w:hAnsiTheme="minorHAnsi" w:cstheme="minorHAnsi"/>
          <w:b w:val="0"/>
          <w:noProof/>
          <w:color w:val="000000" w:themeColor="text1"/>
          <w:sz w:val="22"/>
          <w:szCs w:val="22"/>
          <w:lang w:val="en-GB"/>
        </w:rPr>
        <w:t>ding by indication</w:t>
      </w:r>
      <w:r>
        <w:rPr>
          <w:rFonts w:asciiTheme="minorHAnsi" w:hAnsiTheme="minorHAnsi" w:cstheme="minorHAnsi"/>
          <w:b w:val="0"/>
          <w:noProof/>
          <w:color w:val="000000" w:themeColor="text1"/>
          <w:sz w:val="22"/>
          <w:szCs w:val="22"/>
          <w:lang w:val="en-GB"/>
        </w:rPr>
        <w:t>.</w:t>
      </w:r>
      <w:r w:rsidRPr="00876226">
        <w:rPr>
          <w:rFonts w:asciiTheme="minorHAnsi" w:hAnsiTheme="minorHAnsi" w:cstheme="minorHAnsi"/>
          <w:b w:val="0"/>
          <w:noProof/>
          <w:color w:val="000000" w:themeColor="text1"/>
          <w:sz w:val="22"/>
          <w:szCs w:val="22"/>
          <w:lang w:val="en-GB"/>
        </w:rPr>
        <w:t xml:space="preserve"> </w:t>
      </w:r>
      <w:r w:rsidRPr="00F34EF5">
        <w:rPr>
          <w:rFonts w:asciiTheme="minorHAnsi" w:hAnsiTheme="minorHAnsi" w:cstheme="minorHAnsi"/>
          <w:b w:val="0"/>
          <w:noProof/>
          <w:color w:val="000000" w:themeColor="text1"/>
          <w:sz w:val="22"/>
          <w:szCs w:val="22"/>
          <w:vertAlign w:val="superscript"/>
          <w:lang w:val="en-GB"/>
        </w:rPr>
        <w:t>57</w:t>
      </w:r>
      <w:r w:rsidRPr="00876226">
        <w:rPr>
          <w:rFonts w:asciiTheme="minorHAnsi" w:hAnsiTheme="minorHAnsi" w:cstheme="minorHAnsi"/>
          <w:b w:val="0"/>
          <w:noProof/>
          <w:color w:val="000000" w:themeColor="text1"/>
          <w:sz w:val="22"/>
          <w:szCs w:val="22"/>
          <w:lang w:val="en-GB"/>
        </w:rPr>
        <w:t xml:space="preserve"> Recent reports suggest a better clinical </w:t>
      </w:r>
      <w:r w:rsidRPr="00876226">
        <w:rPr>
          <w:rFonts w:asciiTheme="minorHAnsi" w:hAnsiTheme="minorHAnsi" w:cstheme="minorHAnsi"/>
          <w:b w:val="0"/>
          <w:noProof/>
          <w:sz w:val="22"/>
          <w:szCs w:val="22"/>
          <w:lang w:val="en-GB"/>
        </w:rPr>
        <w:t xml:space="preserve">outcome and a reduced mortality of COVID-19 </w:t>
      </w:r>
      <w:r w:rsidRPr="00077079">
        <w:rPr>
          <w:rFonts w:asciiTheme="minorHAnsi" w:hAnsiTheme="minorHAnsi" w:cstheme="minorHAnsi"/>
          <w:b w:val="0"/>
          <w:noProof/>
          <w:sz w:val="22"/>
          <w:szCs w:val="22"/>
          <w:lang w:val="en-GB"/>
        </w:rPr>
        <w:t>infected</w:t>
      </w:r>
      <w:r w:rsidRPr="00277BE8">
        <w:rPr>
          <w:rFonts w:asciiTheme="minorHAnsi" w:hAnsiTheme="minorHAnsi" w:cstheme="minorHAnsi"/>
          <w:b w:val="0"/>
          <w:noProof/>
          <w:sz w:val="22"/>
          <w:szCs w:val="22"/>
          <w:lang w:val="en-GB"/>
        </w:rPr>
        <w:t xml:space="preserve"> patients with diabetes mellitus receiving DPP4 inhibitors</w:t>
      </w:r>
      <w:r>
        <w:rPr>
          <w:rFonts w:asciiTheme="minorHAnsi" w:hAnsiTheme="minorHAnsi" w:cstheme="minorHAnsi"/>
          <w:b w:val="0"/>
          <w:noProof/>
          <w:sz w:val="22"/>
          <w:szCs w:val="22"/>
          <w:lang w:val="en-GB"/>
        </w:rPr>
        <w:t xml:space="preserve"> </w:t>
      </w:r>
      <w:r w:rsidRPr="00876226">
        <w:rPr>
          <w:rFonts w:asciiTheme="minorHAnsi" w:hAnsiTheme="minorHAnsi" w:cstheme="minorHAnsi"/>
          <w:b w:val="0"/>
          <w:noProof/>
          <w:sz w:val="22"/>
          <w:szCs w:val="22"/>
          <w:lang w:val="en-GB"/>
        </w:rPr>
        <w:t xml:space="preserve">(Table 1). </w:t>
      </w:r>
      <w:r w:rsidRPr="00277BE8">
        <w:rPr>
          <w:rFonts w:asciiTheme="minorHAnsi" w:hAnsiTheme="minorHAnsi" w:cstheme="minorHAnsi"/>
          <w:b w:val="0"/>
          <w:noProof/>
          <w:sz w:val="22"/>
          <w:szCs w:val="22"/>
          <w:lang w:val="en-GB"/>
        </w:rPr>
        <w:t xml:space="preserve"> </w:t>
      </w:r>
      <w:r w:rsidRPr="00F34EF5">
        <w:rPr>
          <w:rFonts w:asciiTheme="minorHAnsi" w:hAnsiTheme="minorHAnsi" w:cstheme="minorHAnsi"/>
          <w:b w:val="0"/>
          <w:noProof/>
          <w:sz w:val="22"/>
          <w:szCs w:val="22"/>
          <w:vertAlign w:val="superscript"/>
          <w:lang w:val="en-GB"/>
        </w:rPr>
        <w:t>58,59</w:t>
      </w:r>
      <w:r w:rsidRPr="00876226">
        <w:rPr>
          <w:rFonts w:asciiTheme="minorHAnsi" w:hAnsiTheme="minorHAnsi" w:cstheme="minorHAnsi"/>
          <w:b w:val="0"/>
          <w:noProof/>
          <w:sz w:val="22"/>
          <w:szCs w:val="22"/>
          <w:lang w:val="en-GB"/>
        </w:rPr>
        <w:t xml:space="preserve"> </w:t>
      </w:r>
      <w:r>
        <w:rPr>
          <w:rFonts w:asciiTheme="minorHAnsi" w:hAnsiTheme="minorHAnsi" w:cstheme="minorHAnsi"/>
          <w:b w:val="0"/>
          <w:noProof/>
          <w:sz w:val="22"/>
          <w:szCs w:val="22"/>
          <w:lang w:val="en-GB"/>
        </w:rPr>
        <w:t>These contradictory results from observatory studies draw the attention to the importance of properly designed randomised, double-blind, placebo-controlled clinical trials in order to ascertain a potential benefit.</w:t>
      </w:r>
    </w:p>
    <w:p w:rsidR="006419BC" w:rsidRPr="00B25D96" w:rsidRDefault="006419BC" w:rsidP="003B0D0B">
      <w:pPr>
        <w:spacing w:line="480" w:lineRule="auto"/>
        <w:rPr>
          <w:rFonts w:cstheme="minorHAnsi"/>
          <w:lang w:val="en-GB"/>
        </w:rPr>
      </w:pPr>
    </w:p>
    <w:p w:rsidR="006419BC" w:rsidRPr="00812349" w:rsidRDefault="006419BC" w:rsidP="003B0D0B">
      <w:pPr>
        <w:spacing w:line="480" w:lineRule="auto"/>
        <w:rPr>
          <w:rFonts w:cstheme="minorHAnsi"/>
          <w:b/>
          <w:lang w:val="en-GB"/>
        </w:rPr>
      </w:pPr>
      <w:r w:rsidRPr="00812349">
        <w:rPr>
          <w:rFonts w:cstheme="minorHAnsi"/>
          <w:b/>
          <w:lang w:val="en-GB"/>
        </w:rPr>
        <w:t>How do metabolic and endocrine diseases predispose for severe COVID-19 outcomes?</w:t>
      </w:r>
    </w:p>
    <w:p w:rsidR="006419BC" w:rsidRPr="00876226" w:rsidRDefault="006419BC" w:rsidP="00B25153">
      <w:pPr>
        <w:autoSpaceDE w:val="0"/>
        <w:autoSpaceDN w:val="0"/>
        <w:adjustRightInd w:val="0"/>
        <w:spacing w:after="240" w:line="480" w:lineRule="auto"/>
        <w:jc w:val="both"/>
        <w:rPr>
          <w:rFonts w:cstheme="minorHAnsi"/>
          <w:color w:val="000000"/>
          <w:lang w:val="en-GB" w:eastAsia="de-DE"/>
        </w:rPr>
      </w:pPr>
      <w:r w:rsidRPr="00CE5F70">
        <w:rPr>
          <w:rFonts w:cstheme="minorHAnsi"/>
          <w:color w:val="000000"/>
          <w:lang w:val="en-GB" w:eastAsia="de-DE"/>
        </w:rPr>
        <w:t>Excess adiposity is a risk factor for severe COVID-19 and mortality though a number of mechanisms including increased inflammation, hypercoagulation and mechanical obstruction</w:t>
      </w:r>
      <w:r>
        <w:rPr>
          <w:rFonts w:cstheme="minorHAnsi"/>
          <w:color w:val="000000"/>
          <w:lang w:val="en-GB" w:eastAsia="de-DE"/>
        </w:rPr>
        <w:t>.</w:t>
      </w:r>
      <w:r w:rsidRPr="00CE5F70">
        <w:rPr>
          <w:rFonts w:cstheme="minorHAnsi"/>
          <w:color w:val="000000"/>
          <w:lang w:val="en-GB" w:eastAsia="de-DE"/>
        </w:rPr>
        <w:t xml:space="preserve"> </w:t>
      </w:r>
      <w:r w:rsidRPr="00F34EF5">
        <w:rPr>
          <w:rFonts w:cstheme="minorHAnsi"/>
          <w:noProof/>
          <w:color w:val="000000"/>
          <w:vertAlign w:val="superscript"/>
          <w:lang w:val="en-GB" w:eastAsia="de-DE"/>
        </w:rPr>
        <w:t>60</w:t>
      </w:r>
      <w:r w:rsidRPr="00876226">
        <w:rPr>
          <w:rFonts w:cstheme="minorHAnsi"/>
          <w:color w:val="000000"/>
          <w:lang w:val="en-GB" w:eastAsia="de-DE"/>
        </w:rPr>
        <w:t xml:space="preserve"> One explanation </w:t>
      </w:r>
      <w:r w:rsidRPr="00B25D96">
        <w:rPr>
          <w:rFonts w:cstheme="minorHAnsi"/>
          <w:color w:val="000000"/>
          <w:lang w:val="en-GB" w:eastAsia="de-DE"/>
        </w:rPr>
        <w:t xml:space="preserve">for the predisposition to poor outcomes in severe COVID-19 may be the physical stress on ventilation by obstructing diaphragm excursion. </w:t>
      </w:r>
      <w:r w:rsidRPr="00812349">
        <w:rPr>
          <w:rFonts w:cstheme="minorHAnsi"/>
          <w:color w:val="000000"/>
          <w:lang w:val="en-GB" w:eastAsia="de-DE"/>
        </w:rPr>
        <w:t>Furthermore, both diabetes and obesity are associated with an increased risk of pulmonary fibrosis, chronic obstructive pulmonary disorder and reduced respiratory function</w:t>
      </w:r>
      <w:r>
        <w:rPr>
          <w:rFonts w:cstheme="minorHAnsi"/>
          <w:color w:val="000000"/>
          <w:lang w:val="en-GB" w:eastAsia="de-DE"/>
        </w:rPr>
        <w:t>.</w:t>
      </w:r>
      <w:r w:rsidRPr="00812349">
        <w:rPr>
          <w:rFonts w:cstheme="minorHAnsi"/>
          <w:color w:val="000000"/>
          <w:lang w:val="en-GB" w:eastAsia="de-DE"/>
        </w:rPr>
        <w:t xml:space="preserve"> </w:t>
      </w:r>
      <w:r w:rsidRPr="00F34EF5">
        <w:rPr>
          <w:rFonts w:cstheme="minorHAnsi"/>
          <w:noProof/>
          <w:color w:val="000000"/>
          <w:vertAlign w:val="superscript"/>
          <w:lang w:val="en-GB" w:eastAsia="de-DE"/>
        </w:rPr>
        <w:t>61</w:t>
      </w:r>
      <w:r w:rsidRPr="00876226">
        <w:rPr>
          <w:rFonts w:cstheme="minorHAnsi"/>
          <w:color w:val="000000"/>
          <w:lang w:val="en-GB" w:eastAsia="de-DE"/>
        </w:rPr>
        <w:t xml:space="preserve"> Obesity, diabetes and hypertension increase the risk of stroke and cardiovascular complications </w:t>
      </w:r>
      <w:r>
        <w:rPr>
          <w:rFonts w:cstheme="minorHAnsi"/>
          <w:noProof/>
          <w:color w:val="000000"/>
          <w:vertAlign w:val="superscript"/>
          <w:lang w:val="en-GB" w:eastAsia="de-DE"/>
        </w:rPr>
        <w:t>62</w:t>
      </w:r>
      <w:r w:rsidRPr="00876226">
        <w:rPr>
          <w:rFonts w:cstheme="minorHAnsi"/>
          <w:color w:val="000000"/>
          <w:lang w:val="en-GB" w:eastAsia="de-DE"/>
        </w:rPr>
        <w:t>, risk factors also observed in severe COVID-19</w:t>
      </w:r>
      <w:r w:rsidRPr="00077079">
        <w:rPr>
          <w:rFonts w:cstheme="minorHAnsi"/>
          <w:color w:val="000000"/>
          <w:lang w:val="en-GB" w:eastAsia="de-DE"/>
        </w:rPr>
        <w:t xml:space="preserve"> (Fig</w:t>
      </w:r>
      <w:r w:rsidRPr="00277BE8">
        <w:rPr>
          <w:rFonts w:cstheme="minorHAnsi"/>
          <w:color w:val="000000"/>
          <w:lang w:val="en-GB" w:eastAsia="de-DE"/>
        </w:rPr>
        <w:t xml:space="preserve">. 2). These patients exhibit an exacerbated coagulation response due to overexpression of </w:t>
      </w:r>
      <w:r w:rsidRPr="000637E9">
        <w:rPr>
          <w:rFonts w:cstheme="minorHAnsi"/>
          <w:color w:val="212121"/>
          <w:shd w:val="clear" w:color="auto" w:fill="FFFFFF"/>
          <w:lang w:val="en-GB"/>
        </w:rPr>
        <w:t>pro</w:t>
      </w:r>
      <w:r>
        <w:rPr>
          <w:rFonts w:cstheme="minorHAnsi"/>
          <w:color w:val="212121"/>
          <w:shd w:val="clear" w:color="auto" w:fill="FFFFFF"/>
          <w:lang w:val="en-GB"/>
        </w:rPr>
        <w:t>-</w:t>
      </w:r>
      <w:r w:rsidRPr="000637E9">
        <w:rPr>
          <w:rFonts w:cstheme="minorHAnsi"/>
          <w:color w:val="212121"/>
          <w:shd w:val="clear" w:color="auto" w:fill="FFFFFF"/>
          <w:lang w:val="en-GB"/>
        </w:rPr>
        <w:t>thrombotic factors such as coagulation factors (II, VII, VIII, IX, XI, and XII), plasminogen activator inhibitor-1 (PA</w:t>
      </w:r>
      <w:r>
        <w:rPr>
          <w:rFonts w:cstheme="minorHAnsi"/>
          <w:color w:val="212121"/>
          <w:shd w:val="clear" w:color="auto" w:fill="FFFFFF"/>
          <w:lang w:val="en-GB"/>
        </w:rPr>
        <w:t>I-1), and von Willebrand factor</w:t>
      </w:r>
      <w:r w:rsidRPr="00876226">
        <w:rPr>
          <w:rFonts w:cstheme="minorHAnsi"/>
          <w:color w:val="000000"/>
          <w:lang w:val="en-GB" w:eastAsia="de-DE"/>
        </w:rPr>
        <w:t>, which in combination with pre-existing conditions may increase the probability of stroke or pulmonary embolism</w:t>
      </w:r>
      <w:r>
        <w:rPr>
          <w:rFonts w:cstheme="minorHAnsi"/>
          <w:color w:val="000000"/>
          <w:lang w:val="en-GB" w:eastAsia="de-DE"/>
        </w:rPr>
        <w:t>.</w:t>
      </w:r>
      <w:r w:rsidRPr="00876226">
        <w:rPr>
          <w:rFonts w:cstheme="minorHAnsi"/>
          <w:color w:val="000000"/>
          <w:lang w:val="en-GB" w:eastAsia="de-DE"/>
        </w:rPr>
        <w:t xml:space="preserve"> </w:t>
      </w:r>
      <w:r>
        <w:rPr>
          <w:rFonts w:cstheme="minorHAnsi"/>
          <w:noProof/>
          <w:color w:val="000000"/>
          <w:vertAlign w:val="superscript"/>
          <w:lang w:val="en-GB" w:eastAsia="de-DE"/>
        </w:rPr>
        <w:t>3,63,64</w:t>
      </w:r>
    </w:p>
    <w:p w:rsidR="006419BC" w:rsidRPr="00876226" w:rsidRDefault="006419BC" w:rsidP="00446574">
      <w:pPr>
        <w:autoSpaceDE w:val="0"/>
        <w:autoSpaceDN w:val="0"/>
        <w:adjustRightInd w:val="0"/>
        <w:spacing w:after="240" w:line="480" w:lineRule="auto"/>
        <w:jc w:val="both"/>
        <w:rPr>
          <w:rFonts w:cstheme="minorHAnsi"/>
          <w:color w:val="000000"/>
          <w:lang w:val="en-GB" w:eastAsia="de-DE"/>
        </w:rPr>
      </w:pPr>
      <w:r w:rsidRPr="00876226">
        <w:rPr>
          <w:rFonts w:cstheme="minorHAnsi"/>
          <w:color w:val="000000"/>
          <w:lang w:val="en-GB" w:eastAsia="de-DE"/>
        </w:rPr>
        <w:t>Metabolic dysfunction</w:t>
      </w:r>
      <w:r w:rsidRPr="00077079">
        <w:rPr>
          <w:rFonts w:cstheme="minorHAnsi"/>
          <w:color w:val="000000"/>
          <w:lang w:val="en-GB" w:eastAsia="de-DE"/>
        </w:rPr>
        <w:t xml:space="preserve"> may lead to</w:t>
      </w:r>
      <w:r w:rsidRPr="00277BE8">
        <w:rPr>
          <w:rFonts w:cstheme="minorHAnsi"/>
          <w:color w:val="000000"/>
          <w:lang w:val="en-GB" w:eastAsia="de-DE"/>
        </w:rPr>
        <w:t xml:space="preserve"> a baseline state of chronic inflammation, as </w:t>
      </w:r>
      <w:r>
        <w:rPr>
          <w:rFonts w:cstheme="minorHAnsi"/>
          <w:color w:val="000000"/>
          <w:lang w:val="en-GB" w:eastAsia="de-DE"/>
        </w:rPr>
        <w:t>pro-</w:t>
      </w:r>
      <w:r w:rsidRPr="00277BE8">
        <w:rPr>
          <w:rFonts w:cstheme="minorHAnsi"/>
          <w:color w:val="000000"/>
          <w:lang w:val="en-GB" w:eastAsia="de-DE"/>
        </w:rPr>
        <w:t>inflammatory cytokines such as TNF-α, IL-6 and IL-1</w:t>
      </w:r>
      <w:r w:rsidRPr="00B25D96">
        <w:rPr>
          <w:rFonts w:cstheme="minorHAnsi"/>
          <w:color w:val="000000"/>
          <w:lang w:val="en-GB" w:eastAsia="de-DE"/>
        </w:rPr>
        <w:t xml:space="preserve">β are upregulated in adipose tissue of these patients. </w:t>
      </w:r>
      <w:r w:rsidRPr="000637E9">
        <w:rPr>
          <w:rFonts w:cstheme="minorHAnsi"/>
          <w:color w:val="222222"/>
          <w:shd w:val="clear" w:color="auto" w:fill="FFFFFF"/>
          <w:lang w:val="en-GB"/>
        </w:rPr>
        <w:t xml:space="preserve">These </w:t>
      </w:r>
      <w:r w:rsidRPr="000637E9">
        <w:rPr>
          <w:rFonts w:cstheme="minorHAnsi"/>
          <w:color w:val="222222"/>
          <w:shd w:val="clear" w:color="auto" w:fill="FFFFFF"/>
          <w:lang w:val="en-GB"/>
        </w:rPr>
        <w:lastRenderedPageBreak/>
        <w:t xml:space="preserve">cytokines inhibit insulin </w:t>
      </w:r>
      <w:r w:rsidRPr="00710071">
        <w:rPr>
          <w:rFonts w:cstheme="minorHAnsi"/>
          <w:color w:val="222222"/>
          <w:shd w:val="clear" w:color="auto" w:fill="FFFFFF"/>
          <w:lang w:val="en-GB"/>
        </w:rPr>
        <w:t>signalling</w:t>
      </w:r>
      <w:r w:rsidRPr="00E72B59">
        <w:rPr>
          <w:rFonts w:cstheme="minorHAnsi"/>
          <w:color w:val="222222"/>
          <w:shd w:val="clear" w:color="auto" w:fill="FFFFFF"/>
          <w:lang w:val="en-GB"/>
        </w:rPr>
        <w:t xml:space="preserve"> </w:t>
      </w:r>
      <w:r w:rsidRPr="00F34EF5">
        <w:rPr>
          <w:rFonts w:cstheme="minorHAnsi"/>
          <w:noProof/>
          <w:color w:val="222222"/>
          <w:shd w:val="clear" w:color="auto" w:fill="FFFFFF"/>
          <w:vertAlign w:val="superscript"/>
          <w:lang w:val="en-GB"/>
        </w:rPr>
        <w:t>65</w:t>
      </w:r>
      <w:r w:rsidRPr="00CE5F70">
        <w:rPr>
          <w:rFonts w:cstheme="minorHAnsi"/>
          <w:color w:val="222222"/>
          <w:shd w:val="clear" w:color="auto" w:fill="FFFFFF"/>
          <w:lang w:val="en-GB"/>
        </w:rPr>
        <w:t>,</w:t>
      </w:r>
      <w:r w:rsidRPr="00E72B59">
        <w:rPr>
          <w:rFonts w:cstheme="minorHAnsi"/>
          <w:color w:val="222222"/>
          <w:shd w:val="clear" w:color="auto" w:fill="FFFFFF"/>
          <w:lang w:val="en-GB"/>
        </w:rPr>
        <w:t xml:space="preserve"> and</w:t>
      </w:r>
      <w:r w:rsidRPr="00E72B59">
        <w:rPr>
          <w:rFonts w:cstheme="minorHAnsi"/>
          <w:color w:val="222222"/>
          <w:shd w:val="clear" w:color="auto" w:fill="FFFFFF"/>
          <w:vertAlign w:val="subscript"/>
          <w:lang w:val="en-GB"/>
        </w:rPr>
        <w:t xml:space="preserve"> </w:t>
      </w:r>
      <w:r w:rsidRPr="00876226">
        <w:rPr>
          <w:rFonts w:cstheme="minorHAnsi"/>
          <w:color w:val="000000"/>
          <w:lang w:val="en-GB" w:eastAsia="de-DE"/>
        </w:rPr>
        <w:t xml:space="preserve"> in turn </w:t>
      </w:r>
      <w:r>
        <w:rPr>
          <w:rFonts w:cstheme="minorHAnsi"/>
          <w:color w:val="000000"/>
          <w:lang w:val="en-GB" w:eastAsia="de-DE"/>
        </w:rPr>
        <w:t>the cytokine upregulation</w:t>
      </w:r>
      <w:r w:rsidRPr="00876226">
        <w:rPr>
          <w:rFonts w:cstheme="minorHAnsi"/>
          <w:color w:val="000000"/>
          <w:lang w:val="en-GB" w:eastAsia="de-DE"/>
        </w:rPr>
        <w:t xml:space="preserve"> results </w:t>
      </w:r>
      <w:r w:rsidRPr="00077079">
        <w:rPr>
          <w:rFonts w:cstheme="minorHAnsi"/>
          <w:color w:val="000000"/>
          <w:lang w:val="en-GB" w:eastAsia="de-DE"/>
        </w:rPr>
        <w:t>in both paracrine and endocrine effects, which leads to an increase in leptin and plasminogen</w:t>
      </w:r>
      <w:r w:rsidRPr="00277BE8">
        <w:rPr>
          <w:rFonts w:cstheme="minorHAnsi"/>
          <w:color w:val="000000"/>
          <w:lang w:val="en-GB" w:eastAsia="de-DE"/>
        </w:rPr>
        <w:t xml:space="preserve"> activator inhibitor-1 and a reduced release of adiponectin</w:t>
      </w:r>
      <w:r>
        <w:rPr>
          <w:rFonts w:cstheme="minorHAnsi"/>
          <w:color w:val="000000"/>
          <w:lang w:val="en-GB" w:eastAsia="de-DE"/>
        </w:rPr>
        <w:t>.</w:t>
      </w:r>
      <w:r w:rsidRPr="00277BE8">
        <w:rPr>
          <w:rFonts w:cstheme="minorHAnsi"/>
          <w:color w:val="000000"/>
          <w:lang w:val="en-GB" w:eastAsia="de-DE"/>
        </w:rPr>
        <w:t xml:space="preserve"> </w:t>
      </w:r>
      <w:r w:rsidRPr="00F34EF5">
        <w:rPr>
          <w:rFonts w:cstheme="minorHAnsi"/>
          <w:noProof/>
          <w:color w:val="000000"/>
          <w:vertAlign w:val="superscript"/>
          <w:lang w:val="en-GB" w:eastAsia="de-DE"/>
        </w:rPr>
        <w:t>66</w:t>
      </w:r>
      <w:r w:rsidRPr="00876226">
        <w:rPr>
          <w:rFonts w:cstheme="minorHAnsi"/>
          <w:color w:val="000000"/>
          <w:lang w:val="en-GB" w:eastAsia="de-DE"/>
        </w:rPr>
        <w:t xml:space="preserve"> Thereby, </w:t>
      </w:r>
      <w:r w:rsidRPr="00077079">
        <w:rPr>
          <w:rFonts w:cstheme="minorHAnsi"/>
          <w:color w:val="000000"/>
          <w:lang w:val="en-GB" w:eastAsia="de-DE"/>
        </w:rPr>
        <w:t>metabolic organs su</w:t>
      </w:r>
      <w:r w:rsidRPr="00277BE8">
        <w:rPr>
          <w:rFonts w:cstheme="minorHAnsi"/>
          <w:color w:val="000000"/>
          <w:lang w:val="en-GB" w:eastAsia="de-DE"/>
        </w:rPr>
        <w:t xml:space="preserve">ch as white adipose tissue, skeletal muscle, liver and pancreas get infiltrated </w:t>
      </w:r>
      <w:r w:rsidRPr="00B25D96">
        <w:rPr>
          <w:rFonts w:cstheme="minorHAnsi"/>
          <w:color w:val="000000"/>
          <w:lang w:val="en-GB" w:eastAsia="de-DE"/>
        </w:rPr>
        <w:t>with macrophages and other immune cells (Fig. 2)</w:t>
      </w:r>
      <w:r>
        <w:rPr>
          <w:rFonts w:cstheme="minorHAnsi"/>
          <w:color w:val="000000"/>
          <w:lang w:val="en-GB" w:eastAsia="de-DE"/>
        </w:rPr>
        <w:t>.</w:t>
      </w:r>
      <w:r w:rsidRPr="00B25D96">
        <w:rPr>
          <w:rFonts w:cstheme="minorHAnsi"/>
          <w:color w:val="000000"/>
          <w:lang w:val="en-GB" w:eastAsia="de-DE"/>
        </w:rPr>
        <w:t xml:space="preserve"> </w:t>
      </w:r>
      <w:r w:rsidRPr="00F34EF5">
        <w:rPr>
          <w:rFonts w:cstheme="minorHAnsi"/>
          <w:noProof/>
          <w:color w:val="000000"/>
          <w:vertAlign w:val="superscript"/>
          <w:lang w:val="en-GB" w:eastAsia="de-DE"/>
        </w:rPr>
        <w:t>67</w:t>
      </w:r>
      <w:r w:rsidRPr="00876226">
        <w:rPr>
          <w:rFonts w:cstheme="minorHAnsi"/>
          <w:color w:val="000000"/>
          <w:lang w:val="en-GB" w:eastAsia="de-DE"/>
        </w:rPr>
        <w:t xml:space="preserve"> </w:t>
      </w:r>
      <w:r>
        <w:rPr>
          <w:lang w:val="en-GB"/>
        </w:rPr>
        <w:t>I</w:t>
      </w:r>
      <w:r w:rsidRPr="002A5262">
        <w:rPr>
          <w:lang w:val="en-GB"/>
        </w:rPr>
        <w:t xml:space="preserve">n diabetes, insulin resistance via the IRS-1/2:PI3:mTORC2 </w:t>
      </w:r>
      <w:r w:rsidRPr="00D47D74">
        <w:rPr>
          <w:lang w:val="en-GB"/>
        </w:rPr>
        <w:t>signalling</w:t>
      </w:r>
      <w:r w:rsidRPr="002A5262">
        <w:rPr>
          <w:lang w:val="en-GB"/>
        </w:rPr>
        <w:t xml:space="preserve"> pathway</w:t>
      </w:r>
      <w:r>
        <w:rPr>
          <w:lang w:val="en-GB"/>
        </w:rPr>
        <w:t xml:space="preserve"> </w:t>
      </w:r>
      <w:r w:rsidRPr="002A5262">
        <w:rPr>
          <w:lang w:val="en-GB"/>
        </w:rPr>
        <w:t xml:space="preserve">leads to an increased infiltration with </w:t>
      </w:r>
      <w:r>
        <w:rPr>
          <w:lang w:val="en-GB"/>
        </w:rPr>
        <w:t xml:space="preserve">especially </w:t>
      </w:r>
      <w:r w:rsidRPr="002A5262">
        <w:rPr>
          <w:lang w:val="en-GB"/>
        </w:rPr>
        <w:t>M1 macrophages in adipose tissue</w:t>
      </w:r>
      <w:r>
        <w:rPr>
          <w:lang w:val="en-GB"/>
        </w:rPr>
        <w:t>.</w:t>
      </w:r>
      <w:r w:rsidRPr="002A5262">
        <w:rPr>
          <w:lang w:val="en-GB"/>
        </w:rPr>
        <w:t xml:space="preserve"> </w:t>
      </w:r>
      <w:r w:rsidRPr="00F34EF5">
        <w:rPr>
          <w:noProof/>
          <w:vertAlign w:val="superscript"/>
          <w:lang w:val="en-GB"/>
        </w:rPr>
        <w:t>68</w:t>
      </w:r>
      <w:r w:rsidRPr="00876226">
        <w:rPr>
          <w:rFonts w:cstheme="minorHAnsi"/>
          <w:color w:val="000000"/>
          <w:lang w:val="en-GB" w:eastAsia="de-DE"/>
        </w:rPr>
        <w:t xml:space="preserve"> Obesity is </w:t>
      </w:r>
      <w:r w:rsidRPr="00077079">
        <w:rPr>
          <w:rFonts w:cstheme="minorHAnsi"/>
          <w:color w:val="000000"/>
          <w:lang w:val="en-GB" w:eastAsia="de-DE"/>
        </w:rPr>
        <w:t xml:space="preserve">also </w:t>
      </w:r>
      <w:r w:rsidRPr="00277BE8">
        <w:rPr>
          <w:rFonts w:cstheme="minorHAnsi"/>
          <w:color w:val="000000"/>
          <w:lang w:val="en-GB" w:eastAsia="de-DE"/>
        </w:rPr>
        <w:t>associated with a high baseline expression of the IL-6 recept</w:t>
      </w:r>
      <w:r w:rsidRPr="00B25D96">
        <w:rPr>
          <w:rFonts w:cstheme="minorHAnsi"/>
          <w:color w:val="000000"/>
          <w:lang w:val="en-GB" w:eastAsia="de-DE"/>
        </w:rPr>
        <w:t xml:space="preserve">or. In contrast to </w:t>
      </w:r>
      <w:r w:rsidRPr="00812349">
        <w:rPr>
          <w:rFonts w:cstheme="minorHAnsi"/>
          <w:color w:val="000000"/>
          <w:lang w:val="en-GB" w:eastAsia="de-DE"/>
        </w:rPr>
        <w:t>lean individuals, the expression is not downregula</w:t>
      </w:r>
      <w:r w:rsidRPr="00CE5F70">
        <w:rPr>
          <w:rFonts w:cstheme="minorHAnsi"/>
          <w:color w:val="000000"/>
          <w:lang w:val="en-GB" w:eastAsia="de-DE"/>
        </w:rPr>
        <w:t xml:space="preserve">ted by increased cytokine levels, </w:t>
      </w:r>
      <w:r>
        <w:rPr>
          <w:rFonts w:cstheme="minorHAnsi"/>
          <w:color w:val="000000"/>
          <w:lang w:val="en-GB" w:eastAsia="de-DE"/>
        </w:rPr>
        <w:t xml:space="preserve">and therefore it </w:t>
      </w:r>
      <w:r w:rsidRPr="00CE5F70">
        <w:rPr>
          <w:rFonts w:cstheme="minorHAnsi"/>
          <w:color w:val="000000"/>
          <w:lang w:val="en-GB" w:eastAsia="de-DE"/>
        </w:rPr>
        <w:t>leads to a constant low-grade inflammatory state termed metaflammation</w:t>
      </w:r>
      <w:r>
        <w:rPr>
          <w:rFonts w:cstheme="minorHAnsi"/>
          <w:color w:val="000000"/>
          <w:lang w:val="en-GB" w:eastAsia="de-DE"/>
        </w:rPr>
        <w:t>.</w:t>
      </w:r>
      <w:r w:rsidRPr="00CE5F70">
        <w:rPr>
          <w:rFonts w:cstheme="minorHAnsi"/>
          <w:color w:val="000000"/>
          <w:lang w:val="en-GB" w:eastAsia="de-DE"/>
        </w:rPr>
        <w:t xml:space="preserve"> </w:t>
      </w:r>
      <w:r w:rsidRPr="00F34EF5">
        <w:rPr>
          <w:rFonts w:cstheme="minorHAnsi"/>
          <w:noProof/>
          <w:color w:val="000000"/>
          <w:vertAlign w:val="superscript"/>
          <w:lang w:val="en-GB" w:eastAsia="de-DE"/>
        </w:rPr>
        <w:t>69</w:t>
      </w:r>
      <w:r w:rsidRPr="00876226">
        <w:rPr>
          <w:rFonts w:cstheme="minorHAnsi"/>
          <w:color w:val="000000"/>
          <w:lang w:val="en-GB" w:eastAsia="de-DE"/>
        </w:rPr>
        <w:t xml:space="preserve"> Dysfunction in insulin signalling further contributes to chronic inflammation via activatio</w:t>
      </w:r>
      <w:r w:rsidRPr="00B25D96">
        <w:rPr>
          <w:rFonts w:cstheme="minorHAnsi"/>
          <w:color w:val="000000"/>
          <w:lang w:val="en-GB" w:eastAsia="de-DE"/>
        </w:rPr>
        <w:t xml:space="preserve">n of c-Jun and NF-κB leading to a decrease </w:t>
      </w:r>
      <w:r w:rsidRPr="00812349">
        <w:rPr>
          <w:rFonts w:cstheme="minorHAnsi"/>
          <w:color w:val="000000"/>
          <w:lang w:val="en-GB" w:eastAsia="de-DE"/>
        </w:rPr>
        <w:t>in anti-inflammatory cytokines and an increase in TNF-α, IL-6 and IL-1β</w:t>
      </w:r>
      <w:r w:rsidRPr="00CE5F70">
        <w:rPr>
          <w:rFonts w:cstheme="minorHAnsi"/>
          <w:color w:val="000000"/>
          <w:lang w:val="en-GB" w:eastAsia="de-DE"/>
        </w:rPr>
        <w:t>. This shift from predominantly an anti-inflammatory to a pro-inflammatory profile enhances insulin resistance</w:t>
      </w:r>
      <w:r>
        <w:rPr>
          <w:rFonts w:cstheme="minorHAnsi"/>
          <w:color w:val="000000"/>
          <w:lang w:val="en-GB" w:eastAsia="de-DE"/>
        </w:rPr>
        <w:t>.</w:t>
      </w:r>
      <w:r w:rsidRPr="00CE5F70">
        <w:rPr>
          <w:rFonts w:cstheme="minorHAnsi"/>
          <w:color w:val="000000"/>
          <w:lang w:val="en-GB" w:eastAsia="de-DE"/>
        </w:rPr>
        <w:t xml:space="preserve"> </w:t>
      </w:r>
      <w:r w:rsidRPr="00F34EF5">
        <w:rPr>
          <w:rFonts w:cstheme="minorHAnsi"/>
          <w:noProof/>
          <w:color w:val="000000"/>
          <w:vertAlign w:val="superscript"/>
          <w:lang w:val="en-GB" w:eastAsia="de-DE"/>
        </w:rPr>
        <w:t>70</w:t>
      </w:r>
    </w:p>
    <w:p w:rsidR="006419BC" w:rsidRPr="00B25D96" w:rsidRDefault="006419BC" w:rsidP="000165A3">
      <w:pPr>
        <w:spacing w:line="480" w:lineRule="auto"/>
        <w:jc w:val="both"/>
        <w:rPr>
          <w:rFonts w:cstheme="minorHAnsi"/>
          <w:lang w:val="en-GB"/>
        </w:rPr>
      </w:pPr>
      <w:r w:rsidRPr="00B25D96">
        <w:rPr>
          <w:rFonts w:cstheme="minorHAnsi"/>
          <w:lang w:val="en-GB"/>
        </w:rPr>
        <w:t xml:space="preserve">Type 2 diabetes </w:t>
      </w:r>
      <w:r w:rsidRPr="00812349">
        <w:rPr>
          <w:rFonts w:cstheme="minorHAnsi"/>
          <w:lang w:val="en-GB"/>
        </w:rPr>
        <w:t>is a progressive disease due to insulin resistance together with chronic inflammation and endothelial and beta-cell dysfunction</w:t>
      </w:r>
      <w:r>
        <w:rPr>
          <w:rFonts w:cstheme="minorHAnsi"/>
          <w:lang w:val="en-GB"/>
        </w:rPr>
        <w:t>.</w:t>
      </w:r>
      <w:r w:rsidRPr="00812349">
        <w:rPr>
          <w:rFonts w:cstheme="minorHAnsi"/>
          <w:lang w:val="en-GB"/>
        </w:rPr>
        <w:t xml:space="preserve"> </w:t>
      </w:r>
      <w:r w:rsidRPr="00F34EF5">
        <w:rPr>
          <w:rFonts w:cstheme="minorHAnsi"/>
          <w:noProof/>
          <w:vertAlign w:val="superscript"/>
          <w:lang w:val="en-GB"/>
        </w:rPr>
        <w:t>71</w:t>
      </w:r>
      <w:r w:rsidRPr="00876226">
        <w:rPr>
          <w:rFonts w:cstheme="minorHAnsi"/>
          <w:lang w:val="en-GB"/>
        </w:rPr>
        <w:t xml:space="preserve"> In severe COVID-19,</w:t>
      </w:r>
      <w:r w:rsidRPr="00077079">
        <w:rPr>
          <w:rFonts w:cstheme="minorHAnsi"/>
          <w:lang w:val="en-GB"/>
        </w:rPr>
        <w:t xml:space="preserve"> </w:t>
      </w:r>
      <w:r w:rsidRPr="00277BE8">
        <w:rPr>
          <w:rFonts w:cstheme="minorHAnsi"/>
          <w:lang w:val="en-GB"/>
        </w:rPr>
        <w:t>the inflammatory response to SARS-CoV-2 infection</w:t>
      </w:r>
      <w:r w:rsidRPr="00B25D96">
        <w:rPr>
          <w:rFonts w:cstheme="minorHAnsi"/>
          <w:lang w:val="en-GB"/>
        </w:rPr>
        <w:t xml:space="preserve"> can worsen insulin resistance </w:t>
      </w:r>
      <w:r w:rsidRPr="00812349">
        <w:rPr>
          <w:rFonts w:cstheme="minorHAnsi"/>
          <w:lang w:val="en-GB"/>
        </w:rPr>
        <w:t>and endothelial dysfunction (Fig. 2). Synergy between COVID-19 and type</w:t>
      </w:r>
      <w:r w:rsidRPr="00D47D74">
        <w:rPr>
          <w:rFonts w:cstheme="minorHAnsi"/>
          <w:lang w:val="en-GB"/>
        </w:rPr>
        <w:t xml:space="preserve"> 2 diabetes and obesity may further amplify the inflammatory response and downregulate interferon response contributing to a more severe disease in diabetes and obese patients</w:t>
      </w:r>
      <w:r>
        <w:rPr>
          <w:rFonts w:cstheme="minorHAnsi"/>
          <w:lang w:val="en-GB"/>
        </w:rPr>
        <w:t>.</w:t>
      </w:r>
      <w:r w:rsidRPr="00D47D74">
        <w:rPr>
          <w:rFonts w:cstheme="minorHAnsi"/>
          <w:lang w:val="en-GB"/>
        </w:rPr>
        <w:t xml:space="preserve"> </w:t>
      </w:r>
      <w:r w:rsidRPr="00F34EF5">
        <w:rPr>
          <w:rFonts w:cstheme="minorHAnsi"/>
          <w:noProof/>
          <w:vertAlign w:val="superscript"/>
          <w:lang w:val="en-GB"/>
        </w:rPr>
        <w:t>12</w:t>
      </w:r>
      <w:r w:rsidRPr="00876226">
        <w:rPr>
          <w:rFonts w:cstheme="minorHAnsi"/>
          <w:lang w:val="en-GB"/>
        </w:rPr>
        <w:t xml:space="preserve"> Dysregulation of the RAAS and down regulation of the expression of ACE2 in conjunction with stress signalling increases insulin resistance</w:t>
      </w:r>
      <w:r>
        <w:rPr>
          <w:rFonts w:cstheme="minorHAnsi"/>
          <w:lang w:val="en-GB"/>
        </w:rPr>
        <w:t>.</w:t>
      </w:r>
      <w:r w:rsidRPr="00077079">
        <w:rPr>
          <w:rFonts w:cstheme="minorHAnsi"/>
          <w:lang w:val="en-GB"/>
        </w:rPr>
        <w:t xml:space="preserve"> </w:t>
      </w:r>
      <w:r w:rsidRPr="00F34EF5">
        <w:rPr>
          <w:rFonts w:cstheme="minorHAnsi"/>
          <w:noProof/>
          <w:vertAlign w:val="superscript"/>
          <w:lang w:val="en-GB" w:eastAsia="de-DE"/>
        </w:rPr>
        <w:t>68</w:t>
      </w:r>
      <w:r w:rsidRPr="00876226">
        <w:rPr>
          <w:rFonts w:cstheme="minorHAnsi"/>
          <w:lang w:val="en-GB"/>
        </w:rPr>
        <w:t xml:space="preserve"> Thus, insulin resistance, by </w:t>
      </w:r>
      <w:r w:rsidRPr="00077079">
        <w:rPr>
          <w:rFonts w:cstheme="minorHAnsi"/>
          <w:lang w:val="en-GB"/>
        </w:rPr>
        <w:t>triggering airway hyper</w:t>
      </w:r>
      <w:r w:rsidRPr="00277BE8">
        <w:rPr>
          <w:rFonts w:cstheme="minorHAnsi"/>
          <w:lang w:val="en-GB"/>
        </w:rPr>
        <w:t>-</w:t>
      </w:r>
      <w:r w:rsidRPr="00B25D96">
        <w:rPr>
          <w:rFonts w:cstheme="minorHAnsi"/>
          <w:lang w:val="en-GB"/>
        </w:rPr>
        <w:t xml:space="preserve">reactivity, </w:t>
      </w:r>
      <w:r w:rsidRPr="00812349">
        <w:rPr>
          <w:rFonts w:cstheme="minorHAnsi"/>
          <w:lang w:val="en-GB"/>
        </w:rPr>
        <w:t>increases the risk of respiratory failure and cardiopulmonary collapse in patients with diabetes and COVID-19 infection</w:t>
      </w:r>
      <w:r>
        <w:rPr>
          <w:rFonts w:cstheme="minorHAnsi"/>
          <w:lang w:val="en-GB"/>
        </w:rPr>
        <w:t>.</w:t>
      </w:r>
      <w:r w:rsidRPr="00812349">
        <w:rPr>
          <w:rFonts w:cstheme="minorHAnsi"/>
          <w:lang w:val="en-GB"/>
        </w:rPr>
        <w:t xml:space="preserve"> </w:t>
      </w:r>
      <w:r w:rsidRPr="00F34EF5">
        <w:rPr>
          <w:rFonts w:cstheme="minorHAnsi"/>
          <w:noProof/>
          <w:vertAlign w:val="superscript"/>
          <w:lang w:val="en-GB" w:eastAsia="de-DE"/>
        </w:rPr>
        <w:t>68</w:t>
      </w:r>
      <w:r w:rsidRPr="00876226">
        <w:rPr>
          <w:rFonts w:cstheme="minorHAnsi"/>
          <w:lang w:val="en-GB"/>
        </w:rPr>
        <w:t xml:space="preserve"> </w:t>
      </w:r>
    </w:p>
    <w:p w:rsidR="006419BC" w:rsidRPr="00276A60" w:rsidRDefault="006419BC" w:rsidP="000165A3">
      <w:pPr>
        <w:spacing w:line="480" w:lineRule="auto"/>
        <w:jc w:val="both"/>
        <w:rPr>
          <w:rFonts w:cstheme="minorHAnsi"/>
          <w:lang w:val="en-GB"/>
        </w:rPr>
      </w:pPr>
      <w:r w:rsidRPr="00B25D96">
        <w:rPr>
          <w:rFonts w:cstheme="minorHAnsi"/>
          <w:lang w:val="en-GB" w:eastAsia="de-DE"/>
        </w:rPr>
        <w:t>In addition to their role in the immune response against viral infection, cytokines activate the HPA axis, resulting in the release of adrenal glucocorticoids</w:t>
      </w:r>
      <w:r>
        <w:rPr>
          <w:rFonts w:cstheme="minorHAnsi"/>
          <w:lang w:val="en-GB" w:eastAsia="de-DE"/>
        </w:rPr>
        <w:t>.</w:t>
      </w:r>
      <w:r w:rsidRPr="00B25D96">
        <w:rPr>
          <w:rFonts w:cstheme="minorHAnsi"/>
          <w:lang w:val="en-GB" w:eastAsia="de-DE"/>
        </w:rPr>
        <w:t xml:space="preserve"> </w:t>
      </w:r>
      <w:r w:rsidRPr="00F34EF5">
        <w:rPr>
          <w:rFonts w:cstheme="minorHAnsi"/>
          <w:noProof/>
          <w:vertAlign w:val="superscript"/>
          <w:lang w:val="en-GB" w:eastAsia="de-DE"/>
        </w:rPr>
        <w:t>72</w:t>
      </w:r>
      <w:r w:rsidRPr="00876226">
        <w:rPr>
          <w:rFonts w:cstheme="minorHAnsi"/>
          <w:lang w:val="en-GB" w:eastAsia="de-DE"/>
        </w:rPr>
        <w:t xml:space="preserve"> In turn, glucocorticoids produce negative feedback on</w:t>
      </w:r>
      <w:r w:rsidRPr="00277BE8">
        <w:rPr>
          <w:rFonts w:cstheme="minorHAnsi"/>
          <w:lang w:val="en-GB" w:eastAsia="de-DE"/>
        </w:rPr>
        <w:t xml:space="preserve"> immune cells to suppress further synthesis and release of cytokines. Thereby, the host receives a partially protective signal</w:t>
      </w:r>
      <w:r w:rsidRPr="00B25D96">
        <w:rPr>
          <w:rFonts w:cstheme="minorHAnsi"/>
          <w:lang w:val="en-GB" w:eastAsia="de-DE"/>
        </w:rPr>
        <w:t xml:space="preserve"> against the destructive consequences of an overactive immune response such as tissue damage, </w:t>
      </w:r>
      <w:r w:rsidRPr="00812349">
        <w:rPr>
          <w:rFonts w:cstheme="minorHAnsi"/>
          <w:lang w:val="en-GB" w:eastAsia="de-DE"/>
        </w:rPr>
        <w:t>autoimmunity, or septic shock</w:t>
      </w:r>
      <w:r>
        <w:rPr>
          <w:rFonts w:cstheme="minorHAnsi"/>
          <w:lang w:val="en-GB" w:eastAsia="de-DE"/>
        </w:rPr>
        <w:t xml:space="preserve">. </w:t>
      </w:r>
      <w:r w:rsidRPr="006139DB">
        <w:rPr>
          <w:rFonts w:cstheme="minorHAnsi"/>
          <w:noProof/>
          <w:vertAlign w:val="superscript"/>
          <w:lang w:val="en-GB" w:eastAsia="de-DE"/>
        </w:rPr>
        <w:t>73,74</w:t>
      </w:r>
      <w:r w:rsidRPr="00876226">
        <w:rPr>
          <w:rFonts w:cstheme="minorHAnsi"/>
          <w:lang w:val="en-GB" w:eastAsia="de-DE"/>
        </w:rPr>
        <w:t xml:space="preserve"> Such effects have been clinically reported </w:t>
      </w:r>
      <w:r w:rsidRPr="00277BE8">
        <w:rPr>
          <w:rFonts w:cstheme="minorHAnsi"/>
          <w:lang w:val="en-GB" w:eastAsia="de-DE"/>
        </w:rPr>
        <w:lastRenderedPageBreak/>
        <w:t>during dexamethasone administration</w:t>
      </w:r>
      <w:r w:rsidRPr="00B25D96">
        <w:rPr>
          <w:rFonts w:cstheme="minorHAnsi"/>
          <w:lang w:val="en-GB" w:eastAsia="de-DE"/>
        </w:rPr>
        <w:t>, which is currently the most effective treatment for severe COVID-19</w:t>
      </w:r>
      <w:r w:rsidRPr="00812349">
        <w:rPr>
          <w:rFonts w:cstheme="minorHAnsi"/>
          <w:lang w:val="en-GB" w:eastAsia="de-DE"/>
        </w:rPr>
        <w:t xml:space="preserve"> with pulmonary involvement</w:t>
      </w:r>
      <w:r>
        <w:rPr>
          <w:rFonts w:cstheme="minorHAnsi"/>
          <w:lang w:val="en-GB" w:eastAsia="de-DE"/>
        </w:rPr>
        <w:t xml:space="preserve">. </w:t>
      </w:r>
      <w:r w:rsidRPr="00D96F48">
        <w:rPr>
          <w:rFonts w:cstheme="minorHAnsi"/>
          <w:noProof/>
          <w:vertAlign w:val="superscript"/>
          <w:lang w:val="en-GB" w:eastAsia="de-DE"/>
        </w:rPr>
        <w:t>73</w:t>
      </w:r>
      <w:r w:rsidRPr="00876226">
        <w:rPr>
          <w:rFonts w:cstheme="minorHAnsi"/>
          <w:lang w:val="en-GB" w:eastAsia="de-DE"/>
        </w:rPr>
        <w:t xml:space="preserve"> </w:t>
      </w:r>
      <w:r w:rsidRPr="00876226">
        <w:rPr>
          <w:rFonts w:cstheme="minorHAnsi"/>
          <w:lang w:val="en-GB"/>
        </w:rPr>
        <w:t>Furthermore, inhaled glucocorticoids such as budesonide ha</w:t>
      </w:r>
      <w:r w:rsidRPr="00077079">
        <w:rPr>
          <w:rFonts w:cstheme="minorHAnsi"/>
          <w:lang w:val="en-GB"/>
        </w:rPr>
        <w:t>ve</w:t>
      </w:r>
      <w:r w:rsidRPr="00277BE8">
        <w:rPr>
          <w:rFonts w:cstheme="minorHAnsi"/>
          <w:lang w:val="en-GB"/>
        </w:rPr>
        <w:t xml:space="preserve"> recently been shown to reduce the time to partly recovery after early COVID-19</w:t>
      </w:r>
      <w:r>
        <w:rPr>
          <w:rFonts w:cstheme="minorHAnsi"/>
          <w:lang w:val="en-GB"/>
        </w:rPr>
        <w:t>.</w:t>
      </w:r>
      <w:r w:rsidRPr="00277BE8">
        <w:rPr>
          <w:rFonts w:cstheme="minorHAnsi"/>
          <w:lang w:val="en-GB"/>
        </w:rPr>
        <w:t xml:space="preserve"> </w:t>
      </w:r>
      <w:r w:rsidRPr="00D96F48">
        <w:rPr>
          <w:rFonts w:cstheme="minorHAnsi"/>
          <w:noProof/>
          <w:vertAlign w:val="superscript"/>
          <w:lang w:val="en-GB"/>
        </w:rPr>
        <w:t>75</w:t>
      </w:r>
      <w:r w:rsidRPr="00876226">
        <w:rPr>
          <w:rFonts w:cstheme="minorHAnsi"/>
          <w:lang w:val="en-GB"/>
        </w:rPr>
        <w:t xml:space="preserve"> This has led to </w:t>
      </w:r>
      <w:r w:rsidRPr="00B25D96">
        <w:rPr>
          <w:rFonts w:cstheme="minorHAnsi"/>
          <w:lang w:val="en-GB"/>
        </w:rPr>
        <w:t>the widespread use of glucocorticoids to treat pa</w:t>
      </w:r>
      <w:r w:rsidRPr="00812349">
        <w:rPr>
          <w:rFonts w:cstheme="minorHAnsi"/>
          <w:lang w:val="en-GB"/>
        </w:rPr>
        <w:t>tients with moderate to severe but also frequently with mild forms of COVID-19</w:t>
      </w:r>
      <w:r w:rsidRPr="00710071">
        <w:rPr>
          <w:rFonts w:cstheme="minorHAnsi"/>
          <w:lang w:val="en-GB"/>
        </w:rPr>
        <w:t xml:space="preserve"> (Table 1). </w:t>
      </w:r>
    </w:p>
    <w:p w:rsidR="006419BC" w:rsidRDefault="006419BC" w:rsidP="00446574">
      <w:pPr>
        <w:autoSpaceDE w:val="0"/>
        <w:autoSpaceDN w:val="0"/>
        <w:adjustRightInd w:val="0"/>
        <w:spacing w:after="240" w:line="480" w:lineRule="auto"/>
        <w:jc w:val="both"/>
        <w:rPr>
          <w:rFonts w:cstheme="minorHAnsi"/>
          <w:color w:val="000000"/>
          <w:lang w:val="en-GB" w:eastAsia="de-DE"/>
        </w:rPr>
      </w:pPr>
      <w:r w:rsidRPr="00276A60">
        <w:rPr>
          <w:rFonts w:cstheme="minorHAnsi"/>
          <w:color w:val="000000"/>
          <w:lang w:val="en-GB" w:eastAsia="de-DE"/>
        </w:rPr>
        <w:t>Diseases of the HPA-axis are per se not expected to increase the risk for severe COVID-19. However, hormonal replacement therapies or immun</w:t>
      </w:r>
      <w:r w:rsidRPr="00EA05A2">
        <w:rPr>
          <w:rFonts w:cstheme="minorHAnsi"/>
          <w:color w:val="000000"/>
          <w:lang w:val="en-GB" w:eastAsia="de-DE"/>
        </w:rPr>
        <w:t xml:space="preserve">osuppression might increase the </w:t>
      </w:r>
      <w:r w:rsidRPr="00E3451E">
        <w:rPr>
          <w:rFonts w:cstheme="minorHAnsi"/>
          <w:color w:val="000000"/>
          <w:lang w:val="en-GB" w:eastAsia="de-DE"/>
        </w:rPr>
        <w:t>possibility of an undesirable</w:t>
      </w:r>
      <w:r w:rsidRPr="00CE4108">
        <w:rPr>
          <w:rFonts w:cstheme="minorHAnsi"/>
          <w:color w:val="000000"/>
          <w:lang w:val="en-GB" w:eastAsia="de-DE"/>
        </w:rPr>
        <w:t xml:space="preserve"> outcome.</w:t>
      </w:r>
      <w:r w:rsidRPr="00A613AF">
        <w:rPr>
          <w:rFonts w:cstheme="minorHAnsi"/>
          <w:color w:val="000000"/>
          <w:lang w:val="en-GB" w:eastAsia="de-DE"/>
        </w:rPr>
        <w:t xml:space="preserve"> Thus, patients with primary or secondary adrenal insufficiency are at increased risk of poor prognosi</w:t>
      </w:r>
      <w:r w:rsidRPr="000637E9">
        <w:rPr>
          <w:rFonts w:cstheme="minorHAnsi"/>
          <w:color w:val="000000"/>
          <w:lang w:val="en-GB" w:eastAsia="de-DE"/>
        </w:rPr>
        <w:t>s if the glucocorticoid replacement therapy is not adequately controlled</w:t>
      </w:r>
      <w:r>
        <w:rPr>
          <w:rFonts w:cstheme="minorHAnsi"/>
          <w:color w:val="000000"/>
          <w:lang w:val="en-GB" w:eastAsia="de-DE"/>
        </w:rPr>
        <w:t>.</w:t>
      </w:r>
      <w:r w:rsidRPr="000637E9">
        <w:rPr>
          <w:rFonts w:cstheme="minorHAnsi"/>
          <w:color w:val="000000"/>
          <w:lang w:val="en-GB" w:eastAsia="de-DE"/>
        </w:rPr>
        <w:t xml:space="preserve"> </w:t>
      </w:r>
      <w:r w:rsidRPr="00D96F48">
        <w:rPr>
          <w:rFonts w:cstheme="minorHAnsi"/>
          <w:noProof/>
          <w:color w:val="000000"/>
          <w:vertAlign w:val="superscript"/>
          <w:lang w:val="en-GB" w:eastAsia="de-DE"/>
        </w:rPr>
        <w:t>76</w:t>
      </w:r>
    </w:p>
    <w:p w:rsidR="006419BC" w:rsidRPr="003971F3" w:rsidRDefault="006419BC" w:rsidP="003971F3">
      <w:pPr>
        <w:autoSpaceDE w:val="0"/>
        <w:autoSpaceDN w:val="0"/>
        <w:adjustRightInd w:val="0"/>
        <w:spacing w:after="0" w:line="480" w:lineRule="auto"/>
        <w:jc w:val="both"/>
        <w:rPr>
          <w:rFonts w:cstheme="minorHAnsi"/>
          <w:color w:val="212121"/>
          <w:shd w:val="clear" w:color="auto" w:fill="FFFFFF"/>
          <w:lang w:val="en-US"/>
        </w:rPr>
      </w:pPr>
      <w:r w:rsidRPr="004C46BC">
        <w:rPr>
          <w:rStyle w:val="Fett"/>
          <w:rFonts w:cstheme="minorHAnsi"/>
          <w:b w:val="0"/>
          <w:color w:val="212121"/>
          <w:shd w:val="clear" w:color="auto" w:fill="FFFFFF"/>
          <w:lang w:val="en-US"/>
        </w:rPr>
        <w:t>A recent pros</w:t>
      </w:r>
      <w:r>
        <w:rPr>
          <w:rStyle w:val="Fett"/>
          <w:rFonts w:cstheme="minorHAnsi"/>
          <w:b w:val="0"/>
          <w:color w:val="212121"/>
          <w:shd w:val="clear" w:color="auto" w:fill="FFFFFF"/>
          <w:lang w:val="en-US"/>
        </w:rPr>
        <w:t>pective study in renal patients</w:t>
      </w:r>
      <w:r w:rsidRPr="004C46BC">
        <w:rPr>
          <w:rStyle w:val="Fett"/>
          <w:rFonts w:cstheme="minorHAnsi"/>
          <w:b w:val="0"/>
          <w:color w:val="212121"/>
          <w:shd w:val="clear" w:color="auto" w:fill="FFFFFF"/>
          <w:lang w:val="en-US"/>
        </w:rPr>
        <w:t xml:space="preserve"> showed that full vaccination with the </w:t>
      </w:r>
      <w:r w:rsidRPr="004C46BC">
        <w:rPr>
          <w:rFonts w:cstheme="minorHAnsi"/>
          <w:color w:val="212121"/>
          <w:shd w:val="clear" w:color="auto" w:fill="FFFFFF"/>
          <w:lang w:val="en-US"/>
        </w:rPr>
        <w:t xml:space="preserve">mRNA-1273 vaccine (Moderna) induced </w:t>
      </w:r>
      <w:r>
        <w:rPr>
          <w:rFonts w:cstheme="minorHAnsi"/>
          <w:color w:val="212121"/>
          <w:shd w:val="clear" w:color="auto" w:fill="FFFFFF"/>
          <w:lang w:val="en-US"/>
        </w:rPr>
        <w:t xml:space="preserve">a </w:t>
      </w:r>
      <w:r w:rsidRPr="006D47C9">
        <w:rPr>
          <w:rFonts w:cstheme="minorHAnsi"/>
          <w:color w:val="212121"/>
          <w:shd w:val="clear" w:color="auto" w:fill="FFFFFF"/>
          <w:lang w:val="en-US"/>
        </w:rPr>
        <w:t xml:space="preserve">seroconversion rate </w:t>
      </w:r>
      <w:r w:rsidRPr="004C46BC">
        <w:rPr>
          <w:rFonts w:cstheme="minorHAnsi"/>
          <w:color w:val="212121"/>
          <w:shd w:val="clear" w:color="auto" w:fill="FFFFFF"/>
          <w:lang w:val="en-US"/>
        </w:rPr>
        <w:t xml:space="preserve">of 95% in </w:t>
      </w:r>
      <w:r w:rsidRPr="006D47C9">
        <w:rPr>
          <w:rFonts w:cstheme="minorHAnsi"/>
          <w:color w:val="212121"/>
          <w:shd w:val="clear" w:color="auto" w:fill="FFFFFF"/>
          <w:lang w:val="en-US"/>
        </w:rPr>
        <w:t>dialysis patients</w:t>
      </w:r>
      <w:r w:rsidRPr="004C46BC">
        <w:rPr>
          <w:rFonts w:cstheme="minorHAnsi"/>
          <w:color w:val="212121"/>
          <w:shd w:val="clear" w:color="auto" w:fill="FFFFFF"/>
          <w:lang w:val="en-US"/>
        </w:rPr>
        <w:t xml:space="preserve">, </w:t>
      </w:r>
      <w:r>
        <w:rPr>
          <w:rFonts w:cstheme="minorHAnsi"/>
          <w:color w:val="212121"/>
          <w:shd w:val="clear" w:color="auto" w:fill="FFFFFF"/>
          <w:lang w:val="en-US"/>
        </w:rPr>
        <w:t>whereas it was</w:t>
      </w:r>
      <w:r w:rsidRPr="004C46BC">
        <w:rPr>
          <w:rFonts w:cstheme="minorHAnsi"/>
          <w:color w:val="212121"/>
          <w:shd w:val="clear" w:color="auto" w:fill="FFFFFF"/>
          <w:lang w:val="en-US"/>
        </w:rPr>
        <w:t xml:space="preserve"> markedly impaired in kidney transplant recipients (42%). </w:t>
      </w:r>
      <w:r w:rsidRPr="00D96F48">
        <w:rPr>
          <w:rFonts w:cstheme="minorHAnsi"/>
          <w:noProof/>
          <w:color w:val="212121"/>
          <w:shd w:val="clear" w:color="auto" w:fill="FFFFFF"/>
          <w:vertAlign w:val="superscript"/>
          <w:lang w:val="en-US"/>
        </w:rPr>
        <w:t>77</w:t>
      </w:r>
      <w:r>
        <w:rPr>
          <w:rFonts w:cstheme="minorHAnsi"/>
          <w:color w:val="212121"/>
          <w:shd w:val="clear" w:color="auto" w:fill="FFFFFF"/>
          <w:lang w:val="en-US"/>
        </w:rPr>
        <w:t xml:space="preserve"> Seroconversion rates were lower in both types of patients vaccinated with the </w:t>
      </w:r>
      <w:r w:rsidRPr="004C46BC">
        <w:rPr>
          <w:rFonts w:cstheme="minorHAnsi"/>
          <w:color w:val="212121"/>
          <w:shd w:val="clear" w:color="auto" w:fill="FFFFFF"/>
          <w:lang w:val="en-US"/>
        </w:rPr>
        <w:t>BNT162b2</w:t>
      </w:r>
      <w:r>
        <w:rPr>
          <w:rFonts w:cstheme="minorHAnsi"/>
          <w:color w:val="212121"/>
          <w:shd w:val="clear" w:color="auto" w:fill="FFFFFF"/>
          <w:lang w:val="en-US"/>
        </w:rPr>
        <w:t xml:space="preserve"> mRNA vaccine (Pfizer/BioNTech). Furthermore, i</w:t>
      </w:r>
      <w:r w:rsidRPr="004C46BC">
        <w:rPr>
          <w:rFonts w:cstheme="minorHAnsi"/>
          <w:color w:val="212121"/>
          <w:shd w:val="clear" w:color="auto" w:fill="FFFFFF"/>
          <w:lang w:val="en-US"/>
        </w:rPr>
        <w:t xml:space="preserve">mmunosuppressive drug number and type </w:t>
      </w:r>
      <w:r>
        <w:rPr>
          <w:rFonts w:cstheme="minorHAnsi"/>
          <w:color w:val="212121"/>
          <w:shd w:val="clear" w:color="auto" w:fill="FFFFFF"/>
          <w:lang w:val="en-US"/>
        </w:rPr>
        <w:t xml:space="preserve">were </w:t>
      </w:r>
      <w:r w:rsidRPr="004C46BC">
        <w:rPr>
          <w:rFonts w:cstheme="minorHAnsi"/>
          <w:color w:val="212121"/>
          <w:shd w:val="clear" w:color="auto" w:fill="FFFFFF"/>
          <w:lang w:val="en-US"/>
        </w:rPr>
        <w:t>major determinants of seroconversion failure in both dialysis and transplant patients suggesting immune monitoring and adaption of vaccination protocols</w:t>
      </w:r>
      <w:r>
        <w:rPr>
          <w:rFonts w:cstheme="minorHAnsi"/>
          <w:color w:val="212121"/>
          <w:shd w:val="clear" w:color="auto" w:fill="FFFFFF"/>
          <w:lang w:val="en-US"/>
        </w:rPr>
        <w:t xml:space="preserve"> for these patients</w:t>
      </w:r>
      <w:r w:rsidRPr="004C46BC">
        <w:rPr>
          <w:rFonts w:cstheme="minorHAnsi"/>
          <w:color w:val="212121"/>
          <w:shd w:val="clear" w:color="auto" w:fill="FFFFFF"/>
          <w:lang w:val="en-US"/>
        </w:rPr>
        <w:t>.</w:t>
      </w:r>
      <w:r>
        <w:rPr>
          <w:rFonts w:cstheme="minorHAnsi"/>
          <w:color w:val="212121"/>
          <w:shd w:val="clear" w:color="auto" w:fill="FFFFFF"/>
          <w:lang w:val="en-US"/>
        </w:rPr>
        <w:t xml:space="preserve"> </w:t>
      </w:r>
    </w:p>
    <w:p w:rsidR="006419BC" w:rsidRPr="00B25D96" w:rsidRDefault="006419BC" w:rsidP="003B0D0B">
      <w:pPr>
        <w:spacing w:line="480" w:lineRule="auto"/>
        <w:rPr>
          <w:rFonts w:cstheme="minorHAnsi"/>
          <w:b/>
          <w:lang w:val="en-GB"/>
        </w:rPr>
      </w:pPr>
    </w:p>
    <w:p w:rsidR="006419BC" w:rsidRPr="00CE5F70" w:rsidRDefault="006419BC" w:rsidP="003B0D0B">
      <w:pPr>
        <w:spacing w:line="480" w:lineRule="auto"/>
        <w:rPr>
          <w:rFonts w:cstheme="minorHAnsi"/>
          <w:b/>
          <w:lang w:val="en-GB"/>
        </w:rPr>
      </w:pPr>
      <w:r w:rsidRPr="00812349">
        <w:rPr>
          <w:rFonts w:cstheme="minorHAnsi"/>
          <w:b/>
          <w:lang w:val="en-GB"/>
        </w:rPr>
        <w:t>How does SARS-CoV-2 affect the metabolic and endocrine systems?</w:t>
      </w:r>
    </w:p>
    <w:p w:rsidR="006419BC" w:rsidRPr="00876226" w:rsidRDefault="006419BC" w:rsidP="00B32ABA">
      <w:pPr>
        <w:autoSpaceDE w:val="0"/>
        <w:autoSpaceDN w:val="0"/>
        <w:adjustRightInd w:val="0"/>
        <w:spacing w:after="240" w:line="480" w:lineRule="auto"/>
        <w:jc w:val="both"/>
        <w:rPr>
          <w:rFonts w:cstheme="minorHAnsi"/>
          <w:lang w:val="en-GB" w:eastAsia="de-DE"/>
        </w:rPr>
      </w:pPr>
      <w:r w:rsidRPr="00710071">
        <w:rPr>
          <w:rFonts w:cstheme="minorHAnsi"/>
          <w:lang w:val="en-GB" w:eastAsia="de-DE"/>
        </w:rPr>
        <w:t>Upon infection with SARS-CoV-2,</w:t>
      </w:r>
      <w:r w:rsidRPr="00276A60">
        <w:rPr>
          <w:rFonts w:cstheme="minorHAnsi"/>
          <w:lang w:val="en-GB" w:eastAsia="de-DE"/>
        </w:rPr>
        <w:t xml:space="preserve"> toll-like receptors 2, 3, and 4 are activated and IL-1</w:t>
      </w:r>
      <w:r w:rsidRPr="00EA05A2">
        <w:rPr>
          <w:rFonts w:cstheme="minorHAnsi"/>
          <w:lang w:val="en-GB" w:eastAsia="de-DE"/>
        </w:rPr>
        <w:t>β and IL-6 are released. The metaflammation observed in patients with metabolic disorders allows for a hyper</w:t>
      </w:r>
      <w:r w:rsidRPr="00E3451E">
        <w:rPr>
          <w:rFonts w:cstheme="minorHAnsi"/>
          <w:lang w:val="en-GB" w:eastAsia="de-DE"/>
        </w:rPr>
        <w:t>-</w:t>
      </w:r>
      <w:r w:rsidRPr="00CE4108">
        <w:rPr>
          <w:rFonts w:cstheme="minorHAnsi"/>
          <w:lang w:val="en-GB" w:eastAsia="de-DE"/>
        </w:rPr>
        <w:t>immune response</w:t>
      </w:r>
      <w:r w:rsidRPr="00A613AF">
        <w:rPr>
          <w:rFonts w:cstheme="minorHAnsi"/>
          <w:lang w:val="en-GB" w:eastAsia="de-DE"/>
        </w:rPr>
        <w:t xml:space="preserve"> reaching pathogenic levels</w:t>
      </w:r>
      <w:r w:rsidRPr="000637E9">
        <w:rPr>
          <w:rFonts w:cstheme="minorHAnsi"/>
          <w:lang w:val="en-GB" w:eastAsia="de-DE"/>
        </w:rPr>
        <w:t>. This cytokine release provokes fever, systemic inflammation and subsequently, sepsis</w:t>
      </w:r>
      <w:r>
        <w:rPr>
          <w:rFonts w:cstheme="minorHAnsi"/>
          <w:lang w:val="en-GB" w:eastAsia="de-DE"/>
        </w:rPr>
        <w:t>.</w:t>
      </w:r>
      <w:r w:rsidRPr="000637E9">
        <w:rPr>
          <w:rFonts w:cstheme="minorHAnsi"/>
          <w:lang w:val="en-GB" w:eastAsia="de-DE"/>
        </w:rPr>
        <w:t xml:space="preserve"> </w:t>
      </w:r>
      <w:r w:rsidRPr="00D96F48">
        <w:rPr>
          <w:rFonts w:cstheme="minorHAnsi"/>
          <w:noProof/>
          <w:vertAlign w:val="superscript"/>
          <w:lang w:val="en-GB" w:eastAsia="de-DE"/>
        </w:rPr>
        <w:t>78</w:t>
      </w:r>
      <w:r w:rsidRPr="00876226">
        <w:rPr>
          <w:rFonts w:cstheme="minorHAnsi"/>
          <w:lang w:val="en-GB" w:eastAsia="de-DE"/>
        </w:rPr>
        <w:t xml:space="preserve"> </w:t>
      </w:r>
    </w:p>
    <w:p w:rsidR="006419BC" w:rsidRPr="00812349" w:rsidRDefault="006419BC" w:rsidP="00D15568">
      <w:pPr>
        <w:autoSpaceDE w:val="0"/>
        <w:autoSpaceDN w:val="0"/>
        <w:adjustRightInd w:val="0"/>
        <w:spacing w:after="240" w:line="480" w:lineRule="auto"/>
        <w:jc w:val="both"/>
        <w:rPr>
          <w:rFonts w:cstheme="minorHAnsi"/>
          <w:lang w:val="en-GB"/>
        </w:rPr>
      </w:pPr>
      <w:r w:rsidRPr="00B25D96">
        <w:rPr>
          <w:rFonts w:cstheme="minorHAnsi"/>
          <w:lang w:val="en-GB" w:eastAsia="de-DE"/>
        </w:rPr>
        <w:t>Patho</w:t>
      </w:r>
      <w:r w:rsidRPr="00812349">
        <w:rPr>
          <w:rFonts w:cstheme="minorHAnsi"/>
          <w:lang w:val="en-GB" w:eastAsia="de-DE"/>
        </w:rPr>
        <w:t xml:space="preserve">hysiologically, endocrine and metabolic organs including the brain, pancreas, skeletal muscle, adipose tissue, and liver may be damaged </w:t>
      </w:r>
      <w:r w:rsidRPr="00710071">
        <w:rPr>
          <w:rFonts w:cstheme="minorHAnsi"/>
          <w:lang w:val="en-GB" w:eastAsia="de-DE"/>
        </w:rPr>
        <w:t xml:space="preserve">either directly or indirectly by the viral infection and contribute to the development </w:t>
      </w:r>
      <w:r w:rsidRPr="00276A60">
        <w:rPr>
          <w:rFonts w:cstheme="minorHAnsi"/>
          <w:lang w:val="en-GB" w:eastAsia="de-DE"/>
        </w:rPr>
        <w:t xml:space="preserve">of new-onset hyperglycaemia or insulin resistance in COVID-19 </w:t>
      </w:r>
      <w:r w:rsidRPr="00276A60">
        <w:rPr>
          <w:rFonts w:cstheme="minorHAnsi"/>
          <w:lang w:val="en-GB" w:eastAsia="de-DE"/>
        </w:rPr>
        <w:lastRenderedPageBreak/>
        <w:t xml:space="preserve">survivors. </w:t>
      </w:r>
      <w:r w:rsidRPr="00276A60">
        <w:rPr>
          <w:rFonts w:cstheme="minorHAnsi"/>
          <w:lang w:val="en-GB"/>
        </w:rPr>
        <w:t>SARS-CoV-2 is able to infect and replicate in human cells of the endocrine and exocrine pancreas</w:t>
      </w:r>
      <w:r>
        <w:rPr>
          <w:rFonts w:cstheme="minorHAnsi"/>
          <w:lang w:val="en-GB"/>
        </w:rPr>
        <w:t>.</w:t>
      </w:r>
      <w:r w:rsidRPr="00276A60">
        <w:rPr>
          <w:rFonts w:cstheme="minorHAnsi"/>
          <w:lang w:val="en-GB"/>
        </w:rPr>
        <w:t xml:space="preserve"> </w:t>
      </w:r>
      <w:r w:rsidRPr="00F34EF5">
        <w:rPr>
          <w:rFonts w:cstheme="minorHAnsi"/>
          <w:noProof/>
          <w:vertAlign w:val="superscript"/>
          <w:lang w:val="en-GB"/>
        </w:rPr>
        <w:t>28</w:t>
      </w:r>
      <w:r w:rsidRPr="00876226">
        <w:rPr>
          <w:rFonts w:cstheme="minorHAnsi"/>
          <w:lang w:val="en-GB"/>
        </w:rPr>
        <w:t xml:space="preserve"> Moreover, </w:t>
      </w:r>
      <w:r>
        <w:rPr>
          <w:rFonts w:cstheme="minorHAnsi"/>
          <w:lang w:val="en-GB"/>
        </w:rPr>
        <w:t xml:space="preserve">we have observed </w:t>
      </w:r>
      <w:r w:rsidRPr="00876226">
        <w:rPr>
          <w:rFonts w:cstheme="minorHAnsi"/>
          <w:szCs w:val="28"/>
          <w:lang w:val="en-GB"/>
        </w:rPr>
        <w:t>infiltration with immune cells and</w:t>
      </w:r>
      <w:r w:rsidRPr="00077079">
        <w:rPr>
          <w:rFonts w:cstheme="minorHAnsi"/>
          <w:szCs w:val="28"/>
          <w:lang w:val="en-GB"/>
        </w:rPr>
        <w:t xml:space="preserve"> signs of necroptosis </w:t>
      </w:r>
      <w:r w:rsidRPr="00876226">
        <w:rPr>
          <w:rFonts w:cstheme="minorHAnsi"/>
          <w:lang w:val="en-GB"/>
        </w:rPr>
        <w:t>i</w:t>
      </w:r>
      <w:r w:rsidRPr="00876226">
        <w:rPr>
          <w:rFonts w:cstheme="minorHAnsi"/>
          <w:szCs w:val="28"/>
          <w:lang w:val="en-GB"/>
        </w:rPr>
        <w:t>n both the exocrine and endocrine pancreata from COVID-19 patients</w:t>
      </w:r>
      <w:r>
        <w:rPr>
          <w:rFonts w:cstheme="minorHAnsi"/>
          <w:szCs w:val="28"/>
          <w:lang w:val="en-GB"/>
        </w:rPr>
        <w:t>.</w:t>
      </w:r>
      <w:r w:rsidRPr="00277BE8">
        <w:rPr>
          <w:rFonts w:cstheme="minorHAnsi"/>
          <w:szCs w:val="28"/>
          <w:lang w:val="en-GB"/>
        </w:rPr>
        <w:t xml:space="preserve"> </w:t>
      </w:r>
      <w:r w:rsidRPr="00F34EF5">
        <w:rPr>
          <w:rFonts w:cstheme="minorHAnsi"/>
          <w:noProof/>
          <w:szCs w:val="28"/>
          <w:vertAlign w:val="superscript"/>
          <w:lang w:val="en-GB"/>
        </w:rPr>
        <w:t>30</w:t>
      </w:r>
      <w:r w:rsidRPr="00876226">
        <w:rPr>
          <w:rFonts w:cstheme="minorHAnsi"/>
          <w:szCs w:val="28"/>
          <w:lang w:val="en-GB"/>
        </w:rPr>
        <w:t xml:space="preserve"> </w:t>
      </w:r>
      <w:r w:rsidRPr="00876226">
        <w:rPr>
          <w:rFonts w:cstheme="minorHAnsi"/>
          <w:lang w:val="en-GB"/>
        </w:rPr>
        <w:t xml:space="preserve">This may </w:t>
      </w:r>
      <w:r w:rsidRPr="00077079">
        <w:rPr>
          <w:rFonts w:cstheme="minorHAnsi"/>
          <w:lang w:val="en-GB"/>
        </w:rPr>
        <w:t>imp</w:t>
      </w:r>
      <w:r w:rsidRPr="00277BE8">
        <w:rPr>
          <w:rFonts w:cstheme="minorHAnsi"/>
          <w:lang w:val="en-GB"/>
        </w:rPr>
        <w:t>ly that beta-cell infection with SARS-CoV-2 might lead to either direct or indirect impairment of the beta-cells</w:t>
      </w:r>
      <w:r w:rsidRPr="00B25D96">
        <w:rPr>
          <w:rFonts w:cstheme="minorHAnsi"/>
          <w:lang w:val="en-GB"/>
        </w:rPr>
        <w:t xml:space="preserve"> functions</w:t>
      </w:r>
      <w:r w:rsidRPr="00812349">
        <w:rPr>
          <w:rFonts w:cstheme="minorHAnsi"/>
          <w:lang w:val="en-GB"/>
        </w:rPr>
        <w:t xml:space="preserve"> causing variable degrees of metabolic dysregulation. </w:t>
      </w:r>
    </w:p>
    <w:p w:rsidR="006419BC" w:rsidRPr="00E72B59" w:rsidRDefault="006419BC" w:rsidP="00582145">
      <w:pPr>
        <w:shd w:val="clear" w:color="auto" w:fill="FFFFFF"/>
        <w:spacing w:line="480" w:lineRule="auto"/>
        <w:jc w:val="both"/>
        <w:rPr>
          <w:rFonts w:cstheme="minorHAnsi"/>
          <w:lang w:val="en-GB"/>
        </w:rPr>
      </w:pPr>
      <w:r w:rsidRPr="00812349">
        <w:rPr>
          <w:rFonts w:cstheme="minorHAnsi"/>
          <w:lang w:val="en-GB"/>
        </w:rPr>
        <w:t>New-onset hyperglyca</w:t>
      </w:r>
      <w:r w:rsidRPr="00D47D74">
        <w:rPr>
          <w:rFonts w:cstheme="minorHAnsi"/>
          <w:lang w:val="en-GB"/>
        </w:rPr>
        <w:t>emia, ketoacidosis, diabetes and severe metabolic complications of pre-existing diabetes have frequently been observed in patients with</w:t>
      </w:r>
      <w:r w:rsidRPr="00E713B8">
        <w:rPr>
          <w:rFonts w:cstheme="minorHAnsi"/>
          <w:lang w:val="en-GB"/>
        </w:rPr>
        <w:t xml:space="preserve"> COVID-19</w:t>
      </w:r>
      <w:r>
        <w:rPr>
          <w:rFonts w:cstheme="minorHAnsi"/>
          <w:lang w:val="en-GB"/>
        </w:rPr>
        <w:t xml:space="preserve">. </w:t>
      </w:r>
      <w:r w:rsidRPr="00D96F48">
        <w:rPr>
          <w:rFonts w:cstheme="minorHAnsi"/>
          <w:noProof/>
          <w:vertAlign w:val="superscript"/>
          <w:lang w:val="en-GB"/>
        </w:rPr>
        <w:t>79-85</w:t>
      </w:r>
      <w:r w:rsidRPr="00876226">
        <w:rPr>
          <w:rFonts w:cstheme="minorHAnsi"/>
          <w:lang w:val="en-GB"/>
        </w:rPr>
        <w:t xml:space="preserve"> Data from the German Diabetes Prospective Follow-up Registry</w:t>
      </w:r>
      <w:r w:rsidRPr="00277BE8">
        <w:rPr>
          <w:rFonts w:cstheme="minorHAnsi"/>
          <w:lang w:val="en-GB"/>
        </w:rPr>
        <w:t xml:space="preserve"> (DPV) , which is a nationwide registry with a coverage of more than 90% of paediatric patients with type 1 diabetes, have</w:t>
      </w:r>
      <w:r w:rsidRPr="00B25D96">
        <w:rPr>
          <w:rFonts w:cstheme="minorHAnsi"/>
          <w:lang w:val="en-GB"/>
        </w:rPr>
        <w:t xml:space="preserve"> shown a significant increase in diabetic ketoacidosis and severe ketoacidosis at diabetes diagnosis especially in children younger than 6 years during the COVID-19 pandemic</w:t>
      </w:r>
      <w:r>
        <w:rPr>
          <w:rFonts w:cstheme="minorHAnsi"/>
          <w:lang w:val="en-GB"/>
        </w:rPr>
        <w:t>.</w:t>
      </w:r>
      <w:r w:rsidRPr="00812349">
        <w:rPr>
          <w:rFonts w:cstheme="minorHAnsi"/>
          <w:lang w:val="en-GB"/>
        </w:rPr>
        <w:t xml:space="preserve"> </w:t>
      </w:r>
      <w:r>
        <w:rPr>
          <w:rFonts w:cstheme="minorHAnsi"/>
          <w:noProof/>
          <w:vertAlign w:val="superscript"/>
          <w:lang w:val="en-GB"/>
        </w:rPr>
        <w:t>86</w:t>
      </w:r>
      <w:r w:rsidRPr="00876226">
        <w:rPr>
          <w:rFonts w:cstheme="minorHAnsi"/>
          <w:lang w:val="en-GB"/>
        </w:rPr>
        <w:t xml:space="preserve"> </w:t>
      </w:r>
      <w:r>
        <w:rPr>
          <w:rFonts w:cstheme="minorHAnsi"/>
          <w:lang w:val="en-GB"/>
        </w:rPr>
        <w:t xml:space="preserve">Of note, </w:t>
      </w:r>
      <w:r w:rsidRPr="00876226">
        <w:rPr>
          <w:rFonts w:cstheme="minorHAnsi"/>
          <w:lang w:val="en-GB"/>
        </w:rPr>
        <w:t xml:space="preserve">indirect effects such as changes in parental behaviour and healthcare </w:t>
      </w:r>
      <w:r w:rsidRPr="00B25D96">
        <w:rPr>
          <w:rFonts w:cstheme="minorHAnsi"/>
          <w:lang w:val="en-GB"/>
        </w:rPr>
        <w:t xml:space="preserve">accessibility </w:t>
      </w:r>
      <w:r w:rsidRPr="00812349">
        <w:rPr>
          <w:rFonts w:cstheme="minorHAnsi"/>
          <w:lang w:val="en-GB"/>
        </w:rPr>
        <w:t>may have had an influence as well on the increa</w:t>
      </w:r>
      <w:r w:rsidRPr="00D47D74">
        <w:rPr>
          <w:rFonts w:cstheme="minorHAnsi"/>
          <w:lang w:val="en-GB"/>
        </w:rPr>
        <w:t>se in new-onset type 1 diabetes in children</w:t>
      </w:r>
      <w:r>
        <w:rPr>
          <w:rFonts w:cstheme="minorHAnsi"/>
          <w:lang w:val="en-GB"/>
        </w:rPr>
        <w:t>.</w:t>
      </w:r>
      <w:r w:rsidRPr="00D47D74">
        <w:rPr>
          <w:rFonts w:cstheme="minorHAnsi"/>
          <w:lang w:val="en-GB"/>
        </w:rPr>
        <w:t xml:space="preserve"> </w:t>
      </w:r>
      <w:r w:rsidRPr="00D96F48">
        <w:rPr>
          <w:rFonts w:cstheme="minorHAnsi"/>
          <w:noProof/>
          <w:vertAlign w:val="superscript"/>
          <w:lang w:val="en-GB"/>
        </w:rPr>
        <w:t>87</w:t>
      </w:r>
      <w:r w:rsidRPr="00876226">
        <w:rPr>
          <w:rFonts w:cstheme="minorHAnsi"/>
          <w:lang w:val="en-GB"/>
        </w:rPr>
        <w:t xml:space="preserve"> Nevertheless, </w:t>
      </w:r>
      <w:r w:rsidRPr="00277BE8">
        <w:rPr>
          <w:rFonts w:cstheme="minorHAnsi"/>
          <w:lang w:val="en-GB"/>
        </w:rPr>
        <w:t>evidence accumulates reporting</w:t>
      </w:r>
      <w:r w:rsidRPr="00B25D96">
        <w:rPr>
          <w:rFonts w:cstheme="minorHAnsi"/>
          <w:lang w:val="en-GB"/>
        </w:rPr>
        <w:t xml:space="preserve"> COVID-19 as a cause or trigger of new-onset diabetes</w:t>
      </w:r>
      <w:r>
        <w:rPr>
          <w:rFonts w:cstheme="minorHAnsi"/>
          <w:lang w:val="en-GB"/>
        </w:rPr>
        <w:t>.</w:t>
      </w:r>
      <w:r w:rsidRPr="00812349">
        <w:rPr>
          <w:rFonts w:cstheme="minorHAnsi"/>
          <w:lang w:val="en-GB"/>
        </w:rPr>
        <w:t xml:space="preserve"> </w:t>
      </w:r>
      <w:r w:rsidRPr="00F34EF5">
        <w:rPr>
          <w:rFonts w:cstheme="minorHAnsi"/>
          <w:noProof/>
          <w:vertAlign w:val="superscript"/>
          <w:lang w:val="en-GB"/>
        </w:rPr>
        <w:t>17</w:t>
      </w:r>
      <w:r w:rsidRPr="00876226">
        <w:rPr>
          <w:rFonts w:cstheme="minorHAnsi"/>
          <w:lang w:val="en-GB"/>
        </w:rPr>
        <w:t xml:space="preserve"> Observations of pancre</w:t>
      </w:r>
      <w:r w:rsidRPr="00277BE8">
        <w:rPr>
          <w:rFonts w:cstheme="minorHAnsi"/>
          <w:lang w:val="en-GB"/>
        </w:rPr>
        <w:t xml:space="preserve">atitis following COVID-19 have also </w:t>
      </w:r>
      <w:r w:rsidRPr="00B25D96">
        <w:rPr>
          <w:rFonts w:cstheme="minorHAnsi"/>
          <w:lang w:val="en-GB"/>
        </w:rPr>
        <w:t>been reported</w:t>
      </w:r>
      <w:r>
        <w:rPr>
          <w:rFonts w:cstheme="minorHAnsi"/>
          <w:lang w:val="en-GB"/>
        </w:rPr>
        <w:t>.</w:t>
      </w:r>
      <w:r w:rsidRPr="00B25D96">
        <w:rPr>
          <w:rFonts w:cstheme="minorHAnsi"/>
          <w:noProof/>
          <w:vertAlign w:val="superscript"/>
          <w:lang w:val="en-GB"/>
        </w:rPr>
        <w:t xml:space="preserve"> </w:t>
      </w:r>
      <w:r>
        <w:rPr>
          <w:rFonts w:cstheme="minorHAnsi"/>
          <w:noProof/>
          <w:vertAlign w:val="superscript"/>
          <w:lang w:val="en-GB"/>
        </w:rPr>
        <w:t>88</w:t>
      </w:r>
      <w:r w:rsidRPr="00876226">
        <w:rPr>
          <w:rFonts w:cstheme="minorHAnsi"/>
          <w:lang w:val="en-GB"/>
        </w:rPr>
        <w:t xml:space="preserve"> </w:t>
      </w:r>
      <w:r>
        <w:rPr>
          <w:rFonts w:cstheme="minorHAnsi"/>
          <w:lang w:val="en-GB"/>
        </w:rPr>
        <w:t>Anyway</w:t>
      </w:r>
      <w:r w:rsidRPr="00876226">
        <w:rPr>
          <w:rFonts w:cstheme="minorHAnsi"/>
          <w:lang w:val="en-GB"/>
        </w:rPr>
        <w:t xml:space="preserve">, it remains a subject of discussion if COVID-19 can indeed directly or indirectly lead to </w:t>
      </w:r>
      <w:r w:rsidRPr="00277BE8">
        <w:rPr>
          <w:rFonts w:cstheme="minorHAnsi"/>
          <w:lang w:val="en-GB"/>
        </w:rPr>
        <w:t>new-onset diabetes or accelerate pre-existing unrecognised diabetes or prediabetes</w:t>
      </w:r>
      <w:r>
        <w:rPr>
          <w:rFonts w:cstheme="minorHAnsi"/>
          <w:lang w:val="en-GB"/>
        </w:rPr>
        <w:t>.</w:t>
      </w:r>
      <w:r w:rsidRPr="00277BE8">
        <w:rPr>
          <w:rFonts w:cstheme="minorHAnsi"/>
          <w:lang w:val="en-GB"/>
        </w:rPr>
        <w:t xml:space="preserve"> </w:t>
      </w:r>
      <w:r w:rsidRPr="00D96F48">
        <w:rPr>
          <w:rFonts w:cstheme="minorHAnsi"/>
          <w:noProof/>
          <w:vertAlign w:val="superscript"/>
          <w:lang w:val="en-GB"/>
        </w:rPr>
        <w:t>89</w:t>
      </w:r>
      <w:r w:rsidRPr="00876226">
        <w:rPr>
          <w:rFonts w:cstheme="minorHAnsi"/>
          <w:lang w:val="en-GB"/>
        </w:rPr>
        <w:t xml:space="preserve"> T</w:t>
      </w:r>
      <w:r>
        <w:rPr>
          <w:rFonts w:cstheme="minorHAnsi"/>
          <w:lang w:val="en-GB"/>
        </w:rPr>
        <w:t>herefore, t</w:t>
      </w:r>
      <w:r w:rsidRPr="00876226">
        <w:rPr>
          <w:rFonts w:cstheme="minorHAnsi"/>
          <w:lang w:val="en-GB"/>
        </w:rPr>
        <w:t xml:space="preserve">his is currently being examined in a global registry </w:t>
      </w:r>
      <w:r w:rsidRPr="00876226">
        <w:rPr>
          <w:rFonts w:cstheme="minorHAnsi"/>
          <w:color w:val="000000"/>
          <w:lang w:val="en-GB"/>
        </w:rPr>
        <w:t>(</w:t>
      </w:r>
      <w:hyperlink r:id="rId5" w:history="1">
        <w:r w:rsidRPr="003C2B5B">
          <w:rPr>
            <w:rStyle w:val="Hyperlink"/>
            <w:rFonts w:cstheme="minorHAnsi"/>
            <w:lang w:val="en-GB"/>
          </w:rPr>
          <w:t>http://covidiab.e-dendrite.com/</w:t>
        </w:r>
      </w:hyperlink>
      <w:r w:rsidRPr="00876226">
        <w:rPr>
          <w:rFonts w:cstheme="minorHAnsi"/>
          <w:color w:val="000000"/>
          <w:lang w:val="en-GB"/>
        </w:rPr>
        <w:t>)</w:t>
      </w:r>
      <w:r>
        <w:rPr>
          <w:rFonts w:cstheme="minorHAnsi"/>
          <w:color w:val="000000"/>
          <w:lang w:val="en-GB"/>
        </w:rPr>
        <w:t xml:space="preserve">. </w:t>
      </w:r>
      <w:r w:rsidRPr="00D96F48">
        <w:rPr>
          <w:rFonts w:cstheme="minorHAnsi"/>
          <w:noProof/>
          <w:color w:val="000000"/>
          <w:vertAlign w:val="superscript"/>
          <w:lang w:val="en-GB"/>
        </w:rPr>
        <w:t>85</w:t>
      </w:r>
      <w:r w:rsidRPr="00876226">
        <w:rPr>
          <w:rFonts w:cstheme="minorHAnsi"/>
          <w:lang w:val="en-GB"/>
        </w:rPr>
        <w:t xml:space="preserve"> Furthermore, a</w:t>
      </w:r>
      <w:r w:rsidRPr="00E72B59">
        <w:rPr>
          <w:rFonts w:cstheme="minorHAnsi"/>
          <w:color w:val="000000"/>
          <w:lang w:val="en-GB"/>
        </w:rPr>
        <w:t xml:space="preserve"> group of international software developers, data scientists and health professionals have built a non-for-profit graph-database (neo4J - covidgraph.org) to make all COVID19 related information searchable and accessible in one database (https://covidgraph.org).</w:t>
      </w:r>
    </w:p>
    <w:p w:rsidR="006419BC" w:rsidRPr="00876226" w:rsidRDefault="006419BC" w:rsidP="00CB7A6E">
      <w:pPr>
        <w:autoSpaceDE w:val="0"/>
        <w:autoSpaceDN w:val="0"/>
        <w:adjustRightInd w:val="0"/>
        <w:spacing w:after="240" w:line="480" w:lineRule="auto"/>
        <w:jc w:val="both"/>
        <w:rPr>
          <w:rFonts w:cstheme="minorHAnsi"/>
          <w:lang w:val="en-GB" w:eastAsia="de-DE"/>
        </w:rPr>
      </w:pPr>
    </w:p>
    <w:p w:rsidR="006419BC" w:rsidRPr="00812349" w:rsidRDefault="006419BC" w:rsidP="00EE20A0">
      <w:pPr>
        <w:spacing w:line="480" w:lineRule="auto"/>
        <w:rPr>
          <w:rFonts w:cstheme="minorHAnsi"/>
          <w:b/>
          <w:lang w:val="en-GB"/>
        </w:rPr>
      </w:pPr>
      <w:r w:rsidRPr="00B25D96">
        <w:rPr>
          <w:rFonts w:cstheme="minorHAnsi"/>
          <w:b/>
          <w:lang w:val="en-GB"/>
        </w:rPr>
        <w:t xml:space="preserve">What are the </w:t>
      </w:r>
      <w:r w:rsidRPr="00812349">
        <w:rPr>
          <w:rFonts w:cstheme="minorHAnsi"/>
          <w:b/>
          <w:lang w:val="en-GB"/>
        </w:rPr>
        <w:t>implications for medications and therapy?</w:t>
      </w:r>
    </w:p>
    <w:p w:rsidR="006419BC" w:rsidRPr="00E759C7" w:rsidRDefault="006419BC" w:rsidP="001F27F9">
      <w:pPr>
        <w:pStyle w:val="NPS"/>
        <w:spacing w:line="480" w:lineRule="auto"/>
        <w:rPr>
          <w:rFonts w:asciiTheme="minorHAnsi" w:hAnsiTheme="minorHAnsi" w:cstheme="minorHAnsi"/>
          <w:lang w:val="en-GB"/>
        </w:rPr>
      </w:pPr>
      <w:r w:rsidRPr="00710071">
        <w:rPr>
          <w:rFonts w:asciiTheme="minorHAnsi" w:hAnsiTheme="minorHAnsi" w:cstheme="minorHAnsi"/>
          <w:lang w:val="en-GB"/>
        </w:rPr>
        <w:t>Diabetes and obesity are amongst the main risk factors associated with</w:t>
      </w:r>
      <w:r w:rsidRPr="00276A60">
        <w:rPr>
          <w:rFonts w:asciiTheme="minorHAnsi" w:hAnsiTheme="minorHAnsi" w:cstheme="minorHAnsi"/>
          <w:lang w:val="en-GB"/>
        </w:rPr>
        <w:t xml:space="preserve"> COVID-19 disease morbidity. Reducing the risk factors associated with COVID-19 morbidity would also be a reasonable public health goal (Table 2</w:t>
      </w:r>
      <w:r w:rsidRPr="00EA05A2">
        <w:rPr>
          <w:rFonts w:asciiTheme="minorHAnsi" w:hAnsiTheme="minorHAnsi" w:cstheme="minorHAnsi"/>
          <w:lang w:val="en-GB"/>
        </w:rPr>
        <w:t xml:space="preserve">). </w:t>
      </w:r>
      <w:r w:rsidRPr="00E3451E">
        <w:rPr>
          <w:rFonts w:asciiTheme="minorHAnsi" w:hAnsiTheme="minorHAnsi" w:cstheme="minorHAnsi"/>
          <w:lang w:val="en-GB"/>
        </w:rPr>
        <w:t xml:space="preserve">Apart from medical considerations, patients with chronic diseases belong to an </w:t>
      </w:r>
      <w:r w:rsidRPr="00CE4108">
        <w:rPr>
          <w:rFonts w:asciiTheme="minorHAnsi" w:hAnsiTheme="minorHAnsi" w:cstheme="minorHAnsi"/>
          <w:lang w:val="en-GB"/>
        </w:rPr>
        <w:lastRenderedPageBreak/>
        <w:t xml:space="preserve">especially vulnerable group </w:t>
      </w:r>
      <w:r w:rsidRPr="00A613AF">
        <w:rPr>
          <w:rFonts w:asciiTheme="minorHAnsi" w:hAnsiTheme="minorHAnsi" w:cstheme="minorHAnsi"/>
          <w:lang w:val="en-GB"/>
        </w:rPr>
        <w:t>in</w:t>
      </w:r>
      <w:r w:rsidRPr="000637E9">
        <w:rPr>
          <w:rFonts w:asciiTheme="minorHAnsi" w:hAnsiTheme="minorHAnsi" w:cstheme="minorHAnsi"/>
          <w:lang w:val="en-GB"/>
        </w:rPr>
        <w:t xml:space="preserve"> the pandemic due to reduced access to medical care and personal insecurity in a social environment with increasing false information.  In many areas, </w:t>
      </w:r>
      <w:r w:rsidRPr="00E72B59">
        <w:rPr>
          <w:rFonts w:asciiTheme="minorHAnsi" w:hAnsiTheme="minorHAnsi" w:cstheme="minorHAnsi"/>
          <w:lang w:val="en-GB"/>
        </w:rPr>
        <w:t xml:space="preserve">access to diabetes care was reduced during the pandemic, and additionally patients were reluctant to access medical care because of fear of exposure to infection on medical premises. </w:t>
      </w:r>
      <w:r>
        <w:rPr>
          <w:rFonts w:asciiTheme="minorHAnsi" w:hAnsiTheme="minorHAnsi" w:cstheme="minorHAnsi"/>
          <w:lang w:val="en-GB"/>
        </w:rPr>
        <w:t>A</w:t>
      </w:r>
      <w:r w:rsidRPr="00876226">
        <w:rPr>
          <w:rFonts w:asciiTheme="minorHAnsi" w:hAnsiTheme="minorHAnsi" w:cstheme="minorHAnsi"/>
          <w:lang w:val="en-GB"/>
        </w:rPr>
        <w:t xml:space="preserve"> global survey of health care professionals reported that management of diabetes and hypertension w</w:t>
      </w:r>
      <w:r>
        <w:rPr>
          <w:rFonts w:asciiTheme="minorHAnsi" w:hAnsiTheme="minorHAnsi" w:cstheme="minorHAnsi"/>
          <w:lang w:val="en-GB"/>
        </w:rPr>
        <w:t>as</w:t>
      </w:r>
      <w:r w:rsidRPr="00876226">
        <w:rPr>
          <w:rFonts w:asciiTheme="minorHAnsi" w:hAnsiTheme="minorHAnsi" w:cstheme="minorHAnsi"/>
          <w:lang w:val="en-GB"/>
        </w:rPr>
        <w:t xml:space="preserve"> </w:t>
      </w:r>
      <w:r>
        <w:rPr>
          <w:rFonts w:asciiTheme="minorHAnsi" w:hAnsiTheme="minorHAnsi" w:cstheme="minorHAnsi"/>
          <w:lang w:val="en-GB"/>
        </w:rPr>
        <w:t>very often</w:t>
      </w:r>
      <w:r w:rsidRPr="00876226">
        <w:rPr>
          <w:rFonts w:asciiTheme="minorHAnsi" w:hAnsiTheme="minorHAnsi" w:cstheme="minorHAnsi"/>
          <w:lang w:val="en-GB"/>
        </w:rPr>
        <w:t xml:space="preserve"> disrupted during the pandemic</w:t>
      </w:r>
      <w:r>
        <w:rPr>
          <w:rFonts w:asciiTheme="minorHAnsi" w:hAnsiTheme="minorHAnsi" w:cstheme="minorHAnsi"/>
          <w:lang w:val="en-GB"/>
        </w:rPr>
        <w:t>.</w:t>
      </w:r>
      <w:r w:rsidRPr="00876226">
        <w:rPr>
          <w:rFonts w:asciiTheme="minorHAnsi" w:hAnsiTheme="minorHAnsi" w:cstheme="minorHAnsi"/>
          <w:lang w:val="en-GB"/>
        </w:rPr>
        <w:t xml:space="preserve"> </w:t>
      </w:r>
      <w:r w:rsidRPr="00D96F48">
        <w:rPr>
          <w:rFonts w:asciiTheme="minorHAnsi" w:hAnsiTheme="minorHAnsi" w:cstheme="minorHAnsi"/>
          <w:noProof/>
          <w:vertAlign w:val="superscript"/>
          <w:lang w:val="en-GB"/>
        </w:rPr>
        <w:t>90</w:t>
      </w:r>
      <w:r w:rsidRPr="00876226">
        <w:rPr>
          <w:rFonts w:asciiTheme="minorHAnsi" w:hAnsiTheme="minorHAnsi" w:cstheme="minorHAnsi"/>
          <w:lang w:val="en-GB"/>
        </w:rPr>
        <w:t xml:space="preserve"> Additional complications have been due to</w:t>
      </w:r>
      <w:r w:rsidRPr="00277BE8">
        <w:rPr>
          <w:rFonts w:asciiTheme="minorHAnsi" w:hAnsiTheme="minorHAnsi" w:cstheme="minorHAnsi"/>
          <w:lang w:val="en-GB"/>
        </w:rPr>
        <w:t xml:space="preserve"> significant reduction</w:t>
      </w:r>
      <w:r w:rsidRPr="00B25D96">
        <w:rPr>
          <w:rFonts w:asciiTheme="minorHAnsi" w:hAnsiTheme="minorHAnsi" w:cstheme="minorHAnsi"/>
          <w:lang w:val="en-GB"/>
        </w:rPr>
        <w:t>s of physical activity</w:t>
      </w:r>
      <w:r w:rsidRPr="00812349">
        <w:rPr>
          <w:rFonts w:asciiTheme="minorHAnsi" w:hAnsiTheme="minorHAnsi" w:cstheme="minorHAnsi"/>
          <w:lang w:val="en-GB"/>
        </w:rPr>
        <w:t>, associated with weight gain</w:t>
      </w:r>
      <w:r w:rsidRPr="00D47D74">
        <w:rPr>
          <w:rFonts w:asciiTheme="minorHAnsi" w:hAnsiTheme="minorHAnsi" w:cstheme="minorHAnsi"/>
          <w:lang w:val="en-GB"/>
        </w:rPr>
        <w:t xml:space="preserve">, due to changes in eating habits. </w:t>
      </w:r>
      <w:r>
        <w:rPr>
          <w:rFonts w:asciiTheme="minorHAnsi" w:hAnsiTheme="minorHAnsi" w:cstheme="minorHAnsi"/>
          <w:lang w:val="en-GB"/>
        </w:rPr>
        <w:t>A</w:t>
      </w:r>
      <w:r w:rsidRPr="00D47D74">
        <w:rPr>
          <w:rFonts w:asciiTheme="minorHAnsi" w:hAnsiTheme="minorHAnsi" w:cstheme="minorHAnsi"/>
          <w:lang w:val="en-GB"/>
        </w:rPr>
        <w:t xml:space="preserve"> recent study showed that overall physical activity was lower in adults with ty</w:t>
      </w:r>
      <w:r w:rsidRPr="00E759C7">
        <w:rPr>
          <w:rFonts w:asciiTheme="minorHAnsi" w:hAnsiTheme="minorHAnsi" w:cstheme="minorHAnsi"/>
          <w:lang w:val="en-GB"/>
        </w:rPr>
        <w:t>pe 2 diabetes during the pandemic restrictions particularly in women, elderly, obese and those from ethnic minority populations</w:t>
      </w:r>
      <w:r>
        <w:rPr>
          <w:rFonts w:asciiTheme="minorHAnsi" w:hAnsiTheme="minorHAnsi" w:cstheme="minorHAnsi"/>
          <w:lang w:val="en-GB"/>
        </w:rPr>
        <w:t>.</w:t>
      </w:r>
      <w:r w:rsidRPr="00E759C7">
        <w:rPr>
          <w:rFonts w:asciiTheme="minorHAnsi" w:hAnsiTheme="minorHAnsi" w:cstheme="minorHAnsi"/>
          <w:lang w:val="en-GB"/>
        </w:rPr>
        <w:t xml:space="preserve"> </w:t>
      </w:r>
      <w:r w:rsidRPr="00D96F48">
        <w:rPr>
          <w:rFonts w:asciiTheme="minorHAnsi" w:hAnsiTheme="minorHAnsi" w:cstheme="minorHAnsi"/>
          <w:noProof/>
          <w:vertAlign w:val="superscript"/>
          <w:lang w:val="en-GB"/>
        </w:rPr>
        <w:t>91</w:t>
      </w:r>
      <w:r w:rsidRPr="00E72B59">
        <w:rPr>
          <w:rFonts w:asciiTheme="minorHAnsi" w:hAnsiTheme="minorHAnsi" w:cstheme="minorHAnsi"/>
          <w:lang w:val="en-GB" w:eastAsia="de-DE"/>
        </w:rPr>
        <w:t xml:space="preserve"> </w:t>
      </w:r>
      <w:r>
        <w:rPr>
          <w:rFonts w:asciiTheme="minorHAnsi" w:hAnsiTheme="minorHAnsi" w:cstheme="minorHAnsi"/>
          <w:lang w:val="en-GB" w:eastAsia="de-DE"/>
        </w:rPr>
        <w:t>Nevertheless</w:t>
      </w:r>
      <w:r w:rsidRPr="00E72B59">
        <w:rPr>
          <w:rFonts w:asciiTheme="minorHAnsi" w:hAnsiTheme="minorHAnsi" w:cstheme="minorHAnsi"/>
          <w:lang w:val="en-GB" w:eastAsia="de-DE"/>
        </w:rPr>
        <w:t>, this expected negative impact of the lockdown, retrospective analyses have actually not reported a worsening of glucose control due to life style changes</w:t>
      </w:r>
      <w:r>
        <w:rPr>
          <w:rFonts w:asciiTheme="minorHAnsi" w:hAnsiTheme="minorHAnsi" w:cstheme="minorHAnsi"/>
          <w:lang w:val="en-GB" w:eastAsia="de-DE"/>
        </w:rPr>
        <w:t>.</w:t>
      </w:r>
      <w:r w:rsidRPr="00E72B59">
        <w:rPr>
          <w:rFonts w:asciiTheme="minorHAnsi" w:hAnsiTheme="minorHAnsi" w:cstheme="minorHAnsi"/>
          <w:lang w:val="en-GB" w:eastAsia="de-DE"/>
        </w:rPr>
        <w:t xml:space="preserve"> </w:t>
      </w:r>
      <w:r w:rsidRPr="00D96F48">
        <w:rPr>
          <w:rFonts w:asciiTheme="minorHAnsi" w:hAnsiTheme="minorHAnsi" w:cstheme="minorHAnsi"/>
          <w:noProof/>
          <w:vertAlign w:val="superscript"/>
          <w:lang w:val="en-GB" w:eastAsia="de-DE"/>
        </w:rPr>
        <w:t>92</w:t>
      </w:r>
    </w:p>
    <w:p w:rsidR="006419BC" w:rsidRPr="00876226" w:rsidRDefault="006419BC" w:rsidP="003D77A9">
      <w:pPr>
        <w:autoSpaceDE w:val="0"/>
        <w:autoSpaceDN w:val="0"/>
        <w:adjustRightInd w:val="0"/>
        <w:spacing w:after="0" w:line="480" w:lineRule="auto"/>
        <w:jc w:val="both"/>
        <w:rPr>
          <w:rFonts w:cstheme="minorHAnsi"/>
          <w:lang w:val="en-GB" w:eastAsia="de-DE"/>
        </w:rPr>
      </w:pPr>
      <w:r>
        <w:rPr>
          <w:rFonts w:cstheme="minorHAnsi"/>
          <w:bCs/>
          <w:lang w:val="en-GB" w:eastAsia="de-DE"/>
        </w:rPr>
        <w:t>On the other hand, i</w:t>
      </w:r>
      <w:r w:rsidRPr="00E759C7">
        <w:rPr>
          <w:rFonts w:cstheme="minorHAnsi"/>
          <w:bCs/>
          <w:lang w:val="en-GB" w:eastAsia="de-DE"/>
        </w:rPr>
        <w:t>t is evident</w:t>
      </w:r>
      <w:r w:rsidRPr="00E759C7">
        <w:rPr>
          <w:rFonts w:cstheme="minorHAnsi"/>
          <w:lang w:val="en-GB" w:eastAsia="de-DE"/>
        </w:rPr>
        <w:t xml:space="preserve"> that an endemic increase in excess weight and obesity in the population suggested to have caused more than a doubling of type 2 diabetes numbers over the last two decades, has now contributed to an excess of deaths due to COVID-19</w:t>
      </w:r>
      <w:r>
        <w:rPr>
          <w:rFonts w:cstheme="minorHAnsi"/>
          <w:lang w:val="en-GB" w:eastAsia="de-DE"/>
        </w:rPr>
        <w:t xml:space="preserve">. </w:t>
      </w:r>
      <w:r w:rsidRPr="00D96F48">
        <w:rPr>
          <w:rFonts w:cstheme="minorHAnsi"/>
          <w:noProof/>
          <w:vertAlign w:val="superscript"/>
          <w:lang w:val="en-GB" w:eastAsia="de-DE"/>
        </w:rPr>
        <w:t>93</w:t>
      </w:r>
      <w:r w:rsidRPr="00876226">
        <w:rPr>
          <w:rFonts w:cstheme="minorHAnsi"/>
          <w:lang w:val="en-GB" w:eastAsia="de-DE"/>
        </w:rPr>
        <w:t xml:space="preserve"> There</w:t>
      </w:r>
      <w:r>
        <w:rPr>
          <w:rFonts w:cstheme="minorHAnsi"/>
          <w:lang w:val="en-GB" w:eastAsia="de-DE"/>
        </w:rPr>
        <w:t>fore, there</w:t>
      </w:r>
      <w:r w:rsidRPr="00876226">
        <w:rPr>
          <w:rFonts w:cstheme="minorHAnsi"/>
          <w:lang w:val="en-GB" w:eastAsia="de-DE"/>
        </w:rPr>
        <w:t xml:space="preserve"> is an urgent need for expert advocacy for societal </w:t>
      </w:r>
      <w:r w:rsidRPr="00B25D96">
        <w:rPr>
          <w:rFonts w:cstheme="minorHAnsi"/>
          <w:lang w:val="en-GB" w:eastAsia="de-DE"/>
        </w:rPr>
        <w:t xml:space="preserve">changes </w:t>
      </w:r>
      <w:r w:rsidRPr="00812349">
        <w:rPr>
          <w:rFonts w:cstheme="minorHAnsi"/>
          <w:lang w:val="en-GB" w:eastAsia="de-DE"/>
        </w:rPr>
        <w:t xml:space="preserve">for prevention of type 2 diabetes and obesity </w:t>
      </w:r>
      <w:r w:rsidRPr="00D47D74">
        <w:rPr>
          <w:rFonts w:cstheme="minorHAnsi"/>
          <w:lang w:val="en-GB" w:eastAsia="de-DE"/>
        </w:rPr>
        <w:t>directed at improving the diet and lifestyle of population</w:t>
      </w:r>
      <w:r w:rsidRPr="00E759C7">
        <w:rPr>
          <w:rFonts w:cstheme="minorHAnsi"/>
          <w:lang w:val="en-GB" w:eastAsia="de-DE"/>
        </w:rPr>
        <w:t xml:space="preserve">s. </w:t>
      </w:r>
      <w:r>
        <w:rPr>
          <w:rFonts w:cstheme="minorHAnsi"/>
          <w:lang w:val="en-GB" w:eastAsia="de-DE"/>
        </w:rPr>
        <w:t>I</w:t>
      </w:r>
      <w:r w:rsidRPr="00876226">
        <w:rPr>
          <w:rFonts w:cstheme="minorHAnsi"/>
          <w:lang w:val="en-GB" w:eastAsia="de-DE"/>
        </w:rPr>
        <w:t xml:space="preserve">ndividually-targeted evidence-based health promotion, weight management, </w:t>
      </w:r>
      <w:r w:rsidRPr="00B25D96">
        <w:rPr>
          <w:rFonts w:cstheme="minorHAnsi"/>
          <w:lang w:val="en-GB" w:eastAsia="de-DE"/>
        </w:rPr>
        <w:t>behavioural</w:t>
      </w:r>
      <w:r w:rsidRPr="00812349">
        <w:rPr>
          <w:rFonts w:cstheme="minorHAnsi"/>
          <w:lang w:val="en-GB" w:eastAsia="de-DE"/>
        </w:rPr>
        <w:t xml:space="preserve"> change and psycho-social support </w:t>
      </w:r>
      <w:r w:rsidRPr="00D47D74">
        <w:rPr>
          <w:rFonts w:cstheme="minorHAnsi"/>
          <w:lang w:val="en-GB" w:eastAsia="de-DE"/>
        </w:rPr>
        <w:t>services need vigorous support from those in the front-line</w:t>
      </w:r>
      <w:r>
        <w:rPr>
          <w:rFonts w:cstheme="minorHAnsi"/>
          <w:lang w:val="en-GB" w:eastAsia="de-DE"/>
        </w:rPr>
        <w:t>.</w:t>
      </w:r>
      <w:r w:rsidRPr="00D47D74">
        <w:rPr>
          <w:rFonts w:cstheme="minorHAnsi"/>
          <w:lang w:val="en-GB" w:eastAsia="de-DE"/>
        </w:rPr>
        <w:t xml:space="preserve"> </w:t>
      </w:r>
      <w:r w:rsidRPr="00D96F48">
        <w:rPr>
          <w:rFonts w:cstheme="minorHAnsi"/>
          <w:noProof/>
          <w:vertAlign w:val="superscript"/>
          <w:lang w:val="en-GB" w:eastAsia="de-DE"/>
        </w:rPr>
        <w:t>94</w:t>
      </w:r>
    </w:p>
    <w:p w:rsidR="006419BC" w:rsidRPr="00E759C7" w:rsidRDefault="006419BC" w:rsidP="003D77A9">
      <w:pPr>
        <w:spacing w:line="480" w:lineRule="auto"/>
        <w:jc w:val="both"/>
        <w:rPr>
          <w:rFonts w:cstheme="minorHAnsi"/>
          <w:lang w:val="en-GB"/>
        </w:rPr>
      </w:pPr>
      <w:r w:rsidRPr="002A5262">
        <w:rPr>
          <w:rFonts w:cstheme="minorHAnsi"/>
          <w:lang w:val="en-GB"/>
        </w:rPr>
        <w:t>An increase in perceived stress has been shown to be associated with worse glycaemic control and increased COVID-19 risk</w:t>
      </w:r>
      <w:r>
        <w:rPr>
          <w:rFonts w:cstheme="minorHAnsi"/>
          <w:lang w:val="en-GB"/>
        </w:rPr>
        <w:t xml:space="preserve">. </w:t>
      </w:r>
      <w:r w:rsidRPr="00D96F48">
        <w:rPr>
          <w:rFonts w:cstheme="minorHAnsi"/>
          <w:noProof/>
          <w:vertAlign w:val="superscript"/>
          <w:lang w:val="en-GB"/>
        </w:rPr>
        <w:t>95,96</w:t>
      </w:r>
      <w:r w:rsidRPr="00876226">
        <w:rPr>
          <w:rFonts w:cstheme="minorHAnsi"/>
          <w:lang w:val="en-GB"/>
        </w:rPr>
        <w:t xml:space="preserve"> </w:t>
      </w:r>
      <w:r w:rsidRPr="00B25D96">
        <w:rPr>
          <w:rFonts w:cstheme="minorHAnsi"/>
          <w:lang w:val="en-GB" w:eastAsia="de-DE"/>
        </w:rPr>
        <w:t xml:space="preserve">Strategies to avoid physical inactivity, and reduce stress levels can promote cardiovascular protection and </w:t>
      </w:r>
      <w:r w:rsidRPr="00812349">
        <w:rPr>
          <w:rFonts w:cstheme="minorHAnsi"/>
          <w:lang w:val="en-GB" w:eastAsia="de-DE"/>
        </w:rPr>
        <w:t xml:space="preserve">has to be considered during COVID-19 time. </w:t>
      </w:r>
      <w:r w:rsidRPr="00812349">
        <w:rPr>
          <w:rFonts w:cstheme="minorHAnsi"/>
          <w:lang w:val="en-GB"/>
        </w:rPr>
        <w:t>Promot</w:t>
      </w:r>
      <w:r w:rsidRPr="00D47D74">
        <w:rPr>
          <w:rFonts w:cstheme="minorHAnsi"/>
          <w:lang w:val="en-GB"/>
        </w:rPr>
        <w:t xml:space="preserve">ion of physical activity is prioritised by public health agencies and incorporated into routine medical care </w:t>
      </w:r>
      <w:r w:rsidRPr="00E759C7">
        <w:rPr>
          <w:rFonts w:cstheme="minorHAnsi"/>
          <w:lang w:val="en-GB"/>
        </w:rPr>
        <w:t xml:space="preserve">(Table 2), and </w:t>
      </w:r>
      <w:r w:rsidRPr="00E759C7">
        <w:rPr>
          <w:rFonts w:cstheme="minorHAnsi"/>
          <w:lang w:val="en-GB" w:eastAsia="de-DE"/>
        </w:rPr>
        <w:t>a home-based training protocol could be an important and effective strategy for populations needing to remain safe and physically active at home</w:t>
      </w:r>
      <w:r>
        <w:rPr>
          <w:rFonts w:cstheme="minorHAnsi"/>
          <w:lang w:val="en-GB" w:eastAsia="de-DE"/>
        </w:rPr>
        <w:t xml:space="preserve">. </w:t>
      </w:r>
      <w:r w:rsidRPr="00D96F48">
        <w:rPr>
          <w:rFonts w:cstheme="minorHAnsi"/>
          <w:noProof/>
          <w:vertAlign w:val="superscript"/>
          <w:lang w:val="en-GB" w:eastAsia="de-DE"/>
        </w:rPr>
        <w:t>97</w:t>
      </w:r>
      <w:r w:rsidRPr="00876226">
        <w:rPr>
          <w:rFonts w:cstheme="minorHAnsi"/>
          <w:lang w:val="en-GB" w:eastAsia="de-DE"/>
        </w:rPr>
        <w:t xml:space="preserve"> </w:t>
      </w:r>
      <w:r w:rsidRPr="00876226">
        <w:rPr>
          <w:rFonts w:cstheme="minorHAnsi"/>
          <w:bCs/>
          <w:lang w:val="en-GB"/>
        </w:rPr>
        <w:t>The interlinked patho-mechanisms between</w:t>
      </w:r>
      <w:r w:rsidRPr="00277BE8">
        <w:rPr>
          <w:rFonts w:cstheme="minorHAnsi"/>
          <w:bCs/>
          <w:lang w:val="en-GB"/>
        </w:rPr>
        <w:t xml:space="preserve"> metabolic diseases and COVID-19 create the pathophysiological basis for how to treat diabetes along with controlling dysglycaemia.</w:t>
      </w:r>
      <w:r w:rsidRPr="00B25D96">
        <w:rPr>
          <w:rFonts w:cstheme="minorHAnsi"/>
          <w:lang w:val="en-GB"/>
        </w:rPr>
        <w:t xml:space="preserve"> Managing </w:t>
      </w:r>
      <w:r w:rsidRPr="00812349">
        <w:rPr>
          <w:rFonts w:cstheme="minorHAnsi"/>
          <w:lang w:val="en-GB"/>
        </w:rPr>
        <w:t xml:space="preserve">type 2 diabetes should always include </w:t>
      </w:r>
      <w:r w:rsidRPr="00812349">
        <w:rPr>
          <w:rFonts w:cstheme="minorHAnsi"/>
          <w:lang w:val="en-GB"/>
        </w:rPr>
        <w:lastRenderedPageBreak/>
        <w:t xml:space="preserve">a component of reducing or eliminating insulin resistance in </w:t>
      </w:r>
      <w:r w:rsidRPr="00E759C7">
        <w:rPr>
          <w:rFonts w:cstheme="minorHAnsi"/>
          <w:lang w:val="en-GB"/>
        </w:rPr>
        <w:t xml:space="preserve">these patients as well as reducing hyperglycaemia (Table 2). </w:t>
      </w:r>
    </w:p>
    <w:p w:rsidR="006419BC" w:rsidRPr="00812349" w:rsidRDefault="006419BC" w:rsidP="000165A3">
      <w:pPr>
        <w:spacing w:line="480" w:lineRule="auto"/>
        <w:jc w:val="both"/>
        <w:rPr>
          <w:rFonts w:cstheme="minorHAnsi"/>
          <w:lang w:val="en-GB"/>
        </w:rPr>
      </w:pPr>
      <w:r w:rsidRPr="00710071">
        <w:rPr>
          <w:rFonts w:cstheme="minorHAnsi"/>
          <w:lang w:val="en-GB"/>
        </w:rPr>
        <w:t>In the last year, we have gained substantial insights into</w:t>
      </w:r>
      <w:r w:rsidRPr="00276A60">
        <w:rPr>
          <w:rFonts w:cstheme="minorHAnsi"/>
          <w:lang w:val="en-GB"/>
        </w:rPr>
        <w:t xml:space="preserve"> the association of glucose-lowering therapies and drug classes and their association with COVID-19 related mortality (Table 3)</w:t>
      </w:r>
      <w:r>
        <w:rPr>
          <w:rFonts w:cstheme="minorHAnsi"/>
          <w:lang w:val="en-GB"/>
        </w:rPr>
        <w:t xml:space="preserve">. </w:t>
      </w:r>
      <w:r w:rsidRPr="00D96F48">
        <w:rPr>
          <w:rFonts w:cstheme="minorHAnsi"/>
          <w:noProof/>
          <w:vertAlign w:val="superscript"/>
          <w:lang w:val="en-GB"/>
        </w:rPr>
        <w:t>68,98</w:t>
      </w:r>
      <w:r>
        <w:rPr>
          <w:rFonts w:cstheme="minorHAnsi"/>
          <w:lang w:val="en-GB"/>
        </w:rPr>
        <w:t xml:space="preserve"> </w:t>
      </w:r>
      <w:r w:rsidRPr="00812349">
        <w:rPr>
          <w:rFonts w:cstheme="minorHAnsi"/>
          <w:lang w:val="en-GB"/>
        </w:rPr>
        <w:t>Th</w:t>
      </w:r>
      <w:r>
        <w:rPr>
          <w:rFonts w:cstheme="minorHAnsi"/>
          <w:lang w:val="en-GB"/>
        </w:rPr>
        <w:t>ese results</w:t>
      </w:r>
      <w:r w:rsidRPr="00812349">
        <w:rPr>
          <w:rFonts w:cstheme="minorHAnsi"/>
          <w:lang w:val="en-GB"/>
        </w:rPr>
        <w:t xml:space="preserve"> indicated that there is no reason to cease anti-diabetic or hypertensive medication during the pandemic. </w:t>
      </w:r>
      <w:r w:rsidRPr="00876226">
        <w:rPr>
          <w:rFonts w:cstheme="minorHAnsi"/>
          <w:lang w:val="en-GB"/>
        </w:rPr>
        <w:t xml:space="preserve">However, </w:t>
      </w:r>
      <w:r>
        <w:rPr>
          <w:rFonts w:cstheme="minorHAnsi"/>
          <w:lang w:val="en-GB"/>
        </w:rPr>
        <w:t xml:space="preserve">as </w:t>
      </w:r>
      <w:r w:rsidRPr="00876226">
        <w:rPr>
          <w:rFonts w:cstheme="minorHAnsi"/>
          <w:lang w:val="en-GB"/>
        </w:rPr>
        <w:t xml:space="preserve">most studies were </w:t>
      </w:r>
      <w:r>
        <w:rPr>
          <w:rFonts w:cstheme="minorHAnsi"/>
          <w:lang w:val="en-GB"/>
        </w:rPr>
        <w:t>observational, performed retrospectively,</w:t>
      </w:r>
      <w:r w:rsidRPr="00B25D96">
        <w:rPr>
          <w:rFonts w:cstheme="minorHAnsi"/>
          <w:lang w:val="en-GB"/>
        </w:rPr>
        <w:t xml:space="preserve"> and may have been affected by confounding by </w:t>
      </w:r>
      <w:r>
        <w:rPr>
          <w:rFonts w:cstheme="minorHAnsi"/>
          <w:lang w:val="en-GB"/>
        </w:rPr>
        <w:t xml:space="preserve">indication, proper </w:t>
      </w:r>
      <w:r w:rsidRPr="00812349">
        <w:rPr>
          <w:rFonts w:cstheme="minorHAnsi"/>
          <w:lang w:val="en-GB"/>
        </w:rPr>
        <w:t>clinical studies</w:t>
      </w:r>
      <w:r>
        <w:rPr>
          <w:rFonts w:cstheme="minorHAnsi"/>
          <w:lang w:val="en-GB"/>
        </w:rPr>
        <w:t xml:space="preserve"> are urgently needed</w:t>
      </w:r>
      <w:r w:rsidRPr="00B25D96">
        <w:rPr>
          <w:rFonts w:cstheme="minorHAnsi"/>
          <w:lang w:val="en-GB"/>
        </w:rPr>
        <w:t xml:space="preserve">. Until now, only one </w:t>
      </w:r>
      <w:r>
        <w:rPr>
          <w:rFonts w:cstheme="minorHAnsi"/>
          <w:lang w:val="en-GB"/>
        </w:rPr>
        <w:t>single randomis</w:t>
      </w:r>
      <w:r w:rsidRPr="00B25D96">
        <w:rPr>
          <w:rFonts w:cstheme="minorHAnsi"/>
          <w:lang w:val="en-GB"/>
        </w:rPr>
        <w:t xml:space="preserve">ed </w:t>
      </w:r>
      <w:r>
        <w:rPr>
          <w:rFonts w:cstheme="minorHAnsi"/>
          <w:lang w:val="en-GB"/>
        </w:rPr>
        <w:t>double-blind, placebo-controlled</w:t>
      </w:r>
      <w:r w:rsidRPr="00B25D96">
        <w:rPr>
          <w:rFonts w:cstheme="minorHAnsi"/>
          <w:lang w:val="en-GB"/>
        </w:rPr>
        <w:t xml:space="preserve"> trial</w:t>
      </w:r>
      <w:r>
        <w:rPr>
          <w:rFonts w:cstheme="minorHAnsi"/>
          <w:lang w:val="en-GB"/>
        </w:rPr>
        <w:t xml:space="preserve"> of a glucose lowering agent in patients hospitalised with COVID-19 and at least one cardiometabolic risk factor has been published </w:t>
      </w:r>
      <w:r w:rsidRPr="00B25D96">
        <w:rPr>
          <w:rFonts w:cstheme="minorHAnsi"/>
          <w:lang w:val="en-GB"/>
        </w:rPr>
        <w:t>(DARE-19)</w:t>
      </w:r>
      <w:r>
        <w:rPr>
          <w:rFonts w:cstheme="minorHAnsi"/>
          <w:lang w:val="en-GB"/>
        </w:rPr>
        <w:t xml:space="preserve">. </w:t>
      </w:r>
      <w:r w:rsidRPr="00D96F48">
        <w:rPr>
          <w:rFonts w:cstheme="minorHAnsi"/>
          <w:noProof/>
          <w:vertAlign w:val="superscript"/>
          <w:lang w:val="en-GB"/>
        </w:rPr>
        <w:t>99</w:t>
      </w:r>
      <w:r w:rsidRPr="00B25D96">
        <w:rPr>
          <w:rFonts w:cstheme="minorHAnsi"/>
          <w:lang w:val="en-GB"/>
        </w:rPr>
        <w:t xml:space="preserve"> This study</w:t>
      </w:r>
      <w:r>
        <w:rPr>
          <w:rFonts w:cstheme="minorHAnsi"/>
          <w:lang w:val="en-GB"/>
        </w:rPr>
        <w:t>,</w:t>
      </w:r>
      <w:r w:rsidRPr="00B25D96">
        <w:rPr>
          <w:rFonts w:cstheme="minorHAnsi"/>
          <w:lang w:val="en-GB"/>
        </w:rPr>
        <w:t xml:space="preserve"> </w:t>
      </w:r>
      <w:r>
        <w:rPr>
          <w:rFonts w:cstheme="minorHAnsi"/>
          <w:lang w:val="en-GB"/>
        </w:rPr>
        <w:t xml:space="preserve">excluding critically ill patients, </w:t>
      </w:r>
      <w:r w:rsidRPr="002A2099">
        <w:rPr>
          <w:rFonts w:cstheme="minorHAnsi"/>
          <w:lang w:val="en-GB"/>
        </w:rPr>
        <w:t>showed</w:t>
      </w:r>
      <w:r w:rsidRPr="00053387">
        <w:rPr>
          <w:rFonts w:cstheme="minorHAnsi"/>
          <w:lang w:val="en-GB"/>
        </w:rPr>
        <w:t xml:space="preserve"> the SGLT2 inhibitor Dapagliflozin</w:t>
      </w:r>
      <w:r>
        <w:rPr>
          <w:rFonts w:cstheme="minorHAnsi"/>
          <w:lang w:val="en-GB"/>
        </w:rPr>
        <w:t xml:space="preserve"> was safe and well tolerated but did neither result in a statistically significant risk reduction in organ dysfunction or death, nor in improvement in clinical recovery. </w:t>
      </w:r>
      <w:r w:rsidRPr="00D96F48">
        <w:rPr>
          <w:rFonts w:cstheme="minorHAnsi"/>
          <w:noProof/>
          <w:vertAlign w:val="superscript"/>
          <w:lang w:val="en-GB"/>
        </w:rPr>
        <w:t>99</w:t>
      </w:r>
      <w:r>
        <w:rPr>
          <w:rFonts w:cstheme="minorHAnsi"/>
          <w:lang w:val="en-GB"/>
        </w:rPr>
        <w:t xml:space="preserve"> Another observatory study </w:t>
      </w:r>
      <w:r>
        <w:rPr>
          <w:rFonts w:cstheme="minorHAnsi"/>
          <w:lang w:val="en-GB"/>
        </w:rPr>
        <w:t>u</w:t>
      </w:r>
      <w:r w:rsidRPr="00276A60">
        <w:rPr>
          <w:rFonts w:cstheme="minorHAnsi"/>
          <w:lang w:val="en-GB"/>
        </w:rPr>
        <w:t>sing SGLT2 inhibitors in patients with type 2 diabetes and COVID-19 was associated with an 18% reduction in mortality</w:t>
      </w:r>
      <w:r>
        <w:rPr>
          <w:rFonts w:cstheme="minorHAnsi"/>
          <w:lang w:val="en-GB"/>
        </w:rPr>
        <w:t>.</w:t>
      </w:r>
      <w:r w:rsidRPr="00276A60">
        <w:rPr>
          <w:rFonts w:cstheme="minorHAnsi"/>
          <w:lang w:val="en-GB"/>
        </w:rPr>
        <w:t xml:space="preserve"> </w:t>
      </w:r>
      <w:r w:rsidRPr="00F34EF5">
        <w:rPr>
          <w:rFonts w:cstheme="minorHAnsi"/>
          <w:noProof/>
          <w:vertAlign w:val="superscript"/>
          <w:lang w:val="en-GB"/>
        </w:rPr>
        <w:t>68</w:t>
      </w:r>
      <w:r w:rsidRPr="00876226">
        <w:rPr>
          <w:rFonts w:cstheme="minorHAnsi"/>
          <w:lang w:val="en-GB"/>
        </w:rPr>
        <w:t xml:space="preserve"> </w:t>
      </w:r>
      <w:r>
        <w:rPr>
          <w:rFonts w:cstheme="minorHAnsi"/>
          <w:lang w:val="en-GB"/>
        </w:rPr>
        <w:t>However, t</w:t>
      </w:r>
      <w:r w:rsidRPr="00876226">
        <w:rPr>
          <w:rFonts w:cstheme="minorHAnsi"/>
          <w:lang w:val="en-GB"/>
        </w:rPr>
        <w:t xml:space="preserve">his is likely due to </w:t>
      </w:r>
      <w:r w:rsidRPr="00B25D96">
        <w:rPr>
          <w:rFonts w:cstheme="minorHAnsi"/>
          <w:lang w:val="en-GB"/>
        </w:rPr>
        <w:t>con</w:t>
      </w:r>
      <w:r w:rsidRPr="00812349">
        <w:rPr>
          <w:rFonts w:cstheme="minorHAnsi"/>
          <w:lang w:val="en-GB"/>
        </w:rPr>
        <w:t>founding by indication with reduced use in the elderly</w:t>
      </w:r>
      <w:r w:rsidRPr="00D47D74">
        <w:rPr>
          <w:rFonts w:cstheme="minorHAnsi"/>
          <w:lang w:val="en-GB"/>
        </w:rPr>
        <w:t xml:space="preserve">, particularly those with renal insufficiency and </w:t>
      </w:r>
      <w:r w:rsidRPr="00710071">
        <w:rPr>
          <w:rFonts w:cstheme="minorHAnsi"/>
          <w:lang w:val="en-GB"/>
        </w:rPr>
        <w:t xml:space="preserve">frailty. </w:t>
      </w:r>
      <w:r>
        <w:rPr>
          <w:rFonts w:cstheme="minorHAnsi"/>
          <w:lang w:val="en-GB"/>
        </w:rPr>
        <w:t xml:space="preserve">However, </w:t>
      </w:r>
      <w:r>
        <w:rPr>
          <w:rFonts w:cstheme="minorHAnsi"/>
          <w:lang w:val="en-GB"/>
        </w:rPr>
        <w:t>c</w:t>
      </w:r>
      <w:r w:rsidRPr="00710071">
        <w:rPr>
          <w:rFonts w:cstheme="minorHAnsi"/>
          <w:lang w:val="en-GB"/>
        </w:rPr>
        <w:t>aution should be taken when using these drugs because they require hydration and appropriateness of insulin doses to prevent euglycaemic or hyperglyc</w:t>
      </w:r>
      <w:r w:rsidRPr="00276A60">
        <w:rPr>
          <w:rFonts w:cstheme="minorHAnsi"/>
          <w:lang w:val="en-GB"/>
        </w:rPr>
        <w:t>aemic ketoacidosis (Table 1).</w:t>
      </w:r>
    </w:p>
    <w:p w:rsidR="006419BC" w:rsidRDefault="006419BC" w:rsidP="000165A3">
      <w:pPr>
        <w:autoSpaceDE w:val="0"/>
        <w:autoSpaceDN w:val="0"/>
        <w:adjustRightInd w:val="0"/>
        <w:spacing w:after="0" w:line="480" w:lineRule="auto"/>
        <w:jc w:val="both"/>
        <w:rPr>
          <w:rFonts w:cstheme="minorHAnsi"/>
          <w:lang w:val="en-GB"/>
        </w:rPr>
      </w:pPr>
      <w:r w:rsidRPr="00812349">
        <w:rPr>
          <w:rFonts w:cstheme="minorHAnsi"/>
          <w:lang w:val="en-GB"/>
        </w:rPr>
        <w:t xml:space="preserve">In addition to the findings that </w:t>
      </w:r>
      <w:r>
        <w:rPr>
          <w:rFonts w:cstheme="minorHAnsi"/>
          <w:lang w:val="en-GB"/>
        </w:rPr>
        <w:t xml:space="preserve">Dapagliflozin </w:t>
      </w:r>
      <w:r w:rsidRPr="00812349">
        <w:rPr>
          <w:rFonts w:cstheme="minorHAnsi"/>
          <w:lang w:val="en-GB"/>
        </w:rPr>
        <w:t>had no negative effect on pre-disposition for SARS-CoV-2 infection or aggravation of the disease course</w:t>
      </w:r>
      <w:r w:rsidRPr="00D47D74">
        <w:rPr>
          <w:rFonts w:cstheme="minorHAnsi"/>
          <w:lang w:val="en-GB"/>
        </w:rPr>
        <w:t xml:space="preserve">, there has been suggestions that DPP4 inhibitors </w:t>
      </w:r>
      <w:r>
        <w:rPr>
          <w:rFonts w:cstheme="minorHAnsi"/>
          <w:lang w:val="en-GB"/>
        </w:rPr>
        <w:t xml:space="preserve">and metformin </w:t>
      </w:r>
      <w:r w:rsidRPr="00C92A01">
        <w:rPr>
          <w:rFonts w:cstheme="minorHAnsi"/>
          <w:lang w:val="en-GB"/>
        </w:rPr>
        <w:t>may even exert protective effects against SARS-CoV-2 infection (Table 1)</w:t>
      </w:r>
      <w:r>
        <w:rPr>
          <w:rFonts w:cstheme="minorHAnsi"/>
          <w:lang w:val="en-GB"/>
        </w:rPr>
        <w:t>.</w:t>
      </w:r>
      <w:r w:rsidRPr="00C92A01">
        <w:rPr>
          <w:rFonts w:cstheme="minorHAnsi"/>
          <w:lang w:val="en-GB"/>
        </w:rPr>
        <w:t xml:space="preserve"> </w:t>
      </w:r>
      <w:r w:rsidRPr="00D96F48">
        <w:rPr>
          <w:rFonts w:cstheme="minorHAnsi"/>
          <w:noProof/>
          <w:vertAlign w:val="superscript"/>
          <w:lang w:val="en-GB"/>
        </w:rPr>
        <w:t>100,101</w:t>
      </w:r>
      <w:r w:rsidRPr="00876226">
        <w:rPr>
          <w:rFonts w:cstheme="minorHAnsi"/>
          <w:lang w:val="en-GB"/>
        </w:rPr>
        <w:t xml:space="preserve"> </w:t>
      </w:r>
      <w:r w:rsidRPr="00276A60">
        <w:rPr>
          <w:rFonts w:cstheme="minorHAnsi"/>
          <w:lang w:val="en-GB"/>
        </w:rPr>
        <w:t>A number of multicentre observational studies reported either no or reduced association with the use of DPP-4 inhibitors and COVID-19-related mortality</w:t>
      </w:r>
      <w:r>
        <w:rPr>
          <w:rFonts w:cstheme="minorHAnsi"/>
          <w:lang w:val="en-GB"/>
        </w:rPr>
        <w:t xml:space="preserve">. </w:t>
      </w:r>
      <w:r w:rsidRPr="00D96F48">
        <w:rPr>
          <w:rFonts w:cstheme="minorHAnsi"/>
          <w:noProof/>
          <w:vertAlign w:val="superscript"/>
          <w:lang w:val="en-GB"/>
        </w:rPr>
        <w:t>102-104</w:t>
      </w:r>
      <w:r w:rsidRPr="00876226">
        <w:rPr>
          <w:rFonts w:cstheme="minorHAnsi"/>
          <w:lang w:val="en-GB"/>
        </w:rPr>
        <w:t xml:space="preserve"> The DPP-4 inhibitors belong to</w:t>
      </w:r>
      <w:r w:rsidRPr="00277BE8">
        <w:rPr>
          <w:rFonts w:cstheme="minorHAnsi"/>
          <w:lang w:val="en-GB"/>
        </w:rPr>
        <w:t xml:space="preserve"> a group of drugs associated with many advantage</w:t>
      </w:r>
      <w:r w:rsidRPr="00B25D96">
        <w:rPr>
          <w:rFonts w:cstheme="minorHAnsi"/>
          <w:lang w:val="en-GB"/>
        </w:rPr>
        <w:t>s, even in severe cases of COVID-19 (Table 3)</w:t>
      </w:r>
      <w:r w:rsidRPr="00812349">
        <w:rPr>
          <w:rFonts w:cstheme="minorHAnsi"/>
          <w:lang w:val="en-GB"/>
        </w:rPr>
        <w:t xml:space="preserve">. They are well tolerated, can be used </w:t>
      </w:r>
      <w:r w:rsidRPr="00710071">
        <w:rPr>
          <w:rFonts w:cstheme="minorHAnsi"/>
          <w:lang w:val="en-GB"/>
        </w:rPr>
        <w:t>dose-adapted even in end stage</w:t>
      </w:r>
      <w:r w:rsidRPr="00276A60">
        <w:rPr>
          <w:rFonts w:cstheme="minorHAnsi"/>
          <w:lang w:val="en-GB"/>
        </w:rPr>
        <w:t xml:space="preserve"> renal disease (except saxagliptin), and have a low risk of hypoglycaemia. In a recent analysis in the UK, they had a slightly increased mortality in persons above </w:t>
      </w:r>
      <w:r w:rsidRPr="00276A60">
        <w:rPr>
          <w:rFonts w:cstheme="minorHAnsi"/>
          <w:color w:val="000000" w:themeColor="text1"/>
          <w:lang w:val="en-GB"/>
        </w:rPr>
        <w:t>70 years</w:t>
      </w:r>
      <w:r>
        <w:rPr>
          <w:rFonts w:cstheme="minorHAnsi"/>
          <w:color w:val="000000" w:themeColor="text1"/>
          <w:lang w:val="en-GB"/>
        </w:rPr>
        <w:t>.</w:t>
      </w:r>
      <w:r w:rsidRPr="00276A60">
        <w:rPr>
          <w:rFonts w:cstheme="minorHAnsi"/>
          <w:color w:val="000000" w:themeColor="text1"/>
          <w:lang w:val="en-GB"/>
        </w:rPr>
        <w:t xml:space="preserve"> </w:t>
      </w:r>
      <w:r>
        <w:rPr>
          <w:rFonts w:cstheme="minorHAnsi"/>
          <w:noProof/>
          <w:color w:val="000000" w:themeColor="text1"/>
          <w:vertAlign w:val="superscript"/>
          <w:lang w:val="en-GB"/>
        </w:rPr>
        <w:t>57</w:t>
      </w:r>
      <w:r w:rsidRPr="00876226">
        <w:rPr>
          <w:rFonts w:cstheme="minorHAnsi"/>
          <w:color w:val="000000" w:themeColor="text1"/>
          <w:lang w:val="en-GB"/>
        </w:rPr>
        <w:t xml:space="preserve"> </w:t>
      </w:r>
      <w:r w:rsidRPr="00876226">
        <w:rPr>
          <w:rFonts w:cstheme="minorHAnsi"/>
          <w:lang w:val="en-GB"/>
        </w:rPr>
        <w:t xml:space="preserve">However, this was </w:t>
      </w:r>
      <w:r>
        <w:rPr>
          <w:rFonts w:cstheme="minorHAnsi"/>
          <w:lang w:val="en-GB"/>
        </w:rPr>
        <w:t xml:space="preserve">again </w:t>
      </w:r>
      <w:r w:rsidRPr="00876226">
        <w:rPr>
          <w:rFonts w:cstheme="minorHAnsi"/>
          <w:lang w:val="en-GB"/>
        </w:rPr>
        <w:t>likely due to confounding by indication.</w:t>
      </w:r>
      <w:r w:rsidRPr="00277BE8">
        <w:rPr>
          <w:rFonts w:cstheme="minorHAnsi"/>
          <w:lang w:val="en-GB"/>
        </w:rPr>
        <w:t xml:space="preserve"> </w:t>
      </w:r>
    </w:p>
    <w:p w:rsidR="006419BC" w:rsidRPr="00276A60" w:rsidRDefault="006419BC" w:rsidP="000165A3">
      <w:pPr>
        <w:autoSpaceDE w:val="0"/>
        <w:autoSpaceDN w:val="0"/>
        <w:adjustRightInd w:val="0"/>
        <w:spacing w:after="0" w:line="480" w:lineRule="auto"/>
        <w:jc w:val="both"/>
        <w:rPr>
          <w:rFonts w:cstheme="minorHAnsi"/>
          <w:lang w:val="en-GB"/>
        </w:rPr>
      </w:pPr>
      <w:r w:rsidRPr="00876226">
        <w:rPr>
          <w:rFonts w:cstheme="minorHAnsi"/>
          <w:lang w:val="en-GB"/>
        </w:rPr>
        <w:lastRenderedPageBreak/>
        <w:t xml:space="preserve">Metformin </w:t>
      </w:r>
      <w:r>
        <w:rPr>
          <w:rFonts w:cstheme="minorHAnsi"/>
          <w:lang w:val="en-GB"/>
        </w:rPr>
        <w:t>seems to be</w:t>
      </w:r>
      <w:r w:rsidRPr="00876226">
        <w:rPr>
          <w:rFonts w:cstheme="minorHAnsi"/>
          <w:lang w:val="en-GB"/>
        </w:rPr>
        <w:t xml:space="preserve"> an effective therapy with pleiotropic effects for patients in acute, chronic, and even recovery phases of COVID-19.</w:t>
      </w:r>
      <w:r>
        <w:rPr>
          <w:rFonts w:cstheme="minorHAnsi"/>
          <w:lang w:val="en-GB"/>
        </w:rPr>
        <w:t xml:space="preserve"> </w:t>
      </w:r>
      <w:r w:rsidRPr="00D96F48">
        <w:rPr>
          <w:rFonts w:cstheme="minorHAnsi"/>
          <w:noProof/>
          <w:vertAlign w:val="superscript"/>
          <w:lang w:val="en-GB"/>
        </w:rPr>
        <w:t>105,106</w:t>
      </w:r>
      <w:r w:rsidRPr="00876226">
        <w:rPr>
          <w:rFonts w:cstheme="minorHAnsi"/>
          <w:lang w:val="en-GB"/>
        </w:rPr>
        <w:t xml:space="preserve"> </w:t>
      </w:r>
      <w:r>
        <w:rPr>
          <w:rFonts w:cstheme="minorHAnsi"/>
          <w:lang w:val="en-GB"/>
        </w:rPr>
        <w:t xml:space="preserve">On the other hand, other observational studies showed a marked increase of lactic acidosis in hospitalised patients with diabetes and COVID-19 but without an effect in mortality. </w:t>
      </w:r>
      <w:r w:rsidRPr="00D96F48">
        <w:rPr>
          <w:rFonts w:cstheme="minorHAnsi"/>
          <w:noProof/>
          <w:vertAlign w:val="superscript"/>
          <w:lang w:val="en-GB"/>
        </w:rPr>
        <w:t>107</w:t>
      </w:r>
      <w:r>
        <w:rPr>
          <w:rFonts w:cstheme="minorHAnsi"/>
          <w:lang w:val="en-GB"/>
        </w:rPr>
        <w:t xml:space="preserve"> </w:t>
      </w:r>
    </w:p>
    <w:p w:rsidR="006419BC" w:rsidRPr="00876226" w:rsidRDefault="006419BC" w:rsidP="00E34EF7">
      <w:pPr>
        <w:autoSpaceDE w:val="0"/>
        <w:autoSpaceDN w:val="0"/>
        <w:adjustRightInd w:val="0"/>
        <w:spacing w:after="0" w:line="480" w:lineRule="auto"/>
        <w:jc w:val="both"/>
        <w:rPr>
          <w:rFonts w:cstheme="minorHAnsi"/>
          <w:lang w:val="en-GB"/>
        </w:rPr>
      </w:pPr>
    </w:p>
    <w:p w:rsidR="006419BC" w:rsidRPr="00876226" w:rsidRDefault="006419BC" w:rsidP="000165A3">
      <w:pPr>
        <w:spacing w:line="480" w:lineRule="auto"/>
        <w:jc w:val="both"/>
        <w:rPr>
          <w:rFonts w:cstheme="minorHAnsi"/>
          <w:lang w:val="en-GB"/>
        </w:rPr>
      </w:pPr>
      <w:r w:rsidRPr="00B25D96">
        <w:rPr>
          <w:rFonts w:cstheme="minorHAnsi"/>
          <w:lang w:val="en-GB"/>
        </w:rPr>
        <w:t xml:space="preserve">The continued use of sulfonylurea in stable patients with COVID-19 without hypoglycaemia risk and who are </w:t>
      </w:r>
      <w:r w:rsidRPr="00812349">
        <w:rPr>
          <w:rFonts w:cstheme="minorHAnsi"/>
          <w:lang w:val="en-GB"/>
        </w:rPr>
        <w:t>having regular meals in an ambulatory setting may be justified</w:t>
      </w:r>
      <w:r>
        <w:rPr>
          <w:rFonts w:cstheme="minorHAnsi"/>
          <w:lang w:val="en-GB"/>
        </w:rPr>
        <w:t>.</w:t>
      </w:r>
      <w:r w:rsidRPr="00812349">
        <w:rPr>
          <w:rFonts w:cstheme="minorHAnsi"/>
          <w:lang w:val="en-GB"/>
        </w:rPr>
        <w:t xml:space="preserve"> </w:t>
      </w:r>
      <w:r w:rsidRPr="00F34EF5">
        <w:rPr>
          <w:rFonts w:cstheme="minorHAnsi"/>
          <w:noProof/>
          <w:vertAlign w:val="superscript"/>
          <w:lang w:val="en-GB"/>
        </w:rPr>
        <w:t>68</w:t>
      </w:r>
      <w:r w:rsidRPr="00876226">
        <w:rPr>
          <w:rFonts w:cstheme="minorHAnsi"/>
          <w:lang w:val="en-GB"/>
        </w:rPr>
        <w:t xml:space="preserve"> GLP-1 receptor agonists have a tendency to be neutral to COVID-19 mortality and should be carefully evaluated in severely ill patients with COVID-19 considering their anorexic effects. However, their potential beneficial effects should also be balanced,</w:t>
      </w:r>
      <w:r w:rsidRPr="00B25D96">
        <w:rPr>
          <w:rFonts w:cstheme="minorHAnsi"/>
          <w:lang w:val="en-GB"/>
        </w:rPr>
        <w:t xml:space="preserve"> as these drugs have anti-inflammatory and lung protection actions and can be valuable weapons to combat COVID-19</w:t>
      </w:r>
      <w:r>
        <w:rPr>
          <w:rFonts w:cstheme="minorHAnsi"/>
          <w:lang w:val="en-GB"/>
        </w:rPr>
        <w:t>.</w:t>
      </w:r>
      <w:r w:rsidRPr="00812349">
        <w:rPr>
          <w:rFonts w:cstheme="minorHAnsi"/>
          <w:vertAlign w:val="superscript"/>
          <w:lang w:val="en-GB"/>
        </w:rPr>
        <w:t xml:space="preserve"> </w:t>
      </w:r>
      <w:r>
        <w:rPr>
          <w:rFonts w:cstheme="minorHAnsi"/>
          <w:noProof/>
          <w:vertAlign w:val="superscript"/>
          <w:lang w:val="en-GB"/>
        </w:rPr>
        <w:t>108,109</w:t>
      </w:r>
    </w:p>
    <w:p w:rsidR="006419BC" w:rsidRPr="00B25D96" w:rsidRDefault="006419BC" w:rsidP="00D958E4">
      <w:pPr>
        <w:pStyle w:val="berschrift2"/>
        <w:spacing w:line="480" w:lineRule="auto"/>
        <w:jc w:val="both"/>
        <w:rPr>
          <w:rFonts w:asciiTheme="minorHAnsi" w:hAnsiTheme="minorHAnsi" w:cstheme="minorHAnsi"/>
          <w:color w:val="auto"/>
          <w:sz w:val="22"/>
          <w:szCs w:val="22"/>
          <w:lang w:val="en-GB"/>
        </w:rPr>
      </w:pPr>
      <w:r w:rsidRPr="003971F3">
        <w:rPr>
          <w:rFonts w:asciiTheme="minorHAnsi" w:hAnsiTheme="minorHAnsi" w:cstheme="minorHAnsi"/>
          <w:color w:val="000000" w:themeColor="text1"/>
          <w:sz w:val="22"/>
          <w:szCs w:val="22"/>
          <w:lang w:val="en-GB"/>
        </w:rPr>
        <w:t xml:space="preserve">A recent large nationally representative, population-based observational study of 2·85 million people with type 2 diabetes presented statistical evidence that patients who were prescribed metformin, SGLT2 inhibitors, and sulfonylureas had a lower mortality risk than those not using these medications. </w:t>
      </w:r>
      <w:r w:rsidRPr="003971F3">
        <w:rPr>
          <w:rFonts w:asciiTheme="minorHAnsi" w:hAnsiTheme="minorHAnsi" w:cstheme="minorHAnsi"/>
          <w:noProof/>
          <w:color w:val="000000" w:themeColor="text1"/>
          <w:sz w:val="22"/>
          <w:szCs w:val="22"/>
          <w:vertAlign w:val="superscript"/>
          <w:lang w:val="en-GB"/>
        </w:rPr>
        <w:t>57</w:t>
      </w:r>
      <w:r w:rsidRPr="00053387">
        <w:rPr>
          <w:rFonts w:asciiTheme="minorHAnsi" w:hAnsiTheme="minorHAnsi" w:cstheme="minorHAnsi"/>
          <w:sz w:val="22"/>
          <w:szCs w:val="22"/>
          <w:lang w:val="en-GB"/>
        </w:rPr>
        <w:t xml:space="preserve"> </w:t>
      </w:r>
      <w:r w:rsidRPr="00C66AB9">
        <w:rPr>
          <w:rFonts w:asciiTheme="minorHAnsi" w:hAnsiTheme="minorHAnsi" w:cstheme="minorHAnsi"/>
          <w:color w:val="000000" w:themeColor="text1"/>
          <w:sz w:val="22"/>
          <w:szCs w:val="22"/>
          <w:lang w:val="en-GB"/>
        </w:rPr>
        <w:t>In this cohort, α-glucosidase inhibitors were associated with a 26% increase in COVID-19 mortality</w:t>
      </w:r>
      <w:r w:rsidRPr="00B25D96">
        <w:rPr>
          <w:rFonts w:asciiTheme="minorHAnsi" w:hAnsiTheme="minorHAnsi" w:cstheme="minorHAnsi"/>
          <w:color w:val="000000" w:themeColor="text1"/>
          <w:sz w:val="22"/>
          <w:szCs w:val="22"/>
          <w:lang w:val="en-GB"/>
        </w:rPr>
        <w:t xml:space="preserve"> but the </w:t>
      </w:r>
      <w:r w:rsidRPr="00812349">
        <w:rPr>
          <w:rFonts w:asciiTheme="minorHAnsi" w:hAnsiTheme="minorHAnsi" w:cstheme="minorHAnsi"/>
          <w:color w:val="000000" w:themeColor="text1"/>
          <w:sz w:val="22"/>
          <w:szCs w:val="22"/>
          <w:lang w:val="en-GB"/>
        </w:rPr>
        <w:t xml:space="preserve">numbers of COVID-19 </w:t>
      </w:r>
      <w:r w:rsidRPr="00D47D74">
        <w:rPr>
          <w:rFonts w:asciiTheme="minorHAnsi" w:hAnsiTheme="minorHAnsi" w:cstheme="minorHAnsi"/>
          <w:color w:val="000000" w:themeColor="text1"/>
          <w:sz w:val="22"/>
          <w:szCs w:val="22"/>
          <w:lang w:val="en-GB"/>
        </w:rPr>
        <w:t>related deaths were too</w:t>
      </w:r>
      <w:r w:rsidRPr="00C92A01">
        <w:rPr>
          <w:rFonts w:asciiTheme="minorHAnsi" w:hAnsiTheme="minorHAnsi" w:cstheme="minorHAnsi"/>
          <w:color w:val="000000" w:themeColor="text1"/>
          <w:sz w:val="22"/>
          <w:szCs w:val="22"/>
          <w:lang w:val="en-GB"/>
        </w:rPr>
        <w:t xml:space="preserve"> small to evaluate. Their use should be very carefully </w:t>
      </w:r>
      <w:r w:rsidRPr="00C92A01">
        <w:rPr>
          <w:rFonts w:asciiTheme="minorHAnsi" w:hAnsiTheme="minorHAnsi" w:cstheme="minorHAnsi"/>
          <w:color w:val="auto"/>
          <w:sz w:val="22"/>
          <w:szCs w:val="22"/>
          <w:lang w:val="en-GB"/>
        </w:rPr>
        <w:t>considered</w:t>
      </w:r>
      <w:r>
        <w:rPr>
          <w:rFonts w:asciiTheme="minorHAnsi" w:hAnsiTheme="minorHAnsi" w:cstheme="minorHAnsi"/>
          <w:color w:val="auto"/>
          <w:sz w:val="22"/>
          <w:szCs w:val="22"/>
          <w:lang w:val="en-GB"/>
        </w:rPr>
        <w:t>.</w:t>
      </w:r>
      <w:r w:rsidRPr="00C92A01">
        <w:rPr>
          <w:rFonts w:asciiTheme="minorHAnsi" w:hAnsiTheme="minorHAnsi" w:cstheme="minorHAnsi"/>
          <w:color w:val="auto"/>
          <w:sz w:val="22"/>
          <w:szCs w:val="22"/>
          <w:lang w:val="en-GB"/>
        </w:rPr>
        <w:t xml:space="preserve"> </w:t>
      </w:r>
      <w:r>
        <w:rPr>
          <w:rFonts w:asciiTheme="minorHAnsi" w:hAnsiTheme="minorHAnsi" w:cstheme="minorHAnsi"/>
          <w:noProof/>
          <w:color w:val="auto"/>
          <w:sz w:val="22"/>
          <w:szCs w:val="22"/>
          <w:vertAlign w:val="superscript"/>
          <w:lang w:val="en-GB"/>
        </w:rPr>
        <w:t>57</w:t>
      </w:r>
      <w:r w:rsidRPr="00876226">
        <w:rPr>
          <w:rFonts w:asciiTheme="minorHAnsi" w:hAnsiTheme="minorHAnsi" w:cstheme="minorHAnsi"/>
          <w:color w:val="auto"/>
          <w:sz w:val="22"/>
          <w:szCs w:val="22"/>
          <w:lang w:val="en-GB"/>
        </w:rPr>
        <w:t xml:space="preserve"> These </w:t>
      </w:r>
      <w:r w:rsidRPr="00277BE8">
        <w:rPr>
          <w:rFonts w:asciiTheme="minorHAnsi" w:hAnsiTheme="minorHAnsi" w:cstheme="minorHAnsi"/>
          <w:color w:val="auto"/>
          <w:sz w:val="22"/>
          <w:szCs w:val="22"/>
          <w:lang w:val="en-GB"/>
        </w:rPr>
        <w:t>associations with therapies are</w:t>
      </w:r>
      <w:r w:rsidRPr="00B25D96">
        <w:rPr>
          <w:rFonts w:asciiTheme="minorHAnsi" w:hAnsiTheme="minorHAnsi" w:cstheme="minorHAnsi"/>
          <w:color w:val="auto"/>
          <w:sz w:val="22"/>
          <w:szCs w:val="22"/>
          <w:lang w:val="en-GB"/>
        </w:rPr>
        <w:t xml:space="preserve"> likely due to confounding by indication with certain therapies such as DPP4 inhibitors more likely to be used in the elderly, those with kidney disease and frailty.</w:t>
      </w:r>
    </w:p>
    <w:p w:rsidR="006419BC" w:rsidRPr="00876226" w:rsidRDefault="006419BC" w:rsidP="00E34EF7">
      <w:pPr>
        <w:spacing w:line="480" w:lineRule="auto"/>
        <w:jc w:val="both"/>
        <w:rPr>
          <w:lang w:val="en-GB"/>
        </w:rPr>
      </w:pPr>
      <w:r w:rsidRPr="00812349">
        <w:rPr>
          <w:lang w:val="en-GB"/>
        </w:rPr>
        <w:t>To reduce cytokine release in moderate to severe COVID-19, IL-6</w:t>
      </w:r>
      <w:r w:rsidRPr="00D47D74">
        <w:rPr>
          <w:lang w:val="en-GB"/>
        </w:rPr>
        <w:t xml:space="preserve"> receptor blockade with tocilizumab is used</w:t>
      </w:r>
      <w:r>
        <w:rPr>
          <w:lang w:val="en-GB"/>
        </w:rPr>
        <w:t>.</w:t>
      </w:r>
      <w:r w:rsidRPr="00C92A01">
        <w:rPr>
          <w:lang w:val="en-GB"/>
        </w:rPr>
        <w:t xml:space="preserve"> </w:t>
      </w:r>
      <w:r w:rsidRPr="00D96F48">
        <w:rPr>
          <w:noProof/>
          <w:vertAlign w:val="superscript"/>
          <w:lang w:val="en-GB"/>
        </w:rPr>
        <w:t>110</w:t>
      </w:r>
      <w:r w:rsidRPr="00876226">
        <w:rPr>
          <w:lang w:val="en-GB"/>
        </w:rPr>
        <w:t xml:space="preserve"> This treatment has been reported to yield a positive effect on insulin resistance and insulin sensitivity</w:t>
      </w:r>
      <w:r>
        <w:rPr>
          <w:lang w:val="en-GB"/>
        </w:rPr>
        <w:t>.</w:t>
      </w:r>
      <w:r w:rsidRPr="00277BE8">
        <w:rPr>
          <w:lang w:val="en-GB"/>
        </w:rPr>
        <w:t xml:space="preserve"> </w:t>
      </w:r>
      <w:r w:rsidRPr="00D96F48">
        <w:rPr>
          <w:noProof/>
          <w:vertAlign w:val="superscript"/>
          <w:lang w:val="en-GB"/>
        </w:rPr>
        <w:t>111</w:t>
      </w:r>
      <w:r w:rsidRPr="00876226">
        <w:rPr>
          <w:lang w:val="en-GB"/>
        </w:rPr>
        <w:t xml:space="preserve"> However, hyperglycaemia has been shown to impair the effectivity of this medication</w:t>
      </w:r>
      <w:r>
        <w:rPr>
          <w:lang w:val="en-GB"/>
        </w:rPr>
        <w:t>.</w:t>
      </w:r>
      <w:r w:rsidRPr="00876226">
        <w:rPr>
          <w:lang w:val="en-GB"/>
        </w:rPr>
        <w:t xml:space="preserve"> </w:t>
      </w:r>
      <w:r w:rsidRPr="00D96F48">
        <w:rPr>
          <w:noProof/>
          <w:vertAlign w:val="superscript"/>
          <w:lang w:val="en-GB"/>
        </w:rPr>
        <w:t>112</w:t>
      </w:r>
      <w:r w:rsidRPr="00876226">
        <w:rPr>
          <w:lang w:val="en-GB"/>
        </w:rPr>
        <w:t xml:space="preserve"> This further underlies the importance of glycaemic control in COVID-19 patients. </w:t>
      </w:r>
    </w:p>
    <w:p w:rsidR="006419BC" w:rsidRPr="00B25D96" w:rsidRDefault="006419BC" w:rsidP="00E34EF7">
      <w:pPr>
        <w:spacing w:line="480" w:lineRule="auto"/>
        <w:jc w:val="both"/>
        <w:rPr>
          <w:rFonts w:cstheme="minorHAnsi"/>
          <w:b/>
          <w:lang w:val="en-GB"/>
        </w:rPr>
      </w:pPr>
      <w:r w:rsidRPr="00B25D96">
        <w:rPr>
          <w:rFonts w:cstheme="minorHAnsi"/>
          <w:lang w:val="en-GB"/>
        </w:rPr>
        <w:t>It is important to differentiate between ongoing diabetes treatment and the situation that arises during acute COVID-19 infection. There is a strong rationale to maintain recommendation</w:t>
      </w:r>
      <w:r w:rsidRPr="00812349">
        <w:rPr>
          <w:rFonts w:cstheme="minorHAnsi"/>
          <w:lang w:val="en-GB"/>
        </w:rPr>
        <w:t xml:space="preserve">s to avoid metformin or SGLT2 inhibitors during severe COVID-19 to reduce the risk of lactic acidosis or </w:t>
      </w:r>
      <w:r w:rsidRPr="00812349">
        <w:rPr>
          <w:rFonts w:cstheme="minorHAnsi"/>
          <w:lang w:val="en-GB"/>
        </w:rPr>
        <w:lastRenderedPageBreak/>
        <w:t>ketoacidosis associated with these drugs in the presence of severe infection. In severe COVID-19, intravenous insulin treatment is essential to maintain adequate glycaemic control and avoid the developme</w:t>
      </w:r>
      <w:r w:rsidRPr="00710071">
        <w:rPr>
          <w:rFonts w:cstheme="minorHAnsi"/>
          <w:lang w:val="en-GB"/>
        </w:rPr>
        <w:t>nt of acidosis; in many cases insulin requirements are extremely high, reflecting the impact of the hyperinflammatory state on insulin resistance</w:t>
      </w:r>
      <w:r>
        <w:rPr>
          <w:rFonts w:cstheme="minorHAnsi"/>
          <w:lang w:val="en-GB"/>
        </w:rPr>
        <w:t>.</w:t>
      </w:r>
      <w:r w:rsidRPr="00876226">
        <w:rPr>
          <w:rFonts w:cstheme="minorHAnsi"/>
          <w:lang w:val="en-GB"/>
        </w:rPr>
        <w:t xml:space="preserve"> </w:t>
      </w:r>
      <w:r w:rsidRPr="00886647">
        <w:rPr>
          <w:rFonts w:cstheme="minorHAnsi"/>
          <w:noProof/>
          <w:vertAlign w:val="superscript"/>
          <w:lang w:val="en-GB"/>
        </w:rPr>
        <w:t>68</w:t>
      </w:r>
      <w:r>
        <w:rPr>
          <w:rFonts w:cstheme="minorHAnsi"/>
          <w:lang w:val="en-GB"/>
        </w:rPr>
        <w:t xml:space="preserve"> Insulin also acts anti-inflammatory by suppressing oxidative and inflammatory stress. </w:t>
      </w:r>
      <w:r w:rsidRPr="00252072">
        <w:rPr>
          <w:rFonts w:cstheme="minorHAnsi"/>
          <w:noProof/>
          <w:vertAlign w:val="superscript"/>
          <w:lang w:val="en-GB"/>
        </w:rPr>
        <w:t>113</w:t>
      </w:r>
      <w:r>
        <w:rPr>
          <w:rFonts w:cstheme="minorHAnsi"/>
          <w:lang w:val="en-GB"/>
        </w:rPr>
        <w:t xml:space="preserve"> </w:t>
      </w:r>
      <w:r w:rsidRPr="00876226">
        <w:rPr>
          <w:rFonts w:cstheme="minorHAnsi"/>
          <w:lang w:val="en-GB"/>
        </w:rPr>
        <w:t>Many patients previously on oral hypoglycaemic agents will require conversion to insulin during the acute stages of COVID-19 and will require ongoing treatment with subcutaneous insulin following discharge. An important consideration in such patients is the need to manage falling insulin requirements during the recovery stage and reduce insulin appropriately to avoid hypoglycaemia.</w:t>
      </w:r>
    </w:p>
    <w:p w:rsidR="006419BC" w:rsidRPr="00812349" w:rsidRDefault="006419BC" w:rsidP="00EE20A0">
      <w:pPr>
        <w:spacing w:line="480" w:lineRule="auto"/>
        <w:rPr>
          <w:rFonts w:cstheme="minorHAnsi"/>
          <w:b/>
          <w:lang w:val="en-GB"/>
        </w:rPr>
      </w:pPr>
    </w:p>
    <w:p w:rsidR="006419BC" w:rsidRPr="00C92A01" w:rsidRDefault="006419BC" w:rsidP="00EE20A0">
      <w:pPr>
        <w:spacing w:line="480" w:lineRule="auto"/>
        <w:rPr>
          <w:rFonts w:cstheme="minorHAnsi"/>
          <w:b/>
          <w:lang w:val="en-GB"/>
        </w:rPr>
      </w:pPr>
      <w:r w:rsidRPr="00D47D74">
        <w:rPr>
          <w:rFonts w:cstheme="minorHAnsi"/>
          <w:b/>
          <w:lang w:val="en-GB"/>
        </w:rPr>
        <w:t>Relevance to risk stratifications</w:t>
      </w:r>
    </w:p>
    <w:p w:rsidR="006419BC" w:rsidRPr="00876226" w:rsidRDefault="006419BC" w:rsidP="00B94809">
      <w:pPr>
        <w:spacing w:line="480" w:lineRule="auto"/>
        <w:jc w:val="both"/>
        <w:rPr>
          <w:rFonts w:cstheme="minorHAnsi"/>
          <w:color w:val="000000" w:themeColor="text1"/>
          <w:lang w:val="en-GB" w:eastAsia="de-DE"/>
        </w:rPr>
      </w:pPr>
      <w:r w:rsidRPr="00C92A01">
        <w:rPr>
          <w:rFonts w:cstheme="minorHAnsi"/>
          <w:lang w:val="en-GB"/>
        </w:rPr>
        <w:t xml:space="preserve">In addition to a potential risk of developing type 1 diabetes </w:t>
      </w:r>
      <w:r w:rsidRPr="00F34EF5">
        <w:rPr>
          <w:rFonts w:cstheme="minorHAnsi"/>
          <w:noProof/>
          <w:vertAlign w:val="superscript"/>
          <w:lang w:val="en-GB"/>
        </w:rPr>
        <w:t>17</w:t>
      </w:r>
      <w:r w:rsidRPr="00876226">
        <w:rPr>
          <w:rFonts w:cstheme="minorHAnsi"/>
          <w:lang w:val="en-GB"/>
        </w:rPr>
        <w:t>, impairment of islet function in people with metabolic disorders should be considered after infection with SARS-CoV-2</w:t>
      </w:r>
      <w:r>
        <w:rPr>
          <w:rFonts w:cstheme="minorHAnsi"/>
          <w:lang w:val="en-GB"/>
        </w:rPr>
        <w:t>.</w:t>
      </w:r>
      <w:r w:rsidRPr="00876226">
        <w:rPr>
          <w:rFonts w:cstheme="minorHAnsi"/>
          <w:lang w:val="en-GB"/>
        </w:rPr>
        <w:t xml:space="preserve"> </w:t>
      </w:r>
      <w:r w:rsidRPr="00252072">
        <w:rPr>
          <w:rFonts w:cstheme="minorHAnsi"/>
          <w:noProof/>
          <w:vertAlign w:val="superscript"/>
          <w:lang w:val="en-GB"/>
        </w:rPr>
        <w:t>5,22,114</w:t>
      </w:r>
      <w:r w:rsidRPr="00876226">
        <w:rPr>
          <w:rFonts w:cstheme="minorHAnsi"/>
          <w:lang w:val="en-GB"/>
        </w:rPr>
        <w:t xml:space="preserve"> Even if there is no extensive destruction of the islets, many patients may have a need for enhanced treatment with insulin to avoid ketoacidosis and </w:t>
      </w:r>
      <w:r w:rsidRPr="00B25D96">
        <w:rPr>
          <w:rFonts w:cstheme="minorHAnsi"/>
          <w:lang w:val="en-GB"/>
        </w:rPr>
        <w:t xml:space="preserve">hyperglycaemia. This </w:t>
      </w:r>
      <w:r w:rsidRPr="00812349">
        <w:rPr>
          <w:rFonts w:cstheme="minorHAnsi"/>
          <w:lang w:val="en-GB"/>
        </w:rPr>
        <w:t xml:space="preserve">needs to be </w:t>
      </w:r>
      <w:r w:rsidRPr="00D47D74">
        <w:rPr>
          <w:rFonts w:cstheme="minorHAnsi"/>
          <w:lang w:val="en-GB"/>
        </w:rPr>
        <w:t xml:space="preserve">closely monitored. Patients with obesity will also have an increased insulin </w:t>
      </w:r>
      <w:r w:rsidRPr="00710071">
        <w:rPr>
          <w:rFonts w:cstheme="minorHAnsi"/>
          <w:lang w:val="en-GB"/>
        </w:rPr>
        <w:t>requirement due to an impairment in their insulin-secretion</w:t>
      </w:r>
      <w:r w:rsidRPr="00276A60">
        <w:rPr>
          <w:rFonts w:cstheme="minorHAnsi"/>
          <w:lang w:val="en-GB"/>
        </w:rPr>
        <w:t xml:space="preserve"> and increasing insulin resistance, which may contribute to their increased risk and mortality. Moreover, based on the Recovery Trial </w:t>
      </w:r>
      <w:r w:rsidRPr="006139DB">
        <w:rPr>
          <w:rFonts w:cstheme="minorHAnsi"/>
          <w:noProof/>
          <w:vertAlign w:val="superscript"/>
          <w:lang w:val="en-GB"/>
        </w:rPr>
        <w:t>73</w:t>
      </w:r>
      <w:r w:rsidRPr="00876226">
        <w:rPr>
          <w:rFonts w:cstheme="minorHAnsi"/>
          <w:lang w:val="en-GB"/>
        </w:rPr>
        <w:t xml:space="preserve"> nearly all patients with severe COVID-19 are now receiving dexamethasone, a powerful anti-inflammatory glucocorticoid. While dexamethasone inhibits inflammation </w:t>
      </w:r>
      <w:r w:rsidRPr="00252072">
        <w:rPr>
          <w:rFonts w:cstheme="minorHAnsi"/>
          <w:noProof/>
          <w:vertAlign w:val="superscript"/>
          <w:lang w:val="en-GB"/>
        </w:rPr>
        <w:t>115</w:t>
      </w:r>
      <w:r w:rsidRPr="00876226">
        <w:rPr>
          <w:rFonts w:cstheme="minorHAnsi"/>
          <w:lang w:val="en-GB"/>
        </w:rPr>
        <w:t xml:space="preserve">, </w:t>
      </w:r>
      <w:r>
        <w:rPr>
          <w:rFonts w:cstheme="minorHAnsi"/>
          <w:lang w:val="en-GB"/>
        </w:rPr>
        <w:t xml:space="preserve">it is still a matter of debate whether steroid-induced hyperglycaemia </w:t>
      </w:r>
      <w:r w:rsidRPr="00876226">
        <w:rPr>
          <w:rFonts w:cstheme="minorHAnsi"/>
          <w:lang w:val="en-GB"/>
        </w:rPr>
        <w:t>increasing the need for insulin therapy</w:t>
      </w:r>
      <w:r w:rsidRPr="00B25D96">
        <w:rPr>
          <w:rFonts w:cstheme="minorHAnsi"/>
          <w:lang w:val="en-GB"/>
        </w:rPr>
        <w:t xml:space="preserve"> shortly (already 4-6 hours after application) </w:t>
      </w:r>
      <w:r>
        <w:rPr>
          <w:rFonts w:cstheme="minorHAnsi"/>
          <w:lang w:val="en-GB"/>
        </w:rPr>
        <w:t xml:space="preserve">is due to impaired insulin secretion and/or worsening on insulin action. </w:t>
      </w:r>
      <w:r w:rsidRPr="00252072">
        <w:rPr>
          <w:rFonts w:cstheme="minorHAnsi"/>
          <w:noProof/>
          <w:vertAlign w:val="superscript"/>
          <w:lang w:val="en-GB"/>
        </w:rPr>
        <w:t>116</w:t>
      </w:r>
      <w:r w:rsidRPr="00876226">
        <w:rPr>
          <w:rFonts w:cstheme="minorHAnsi"/>
          <w:lang w:val="en-GB"/>
        </w:rPr>
        <w:t xml:space="preserve"> </w:t>
      </w:r>
      <w:r>
        <w:rPr>
          <w:rFonts w:cstheme="minorHAnsi"/>
          <w:lang w:val="en-GB"/>
        </w:rPr>
        <w:t xml:space="preserve"> </w:t>
      </w:r>
      <w:r w:rsidRPr="00B25D96">
        <w:rPr>
          <w:rFonts w:cstheme="minorHAnsi"/>
          <w:lang w:val="en-GB"/>
        </w:rPr>
        <w:t xml:space="preserve">On the other hand, </w:t>
      </w:r>
      <w:r w:rsidRPr="00812349">
        <w:rPr>
          <w:rFonts w:cstheme="minorHAnsi"/>
          <w:color w:val="000000" w:themeColor="text1"/>
          <w:lang w:val="en-GB"/>
        </w:rPr>
        <w:t xml:space="preserve">patients with type 2 diabetes and </w:t>
      </w:r>
      <w:r w:rsidRPr="00C92A01">
        <w:rPr>
          <w:rFonts w:cstheme="minorHAnsi"/>
          <w:color w:val="000000" w:themeColor="text1"/>
          <w:lang w:val="en-GB"/>
        </w:rPr>
        <w:t>COVID-19 under insulin treatment have shown a worse prognosis with higher mortality associated with insulin therapy</w:t>
      </w:r>
      <w:r>
        <w:rPr>
          <w:rFonts w:cstheme="minorHAnsi"/>
          <w:color w:val="000000" w:themeColor="text1"/>
          <w:lang w:val="en-GB"/>
        </w:rPr>
        <w:t xml:space="preserve">. </w:t>
      </w:r>
      <w:r w:rsidRPr="00252072">
        <w:rPr>
          <w:rFonts w:cstheme="minorHAnsi"/>
          <w:noProof/>
          <w:color w:val="000000" w:themeColor="text1"/>
          <w:vertAlign w:val="superscript"/>
          <w:lang w:val="en-GB"/>
        </w:rPr>
        <w:t>117</w:t>
      </w:r>
      <w:r w:rsidRPr="00876226">
        <w:rPr>
          <w:rFonts w:cstheme="minorHAnsi"/>
          <w:color w:val="000000" w:themeColor="text1"/>
          <w:lang w:val="en-GB"/>
        </w:rPr>
        <w:t xml:space="preserve"> This is likely explained by confounding with severity of disease, insulin treatment being a marker for more advanced diabetes</w:t>
      </w:r>
      <w:r>
        <w:rPr>
          <w:rFonts w:cstheme="minorHAnsi"/>
          <w:color w:val="000000" w:themeColor="text1"/>
          <w:lang w:val="en-GB"/>
        </w:rPr>
        <w:t>.</w:t>
      </w:r>
      <w:r w:rsidRPr="00876226">
        <w:rPr>
          <w:rFonts w:cstheme="minorHAnsi"/>
          <w:color w:val="000000" w:themeColor="text1"/>
          <w:lang w:val="en-GB"/>
        </w:rPr>
        <w:t xml:space="preserve"> </w:t>
      </w:r>
      <w:r w:rsidRPr="00F34EF5">
        <w:rPr>
          <w:rFonts w:cstheme="minorHAnsi"/>
          <w:noProof/>
          <w:color w:val="000000" w:themeColor="text1"/>
          <w:vertAlign w:val="superscript"/>
          <w:lang w:val="en-GB"/>
        </w:rPr>
        <w:t>68</w:t>
      </w:r>
      <w:r w:rsidRPr="00876226">
        <w:rPr>
          <w:rFonts w:cstheme="minorHAnsi"/>
          <w:color w:val="000000" w:themeColor="text1"/>
          <w:lang w:val="en-GB"/>
        </w:rPr>
        <w:t xml:space="preserve"> Although insulin treatment in the ICU is not questionable, </w:t>
      </w:r>
      <w:r w:rsidRPr="00876226">
        <w:rPr>
          <w:rFonts w:cstheme="minorHAnsi"/>
          <w:color w:val="000000" w:themeColor="text1"/>
          <w:lang w:val="en-GB"/>
        </w:rPr>
        <w:lastRenderedPageBreak/>
        <w:t xml:space="preserve">hyperglycaemia in persons </w:t>
      </w:r>
      <w:r w:rsidRPr="00277BE8">
        <w:rPr>
          <w:rFonts w:cstheme="minorHAnsi"/>
          <w:color w:val="000000" w:themeColor="text1"/>
          <w:lang w:val="en-GB"/>
        </w:rPr>
        <w:t>with diabetes admitted to ICU should be handled by intravenous insulin using exact dosing with a perfusion device. Freq</w:t>
      </w:r>
      <w:r w:rsidRPr="00B25D96">
        <w:rPr>
          <w:rFonts w:cstheme="minorHAnsi"/>
          <w:color w:val="000000" w:themeColor="text1"/>
          <w:lang w:val="en-GB"/>
        </w:rPr>
        <w:t xml:space="preserve">uent glucose monitoring is </w:t>
      </w:r>
      <w:r w:rsidRPr="00812349">
        <w:rPr>
          <w:rFonts w:cstheme="minorHAnsi"/>
          <w:color w:val="000000" w:themeColor="text1"/>
          <w:lang w:val="en-GB"/>
        </w:rPr>
        <w:t xml:space="preserve">mandatory </w:t>
      </w:r>
      <w:r w:rsidRPr="00D47D74">
        <w:rPr>
          <w:rFonts w:cstheme="minorHAnsi"/>
          <w:color w:val="000000" w:themeColor="text1"/>
          <w:lang w:val="en-GB"/>
        </w:rPr>
        <w:t>where treatment with glucocorticoids</w:t>
      </w:r>
      <w:r w:rsidRPr="00C92A01">
        <w:rPr>
          <w:rFonts w:cstheme="minorHAnsi"/>
          <w:color w:val="000000" w:themeColor="text1"/>
          <w:lang w:val="en-GB"/>
        </w:rPr>
        <w:t xml:space="preserve"> occurs and other anti-inflammatory drugs and prophylactic anti-coagulant therapy should be provided in patients with diabetes and COVID-19</w:t>
      </w:r>
      <w:r>
        <w:rPr>
          <w:rFonts w:cstheme="minorHAnsi"/>
          <w:color w:val="000000" w:themeColor="text1"/>
          <w:lang w:val="en-GB"/>
        </w:rPr>
        <w:t>.</w:t>
      </w:r>
      <w:r w:rsidRPr="00C92A01">
        <w:rPr>
          <w:rFonts w:cstheme="minorHAnsi"/>
          <w:color w:val="000000" w:themeColor="text1"/>
          <w:lang w:val="en-GB"/>
        </w:rPr>
        <w:t xml:space="preserve"> </w:t>
      </w:r>
      <w:r w:rsidRPr="00252072">
        <w:rPr>
          <w:rFonts w:cstheme="minorHAnsi"/>
          <w:noProof/>
          <w:color w:val="000000" w:themeColor="text1"/>
          <w:vertAlign w:val="superscript"/>
          <w:lang w:val="en-GB"/>
        </w:rPr>
        <w:t>118</w:t>
      </w:r>
      <w:r w:rsidRPr="00876226">
        <w:rPr>
          <w:rFonts w:cstheme="minorHAnsi"/>
          <w:color w:val="000000" w:themeColor="text1"/>
          <w:lang w:val="en-GB"/>
        </w:rPr>
        <w:t xml:space="preserve"> Importantly, on an emergent basis the FDA </w:t>
      </w:r>
      <w:r w:rsidRPr="00EB0E40">
        <w:rPr>
          <w:lang w:val="en-GB"/>
        </w:rPr>
        <w:t xml:space="preserve">issued guidance to expand the availability and capability of non-invasive remote monitoring devices during the COVID-19 pandemic (https://www.diabetes.org/newsroom/press-releases/2020/fda-remote-patient-monitoring-cgm). This change was made in an effort to improve the ability of health care providers to monitor their patients while reducing their exposure to </w:t>
      </w:r>
      <w:r>
        <w:rPr>
          <w:lang w:val="en-GB"/>
        </w:rPr>
        <w:t>SARS-CoV-2</w:t>
      </w:r>
      <w:r w:rsidRPr="00EB0E40">
        <w:rPr>
          <w:lang w:val="en-GB"/>
        </w:rPr>
        <w:t xml:space="preserve">. </w:t>
      </w:r>
      <w:r w:rsidRPr="00876226">
        <w:rPr>
          <w:lang w:val="en-GB"/>
        </w:rPr>
        <w:t xml:space="preserve">Both hyperglycaemia and </w:t>
      </w:r>
      <w:r w:rsidRPr="00B25D96">
        <w:rPr>
          <w:lang w:val="en-GB"/>
        </w:rPr>
        <w:t>hypoglycaemia are associated with poor survival in patients wi</w:t>
      </w:r>
      <w:r w:rsidRPr="00812349">
        <w:rPr>
          <w:lang w:val="en-GB"/>
        </w:rPr>
        <w:t xml:space="preserve">th COVID-19. </w:t>
      </w:r>
      <w:r w:rsidRPr="00B1341E">
        <w:rPr>
          <w:lang w:val="en-GB"/>
        </w:rPr>
        <w:t xml:space="preserve">Fasting blood glucose in COVID-19 patients with </w:t>
      </w:r>
      <w:r>
        <w:rPr>
          <w:lang w:val="en-GB"/>
        </w:rPr>
        <w:t>or</w:t>
      </w:r>
      <w:r w:rsidRPr="00B1341E">
        <w:rPr>
          <w:lang w:val="en-GB"/>
        </w:rPr>
        <w:t xml:space="preserve"> without diabetes at admission was a strong predictor of death among patients directly admitted to the ICU </w:t>
      </w:r>
      <w:r w:rsidRPr="00252072">
        <w:rPr>
          <w:noProof/>
          <w:vertAlign w:val="superscript"/>
          <w:lang w:val="en-GB"/>
        </w:rPr>
        <w:t>119</w:t>
      </w:r>
      <w:r w:rsidRPr="00E3451E">
        <w:rPr>
          <w:noProof/>
          <w:lang w:val="en-GB"/>
        </w:rPr>
        <w:t>, and s</w:t>
      </w:r>
      <w:r w:rsidRPr="00EA05A2">
        <w:rPr>
          <w:lang w:val="en-GB"/>
        </w:rPr>
        <w:t>evere hyperglycaemia after admission was a strong predictor of death among non-ICU patients</w:t>
      </w:r>
      <w:r>
        <w:rPr>
          <w:lang w:val="en-GB"/>
        </w:rPr>
        <w:t>.</w:t>
      </w:r>
      <w:r w:rsidRPr="00EA05A2">
        <w:rPr>
          <w:lang w:val="en-GB"/>
        </w:rPr>
        <w:t xml:space="preserve"> </w:t>
      </w:r>
      <w:r>
        <w:rPr>
          <w:noProof/>
          <w:vertAlign w:val="superscript"/>
          <w:lang w:val="en-GB"/>
        </w:rPr>
        <w:t>120</w:t>
      </w:r>
      <w:r w:rsidRPr="00EA05A2">
        <w:rPr>
          <w:rFonts w:cstheme="minorHAnsi"/>
          <w:color w:val="000000" w:themeColor="text1"/>
          <w:lang w:val="en-GB"/>
        </w:rPr>
        <w:t xml:space="preserve"> </w:t>
      </w:r>
      <w:r>
        <w:rPr>
          <w:rFonts w:cstheme="minorHAnsi"/>
          <w:lang w:val="en-GB"/>
        </w:rPr>
        <w:t>A</w:t>
      </w:r>
      <w:r w:rsidRPr="002A5262">
        <w:rPr>
          <w:rFonts w:cstheme="minorHAnsi"/>
          <w:lang w:val="en-GB"/>
        </w:rPr>
        <w:t>lmost 50% of hospitalised COVID-19 patients were shown to be hyperglycaemic and even normoglycaemic patients showed alterations in their glycometabolic control with insulin resistance and an abnormal cytokine profile</w:t>
      </w:r>
      <w:r>
        <w:rPr>
          <w:rFonts w:cstheme="minorHAnsi"/>
          <w:lang w:val="en-GB"/>
        </w:rPr>
        <w:t>.</w:t>
      </w:r>
      <w:r w:rsidRPr="002A5262">
        <w:rPr>
          <w:rFonts w:cstheme="minorHAnsi"/>
          <w:lang w:val="en-GB"/>
        </w:rPr>
        <w:t xml:space="preserve"> </w:t>
      </w:r>
      <w:r w:rsidRPr="00D96F48">
        <w:rPr>
          <w:rFonts w:cstheme="minorHAnsi"/>
          <w:noProof/>
          <w:vertAlign w:val="superscript"/>
          <w:lang w:val="en-GB"/>
        </w:rPr>
        <w:t>83</w:t>
      </w:r>
      <w:r w:rsidRPr="002A5262">
        <w:rPr>
          <w:rFonts w:cstheme="minorHAnsi"/>
          <w:lang w:val="en-GB"/>
        </w:rPr>
        <w:t xml:space="preserve"> </w:t>
      </w:r>
      <w:r w:rsidRPr="00EA05A2">
        <w:rPr>
          <w:lang w:val="en-GB"/>
        </w:rPr>
        <w:t>Rece</w:t>
      </w:r>
      <w:r w:rsidRPr="00876226">
        <w:rPr>
          <w:lang w:val="en-GB"/>
        </w:rPr>
        <w:t>ntly, it was found that also less variability in gluco</w:t>
      </w:r>
      <w:r w:rsidRPr="00B25D96">
        <w:rPr>
          <w:lang w:val="en-GB"/>
        </w:rPr>
        <w:t>se excursions measured as time in range (TIR) is associated with a lower risk of all-cause and CVD mortality among patients with type 2 diabetes</w:t>
      </w:r>
      <w:r>
        <w:rPr>
          <w:lang w:val="en-GB"/>
        </w:rPr>
        <w:t>.</w:t>
      </w:r>
      <w:r>
        <w:rPr>
          <w:vertAlign w:val="superscript"/>
          <w:lang w:val="en-GB"/>
        </w:rPr>
        <w:t xml:space="preserve"> </w:t>
      </w:r>
      <w:r>
        <w:rPr>
          <w:noProof/>
          <w:vertAlign w:val="superscript"/>
          <w:lang w:val="en-GB"/>
        </w:rPr>
        <w:t>121</w:t>
      </w:r>
      <w:r w:rsidRPr="00876226">
        <w:rPr>
          <w:lang w:val="en-GB"/>
        </w:rPr>
        <w:t xml:space="preserve"> </w:t>
      </w:r>
      <w:r w:rsidRPr="002A5262">
        <w:rPr>
          <w:rFonts w:cstheme="minorHAnsi"/>
          <w:lang w:val="en-GB"/>
        </w:rPr>
        <w:t xml:space="preserve">These findings indicate that both acute hyperglycaemia as well as long-term glycaemic control are </w:t>
      </w:r>
      <w:r>
        <w:rPr>
          <w:rFonts w:cstheme="minorHAnsi"/>
          <w:lang w:val="en-GB"/>
        </w:rPr>
        <w:t>essential</w:t>
      </w:r>
      <w:r w:rsidRPr="002A5262">
        <w:rPr>
          <w:rFonts w:cstheme="minorHAnsi"/>
          <w:lang w:val="en-GB"/>
        </w:rPr>
        <w:t xml:space="preserve"> in people with COVID-19 and that short-term glycaemic control might improve the prognosis albeit it is still not established whether acute hyperglycaemia is an etiological factor driving poor prognosis or simply reflect</w:t>
      </w:r>
      <w:r>
        <w:rPr>
          <w:rFonts w:cstheme="minorHAnsi"/>
          <w:lang w:val="en-GB"/>
        </w:rPr>
        <w:t>s</w:t>
      </w:r>
      <w:r w:rsidRPr="002A5262">
        <w:rPr>
          <w:rFonts w:cstheme="minorHAnsi"/>
          <w:lang w:val="en-GB"/>
        </w:rPr>
        <w:t xml:space="preserve"> the severity of the disease</w:t>
      </w:r>
      <w:r>
        <w:rPr>
          <w:rFonts w:cstheme="minorHAnsi"/>
          <w:lang w:val="en-GB"/>
        </w:rPr>
        <w:t xml:space="preserve">. </w:t>
      </w:r>
      <w:r w:rsidRPr="00D96F48">
        <w:rPr>
          <w:rFonts w:cstheme="minorHAnsi"/>
          <w:noProof/>
          <w:vertAlign w:val="superscript"/>
          <w:lang w:val="en-GB"/>
        </w:rPr>
        <w:t>98</w:t>
      </w:r>
      <w:r>
        <w:rPr>
          <w:rFonts w:cstheme="minorHAnsi"/>
          <w:lang w:val="en-GB"/>
        </w:rPr>
        <w:t xml:space="preserve"> </w:t>
      </w:r>
    </w:p>
    <w:p w:rsidR="006419BC" w:rsidRPr="00B25D96" w:rsidRDefault="006419BC" w:rsidP="00EE20A0">
      <w:pPr>
        <w:spacing w:line="480" w:lineRule="auto"/>
        <w:rPr>
          <w:rFonts w:cstheme="minorHAnsi"/>
          <w:b/>
          <w:lang w:val="en-GB"/>
        </w:rPr>
      </w:pPr>
    </w:p>
    <w:p w:rsidR="006419BC" w:rsidRPr="00812349" w:rsidRDefault="006419BC" w:rsidP="00985180">
      <w:pPr>
        <w:autoSpaceDE w:val="0"/>
        <w:autoSpaceDN w:val="0"/>
        <w:adjustRightInd w:val="0"/>
        <w:spacing w:after="0" w:line="480" w:lineRule="auto"/>
        <w:jc w:val="both"/>
        <w:rPr>
          <w:rFonts w:eastAsia="Times New Roman" w:cs="Times New Roman"/>
          <w:b/>
          <w:color w:val="000000" w:themeColor="text1"/>
          <w:lang w:val="en-GB" w:eastAsia="en-GB"/>
        </w:rPr>
      </w:pPr>
      <w:r w:rsidRPr="00812349">
        <w:rPr>
          <w:rFonts w:eastAsia="Times New Roman" w:cs="Times New Roman"/>
          <w:b/>
          <w:color w:val="000000" w:themeColor="text1"/>
          <w:lang w:val="en-GB" w:eastAsia="en-GB"/>
        </w:rPr>
        <w:t>Breakthrough infections and metabolic disease</w:t>
      </w:r>
    </w:p>
    <w:p w:rsidR="006419BC" w:rsidRDefault="006419BC" w:rsidP="00985180">
      <w:pPr>
        <w:autoSpaceDE w:val="0"/>
        <w:autoSpaceDN w:val="0"/>
        <w:adjustRightInd w:val="0"/>
        <w:spacing w:after="0" w:line="480" w:lineRule="auto"/>
        <w:jc w:val="both"/>
        <w:rPr>
          <w:rFonts w:eastAsia="Times New Roman" w:cs="Times New Roman"/>
          <w:color w:val="000000" w:themeColor="text1"/>
          <w:lang w:val="en-GB" w:eastAsia="en-GB"/>
        </w:rPr>
      </w:pPr>
      <w:r w:rsidRPr="00710071">
        <w:rPr>
          <w:rFonts w:eastAsia="Times New Roman" w:cs="Times New Roman"/>
          <w:color w:val="000000" w:themeColor="text1"/>
          <w:lang w:val="en-GB" w:eastAsia="en-GB"/>
        </w:rPr>
        <w:t>Recent results from Israel show that even with a complete vaccination, patients may be infected with certain coronavirus mutants such as the delta variant</w:t>
      </w:r>
      <w:r>
        <w:rPr>
          <w:rFonts w:eastAsia="Times New Roman" w:cs="Times New Roman"/>
          <w:color w:val="000000" w:themeColor="text1"/>
          <w:lang w:val="en-GB" w:eastAsia="en-GB"/>
        </w:rPr>
        <w:t>.</w:t>
      </w:r>
      <w:r w:rsidRPr="00710071">
        <w:rPr>
          <w:rFonts w:eastAsia="Times New Roman" w:cs="Times New Roman"/>
          <w:color w:val="000000" w:themeColor="text1"/>
          <w:lang w:val="en-GB" w:eastAsia="en-GB"/>
        </w:rPr>
        <w:t xml:space="preserve"> </w:t>
      </w:r>
      <w:r w:rsidRPr="00F34EF5">
        <w:rPr>
          <w:rFonts w:eastAsia="Times New Roman" w:cs="Times New Roman"/>
          <w:noProof/>
          <w:color w:val="000000" w:themeColor="text1"/>
          <w:vertAlign w:val="superscript"/>
          <w:lang w:val="en-GB" w:eastAsia="en-GB"/>
        </w:rPr>
        <w:t>16</w:t>
      </w:r>
      <w:r w:rsidRPr="00876226">
        <w:rPr>
          <w:rFonts w:eastAsia="Times New Roman" w:cs="Times New Roman"/>
          <w:color w:val="000000" w:themeColor="text1"/>
          <w:lang w:val="en-GB" w:eastAsia="en-GB"/>
        </w:rPr>
        <w:t xml:space="preserve"> Most importantly, those patients that get infected even though they are fully vaccinated and de</w:t>
      </w:r>
      <w:r w:rsidRPr="00B25D96">
        <w:rPr>
          <w:rFonts w:eastAsia="Times New Roman" w:cs="Times New Roman"/>
          <w:color w:val="000000" w:themeColor="text1"/>
          <w:lang w:val="en-GB" w:eastAsia="en-GB"/>
        </w:rPr>
        <w:t xml:space="preserve">velop severe symptoms of COVID-19 are </w:t>
      </w:r>
      <w:r w:rsidRPr="00B25D96">
        <w:rPr>
          <w:rFonts w:eastAsia="Times New Roman" w:cs="Times New Roman"/>
          <w:color w:val="000000" w:themeColor="text1"/>
          <w:lang w:val="en-GB" w:eastAsia="en-GB"/>
        </w:rPr>
        <w:lastRenderedPageBreak/>
        <w:t xml:space="preserve">frequently </w:t>
      </w:r>
      <w:r w:rsidRPr="00812349">
        <w:rPr>
          <w:rFonts w:eastAsia="Times New Roman" w:cs="Times New Roman"/>
          <w:color w:val="000000" w:themeColor="text1"/>
          <w:lang w:val="en-GB" w:eastAsia="en-GB"/>
        </w:rPr>
        <w:t>suffering of co-morbidities such as hypertension (71%), diabetes (48%), congestive heart failure (27%) and chronic kidney disease (24%)</w:t>
      </w:r>
      <w:r>
        <w:rPr>
          <w:rFonts w:eastAsia="Times New Roman" w:cs="Times New Roman"/>
          <w:color w:val="000000" w:themeColor="text1"/>
          <w:lang w:val="en-GB" w:eastAsia="en-GB"/>
        </w:rPr>
        <w:t>.</w:t>
      </w:r>
      <w:r w:rsidRPr="00812349">
        <w:rPr>
          <w:rFonts w:eastAsia="Times New Roman" w:cs="Times New Roman"/>
          <w:color w:val="000000" w:themeColor="text1"/>
          <w:lang w:val="en-GB" w:eastAsia="en-GB"/>
        </w:rPr>
        <w:t xml:space="preserve"> </w:t>
      </w:r>
      <w:r w:rsidRPr="00F34EF5">
        <w:rPr>
          <w:rFonts w:eastAsia="Times New Roman" w:cs="Times New Roman"/>
          <w:noProof/>
          <w:color w:val="000000" w:themeColor="text1"/>
          <w:vertAlign w:val="superscript"/>
          <w:lang w:val="en-GB" w:eastAsia="en-GB"/>
        </w:rPr>
        <w:t>16</w:t>
      </w:r>
      <w:r w:rsidRPr="00876226">
        <w:rPr>
          <w:rFonts w:eastAsia="Times New Roman" w:cs="Times New Roman"/>
          <w:color w:val="000000" w:themeColor="text1"/>
          <w:lang w:val="en-GB" w:eastAsia="en-GB"/>
        </w:rPr>
        <w:t xml:space="preserve"> Given the fact that again patients with diabetes and metabolic disease seem to be the most vulnerable group and most prone to develop</w:t>
      </w:r>
      <w:r w:rsidRPr="00B25D96">
        <w:rPr>
          <w:rFonts w:eastAsia="Times New Roman" w:cs="Times New Roman"/>
          <w:color w:val="000000" w:themeColor="text1"/>
          <w:lang w:val="en-GB" w:eastAsia="en-GB"/>
        </w:rPr>
        <w:t xml:space="preserve"> severe symptoms </w:t>
      </w:r>
      <w:r w:rsidRPr="00812349">
        <w:rPr>
          <w:rFonts w:eastAsia="Times New Roman" w:cs="Times New Roman"/>
          <w:color w:val="000000" w:themeColor="text1"/>
          <w:lang w:val="en-GB" w:eastAsia="en-GB"/>
        </w:rPr>
        <w:t>despite vaccination the necessity for adequate control of glycaemia and blood pressure in our elderly population even after a successful vaccination program has to be maintained with high priority</w:t>
      </w:r>
      <w:r>
        <w:rPr>
          <w:rFonts w:eastAsia="Times New Roman" w:cs="Times New Roman"/>
          <w:color w:val="000000" w:themeColor="text1"/>
          <w:lang w:val="en-GB" w:eastAsia="en-GB"/>
        </w:rPr>
        <w:t xml:space="preserve"> (Fig. 3)</w:t>
      </w:r>
      <w:r w:rsidRPr="00812349">
        <w:rPr>
          <w:rFonts w:eastAsia="Times New Roman" w:cs="Times New Roman"/>
          <w:color w:val="000000" w:themeColor="text1"/>
          <w:lang w:val="en-GB" w:eastAsia="en-GB"/>
        </w:rPr>
        <w:t>.</w:t>
      </w:r>
    </w:p>
    <w:p w:rsidR="006419BC" w:rsidRPr="00812349" w:rsidRDefault="006419BC" w:rsidP="00985180">
      <w:pPr>
        <w:autoSpaceDE w:val="0"/>
        <w:autoSpaceDN w:val="0"/>
        <w:adjustRightInd w:val="0"/>
        <w:spacing w:after="0" w:line="480" w:lineRule="auto"/>
        <w:jc w:val="both"/>
        <w:rPr>
          <w:rFonts w:eastAsia="Times New Roman" w:cs="Times New Roman"/>
          <w:color w:val="000000" w:themeColor="text1"/>
          <w:lang w:val="en-GB" w:eastAsia="en-GB"/>
        </w:rPr>
      </w:pPr>
    </w:p>
    <w:p w:rsidR="006419BC" w:rsidRPr="00276A60" w:rsidRDefault="006419BC" w:rsidP="00EE20A0">
      <w:pPr>
        <w:spacing w:line="480" w:lineRule="auto"/>
        <w:rPr>
          <w:rFonts w:cstheme="minorHAnsi"/>
          <w:b/>
          <w:lang w:val="en-GB"/>
        </w:rPr>
      </w:pPr>
      <w:r w:rsidRPr="00276A60">
        <w:rPr>
          <w:rFonts w:cstheme="minorHAnsi"/>
          <w:b/>
          <w:lang w:val="en-GB"/>
        </w:rPr>
        <w:t>Long-term consequences and post-COVID monitoring</w:t>
      </w:r>
    </w:p>
    <w:p w:rsidR="006419BC" w:rsidRPr="008D495C" w:rsidRDefault="006419BC" w:rsidP="00E34EF7">
      <w:pPr>
        <w:spacing w:line="480" w:lineRule="auto"/>
        <w:jc w:val="both"/>
        <w:rPr>
          <w:rFonts w:cs="Calibri"/>
          <w:lang w:val="en-GB" w:eastAsia="de-DE"/>
        </w:rPr>
      </w:pPr>
      <w:r w:rsidRPr="00276A60">
        <w:rPr>
          <w:rFonts w:cstheme="minorHAnsi"/>
          <w:lang w:val="en-GB"/>
        </w:rPr>
        <w:t xml:space="preserve">Evidence from the outbreak of the closely related SARS-CoV-1 in 2002-2003 suggests that there is a likelihood of long-term metabolic sequelae from COVID-19. Long-term metabolic abnormalities have been observed for up to 12 years in survivors of SARS-CoV-1. These abnormalities included </w:t>
      </w:r>
      <w:r w:rsidRPr="00EA05A2">
        <w:rPr>
          <w:rFonts w:cstheme="minorHAnsi"/>
          <w:lang w:val="en-GB"/>
        </w:rPr>
        <w:t>dyslipidaemia and cardiovascular disease as well as signs of abnormal glucose metabolism with insulin resistance and hyperglycaemia, and diabetes</w:t>
      </w:r>
      <w:r>
        <w:rPr>
          <w:rFonts w:cstheme="minorHAnsi"/>
          <w:lang w:val="en-GB"/>
        </w:rPr>
        <w:t>.</w:t>
      </w:r>
      <w:r w:rsidRPr="00EA05A2">
        <w:rPr>
          <w:rFonts w:cstheme="minorHAnsi"/>
          <w:lang w:val="en-GB"/>
        </w:rPr>
        <w:t xml:space="preserve"> </w:t>
      </w:r>
      <w:r w:rsidRPr="00252072">
        <w:rPr>
          <w:rFonts w:cstheme="minorHAnsi"/>
          <w:noProof/>
          <w:vertAlign w:val="superscript"/>
          <w:lang w:val="en-GB"/>
        </w:rPr>
        <w:t>122,123</w:t>
      </w:r>
      <w:r w:rsidRPr="00876226">
        <w:rPr>
          <w:rFonts w:cstheme="minorHAnsi"/>
          <w:lang w:val="en-GB"/>
        </w:rPr>
        <w:t xml:space="preserve"> Furthermore, a chronic post-viral syndrome characterised by chronic fatigue, variable nonspecific myalgia, depression and sleep disorders was observed</w:t>
      </w:r>
      <w:r>
        <w:rPr>
          <w:rFonts w:cstheme="minorHAnsi"/>
          <w:lang w:val="en-GB"/>
        </w:rPr>
        <w:t>.</w:t>
      </w:r>
      <w:r w:rsidRPr="00876226">
        <w:rPr>
          <w:rFonts w:cstheme="minorHAnsi"/>
          <w:lang w:val="en-GB"/>
        </w:rPr>
        <w:t xml:space="preserve"> </w:t>
      </w:r>
      <w:r w:rsidRPr="00252072">
        <w:rPr>
          <w:rFonts w:cstheme="minorHAnsi"/>
          <w:noProof/>
          <w:vertAlign w:val="superscript"/>
          <w:lang w:val="en-GB"/>
        </w:rPr>
        <w:t>124</w:t>
      </w:r>
      <w:r w:rsidRPr="00876226">
        <w:rPr>
          <w:rFonts w:cstheme="minorHAnsi"/>
          <w:lang w:val="en-GB"/>
        </w:rPr>
        <w:t xml:space="preserve"> Recent reports have emerged describing similar long-term consequences of COVID-19 designated</w:t>
      </w:r>
      <w:r w:rsidRPr="00277BE8">
        <w:rPr>
          <w:rFonts w:cstheme="minorHAnsi"/>
          <w:lang w:val="en-GB"/>
        </w:rPr>
        <w:t xml:space="preserve"> as “</w:t>
      </w:r>
      <w:r w:rsidRPr="00B25D96">
        <w:rPr>
          <w:rFonts w:cstheme="minorHAnsi"/>
          <w:lang w:val="en-GB"/>
        </w:rPr>
        <w:t>post-COVID”</w:t>
      </w:r>
      <w:r w:rsidRPr="00812349">
        <w:rPr>
          <w:rFonts w:cstheme="minorHAnsi"/>
          <w:lang w:val="en-GB"/>
        </w:rPr>
        <w:t>,</w:t>
      </w:r>
      <w:r>
        <w:rPr>
          <w:rFonts w:cstheme="minorHAnsi"/>
          <w:lang w:val="en-GB"/>
        </w:rPr>
        <w:t xml:space="preserve"> </w:t>
      </w:r>
      <w:r w:rsidRPr="00D47D74">
        <w:rPr>
          <w:rFonts w:cstheme="minorHAnsi"/>
          <w:lang w:val="en-GB"/>
        </w:rPr>
        <w:t xml:space="preserve">“long COVID” </w:t>
      </w:r>
      <w:r w:rsidRPr="00C92A01">
        <w:rPr>
          <w:rFonts w:cstheme="minorHAnsi"/>
          <w:lang w:val="en-GB"/>
        </w:rPr>
        <w:t xml:space="preserve">syndromes </w:t>
      </w:r>
      <w:r w:rsidRPr="00252072">
        <w:rPr>
          <w:rFonts w:cstheme="minorHAnsi"/>
          <w:noProof/>
          <w:vertAlign w:val="superscript"/>
          <w:lang w:val="en-GB"/>
        </w:rPr>
        <w:t>125</w:t>
      </w:r>
      <w:r w:rsidRPr="00876226">
        <w:rPr>
          <w:rFonts w:cstheme="minorHAnsi"/>
          <w:lang w:val="en-GB"/>
        </w:rPr>
        <w:t xml:space="preserve"> or post-acute sequelae of COVID-19</w:t>
      </w:r>
      <w:r w:rsidRPr="00277BE8">
        <w:rPr>
          <w:rFonts w:cstheme="minorHAnsi"/>
          <w:lang w:val="en-GB"/>
        </w:rPr>
        <w:t xml:space="preserve"> </w:t>
      </w:r>
      <w:r w:rsidRPr="00F34EF5">
        <w:rPr>
          <w:rFonts w:cstheme="minorHAnsi"/>
          <w:noProof/>
          <w:vertAlign w:val="superscript"/>
          <w:lang w:val="en-GB"/>
        </w:rPr>
        <w:t>18</w:t>
      </w:r>
      <w:r w:rsidRPr="00876226">
        <w:rPr>
          <w:rFonts w:cstheme="minorHAnsi"/>
          <w:lang w:val="en-GB"/>
        </w:rPr>
        <w:t>, and it was shown that beyond the first 30 days of illness, COVID-19 survivors exhibit a significantly higher risk of death and health resource utilisation</w:t>
      </w:r>
      <w:r>
        <w:rPr>
          <w:rFonts w:cstheme="minorHAnsi"/>
          <w:lang w:val="en-GB"/>
        </w:rPr>
        <w:t>.</w:t>
      </w:r>
      <w:r w:rsidRPr="00876226">
        <w:rPr>
          <w:rFonts w:cstheme="minorHAnsi"/>
          <w:lang w:val="en-GB"/>
        </w:rPr>
        <w:t xml:space="preserve"> </w:t>
      </w:r>
      <w:r w:rsidRPr="00252072">
        <w:rPr>
          <w:rFonts w:cstheme="minorHAnsi"/>
          <w:noProof/>
          <w:vertAlign w:val="superscript"/>
          <w:lang w:val="en-GB"/>
        </w:rPr>
        <w:t>126</w:t>
      </w:r>
      <w:r w:rsidRPr="00876226">
        <w:rPr>
          <w:rFonts w:cstheme="minorHAnsi"/>
          <w:lang w:val="en-GB"/>
        </w:rPr>
        <w:t xml:space="preserve"> In relation to metabolic diseases, a recent study from Spain</w:t>
      </w:r>
      <w:r w:rsidRPr="00B25D96">
        <w:rPr>
          <w:rFonts w:cstheme="minorHAnsi"/>
          <w:lang w:val="en-GB"/>
        </w:rPr>
        <w:t xml:space="preserve"> investigating the long-term outcomes of 766 patients with COVID-19 one year after hospital discharge</w:t>
      </w:r>
      <w:r w:rsidRPr="00812349">
        <w:rPr>
          <w:rFonts w:cstheme="minorHAnsi"/>
          <w:lang w:val="en-GB"/>
        </w:rPr>
        <w:t>, shows that 1·</w:t>
      </w:r>
      <w:r w:rsidRPr="00D47D74">
        <w:rPr>
          <w:rFonts w:cstheme="minorHAnsi"/>
          <w:lang w:val="en-GB"/>
        </w:rPr>
        <w:t xml:space="preserve">3% of these patients developed new-onset diabetes </w:t>
      </w:r>
      <w:r w:rsidRPr="00C92A01">
        <w:rPr>
          <w:rFonts w:cstheme="minorHAnsi"/>
          <w:lang w:val="en-GB"/>
        </w:rPr>
        <w:t>and in 10·1% of the patients, a worsening in glycaemic control was documented</w:t>
      </w:r>
      <w:r>
        <w:rPr>
          <w:rFonts w:cstheme="minorHAnsi"/>
          <w:lang w:val="en-GB"/>
        </w:rPr>
        <w:t>.</w:t>
      </w:r>
      <w:r w:rsidRPr="00C92A01">
        <w:rPr>
          <w:rFonts w:cstheme="minorHAnsi"/>
          <w:lang w:val="en-GB"/>
        </w:rPr>
        <w:t xml:space="preserve"> </w:t>
      </w:r>
      <w:r w:rsidRPr="00F34EF5">
        <w:rPr>
          <w:rFonts w:cstheme="minorHAnsi"/>
          <w:noProof/>
          <w:vertAlign w:val="superscript"/>
          <w:lang w:val="en-GB"/>
        </w:rPr>
        <w:t>17</w:t>
      </w:r>
      <w:r w:rsidRPr="00876226">
        <w:rPr>
          <w:rFonts w:cstheme="minorHAnsi"/>
          <w:lang w:val="en-GB"/>
        </w:rPr>
        <w:t xml:space="preserve"> An Italian study showed that glycaemic abnormalities could be detected at least two months after recovery from COVID-19</w:t>
      </w:r>
      <w:r>
        <w:rPr>
          <w:rFonts w:cstheme="minorHAnsi"/>
          <w:lang w:val="en-GB"/>
        </w:rPr>
        <w:t>.</w:t>
      </w:r>
      <w:r w:rsidRPr="00876226">
        <w:rPr>
          <w:rFonts w:cstheme="minorHAnsi"/>
          <w:lang w:val="en-GB"/>
        </w:rPr>
        <w:t xml:space="preserve"> </w:t>
      </w:r>
      <w:r w:rsidRPr="00D96F48">
        <w:rPr>
          <w:rFonts w:cstheme="minorHAnsi"/>
          <w:noProof/>
          <w:vertAlign w:val="superscript"/>
          <w:lang w:val="en-GB"/>
        </w:rPr>
        <w:t>83</w:t>
      </w:r>
    </w:p>
    <w:p w:rsidR="006419BC" w:rsidRPr="00876226" w:rsidRDefault="006419BC" w:rsidP="00CB2115">
      <w:pPr>
        <w:autoSpaceDE w:val="0"/>
        <w:autoSpaceDN w:val="0"/>
        <w:adjustRightInd w:val="0"/>
        <w:spacing w:after="240" w:line="480" w:lineRule="auto"/>
        <w:jc w:val="both"/>
        <w:rPr>
          <w:rFonts w:cstheme="minorHAnsi"/>
          <w:noProof/>
          <w:lang w:val="en-GB" w:eastAsia="de-DE"/>
        </w:rPr>
      </w:pPr>
      <w:r w:rsidRPr="00876226">
        <w:rPr>
          <w:rFonts w:cstheme="minorHAnsi"/>
          <w:lang w:val="en-GB"/>
        </w:rPr>
        <w:t>COVID-19 survivors frequently develop physical, psychosocial and cognitive impairments requiring rehabilitation programmes</w:t>
      </w:r>
      <w:r>
        <w:rPr>
          <w:rFonts w:cstheme="minorHAnsi"/>
          <w:lang w:val="en-GB"/>
        </w:rPr>
        <w:t>.</w:t>
      </w:r>
      <w:r w:rsidRPr="00277BE8">
        <w:rPr>
          <w:rFonts w:cstheme="minorHAnsi"/>
          <w:lang w:val="en-GB"/>
        </w:rPr>
        <w:t xml:space="preserve"> </w:t>
      </w:r>
      <w:r w:rsidRPr="00252072">
        <w:rPr>
          <w:rFonts w:cstheme="minorHAnsi"/>
          <w:noProof/>
          <w:vertAlign w:val="superscript"/>
          <w:lang w:val="en-GB"/>
        </w:rPr>
        <w:t>127</w:t>
      </w:r>
      <w:r w:rsidRPr="00876226">
        <w:rPr>
          <w:rFonts w:cstheme="minorHAnsi"/>
          <w:lang w:val="en-GB"/>
        </w:rPr>
        <w:t xml:space="preserve"> </w:t>
      </w:r>
      <w:r w:rsidRPr="00876226">
        <w:rPr>
          <w:rFonts w:cstheme="minorHAnsi"/>
          <w:noProof/>
          <w:lang w:val="en-GB" w:eastAsia="de-DE"/>
        </w:rPr>
        <w:t>P</w:t>
      </w:r>
      <w:r w:rsidRPr="00876226">
        <w:rPr>
          <w:rFonts w:cstheme="minorHAnsi"/>
          <w:lang w:val="en-GB"/>
        </w:rPr>
        <w:t xml:space="preserve">rolonged exposure to stressors, such as those experienced </w:t>
      </w:r>
      <w:r w:rsidRPr="00277BE8">
        <w:rPr>
          <w:rFonts w:cstheme="minorHAnsi"/>
          <w:lang w:val="en-GB"/>
        </w:rPr>
        <w:t>through isolation</w:t>
      </w:r>
      <w:r w:rsidRPr="00B25D96">
        <w:rPr>
          <w:rFonts w:cstheme="minorHAnsi"/>
          <w:lang w:val="en-GB"/>
        </w:rPr>
        <w:t xml:space="preserve">, increases the risk </w:t>
      </w:r>
      <w:r w:rsidRPr="00812349">
        <w:rPr>
          <w:rFonts w:cstheme="minorHAnsi"/>
          <w:lang w:val="en-GB"/>
        </w:rPr>
        <w:t>of develop</w:t>
      </w:r>
      <w:r w:rsidRPr="00D47D74">
        <w:rPr>
          <w:rFonts w:cstheme="minorHAnsi"/>
          <w:lang w:val="en-GB"/>
        </w:rPr>
        <w:t xml:space="preserve">ing major </w:t>
      </w:r>
      <w:r w:rsidRPr="00C92A01">
        <w:rPr>
          <w:rFonts w:cstheme="minorHAnsi"/>
          <w:lang w:val="en-GB"/>
        </w:rPr>
        <w:t>depression, anxiety and post-traumatic stress disorders</w:t>
      </w:r>
      <w:r>
        <w:rPr>
          <w:rFonts w:cstheme="minorHAnsi"/>
          <w:lang w:val="en-GB"/>
        </w:rPr>
        <w:t>.</w:t>
      </w:r>
      <w:r w:rsidRPr="00C92A01">
        <w:rPr>
          <w:rFonts w:cstheme="minorHAnsi"/>
          <w:lang w:val="en-GB"/>
        </w:rPr>
        <w:t xml:space="preserve"> </w:t>
      </w:r>
      <w:r w:rsidRPr="00252072">
        <w:rPr>
          <w:rFonts w:cstheme="minorHAnsi"/>
          <w:noProof/>
          <w:vertAlign w:val="superscript"/>
          <w:lang w:val="en-GB"/>
        </w:rPr>
        <w:t>128</w:t>
      </w:r>
      <w:r w:rsidRPr="00876226">
        <w:rPr>
          <w:rFonts w:cstheme="minorHAnsi"/>
          <w:lang w:val="en-GB"/>
        </w:rPr>
        <w:t xml:space="preserve"> Furthermore, following treatment in the ICU, p</w:t>
      </w:r>
      <w:r w:rsidRPr="00B25D96">
        <w:rPr>
          <w:rFonts w:cstheme="minorHAnsi"/>
          <w:lang w:val="en-GB"/>
        </w:rPr>
        <w:t xml:space="preserve">ersistent mental health impairment is </w:t>
      </w:r>
      <w:r w:rsidRPr="00B25D96">
        <w:rPr>
          <w:rFonts w:cstheme="minorHAnsi"/>
          <w:lang w:val="en-GB"/>
        </w:rPr>
        <w:lastRenderedPageBreak/>
        <w:t>commonly described and a high prevalence of depression has been observed</w:t>
      </w:r>
      <w:r>
        <w:rPr>
          <w:rFonts w:cstheme="minorHAnsi"/>
          <w:lang w:val="en-GB"/>
        </w:rPr>
        <w:t xml:space="preserve">. </w:t>
      </w:r>
      <w:r w:rsidRPr="00252072">
        <w:rPr>
          <w:rFonts w:cstheme="minorHAnsi"/>
          <w:noProof/>
          <w:vertAlign w:val="superscript"/>
          <w:lang w:val="en-GB"/>
        </w:rPr>
        <w:t>129</w:t>
      </w:r>
      <w:r w:rsidRPr="00876226">
        <w:rPr>
          <w:rFonts w:cstheme="minorHAnsi"/>
          <w:lang w:val="en-GB"/>
        </w:rPr>
        <w:t xml:space="preserve"> Additionally, i</w:t>
      </w:r>
      <w:r w:rsidRPr="00876226">
        <w:rPr>
          <w:rFonts w:cstheme="minorHAnsi"/>
          <w:noProof/>
          <w:lang w:val="en-GB" w:eastAsia="de-DE"/>
        </w:rPr>
        <w:t xml:space="preserve">t has to be considered that </w:t>
      </w:r>
      <w:r w:rsidRPr="00B25D96">
        <w:rPr>
          <w:rFonts w:cstheme="minorHAnsi"/>
          <w:noProof/>
          <w:lang w:val="en-GB" w:eastAsia="de-DE"/>
        </w:rPr>
        <w:t>certain therapies impacting expression of ACE2 might also influence the RAAS and the neuroendocrine stress axis</w:t>
      </w:r>
      <w:r>
        <w:rPr>
          <w:rFonts w:cstheme="minorHAnsi"/>
          <w:noProof/>
          <w:lang w:val="en-GB" w:eastAsia="de-DE"/>
        </w:rPr>
        <w:t>.</w:t>
      </w:r>
      <w:r w:rsidRPr="00812349">
        <w:rPr>
          <w:rFonts w:cstheme="minorHAnsi"/>
          <w:noProof/>
          <w:lang w:val="en-GB" w:eastAsia="de-DE"/>
        </w:rPr>
        <w:t xml:space="preserve"> </w:t>
      </w:r>
      <w:r w:rsidRPr="00F34EF5">
        <w:rPr>
          <w:rFonts w:cstheme="minorHAnsi"/>
          <w:noProof/>
          <w:vertAlign w:val="superscript"/>
          <w:lang w:val="en-GB"/>
        </w:rPr>
        <w:t>38</w:t>
      </w:r>
      <w:r w:rsidRPr="00876226">
        <w:rPr>
          <w:rFonts w:cstheme="minorHAnsi"/>
          <w:noProof/>
          <w:lang w:val="en-GB" w:eastAsia="de-DE"/>
        </w:rPr>
        <w:t xml:space="preserve"> Also unexpected problems may occur after COVID-19, such as </w:t>
      </w:r>
      <w:r w:rsidRPr="008D495C">
        <w:rPr>
          <w:rFonts w:cstheme="minorHAnsi"/>
          <w:color w:val="212121"/>
          <w:shd w:val="clear" w:color="auto" w:fill="FFFFFF"/>
          <w:lang w:val="en-GB"/>
        </w:rPr>
        <w:t>invasive fungal sinusitis (</w:t>
      </w:r>
      <w:r w:rsidRPr="00876226">
        <w:rPr>
          <w:rFonts w:cstheme="minorHAnsi"/>
          <w:noProof/>
          <w:lang w:val="en-GB" w:eastAsia="de-DE"/>
        </w:rPr>
        <w:t xml:space="preserve">mucormycosis) usually affecting people with poor immunity and those with uncontrolled diabetes. </w:t>
      </w:r>
      <w:r w:rsidRPr="00B25D96">
        <w:rPr>
          <w:rFonts w:cstheme="minorHAnsi"/>
          <w:noProof/>
          <w:lang w:val="en-GB" w:eastAsia="de-DE"/>
        </w:rPr>
        <w:t>Other risk factors for mucormycosis include steroid treatment meaning that the high doses of steroids</w:t>
      </w:r>
      <w:r w:rsidRPr="00812349">
        <w:rPr>
          <w:rFonts w:cstheme="minorHAnsi"/>
          <w:noProof/>
          <w:lang w:val="en-GB" w:eastAsia="de-DE"/>
        </w:rPr>
        <w:t xml:space="preserve"> administered to severe COVID-19 patients might induce this side-effect as recently shown in India</w:t>
      </w:r>
      <w:r>
        <w:rPr>
          <w:rFonts w:cstheme="minorHAnsi"/>
          <w:noProof/>
          <w:lang w:val="en-GB" w:eastAsia="de-DE"/>
        </w:rPr>
        <w:t>.</w:t>
      </w:r>
      <w:r w:rsidRPr="00812349">
        <w:rPr>
          <w:rFonts w:cstheme="minorHAnsi"/>
          <w:noProof/>
          <w:lang w:val="en-GB" w:eastAsia="de-DE"/>
        </w:rPr>
        <w:t xml:space="preserve"> </w:t>
      </w:r>
      <w:r w:rsidRPr="00252072">
        <w:rPr>
          <w:rFonts w:cstheme="minorHAnsi"/>
          <w:noProof/>
          <w:vertAlign w:val="superscript"/>
          <w:lang w:val="en-GB" w:eastAsia="de-DE"/>
        </w:rPr>
        <w:t>130</w:t>
      </w:r>
      <w:r w:rsidRPr="00876226">
        <w:rPr>
          <w:rFonts w:cstheme="minorHAnsi"/>
          <w:noProof/>
          <w:lang w:val="en-GB" w:eastAsia="de-DE"/>
        </w:rPr>
        <w:t xml:space="preserve"> </w:t>
      </w:r>
    </w:p>
    <w:p w:rsidR="006419BC" w:rsidRPr="00B25D96" w:rsidRDefault="006419BC" w:rsidP="00CB2115">
      <w:pPr>
        <w:autoSpaceDE w:val="0"/>
        <w:autoSpaceDN w:val="0"/>
        <w:adjustRightInd w:val="0"/>
        <w:spacing w:after="240" w:line="480" w:lineRule="auto"/>
        <w:jc w:val="both"/>
        <w:rPr>
          <w:rFonts w:cstheme="minorHAnsi"/>
          <w:noProof/>
          <w:lang w:val="en-GB" w:eastAsia="de-DE"/>
        </w:rPr>
      </w:pPr>
      <w:r w:rsidRPr="00B25D96">
        <w:rPr>
          <w:rFonts w:cstheme="minorHAnsi"/>
          <w:noProof/>
          <w:lang w:val="en-GB" w:eastAsia="de-DE"/>
        </w:rPr>
        <w:t>People post discharge following COVID-19 will need close monitoring for risk factor control with potential use of novel therapies to reduce risk for medium term complications</w:t>
      </w:r>
      <w:r>
        <w:rPr>
          <w:rFonts w:cstheme="minorHAnsi"/>
          <w:noProof/>
          <w:lang w:val="en-GB" w:eastAsia="de-DE"/>
        </w:rPr>
        <w:t>.</w:t>
      </w:r>
      <w:r w:rsidRPr="00B25D96">
        <w:rPr>
          <w:rFonts w:cstheme="minorHAnsi"/>
          <w:noProof/>
          <w:lang w:val="en-GB" w:eastAsia="de-DE"/>
        </w:rPr>
        <w:t xml:space="preserve"> </w:t>
      </w:r>
      <w:r w:rsidRPr="00252072">
        <w:rPr>
          <w:rFonts w:cstheme="minorHAnsi"/>
          <w:noProof/>
          <w:vertAlign w:val="superscript"/>
          <w:lang w:val="en-GB" w:eastAsia="de-DE"/>
        </w:rPr>
        <w:t>131</w:t>
      </w:r>
      <w:r w:rsidRPr="00876226">
        <w:rPr>
          <w:rFonts w:cstheme="minorHAnsi"/>
          <w:noProof/>
          <w:lang w:val="en-GB" w:eastAsia="de-DE"/>
        </w:rPr>
        <w:t xml:space="preserve"> Recent follow-up study of people discharged following admission with COVID-19 showed that at a mean follow-up of 140 days, nearly a third of patients were re-admitted and 12% had died</w:t>
      </w:r>
      <w:r>
        <w:rPr>
          <w:rFonts w:cstheme="minorHAnsi"/>
          <w:noProof/>
          <w:lang w:val="en-GB" w:eastAsia="de-DE"/>
        </w:rPr>
        <w:t>.</w:t>
      </w:r>
      <w:r w:rsidRPr="00876226">
        <w:rPr>
          <w:rFonts w:cstheme="minorHAnsi"/>
          <w:noProof/>
          <w:lang w:val="en-GB" w:eastAsia="de-DE"/>
        </w:rPr>
        <w:t xml:space="preserve"> </w:t>
      </w:r>
      <w:r w:rsidRPr="00252072">
        <w:rPr>
          <w:rFonts w:cstheme="minorHAnsi"/>
          <w:noProof/>
          <w:vertAlign w:val="superscript"/>
          <w:lang w:val="en-GB" w:eastAsia="de-DE"/>
        </w:rPr>
        <w:t>132</w:t>
      </w:r>
      <w:r w:rsidRPr="00876226">
        <w:rPr>
          <w:rFonts w:cstheme="minorHAnsi"/>
          <w:noProof/>
          <w:lang w:val="en-GB" w:eastAsia="de-DE"/>
        </w:rPr>
        <w:t xml:space="preserve"> Post COVID follow-up will inc</w:t>
      </w:r>
      <w:r w:rsidRPr="00B25D96">
        <w:rPr>
          <w:rFonts w:cstheme="minorHAnsi"/>
          <w:noProof/>
          <w:lang w:val="en-GB" w:eastAsia="de-DE"/>
        </w:rPr>
        <w:t xml:space="preserve">lude assessment and monitoring of cardiovascular and renal complications and risk factor control. Those with admission hyperglycaemia will need follow-up to determine if these patients have new-onset diabetes. </w:t>
      </w:r>
    </w:p>
    <w:p w:rsidR="006419BC" w:rsidRPr="00876226" w:rsidRDefault="006419BC" w:rsidP="00A07756">
      <w:pPr>
        <w:autoSpaceDE w:val="0"/>
        <w:autoSpaceDN w:val="0"/>
        <w:adjustRightInd w:val="0"/>
        <w:spacing w:after="0" w:line="480" w:lineRule="auto"/>
        <w:jc w:val="both"/>
        <w:rPr>
          <w:rFonts w:cstheme="minorHAnsi"/>
          <w:lang w:val="en-GB" w:eastAsia="de-DE"/>
        </w:rPr>
      </w:pPr>
      <w:r w:rsidRPr="00812349">
        <w:rPr>
          <w:rFonts w:cstheme="minorHAnsi"/>
          <w:lang w:val="en-GB" w:eastAsia="de-DE"/>
        </w:rPr>
        <w:t>The disproportionate excess mortality risk of COVID-19 in people with diabetes warrants vaccination prioritis</w:t>
      </w:r>
      <w:r w:rsidRPr="00D47D74">
        <w:rPr>
          <w:rFonts w:cstheme="minorHAnsi"/>
          <w:lang w:val="en-GB" w:eastAsia="de-DE"/>
        </w:rPr>
        <w:t>ation (Table 2)</w:t>
      </w:r>
      <w:r w:rsidRPr="00C92A01">
        <w:rPr>
          <w:rFonts w:cstheme="minorHAnsi"/>
          <w:lang w:val="en-GB" w:eastAsia="de-DE"/>
        </w:rPr>
        <w:t>. This is included in most of the national vaccination strategies</w:t>
      </w:r>
      <w:r>
        <w:rPr>
          <w:rFonts w:cstheme="minorHAnsi"/>
          <w:lang w:val="en-GB" w:eastAsia="de-DE"/>
        </w:rPr>
        <w:t>.</w:t>
      </w:r>
      <w:r w:rsidRPr="00C92A01">
        <w:rPr>
          <w:rFonts w:cstheme="minorHAnsi"/>
          <w:lang w:val="en-GB" w:eastAsia="de-DE"/>
        </w:rPr>
        <w:t xml:space="preserve"> </w:t>
      </w:r>
      <w:r w:rsidRPr="00252072">
        <w:rPr>
          <w:rFonts w:cstheme="minorHAnsi"/>
          <w:noProof/>
          <w:vertAlign w:val="superscript"/>
          <w:lang w:val="en-GB" w:eastAsia="de-DE"/>
        </w:rPr>
        <w:t>133,134</w:t>
      </w:r>
      <w:r w:rsidRPr="00876226">
        <w:rPr>
          <w:rFonts w:cstheme="minorHAnsi"/>
          <w:lang w:val="en-GB" w:eastAsia="de-DE"/>
        </w:rPr>
        <w:t xml:space="preserve"> After vaccination, disease management should follow evidence-</w:t>
      </w:r>
      <w:r w:rsidRPr="00B25D96">
        <w:rPr>
          <w:rFonts w:cstheme="minorHAnsi"/>
          <w:lang w:val="en-GB" w:eastAsia="de-DE"/>
        </w:rPr>
        <w:t>based guidelines</w:t>
      </w:r>
      <w:r>
        <w:rPr>
          <w:rFonts w:cstheme="minorHAnsi"/>
          <w:lang w:val="en-GB" w:eastAsia="de-DE"/>
        </w:rPr>
        <w:t xml:space="preserve"> for COVID-19 patients with type 2 diabetes. </w:t>
      </w:r>
      <w:r w:rsidRPr="00D96F48">
        <w:rPr>
          <w:rFonts w:cstheme="minorHAnsi"/>
          <w:noProof/>
          <w:vertAlign w:val="superscript"/>
          <w:lang w:val="en-GB" w:eastAsia="de-DE"/>
        </w:rPr>
        <w:t>98</w:t>
      </w:r>
      <w:r w:rsidRPr="00B25D96">
        <w:rPr>
          <w:rFonts w:cstheme="minorHAnsi"/>
          <w:lang w:val="en-GB" w:eastAsia="de-DE"/>
        </w:rPr>
        <w:t xml:space="preserve"> </w:t>
      </w:r>
      <w:r w:rsidRPr="00276A60">
        <w:rPr>
          <w:rFonts w:cstheme="minorHAnsi"/>
          <w:lang w:val="en-GB" w:eastAsia="de-DE"/>
        </w:rPr>
        <w:t xml:space="preserve">The ongoing </w:t>
      </w:r>
      <w:r w:rsidRPr="00276A60">
        <w:rPr>
          <w:rFonts w:cstheme="minorHAnsi"/>
          <w:color w:val="000000" w:themeColor="text1"/>
          <w:lang w:val="en-GB" w:eastAsia="de-DE"/>
        </w:rPr>
        <w:t>COVID-19 tsunami in India, occasioned by the second wave, the rampant spread in both Turkey and Brazil, undoubtedly is of serious concern particularly as these countries have high prevalence of diabetes mellitus</w:t>
      </w:r>
      <w:r>
        <w:rPr>
          <w:rFonts w:cstheme="minorHAnsi"/>
          <w:color w:val="000000" w:themeColor="text1"/>
          <w:lang w:val="en-GB" w:eastAsia="de-DE"/>
        </w:rPr>
        <w:t>.</w:t>
      </w:r>
      <w:r w:rsidRPr="00276A60">
        <w:rPr>
          <w:rFonts w:cstheme="minorHAnsi"/>
          <w:color w:val="000000" w:themeColor="text1"/>
          <w:lang w:val="en-GB" w:eastAsia="de-DE"/>
        </w:rPr>
        <w:t xml:space="preserve"> </w:t>
      </w:r>
      <w:r w:rsidRPr="00252072">
        <w:rPr>
          <w:rFonts w:cstheme="minorHAnsi"/>
          <w:noProof/>
          <w:color w:val="000000" w:themeColor="text1"/>
          <w:vertAlign w:val="superscript"/>
          <w:lang w:val="en-GB" w:eastAsia="de-DE"/>
        </w:rPr>
        <w:t>135-137</w:t>
      </w:r>
      <w:r w:rsidRPr="00876226">
        <w:rPr>
          <w:rFonts w:eastAsia="Times New Roman" w:cs="Times New Roman"/>
          <w:color w:val="000000" w:themeColor="text1"/>
          <w:lang w:val="en-GB" w:eastAsia="en-GB"/>
        </w:rPr>
        <w:t xml:space="preserve"> This represents a huge number of persons living in spaces currently facing </w:t>
      </w:r>
      <w:r w:rsidRPr="00B25D96">
        <w:rPr>
          <w:rFonts w:eastAsia="Times New Roman" w:cs="Times New Roman"/>
          <w:color w:val="000000" w:themeColor="text1"/>
          <w:lang w:val="en-GB" w:eastAsia="en-GB"/>
        </w:rPr>
        <w:t xml:space="preserve">an explosion of new COVID infections. The implications of this situation </w:t>
      </w:r>
      <w:r w:rsidRPr="00812349">
        <w:rPr>
          <w:rFonts w:eastAsia="Times New Roman" w:cs="Times New Roman"/>
          <w:color w:val="000000" w:themeColor="text1"/>
          <w:lang w:val="en-GB" w:eastAsia="en-GB"/>
        </w:rPr>
        <w:t xml:space="preserve">may be far reaching, particularly on the care for patients with diabetes mellitus, other metabolic diseases and their outcomes including mortality. In Africa, the situation is seemingly different, even though the emergence of new variants of COVID-19 are raising concerns. Reasons for the less severe morbidity and mortality in Africa may include; young population, quick action, public support, </w:t>
      </w:r>
      <w:r w:rsidRPr="00812349">
        <w:rPr>
          <w:rFonts w:eastAsia="Times New Roman" w:cs="Times New Roman"/>
          <w:color w:val="000000" w:themeColor="text1"/>
          <w:lang w:val="en-GB" w:eastAsia="en-GB"/>
        </w:rPr>
        <w:lastRenderedPageBreak/>
        <w:t>favourable climate and good community health system</w:t>
      </w:r>
      <w:r>
        <w:rPr>
          <w:rFonts w:eastAsia="Times New Roman" w:cs="Times New Roman"/>
          <w:color w:val="000000" w:themeColor="text1"/>
          <w:lang w:val="en-GB" w:eastAsia="en-GB"/>
        </w:rPr>
        <w:t>.</w:t>
      </w:r>
      <w:r w:rsidRPr="008D495C">
        <w:rPr>
          <w:lang w:val="en-GB"/>
        </w:rPr>
        <w:t xml:space="preserve"> </w:t>
      </w:r>
      <w:r>
        <w:rPr>
          <w:rFonts w:eastAsia="Times New Roman" w:cs="Times New Roman"/>
          <w:noProof/>
          <w:color w:val="000000" w:themeColor="text1"/>
          <w:vertAlign w:val="superscript"/>
          <w:lang w:val="en-GB" w:eastAsia="en-GB"/>
        </w:rPr>
        <w:t>138</w:t>
      </w:r>
      <w:r w:rsidRPr="00876226">
        <w:rPr>
          <w:rFonts w:eastAsia="Times New Roman" w:cs="Times New Roman"/>
          <w:color w:val="000000" w:themeColor="text1"/>
          <w:lang w:val="en-GB" w:eastAsia="en-GB"/>
        </w:rPr>
        <w:t xml:space="preserve"> Being a resource-restricted region, Africa, particularly Sub-Saharan Africa, should lay more emphasis on prevention.</w:t>
      </w:r>
    </w:p>
    <w:p w:rsidR="006419BC" w:rsidRPr="001F0797" w:rsidRDefault="006419BC" w:rsidP="00A07756">
      <w:pPr>
        <w:spacing w:line="480" w:lineRule="auto"/>
        <w:jc w:val="both"/>
        <w:rPr>
          <w:lang w:val="en-US"/>
        </w:rPr>
      </w:pPr>
      <w:r w:rsidRPr="00B25D96">
        <w:rPr>
          <w:rFonts w:cstheme="minorHAnsi"/>
          <w:lang w:val="en-GB"/>
        </w:rPr>
        <w:t xml:space="preserve">Smart disease management in </w:t>
      </w:r>
      <w:r w:rsidRPr="00812349">
        <w:rPr>
          <w:rFonts w:cstheme="minorHAnsi"/>
          <w:lang w:val="en-GB"/>
        </w:rPr>
        <w:t>and after the pandemic</w:t>
      </w:r>
      <w:r w:rsidRPr="00D47D74">
        <w:rPr>
          <w:rFonts w:cstheme="minorHAnsi"/>
          <w:lang w:val="en-GB"/>
        </w:rPr>
        <w:t xml:space="preserve"> has been proposed. </w:t>
      </w:r>
      <w:r w:rsidRPr="00C92A01">
        <w:rPr>
          <w:rFonts w:cstheme="minorHAnsi"/>
          <w:lang w:val="en-GB"/>
        </w:rPr>
        <w:t xml:space="preserve">Such an integrated model of digital disease management may </w:t>
      </w:r>
      <w:r w:rsidRPr="00710071">
        <w:rPr>
          <w:rFonts w:cstheme="minorHAnsi"/>
          <w:lang w:val="en-GB"/>
        </w:rPr>
        <w:t xml:space="preserve">significantly relieve the pandemic burden to ambulatory health care if </w:t>
      </w:r>
      <w:r w:rsidRPr="00276A60">
        <w:rPr>
          <w:rFonts w:cstheme="minorHAnsi"/>
          <w:lang w:val="en-GB"/>
        </w:rPr>
        <w:t>it is implemented as an interoperable digital solution, following evidence-based medical knowledge, operated by addressing the personal need of the patients and hosted by an approved medical body</w:t>
      </w:r>
      <w:r>
        <w:rPr>
          <w:rFonts w:cstheme="minorHAnsi"/>
          <w:lang w:val="en-GB"/>
        </w:rPr>
        <w:t>.</w:t>
      </w:r>
      <w:r w:rsidRPr="00276A60">
        <w:rPr>
          <w:rFonts w:cstheme="minorHAnsi"/>
          <w:lang w:val="en-GB"/>
        </w:rPr>
        <w:t xml:space="preserve"> </w:t>
      </w:r>
      <w:r w:rsidRPr="005228C3">
        <w:rPr>
          <w:rFonts w:cstheme="minorHAnsi"/>
          <w:noProof/>
          <w:vertAlign w:val="superscript"/>
          <w:lang w:val="en-GB"/>
        </w:rPr>
        <w:t>139,140</w:t>
      </w:r>
      <w:r>
        <w:rPr>
          <w:rFonts w:cstheme="minorHAnsi"/>
          <w:lang w:val="en-GB"/>
        </w:rPr>
        <w:t xml:space="preserve"> </w:t>
      </w:r>
      <w:r w:rsidRPr="00876226">
        <w:rPr>
          <w:rFonts w:cstheme="minorHAnsi"/>
          <w:lang w:val="en-GB"/>
        </w:rPr>
        <w:t>Mandatory requirements are: (1) the patient must have access to evidence</w:t>
      </w:r>
      <w:r w:rsidRPr="00277BE8">
        <w:rPr>
          <w:rFonts w:cstheme="minorHAnsi"/>
          <w:lang w:val="en-GB"/>
        </w:rPr>
        <w:t>-</w:t>
      </w:r>
      <w:r w:rsidRPr="00B25D96">
        <w:rPr>
          <w:rFonts w:cstheme="minorHAnsi"/>
          <w:lang w:val="en-GB"/>
        </w:rPr>
        <w:t>based health information in a health literacy adjusted language, (2) there must be medical indicators representing</w:t>
      </w:r>
      <w:r w:rsidRPr="00812349">
        <w:rPr>
          <w:rFonts w:cstheme="minorHAnsi"/>
          <w:lang w:val="en-GB"/>
        </w:rPr>
        <w:t xml:space="preserve"> the therapeutic goal or therapeutic corridor for patients, (3) this indicator must be technically measurable and (4) the patient must have a therapy that can be adjusted by patient self-management.</w:t>
      </w:r>
      <w:r>
        <w:rPr>
          <w:lang w:val="en-US"/>
        </w:rPr>
        <w:t xml:space="preserve"> </w:t>
      </w:r>
      <w:r w:rsidRPr="00C92A01">
        <w:rPr>
          <w:rFonts w:cstheme="minorHAnsi"/>
          <w:lang w:val="en-GB"/>
        </w:rPr>
        <w:t>Applying smart digital disease management may have the potential to significantly reduce the throughput in the ambulatory health care system</w:t>
      </w:r>
      <w:r>
        <w:rPr>
          <w:rFonts w:cstheme="minorHAnsi"/>
          <w:lang w:val="en-GB"/>
        </w:rPr>
        <w:t>.</w:t>
      </w:r>
      <w:r w:rsidRPr="00C92A01">
        <w:rPr>
          <w:rFonts w:cstheme="minorHAnsi"/>
          <w:lang w:val="en-GB"/>
        </w:rPr>
        <w:t xml:space="preserve"> </w:t>
      </w:r>
      <w:r w:rsidRPr="005228C3">
        <w:rPr>
          <w:rFonts w:cstheme="minorHAnsi"/>
          <w:noProof/>
          <w:vertAlign w:val="superscript"/>
          <w:lang w:val="en-GB"/>
        </w:rPr>
        <w:t>141</w:t>
      </w:r>
      <w:r w:rsidRPr="00876226">
        <w:rPr>
          <w:rFonts w:cstheme="minorHAnsi"/>
          <w:lang w:val="en-GB"/>
        </w:rPr>
        <w:t xml:space="preserve"> This is an option in regions with a fast-growing prevalence of patients with chronic diseases</w:t>
      </w:r>
      <w:r w:rsidRPr="00277BE8">
        <w:rPr>
          <w:rFonts w:cstheme="minorHAnsi"/>
          <w:lang w:val="en-GB"/>
        </w:rPr>
        <w:t xml:space="preserve"> such as Africa particularly the sub-Saharan region,</w:t>
      </w:r>
      <w:r w:rsidRPr="00B25D96">
        <w:rPr>
          <w:rFonts w:cstheme="minorHAnsi"/>
          <w:lang w:val="en-GB"/>
        </w:rPr>
        <w:t xml:space="preserve"> or regions with a reduction of density of medical services worldwide. Finally, it may be the optional virtual solution for ambulatory care for patient with chronic diseases in p</w:t>
      </w:r>
      <w:r w:rsidRPr="00812349">
        <w:rPr>
          <w:rFonts w:cstheme="minorHAnsi"/>
          <w:lang w:val="en-GB"/>
        </w:rPr>
        <w:t>andemic times</w:t>
      </w:r>
      <w:r w:rsidRPr="00D47D74">
        <w:rPr>
          <w:rFonts w:cstheme="minorHAnsi"/>
          <w:lang w:val="en-GB"/>
        </w:rPr>
        <w:t>.</w:t>
      </w:r>
    </w:p>
    <w:p w:rsidR="006419BC" w:rsidRPr="00710071" w:rsidRDefault="006419BC" w:rsidP="001F0797">
      <w:pPr>
        <w:spacing w:line="480" w:lineRule="auto"/>
        <w:jc w:val="both"/>
        <w:rPr>
          <w:rFonts w:cstheme="minorHAnsi"/>
          <w:b/>
          <w:lang w:val="en-GB"/>
        </w:rPr>
      </w:pPr>
    </w:p>
    <w:p w:rsidR="006419BC" w:rsidRPr="00276A60" w:rsidRDefault="006419BC" w:rsidP="001F0797">
      <w:pPr>
        <w:spacing w:line="480" w:lineRule="auto"/>
        <w:jc w:val="both"/>
        <w:rPr>
          <w:rFonts w:cstheme="minorHAnsi"/>
          <w:b/>
          <w:lang w:val="en-GB"/>
        </w:rPr>
      </w:pPr>
      <w:r w:rsidRPr="00276A60">
        <w:rPr>
          <w:rFonts w:cstheme="minorHAnsi"/>
          <w:b/>
          <w:lang w:val="en-GB"/>
        </w:rPr>
        <w:t>Conclusions</w:t>
      </w:r>
    </w:p>
    <w:p w:rsidR="006419BC" w:rsidRDefault="006419BC" w:rsidP="00BF41C3">
      <w:pPr>
        <w:autoSpaceDE w:val="0"/>
        <w:autoSpaceDN w:val="0"/>
        <w:spacing w:after="0" w:line="480" w:lineRule="auto"/>
        <w:jc w:val="both"/>
        <w:rPr>
          <w:rFonts w:ascii="Segoe UI" w:eastAsia="Times New Roman" w:hAnsi="Segoe UI" w:cs="Segoe UI"/>
          <w:sz w:val="18"/>
          <w:szCs w:val="18"/>
          <w:lang w:val="en-HK" w:eastAsia="zh-TW"/>
        </w:rPr>
      </w:pPr>
      <w:r w:rsidRPr="00276A60">
        <w:rPr>
          <w:rFonts w:cstheme="minorHAnsi"/>
          <w:lang w:val="en-GB"/>
        </w:rPr>
        <w:t xml:space="preserve">The pandemic has presented unique challenges for people with metabolic diseases, a group who has </w:t>
      </w:r>
      <w:r w:rsidRPr="00EA05A2">
        <w:rPr>
          <w:rFonts w:cstheme="minorHAnsi"/>
          <w:lang w:val="en-GB"/>
        </w:rPr>
        <w:t xml:space="preserve">a high-risk for severe COVID‐19 infection. </w:t>
      </w:r>
      <w:r>
        <w:rPr>
          <w:rFonts w:eastAsia="Times New Roman"/>
          <w:lang w:val="en-HK" w:eastAsia="zh-TW"/>
        </w:rPr>
        <w:t xml:space="preserve">Pending definitive evidence regarding the long-term effects of COVID-19 on risk of incident diabetes, the vulnerability of islet/beta cells to inflammation and oxidative stress is well supported by clinical and experimental studies. This is against the backdrop of the tiny amount of beta cells, which are one of the most metabolically active cells in our body. </w:t>
      </w:r>
      <w:r w:rsidRPr="005228C3">
        <w:rPr>
          <w:rFonts w:eastAsia="Times New Roman"/>
          <w:noProof/>
          <w:vertAlign w:val="superscript"/>
          <w:lang w:val="en-HK" w:eastAsia="zh-TW"/>
        </w:rPr>
        <w:t>142</w:t>
      </w:r>
    </w:p>
    <w:p w:rsidR="006419BC" w:rsidRPr="00D47D74" w:rsidRDefault="006419BC" w:rsidP="00023726">
      <w:pPr>
        <w:spacing w:line="480" w:lineRule="auto"/>
        <w:jc w:val="both"/>
        <w:rPr>
          <w:rFonts w:cstheme="minorHAnsi"/>
          <w:lang w:val="en-GB"/>
        </w:rPr>
      </w:pPr>
      <w:r w:rsidRPr="00EA05A2">
        <w:rPr>
          <w:rFonts w:cstheme="minorHAnsi"/>
          <w:lang w:val="en-GB"/>
        </w:rPr>
        <w:t>There has been increased emphasis on the importance of self‐care activities for people with diabetes to optimise their diabetes management; however, this has proven difficult because of restrictions due to lockdown and reduced face‐to‐face diabetes education</w:t>
      </w:r>
      <w:r>
        <w:rPr>
          <w:rFonts w:cstheme="minorHAnsi"/>
          <w:lang w:val="en-GB"/>
        </w:rPr>
        <w:t>.</w:t>
      </w:r>
      <w:r w:rsidRPr="00EA05A2">
        <w:rPr>
          <w:rFonts w:cstheme="minorHAnsi"/>
          <w:vertAlign w:val="superscript"/>
          <w:lang w:val="en-GB"/>
        </w:rPr>
        <w:t xml:space="preserve"> </w:t>
      </w:r>
      <w:r>
        <w:rPr>
          <w:rFonts w:cstheme="minorHAnsi"/>
          <w:noProof/>
          <w:vertAlign w:val="superscript"/>
          <w:lang w:val="en-GB"/>
        </w:rPr>
        <w:t>143</w:t>
      </w:r>
      <w:r w:rsidRPr="00876226">
        <w:rPr>
          <w:rFonts w:cstheme="minorHAnsi"/>
          <w:lang w:val="en-GB"/>
        </w:rPr>
        <w:t xml:space="preserve"> During the pandemic,</w:t>
      </w:r>
      <w:r w:rsidRPr="00277BE8">
        <w:rPr>
          <w:rFonts w:cstheme="minorHAnsi"/>
          <w:lang w:val="en-GB"/>
        </w:rPr>
        <w:t xml:space="preserve"> we have learned </w:t>
      </w:r>
      <w:r w:rsidRPr="00B25D96">
        <w:rPr>
          <w:rFonts w:cstheme="minorHAnsi"/>
          <w:lang w:val="en-GB"/>
        </w:rPr>
        <w:lastRenderedPageBreak/>
        <w:t xml:space="preserve">how to </w:t>
      </w:r>
      <w:r w:rsidRPr="00812349">
        <w:rPr>
          <w:rFonts w:cstheme="minorHAnsi"/>
          <w:lang w:val="en-GB"/>
        </w:rPr>
        <w:t xml:space="preserve">optimise pharmacological diabetes management for patients </w:t>
      </w:r>
      <w:r w:rsidRPr="00D47D74">
        <w:rPr>
          <w:rFonts w:cstheme="minorHAnsi"/>
          <w:lang w:val="en-GB"/>
        </w:rPr>
        <w:t>affected by diabetes without and with COVID-19 including ICU treatment</w:t>
      </w:r>
      <w:r>
        <w:rPr>
          <w:rFonts w:cstheme="minorHAnsi"/>
          <w:lang w:val="en-GB"/>
        </w:rPr>
        <w:t>.</w:t>
      </w:r>
      <w:r w:rsidRPr="00C92A01">
        <w:rPr>
          <w:rFonts w:cstheme="minorHAnsi"/>
          <w:lang w:val="en-GB"/>
        </w:rPr>
        <w:t xml:space="preserve"> </w:t>
      </w:r>
      <w:r w:rsidRPr="00D96F48">
        <w:rPr>
          <w:rFonts w:cstheme="minorHAnsi"/>
          <w:noProof/>
          <w:vertAlign w:val="superscript"/>
          <w:lang w:val="en-GB"/>
        </w:rPr>
        <w:t>12,98</w:t>
      </w:r>
      <w:r>
        <w:rPr>
          <w:rFonts w:cstheme="minorHAnsi"/>
          <w:lang w:val="en-GB"/>
        </w:rPr>
        <w:t xml:space="preserve"> </w:t>
      </w:r>
      <w:r w:rsidRPr="00876226">
        <w:rPr>
          <w:rFonts w:cstheme="minorHAnsi"/>
          <w:lang w:val="en-GB"/>
        </w:rPr>
        <w:t xml:space="preserve">The pandemic has also presented people with diabetes and their healthcare teams with an opportunity to innovate and move quickly towards increasingly digitalised care, to continue supporting people with diabetes from their own homes </w:t>
      </w:r>
      <w:r w:rsidRPr="005228C3">
        <w:rPr>
          <w:rFonts w:cstheme="minorHAnsi"/>
          <w:noProof/>
          <w:vertAlign w:val="superscript"/>
          <w:lang w:val="en-GB"/>
        </w:rPr>
        <w:t>144</w:t>
      </w:r>
      <w:r w:rsidRPr="00876226">
        <w:rPr>
          <w:rFonts w:cstheme="minorHAnsi"/>
          <w:lang w:val="en-GB"/>
        </w:rPr>
        <w:t xml:space="preserve">. Preventive measures including an increase in physical activity and enhanced </w:t>
      </w:r>
      <w:r w:rsidRPr="00B25D96">
        <w:rPr>
          <w:rFonts w:cstheme="minorHAnsi"/>
          <w:lang w:val="en-GB"/>
        </w:rPr>
        <w:t xml:space="preserve">health nutrition gain importance to break insulin resistance and </w:t>
      </w:r>
      <w:r w:rsidRPr="00812349">
        <w:rPr>
          <w:rFonts w:cstheme="minorHAnsi"/>
          <w:lang w:val="en-GB"/>
        </w:rPr>
        <w:t>should be eff</w:t>
      </w:r>
      <w:r w:rsidRPr="00D47D74">
        <w:rPr>
          <w:rFonts w:cstheme="minorHAnsi"/>
          <w:lang w:val="en-GB"/>
        </w:rPr>
        <w:t xml:space="preserve">ective to reduce COVID-19 related mortality. </w:t>
      </w:r>
    </w:p>
    <w:p w:rsidR="006419BC" w:rsidRDefault="006419BC" w:rsidP="00BF41C3">
      <w:pPr>
        <w:spacing w:after="0" w:line="480" w:lineRule="auto"/>
        <w:jc w:val="both"/>
        <w:rPr>
          <w:rFonts w:ascii="Calibri" w:eastAsia="Times New Roman" w:hAnsi="Calibri" w:cs="Calibri"/>
          <w:lang w:val="en-HK" w:eastAsia="zh-TW"/>
        </w:rPr>
      </w:pPr>
      <w:r w:rsidRPr="00710071">
        <w:rPr>
          <w:rFonts w:cstheme="minorHAnsi"/>
          <w:lang w:val="en-GB"/>
        </w:rPr>
        <w:t xml:space="preserve">The COVID-19 pandemic has demonstrated the inherent inertia and limitations of our global health care systems. It would be a progressive failure if we do not take this alarm signal and change our strategies to </w:t>
      </w:r>
      <w:r w:rsidRPr="00276A60">
        <w:rPr>
          <w:rFonts w:cstheme="minorHAnsi"/>
          <w:lang w:val="en-GB"/>
        </w:rPr>
        <w:t xml:space="preserve">prevent diabetes and obesity with societal measures, diagnose the disease at its earliest stages, focus on remission of diabetes, rather than progressive and expensive treatment and individualise diabetes management to meet sustainable prevention of complications by using all evidence and technology available to us. </w:t>
      </w:r>
      <w:r>
        <w:rPr>
          <w:rFonts w:cstheme="minorHAnsi"/>
          <w:lang w:val="en-GB"/>
        </w:rPr>
        <w:t>T</w:t>
      </w:r>
      <w:r>
        <w:rPr>
          <w:rFonts w:eastAsia="Times New Roman"/>
          <w:lang w:val="en-HK" w:eastAsia="zh-TW"/>
        </w:rPr>
        <w:t xml:space="preserve">he vulnerability of countries/areas with ill-prepared systems notably the low income countries and that of the disadvantaged community with knock-on effects on the global community calls for urgent actions to close these care gaps by reforming the health care system, which was recently highlighted in the Lancet Commission on Diabetes. </w:t>
      </w:r>
      <w:r w:rsidRPr="005228C3">
        <w:rPr>
          <w:rFonts w:eastAsia="Times New Roman"/>
          <w:noProof/>
          <w:vertAlign w:val="superscript"/>
          <w:lang w:val="en-HK" w:eastAsia="zh-TW"/>
        </w:rPr>
        <w:t>145</w:t>
      </w:r>
    </w:p>
    <w:p w:rsidR="006419BC" w:rsidRDefault="006419BC" w:rsidP="00AC185D">
      <w:pPr>
        <w:spacing w:line="480" w:lineRule="auto"/>
        <w:jc w:val="both"/>
        <w:rPr>
          <w:rFonts w:cstheme="minorHAnsi"/>
          <w:lang w:val="en-GB"/>
        </w:rPr>
      </w:pPr>
      <w:r w:rsidRPr="008D495C">
        <w:rPr>
          <w:rFonts w:cstheme="minorHAnsi"/>
          <w:lang w:val="en-GB"/>
        </w:rPr>
        <w:t xml:space="preserve">The corona virus and its follow-up diseases will probably accompany us for the next many years meaning that we have to learn to live with the virus and be aware of possible complications especially for people with diabetes and other metabolic diseases. Indeed the non-communicable pandemic of patients with metabolic disease due to diabetes and obesity affecting 0·5 billion patients worldwide may be considered as a fertile ground for the communicable pandemic of COVID-19 particularly </w:t>
      </w:r>
      <w:r>
        <w:rPr>
          <w:rFonts w:cstheme="minorHAnsi"/>
          <w:lang w:val="en-GB"/>
        </w:rPr>
        <w:t>affecting</w:t>
      </w:r>
      <w:r w:rsidRPr="008D495C">
        <w:rPr>
          <w:rFonts w:cstheme="minorHAnsi"/>
          <w:lang w:val="en-GB"/>
        </w:rPr>
        <w:t xml:space="preserve"> this group of the population</w:t>
      </w:r>
      <w:r>
        <w:rPr>
          <w:rFonts w:cstheme="minorHAnsi"/>
          <w:lang w:val="en-GB"/>
        </w:rPr>
        <w:t xml:space="preserve"> (Fig. 3)</w:t>
      </w:r>
      <w:r w:rsidRPr="008D495C">
        <w:rPr>
          <w:rFonts w:cstheme="minorHAnsi"/>
          <w:lang w:val="en-GB"/>
        </w:rPr>
        <w:t>.</w:t>
      </w:r>
      <w:r>
        <w:rPr>
          <w:rFonts w:cstheme="minorHAnsi"/>
          <w:lang w:val="en-GB"/>
        </w:rPr>
        <w:t xml:space="preserve"> </w:t>
      </w:r>
    </w:p>
    <w:p w:rsidR="006419BC" w:rsidRPr="006419BC" w:rsidRDefault="006419BC" w:rsidP="00AC185D">
      <w:pPr>
        <w:spacing w:line="480" w:lineRule="auto"/>
        <w:jc w:val="both"/>
        <w:rPr>
          <w:color w:val="000000" w:themeColor="text1"/>
          <w:lang w:val="en-GB"/>
        </w:rPr>
      </w:pPr>
      <w:r w:rsidRPr="006419BC">
        <w:rPr>
          <w:color w:val="000000" w:themeColor="text1"/>
          <w:lang w:val="en-GB"/>
        </w:rPr>
        <w:t xml:space="preserve">In the Western countries there is a high prevalence of metabolic diseases and also a high incidence of COVID-19. However, in non-Western countries where the prevalence of metabolic diseases is lower, the numbers of people with COVID-19 is unclear as those countries often have less testing for SARS-CoV-2. Therefore, a question still remaining to be fully answered is whether the risk to be infected is </w:t>
      </w:r>
      <w:r w:rsidRPr="006419BC">
        <w:rPr>
          <w:color w:val="000000" w:themeColor="text1"/>
          <w:lang w:val="en-GB"/>
        </w:rPr>
        <w:lastRenderedPageBreak/>
        <w:t xml:space="preserve">the same for everybody or if based on the specific receptor pathways there is a higher risk for patients with metabolic diseases to get infected in the first place. </w:t>
      </w:r>
    </w:p>
    <w:p w:rsidR="006419BC" w:rsidRPr="008D495C" w:rsidRDefault="006419BC" w:rsidP="00ED4E40">
      <w:pPr>
        <w:spacing w:line="480" w:lineRule="auto"/>
        <w:jc w:val="both"/>
        <w:rPr>
          <w:rFonts w:cstheme="minorHAnsi"/>
          <w:lang w:val="en-GB"/>
        </w:rPr>
      </w:pPr>
    </w:p>
    <w:p w:rsidR="006419BC" w:rsidRPr="00876226" w:rsidRDefault="006419BC" w:rsidP="00ED4E40">
      <w:pPr>
        <w:spacing w:line="480" w:lineRule="auto"/>
        <w:jc w:val="both"/>
        <w:rPr>
          <w:rFonts w:cstheme="minorHAnsi"/>
          <w:b/>
          <w:lang w:val="en-GB"/>
        </w:rPr>
      </w:pPr>
      <w:r w:rsidRPr="00876226">
        <w:rPr>
          <w:rFonts w:cstheme="minorHAnsi"/>
          <w:b/>
          <w:lang w:val="en-GB"/>
        </w:rPr>
        <w:t>Contributors</w:t>
      </w:r>
    </w:p>
    <w:p w:rsidR="006419BC" w:rsidRPr="00EA05A2" w:rsidRDefault="006419BC" w:rsidP="00ED4E40">
      <w:pPr>
        <w:spacing w:line="480" w:lineRule="auto"/>
        <w:jc w:val="both"/>
        <w:rPr>
          <w:rFonts w:cstheme="minorHAnsi"/>
          <w:lang w:val="en-GB"/>
        </w:rPr>
      </w:pPr>
      <w:r w:rsidRPr="00B25D96">
        <w:rPr>
          <w:rFonts w:cstheme="minorHAnsi"/>
          <w:lang w:val="en-GB"/>
        </w:rPr>
        <w:t xml:space="preserve">CS, </w:t>
      </w:r>
      <w:r w:rsidRPr="00812349">
        <w:rPr>
          <w:rFonts w:cstheme="minorHAnsi"/>
          <w:lang w:val="en-GB"/>
        </w:rPr>
        <w:t>PEHS, AL</w:t>
      </w:r>
      <w:r w:rsidRPr="00CE5F70">
        <w:rPr>
          <w:rFonts w:cstheme="minorHAnsi"/>
          <w:lang w:val="en-GB"/>
        </w:rPr>
        <w:t>, RL</w:t>
      </w:r>
      <w:r w:rsidRPr="00D47D74">
        <w:rPr>
          <w:rFonts w:cstheme="minorHAnsi"/>
          <w:lang w:val="en-GB"/>
        </w:rPr>
        <w:t xml:space="preserve"> and SRB wrote several sections of the review. Remaining authors wrote smaller sections of the review. </w:t>
      </w:r>
      <w:r w:rsidRPr="00710071">
        <w:rPr>
          <w:rFonts w:cstheme="minorHAnsi"/>
          <w:lang w:val="en-GB"/>
        </w:rPr>
        <w:t xml:space="preserve">CS and RL </w:t>
      </w:r>
      <w:r w:rsidRPr="00276A60">
        <w:rPr>
          <w:rFonts w:cstheme="minorHAnsi"/>
          <w:lang w:val="en-GB"/>
        </w:rPr>
        <w:t xml:space="preserve">prepared the figures. CS, PEHS and RL prepared the tables. All authors </w:t>
      </w:r>
      <w:r w:rsidRPr="00EA05A2">
        <w:rPr>
          <w:rFonts w:cstheme="minorHAnsi"/>
          <w:lang w:val="en-GB"/>
        </w:rPr>
        <w:t>reviewed successive drafts of the Review. All authors approved the final submitted version.</w:t>
      </w:r>
    </w:p>
    <w:p w:rsidR="006419BC" w:rsidRPr="00E3451E" w:rsidRDefault="006419BC" w:rsidP="00ED4E40">
      <w:pPr>
        <w:spacing w:line="480" w:lineRule="auto"/>
        <w:jc w:val="both"/>
        <w:rPr>
          <w:rFonts w:cstheme="minorHAnsi"/>
          <w:lang w:val="en-GB"/>
        </w:rPr>
      </w:pPr>
    </w:p>
    <w:p w:rsidR="006419BC" w:rsidRPr="00A613AF" w:rsidRDefault="006419BC" w:rsidP="00ED4E40">
      <w:pPr>
        <w:spacing w:line="480" w:lineRule="auto"/>
        <w:jc w:val="both"/>
        <w:rPr>
          <w:rFonts w:cstheme="minorHAnsi"/>
          <w:b/>
          <w:lang w:val="en-GB"/>
        </w:rPr>
      </w:pPr>
      <w:r w:rsidRPr="00CE4108">
        <w:rPr>
          <w:rFonts w:cstheme="minorHAnsi"/>
          <w:b/>
          <w:lang w:val="en-GB"/>
        </w:rPr>
        <w:t>Declaration of interests</w:t>
      </w:r>
    </w:p>
    <w:p w:rsidR="006419BC" w:rsidRPr="007771AC" w:rsidRDefault="006419BC" w:rsidP="00ED4E40">
      <w:pPr>
        <w:spacing w:line="480" w:lineRule="auto"/>
        <w:jc w:val="both"/>
        <w:rPr>
          <w:rFonts w:cstheme="minorHAnsi"/>
          <w:b/>
          <w:lang w:val="en-GB"/>
        </w:rPr>
      </w:pPr>
      <w:r w:rsidRPr="005C5BCF">
        <w:rPr>
          <w:rFonts w:cstheme="minorHAnsi"/>
          <w:lang w:val="en-GB"/>
        </w:rPr>
        <w:t xml:space="preserve">KK has acted as a consultant, speaker or received grants for investigator-initiated studies for Astra Zeneca, Novartis, Novo Nordisk, Sanofi-Aventis, Lilly and Merck Sharp &amp; Dohme, Boehringer Ingelheim, Bayer, Berlin-Chemie AG / Menarini Group, Janssen, and Napp. </w:t>
      </w:r>
      <w:r w:rsidRPr="00876226">
        <w:rPr>
          <w:rFonts w:cstheme="minorHAnsi"/>
          <w:lang w:val="en-GB"/>
        </w:rPr>
        <w:t>ER reports personal fees as consultan</w:t>
      </w:r>
      <w:r w:rsidRPr="00B25D96">
        <w:rPr>
          <w:rFonts w:cstheme="minorHAnsi"/>
          <w:lang w:val="en-GB"/>
        </w:rPr>
        <w:t>t/advisor for Abbott, Air Liquide, Astra-Zeneca, Boehringer-Ingelheim, Cellnovo, Dexcom, Eli Lilly, Insulet, Johnson &amp; Johnson (Animas, LifeScan), Medirio, Medtronic, Novo Nordisk, Roche Diagnostics, Sanofi-Aventis and Tandem, and research grant/material support from Abbott, Dexcom, Insulet, Roche Diagnostics and Tandem.</w:t>
      </w:r>
    </w:p>
    <w:p w:rsidR="006419BC" w:rsidRPr="00876226" w:rsidRDefault="006419BC" w:rsidP="003B0D0B">
      <w:pPr>
        <w:spacing w:line="480" w:lineRule="auto"/>
        <w:rPr>
          <w:rFonts w:cstheme="minorHAnsi"/>
          <w:lang w:val="en-GB"/>
        </w:rPr>
      </w:pPr>
    </w:p>
    <w:p w:rsidR="006419BC" w:rsidRPr="00B25D96" w:rsidRDefault="006419BC" w:rsidP="003B0D0B">
      <w:pPr>
        <w:spacing w:line="480" w:lineRule="auto"/>
        <w:rPr>
          <w:rFonts w:cstheme="minorHAnsi"/>
          <w:b/>
          <w:lang w:val="en-GB"/>
        </w:rPr>
      </w:pPr>
      <w:r w:rsidRPr="00B25D96">
        <w:rPr>
          <w:rFonts w:cstheme="minorHAnsi"/>
          <w:b/>
          <w:lang w:val="en-GB"/>
        </w:rPr>
        <w:t>Acknowledgments</w:t>
      </w:r>
    </w:p>
    <w:p w:rsidR="006419BC" w:rsidRPr="00876226" w:rsidRDefault="006419BC" w:rsidP="003A3C68">
      <w:pPr>
        <w:spacing w:line="480" w:lineRule="auto"/>
        <w:jc w:val="both"/>
        <w:rPr>
          <w:rFonts w:cstheme="minorHAnsi"/>
          <w:lang w:val="en-GB"/>
        </w:rPr>
      </w:pPr>
      <w:r w:rsidRPr="00812349">
        <w:rPr>
          <w:rFonts w:cstheme="minorHAnsi"/>
          <w:lang w:val="en-GB"/>
        </w:rPr>
        <w:t>The work of CS, AL, BL</w:t>
      </w:r>
      <w:r w:rsidRPr="00CE5F70">
        <w:rPr>
          <w:rFonts w:cstheme="minorHAnsi"/>
          <w:lang w:val="en-GB"/>
        </w:rPr>
        <w:t xml:space="preserve"> and SRB is partly supported by grants from</w:t>
      </w:r>
      <w:r w:rsidRPr="00D47D74">
        <w:rPr>
          <w:rFonts w:cstheme="minorHAnsi"/>
          <w:lang w:val="en-GB"/>
        </w:rPr>
        <w:t xml:space="preserve"> the Deutsche Forschungsgemeinschaft (DFG, German Research foundation) project no. 314061271 and project no. 288034826. AL is supported by an additional grant from DFG, project no. </w:t>
      </w:r>
      <w:r w:rsidRPr="007771AC">
        <w:rPr>
          <w:rFonts w:cstheme="minorHAnsi"/>
          <w:lang w:val="en-GB"/>
        </w:rPr>
        <w:t>324141047.</w:t>
      </w:r>
      <w:r w:rsidRPr="007771AC">
        <w:rPr>
          <w:rFonts w:asciiTheme="majorHAnsi" w:hAnsiTheme="majorHAnsi" w:cstheme="majorHAnsi"/>
          <w:sz w:val="20"/>
          <w:lang w:val="en-GB"/>
        </w:rPr>
        <w:t xml:space="preserve"> </w:t>
      </w:r>
    </w:p>
    <w:p w:rsidR="006419BC" w:rsidRPr="00B25D96" w:rsidRDefault="006419BC" w:rsidP="003B0D0B">
      <w:pPr>
        <w:spacing w:line="480" w:lineRule="auto"/>
        <w:rPr>
          <w:rFonts w:cstheme="minorHAnsi"/>
          <w:lang w:val="en-GB"/>
        </w:rPr>
      </w:pPr>
    </w:p>
    <w:p w:rsidR="006419BC" w:rsidRDefault="006419BC" w:rsidP="003B0D0B">
      <w:pPr>
        <w:spacing w:line="480" w:lineRule="auto"/>
        <w:rPr>
          <w:rFonts w:cstheme="minorHAnsi"/>
          <w:b/>
          <w:lang w:val="en-GB"/>
        </w:rPr>
      </w:pPr>
    </w:p>
    <w:p w:rsidR="006419BC" w:rsidRPr="00812349" w:rsidRDefault="006419BC" w:rsidP="003B0D0B">
      <w:pPr>
        <w:spacing w:line="480" w:lineRule="auto"/>
        <w:rPr>
          <w:rFonts w:cstheme="minorHAnsi"/>
          <w:b/>
          <w:lang w:val="en-GB"/>
        </w:rPr>
      </w:pPr>
      <w:r w:rsidRPr="00B25D96">
        <w:rPr>
          <w:rFonts w:cstheme="minorHAnsi"/>
          <w:b/>
          <w:lang w:val="en-GB"/>
        </w:rPr>
        <w:lastRenderedPageBreak/>
        <w:t>References</w:t>
      </w:r>
    </w:p>
    <w:p w:rsidR="006419BC" w:rsidRPr="00A35011" w:rsidRDefault="006419BC" w:rsidP="00A35011">
      <w:pPr>
        <w:pStyle w:val="EndNoteBibliography"/>
        <w:spacing w:after="0"/>
      </w:pPr>
      <w:r w:rsidRPr="00A35011">
        <w:t>1.</w:t>
      </w:r>
      <w:r w:rsidRPr="00A35011">
        <w:tab/>
        <w:t xml:space="preserve">Clark A, Jit M, Warren-Gash C, et al. Global, regional, and national estimates of the population at increased risk of severe COVID-19 due to underlying health conditions in 2020: a modelling study. </w:t>
      </w:r>
      <w:r w:rsidRPr="00A35011">
        <w:rPr>
          <w:i/>
        </w:rPr>
        <w:t>Lancet Glob Health</w:t>
      </w:r>
      <w:r w:rsidRPr="00A35011">
        <w:t xml:space="preserve"> 2020; </w:t>
      </w:r>
      <w:r w:rsidRPr="00A35011">
        <w:rPr>
          <w:b/>
        </w:rPr>
        <w:t>8</w:t>
      </w:r>
      <w:r w:rsidRPr="00A35011">
        <w:t>(8): e1003-e17.</w:t>
      </w:r>
    </w:p>
    <w:p w:rsidR="006419BC" w:rsidRPr="00A35011" w:rsidRDefault="006419BC" w:rsidP="00A35011">
      <w:pPr>
        <w:pStyle w:val="EndNoteBibliography"/>
        <w:spacing w:after="0"/>
      </w:pPr>
      <w:r w:rsidRPr="00A35011">
        <w:t>2.</w:t>
      </w:r>
      <w:r w:rsidRPr="00A35011">
        <w:tab/>
        <w:t xml:space="preserve">Thakur B, Dubey P, Benitez J, et al. A systematic review and meta-analysis of geographic differences in comorbidities and associated severity and mortality among individuals with COVID-19. </w:t>
      </w:r>
      <w:r w:rsidRPr="00A35011">
        <w:rPr>
          <w:i/>
        </w:rPr>
        <w:t>Sci Rep</w:t>
      </w:r>
      <w:r w:rsidRPr="00A35011">
        <w:t xml:space="preserve"> 2021; </w:t>
      </w:r>
      <w:r w:rsidRPr="00A35011">
        <w:rPr>
          <w:b/>
        </w:rPr>
        <w:t>11</w:t>
      </w:r>
      <w:r w:rsidRPr="00A35011">
        <w:t>(1): 8562.</w:t>
      </w:r>
    </w:p>
    <w:p w:rsidR="006419BC" w:rsidRPr="00A35011" w:rsidRDefault="006419BC" w:rsidP="00A35011">
      <w:pPr>
        <w:pStyle w:val="EndNoteBibliography"/>
        <w:spacing w:after="0"/>
      </w:pPr>
      <w:r w:rsidRPr="00A35011">
        <w:t>3.</w:t>
      </w:r>
      <w:r w:rsidRPr="00A35011">
        <w:tab/>
        <w:t xml:space="preserve">Apicella M, Campopiano MC, Mantuano M, Mazoni L, Coppelli A, Del Prato S. COVID-19 in people with diabetes: understanding the reasons for worse outcomes. </w:t>
      </w:r>
      <w:r w:rsidRPr="00A35011">
        <w:rPr>
          <w:i/>
        </w:rPr>
        <w:t>Lancet Diabetes Endocrinol</w:t>
      </w:r>
      <w:r w:rsidRPr="00A35011">
        <w:t xml:space="preserve"> 2020; </w:t>
      </w:r>
      <w:r w:rsidRPr="00A35011">
        <w:rPr>
          <w:b/>
        </w:rPr>
        <w:t>8</w:t>
      </w:r>
      <w:r w:rsidRPr="00A35011">
        <w:t>(9): 782-92.</w:t>
      </w:r>
    </w:p>
    <w:p w:rsidR="006419BC" w:rsidRPr="00A35011" w:rsidRDefault="006419BC" w:rsidP="00A35011">
      <w:pPr>
        <w:pStyle w:val="EndNoteBibliography"/>
        <w:spacing w:after="0"/>
      </w:pPr>
      <w:r w:rsidRPr="00A35011">
        <w:t>4.</w:t>
      </w:r>
      <w:r w:rsidRPr="00A35011">
        <w:tab/>
        <w:t xml:space="preserve">Batabyal R, Freishtat N, Hill E, Rehman M, Freishtat R, Koutroulis I. Metabolic dysfunction and immunometabolism in COVID-19 pathophysiology and therapeutics. </w:t>
      </w:r>
      <w:r w:rsidRPr="00A35011">
        <w:rPr>
          <w:i/>
        </w:rPr>
        <w:t>Int J Obes (Lond)</w:t>
      </w:r>
      <w:r w:rsidRPr="00A35011">
        <w:t xml:space="preserve"> 2021; </w:t>
      </w:r>
      <w:r w:rsidRPr="00A35011">
        <w:rPr>
          <w:b/>
        </w:rPr>
        <w:t>45</w:t>
      </w:r>
      <w:r w:rsidRPr="00A35011">
        <w:t>(6): 1163-9.</w:t>
      </w:r>
    </w:p>
    <w:p w:rsidR="006419BC" w:rsidRPr="00A35011" w:rsidRDefault="006419BC" w:rsidP="00A35011">
      <w:pPr>
        <w:pStyle w:val="EndNoteBibliography"/>
        <w:spacing w:after="0"/>
      </w:pPr>
      <w:r w:rsidRPr="00A35011">
        <w:t>5.</w:t>
      </w:r>
      <w:r w:rsidRPr="00A35011">
        <w:tab/>
        <w:t xml:space="preserve">Costa FF, Rosario WR, Ribeiro Farias AC, de Souza RG, Duarte Gondim RS, Barroso WA. Metabolic syndrome and COVID-19: An update on the associated comorbidities and proposed therapies. </w:t>
      </w:r>
      <w:r w:rsidRPr="00A35011">
        <w:rPr>
          <w:i/>
        </w:rPr>
        <w:t>Diabetes Metab Syndr</w:t>
      </w:r>
      <w:r w:rsidRPr="00A35011">
        <w:t xml:space="preserve"> 2020; </w:t>
      </w:r>
      <w:r w:rsidRPr="00A35011">
        <w:rPr>
          <w:b/>
        </w:rPr>
        <w:t>14</w:t>
      </w:r>
      <w:r w:rsidRPr="00A35011">
        <w:t>(5): 809-14.</w:t>
      </w:r>
    </w:p>
    <w:p w:rsidR="006419BC" w:rsidRPr="00A35011" w:rsidRDefault="006419BC" w:rsidP="00A35011">
      <w:pPr>
        <w:pStyle w:val="EndNoteBibliography"/>
        <w:spacing w:after="0"/>
      </w:pPr>
      <w:r w:rsidRPr="00A35011">
        <w:t>6.</w:t>
      </w:r>
      <w:r w:rsidRPr="00A35011">
        <w:tab/>
        <w:t xml:space="preserve">Docherty AB, Harrison EM, Green CA, et al. Features of 20 133 UK patients in hospital with covid-19 using the ISARIC WHO Clinical Characterisation Protocol: prospective observational cohort study. </w:t>
      </w:r>
      <w:r w:rsidRPr="00A35011">
        <w:rPr>
          <w:i/>
        </w:rPr>
        <w:t>BMJ</w:t>
      </w:r>
      <w:r w:rsidRPr="00A35011">
        <w:t xml:space="preserve"> 2020; </w:t>
      </w:r>
      <w:r w:rsidRPr="00A35011">
        <w:rPr>
          <w:b/>
        </w:rPr>
        <w:t>369</w:t>
      </w:r>
      <w:r w:rsidRPr="00A35011">
        <w:t>: m1985.</w:t>
      </w:r>
    </w:p>
    <w:p w:rsidR="006419BC" w:rsidRPr="00A35011" w:rsidRDefault="006419BC" w:rsidP="00A35011">
      <w:pPr>
        <w:pStyle w:val="EndNoteBibliography"/>
        <w:spacing w:after="0"/>
      </w:pPr>
      <w:r w:rsidRPr="00A35011">
        <w:t>7.</w:t>
      </w:r>
      <w:r w:rsidRPr="00A35011">
        <w:tab/>
        <w:t xml:space="preserve">Singh A, Hussain S, Antony B. Non-alcoholic fatty liver disease and clinical outcomes in patients with COVID-19: A comprehensive systematic review and meta-analysis. </w:t>
      </w:r>
      <w:r w:rsidRPr="00A35011">
        <w:rPr>
          <w:i/>
        </w:rPr>
        <w:t>Diabetes Metab Syndr</w:t>
      </w:r>
      <w:r w:rsidRPr="00A35011">
        <w:t xml:space="preserve"> 2021; </w:t>
      </w:r>
      <w:r w:rsidRPr="00A35011">
        <w:rPr>
          <w:b/>
        </w:rPr>
        <w:t>15</w:t>
      </w:r>
      <w:r w:rsidRPr="00A35011">
        <w:t>(3): 813-22.</w:t>
      </w:r>
    </w:p>
    <w:p w:rsidR="006419BC" w:rsidRPr="00A35011" w:rsidRDefault="006419BC" w:rsidP="00A35011">
      <w:pPr>
        <w:pStyle w:val="EndNoteBibliography"/>
        <w:spacing w:after="0"/>
      </w:pPr>
      <w:r w:rsidRPr="00A35011">
        <w:t>8.</w:t>
      </w:r>
      <w:r w:rsidRPr="00A35011">
        <w:tab/>
        <w:t xml:space="preserve">Singh AK, Gillies CL, Singh R, et al. Prevalence of co-morbidities and their association with mortality in patients with COVID-19: A systematic review and meta-analysis. </w:t>
      </w:r>
      <w:r w:rsidRPr="00A35011">
        <w:rPr>
          <w:i/>
        </w:rPr>
        <w:t>Diabetes Obes Metab</w:t>
      </w:r>
      <w:r w:rsidRPr="00A35011">
        <w:t xml:space="preserve"> 2020; </w:t>
      </w:r>
      <w:r w:rsidRPr="00A35011">
        <w:rPr>
          <w:b/>
        </w:rPr>
        <w:t>22</w:t>
      </w:r>
      <w:r w:rsidRPr="00A35011">
        <w:t>(10): 1915-24.</w:t>
      </w:r>
    </w:p>
    <w:p w:rsidR="006419BC" w:rsidRPr="00A35011" w:rsidRDefault="006419BC" w:rsidP="00A35011">
      <w:pPr>
        <w:pStyle w:val="EndNoteBibliography"/>
        <w:spacing w:after="0"/>
      </w:pPr>
      <w:r w:rsidRPr="00A35011">
        <w:t>9.</w:t>
      </w:r>
      <w:r w:rsidRPr="00A35011">
        <w:tab/>
        <w:t xml:space="preserve">Stefan N, Birkenfeld AL, Schulze MB. Global pandemics interconnected - obesity, impaired metabolic health and COVID-19. </w:t>
      </w:r>
      <w:r w:rsidRPr="00A35011">
        <w:rPr>
          <w:i/>
        </w:rPr>
        <w:t>Nat Rev Endocrinol</w:t>
      </w:r>
      <w:r w:rsidRPr="00A35011">
        <w:t xml:space="preserve"> 2021; </w:t>
      </w:r>
      <w:r w:rsidRPr="00A35011">
        <w:rPr>
          <w:b/>
        </w:rPr>
        <w:t>17</w:t>
      </w:r>
      <w:r w:rsidRPr="00A35011">
        <w:t>(3): 135-49.</w:t>
      </w:r>
    </w:p>
    <w:p w:rsidR="006419BC" w:rsidRPr="00A35011" w:rsidRDefault="006419BC" w:rsidP="00A35011">
      <w:pPr>
        <w:pStyle w:val="EndNoteBibliography"/>
        <w:spacing w:after="0"/>
      </w:pPr>
      <w:r w:rsidRPr="00A35011">
        <w:t>10.</w:t>
      </w:r>
      <w:r w:rsidRPr="00A35011">
        <w:tab/>
        <w:t xml:space="preserve">Kreutmair S, Unger S, Nunez NG, et al. Distinct immunological signatures discriminate severe COVID-19 from non-SARS-CoV-2-driven critical pneumonia. </w:t>
      </w:r>
      <w:r w:rsidRPr="00A35011">
        <w:rPr>
          <w:i/>
        </w:rPr>
        <w:t>Immunity</w:t>
      </w:r>
      <w:r w:rsidRPr="00A35011">
        <w:t xml:space="preserve"> 2021; </w:t>
      </w:r>
      <w:r w:rsidRPr="00A35011">
        <w:rPr>
          <w:b/>
        </w:rPr>
        <w:t>54</w:t>
      </w:r>
      <w:r w:rsidRPr="00A35011">
        <w:t>(7): 1578-93 e5.</w:t>
      </w:r>
    </w:p>
    <w:p w:rsidR="006419BC" w:rsidRPr="006419BC" w:rsidRDefault="006419BC" w:rsidP="00A35011">
      <w:pPr>
        <w:pStyle w:val="EndNoteBibliography"/>
        <w:spacing w:after="0"/>
        <w:rPr>
          <w:lang w:val="de-DE"/>
        </w:rPr>
      </w:pPr>
      <w:r w:rsidRPr="00A35011">
        <w:t>11.</w:t>
      </w:r>
      <w:r w:rsidRPr="00A35011">
        <w:tab/>
        <w:t xml:space="preserve">Kass DA, Duggal P, Cingolani O. Obesity could shift severe COVID-19 disease to younger ages. </w:t>
      </w:r>
      <w:r w:rsidRPr="006419BC">
        <w:rPr>
          <w:i/>
          <w:lang w:val="de-DE"/>
        </w:rPr>
        <w:t>The Lancet</w:t>
      </w:r>
      <w:r w:rsidRPr="006419BC">
        <w:rPr>
          <w:lang w:val="de-DE"/>
        </w:rPr>
        <w:t xml:space="preserve"> 2020; </w:t>
      </w:r>
      <w:r w:rsidRPr="006419BC">
        <w:rPr>
          <w:b/>
          <w:lang w:val="de-DE"/>
        </w:rPr>
        <w:t>395</w:t>
      </w:r>
      <w:r w:rsidRPr="006419BC">
        <w:rPr>
          <w:lang w:val="de-DE"/>
        </w:rPr>
        <w:t>(10236): 1544-5.</w:t>
      </w:r>
    </w:p>
    <w:p w:rsidR="006419BC" w:rsidRPr="00A35011" w:rsidRDefault="006419BC" w:rsidP="00A35011">
      <w:pPr>
        <w:pStyle w:val="EndNoteBibliography"/>
        <w:spacing w:after="0"/>
      </w:pPr>
      <w:r w:rsidRPr="006419BC">
        <w:rPr>
          <w:lang w:val="de-DE"/>
        </w:rPr>
        <w:t>12.</w:t>
      </w:r>
      <w:r w:rsidRPr="006419BC">
        <w:rPr>
          <w:lang w:val="de-DE"/>
        </w:rPr>
        <w:tab/>
        <w:t xml:space="preserve">Bornstein SR, Rubino F, Ludwig B, et al. </w:t>
      </w:r>
      <w:r w:rsidRPr="00A35011">
        <w:t xml:space="preserve">Consequences of the COVID-19 pandemic for patients with metabolic diseases. </w:t>
      </w:r>
      <w:r w:rsidRPr="00A35011">
        <w:rPr>
          <w:i/>
        </w:rPr>
        <w:t>Nat Metab</w:t>
      </w:r>
      <w:r w:rsidRPr="00A35011">
        <w:t xml:space="preserve"> 2021; </w:t>
      </w:r>
      <w:r w:rsidRPr="00A35011">
        <w:rPr>
          <w:b/>
        </w:rPr>
        <w:t>3</w:t>
      </w:r>
      <w:r w:rsidRPr="00A35011">
        <w:t>(3): 289-92.</w:t>
      </w:r>
    </w:p>
    <w:p w:rsidR="006419BC" w:rsidRPr="00A35011" w:rsidRDefault="006419BC" w:rsidP="00A35011">
      <w:pPr>
        <w:pStyle w:val="EndNoteBibliography"/>
        <w:spacing w:after="0"/>
      </w:pPr>
      <w:r w:rsidRPr="00A35011">
        <w:t>13.</w:t>
      </w:r>
      <w:r w:rsidRPr="00A35011">
        <w:tab/>
        <w:t xml:space="preserve">Gregory JM, Slaughter JC, Duffus SH, et al. COVID-19 Severity Is Tripled in the Diabetes Community: A Prospective Analysis of the Pandemic's Impact in Type 1 and Type 2 Diabetes. </w:t>
      </w:r>
      <w:r w:rsidRPr="00A35011">
        <w:rPr>
          <w:i/>
        </w:rPr>
        <w:t>Diabetes Care</w:t>
      </w:r>
      <w:r w:rsidRPr="00A35011">
        <w:t xml:space="preserve"> 2021; </w:t>
      </w:r>
      <w:r w:rsidRPr="00A35011">
        <w:rPr>
          <w:b/>
        </w:rPr>
        <w:t>44</w:t>
      </w:r>
      <w:r w:rsidRPr="00A35011">
        <w:t>(2): 526-32.</w:t>
      </w:r>
    </w:p>
    <w:p w:rsidR="006419BC" w:rsidRPr="00A35011" w:rsidRDefault="006419BC" w:rsidP="00A35011">
      <w:pPr>
        <w:pStyle w:val="EndNoteBibliography"/>
        <w:spacing w:after="0"/>
      </w:pPr>
      <w:r w:rsidRPr="00A35011">
        <w:t>14.</w:t>
      </w:r>
      <w:r w:rsidRPr="00A35011">
        <w:tab/>
        <w:t xml:space="preserve">Ahmed F, Ahmed N, Pissarides C, Stiglitz J. Why inequality could spread COVID-19. </w:t>
      </w:r>
      <w:r w:rsidRPr="00A35011">
        <w:rPr>
          <w:i/>
        </w:rPr>
        <w:t>Lancet Public Health</w:t>
      </w:r>
      <w:r w:rsidRPr="00A35011">
        <w:t xml:space="preserve"> 2020; </w:t>
      </w:r>
      <w:r w:rsidRPr="00A35011">
        <w:rPr>
          <w:b/>
        </w:rPr>
        <w:t>5</w:t>
      </w:r>
      <w:r w:rsidRPr="00A35011">
        <w:t>(5): e240.</w:t>
      </w:r>
    </w:p>
    <w:p w:rsidR="006419BC" w:rsidRPr="00A35011" w:rsidRDefault="006419BC" w:rsidP="00A35011">
      <w:pPr>
        <w:pStyle w:val="EndNoteBibliography"/>
        <w:spacing w:after="0"/>
      </w:pPr>
      <w:r w:rsidRPr="00A35011">
        <w:t>15.</w:t>
      </w:r>
      <w:r w:rsidRPr="00A35011">
        <w:tab/>
        <w:t xml:space="preserve">Simpson AHR, Simpson CJ, Frost H, Welburn SC. COVID-19: Obesity, deprivation and death. </w:t>
      </w:r>
      <w:r w:rsidRPr="00A35011">
        <w:rPr>
          <w:i/>
        </w:rPr>
        <w:t>J Glob Health</w:t>
      </w:r>
      <w:r w:rsidRPr="00A35011">
        <w:t xml:space="preserve"> 2020; </w:t>
      </w:r>
      <w:r w:rsidRPr="00A35011">
        <w:rPr>
          <w:b/>
        </w:rPr>
        <w:t>10</w:t>
      </w:r>
      <w:r w:rsidRPr="00A35011">
        <w:t>(2): 020389.</w:t>
      </w:r>
    </w:p>
    <w:p w:rsidR="006419BC" w:rsidRPr="006419BC" w:rsidRDefault="006419BC" w:rsidP="00A35011">
      <w:pPr>
        <w:pStyle w:val="EndNoteBibliography"/>
        <w:spacing w:after="0"/>
        <w:rPr>
          <w:lang w:val="fr-FR"/>
        </w:rPr>
      </w:pPr>
      <w:r w:rsidRPr="00A35011">
        <w:t>16.</w:t>
      </w:r>
      <w:r w:rsidRPr="00A35011">
        <w:tab/>
        <w:t xml:space="preserve">Brosh-Nissimov T, Orenbuch-Harroch E, Chowers M, et al. BNT162b2 vaccine breakthrough: clinical characteristics of 152 fully vaccinated hospitalized COVID-19 patients in Israel. </w:t>
      </w:r>
      <w:r w:rsidRPr="006419BC">
        <w:rPr>
          <w:i/>
          <w:lang w:val="fr-FR"/>
        </w:rPr>
        <w:t>Clin Microbiol Infect</w:t>
      </w:r>
      <w:r w:rsidRPr="006419BC">
        <w:rPr>
          <w:lang w:val="fr-FR"/>
        </w:rPr>
        <w:t xml:space="preserve"> 2021.</w:t>
      </w:r>
    </w:p>
    <w:p w:rsidR="006419BC" w:rsidRPr="00A35011" w:rsidRDefault="006419BC" w:rsidP="00A35011">
      <w:pPr>
        <w:pStyle w:val="EndNoteBibliography"/>
        <w:spacing w:after="0"/>
      </w:pPr>
      <w:r w:rsidRPr="006419BC">
        <w:rPr>
          <w:lang w:val="fr-FR"/>
        </w:rPr>
        <w:t>17.</w:t>
      </w:r>
      <w:r w:rsidRPr="006419BC">
        <w:rPr>
          <w:lang w:val="fr-FR"/>
        </w:rPr>
        <w:tab/>
        <w:t xml:space="preserve">Maestre-Muniz MM, Arias A, Mata-Vazquez E, et al. </w:t>
      </w:r>
      <w:r w:rsidRPr="00A35011">
        <w:t xml:space="preserve">Long-Term Outcomes of Patients with Coronavirus Disease 2019 at One Year after Hospital Discharge. </w:t>
      </w:r>
      <w:r w:rsidRPr="00A35011">
        <w:rPr>
          <w:i/>
        </w:rPr>
        <w:t>J Clin Med</w:t>
      </w:r>
      <w:r w:rsidRPr="00A35011">
        <w:t xml:space="preserve"> 2021; </w:t>
      </w:r>
      <w:r w:rsidRPr="00A35011">
        <w:rPr>
          <w:b/>
        </w:rPr>
        <w:t>10</w:t>
      </w:r>
      <w:r w:rsidRPr="00A35011">
        <w:t>(13).</w:t>
      </w:r>
    </w:p>
    <w:p w:rsidR="006419BC" w:rsidRPr="00A35011" w:rsidRDefault="006419BC" w:rsidP="00A35011">
      <w:pPr>
        <w:pStyle w:val="EndNoteBibliography"/>
        <w:spacing w:after="0"/>
      </w:pPr>
      <w:r w:rsidRPr="00A35011">
        <w:t>18.</w:t>
      </w:r>
      <w:r w:rsidRPr="00A35011">
        <w:tab/>
        <w:t xml:space="preserve">Ramakrishnan RK, Kashour T, Hamid Q, Halwani R, Tleyjeh IM. Unraveling the Mystery Surrounding Post-Acute Sequelae of COVID-19. </w:t>
      </w:r>
      <w:r w:rsidRPr="00A35011">
        <w:rPr>
          <w:i/>
        </w:rPr>
        <w:t>Front Immunol</w:t>
      </w:r>
      <w:r w:rsidRPr="00A35011">
        <w:t xml:space="preserve"> 2021; </w:t>
      </w:r>
      <w:r w:rsidRPr="00A35011">
        <w:rPr>
          <w:b/>
        </w:rPr>
        <w:t>12</w:t>
      </w:r>
      <w:r w:rsidRPr="00A35011">
        <w:t>: 686029.</w:t>
      </w:r>
    </w:p>
    <w:p w:rsidR="006419BC" w:rsidRPr="00A35011" w:rsidRDefault="006419BC" w:rsidP="00A35011">
      <w:pPr>
        <w:pStyle w:val="EndNoteBibliography"/>
        <w:spacing w:after="0"/>
      </w:pPr>
      <w:r w:rsidRPr="00A35011">
        <w:t>19.</w:t>
      </w:r>
      <w:r w:rsidRPr="00A35011">
        <w:tab/>
        <w:t xml:space="preserve">Simoes e Silva AC, Silveira KD, Ferreira AJ, Teixeira MM. ACE2, angiotensin-(1-7) and Mas receptor axis in inflammation and fibrosis. </w:t>
      </w:r>
      <w:r w:rsidRPr="00A35011">
        <w:rPr>
          <w:i/>
        </w:rPr>
        <w:t>Br J Pharmacol</w:t>
      </w:r>
      <w:r w:rsidRPr="00A35011">
        <w:t xml:space="preserve"> 2013; </w:t>
      </w:r>
      <w:r w:rsidRPr="00A35011">
        <w:rPr>
          <w:b/>
        </w:rPr>
        <w:t>169</w:t>
      </w:r>
      <w:r w:rsidRPr="00A35011">
        <w:t>(3): 477-92.</w:t>
      </w:r>
    </w:p>
    <w:p w:rsidR="006419BC" w:rsidRPr="00A35011" w:rsidRDefault="006419BC" w:rsidP="00A35011">
      <w:pPr>
        <w:pStyle w:val="EndNoteBibliography"/>
        <w:spacing w:after="0"/>
      </w:pPr>
      <w:r w:rsidRPr="00A35011">
        <w:lastRenderedPageBreak/>
        <w:t>20.</w:t>
      </w:r>
      <w:r w:rsidRPr="00A35011">
        <w:tab/>
        <w:t xml:space="preserve">Li XC, Zhang J, Zhuo JL. The vasoprotective axes of the renin-angiotensin system: Physiological relevance and therapeutic implications in cardiovascular, hypertensive and kidney diseases. </w:t>
      </w:r>
      <w:r w:rsidRPr="00A35011">
        <w:rPr>
          <w:i/>
        </w:rPr>
        <w:t>Pharmacol Res</w:t>
      </w:r>
      <w:r w:rsidRPr="00A35011">
        <w:t xml:space="preserve"> 2017; </w:t>
      </w:r>
      <w:r w:rsidRPr="00A35011">
        <w:rPr>
          <w:b/>
        </w:rPr>
        <w:t>125</w:t>
      </w:r>
      <w:r w:rsidRPr="00A35011">
        <w:t>(Pt A): 21-38.</w:t>
      </w:r>
    </w:p>
    <w:p w:rsidR="006419BC" w:rsidRPr="006419BC" w:rsidRDefault="006419BC" w:rsidP="00A35011">
      <w:pPr>
        <w:pStyle w:val="EndNoteBibliography"/>
        <w:spacing w:after="0"/>
        <w:rPr>
          <w:lang w:val="de-DE"/>
        </w:rPr>
      </w:pPr>
      <w:r w:rsidRPr="00A35011">
        <w:t>21.</w:t>
      </w:r>
      <w:r w:rsidRPr="00A35011">
        <w:tab/>
        <w:t xml:space="preserve">Coto E, Avanzas P, Gomez J. The Renin-Angiotensin-Aldosterone System and Coronavirus Disease 2019. </w:t>
      </w:r>
      <w:r w:rsidRPr="006419BC">
        <w:rPr>
          <w:i/>
          <w:lang w:val="de-DE"/>
        </w:rPr>
        <w:t>Eur Cardiol</w:t>
      </w:r>
      <w:r w:rsidRPr="006419BC">
        <w:rPr>
          <w:lang w:val="de-DE"/>
        </w:rPr>
        <w:t xml:space="preserve"> 2021; </w:t>
      </w:r>
      <w:r w:rsidRPr="006419BC">
        <w:rPr>
          <w:b/>
          <w:lang w:val="de-DE"/>
        </w:rPr>
        <w:t>16</w:t>
      </w:r>
      <w:r w:rsidRPr="006419BC">
        <w:rPr>
          <w:lang w:val="de-DE"/>
        </w:rPr>
        <w:t>: e07.</w:t>
      </w:r>
    </w:p>
    <w:p w:rsidR="006419BC" w:rsidRPr="006419BC" w:rsidRDefault="006419BC" w:rsidP="00A35011">
      <w:pPr>
        <w:pStyle w:val="EndNoteBibliography"/>
        <w:spacing w:after="0"/>
        <w:rPr>
          <w:lang w:val="fr-FR"/>
        </w:rPr>
      </w:pPr>
      <w:r w:rsidRPr="006419BC">
        <w:rPr>
          <w:lang w:val="de-DE"/>
        </w:rPr>
        <w:t>22.</w:t>
      </w:r>
      <w:r w:rsidRPr="006419BC">
        <w:rPr>
          <w:lang w:val="de-DE"/>
        </w:rPr>
        <w:tab/>
        <w:t xml:space="preserve">Bornstein SR, Rubino F, Khunti K, et al. </w:t>
      </w:r>
      <w:r w:rsidRPr="00A35011">
        <w:t xml:space="preserve">Practical recommendations for the management of diabetes in patients with COVID-19. </w:t>
      </w:r>
      <w:r w:rsidRPr="006419BC">
        <w:rPr>
          <w:i/>
          <w:lang w:val="fr-FR"/>
        </w:rPr>
        <w:t>Lancet Diabetes Endocrinol</w:t>
      </w:r>
      <w:r w:rsidRPr="006419BC">
        <w:rPr>
          <w:lang w:val="fr-FR"/>
        </w:rPr>
        <w:t xml:space="preserve"> 2020; </w:t>
      </w:r>
      <w:r w:rsidRPr="006419BC">
        <w:rPr>
          <w:b/>
          <w:lang w:val="fr-FR"/>
        </w:rPr>
        <w:t>8</w:t>
      </w:r>
      <w:r w:rsidRPr="006419BC">
        <w:rPr>
          <w:lang w:val="fr-FR"/>
        </w:rPr>
        <w:t>(6): 546-50.</w:t>
      </w:r>
    </w:p>
    <w:p w:rsidR="006419BC" w:rsidRPr="00A35011" w:rsidRDefault="006419BC" w:rsidP="00A35011">
      <w:pPr>
        <w:pStyle w:val="EndNoteBibliography"/>
        <w:spacing w:after="0"/>
      </w:pPr>
      <w:r w:rsidRPr="006419BC">
        <w:rPr>
          <w:lang w:val="fr-FR"/>
        </w:rPr>
        <w:t>23.</w:t>
      </w:r>
      <w:r w:rsidRPr="006419BC">
        <w:rPr>
          <w:lang w:val="fr-FR"/>
        </w:rPr>
        <w:tab/>
        <w:t xml:space="preserve">Lv Q, Yang Q, Cui Y, et al. </w:t>
      </w:r>
      <w:r w:rsidRPr="00A35011">
        <w:t xml:space="preserve">Effects of Taurine on ACE, ACE2 and HSP70 Expression of Hypothalamic-Pituitary-Adrenal Axis in Stress-Induced Hypertensive Rats. </w:t>
      </w:r>
      <w:r w:rsidRPr="00A35011">
        <w:rPr>
          <w:i/>
        </w:rPr>
        <w:t>Adv Exp Med Biol</w:t>
      </w:r>
      <w:r w:rsidRPr="00A35011">
        <w:t xml:space="preserve"> 2017; </w:t>
      </w:r>
      <w:r w:rsidRPr="00A35011">
        <w:rPr>
          <w:b/>
        </w:rPr>
        <w:t>975 Pt 2</w:t>
      </w:r>
      <w:r w:rsidRPr="00A35011">
        <w:t>: 871-86.</w:t>
      </w:r>
    </w:p>
    <w:p w:rsidR="006419BC" w:rsidRPr="00A35011" w:rsidRDefault="006419BC" w:rsidP="00A35011">
      <w:pPr>
        <w:pStyle w:val="EndNoteBibliography"/>
        <w:spacing w:after="0"/>
      </w:pPr>
      <w:r w:rsidRPr="00A35011">
        <w:t>24.</w:t>
      </w:r>
      <w:r w:rsidRPr="00A35011">
        <w:tab/>
        <w:t xml:space="preserve">Coate KC, Cha J, Shrestha S, et al. SARS-CoV-2 Cell Entry Factors ACE2 and TMPRSS2 Are Expressed in the Microvasculature and Ducts of Human Pancreas but Are Not Enriched in beta Cells. </w:t>
      </w:r>
      <w:r w:rsidRPr="00A35011">
        <w:rPr>
          <w:i/>
        </w:rPr>
        <w:t>Cell Metab</w:t>
      </w:r>
      <w:r w:rsidRPr="00A35011">
        <w:t xml:space="preserve"> 2020; </w:t>
      </w:r>
      <w:r w:rsidRPr="00A35011">
        <w:rPr>
          <w:b/>
        </w:rPr>
        <w:t>32</w:t>
      </w:r>
      <w:r w:rsidRPr="00A35011">
        <w:t>(6): 1028-40 e4.</w:t>
      </w:r>
    </w:p>
    <w:p w:rsidR="006419BC" w:rsidRPr="00A35011" w:rsidRDefault="006419BC" w:rsidP="00A35011">
      <w:pPr>
        <w:pStyle w:val="EndNoteBibliography"/>
        <w:spacing w:after="0"/>
      </w:pPr>
      <w:r w:rsidRPr="00A35011">
        <w:t>25.</w:t>
      </w:r>
      <w:r w:rsidRPr="00A35011">
        <w:tab/>
        <w:t xml:space="preserve">Kusmartseva I, Wu W, Syed F, et al. Expression of SARS-CoV-2 Entry Factors in the Pancreas of Normal Organ Donors and Individuals with COVID-19. </w:t>
      </w:r>
      <w:r w:rsidRPr="00A35011">
        <w:rPr>
          <w:i/>
        </w:rPr>
        <w:t>Cell Metab</w:t>
      </w:r>
      <w:r w:rsidRPr="00A35011">
        <w:t xml:space="preserve"> 2020; </w:t>
      </w:r>
      <w:r w:rsidRPr="00A35011">
        <w:rPr>
          <w:b/>
        </w:rPr>
        <w:t>32</w:t>
      </w:r>
      <w:r w:rsidRPr="00A35011">
        <w:t>(6): 1041-51 e6.</w:t>
      </w:r>
    </w:p>
    <w:p w:rsidR="006419BC" w:rsidRPr="006419BC" w:rsidRDefault="006419BC" w:rsidP="00A35011">
      <w:pPr>
        <w:pStyle w:val="EndNoteBibliography"/>
        <w:spacing w:after="0"/>
        <w:rPr>
          <w:lang w:val="fr-FR"/>
        </w:rPr>
      </w:pPr>
      <w:r w:rsidRPr="00A35011">
        <w:t>26.</w:t>
      </w:r>
      <w:r w:rsidRPr="00A35011">
        <w:tab/>
        <w:t xml:space="preserve">Liu F, Long X, Zhang B, Zhang W, Chen X, Zhang Z. ACE2 Expression in Pancreas May Cause Pancreatic Damage After SARS-CoV-2 Infection. </w:t>
      </w:r>
      <w:r w:rsidRPr="006419BC">
        <w:rPr>
          <w:i/>
          <w:lang w:val="fr-FR"/>
        </w:rPr>
        <w:t>Clin Gastroenterol Hepatol</w:t>
      </w:r>
      <w:r w:rsidRPr="006419BC">
        <w:rPr>
          <w:lang w:val="fr-FR"/>
        </w:rPr>
        <w:t xml:space="preserve"> 2020; </w:t>
      </w:r>
      <w:r w:rsidRPr="006419BC">
        <w:rPr>
          <w:b/>
          <w:lang w:val="fr-FR"/>
        </w:rPr>
        <w:t>18</w:t>
      </w:r>
      <w:r w:rsidRPr="006419BC">
        <w:rPr>
          <w:lang w:val="fr-FR"/>
        </w:rPr>
        <w:t>(9): 2128-30 e2.</w:t>
      </w:r>
    </w:p>
    <w:p w:rsidR="006419BC" w:rsidRPr="00A35011" w:rsidRDefault="006419BC" w:rsidP="00A35011">
      <w:pPr>
        <w:pStyle w:val="EndNoteBibliography"/>
        <w:spacing w:after="0"/>
      </w:pPr>
      <w:r w:rsidRPr="006419BC">
        <w:rPr>
          <w:lang w:val="fr-FR"/>
        </w:rPr>
        <w:t>27.</w:t>
      </w:r>
      <w:r w:rsidRPr="006419BC">
        <w:rPr>
          <w:lang w:val="fr-FR"/>
        </w:rPr>
        <w:tab/>
        <w:t xml:space="preserve">Fignani D, Licata G, Brusco N, et al. </w:t>
      </w:r>
      <w:r w:rsidRPr="00A35011">
        <w:t xml:space="preserve">SARS-CoV-2 Receptor Angiotensin I-Converting Enzyme Type 2 (ACE2) Is Expressed in Human Pancreatic beta-Cells and in the Human Pancreas Microvasculature. </w:t>
      </w:r>
      <w:r w:rsidRPr="00A35011">
        <w:rPr>
          <w:i/>
        </w:rPr>
        <w:t>Front Endocrinol (Lausanne)</w:t>
      </w:r>
      <w:r w:rsidRPr="00A35011">
        <w:t xml:space="preserve"> 2020; </w:t>
      </w:r>
      <w:r w:rsidRPr="00A35011">
        <w:rPr>
          <w:b/>
        </w:rPr>
        <w:t>11</w:t>
      </w:r>
      <w:r w:rsidRPr="00A35011">
        <w:t>: 596898.</w:t>
      </w:r>
    </w:p>
    <w:p w:rsidR="006419BC" w:rsidRPr="006419BC" w:rsidRDefault="006419BC" w:rsidP="00A35011">
      <w:pPr>
        <w:pStyle w:val="EndNoteBibliography"/>
        <w:spacing w:after="0"/>
        <w:rPr>
          <w:lang w:val="fr-FR"/>
        </w:rPr>
      </w:pPr>
      <w:r w:rsidRPr="00A35011">
        <w:t>28.</w:t>
      </w:r>
      <w:r w:rsidRPr="00A35011">
        <w:tab/>
        <w:t xml:space="preserve">Muller JA, Gross R, Conzelmann C, et al. SARS-CoV-2 infects and replicates in cells of the human endocrine and exocrine pancreas. </w:t>
      </w:r>
      <w:r w:rsidRPr="006419BC">
        <w:rPr>
          <w:i/>
          <w:lang w:val="fr-FR"/>
        </w:rPr>
        <w:t>Nat Metab</w:t>
      </w:r>
      <w:r w:rsidRPr="006419BC">
        <w:rPr>
          <w:lang w:val="fr-FR"/>
        </w:rPr>
        <w:t xml:space="preserve"> 2021; </w:t>
      </w:r>
      <w:r w:rsidRPr="006419BC">
        <w:rPr>
          <w:b/>
          <w:lang w:val="fr-FR"/>
        </w:rPr>
        <w:t>3</w:t>
      </w:r>
      <w:r w:rsidRPr="006419BC">
        <w:rPr>
          <w:lang w:val="fr-FR"/>
        </w:rPr>
        <w:t>(2): 149-65.</w:t>
      </w:r>
    </w:p>
    <w:p w:rsidR="006419BC" w:rsidRPr="00A35011" w:rsidRDefault="006419BC" w:rsidP="00A35011">
      <w:pPr>
        <w:pStyle w:val="EndNoteBibliography"/>
        <w:spacing w:after="0"/>
      </w:pPr>
      <w:r w:rsidRPr="006419BC">
        <w:rPr>
          <w:lang w:val="fr-FR"/>
        </w:rPr>
        <w:t>29.</w:t>
      </w:r>
      <w:r w:rsidRPr="006419BC">
        <w:rPr>
          <w:lang w:val="fr-FR"/>
        </w:rPr>
        <w:tab/>
        <w:t xml:space="preserve">Wu CT, Lidsky PV, Xiao Y, et al. </w:t>
      </w:r>
      <w:r w:rsidRPr="00A35011">
        <w:t xml:space="preserve">SARS-CoV-2 infects human pancreatic beta cells and elicits beta cell impairment. </w:t>
      </w:r>
      <w:r w:rsidRPr="00A35011">
        <w:rPr>
          <w:i/>
        </w:rPr>
        <w:t>Cell Metab</w:t>
      </w:r>
      <w:r w:rsidRPr="00A35011">
        <w:t xml:space="preserve"> 2021.</w:t>
      </w:r>
    </w:p>
    <w:p w:rsidR="006419BC" w:rsidRPr="006419BC" w:rsidRDefault="006419BC" w:rsidP="00A35011">
      <w:pPr>
        <w:pStyle w:val="EndNoteBibliography"/>
        <w:spacing w:after="0"/>
        <w:rPr>
          <w:lang w:val="fr-FR"/>
        </w:rPr>
      </w:pPr>
      <w:r w:rsidRPr="00A35011">
        <w:t>30.</w:t>
      </w:r>
      <w:r w:rsidRPr="00A35011">
        <w:tab/>
        <w:t xml:space="preserve">Steenblock C, Richter S, Berger I, et al. Viral infiltration of pancreatic islets in patients with COVID-19. </w:t>
      </w:r>
      <w:r w:rsidRPr="006419BC">
        <w:rPr>
          <w:i/>
          <w:lang w:val="fr-FR"/>
        </w:rPr>
        <w:t>Nat Commun</w:t>
      </w:r>
      <w:r w:rsidRPr="006419BC">
        <w:rPr>
          <w:lang w:val="fr-FR"/>
        </w:rPr>
        <w:t xml:space="preserve"> 2021; </w:t>
      </w:r>
      <w:r w:rsidRPr="006419BC">
        <w:rPr>
          <w:b/>
          <w:lang w:val="fr-FR"/>
        </w:rPr>
        <w:t>12</w:t>
      </w:r>
      <w:r w:rsidRPr="006419BC">
        <w:rPr>
          <w:lang w:val="fr-FR"/>
        </w:rPr>
        <w:t>(1): 3534.</w:t>
      </w:r>
    </w:p>
    <w:p w:rsidR="006419BC" w:rsidRPr="00A35011" w:rsidRDefault="006419BC" w:rsidP="00A35011">
      <w:pPr>
        <w:pStyle w:val="EndNoteBibliography"/>
        <w:spacing w:after="0"/>
      </w:pPr>
      <w:r w:rsidRPr="006419BC">
        <w:rPr>
          <w:lang w:val="fr-FR"/>
        </w:rPr>
        <w:t>31.</w:t>
      </w:r>
      <w:r w:rsidRPr="006419BC">
        <w:rPr>
          <w:lang w:val="fr-FR"/>
        </w:rPr>
        <w:tab/>
        <w:t xml:space="preserve">Kumar A, Faiq MA, Pareek V, et al. </w:t>
      </w:r>
      <w:r w:rsidRPr="00A35011">
        <w:t xml:space="preserve">Relevance of SARS-CoV-2 related factors ACE2 and TMPRSS2 expressions in gastrointestinal tissue with pathogenesis of digestive symptoms, diabetes-associated mortality, and disease recurrence in COVID-19 patients. </w:t>
      </w:r>
      <w:r w:rsidRPr="00A35011">
        <w:rPr>
          <w:i/>
        </w:rPr>
        <w:t>Med Hypotheses</w:t>
      </w:r>
      <w:r w:rsidRPr="00A35011">
        <w:t xml:space="preserve"> 2020; </w:t>
      </w:r>
      <w:r w:rsidRPr="00A35011">
        <w:rPr>
          <w:b/>
        </w:rPr>
        <w:t>144</w:t>
      </w:r>
      <w:r w:rsidRPr="00A35011">
        <w:t>: 110271.</w:t>
      </w:r>
    </w:p>
    <w:p w:rsidR="006419BC" w:rsidRPr="00A35011" w:rsidRDefault="006419BC" w:rsidP="00A35011">
      <w:pPr>
        <w:pStyle w:val="EndNoteBibliography"/>
        <w:spacing w:after="0"/>
      </w:pPr>
      <w:r w:rsidRPr="00A35011">
        <w:t>32.</w:t>
      </w:r>
      <w:r w:rsidRPr="00A35011">
        <w:tab/>
        <w:t xml:space="preserve">Young MJ, Clyne CD, Chapman KE. Endocrine aspects of ACE2 regulation: RAAS, steroid hormones and SARS-CoV-2. </w:t>
      </w:r>
      <w:r w:rsidRPr="00A35011">
        <w:rPr>
          <w:i/>
        </w:rPr>
        <w:t>J Endocrinol</w:t>
      </w:r>
      <w:r w:rsidRPr="00A35011">
        <w:t xml:space="preserve"> 2020; </w:t>
      </w:r>
      <w:r w:rsidRPr="00A35011">
        <w:rPr>
          <w:b/>
        </w:rPr>
        <w:t>247</w:t>
      </w:r>
      <w:r w:rsidRPr="00A35011">
        <w:t>(2): R45-R62.</w:t>
      </w:r>
    </w:p>
    <w:p w:rsidR="006419BC" w:rsidRPr="006419BC" w:rsidRDefault="006419BC" w:rsidP="00A35011">
      <w:pPr>
        <w:pStyle w:val="EndNoteBibliography"/>
        <w:spacing w:after="0"/>
        <w:rPr>
          <w:lang w:val="fr-FR"/>
        </w:rPr>
      </w:pPr>
      <w:r w:rsidRPr="00A35011">
        <w:t>33.</w:t>
      </w:r>
      <w:r w:rsidRPr="00A35011">
        <w:tab/>
        <w:t xml:space="preserve">Fang L, Karakiulakis G, Roth M. Are patients with hypertension and diabetes mellitus at increased risk for COVID-19 infection? </w:t>
      </w:r>
      <w:r w:rsidRPr="006419BC">
        <w:rPr>
          <w:i/>
          <w:lang w:val="fr-FR"/>
        </w:rPr>
        <w:t>Lancet Respir Med</w:t>
      </w:r>
      <w:r w:rsidRPr="006419BC">
        <w:rPr>
          <w:lang w:val="fr-FR"/>
        </w:rPr>
        <w:t xml:space="preserve"> 2020; </w:t>
      </w:r>
      <w:r w:rsidRPr="006419BC">
        <w:rPr>
          <w:b/>
          <w:lang w:val="fr-FR"/>
        </w:rPr>
        <w:t>8</w:t>
      </w:r>
      <w:r w:rsidRPr="006419BC">
        <w:rPr>
          <w:lang w:val="fr-FR"/>
        </w:rPr>
        <w:t>(4): e21.</w:t>
      </w:r>
    </w:p>
    <w:p w:rsidR="006419BC" w:rsidRPr="00A35011" w:rsidRDefault="006419BC" w:rsidP="00A35011">
      <w:pPr>
        <w:pStyle w:val="EndNoteBibliography"/>
        <w:spacing w:after="0"/>
      </w:pPr>
      <w:r w:rsidRPr="006419BC">
        <w:rPr>
          <w:lang w:val="fr-FR"/>
        </w:rPr>
        <w:t>34.</w:t>
      </w:r>
      <w:r w:rsidRPr="006419BC">
        <w:rPr>
          <w:lang w:val="fr-FR"/>
        </w:rPr>
        <w:tab/>
        <w:t xml:space="preserve">Lei C, Qian K, Li T, et al. </w:t>
      </w:r>
      <w:r w:rsidRPr="00A35011">
        <w:t xml:space="preserve">Neutralization of SARS-CoV-2 spike pseudotyped virus by recombinant ACE2-Ig. </w:t>
      </w:r>
      <w:r w:rsidRPr="00A35011">
        <w:rPr>
          <w:i/>
        </w:rPr>
        <w:t>Nat Commun</w:t>
      </w:r>
      <w:r w:rsidRPr="00A35011">
        <w:t xml:space="preserve"> 2020; </w:t>
      </w:r>
      <w:r w:rsidRPr="00A35011">
        <w:rPr>
          <w:b/>
        </w:rPr>
        <w:t>11</w:t>
      </w:r>
      <w:r w:rsidRPr="00A35011">
        <w:t>(1): 2070.</w:t>
      </w:r>
    </w:p>
    <w:p w:rsidR="006419BC" w:rsidRPr="00A35011" w:rsidRDefault="006419BC" w:rsidP="00A35011">
      <w:pPr>
        <w:pStyle w:val="EndNoteBibliography"/>
        <w:spacing w:after="0"/>
      </w:pPr>
      <w:r w:rsidRPr="00A35011">
        <w:t>35.</w:t>
      </w:r>
      <w:r w:rsidRPr="00A35011">
        <w:tab/>
        <w:t xml:space="preserve">Mancia G, Rea F, Ludergnani M, Apolone G, Corrao G. Renin-Angiotensin-Aldosterone System Blockers and the Risk of Covid-19. </w:t>
      </w:r>
      <w:r w:rsidRPr="00A35011">
        <w:rPr>
          <w:i/>
        </w:rPr>
        <w:t>N Engl J Med</w:t>
      </w:r>
      <w:r w:rsidRPr="00A35011">
        <w:t xml:space="preserve"> 2020; </w:t>
      </w:r>
      <w:r w:rsidRPr="00A35011">
        <w:rPr>
          <w:b/>
        </w:rPr>
        <w:t>382</w:t>
      </w:r>
      <w:r w:rsidRPr="00A35011">
        <w:t>(25): 2431-40.</w:t>
      </w:r>
    </w:p>
    <w:p w:rsidR="006419BC" w:rsidRPr="006419BC" w:rsidRDefault="006419BC" w:rsidP="00A35011">
      <w:pPr>
        <w:pStyle w:val="EndNoteBibliography"/>
        <w:spacing w:after="0"/>
        <w:rPr>
          <w:lang w:val="fr-FR"/>
        </w:rPr>
      </w:pPr>
      <w:r w:rsidRPr="00A35011">
        <w:t>36.</w:t>
      </w:r>
      <w:r w:rsidRPr="00A35011">
        <w:tab/>
        <w:t xml:space="preserve">Mehta N, Kalra A, Nowacki AS, et al. Association of Use of Angiotensin-Converting Enzyme Inhibitors and Angiotensin II Receptor Blockers With Testing Positive for Coronavirus Disease 2019 (COVID-19). </w:t>
      </w:r>
      <w:r w:rsidRPr="006419BC">
        <w:rPr>
          <w:i/>
          <w:lang w:val="fr-FR"/>
        </w:rPr>
        <w:t>JAMA Cardiol</w:t>
      </w:r>
      <w:r w:rsidRPr="006419BC">
        <w:rPr>
          <w:lang w:val="fr-FR"/>
        </w:rPr>
        <w:t xml:space="preserve"> 2020; </w:t>
      </w:r>
      <w:r w:rsidRPr="006419BC">
        <w:rPr>
          <w:b/>
          <w:lang w:val="fr-FR"/>
        </w:rPr>
        <w:t>5</w:t>
      </w:r>
      <w:r w:rsidRPr="006419BC">
        <w:rPr>
          <w:lang w:val="fr-FR"/>
        </w:rPr>
        <w:t>(9): 1020-6.</w:t>
      </w:r>
    </w:p>
    <w:p w:rsidR="006419BC" w:rsidRPr="00A35011" w:rsidRDefault="006419BC" w:rsidP="00A35011">
      <w:pPr>
        <w:pStyle w:val="EndNoteBibliography"/>
        <w:spacing w:after="0"/>
      </w:pPr>
      <w:r w:rsidRPr="006419BC">
        <w:rPr>
          <w:lang w:val="fr-FR"/>
        </w:rPr>
        <w:t>37.</w:t>
      </w:r>
      <w:r w:rsidRPr="006419BC">
        <w:rPr>
          <w:lang w:val="fr-FR"/>
        </w:rPr>
        <w:tab/>
        <w:t xml:space="preserve">Zhang P, Zhu L, Cai J, et al. </w:t>
      </w:r>
      <w:r w:rsidRPr="00A35011">
        <w:t xml:space="preserve">Association of Inpatient Use of Angiotensin-Converting Enzyme Inhibitors and Angiotensin II Receptor Blockers With Mortality Among Patients With Hypertension Hospitalized With COVID-19. </w:t>
      </w:r>
      <w:r w:rsidRPr="00A35011">
        <w:rPr>
          <w:i/>
        </w:rPr>
        <w:t>Circ Res</w:t>
      </w:r>
      <w:r w:rsidRPr="00A35011">
        <w:t xml:space="preserve"> 2020; </w:t>
      </w:r>
      <w:r w:rsidRPr="00A35011">
        <w:rPr>
          <w:b/>
        </w:rPr>
        <w:t>126</w:t>
      </w:r>
      <w:r w:rsidRPr="00A35011">
        <w:t>(12): 1671-81.</w:t>
      </w:r>
    </w:p>
    <w:p w:rsidR="006419BC" w:rsidRPr="00A35011" w:rsidRDefault="006419BC" w:rsidP="00A35011">
      <w:pPr>
        <w:pStyle w:val="EndNoteBibliography"/>
        <w:spacing w:after="0"/>
      </w:pPr>
      <w:r w:rsidRPr="00A35011">
        <w:t>38.</w:t>
      </w:r>
      <w:r w:rsidRPr="00A35011">
        <w:tab/>
        <w:t xml:space="preserve">Grover A, Oberoi M. A systematic review and meta-analysis to evaluate the clinical outcomes in COVID-19 patients on angiotensin-converting enzyme inhibitors or angiotensin receptor blockers. </w:t>
      </w:r>
      <w:r w:rsidRPr="00A35011">
        <w:rPr>
          <w:i/>
        </w:rPr>
        <w:t>Eur Heart J Cardiovasc Pharmacother</w:t>
      </w:r>
      <w:r w:rsidRPr="00A35011">
        <w:t xml:space="preserve"> 2021; </w:t>
      </w:r>
      <w:r w:rsidRPr="00A35011">
        <w:rPr>
          <w:b/>
        </w:rPr>
        <w:t>7</w:t>
      </w:r>
      <w:r w:rsidRPr="00A35011">
        <w:t>(2): 148-57.</w:t>
      </w:r>
    </w:p>
    <w:p w:rsidR="006419BC" w:rsidRPr="006419BC" w:rsidRDefault="006419BC" w:rsidP="00A35011">
      <w:pPr>
        <w:pStyle w:val="EndNoteBibliography"/>
        <w:spacing w:after="0"/>
        <w:rPr>
          <w:lang w:val="de-DE"/>
        </w:rPr>
      </w:pPr>
      <w:r w:rsidRPr="00A35011">
        <w:t>39.</w:t>
      </w:r>
      <w:r w:rsidRPr="00A35011">
        <w:tab/>
        <w:t xml:space="preserve">Villard O, Morquin D, Molinari N, et al. The Plasmatic Aldosterone and C-Reactive Protein Levels, and the Severity of Covid-19: The Dyhor-19 Study. </w:t>
      </w:r>
      <w:r w:rsidRPr="006419BC">
        <w:rPr>
          <w:i/>
          <w:lang w:val="de-DE"/>
        </w:rPr>
        <w:t>J Clin Med</w:t>
      </w:r>
      <w:r w:rsidRPr="006419BC">
        <w:rPr>
          <w:lang w:val="de-DE"/>
        </w:rPr>
        <w:t xml:space="preserve"> 2020; </w:t>
      </w:r>
      <w:r w:rsidRPr="006419BC">
        <w:rPr>
          <w:b/>
          <w:lang w:val="de-DE"/>
        </w:rPr>
        <w:t>9</w:t>
      </w:r>
      <w:r w:rsidRPr="006419BC">
        <w:rPr>
          <w:lang w:val="de-DE"/>
        </w:rPr>
        <w:t>(7).</w:t>
      </w:r>
    </w:p>
    <w:p w:rsidR="006419BC" w:rsidRPr="00A35011" w:rsidRDefault="006419BC" w:rsidP="00A35011">
      <w:pPr>
        <w:pStyle w:val="EndNoteBibliography"/>
        <w:spacing w:after="0"/>
      </w:pPr>
      <w:r w:rsidRPr="006419BC">
        <w:rPr>
          <w:lang w:val="de-DE"/>
        </w:rPr>
        <w:t>40.</w:t>
      </w:r>
      <w:r w:rsidRPr="006419BC">
        <w:rPr>
          <w:lang w:val="de-DE"/>
        </w:rPr>
        <w:tab/>
        <w:t xml:space="preserve">Hoffmann M, Kleine-Weber H, Schroeder S, et al. </w:t>
      </w:r>
      <w:r w:rsidRPr="00A35011">
        <w:t xml:space="preserve">SARS-CoV-2 Cell Entry Depends on ACE2 and TMPRSS2 and Is Blocked by a Clinically Proven Protease Inhibitor. </w:t>
      </w:r>
      <w:r w:rsidRPr="00A35011">
        <w:rPr>
          <w:i/>
        </w:rPr>
        <w:t>Cell</w:t>
      </w:r>
      <w:r w:rsidRPr="00A35011">
        <w:t xml:space="preserve"> 2020; </w:t>
      </w:r>
      <w:r w:rsidRPr="00A35011">
        <w:rPr>
          <w:b/>
        </w:rPr>
        <w:t>181</w:t>
      </w:r>
      <w:r w:rsidRPr="00A35011">
        <w:t>(2): 271-80 e8.</w:t>
      </w:r>
    </w:p>
    <w:p w:rsidR="006419BC" w:rsidRPr="00A35011" w:rsidRDefault="006419BC" w:rsidP="00A35011">
      <w:pPr>
        <w:pStyle w:val="EndNoteBibliography"/>
        <w:spacing w:after="0"/>
      </w:pPr>
      <w:r w:rsidRPr="00A35011">
        <w:lastRenderedPageBreak/>
        <w:t>41.</w:t>
      </w:r>
      <w:r w:rsidRPr="00A35011">
        <w:tab/>
        <w:t xml:space="preserve">Walls AC, Park YJ, Tortorici MA, Wall A, McGuire AT, Veesler D. Structure, Function, and Antigenicity of the SARS-CoV-2 Spike Glycoprotein. </w:t>
      </w:r>
      <w:r w:rsidRPr="00A35011">
        <w:rPr>
          <w:i/>
        </w:rPr>
        <w:t>Cell</w:t>
      </w:r>
      <w:r w:rsidRPr="00A35011">
        <w:t xml:space="preserve"> 2020; </w:t>
      </w:r>
      <w:r w:rsidRPr="00A35011">
        <w:rPr>
          <w:b/>
        </w:rPr>
        <w:t>181</w:t>
      </w:r>
      <w:r w:rsidRPr="00A35011">
        <w:t>(2): 281-92 e6.</w:t>
      </w:r>
    </w:p>
    <w:p w:rsidR="006419BC" w:rsidRPr="00A35011" w:rsidRDefault="006419BC" w:rsidP="00A35011">
      <w:pPr>
        <w:pStyle w:val="EndNoteBibliography"/>
        <w:spacing w:after="0"/>
      </w:pPr>
      <w:r w:rsidRPr="00A35011">
        <w:t>42.</w:t>
      </w:r>
      <w:r w:rsidRPr="00A35011">
        <w:tab/>
        <w:t xml:space="preserve">Davies NG, Abbott S, Barnard RC, et al. Estimated transmissibility and impact of SARS-CoV-2 lineage B.1.1.7 in England. </w:t>
      </w:r>
      <w:r w:rsidRPr="00A35011">
        <w:rPr>
          <w:i/>
        </w:rPr>
        <w:t>Science</w:t>
      </w:r>
      <w:r w:rsidRPr="00A35011">
        <w:t xml:space="preserve"> 2021; </w:t>
      </w:r>
      <w:r w:rsidRPr="00A35011">
        <w:rPr>
          <w:b/>
        </w:rPr>
        <w:t>372</w:t>
      </w:r>
      <w:r w:rsidRPr="00A35011">
        <w:t>(6538).</w:t>
      </w:r>
    </w:p>
    <w:p w:rsidR="006419BC" w:rsidRPr="00A35011" w:rsidRDefault="006419BC" w:rsidP="00A35011">
      <w:pPr>
        <w:pStyle w:val="EndNoteBibliography"/>
        <w:spacing w:after="0"/>
      </w:pPr>
      <w:r w:rsidRPr="00A35011">
        <w:t>43.</w:t>
      </w:r>
      <w:r w:rsidRPr="00A35011">
        <w:tab/>
        <w:t xml:space="preserve">Faria NR, Mellan TA, Whittaker C, et al. Genomics and epidemiology of the P.1 SARS-CoV-2 lineage in Manaus, Brazil. </w:t>
      </w:r>
      <w:r w:rsidRPr="00A35011">
        <w:rPr>
          <w:i/>
        </w:rPr>
        <w:t>Science</w:t>
      </w:r>
      <w:r w:rsidRPr="00A35011">
        <w:t xml:space="preserve"> 2021; </w:t>
      </w:r>
      <w:r w:rsidRPr="00A35011">
        <w:rPr>
          <w:b/>
        </w:rPr>
        <w:t>372</w:t>
      </w:r>
      <w:r w:rsidRPr="00A35011">
        <w:t>(6544): 815-21.</w:t>
      </w:r>
    </w:p>
    <w:p w:rsidR="006419BC" w:rsidRPr="006419BC" w:rsidRDefault="006419BC" w:rsidP="00A35011">
      <w:pPr>
        <w:pStyle w:val="EndNoteBibliography"/>
        <w:spacing w:after="0"/>
        <w:rPr>
          <w:lang w:val="fr-FR"/>
        </w:rPr>
      </w:pPr>
      <w:r w:rsidRPr="00A35011">
        <w:t>44.</w:t>
      </w:r>
      <w:r w:rsidRPr="00A35011">
        <w:tab/>
        <w:t xml:space="preserve">Leung K, Shum MH, Leung GM, Lam TT, Wu JT. Early transmissibility assessment of the N501Y mutant strains of SARS-CoV-2 in the United Kingdom, October to November 2020. </w:t>
      </w:r>
      <w:r w:rsidRPr="006419BC">
        <w:rPr>
          <w:i/>
          <w:lang w:val="fr-FR"/>
        </w:rPr>
        <w:t>Euro Surveill</w:t>
      </w:r>
      <w:r w:rsidRPr="006419BC">
        <w:rPr>
          <w:lang w:val="fr-FR"/>
        </w:rPr>
        <w:t xml:space="preserve"> 2021; </w:t>
      </w:r>
      <w:r w:rsidRPr="006419BC">
        <w:rPr>
          <w:b/>
          <w:lang w:val="fr-FR"/>
        </w:rPr>
        <w:t>26</w:t>
      </w:r>
      <w:r w:rsidRPr="006419BC">
        <w:rPr>
          <w:lang w:val="fr-FR"/>
        </w:rPr>
        <w:t>(1).</w:t>
      </w:r>
    </w:p>
    <w:p w:rsidR="006419BC" w:rsidRPr="00A35011" w:rsidRDefault="006419BC" w:rsidP="00A35011">
      <w:pPr>
        <w:pStyle w:val="EndNoteBibliography"/>
        <w:spacing w:after="0"/>
      </w:pPr>
      <w:r w:rsidRPr="006419BC">
        <w:rPr>
          <w:lang w:val="fr-FR"/>
        </w:rPr>
        <w:t>45.</w:t>
      </w:r>
      <w:r w:rsidRPr="006419BC">
        <w:rPr>
          <w:lang w:val="fr-FR"/>
        </w:rPr>
        <w:tab/>
        <w:t xml:space="preserve">Khan A, Zia T, Suleman M, et al. </w:t>
      </w:r>
      <w:r w:rsidRPr="00A35011">
        <w:t xml:space="preserve">Higher infectivity of the SARS-CoV-2 new variants is associated with K417N/T, E484K, and N501Y mutants: An insight from structural data. </w:t>
      </w:r>
      <w:r w:rsidRPr="00A35011">
        <w:rPr>
          <w:i/>
        </w:rPr>
        <w:t>J Cell Physiol</w:t>
      </w:r>
      <w:r w:rsidRPr="00A35011">
        <w:t xml:space="preserve"> 2021.</w:t>
      </w:r>
    </w:p>
    <w:p w:rsidR="006419BC" w:rsidRPr="00A35011" w:rsidRDefault="006419BC" w:rsidP="00A35011">
      <w:pPr>
        <w:pStyle w:val="EndNoteBibliography"/>
        <w:spacing w:after="0"/>
      </w:pPr>
      <w:r w:rsidRPr="00A35011">
        <w:t>46.</w:t>
      </w:r>
      <w:r w:rsidRPr="00A35011">
        <w:tab/>
        <w:t xml:space="preserve">Alai S, Gujar N, Joshi M, Gautam M, Gairola S. Pan-India novel coronavirus SARS-CoV-2 genomics and global diversity analysis in spike protein. </w:t>
      </w:r>
      <w:r w:rsidRPr="00A35011">
        <w:rPr>
          <w:i/>
        </w:rPr>
        <w:t>Heliyon</w:t>
      </w:r>
      <w:r w:rsidRPr="00A35011">
        <w:t xml:space="preserve"> 2021; </w:t>
      </w:r>
      <w:r w:rsidRPr="00A35011">
        <w:rPr>
          <w:b/>
        </w:rPr>
        <w:t>7</w:t>
      </w:r>
      <w:r w:rsidRPr="00A35011">
        <w:t>(3): e06564.</w:t>
      </w:r>
    </w:p>
    <w:p w:rsidR="006419BC" w:rsidRPr="00A35011" w:rsidRDefault="006419BC" w:rsidP="00A35011">
      <w:pPr>
        <w:pStyle w:val="EndNoteBibliography"/>
        <w:spacing w:after="0"/>
      </w:pPr>
      <w:r w:rsidRPr="00A35011">
        <w:t>47.</w:t>
      </w:r>
      <w:r w:rsidRPr="00A35011">
        <w:tab/>
        <w:t xml:space="preserve">Lan J, Ge J, Yu J, et al. Structure of the SARS-CoV-2 spike receptor-binding domain bound to the ACE2 receptor. </w:t>
      </w:r>
      <w:r w:rsidRPr="00A35011">
        <w:rPr>
          <w:i/>
        </w:rPr>
        <w:t>Nature</w:t>
      </w:r>
      <w:r w:rsidRPr="00A35011">
        <w:t xml:space="preserve"> 2020; </w:t>
      </w:r>
      <w:r w:rsidRPr="00A35011">
        <w:rPr>
          <w:b/>
        </w:rPr>
        <w:t>581</w:t>
      </w:r>
      <w:r w:rsidRPr="00A35011">
        <w:t>(7807): 215-20.</w:t>
      </w:r>
    </w:p>
    <w:p w:rsidR="006419BC" w:rsidRPr="00A35011" w:rsidRDefault="006419BC" w:rsidP="00A35011">
      <w:pPr>
        <w:pStyle w:val="EndNoteBibliography"/>
        <w:spacing w:after="0"/>
      </w:pPr>
      <w:r w:rsidRPr="00A35011">
        <w:t>48.</w:t>
      </w:r>
      <w:r w:rsidRPr="00A35011">
        <w:tab/>
        <w:t xml:space="preserve">Cantuti-Castelvetri L, Ojha R, Pedro LD, et al. Neuropilin-1 facilitates SARS-CoV-2 cell entry and infectivity. </w:t>
      </w:r>
      <w:r w:rsidRPr="00A35011">
        <w:rPr>
          <w:i/>
        </w:rPr>
        <w:t>Science</w:t>
      </w:r>
      <w:r w:rsidRPr="00A35011">
        <w:t xml:space="preserve"> 2020; </w:t>
      </w:r>
      <w:r w:rsidRPr="00A35011">
        <w:rPr>
          <w:b/>
        </w:rPr>
        <w:t>370</w:t>
      </w:r>
      <w:r w:rsidRPr="00A35011">
        <w:t>(6518): 856-60.</w:t>
      </w:r>
    </w:p>
    <w:p w:rsidR="006419BC" w:rsidRPr="00A35011" w:rsidRDefault="006419BC" w:rsidP="00A35011">
      <w:pPr>
        <w:pStyle w:val="EndNoteBibliography"/>
        <w:spacing w:after="0"/>
      </w:pPr>
      <w:r w:rsidRPr="00A35011">
        <w:t>49.</w:t>
      </w:r>
      <w:r w:rsidRPr="00A35011">
        <w:tab/>
        <w:t xml:space="preserve">Wei J, Alfajaro MM, DeWeirdt PC, et al. Genome-wide CRISPR Screens Reveal Host Factors Critical for SARS-CoV-2 Infection. </w:t>
      </w:r>
      <w:r w:rsidRPr="00A35011">
        <w:rPr>
          <w:i/>
        </w:rPr>
        <w:t>Cell</w:t>
      </w:r>
      <w:r w:rsidRPr="00A35011">
        <w:t xml:space="preserve"> 2021; </w:t>
      </w:r>
      <w:r w:rsidRPr="00A35011">
        <w:rPr>
          <w:b/>
        </w:rPr>
        <w:t>184</w:t>
      </w:r>
      <w:r w:rsidRPr="00A35011">
        <w:t>(1): 76-91 e13.</w:t>
      </w:r>
    </w:p>
    <w:p w:rsidR="006419BC" w:rsidRPr="00A35011" w:rsidRDefault="006419BC" w:rsidP="00A35011">
      <w:pPr>
        <w:pStyle w:val="EndNoteBibliography"/>
        <w:spacing w:after="0"/>
      </w:pPr>
      <w:r w:rsidRPr="00A35011">
        <w:t>50.</w:t>
      </w:r>
      <w:r w:rsidRPr="00A35011">
        <w:tab/>
        <w:t xml:space="preserve">Karki R, Sharma BR, Tuladhar S, et al. Synergism of TNF-alpha and IFN-gamma Triggers Inflammatory Cell Death, Tissue Damage, and Mortality in SARS-CoV-2 Infection and Cytokine Shock Syndromes. </w:t>
      </w:r>
      <w:r w:rsidRPr="00A35011">
        <w:rPr>
          <w:i/>
        </w:rPr>
        <w:t>Cell</w:t>
      </w:r>
      <w:r w:rsidRPr="00A35011">
        <w:t xml:space="preserve"> 2021; </w:t>
      </w:r>
      <w:r w:rsidRPr="00A35011">
        <w:rPr>
          <w:b/>
        </w:rPr>
        <w:t>184</w:t>
      </w:r>
      <w:r w:rsidRPr="00A35011">
        <w:t>(1): 149-68 e17.</w:t>
      </w:r>
    </w:p>
    <w:p w:rsidR="006419BC" w:rsidRPr="00A35011" w:rsidRDefault="006419BC" w:rsidP="00A35011">
      <w:pPr>
        <w:pStyle w:val="EndNoteBibliography"/>
        <w:spacing w:after="0"/>
      </w:pPr>
      <w:r w:rsidRPr="00A35011">
        <w:t>51.</w:t>
      </w:r>
      <w:r w:rsidRPr="00A35011">
        <w:tab/>
        <w:t xml:space="preserve">Nakamura H, Kinjo T, Arakaki W, Miyagi K, Tateyama M, Fujita J. Serum levels of receptor-interacting protein kinase-3 in patients with COVID-19. </w:t>
      </w:r>
      <w:r w:rsidRPr="00A35011">
        <w:rPr>
          <w:i/>
        </w:rPr>
        <w:t>Crit Care</w:t>
      </w:r>
      <w:r w:rsidRPr="00A35011">
        <w:t xml:space="preserve"> 2020; </w:t>
      </w:r>
      <w:r w:rsidRPr="00A35011">
        <w:rPr>
          <w:b/>
        </w:rPr>
        <w:t>24</w:t>
      </w:r>
      <w:r w:rsidRPr="00A35011">
        <w:t>(1): 484.</w:t>
      </w:r>
    </w:p>
    <w:p w:rsidR="006419BC" w:rsidRPr="006419BC" w:rsidRDefault="006419BC" w:rsidP="00A35011">
      <w:pPr>
        <w:pStyle w:val="EndNoteBibliography"/>
        <w:spacing w:after="0"/>
        <w:rPr>
          <w:lang w:val="fr-FR"/>
        </w:rPr>
      </w:pPr>
      <w:r w:rsidRPr="00A35011">
        <w:t>52.</w:t>
      </w:r>
      <w:r w:rsidRPr="00A35011">
        <w:tab/>
        <w:t xml:space="preserve">Linkermann A, Stockwell BR, Krautwald S, Anders HJ. Regulated cell death and inflammation: an auto-amplification loop causes organ failure. </w:t>
      </w:r>
      <w:r w:rsidRPr="006419BC">
        <w:rPr>
          <w:i/>
          <w:lang w:val="fr-FR"/>
        </w:rPr>
        <w:t>Nat Rev Immunol</w:t>
      </w:r>
      <w:r w:rsidRPr="006419BC">
        <w:rPr>
          <w:lang w:val="fr-FR"/>
        </w:rPr>
        <w:t xml:space="preserve"> 2014; </w:t>
      </w:r>
      <w:r w:rsidRPr="006419BC">
        <w:rPr>
          <w:b/>
          <w:lang w:val="fr-FR"/>
        </w:rPr>
        <w:t>14</w:t>
      </w:r>
      <w:r w:rsidRPr="006419BC">
        <w:rPr>
          <w:lang w:val="fr-FR"/>
        </w:rPr>
        <w:t>(11): 759-67.</w:t>
      </w:r>
    </w:p>
    <w:p w:rsidR="006419BC" w:rsidRPr="00A35011" w:rsidRDefault="006419BC" w:rsidP="00A35011">
      <w:pPr>
        <w:pStyle w:val="EndNoteBibliography"/>
        <w:spacing w:after="0"/>
      </w:pPr>
      <w:r w:rsidRPr="006419BC">
        <w:rPr>
          <w:lang w:val="fr-FR"/>
        </w:rPr>
        <w:t>53.</w:t>
      </w:r>
      <w:r w:rsidRPr="006419BC">
        <w:rPr>
          <w:lang w:val="fr-FR"/>
        </w:rPr>
        <w:tab/>
        <w:t xml:space="preserve">Li Y, Zhang Z, Yang L, et al. </w:t>
      </w:r>
      <w:r w:rsidRPr="00A35011">
        <w:t xml:space="preserve">The MERS-CoV Receptor DPP4 as a Candidate Binding Target of the SARS-CoV-2 Spike. </w:t>
      </w:r>
      <w:r w:rsidRPr="00A35011">
        <w:rPr>
          <w:i/>
        </w:rPr>
        <w:t>iScience</w:t>
      </w:r>
      <w:r w:rsidRPr="00A35011">
        <w:t xml:space="preserve"> 2020; </w:t>
      </w:r>
      <w:r w:rsidRPr="00A35011">
        <w:rPr>
          <w:b/>
        </w:rPr>
        <w:t>23</w:t>
      </w:r>
      <w:r w:rsidRPr="00A35011">
        <w:t>(6): 101160.</w:t>
      </w:r>
    </w:p>
    <w:p w:rsidR="006419BC" w:rsidRPr="00A35011" w:rsidRDefault="006419BC" w:rsidP="00A35011">
      <w:pPr>
        <w:pStyle w:val="EndNoteBibliography"/>
        <w:spacing w:after="0"/>
      </w:pPr>
      <w:r w:rsidRPr="00A35011">
        <w:t>54.</w:t>
      </w:r>
      <w:r w:rsidRPr="00A35011">
        <w:tab/>
        <w:t xml:space="preserve">Lambeir AM, Durinx C, Scharpe S, De Meester I. Dipeptidyl-peptidase IV from bench to bedside: an update on structural properties, functions, and clinical aspects of the enzyme DPP IV. </w:t>
      </w:r>
      <w:r w:rsidRPr="00A35011">
        <w:rPr>
          <w:i/>
        </w:rPr>
        <w:t>Crit Rev Clin Lab Sci</w:t>
      </w:r>
      <w:r w:rsidRPr="00A35011">
        <w:t xml:space="preserve"> 2003; </w:t>
      </w:r>
      <w:r w:rsidRPr="00A35011">
        <w:rPr>
          <w:b/>
        </w:rPr>
        <w:t>40</w:t>
      </w:r>
      <w:r w:rsidRPr="00A35011">
        <w:t>(3): 209-94.</w:t>
      </w:r>
    </w:p>
    <w:p w:rsidR="006419BC" w:rsidRPr="00A35011" w:rsidRDefault="006419BC" w:rsidP="00A35011">
      <w:pPr>
        <w:pStyle w:val="EndNoteBibliography"/>
        <w:spacing w:after="0"/>
      </w:pPr>
      <w:r w:rsidRPr="00A35011">
        <w:t>55.</w:t>
      </w:r>
      <w:r w:rsidRPr="00A35011">
        <w:tab/>
        <w:t xml:space="preserve">Mulvihill EE, Drucker DJ. Pharmacology, physiology, and mechanisms of action of dipeptidyl peptidase-4 inhibitors. </w:t>
      </w:r>
      <w:r w:rsidRPr="00A35011">
        <w:rPr>
          <w:i/>
        </w:rPr>
        <w:t>Endocr Rev</w:t>
      </w:r>
      <w:r w:rsidRPr="00A35011">
        <w:t xml:space="preserve"> 2014; </w:t>
      </w:r>
      <w:r w:rsidRPr="00A35011">
        <w:rPr>
          <w:b/>
        </w:rPr>
        <w:t>35</w:t>
      </w:r>
      <w:r w:rsidRPr="00A35011">
        <w:t>(6): 992-1019.</w:t>
      </w:r>
    </w:p>
    <w:p w:rsidR="006419BC" w:rsidRPr="00A35011" w:rsidRDefault="006419BC" w:rsidP="00A35011">
      <w:pPr>
        <w:pStyle w:val="EndNoteBibliography"/>
        <w:spacing w:after="0"/>
      </w:pPr>
      <w:r w:rsidRPr="00A35011">
        <w:t>56.</w:t>
      </w:r>
      <w:r w:rsidRPr="00A35011">
        <w:tab/>
        <w:t xml:space="preserve">Drucker DJ. Coronavirus Infections and Type 2 Diabetes-Shared Pathways with Therapeutic Implications. </w:t>
      </w:r>
      <w:r w:rsidRPr="00A35011">
        <w:rPr>
          <w:i/>
        </w:rPr>
        <w:t>Endocr Rev</w:t>
      </w:r>
      <w:r w:rsidRPr="00A35011">
        <w:t xml:space="preserve"> 2020; </w:t>
      </w:r>
      <w:r w:rsidRPr="00A35011">
        <w:rPr>
          <w:b/>
        </w:rPr>
        <w:t>41</w:t>
      </w:r>
      <w:r w:rsidRPr="00A35011">
        <w:t>(3).</w:t>
      </w:r>
    </w:p>
    <w:p w:rsidR="006419BC" w:rsidRPr="00A35011" w:rsidRDefault="006419BC" w:rsidP="00A35011">
      <w:pPr>
        <w:pStyle w:val="EndNoteBibliography"/>
        <w:spacing w:after="0"/>
      </w:pPr>
      <w:r w:rsidRPr="00A35011">
        <w:t>57.</w:t>
      </w:r>
      <w:r w:rsidRPr="00A35011">
        <w:tab/>
        <w:t xml:space="preserve">Khunti K, Knighton P, Zaccardi F, et al. Prescription of glucose-lowering therapies and risk of COVID-19 mortality in people with type 2 diabetes: a nationwide observational study in England. </w:t>
      </w:r>
      <w:r w:rsidRPr="00A35011">
        <w:rPr>
          <w:i/>
        </w:rPr>
        <w:t>Lancet Diabetes Endocrinol</w:t>
      </w:r>
      <w:r w:rsidRPr="00A35011">
        <w:t xml:space="preserve"> 2021; </w:t>
      </w:r>
      <w:r w:rsidRPr="00A35011">
        <w:rPr>
          <w:b/>
        </w:rPr>
        <w:t>9</w:t>
      </w:r>
      <w:r w:rsidRPr="00A35011">
        <w:t>(5): 293-303.</w:t>
      </w:r>
    </w:p>
    <w:p w:rsidR="006419BC" w:rsidRPr="00A35011" w:rsidRDefault="006419BC" w:rsidP="00A35011">
      <w:pPr>
        <w:pStyle w:val="EndNoteBibliography"/>
        <w:spacing w:after="0"/>
      </w:pPr>
      <w:r w:rsidRPr="00A35011">
        <w:t>58.</w:t>
      </w:r>
      <w:r w:rsidRPr="00A35011">
        <w:tab/>
        <w:t xml:space="preserve">Pal R, Banerjee M, Mukherjee S, Bhogal RS, Kaur A, Bhadada SK. Dipeptidyl peptidase-4 inhibitor use and mortality in COVID-19 patients with diabetes mellitus: an updated systematic review and meta-analysis. </w:t>
      </w:r>
      <w:r w:rsidRPr="00A35011">
        <w:rPr>
          <w:i/>
        </w:rPr>
        <w:t>Ther Adv Endocrinol Metab</w:t>
      </w:r>
      <w:r w:rsidRPr="00A35011">
        <w:t xml:space="preserve"> 2021; </w:t>
      </w:r>
      <w:r w:rsidRPr="00A35011">
        <w:rPr>
          <w:b/>
        </w:rPr>
        <w:t>12</w:t>
      </w:r>
      <w:r w:rsidRPr="00A35011">
        <w:t>: 2042018821996482.</w:t>
      </w:r>
    </w:p>
    <w:p w:rsidR="006419BC" w:rsidRPr="006419BC" w:rsidRDefault="006419BC" w:rsidP="00A35011">
      <w:pPr>
        <w:pStyle w:val="EndNoteBibliography"/>
        <w:spacing w:after="0"/>
        <w:rPr>
          <w:lang w:val="fr-FR"/>
        </w:rPr>
      </w:pPr>
      <w:r w:rsidRPr="00A35011">
        <w:t>59.</w:t>
      </w:r>
      <w:r w:rsidRPr="00A35011">
        <w:tab/>
        <w:t xml:space="preserve">Rhee SY, Lee J, Nam H, Kyoung DS, Shin DW, Kim DJ. Effects of a DPP-4 Inhibitor and RAS Blockade on Clinical Outcomes of Patients with Diabetes and COVID-19. </w:t>
      </w:r>
      <w:r w:rsidRPr="006419BC">
        <w:rPr>
          <w:i/>
          <w:lang w:val="fr-FR"/>
        </w:rPr>
        <w:t>Diabetes Metab J</w:t>
      </w:r>
      <w:r w:rsidRPr="006419BC">
        <w:rPr>
          <w:lang w:val="fr-FR"/>
        </w:rPr>
        <w:t xml:space="preserve"> 2021; </w:t>
      </w:r>
      <w:r w:rsidRPr="006419BC">
        <w:rPr>
          <w:b/>
          <w:lang w:val="fr-FR"/>
        </w:rPr>
        <w:t>45</w:t>
      </w:r>
      <w:r w:rsidRPr="006419BC">
        <w:rPr>
          <w:lang w:val="fr-FR"/>
        </w:rPr>
        <w:t>(2): 251-9.</w:t>
      </w:r>
    </w:p>
    <w:p w:rsidR="006419BC" w:rsidRPr="00A35011" w:rsidRDefault="006419BC" w:rsidP="00A35011">
      <w:pPr>
        <w:pStyle w:val="EndNoteBibliography"/>
        <w:spacing w:after="0"/>
      </w:pPr>
      <w:r w:rsidRPr="006419BC">
        <w:rPr>
          <w:lang w:val="fr-FR"/>
        </w:rPr>
        <w:t>60.</w:t>
      </w:r>
      <w:r w:rsidRPr="006419BC">
        <w:rPr>
          <w:lang w:val="fr-FR"/>
        </w:rPr>
        <w:tab/>
        <w:t xml:space="preserve">Seidu S, Gillies C, Zaccardi F, et al. </w:t>
      </w:r>
      <w:r w:rsidRPr="00A35011">
        <w:t xml:space="preserve">The impact of obesity on severe disease and mortality in people with SARS-CoV-2: A systematic review and meta-analysis. </w:t>
      </w:r>
      <w:r w:rsidRPr="00A35011">
        <w:rPr>
          <w:i/>
        </w:rPr>
        <w:t>Endocrinol Diabetes Metab</w:t>
      </w:r>
      <w:r w:rsidRPr="00A35011">
        <w:t xml:space="preserve"> 2020: e00176.</w:t>
      </w:r>
    </w:p>
    <w:p w:rsidR="006419BC" w:rsidRPr="00A35011" w:rsidRDefault="006419BC" w:rsidP="00A35011">
      <w:pPr>
        <w:pStyle w:val="EndNoteBibliography"/>
        <w:spacing w:after="0"/>
      </w:pPr>
      <w:r w:rsidRPr="00A35011">
        <w:t>61.</w:t>
      </w:r>
      <w:r w:rsidRPr="00A35011">
        <w:tab/>
        <w:t xml:space="preserve">Ayres JS. A metabolic handbook for the COVID-19 pandemic. </w:t>
      </w:r>
      <w:r w:rsidRPr="00A35011">
        <w:rPr>
          <w:i/>
        </w:rPr>
        <w:t>Nat Metab</w:t>
      </w:r>
      <w:r w:rsidRPr="00A35011">
        <w:t xml:space="preserve"> 2020; </w:t>
      </w:r>
      <w:r w:rsidRPr="00A35011">
        <w:rPr>
          <w:b/>
        </w:rPr>
        <w:t>2</w:t>
      </w:r>
      <w:r w:rsidRPr="00A35011">
        <w:t>(7): 572-85.</w:t>
      </w:r>
    </w:p>
    <w:p w:rsidR="006419BC" w:rsidRPr="00A35011" w:rsidRDefault="006419BC" w:rsidP="00A35011">
      <w:pPr>
        <w:pStyle w:val="EndNoteBibliography"/>
        <w:spacing w:after="0"/>
      </w:pPr>
      <w:r w:rsidRPr="00A35011">
        <w:t>62.</w:t>
      </w:r>
      <w:r w:rsidRPr="00A35011">
        <w:tab/>
        <w:t xml:space="preserve">Stefan N. Causes, consequences, and treatment of metabolically unhealthy fat distribution. </w:t>
      </w:r>
      <w:r w:rsidRPr="00A35011">
        <w:rPr>
          <w:i/>
        </w:rPr>
        <w:t>Lancet Diabetes Endocrinol</w:t>
      </w:r>
      <w:r w:rsidRPr="00A35011">
        <w:t xml:space="preserve"> 2020; </w:t>
      </w:r>
      <w:r w:rsidRPr="00A35011">
        <w:rPr>
          <w:b/>
        </w:rPr>
        <w:t>8</w:t>
      </w:r>
      <w:r w:rsidRPr="00A35011">
        <w:t>(7): 616-27.</w:t>
      </w:r>
    </w:p>
    <w:p w:rsidR="006419BC" w:rsidRPr="006419BC" w:rsidRDefault="006419BC" w:rsidP="00A35011">
      <w:pPr>
        <w:pStyle w:val="EndNoteBibliography"/>
        <w:spacing w:after="0"/>
        <w:rPr>
          <w:lang w:val="fr-FR"/>
        </w:rPr>
      </w:pPr>
      <w:r w:rsidRPr="00A35011">
        <w:t>63.</w:t>
      </w:r>
      <w:r w:rsidRPr="00A35011">
        <w:tab/>
        <w:t xml:space="preserve">Akhmerov A, Marban E. COVID-19 and the Heart. </w:t>
      </w:r>
      <w:r w:rsidRPr="006419BC">
        <w:rPr>
          <w:i/>
          <w:lang w:val="fr-FR"/>
        </w:rPr>
        <w:t>Circ Res</w:t>
      </w:r>
      <w:r w:rsidRPr="006419BC">
        <w:rPr>
          <w:lang w:val="fr-FR"/>
        </w:rPr>
        <w:t xml:space="preserve"> 2020; </w:t>
      </w:r>
      <w:r w:rsidRPr="006419BC">
        <w:rPr>
          <w:b/>
          <w:lang w:val="fr-FR"/>
        </w:rPr>
        <w:t>126</w:t>
      </w:r>
      <w:r w:rsidRPr="006419BC">
        <w:rPr>
          <w:lang w:val="fr-FR"/>
        </w:rPr>
        <w:t>(10): 1443-55.</w:t>
      </w:r>
    </w:p>
    <w:p w:rsidR="006419BC" w:rsidRPr="00A35011" w:rsidRDefault="006419BC" w:rsidP="00A35011">
      <w:pPr>
        <w:pStyle w:val="EndNoteBibliography"/>
        <w:spacing w:after="0"/>
      </w:pPr>
      <w:r w:rsidRPr="006419BC">
        <w:rPr>
          <w:lang w:val="fr-FR"/>
        </w:rPr>
        <w:lastRenderedPageBreak/>
        <w:t>64.</w:t>
      </w:r>
      <w:r w:rsidRPr="006419BC">
        <w:rPr>
          <w:lang w:val="fr-FR"/>
        </w:rPr>
        <w:tab/>
        <w:t xml:space="preserve">Avula A, Nalleballe K, Narula N, et al. </w:t>
      </w:r>
      <w:r w:rsidRPr="00A35011">
        <w:t xml:space="preserve">COVID-19 presenting as stroke. </w:t>
      </w:r>
      <w:r w:rsidRPr="00A35011">
        <w:rPr>
          <w:i/>
        </w:rPr>
        <w:t>Brain Behav Immun</w:t>
      </w:r>
      <w:r w:rsidRPr="00A35011">
        <w:t xml:space="preserve"> 2020; </w:t>
      </w:r>
      <w:r w:rsidRPr="00A35011">
        <w:rPr>
          <w:b/>
        </w:rPr>
        <w:t>87</w:t>
      </w:r>
      <w:r w:rsidRPr="00A35011">
        <w:t>: 115-9.</w:t>
      </w:r>
    </w:p>
    <w:p w:rsidR="006419BC" w:rsidRPr="00A35011" w:rsidRDefault="006419BC" w:rsidP="00A35011">
      <w:pPr>
        <w:pStyle w:val="EndNoteBibliography"/>
        <w:spacing w:after="0"/>
      </w:pPr>
      <w:r w:rsidRPr="006419BC">
        <w:rPr>
          <w:lang w:val="de-DE"/>
        </w:rPr>
        <w:t>65.</w:t>
      </w:r>
      <w:r w:rsidRPr="006419BC">
        <w:rPr>
          <w:lang w:val="de-DE"/>
        </w:rPr>
        <w:tab/>
        <w:t xml:space="preserve">Boucher J, Kleinridders A, Kahn CR. </w:t>
      </w:r>
      <w:r w:rsidRPr="00A35011">
        <w:t xml:space="preserve">Insulin receptor signaling in normal and insulin-resistant states. </w:t>
      </w:r>
      <w:r w:rsidRPr="00A35011">
        <w:rPr>
          <w:i/>
        </w:rPr>
        <w:t>Cold Spring Harb Perspect Biol</w:t>
      </w:r>
      <w:r w:rsidRPr="00A35011">
        <w:t xml:space="preserve"> 2014; </w:t>
      </w:r>
      <w:r w:rsidRPr="00A35011">
        <w:rPr>
          <w:b/>
        </w:rPr>
        <w:t>6</w:t>
      </w:r>
      <w:r w:rsidRPr="00A35011">
        <w:t>(1).</w:t>
      </w:r>
    </w:p>
    <w:p w:rsidR="006419BC" w:rsidRPr="006419BC" w:rsidRDefault="006419BC" w:rsidP="00A35011">
      <w:pPr>
        <w:pStyle w:val="EndNoteBibliography"/>
        <w:spacing w:after="0"/>
        <w:rPr>
          <w:lang w:val="de-DE"/>
        </w:rPr>
      </w:pPr>
      <w:r w:rsidRPr="00A35011">
        <w:t>66.</w:t>
      </w:r>
      <w:r w:rsidRPr="00A35011">
        <w:tab/>
        <w:t xml:space="preserve">Amin MN, Hussain MS, Sarwar MS, et al. How the association between obesity and inflammation may lead to insulin resistance and cancer. </w:t>
      </w:r>
      <w:r w:rsidRPr="006419BC">
        <w:rPr>
          <w:i/>
          <w:lang w:val="de-DE"/>
        </w:rPr>
        <w:t>Diabetes Metab Syndr</w:t>
      </w:r>
      <w:r w:rsidRPr="006419BC">
        <w:rPr>
          <w:lang w:val="de-DE"/>
        </w:rPr>
        <w:t xml:space="preserve"> 2019; </w:t>
      </w:r>
      <w:r w:rsidRPr="006419BC">
        <w:rPr>
          <w:b/>
          <w:lang w:val="de-DE"/>
        </w:rPr>
        <w:t>13</w:t>
      </w:r>
      <w:r w:rsidRPr="006419BC">
        <w:rPr>
          <w:lang w:val="de-DE"/>
        </w:rPr>
        <w:t>(2): 1213-24.</w:t>
      </w:r>
    </w:p>
    <w:p w:rsidR="006419BC" w:rsidRPr="00A35011" w:rsidRDefault="006419BC" w:rsidP="00A35011">
      <w:pPr>
        <w:pStyle w:val="EndNoteBibliography"/>
        <w:spacing w:after="0"/>
      </w:pPr>
      <w:r w:rsidRPr="006419BC">
        <w:rPr>
          <w:lang w:val="de-DE"/>
        </w:rPr>
        <w:t>67.</w:t>
      </w:r>
      <w:r w:rsidRPr="006419BC">
        <w:rPr>
          <w:lang w:val="de-DE"/>
        </w:rPr>
        <w:tab/>
        <w:t xml:space="preserve">Lauterbach MA, Wunderlich FT. Macrophage function in obesity-induced inflammation and insulin resistance. </w:t>
      </w:r>
      <w:r w:rsidRPr="00A35011">
        <w:rPr>
          <w:i/>
        </w:rPr>
        <w:t>Pflugers Arch</w:t>
      </w:r>
      <w:r w:rsidRPr="00A35011">
        <w:t xml:space="preserve"> 2017; </w:t>
      </w:r>
      <w:r w:rsidRPr="00A35011">
        <w:rPr>
          <w:b/>
        </w:rPr>
        <w:t>469</w:t>
      </w:r>
      <w:r w:rsidRPr="00A35011">
        <w:t>(3-4): 385-96.</w:t>
      </w:r>
    </w:p>
    <w:p w:rsidR="006419BC" w:rsidRPr="00A35011" w:rsidRDefault="006419BC" w:rsidP="00A35011">
      <w:pPr>
        <w:pStyle w:val="EndNoteBibliography"/>
        <w:spacing w:after="0"/>
      </w:pPr>
      <w:r w:rsidRPr="00A35011">
        <w:t>68.</w:t>
      </w:r>
      <w:r w:rsidRPr="00A35011">
        <w:tab/>
        <w:t xml:space="preserve">Santos A, Magro DO, Evangelista-Poderoso R, Saad MJA. Diabetes, obesity, and insulin resistance in COVID-19: molecular interrelationship and therapeutic implications. </w:t>
      </w:r>
      <w:r w:rsidRPr="00A35011">
        <w:rPr>
          <w:i/>
        </w:rPr>
        <w:t>Diabetol Metab Syndr</w:t>
      </w:r>
      <w:r w:rsidRPr="00A35011">
        <w:t xml:space="preserve"> 2021; </w:t>
      </w:r>
      <w:r w:rsidRPr="00A35011">
        <w:rPr>
          <w:b/>
        </w:rPr>
        <w:t>13</w:t>
      </w:r>
      <w:r w:rsidRPr="00A35011">
        <w:t>(1): 23.</w:t>
      </w:r>
    </w:p>
    <w:p w:rsidR="006419BC" w:rsidRPr="00A35011" w:rsidRDefault="006419BC" w:rsidP="00A35011">
      <w:pPr>
        <w:pStyle w:val="EndNoteBibliography"/>
        <w:spacing w:after="0"/>
      </w:pPr>
      <w:r w:rsidRPr="00A35011">
        <w:t>69.</w:t>
      </w:r>
      <w:r w:rsidRPr="00A35011">
        <w:tab/>
        <w:t xml:space="preserve">Sindhu S, Thomas R, Shihab P, Sriraman D, Behbehani K, Ahmad R. Obesity Is a Positive Modulator of IL-6R and IL-6 Expression in the Subcutaneous Adipose Tissue: Significance for Metabolic Inflammation. </w:t>
      </w:r>
      <w:r w:rsidRPr="00A35011">
        <w:rPr>
          <w:i/>
        </w:rPr>
        <w:t>PLoS One</w:t>
      </w:r>
      <w:r w:rsidRPr="00A35011">
        <w:t xml:space="preserve"> 2015; </w:t>
      </w:r>
      <w:r w:rsidRPr="00A35011">
        <w:rPr>
          <w:b/>
        </w:rPr>
        <w:t>10</w:t>
      </w:r>
      <w:r w:rsidRPr="00A35011">
        <w:t>(7): e0133494.</w:t>
      </w:r>
    </w:p>
    <w:p w:rsidR="006419BC" w:rsidRPr="00A35011" w:rsidRDefault="006419BC" w:rsidP="00A35011">
      <w:pPr>
        <w:pStyle w:val="EndNoteBibliography"/>
        <w:spacing w:after="0"/>
      </w:pPr>
      <w:r w:rsidRPr="00A35011">
        <w:t>70.</w:t>
      </w:r>
      <w:r w:rsidRPr="00A35011">
        <w:tab/>
        <w:t xml:space="preserve">Esser N, Legrand-Poels S, Piette J, Scheen AJ, Paquot N. Inflammation as a link between obesity, metabolic syndrome and type 2 diabetes. </w:t>
      </w:r>
      <w:r w:rsidRPr="00A35011">
        <w:rPr>
          <w:i/>
        </w:rPr>
        <w:t>Diabetes Res Clin Pract</w:t>
      </w:r>
      <w:r w:rsidRPr="00A35011">
        <w:t xml:space="preserve"> 2014; </w:t>
      </w:r>
      <w:r w:rsidRPr="00A35011">
        <w:rPr>
          <w:b/>
        </w:rPr>
        <w:t>105</w:t>
      </w:r>
      <w:r w:rsidRPr="00A35011">
        <w:t>(2): 141-50.</w:t>
      </w:r>
    </w:p>
    <w:p w:rsidR="006419BC" w:rsidRPr="006419BC" w:rsidRDefault="006419BC" w:rsidP="00A35011">
      <w:pPr>
        <w:pStyle w:val="EndNoteBibliography"/>
        <w:spacing w:after="0"/>
        <w:rPr>
          <w:lang w:val="de-DE"/>
        </w:rPr>
      </w:pPr>
      <w:r w:rsidRPr="00A35011">
        <w:t>71.</w:t>
      </w:r>
      <w:r w:rsidRPr="00A35011">
        <w:tab/>
        <w:t xml:space="preserve">Schwarz PEH, Timpel P, Harst L, et al. Blood Sugar Regulation for Cardiovascular Health Promotion and Disease Prevention: JACC Health Promotion Series. </w:t>
      </w:r>
      <w:r w:rsidRPr="006419BC">
        <w:rPr>
          <w:i/>
          <w:lang w:val="de-DE"/>
        </w:rPr>
        <w:t>J Am Coll Cardiol</w:t>
      </w:r>
      <w:r w:rsidRPr="006419BC">
        <w:rPr>
          <w:lang w:val="de-DE"/>
        </w:rPr>
        <w:t xml:space="preserve"> 2018; </w:t>
      </w:r>
      <w:r w:rsidRPr="006419BC">
        <w:rPr>
          <w:b/>
          <w:lang w:val="de-DE"/>
        </w:rPr>
        <w:t>72</w:t>
      </w:r>
      <w:r w:rsidRPr="006419BC">
        <w:rPr>
          <w:lang w:val="de-DE"/>
        </w:rPr>
        <w:t>(15): 1829-44.</w:t>
      </w:r>
    </w:p>
    <w:p w:rsidR="006419BC" w:rsidRPr="00A35011" w:rsidRDefault="006419BC" w:rsidP="00A35011">
      <w:pPr>
        <w:pStyle w:val="EndNoteBibliography"/>
        <w:spacing w:after="0"/>
      </w:pPr>
      <w:r w:rsidRPr="006419BC">
        <w:rPr>
          <w:lang w:val="de-DE"/>
        </w:rPr>
        <w:t>72.</w:t>
      </w:r>
      <w:r w:rsidRPr="006419BC">
        <w:rPr>
          <w:lang w:val="de-DE"/>
        </w:rPr>
        <w:tab/>
        <w:t xml:space="preserve">Marx C, Ehrhart-Bornstein M, Scherbaum WA, Bornstein SR. </w:t>
      </w:r>
      <w:r w:rsidRPr="00A35011">
        <w:t xml:space="preserve">Regulation of adrenocortical function by cytokines--relevance for immune-endocrine interaction. </w:t>
      </w:r>
      <w:r w:rsidRPr="00A35011">
        <w:rPr>
          <w:i/>
        </w:rPr>
        <w:t>Horm Metab Res</w:t>
      </w:r>
      <w:r w:rsidRPr="00A35011">
        <w:t xml:space="preserve"> 1998; </w:t>
      </w:r>
      <w:r w:rsidRPr="00A35011">
        <w:rPr>
          <w:b/>
        </w:rPr>
        <w:t>30</w:t>
      </w:r>
      <w:r w:rsidRPr="00A35011">
        <w:t>(6-7): 416-20.</w:t>
      </w:r>
    </w:p>
    <w:p w:rsidR="006419BC" w:rsidRPr="00A35011" w:rsidRDefault="006419BC" w:rsidP="00A35011">
      <w:pPr>
        <w:pStyle w:val="EndNoteBibliography"/>
        <w:spacing w:after="0"/>
      </w:pPr>
      <w:r w:rsidRPr="00A35011">
        <w:t>73.</w:t>
      </w:r>
      <w:r w:rsidRPr="00A35011">
        <w:tab/>
        <w:t xml:space="preserve">Group RC, Horby P, Lim WS, et al. Dexamethasone in Hospitalized Patients with Covid-19. </w:t>
      </w:r>
      <w:r w:rsidRPr="00A35011">
        <w:rPr>
          <w:i/>
        </w:rPr>
        <w:t>New England Journal of Medicine</w:t>
      </w:r>
      <w:r w:rsidRPr="00A35011">
        <w:t xml:space="preserve"> 2021; </w:t>
      </w:r>
      <w:r w:rsidRPr="00A35011">
        <w:rPr>
          <w:b/>
        </w:rPr>
        <w:t>384</w:t>
      </w:r>
      <w:r w:rsidRPr="00A35011">
        <w:t>(8): 693-704.</w:t>
      </w:r>
    </w:p>
    <w:p w:rsidR="006419BC" w:rsidRPr="00A35011" w:rsidRDefault="006419BC" w:rsidP="00A35011">
      <w:pPr>
        <w:pStyle w:val="EndNoteBibliography"/>
        <w:spacing w:after="0"/>
      </w:pPr>
      <w:r w:rsidRPr="00A35011">
        <w:t>74.</w:t>
      </w:r>
      <w:r w:rsidRPr="00A35011">
        <w:tab/>
        <w:t xml:space="preserve">Steenblock C, Todorov V, Kanczkowski W, et al. Severe acute respiratory syndrome coronavirus 2 (SARS-CoV-2) and the neuroendocrine stress axis. </w:t>
      </w:r>
      <w:r w:rsidRPr="00A35011">
        <w:rPr>
          <w:i/>
        </w:rPr>
        <w:t>Mol Psychiatry</w:t>
      </w:r>
      <w:r w:rsidRPr="00A35011">
        <w:t xml:space="preserve"> 2020; </w:t>
      </w:r>
      <w:r w:rsidRPr="00A35011">
        <w:rPr>
          <w:b/>
        </w:rPr>
        <w:t>25</w:t>
      </w:r>
      <w:r w:rsidRPr="00A35011">
        <w:t>(8): 1611-7.</w:t>
      </w:r>
    </w:p>
    <w:p w:rsidR="006419BC" w:rsidRPr="00A35011" w:rsidRDefault="006419BC" w:rsidP="00A35011">
      <w:pPr>
        <w:pStyle w:val="EndNoteBibliography"/>
        <w:spacing w:after="0"/>
      </w:pPr>
      <w:r w:rsidRPr="00A35011">
        <w:t>75.</w:t>
      </w:r>
      <w:r w:rsidRPr="00A35011">
        <w:tab/>
        <w:t xml:space="preserve">Ramakrishnan S, Nicolau DV, Jr., Langford B, et al. Inhaled budesonide in the treatment of early COVID-19 (STOIC): a phase 2, open-label, randomised controlled trial. </w:t>
      </w:r>
      <w:r w:rsidRPr="00A35011">
        <w:rPr>
          <w:i/>
        </w:rPr>
        <w:t>Lancet Respir Med</w:t>
      </w:r>
      <w:r w:rsidRPr="00A35011">
        <w:t xml:space="preserve"> 2021; </w:t>
      </w:r>
      <w:r w:rsidRPr="00A35011">
        <w:rPr>
          <w:b/>
        </w:rPr>
        <w:t>9</w:t>
      </w:r>
      <w:r w:rsidRPr="00A35011">
        <w:t>(7): 763-72.</w:t>
      </w:r>
    </w:p>
    <w:p w:rsidR="006419BC" w:rsidRPr="00A35011" w:rsidRDefault="006419BC" w:rsidP="00A35011">
      <w:pPr>
        <w:pStyle w:val="EndNoteBibliography"/>
        <w:spacing w:after="0"/>
      </w:pPr>
      <w:r w:rsidRPr="00A35011">
        <w:t>76.</w:t>
      </w:r>
      <w:r w:rsidRPr="00A35011">
        <w:tab/>
        <w:t xml:space="preserve">Isidori AM, Pofi R, Hasenmajer V, Lenzi A, Pivonello R. Use of glucocorticoids in patients with adrenal insufficiency and COVID-19 infection. </w:t>
      </w:r>
      <w:r w:rsidRPr="00A35011">
        <w:rPr>
          <w:i/>
        </w:rPr>
        <w:t>Lancet Diabetes Endocrinol</w:t>
      </w:r>
      <w:r w:rsidRPr="00A35011">
        <w:t xml:space="preserve"> 2020; </w:t>
      </w:r>
      <w:r w:rsidRPr="00A35011">
        <w:rPr>
          <w:b/>
        </w:rPr>
        <w:t>8</w:t>
      </w:r>
      <w:r w:rsidRPr="00A35011">
        <w:t>(6): 472-3.</w:t>
      </w:r>
    </w:p>
    <w:p w:rsidR="006419BC" w:rsidRPr="006419BC" w:rsidRDefault="006419BC" w:rsidP="00A35011">
      <w:pPr>
        <w:pStyle w:val="EndNoteBibliography"/>
        <w:spacing w:after="0"/>
        <w:rPr>
          <w:lang w:val="fr-FR"/>
        </w:rPr>
      </w:pPr>
      <w:r w:rsidRPr="00A35011">
        <w:t>77.</w:t>
      </w:r>
      <w:r w:rsidRPr="00A35011">
        <w:tab/>
        <w:t xml:space="preserve">Stumpf J, Siepmann T, Lindner T, et al. Humoral and cellular immunity to SARS-CoV-2 vaccination in renal transplant versus dialysis patients: A prospective, multicenter observational study using mRNA-1273 or BNT162b2 mRNA vaccine. </w:t>
      </w:r>
      <w:r w:rsidRPr="006419BC">
        <w:rPr>
          <w:i/>
          <w:lang w:val="fr-FR"/>
        </w:rPr>
        <w:t>Lancet Reg Health Eur</w:t>
      </w:r>
      <w:r w:rsidRPr="006419BC">
        <w:rPr>
          <w:lang w:val="fr-FR"/>
        </w:rPr>
        <w:t xml:space="preserve"> 2021: 100178.</w:t>
      </w:r>
    </w:p>
    <w:p w:rsidR="006419BC" w:rsidRPr="00A35011" w:rsidRDefault="006419BC" w:rsidP="00A35011">
      <w:pPr>
        <w:pStyle w:val="EndNoteBibliography"/>
        <w:spacing w:after="0"/>
      </w:pPr>
      <w:r w:rsidRPr="006419BC">
        <w:rPr>
          <w:lang w:val="fr-FR"/>
        </w:rPr>
        <w:t>78.</w:t>
      </w:r>
      <w:r w:rsidRPr="006419BC">
        <w:rPr>
          <w:lang w:val="fr-FR"/>
        </w:rPr>
        <w:tab/>
        <w:t xml:space="preserve">Conti P, Ronconi G, Caraffa A, et al. </w:t>
      </w:r>
      <w:r w:rsidRPr="00A35011">
        <w:t xml:space="preserve">Induction of pro-inflammatory cytokines (IL-1 and IL-6) and lung inflammation by Coronavirus-19 (COVI-19 or SARS-CoV-2): anti-inflammatory strategies. </w:t>
      </w:r>
      <w:r w:rsidRPr="00A35011">
        <w:rPr>
          <w:i/>
        </w:rPr>
        <w:t>J Biol Regul Homeost Agents</w:t>
      </w:r>
      <w:r w:rsidRPr="00A35011">
        <w:t xml:space="preserve"> 2020; </w:t>
      </w:r>
      <w:r w:rsidRPr="00A35011">
        <w:rPr>
          <w:b/>
        </w:rPr>
        <w:t>34</w:t>
      </w:r>
      <w:r w:rsidRPr="00A35011">
        <w:t>(2): 327-31.</w:t>
      </w:r>
    </w:p>
    <w:p w:rsidR="006419BC" w:rsidRPr="00A35011" w:rsidRDefault="006419BC" w:rsidP="00A35011">
      <w:pPr>
        <w:pStyle w:val="EndNoteBibliography"/>
        <w:spacing w:after="0"/>
      </w:pPr>
      <w:r w:rsidRPr="00A35011">
        <w:t>79.</w:t>
      </w:r>
      <w:r w:rsidRPr="00A35011">
        <w:tab/>
        <w:t xml:space="preserve">Alsadhan I, Alruwashid S, Alhamad M, et al. Diabetic ketoacidosis precipitated by Coronavirus disease 2019 infection: Case series. </w:t>
      </w:r>
      <w:r w:rsidRPr="00A35011">
        <w:rPr>
          <w:i/>
        </w:rPr>
        <w:t>Curr Ther Res Clin Exp</w:t>
      </w:r>
      <w:r w:rsidRPr="00A35011">
        <w:t xml:space="preserve"> 2020; </w:t>
      </w:r>
      <w:r w:rsidRPr="00A35011">
        <w:rPr>
          <w:b/>
        </w:rPr>
        <w:t>93</w:t>
      </w:r>
      <w:r w:rsidRPr="00A35011">
        <w:t>: 100609.</w:t>
      </w:r>
    </w:p>
    <w:p w:rsidR="006419BC" w:rsidRPr="006419BC" w:rsidRDefault="006419BC" w:rsidP="00A35011">
      <w:pPr>
        <w:pStyle w:val="EndNoteBibliography"/>
        <w:spacing w:after="0"/>
        <w:rPr>
          <w:lang w:val="de-DE"/>
        </w:rPr>
      </w:pPr>
      <w:r w:rsidRPr="00A35011">
        <w:t>80.</w:t>
      </w:r>
      <w:r w:rsidRPr="00A35011">
        <w:tab/>
        <w:t xml:space="preserve">Heaney AI, Griffin GD, Simon EL. Newly diagnosed diabetes and diabetic ketoacidosis precipitated by COVID-19 infection. </w:t>
      </w:r>
      <w:r w:rsidRPr="006419BC">
        <w:rPr>
          <w:i/>
          <w:lang w:val="de-DE"/>
        </w:rPr>
        <w:t>Am J Emerg Med</w:t>
      </w:r>
      <w:r w:rsidRPr="006419BC">
        <w:rPr>
          <w:lang w:val="de-DE"/>
        </w:rPr>
        <w:t xml:space="preserve"> 2020; </w:t>
      </w:r>
      <w:r w:rsidRPr="006419BC">
        <w:rPr>
          <w:b/>
          <w:lang w:val="de-DE"/>
        </w:rPr>
        <w:t>38</w:t>
      </w:r>
      <w:r w:rsidRPr="006419BC">
        <w:rPr>
          <w:lang w:val="de-DE"/>
        </w:rPr>
        <w:t>(11): 2491 e3- e4.</w:t>
      </w:r>
    </w:p>
    <w:p w:rsidR="006419BC" w:rsidRPr="00A35011" w:rsidRDefault="006419BC" w:rsidP="00A35011">
      <w:pPr>
        <w:pStyle w:val="EndNoteBibliography"/>
        <w:spacing w:after="0"/>
      </w:pPr>
      <w:r w:rsidRPr="006419BC">
        <w:rPr>
          <w:lang w:val="de-DE"/>
        </w:rPr>
        <w:t>81.</w:t>
      </w:r>
      <w:r w:rsidRPr="006419BC">
        <w:rPr>
          <w:lang w:val="de-DE"/>
        </w:rPr>
        <w:tab/>
        <w:t xml:space="preserve">Hollstein T, Schulte DM, Schulz J, et al. </w:t>
      </w:r>
      <w:r w:rsidRPr="00A35011">
        <w:t xml:space="preserve">Autoantibody-negative insulin-dependent diabetes mellitus after SARS-CoV-2 infection: a case report. </w:t>
      </w:r>
      <w:r w:rsidRPr="00A35011">
        <w:rPr>
          <w:i/>
        </w:rPr>
        <w:t>Nat Metab</w:t>
      </w:r>
      <w:r w:rsidRPr="00A35011">
        <w:t xml:space="preserve"> 2020; </w:t>
      </w:r>
      <w:r w:rsidRPr="00A35011">
        <w:rPr>
          <w:b/>
        </w:rPr>
        <w:t>2</w:t>
      </w:r>
      <w:r w:rsidRPr="00A35011">
        <w:t>(10): 1021-4.</w:t>
      </w:r>
    </w:p>
    <w:p w:rsidR="006419BC" w:rsidRPr="006419BC" w:rsidRDefault="006419BC" w:rsidP="00A35011">
      <w:pPr>
        <w:pStyle w:val="EndNoteBibliography"/>
        <w:spacing w:after="0"/>
        <w:rPr>
          <w:lang w:val="fr-FR"/>
        </w:rPr>
      </w:pPr>
      <w:r w:rsidRPr="00A35011">
        <w:t>82.</w:t>
      </w:r>
      <w:r w:rsidRPr="00A35011">
        <w:tab/>
        <w:t xml:space="preserve">Li J, Wang X, Chen J, Zuo X, Zhang H, Deng A. COVID-19 infection may cause ketosis and ketoacidosis. </w:t>
      </w:r>
      <w:r w:rsidRPr="006419BC">
        <w:rPr>
          <w:i/>
          <w:lang w:val="fr-FR"/>
        </w:rPr>
        <w:t>Diabetes Obes Metab</w:t>
      </w:r>
      <w:r w:rsidRPr="006419BC">
        <w:rPr>
          <w:lang w:val="fr-FR"/>
        </w:rPr>
        <w:t xml:space="preserve"> 2020.</w:t>
      </w:r>
    </w:p>
    <w:p w:rsidR="006419BC" w:rsidRPr="00A35011" w:rsidRDefault="006419BC" w:rsidP="00A35011">
      <w:pPr>
        <w:pStyle w:val="EndNoteBibliography"/>
        <w:spacing w:after="0"/>
      </w:pPr>
      <w:r w:rsidRPr="006419BC">
        <w:rPr>
          <w:lang w:val="fr-FR"/>
        </w:rPr>
        <w:t>83.</w:t>
      </w:r>
      <w:r w:rsidRPr="006419BC">
        <w:rPr>
          <w:lang w:val="fr-FR"/>
        </w:rPr>
        <w:tab/>
        <w:t xml:space="preserve">Montefusco L, Ben Nasr M, D'Addio F, et al. </w:t>
      </w:r>
      <w:r w:rsidRPr="00A35011">
        <w:t xml:space="preserve">Acute and long-term disruption of glycometabolic control after SARS-CoV-2 infection. </w:t>
      </w:r>
      <w:r w:rsidRPr="00A35011">
        <w:rPr>
          <w:i/>
        </w:rPr>
        <w:t>Nat Metab</w:t>
      </w:r>
      <w:r w:rsidRPr="00A35011">
        <w:t xml:space="preserve"> 2021; </w:t>
      </w:r>
      <w:r w:rsidRPr="00A35011">
        <w:rPr>
          <w:b/>
        </w:rPr>
        <w:t>3</w:t>
      </w:r>
      <w:r w:rsidRPr="00A35011">
        <w:t>(6): 774-85.</w:t>
      </w:r>
    </w:p>
    <w:p w:rsidR="006419BC" w:rsidRPr="006419BC" w:rsidRDefault="006419BC" w:rsidP="00A35011">
      <w:pPr>
        <w:pStyle w:val="EndNoteBibliography"/>
        <w:spacing w:after="0"/>
        <w:rPr>
          <w:lang w:val="fr-FR"/>
        </w:rPr>
      </w:pPr>
      <w:r w:rsidRPr="00A35011">
        <w:t>84.</w:t>
      </w:r>
      <w:r w:rsidRPr="00A35011">
        <w:tab/>
        <w:t xml:space="preserve">Naguib MN, Raymond JK, Vidmar AP. New onset diabetes with diabetic ketoacidosis in a child with multisystem inflammatory syndrome due to COVID-19. </w:t>
      </w:r>
      <w:r w:rsidRPr="006419BC">
        <w:rPr>
          <w:i/>
          <w:lang w:val="fr-FR"/>
        </w:rPr>
        <w:t>J Pediatr Endocrinol Metab</w:t>
      </w:r>
      <w:r w:rsidRPr="006419BC">
        <w:rPr>
          <w:lang w:val="fr-FR"/>
        </w:rPr>
        <w:t xml:space="preserve"> 2021; </w:t>
      </w:r>
      <w:r w:rsidRPr="006419BC">
        <w:rPr>
          <w:b/>
          <w:lang w:val="fr-FR"/>
        </w:rPr>
        <w:t>34</w:t>
      </w:r>
      <w:r w:rsidRPr="006419BC">
        <w:rPr>
          <w:lang w:val="fr-FR"/>
        </w:rPr>
        <w:t>(1): 147-50.</w:t>
      </w:r>
    </w:p>
    <w:p w:rsidR="006419BC" w:rsidRPr="006419BC" w:rsidRDefault="006419BC" w:rsidP="00A35011">
      <w:pPr>
        <w:pStyle w:val="EndNoteBibliography"/>
        <w:spacing w:after="0"/>
        <w:rPr>
          <w:lang w:val="de-DE"/>
        </w:rPr>
      </w:pPr>
      <w:r w:rsidRPr="006419BC">
        <w:rPr>
          <w:lang w:val="fr-FR"/>
        </w:rPr>
        <w:t>85.</w:t>
      </w:r>
      <w:r w:rsidRPr="006419BC">
        <w:rPr>
          <w:lang w:val="fr-FR"/>
        </w:rPr>
        <w:tab/>
        <w:t xml:space="preserve">Rubino F, Amiel SA, Zimmet P, et al. </w:t>
      </w:r>
      <w:r w:rsidRPr="00A35011">
        <w:t xml:space="preserve">New-Onset Diabetes in Covid-19. </w:t>
      </w:r>
      <w:r w:rsidRPr="006419BC">
        <w:rPr>
          <w:i/>
          <w:lang w:val="de-DE"/>
        </w:rPr>
        <w:t>N Engl J Med</w:t>
      </w:r>
      <w:r w:rsidRPr="006419BC">
        <w:rPr>
          <w:lang w:val="de-DE"/>
        </w:rPr>
        <w:t xml:space="preserve"> 2020; </w:t>
      </w:r>
      <w:r w:rsidRPr="006419BC">
        <w:rPr>
          <w:b/>
          <w:lang w:val="de-DE"/>
        </w:rPr>
        <w:t>383</w:t>
      </w:r>
      <w:r w:rsidRPr="006419BC">
        <w:rPr>
          <w:lang w:val="de-DE"/>
        </w:rPr>
        <w:t>(8): 789-90.</w:t>
      </w:r>
    </w:p>
    <w:p w:rsidR="006419BC" w:rsidRPr="00A35011" w:rsidRDefault="006419BC" w:rsidP="00A35011">
      <w:pPr>
        <w:pStyle w:val="EndNoteBibliography"/>
        <w:spacing w:after="0"/>
      </w:pPr>
      <w:r w:rsidRPr="006419BC">
        <w:rPr>
          <w:lang w:val="de-DE"/>
        </w:rPr>
        <w:lastRenderedPageBreak/>
        <w:t>86.</w:t>
      </w:r>
      <w:r w:rsidRPr="006419BC">
        <w:rPr>
          <w:lang w:val="de-DE"/>
        </w:rPr>
        <w:tab/>
        <w:t xml:space="preserve">Kamrath C, Monkemoller K, Biester T, et al. </w:t>
      </w:r>
      <w:r w:rsidRPr="00A35011">
        <w:t xml:space="preserve">Ketoacidosis in Children and Adolescents With Newly Diagnosed Type 1 Diabetes During the COVID-19 Pandemic in Germany. </w:t>
      </w:r>
      <w:r w:rsidRPr="00A35011">
        <w:rPr>
          <w:i/>
        </w:rPr>
        <w:t>JAMA</w:t>
      </w:r>
      <w:r w:rsidRPr="00A35011">
        <w:t xml:space="preserve"> 2020; </w:t>
      </w:r>
      <w:r w:rsidRPr="00A35011">
        <w:rPr>
          <w:b/>
        </w:rPr>
        <w:t>324</w:t>
      </w:r>
      <w:r w:rsidRPr="00A35011">
        <w:t>(8): 801-4.</w:t>
      </w:r>
    </w:p>
    <w:p w:rsidR="006419BC" w:rsidRPr="00A35011" w:rsidRDefault="006419BC" w:rsidP="00A35011">
      <w:pPr>
        <w:pStyle w:val="EndNoteBibliography"/>
        <w:spacing w:after="0"/>
      </w:pPr>
      <w:r w:rsidRPr="00A35011">
        <w:t>87.</w:t>
      </w:r>
      <w:r w:rsidRPr="00A35011">
        <w:tab/>
        <w:t xml:space="preserve">Salmi H, Heinonen S, Hastbacka J, et al. New-onset type 1 diabetes in Finnish children during the COVID-19 pandemic. </w:t>
      </w:r>
      <w:r w:rsidRPr="00A35011">
        <w:rPr>
          <w:i/>
        </w:rPr>
        <w:t>Arch Dis Child</w:t>
      </w:r>
      <w:r w:rsidRPr="00A35011">
        <w:t xml:space="preserve"> 2021.</w:t>
      </w:r>
    </w:p>
    <w:p w:rsidR="006419BC" w:rsidRPr="00A35011" w:rsidRDefault="006419BC" w:rsidP="00A35011">
      <w:pPr>
        <w:pStyle w:val="EndNoteBibliography"/>
        <w:spacing w:after="0"/>
      </w:pPr>
      <w:r w:rsidRPr="00A35011">
        <w:t>88.</w:t>
      </w:r>
      <w:r w:rsidRPr="00A35011">
        <w:tab/>
        <w:t xml:space="preserve">Kumaran NK, Karmakar BK, Taylor OM. Coronavirus disease-19 (COVID-19) associated with acute necrotising pancreatitis (ANP). </w:t>
      </w:r>
      <w:r w:rsidRPr="00A35011">
        <w:rPr>
          <w:i/>
        </w:rPr>
        <w:t>BMJ Case Rep</w:t>
      </w:r>
      <w:r w:rsidRPr="00A35011">
        <w:t xml:space="preserve"> 2020; </w:t>
      </w:r>
      <w:r w:rsidRPr="00A35011">
        <w:rPr>
          <w:b/>
        </w:rPr>
        <w:t>13</w:t>
      </w:r>
      <w:r w:rsidRPr="00A35011">
        <w:t>(9).</w:t>
      </w:r>
    </w:p>
    <w:p w:rsidR="006419BC" w:rsidRPr="00A35011" w:rsidRDefault="006419BC" w:rsidP="00A35011">
      <w:pPr>
        <w:pStyle w:val="EndNoteBibliography"/>
        <w:spacing w:after="0"/>
      </w:pPr>
      <w:r w:rsidRPr="00A35011">
        <w:t>89.</w:t>
      </w:r>
      <w:r w:rsidRPr="00A35011">
        <w:tab/>
        <w:t xml:space="preserve">Accili D. Can COVID-19 cause diabetes? </w:t>
      </w:r>
      <w:r w:rsidRPr="00A35011">
        <w:rPr>
          <w:i/>
        </w:rPr>
        <w:t>Nat Metab</w:t>
      </w:r>
      <w:r w:rsidRPr="00A35011">
        <w:t xml:space="preserve"> 2021; </w:t>
      </w:r>
      <w:r w:rsidRPr="00A35011">
        <w:rPr>
          <w:b/>
        </w:rPr>
        <w:t>3</w:t>
      </w:r>
      <w:r w:rsidRPr="00A35011">
        <w:t>(2): 123-5.</w:t>
      </w:r>
    </w:p>
    <w:p w:rsidR="006419BC" w:rsidRPr="006419BC" w:rsidRDefault="006419BC" w:rsidP="00A35011">
      <w:pPr>
        <w:pStyle w:val="EndNoteBibliography"/>
        <w:spacing w:after="0"/>
        <w:rPr>
          <w:lang w:val="fr-FR"/>
        </w:rPr>
      </w:pPr>
      <w:r w:rsidRPr="006419BC">
        <w:rPr>
          <w:lang w:val="fr-FR"/>
        </w:rPr>
        <w:t>90.</w:t>
      </w:r>
      <w:r w:rsidRPr="006419BC">
        <w:rPr>
          <w:lang w:val="fr-FR"/>
        </w:rPr>
        <w:tab/>
        <w:t xml:space="preserve">Chudasama YV, Gillies CL, Zaccardi F, et al. </w:t>
      </w:r>
      <w:r w:rsidRPr="00A35011">
        <w:t xml:space="preserve">Impact of COVID-19 on routine care for chronic diseases: A global survey of views from healthcare professionals. </w:t>
      </w:r>
      <w:r w:rsidRPr="006419BC">
        <w:rPr>
          <w:i/>
          <w:lang w:val="fr-FR"/>
        </w:rPr>
        <w:t>Diabetes Metab Syndr</w:t>
      </w:r>
      <w:r w:rsidRPr="006419BC">
        <w:rPr>
          <w:lang w:val="fr-FR"/>
        </w:rPr>
        <w:t xml:space="preserve"> 2020; </w:t>
      </w:r>
      <w:r w:rsidRPr="006419BC">
        <w:rPr>
          <w:b/>
          <w:lang w:val="fr-FR"/>
        </w:rPr>
        <w:t>14</w:t>
      </w:r>
      <w:r w:rsidRPr="006419BC">
        <w:rPr>
          <w:lang w:val="fr-FR"/>
        </w:rPr>
        <w:t>(5): 965-7.</w:t>
      </w:r>
    </w:p>
    <w:p w:rsidR="006419BC" w:rsidRPr="00A35011" w:rsidRDefault="006419BC" w:rsidP="00A35011">
      <w:pPr>
        <w:pStyle w:val="EndNoteBibliography"/>
        <w:spacing w:after="0"/>
      </w:pPr>
      <w:r w:rsidRPr="006419BC">
        <w:rPr>
          <w:lang w:val="fr-FR"/>
        </w:rPr>
        <w:t>91.</w:t>
      </w:r>
      <w:r w:rsidRPr="006419BC">
        <w:rPr>
          <w:lang w:val="fr-FR"/>
        </w:rPr>
        <w:tab/>
        <w:t xml:space="preserve">Rowlands AV, Henson JJ, Coull NA, et al. </w:t>
      </w:r>
      <w:r w:rsidRPr="00A35011">
        <w:t xml:space="preserve">The impact of COVID-19 restrictions on accelerometer-assessed physical activity and sleep in individuals with type 2 diabetes. </w:t>
      </w:r>
      <w:r w:rsidRPr="00A35011">
        <w:rPr>
          <w:i/>
        </w:rPr>
        <w:t>Diabet Med</w:t>
      </w:r>
      <w:r w:rsidRPr="00A35011">
        <w:t xml:space="preserve"> 2021: e14549.</w:t>
      </w:r>
    </w:p>
    <w:p w:rsidR="006419BC" w:rsidRPr="00A35011" w:rsidRDefault="006419BC" w:rsidP="00A35011">
      <w:pPr>
        <w:pStyle w:val="EndNoteBibliography"/>
        <w:spacing w:after="0"/>
      </w:pPr>
      <w:r w:rsidRPr="00A35011">
        <w:t>92.</w:t>
      </w:r>
      <w:r w:rsidRPr="00A35011">
        <w:tab/>
        <w:t xml:space="preserve">Gregg EW, Sophiea MK, Weldegiorgis M. Diabetes and COVID-19: Population Impact 18 Months Into the Pandemic. </w:t>
      </w:r>
      <w:r w:rsidRPr="00A35011">
        <w:rPr>
          <w:i/>
        </w:rPr>
        <w:t>Diabetes Care</w:t>
      </w:r>
      <w:r w:rsidRPr="00A35011">
        <w:t xml:space="preserve"> 2021.</w:t>
      </w:r>
    </w:p>
    <w:p w:rsidR="006419BC" w:rsidRPr="00A35011" w:rsidRDefault="006419BC" w:rsidP="00A35011">
      <w:pPr>
        <w:pStyle w:val="EndNoteBibliography"/>
        <w:spacing w:after="0"/>
      </w:pPr>
      <w:r w:rsidRPr="00A35011">
        <w:t>93.</w:t>
      </w:r>
      <w:r w:rsidRPr="00A35011">
        <w:tab/>
        <w:t xml:space="preserve">McGurnaghan SJ, Weir A, Bishop J, et al. Risks of and risk factors for COVID-19 disease in people with diabetes: a cohort study of the total population of Scotland. </w:t>
      </w:r>
      <w:r w:rsidRPr="00A35011">
        <w:rPr>
          <w:i/>
        </w:rPr>
        <w:t>Lancet Diabetes Endocrinol</w:t>
      </w:r>
      <w:r w:rsidRPr="00A35011">
        <w:t xml:space="preserve"> 2021; </w:t>
      </w:r>
      <w:r w:rsidRPr="00A35011">
        <w:rPr>
          <w:b/>
        </w:rPr>
        <w:t>9</w:t>
      </w:r>
      <w:r w:rsidRPr="00A35011">
        <w:t>(2): 82-93.</w:t>
      </w:r>
    </w:p>
    <w:p w:rsidR="006419BC" w:rsidRPr="00A35011" w:rsidRDefault="006419BC" w:rsidP="00A35011">
      <w:pPr>
        <w:pStyle w:val="EndNoteBibliography"/>
        <w:spacing w:after="0"/>
      </w:pPr>
      <w:r w:rsidRPr="00A35011">
        <w:t>94.</w:t>
      </w:r>
      <w:r w:rsidRPr="00A35011">
        <w:tab/>
        <w:t xml:space="preserve">Petrie JR, Boyle JG, Ali K, Smith C, Morrison D, Kar P. A post COVID-19 'Marshall Plan' for type 2 diabetes. </w:t>
      </w:r>
      <w:r w:rsidRPr="00A35011">
        <w:rPr>
          <w:i/>
        </w:rPr>
        <w:t>Diabet Med</w:t>
      </w:r>
      <w:r w:rsidRPr="00A35011">
        <w:t xml:space="preserve"> 2021; </w:t>
      </w:r>
      <w:r w:rsidRPr="00A35011">
        <w:rPr>
          <w:b/>
        </w:rPr>
        <w:t>38</w:t>
      </w:r>
      <w:r w:rsidRPr="00A35011">
        <w:t>(1): e14439.</w:t>
      </w:r>
    </w:p>
    <w:p w:rsidR="006419BC" w:rsidRPr="006419BC" w:rsidRDefault="006419BC" w:rsidP="00A35011">
      <w:pPr>
        <w:pStyle w:val="EndNoteBibliography"/>
        <w:spacing w:after="0"/>
        <w:rPr>
          <w:lang w:val="de-DE"/>
        </w:rPr>
      </w:pPr>
      <w:r w:rsidRPr="00A35011">
        <w:t>95.</w:t>
      </w:r>
      <w:r w:rsidRPr="00A35011">
        <w:tab/>
        <w:t xml:space="preserve">Cyranka K, Dudek D, Malecki MT, Matejko B, Klupa T. Psychological Crisis Intervention for COVID-19 Lockdown Stress in Patients With Type 1 Diabetes Mellitus: Survey Study and Qualitative Analysis. </w:t>
      </w:r>
      <w:r w:rsidRPr="006419BC">
        <w:rPr>
          <w:i/>
          <w:lang w:val="de-DE"/>
        </w:rPr>
        <w:t>JMIR Ment Health</w:t>
      </w:r>
      <w:r w:rsidRPr="006419BC">
        <w:rPr>
          <w:lang w:val="de-DE"/>
        </w:rPr>
        <w:t xml:space="preserve"> 2021; </w:t>
      </w:r>
      <w:r w:rsidRPr="006419BC">
        <w:rPr>
          <w:b/>
          <w:lang w:val="de-DE"/>
        </w:rPr>
        <w:t>8</w:t>
      </w:r>
      <w:r w:rsidRPr="006419BC">
        <w:rPr>
          <w:lang w:val="de-DE"/>
        </w:rPr>
        <w:t>(6): e28097.</w:t>
      </w:r>
    </w:p>
    <w:p w:rsidR="006419BC" w:rsidRPr="00A35011" w:rsidRDefault="006419BC" w:rsidP="00A35011">
      <w:pPr>
        <w:pStyle w:val="EndNoteBibliography"/>
        <w:spacing w:after="0"/>
      </w:pPr>
      <w:r w:rsidRPr="006419BC">
        <w:rPr>
          <w:lang w:val="de-DE"/>
        </w:rPr>
        <w:t>96.</w:t>
      </w:r>
      <w:r w:rsidRPr="006419BC">
        <w:rPr>
          <w:lang w:val="de-DE"/>
        </w:rPr>
        <w:tab/>
        <w:t xml:space="preserve">Ruissen MM, Regeer H, Landstra CP, et al. </w:t>
      </w:r>
      <w:r w:rsidRPr="00A35011">
        <w:t xml:space="preserve">Increased stress, weight gain and less exercise in relation to glycemic control in people with type 1 and type 2 diabetes during the COVID-19 pandemic. </w:t>
      </w:r>
      <w:r w:rsidRPr="00A35011">
        <w:rPr>
          <w:i/>
        </w:rPr>
        <w:t>BMJ Open Diabetes Res Care</w:t>
      </w:r>
      <w:r w:rsidRPr="00A35011">
        <w:t xml:space="preserve"> 2021; </w:t>
      </w:r>
      <w:r w:rsidRPr="00A35011">
        <w:rPr>
          <w:b/>
        </w:rPr>
        <w:t>9</w:t>
      </w:r>
      <w:r w:rsidRPr="00A35011">
        <w:t>(1).</w:t>
      </w:r>
    </w:p>
    <w:p w:rsidR="006419BC" w:rsidRPr="00A35011" w:rsidRDefault="006419BC" w:rsidP="00A35011">
      <w:pPr>
        <w:pStyle w:val="EndNoteBibliography"/>
        <w:spacing w:after="0"/>
      </w:pPr>
      <w:r w:rsidRPr="00A35011">
        <w:t>97.</w:t>
      </w:r>
      <w:r w:rsidRPr="00A35011">
        <w:tab/>
        <w:t xml:space="preserve">Ruberti OM, Telles GD, Rodrigues B. Stress and physical inactivity: two explosive ingredients for the heart in COVID-19 pandemic times. </w:t>
      </w:r>
      <w:r w:rsidRPr="00A35011">
        <w:rPr>
          <w:i/>
        </w:rPr>
        <w:t>Curr Cardiol Rev</w:t>
      </w:r>
      <w:r w:rsidRPr="00A35011">
        <w:t xml:space="preserve"> 2021.</w:t>
      </w:r>
    </w:p>
    <w:p w:rsidR="006419BC" w:rsidRPr="006419BC" w:rsidRDefault="006419BC" w:rsidP="00A35011">
      <w:pPr>
        <w:pStyle w:val="EndNoteBibliography"/>
        <w:spacing w:after="0"/>
        <w:rPr>
          <w:lang w:val="fr-FR"/>
        </w:rPr>
      </w:pPr>
      <w:r w:rsidRPr="00A35011">
        <w:t>98.</w:t>
      </w:r>
      <w:r w:rsidRPr="00A35011">
        <w:tab/>
        <w:t xml:space="preserve">Ceriello A, Prattichizzo F. Pharmacological management of COVID-19 in type 2 diabetes. </w:t>
      </w:r>
      <w:r w:rsidRPr="006419BC">
        <w:rPr>
          <w:i/>
          <w:lang w:val="fr-FR"/>
        </w:rPr>
        <w:t>J Diabetes Complications</w:t>
      </w:r>
      <w:r w:rsidRPr="006419BC">
        <w:rPr>
          <w:lang w:val="fr-FR"/>
        </w:rPr>
        <w:t xml:space="preserve"> 2021; </w:t>
      </w:r>
      <w:r w:rsidRPr="006419BC">
        <w:rPr>
          <w:b/>
          <w:lang w:val="fr-FR"/>
        </w:rPr>
        <w:t>35</w:t>
      </w:r>
      <w:r w:rsidRPr="006419BC">
        <w:rPr>
          <w:lang w:val="fr-FR"/>
        </w:rPr>
        <w:t>(7): 107927.</w:t>
      </w:r>
    </w:p>
    <w:p w:rsidR="006419BC" w:rsidRPr="00A35011" w:rsidRDefault="006419BC" w:rsidP="00A35011">
      <w:pPr>
        <w:pStyle w:val="EndNoteBibliography"/>
        <w:spacing w:after="0"/>
      </w:pPr>
      <w:r w:rsidRPr="006419BC">
        <w:rPr>
          <w:lang w:val="fr-FR"/>
        </w:rPr>
        <w:t>99.</w:t>
      </w:r>
      <w:r w:rsidRPr="006419BC">
        <w:rPr>
          <w:lang w:val="fr-FR"/>
        </w:rPr>
        <w:tab/>
        <w:t xml:space="preserve">Kosiborod MN, Esterline R, Furtado RHM, et al. </w:t>
      </w:r>
      <w:r w:rsidRPr="00A35011">
        <w:t xml:space="preserve">Dapagliflozin in patients with cardiometabolic risk factors hospitalised with COVID-19 (DARE-19): a randomised, double-blind, placebo-controlled, phase 3 trial. </w:t>
      </w:r>
      <w:r w:rsidRPr="00A35011">
        <w:rPr>
          <w:i/>
        </w:rPr>
        <w:t>Lancet Diabetes Endocrinol</w:t>
      </w:r>
      <w:r w:rsidRPr="00A35011">
        <w:t xml:space="preserve"> 2021.</w:t>
      </w:r>
    </w:p>
    <w:p w:rsidR="006419BC" w:rsidRPr="00A35011" w:rsidRDefault="006419BC" w:rsidP="00A35011">
      <w:pPr>
        <w:pStyle w:val="EndNoteBibliography"/>
        <w:spacing w:after="0"/>
      </w:pPr>
      <w:r w:rsidRPr="00A35011">
        <w:t>100.</w:t>
      </w:r>
      <w:r w:rsidRPr="00A35011">
        <w:tab/>
        <w:t xml:space="preserve">Bouhanick B, Cracowski JL, Faillie JL. DPP-4 inhibitors and severe course of illness in patients with COVID-19. </w:t>
      </w:r>
      <w:r w:rsidRPr="00A35011">
        <w:rPr>
          <w:i/>
        </w:rPr>
        <w:t>Therapie</w:t>
      </w:r>
      <w:r w:rsidRPr="00A35011">
        <w:t xml:space="preserve"> 2021; </w:t>
      </w:r>
      <w:r w:rsidRPr="00A35011">
        <w:rPr>
          <w:b/>
        </w:rPr>
        <w:t>S0040-5957(21)00051-2</w:t>
      </w:r>
      <w:r w:rsidRPr="00A35011">
        <w:t>.</w:t>
      </w:r>
    </w:p>
    <w:p w:rsidR="006419BC" w:rsidRPr="006419BC" w:rsidRDefault="006419BC" w:rsidP="00A35011">
      <w:pPr>
        <w:pStyle w:val="EndNoteBibliography"/>
        <w:spacing w:after="0"/>
        <w:rPr>
          <w:lang w:val="fr-FR"/>
        </w:rPr>
      </w:pPr>
      <w:r w:rsidRPr="00A35011">
        <w:t>101.</w:t>
      </w:r>
      <w:r w:rsidRPr="00A35011">
        <w:tab/>
        <w:t xml:space="preserve">Samuel SM, Varghese E, Busselberg D. Therapeutic Potential of Metformin in COVID-19: Reasoning for Its Protective Role. </w:t>
      </w:r>
      <w:r w:rsidRPr="006419BC">
        <w:rPr>
          <w:i/>
          <w:lang w:val="fr-FR"/>
        </w:rPr>
        <w:t>Trends Microbiol</w:t>
      </w:r>
      <w:r w:rsidRPr="006419BC">
        <w:rPr>
          <w:lang w:val="fr-FR"/>
        </w:rPr>
        <w:t xml:space="preserve"> 2021.</w:t>
      </w:r>
    </w:p>
    <w:p w:rsidR="006419BC" w:rsidRPr="00A35011" w:rsidRDefault="006419BC" w:rsidP="00A35011">
      <w:pPr>
        <w:pStyle w:val="EndNoteBibliography"/>
        <w:spacing w:after="0"/>
      </w:pPr>
      <w:r w:rsidRPr="006419BC">
        <w:rPr>
          <w:lang w:val="fr-FR"/>
        </w:rPr>
        <w:t>102.</w:t>
      </w:r>
      <w:r w:rsidRPr="006419BC">
        <w:rPr>
          <w:lang w:val="fr-FR"/>
        </w:rPr>
        <w:tab/>
        <w:t xml:space="preserve">Cariou B, Pichelin M, Goronflot T, et al. </w:t>
      </w:r>
      <w:r w:rsidRPr="00A35011">
        <w:t xml:space="preserve">Phenotypic characteristics and prognosis of newly diagnosed diabetes in hospitalized patients with COVID-19: Results from the CORONADO study. </w:t>
      </w:r>
      <w:r w:rsidRPr="00A35011">
        <w:rPr>
          <w:i/>
        </w:rPr>
        <w:t>Diabetes Res Clin Pract</w:t>
      </w:r>
      <w:r w:rsidRPr="00A35011">
        <w:t xml:space="preserve"> 2021; </w:t>
      </w:r>
      <w:r w:rsidRPr="00A35011">
        <w:rPr>
          <w:b/>
        </w:rPr>
        <w:t>175</w:t>
      </w:r>
      <w:r w:rsidRPr="00A35011">
        <w:t>: 108695.</w:t>
      </w:r>
    </w:p>
    <w:p w:rsidR="006419BC" w:rsidRPr="00A35011" w:rsidRDefault="006419BC" w:rsidP="00A35011">
      <w:pPr>
        <w:pStyle w:val="EndNoteBibliography"/>
        <w:spacing w:after="0"/>
      </w:pPr>
      <w:r w:rsidRPr="00A35011">
        <w:t>103.</w:t>
      </w:r>
      <w:r w:rsidRPr="00A35011">
        <w:tab/>
        <w:t xml:space="preserve">Noh Y, Oh IS, Jeong HE, Filion KB, Yu OHY, Shin JY. Association Between DPP-4 Inhibitors and COVID-19-Related Outcomes Among Patients With Type 2 Diabetes. </w:t>
      </w:r>
      <w:r w:rsidRPr="00A35011">
        <w:rPr>
          <w:i/>
        </w:rPr>
        <w:t>Diabetes Care</w:t>
      </w:r>
      <w:r w:rsidRPr="00A35011">
        <w:t xml:space="preserve"> 2021; </w:t>
      </w:r>
      <w:r w:rsidRPr="00A35011">
        <w:rPr>
          <w:b/>
        </w:rPr>
        <w:t>44</w:t>
      </w:r>
      <w:r w:rsidRPr="00A35011">
        <w:t>(4): e64-e6.</w:t>
      </w:r>
    </w:p>
    <w:p w:rsidR="006419BC" w:rsidRPr="00A35011" w:rsidRDefault="006419BC" w:rsidP="00A35011">
      <w:pPr>
        <w:pStyle w:val="EndNoteBibliography"/>
        <w:spacing w:after="0"/>
      </w:pPr>
      <w:r w:rsidRPr="00A35011">
        <w:t>104.</w:t>
      </w:r>
      <w:r w:rsidRPr="00A35011">
        <w:tab/>
        <w:t xml:space="preserve">Solerte SB, D'Addio F, Trevisan R, et al. Sitagliptin Treatment at the Time of Hospitalization Was Associated With Reduced Mortality in Patients With Type 2 Diabetes and COVID-19: A Multicenter, Case-Control, Retrospective, Observational Study. </w:t>
      </w:r>
      <w:r w:rsidRPr="00A35011">
        <w:rPr>
          <w:i/>
        </w:rPr>
        <w:t>Diabetes Care</w:t>
      </w:r>
      <w:r w:rsidRPr="00A35011">
        <w:t xml:space="preserve"> 2020; </w:t>
      </w:r>
      <w:r w:rsidRPr="00A35011">
        <w:rPr>
          <w:b/>
        </w:rPr>
        <w:t>43</w:t>
      </w:r>
      <w:r w:rsidRPr="00A35011">
        <w:t>(12): 2999-3006.</w:t>
      </w:r>
    </w:p>
    <w:p w:rsidR="006419BC" w:rsidRPr="00A35011" w:rsidRDefault="006419BC" w:rsidP="00A35011">
      <w:pPr>
        <w:pStyle w:val="EndNoteBibliography"/>
        <w:spacing w:after="0"/>
      </w:pPr>
      <w:r w:rsidRPr="00A35011">
        <w:t>105.</w:t>
      </w:r>
      <w:r w:rsidRPr="00A35011">
        <w:tab/>
        <w:t xml:space="preserve">Kow CS, Hasan SS. Mortality risk with preadmission metformin use in patients with COVID-19 and diabetes: A meta-analysis. </w:t>
      </w:r>
      <w:r w:rsidRPr="00A35011">
        <w:rPr>
          <w:i/>
        </w:rPr>
        <w:t>J Med Virol</w:t>
      </w:r>
      <w:r w:rsidRPr="00A35011">
        <w:t xml:space="preserve"> 2021; </w:t>
      </w:r>
      <w:r w:rsidRPr="00A35011">
        <w:rPr>
          <w:b/>
        </w:rPr>
        <w:t>93</w:t>
      </w:r>
      <w:r w:rsidRPr="00A35011">
        <w:t>(2): 695-7.</w:t>
      </w:r>
    </w:p>
    <w:p w:rsidR="006419BC" w:rsidRPr="006419BC" w:rsidRDefault="006419BC" w:rsidP="00A35011">
      <w:pPr>
        <w:pStyle w:val="EndNoteBibliography"/>
        <w:spacing w:after="0"/>
        <w:rPr>
          <w:lang w:val="de-DE"/>
        </w:rPr>
      </w:pPr>
      <w:r w:rsidRPr="00A35011">
        <w:t>106.</w:t>
      </w:r>
      <w:r w:rsidRPr="00A35011">
        <w:tab/>
        <w:t xml:space="preserve">Scheen AJ. Metformin and COVID-19: From cellular mechanisms to reduced mortality. </w:t>
      </w:r>
      <w:r w:rsidRPr="006419BC">
        <w:rPr>
          <w:i/>
          <w:lang w:val="de-DE"/>
        </w:rPr>
        <w:t>Diabetes Metab</w:t>
      </w:r>
      <w:r w:rsidRPr="006419BC">
        <w:rPr>
          <w:lang w:val="de-DE"/>
        </w:rPr>
        <w:t xml:space="preserve"> 2020; </w:t>
      </w:r>
      <w:r w:rsidRPr="006419BC">
        <w:rPr>
          <w:b/>
          <w:lang w:val="de-DE"/>
        </w:rPr>
        <w:t>46</w:t>
      </w:r>
      <w:r w:rsidRPr="006419BC">
        <w:rPr>
          <w:lang w:val="de-DE"/>
        </w:rPr>
        <w:t>(6): 423-6.</w:t>
      </w:r>
    </w:p>
    <w:p w:rsidR="006419BC" w:rsidRPr="00A35011" w:rsidRDefault="006419BC" w:rsidP="00A35011">
      <w:pPr>
        <w:pStyle w:val="EndNoteBibliography"/>
        <w:spacing w:after="0"/>
      </w:pPr>
      <w:r w:rsidRPr="006419BC">
        <w:rPr>
          <w:lang w:val="de-DE"/>
        </w:rPr>
        <w:lastRenderedPageBreak/>
        <w:t>107.</w:t>
      </w:r>
      <w:r w:rsidRPr="006419BC">
        <w:rPr>
          <w:lang w:val="de-DE"/>
        </w:rPr>
        <w:tab/>
        <w:t xml:space="preserve">Cheng X, Liu YM, Li H, et al. </w:t>
      </w:r>
      <w:r w:rsidRPr="00A35011">
        <w:t xml:space="preserve">Metformin Is Associated with Higher Incidence of Acidosis, but Not Mortality, in Individuals with COVID-19 and Pre-existing Type 2 Diabetes. </w:t>
      </w:r>
      <w:r w:rsidRPr="00A35011">
        <w:rPr>
          <w:i/>
        </w:rPr>
        <w:t>Cell Metab</w:t>
      </w:r>
      <w:r w:rsidRPr="00A35011">
        <w:t xml:space="preserve"> 2020; </w:t>
      </w:r>
      <w:r w:rsidRPr="00A35011">
        <w:rPr>
          <w:b/>
        </w:rPr>
        <w:t>32</w:t>
      </w:r>
      <w:r w:rsidRPr="00A35011">
        <w:t>(4): 537-47 e3.</w:t>
      </w:r>
    </w:p>
    <w:p w:rsidR="006419BC" w:rsidRPr="006419BC" w:rsidRDefault="006419BC" w:rsidP="00A35011">
      <w:pPr>
        <w:pStyle w:val="EndNoteBibliography"/>
        <w:spacing w:after="0"/>
        <w:rPr>
          <w:lang w:val="fr-FR"/>
        </w:rPr>
      </w:pPr>
      <w:r w:rsidRPr="00A35011">
        <w:t>108.</w:t>
      </w:r>
      <w:r w:rsidRPr="00A35011">
        <w:tab/>
        <w:t xml:space="preserve">Katsiki N, Ferrannini E. Anti-inflammatory properties of antidiabetic drugs: A "promised land" in the COVID-19 era? </w:t>
      </w:r>
      <w:r w:rsidRPr="006419BC">
        <w:rPr>
          <w:i/>
          <w:lang w:val="fr-FR"/>
        </w:rPr>
        <w:t>J Diabetes Complications</w:t>
      </w:r>
      <w:r w:rsidRPr="006419BC">
        <w:rPr>
          <w:lang w:val="fr-FR"/>
        </w:rPr>
        <w:t xml:space="preserve"> 2020; </w:t>
      </w:r>
      <w:r w:rsidRPr="006419BC">
        <w:rPr>
          <w:b/>
          <w:lang w:val="fr-FR"/>
        </w:rPr>
        <w:t>34</w:t>
      </w:r>
      <w:r w:rsidRPr="006419BC">
        <w:rPr>
          <w:lang w:val="fr-FR"/>
        </w:rPr>
        <w:t>(12): 107723.</w:t>
      </w:r>
    </w:p>
    <w:p w:rsidR="006419BC" w:rsidRPr="00A35011" w:rsidRDefault="006419BC" w:rsidP="00A35011">
      <w:pPr>
        <w:pStyle w:val="EndNoteBibliography"/>
        <w:spacing w:after="0"/>
      </w:pPr>
      <w:r w:rsidRPr="006419BC">
        <w:rPr>
          <w:lang w:val="fr-FR"/>
        </w:rPr>
        <w:t>109.</w:t>
      </w:r>
      <w:r w:rsidRPr="006419BC">
        <w:rPr>
          <w:lang w:val="fr-FR"/>
        </w:rPr>
        <w:tab/>
        <w:t xml:space="preserve">Nohara H, Nakashima R, Kamei S, et al. </w:t>
      </w:r>
      <w:r w:rsidRPr="00A35011">
        <w:t xml:space="preserve">Intratracheal GLP-1 receptor agonist treatment up-regulates mucin via p38 and exacerbates emphysematous phenotype in mucus hypersecretory obstructive lung diseases. </w:t>
      </w:r>
      <w:r w:rsidRPr="00A35011">
        <w:rPr>
          <w:i/>
        </w:rPr>
        <w:t>Biochem Biophys Res Commun</w:t>
      </w:r>
      <w:r w:rsidRPr="00A35011">
        <w:t xml:space="preserve"> 2020; </w:t>
      </w:r>
      <w:r w:rsidRPr="00A35011">
        <w:rPr>
          <w:b/>
        </w:rPr>
        <w:t>524</w:t>
      </w:r>
      <w:r w:rsidRPr="00A35011">
        <w:t>(2): 332-9.</w:t>
      </w:r>
    </w:p>
    <w:p w:rsidR="006419BC" w:rsidRPr="00A35011" w:rsidRDefault="006419BC" w:rsidP="00A35011">
      <w:pPr>
        <w:pStyle w:val="EndNoteBibliography"/>
        <w:spacing w:after="0"/>
      </w:pPr>
      <w:r w:rsidRPr="00A35011">
        <w:t>110.</w:t>
      </w:r>
      <w:r w:rsidRPr="00A35011">
        <w:tab/>
        <w:t xml:space="preserve">Group RC. Tocilizumab in patients admitted to hospital with COVID-19 (RECOVERY): a randomised, controlled, open-label, platform trial. </w:t>
      </w:r>
      <w:r w:rsidRPr="00A35011">
        <w:rPr>
          <w:i/>
        </w:rPr>
        <w:t>Lancet</w:t>
      </w:r>
      <w:r w:rsidRPr="00A35011">
        <w:t xml:space="preserve"> 2021; </w:t>
      </w:r>
      <w:r w:rsidRPr="00A35011">
        <w:rPr>
          <w:b/>
        </w:rPr>
        <w:t>397</w:t>
      </w:r>
      <w:r w:rsidRPr="00A35011">
        <w:t>(10285): 1637-45.</w:t>
      </w:r>
    </w:p>
    <w:p w:rsidR="006419BC" w:rsidRPr="006419BC" w:rsidRDefault="006419BC" w:rsidP="00A35011">
      <w:pPr>
        <w:pStyle w:val="EndNoteBibliography"/>
        <w:spacing w:after="0"/>
        <w:rPr>
          <w:lang w:val="fr-FR"/>
        </w:rPr>
      </w:pPr>
      <w:r w:rsidRPr="00A35011">
        <w:t>111.</w:t>
      </w:r>
      <w:r w:rsidRPr="00A35011">
        <w:tab/>
        <w:t xml:space="preserve">Castaneda S, Remuzgo-Martinez S, Lopez-Mejias R, et al. Rapid beneficial effect of the IL-6 receptor blockade on insulin resistance and insulin sensitivity in non-diabetic patients with rheumatoid arthritis. </w:t>
      </w:r>
      <w:r w:rsidRPr="006419BC">
        <w:rPr>
          <w:i/>
          <w:lang w:val="fr-FR"/>
        </w:rPr>
        <w:t>Clin Exp Rheumatol</w:t>
      </w:r>
      <w:r w:rsidRPr="006419BC">
        <w:rPr>
          <w:lang w:val="fr-FR"/>
        </w:rPr>
        <w:t xml:space="preserve"> 2019; </w:t>
      </w:r>
      <w:r w:rsidRPr="006419BC">
        <w:rPr>
          <w:b/>
          <w:lang w:val="fr-FR"/>
        </w:rPr>
        <w:t>37</w:t>
      </w:r>
      <w:r w:rsidRPr="006419BC">
        <w:rPr>
          <w:lang w:val="fr-FR"/>
        </w:rPr>
        <w:t>(3): 465-73.</w:t>
      </w:r>
    </w:p>
    <w:p w:rsidR="006419BC" w:rsidRPr="00A35011" w:rsidRDefault="006419BC" w:rsidP="00A35011">
      <w:pPr>
        <w:pStyle w:val="EndNoteBibliography"/>
        <w:spacing w:after="0"/>
      </w:pPr>
      <w:r w:rsidRPr="006419BC">
        <w:rPr>
          <w:lang w:val="fr-FR"/>
        </w:rPr>
        <w:t>112.</w:t>
      </w:r>
      <w:r w:rsidRPr="006419BC">
        <w:rPr>
          <w:lang w:val="fr-FR"/>
        </w:rPr>
        <w:tab/>
        <w:t xml:space="preserve">Marfella R, Paolisso P, Sardu C, et al. </w:t>
      </w:r>
      <w:r w:rsidRPr="00A35011">
        <w:t xml:space="preserve">Negative impact of hyperglycaemia on tocilizumab therapy in Covid-19 patients. </w:t>
      </w:r>
      <w:r w:rsidRPr="00A35011">
        <w:rPr>
          <w:i/>
        </w:rPr>
        <w:t>Diabetes Metab</w:t>
      </w:r>
      <w:r w:rsidRPr="00A35011">
        <w:t xml:space="preserve"> 2020; </w:t>
      </w:r>
      <w:r w:rsidRPr="00A35011">
        <w:rPr>
          <w:b/>
        </w:rPr>
        <w:t>46</w:t>
      </w:r>
      <w:r w:rsidRPr="00A35011">
        <w:t>(5): 403-5.</w:t>
      </w:r>
    </w:p>
    <w:p w:rsidR="006419BC" w:rsidRPr="00A35011" w:rsidRDefault="006419BC" w:rsidP="00A35011">
      <w:pPr>
        <w:pStyle w:val="EndNoteBibliography"/>
        <w:spacing w:after="0"/>
      </w:pPr>
      <w:r w:rsidRPr="00A35011">
        <w:t>113.</w:t>
      </w:r>
      <w:r w:rsidRPr="00A35011">
        <w:tab/>
        <w:t xml:space="preserve">Dandona P, Ghanim H. Diabetes, Obesity, COVID-19, Insulin, and Other Antidiabetes Drugs. </w:t>
      </w:r>
      <w:r w:rsidRPr="00A35011">
        <w:rPr>
          <w:i/>
        </w:rPr>
        <w:t>Diabetes Care</w:t>
      </w:r>
      <w:r w:rsidRPr="00A35011">
        <w:t xml:space="preserve"> 2021.</w:t>
      </w:r>
    </w:p>
    <w:p w:rsidR="006419BC" w:rsidRPr="00A35011" w:rsidRDefault="006419BC" w:rsidP="00A35011">
      <w:pPr>
        <w:pStyle w:val="EndNoteBibliography"/>
        <w:spacing w:after="0"/>
      </w:pPr>
      <w:r w:rsidRPr="006419BC">
        <w:rPr>
          <w:lang w:val="fr-FR"/>
        </w:rPr>
        <w:t>114.</w:t>
      </w:r>
      <w:r w:rsidRPr="006419BC">
        <w:rPr>
          <w:lang w:val="fr-FR"/>
        </w:rPr>
        <w:tab/>
        <w:t xml:space="preserve">Katulanda P, Dissanayake HA, Ranathunga I, et al. </w:t>
      </w:r>
      <w:r w:rsidRPr="00A35011">
        <w:t xml:space="preserve">Prevention and management of COVID-19 among patients with diabetes: an appraisal of the literature. </w:t>
      </w:r>
      <w:r w:rsidRPr="00A35011">
        <w:rPr>
          <w:i/>
        </w:rPr>
        <w:t>Diabetologia</w:t>
      </w:r>
      <w:r w:rsidRPr="00A35011">
        <w:t xml:space="preserve"> 2020; </w:t>
      </w:r>
      <w:r w:rsidRPr="00A35011">
        <w:rPr>
          <w:b/>
        </w:rPr>
        <w:t>63</w:t>
      </w:r>
      <w:r w:rsidRPr="00A35011">
        <w:t>(8): 1440-52.</w:t>
      </w:r>
    </w:p>
    <w:p w:rsidR="006419BC" w:rsidRPr="00A35011" w:rsidRDefault="006419BC" w:rsidP="00A35011">
      <w:pPr>
        <w:pStyle w:val="EndNoteBibliography"/>
        <w:spacing w:after="0"/>
      </w:pPr>
      <w:r w:rsidRPr="00A35011">
        <w:t>115.</w:t>
      </w:r>
      <w:r w:rsidRPr="00A35011">
        <w:tab/>
        <w:t xml:space="preserve">Group WHOREAfC-TW, Sterne JAC, Murthy S, et al. Association Between Administration of Systemic Corticosteroids and Mortality Among Critically Ill Patients With COVID-19: A Meta-analysis. </w:t>
      </w:r>
      <w:r w:rsidRPr="00A35011">
        <w:rPr>
          <w:i/>
        </w:rPr>
        <w:t>JAMA</w:t>
      </w:r>
      <w:r w:rsidRPr="00A35011">
        <w:t xml:space="preserve"> 2020; </w:t>
      </w:r>
      <w:r w:rsidRPr="00A35011">
        <w:rPr>
          <w:b/>
        </w:rPr>
        <w:t>324</w:t>
      </w:r>
      <w:r w:rsidRPr="00A35011">
        <w:t>(13): 1330-41.</w:t>
      </w:r>
    </w:p>
    <w:p w:rsidR="006419BC" w:rsidRPr="006419BC" w:rsidRDefault="006419BC" w:rsidP="00A35011">
      <w:pPr>
        <w:pStyle w:val="EndNoteBibliography"/>
        <w:spacing w:after="0"/>
        <w:rPr>
          <w:lang w:val="fr-FR"/>
        </w:rPr>
      </w:pPr>
      <w:r w:rsidRPr="00A35011">
        <w:t>116.</w:t>
      </w:r>
      <w:r w:rsidRPr="00A35011">
        <w:tab/>
        <w:t xml:space="preserve">Perez A, Jansen-Chaparro S, Saigi I, Bernal-Lopez MR, Minambres I, Gomez-Huelgas R. Glucocorticoid-induced hyperglycemia. </w:t>
      </w:r>
      <w:r w:rsidRPr="006419BC">
        <w:rPr>
          <w:i/>
          <w:lang w:val="fr-FR"/>
        </w:rPr>
        <w:t>J Diabetes</w:t>
      </w:r>
      <w:r w:rsidRPr="006419BC">
        <w:rPr>
          <w:lang w:val="fr-FR"/>
        </w:rPr>
        <w:t xml:space="preserve"> 2014; </w:t>
      </w:r>
      <w:r w:rsidRPr="006419BC">
        <w:rPr>
          <w:b/>
          <w:lang w:val="fr-FR"/>
        </w:rPr>
        <w:t>6</w:t>
      </w:r>
      <w:r w:rsidRPr="006419BC">
        <w:rPr>
          <w:lang w:val="fr-FR"/>
        </w:rPr>
        <w:t>(1): 9-20.</w:t>
      </w:r>
    </w:p>
    <w:p w:rsidR="006419BC" w:rsidRPr="00A35011" w:rsidRDefault="006419BC" w:rsidP="00A35011">
      <w:pPr>
        <w:pStyle w:val="EndNoteBibliography"/>
        <w:spacing w:after="0"/>
      </w:pPr>
      <w:r w:rsidRPr="006419BC">
        <w:rPr>
          <w:lang w:val="fr-FR"/>
        </w:rPr>
        <w:t>117.</w:t>
      </w:r>
      <w:r w:rsidRPr="006419BC">
        <w:rPr>
          <w:lang w:val="fr-FR"/>
        </w:rPr>
        <w:tab/>
        <w:t xml:space="preserve">Yu B, Li C, Sun Y, Wang DW. </w:t>
      </w:r>
      <w:r w:rsidRPr="00A35011">
        <w:t xml:space="preserve">Insulin Treatment Is Associated with Increased Mortality in Patients with COVID-19 and Type 2 Diabetes. </w:t>
      </w:r>
      <w:r w:rsidRPr="00A35011">
        <w:rPr>
          <w:i/>
        </w:rPr>
        <w:t>Cell Metab</w:t>
      </w:r>
      <w:r w:rsidRPr="00A35011">
        <w:t xml:space="preserve"> 2021; </w:t>
      </w:r>
      <w:r w:rsidRPr="00A35011">
        <w:rPr>
          <w:b/>
        </w:rPr>
        <w:t>33</w:t>
      </w:r>
      <w:r w:rsidRPr="00A35011">
        <w:t>(1): 65-77 e2.</w:t>
      </w:r>
    </w:p>
    <w:p w:rsidR="006419BC" w:rsidRPr="006419BC" w:rsidRDefault="006419BC" w:rsidP="00A35011">
      <w:pPr>
        <w:pStyle w:val="EndNoteBibliography"/>
        <w:spacing w:after="0"/>
        <w:rPr>
          <w:lang w:val="fr-FR"/>
        </w:rPr>
      </w:pPr>
      <w:r w:rsidRPr="00A35011">
        <w:t>118.</w:t>
      </w:r>
      <w:r w:rsidRPr="00A35011">
        <w:tab/>
        <w:t xml:space="preserve">Ceriello A, Prattichizzo F. Pharmacological management of COVID-19 in type 2 diabetes. </w:t>
      </w:r>
      <w:r w:rsidRPr="006419BC">
        <w:rPr>
          <w:i/>
          <w:lang w:val="fr-FR"/>
        </w:rPr>
        <w:t>J Diabetes Complications</w:t>
      </w:r>
      <w:r w:rsidRPr="006419BC">
        <w:rPr>
          <w:lang w:val="fr-FR"/>
        </w:rPr>
        <w:t xml:space="preserve"> 2021: 107927.</w:t>
      </w:r>
    </w:p>
    <w:p w:rsidR="006419BC" w:rsidRPr="006419BC" w:rsidRDefault="006419BC" w:rsidP="00A35011">
      <w:pPr>
        <w:pStyle w:val="EndNoteBibliography"/>
        <w:spacing w:after="0"/>
        <w:rPr>
          <w:lang w:val="de-DE"/>
        </w:rPr>
      </w:pPr>
      <w:r w:rsidRPr="006419BC">
        <w:rPr>
          <w:lang w:val="fr-FR"/>
        </w:rPr>
        <w:t>119.</w:t>
      </w:r>
      <w:r w:rsidRPr="006419BC">
        <w:rPr>
          <w:lang w:val="fr-FR"/>
        </w:rPr>
        <w:tab/>
        <w:t xml:space="preserve">Zhu L, She ZG, Cheng X, et al. </w:t>
      </w:r>
      <w:r w:rsidRPr="00A35011">
        <w:t xml:space="preserve">Association of Blood Glucose Control and Outcomes in Patients with COVID-19 and Pre-existing Type 2 Diabetes. </w:t>
      </w:r>
      <w:r w:rsidRPr="006419BC">
        <w:rPr>
          <w:i/>
          <w:lang w:val="de-DE"/>
        </w:rPr>
        <w:t>Cell Metab</w:t>
      </w:r>
      <w:r w:rsidRPr="006419BC">
        <w:rPr>
          <w:lang w:val="de-DE"/>
        </w:rPr>
        <w:t xml:space="preserve"> 2020; </w:t>
      </w:r>
      <w:r w:rsidRPr="006419BC">
        <w:rPr>
          <w:b/>
          <w:lang w:val="de-DE"/>
        </w:rPr>
        <w:t>31</w:t>
      </w:r>
      <w:r w:rsidRPr="006419BC">
        <w:rPr>
          <w:lang w:val="de-DE"/>
        </w:rPr>
        <w:t>(6): 1068-77 e3.</w:t>
      </w:r>
    </w:p>
    <w:p w:rsidR="006419BC" w:rsidRPr="006419BC" w:rsidRDefault="006419BC" w:rsidP="00A35011">
      <w:pPr>
        <w:pStyle w:val="EndNoteBibliography"/>
        <w:spacing w:after="0"/>
        <w:rPr>
          <w:lang w:val="fr-FR"/>
        </w:rPr>
      </w:pPr>
      <w:r w:rsidRPr="006419BC">
        <w:rPr>
          <w:lang w:val="de-DE"/>
        </w:rPr>
        <w:t>120.</w:t>
      </w:r>
      <w:r w:rsidRPr="006419BC">
        <w:rPr>
          <w:lang w:val="de-DE"/>
        </w:rPr>
        <w:tab/>
        <w:t xml:space="preserve">Klonoff DC, Messler JC, Umpierrez GE, et al. </w:t>
      </w:r>
      <w:r w:rsidRPr="00A35011">
        <w:t xml:space="preserve">Association Between Achieving Inpatient Glycemic Control and Clinical Outcomes in Hospitalized Patients With COVID-19: A Multicenter, Retrospective Hospital-Based Analysis. </w:t>
      </w:r>
      <w:r w:rsidRPr="006419BC">
        <w:rPr>
          <w:i/>
          <w:lang w:val="fr-FR"/>
        </w:rPr>
        <w:t>Diabetes Care</w:t>
      </w:r>
      <w:r w:rsidRPr="006419BC">
        <w:rPr>
          <w:lang w:val="fr-FR"/>
        </w:rPr>
        <w:t xml:space="preserve"> 2021; </w:t>
      </w:r>
      <w:r w:rsidRPr="006419BC">
        <w:rPr>
          <w:b/>
          <w:lang w:val="fr-FR"/>
        </w:rPr>
        <w:t>44</w:t>
      </w:r>
      <w:r w:rsidRPr="006419BC">
        <w:rPr>
          <w:lang w:val="fr-FR"/>
        </w:rPr>
        <w:t>(2): 578-85.</w:t>
      </w:r>
    </w:p>
    <w:p w:rsidR="006419BC" w:rsidRPr="006419BC" w:rsidRDefault="006419BC" w:rsidP="00A35011">
      <w:pPr>
        <w:pStyle w:val="EndNoteBibliography"/>
        <w:spacing w:after="0"/>
        <w:rPr>
          <w:lang w:val="fr-FR"/>
        </w:rPr>
      </w:pPr>
      <w:r w:rsidRPr="006419BC">
        <w:rPr>
          <w:lang w:val="fr-FR"/>
        </w:rPr>
        <w:t>121.</w:t>
      </w:r>
      <w:r w:rsidRPr="006419BC">
        <w:rPr>
          <w:lang w:val="fr-FR"/>
        </w:rPr>
        <w:tab/>
        <w:t xml:space="preserve">Lu J, Wang C, Shen Y, et al. </w:t>
      </w:r>
      <w:r w:rsidRPr="00A35011">
        <w:t xml:space="preserve">Time in Range in Relation to All-Cause and Cardiovascular Mortality in Patients With Type 2 Diabetes: A Prospective Cohort Study. </w:t>
      </w:r>
      <w:r w:rsidRPr="006419BC">
        <w:rPr>
          <w:i/>
          <w:lang w:val="fr-FR"/>
        </w:rPr>
        <w:t>Diabetes Care</w:t>
      </w:r>
      <w:r w:rsidRPr="006419BC">
        <w:rPr>
          <w:lang w:val="fr-FR"/>
        </w:rPr>
        <w:t xml:space="preserve"> 2021; </w:t>
      </w:r>
      <w:r w:rsidRPr="006419BC">
        <w:rPr>
          <w:b/>
          <w:lang w:val="fr-FR"/>
        </w:rPr>
        <w:t>44</w:t>
      </w:r>
      <w:r w:rsidRPr="006419BC">
        <w:rPr>
          <w:lang w:val="fr-FR"/>
        </w:rPr>
        <w:t>(2): 549-55.</w:t>
      </w:r>
    </w:p>
    <w:p w:rsidR="006419BC" w:rsidRPr="00A35011" w:rsidRDefault="006419BC" w:rsidP="00A35011">
      <w:pPr>
        <w:pStyle w:val="EndNoteBibliography"/>
        <w:spacing w:after="0"/>
      </w:pPr>
      <w:r w:rsidRPr="006419BC">
        <w:rPr>
          <w:lang w:val="fr-FR"/>
        </w:rPr>
        <w:t>122.</w:t>
      </w:r>
      <w:r w:rsidRPr="006419BC">
        <w:rPr>
          <w:lang w:val="fr-FR"/>
        </w:rPr>
        <w:tab/>
        <w:t xml:space="preserve">Wu Q, Zhou L, Sun X, et al. </w:t>
      </w:r>
      <w:r w:rsidRPr="00A35011">
        <w:t xml:space="preserve">Altered Lipid Metabolism in Recovered SARS Patients Twelve Years after Infection. </w:t>
      </w:r>
      <w:r w:rsidRPr="00A35011">
        <w:rPr>
          <w:i/>
        </w:rPr>
        <w:t>Sci Rep</w:t>
      </w:r>
      <w:r w:rsidRPr="00A35011">
        <w:t xml:space="preserve"> 2017; </w:t>
      </w:r>
      <w:r w:rsidRPr="00A35011">
        <w:rPr>
          <w:b/>
        </w:rPr>
        <w:t>7</w:t>
      </w:r>
      <w:r w:rsidRPr="00A35011">
        <w:t>(1): 9110.</w:t>
      </w:r>
    </w:p>
    <w:p w:rsidR="006419BC" w:rsidRPr="00A35011" w:rsidRDefault="006419BC" w:rsidP="00A35011">
      <w:pPr>
        <w:pStyle w:val="EndNoteBibliography"/>
        <w:spacing w:after="0"/>
      </w:pPr>
      <w:r w:rsidRPr="00A35011">
        <w:t>123.</w:t>
      </w:r>
      <w:r w:rsidRPr="00A35011">
        <w:tab/>
        <w:t xml:space="preserve">Yang JK, Lin SS, Ji XJ, Guo LM. Binding of SARS coronavirus to its receptor damages islets and causes acute diabetes. </w:t>
      </w:r>
      <w:r w:rsidRPr="00A35011">
        <w:rPr>
          <w:i/>
        </w:rPr>
        <w:t>Acta Diabetol</w:t>
      </w:r>
      <w:r w:rsidRPr="00A35011">
        <w:t xml:space="preserve"> 2010; </w:t>
      </w:r>
      <w:r w:rsidRPr="00A35011">
        <w:rPr>
          <w:b/>
        </w:rPr>
        <w:t>47</w:t>
      </w:r>
      <w:r w:rsidRPr="00A35011">
        <w:t>(3): 193-9.</w:t>
      </w:r>
    </w:p>
    <w:p w:rsidR="006419BC" w:rsidRPr="00A35011" w:rsidRDefault="006419BC" w:rsidP="00A35011">
      <w:pPr>
        <w:pStyle w:val="EndNoteBibliography"/>
        <w:spacing w:after="0"/>
      </w:pPr>
      <w:r w:rsidRPr="00A35011">
        <w:t>124.</w:t>
      </w:r>
      <w:r w:rsidRPr="00A35011">
        <w:tab/>
        <w:t xml:space="preserve">Moldofsky H, Patcai J. Chronic widespread musculoskeletal pain, fatigue, depression and disordered sleep in chronic post-SARS syndrome; a case-controlled study. </w:t>
      </w:r>
      <w:r w:rsidRPr="00A35011">
        <w:rPr>
          <w:i/>
        </w:rPr>
        <w:t>BMC Neurol</w:t>
      </w:r>
      <w:r w:rsidRPr="00A35011">
        <w:t xml:space="preserve"> 2011; </w:t>
      </w:r>
      <w:r w:rsidRPr="00A35011">
        <w:rPr>
          <w:b/>
        </w:rPr>
        <w:t>11</w:t>
      </w:r>
      <w:r w:rsidRPr="00A35011">
        <w:t>: 37.</w:t>
      </w:r>
    </w:p>
    <w:p w:rsidR="006419BC" w:rsidRPr="00A35011" w:rsidRDefault="006419BC" w:rsidP="00A35011">
      <w:pPr>
        <w:pStyle w:val="EndNoteBibliography"/>
        <w:spacing w:after="0"/>
      </w:pPr>
      <w:r w:rsidRPr="00A35011">
        <w:t>125.</w:t>
      </w:r>
      <w:r w:rsidRPr="00A35011">
        <w:tab/>
        <w:t xml:space="preserve">Wostyn P. COVID-19 and chronic fatigue syndrome: Is the worst yet to come? </w:t>
      </w:r>
      <w:r w:rsidRPr="00A35011">
        <w:rPr>
          <w:i/>
        </w:rPr>
        <w:t>Med Hypotheses</w:t>
      </w:r>
      <w:r w:rsidRPr="00A35011">
        <w:t xml:space="preserve"> 2021; </w:t>
      </w:r>
      <w:r w:rsidRPr="00A35011">
        <w:rPr>
          <w:b/>
        </w:rPr>
        <w:t>146</w:t>
      </w:r>
      <w:r w:rsidRPr="00A35011">
        <w:t>: 110469.</w:t>
      </w:r>
    </w:p>
    <w:p w:rsidR="006419BC" w:rsidRPr="00A35011" w:rsidRDefault="006419BC" w:rsidP="00A35011">
      <w:pPr>
        <w:pStyle w:val="EndNoteBibliography"/>
        <w:spacing w:after="0"/>
      </w:pPr>
      <w:r w:rsidRPr="00A35011">
        <w:t>126.</w:t>
      </w:r>
      <w:r w:rsidRPr="00A35011">
        <w:tab/>
        <w:t xml:space="preserve">Al-Aly Z, Xie Y, Bowe B. High-dimensional characterization of post-acute sequelae of COVID-19. </w:t>
      </w:r>
      <w:r w:rsidRPr="00A35011">
        <w:rPr>
          <w:i/>
        </w:rPr>
        <w:t>Nature</w:t>
      </w:r>
      <w:r w:rsidRPr="00A35011">
        <w:t xml:space="preserve"> 2021; </w:t>
      </w:r>
      <w:r w:rsidRPr="00A35011">
        <w:rPr>
          <w:b/>
        </w:rPr>
        <w:t>594</w:t>
      </w:r>
      <w:r w:rsidRPr="00A35011">
        <w:t>(7862): 259-64.</w:t>
      </w:r>
    </w:p>
    <w:p w:rsidR="006419BC" w:rsidRPr="00A35011" w:rsidRDefault="006419BC" w:rsidP="00A35011">
      <w:pPr>
        <w:pStyle w:val="EndNoteBibliography"/>
        <w:spacing w:after="0"/>
      </w:pPr>
      <w:r w:rsidRPr="00A35011">
        <w:t>127.</w:t>
      </w:r>
      <w:r w:rsidRPr="00A35011">
        <w:tab/>
        <w:t xml:space="preserve">Barker-Davies RM, O'Sullivan O, Senaratne KPP, et al. The Stanford Hall consensus statement for post-COVID-19 rehabilitation. </w:t>
      </w:r>
      <w:r w:rsidRPr="00A35011">
        <w:rPr>
          <w:i/>
        </w:rPr>
        <w:t>Br J Sports Med</w:t>
      </w:r>
      <w:r w:rsidRPr="00A35011">
        <w:t xml:space="preserve"> 2020; </w:t>
      </w:r>
      <w:r w:rsidRPr="00A35011">
        <w:rPr>
          <w:b/>
        </w:rPr>
        <w:t>54</w:t>
      </w:r>
      <w:r w:rsidRPr="00A35011">
        <w:t>(16): 949-59.</w:t>
      </w:r>
    </w:p>
    <w:p w:rsidR="006419BC" w:rsidRPr="00A35011" w:rsidRDefault="006419BC" w:rsidP="00A35011">
      <w:pPr>
        <w:pStyle w:val="EndNoteBibliography"/>
        <w:spacing w:after="0"/>
      </w:pPr>
      <w:r w:rsidRPr="00A35011">
        <w:t>128.</w:t>
      </w:r>
      <w:r w:rsidRPr="00A35011">
        <w:tab/>
        <w:t xml:space="preserve">Berger I, Werdermann M, Bornstein SR, Steenblock C. The adrenal gland in stress - adaptation on a cellular level. </w:t>
      </w:r>
      <w:r w:rsidRPr="00A35011">
        <w:rPr>
          <w:i/>
        </w:rPr>
        <w:t>J Steroid Biochem Mol Biol</w:t>
      </w:r>
      <w:r w:rsidRPr="00A35011">
        <w:t xml:space="preserve"> 2019; </w:t>
      </w:r>
      <w:r w:rsidRPr="00A35011">
        <w:rPr>
          <w:b/>
        </w:rPr>
        <w:t>190</w:t>
      </w:r>
      <w:r w:rsidRPr="00A35011">
        <w:t>: 198-206.</w:t>
      </w:r>
    </w:p>
    <w:p w:rsidR="006419BC" w:rsidRPr="00A35011" w:rsidRDefault="006419BC" w:rsidP="00A35011">
      <w:pPr>
        <w:pStyle w:val="EndNoteBibliography"/>
        <w:spacing w:after="0"/>
      </w:pPr>
      <w:r w:rsidRPr="00A35011">
        <w:lastRenderedPageBreak/>
        <w:t>129.</w:t>
      </w:r>
      <w:r w:rsidRPr="00A35011">
        <w:tab/>
        <w:t xml:space="preserve">Rohr M, Weiss A, Bein T, et al. Experiences, opinions and expectations of health care providers towards an intensive care unit follow-up clinic: Qualitative study and online survey. </w:t>
      </w:r>
      <w:r w:rsidRPr="00A35011">
        <w:rPr>
          <w:i/>
        </w:rPr>
        <w:t>Intensive Crit Care Nurs</w:t>
      </w:r>
      <w:r w:rsidRPr="00A35011">
        <w:t xml:space="preserve"> 2021: 103084.</w:t>
      </w:r>
    </w:p>
    <w:p w:rsidR="006419BC" w:rsidRPr="00A35011" w:rsidRDefault="006419BC" w:rsidP="00A35011">
      <w:pPr>
        <w:pStyle w:val="EndNoteBibliography"/>
        <w:spacing w:after="0"/>
      </w:pPr>
      <w:r w:rsidRPr="00A35011">
        <w:t>130.</w:t>
      </w:r>
      <w:r w:rsidRPr="00A35011">
        <w:tab/>
        <w:t xml:space="preserve">Sharma S, Grover M, Bhargava S, Samdani S, Kataria T. Post coronavirus disease mucormycosis: a deadly addition to the pandemic spectrum. </w:t>
      </w:r>
      <w:r w:rsidRPr="00A35011">
        <w:rPr>
          <w:i/>
        </w:rPr>
        <w:t>J Laryngol Otol</w:t>
      </w:r>
      <w:r w:rsidRPr="00A35011">
        <w:t xml:space="preserve"> 2021: 1-6.</w:t>
      </w:r>
    </w:p>
    <w:p w:rsidR="006419BC" w:rsidRPr="00A35011" w:rsidRDefault="006419BC" w:rsidP="00A35011">
      <w:pPr>
        <w:pStyle w:val="EndNoteBibliography"/>
        <w:spacing w:after="0"/>
      </w:pPr>
      <w:r w:rsidRPr="00A35011">
        <w:t>131.</w:t>
      </w:r>
      <w:r w:rsidRPr="00A35011">
        <w:tab/>
        <w:t xml:space="preserve">Khunti K, Davies MJ, Kosiborod MN, Nauck MA. Long COVID - metabolic risk factors and novel therapeutic management. </w:t>
      </w:r>
      <w:r w:rsidRPr="00A35011">
        <w:rPr>
          <w:i/>
        </w:rPr>
        <w:t>Nat Rev Endocrinol</w:t>
      </w:r>
      <w:r w:rsidRPr="00A35011">
        <w:t xml:space="preserve"> 2021; </w:t>
      </w:r>
      <w:r w:rsidRPr="00A35011">
        <w:rPr>
          <w:b/>
        </w:rPr>
        <w:t>17</w:t>
      </w:r>
      <w:r w:rsidRPr="00A35011">
        <w:t>(7): 379-80.</w:t>
      </w:r>
    </w:p>
    <w:p w:rsidR="006419BC" w:rsidRPr="00A35011" w:rsidRDefault="006419BC" w:rsidP="00A35011">
      <w:pPr>
        <w:pStyle w:val="EndNoteBibliography"/>
        <w:spacing w:after="0"/>
      </w:pPr>
      <w:r w:rsidRPr="00A35011">
        <w:t>132.</w:t>
      </w:r>
      <w:r w:rsidRPr="00A35011">
        <w:tab/>
        <w:t xml:space="preserve">Ayoubkhani D, Khunti K, Nafilyan V, et al. Post-covid syndrome in individuals admitted to hospital with covid-19: retrospective cohort study. </w:t>
      </w:r>
      <w:r w:rsidRPr="00A35011">
        <w:rPr>
          <w:i/>
        </w:rPr>
        <w:t>BMJ</w:t>
      </w:r>
      <w:r w:rsidRPr="00A35011">
        <w:t xml:space="preserve"> 2021; </w:t>
      </w:r>
      <w:r w:rsidRPr="00A35011">
        <w:rPr>
          <w:b/>
        </w:rPr>
        <w:t>372</w:t>
      </w:r>
      <w:r w:rsidRPr="00A35011">
        <w:t>: n693.</w:t>
      </w:r>
    </w:p>
    <w:p w:rsidR="006419BC" w:rsidRPr="00A35011" w:rsidRDefault="006419BC" w:rsidP="00A35011">
      <w:pPr>
        <w:pStyle w:val="EndNoteBibliography"/>
        <w:spacing w:after="0"/>
      </w:pPr>
      <w:r w:rsidRPr="00A35011">
        <w:t>133.</w:t>
      </w:r>
      <w:r w:rsidRPr="00A35011">
        <w:tab/>
        <w:t xml:space="preserve">Pal R, Bhadada SK, Misra A. COVID-19 vaccination in patients with diabetes mellitus: Current concepts, uncertainties and challenges. </w:t>
      </w:r>
      <w:r w:rsidRPr="00A35011">
        <w:rPr>
          <w:i/>
        </w:rPr>
        <w:t>Diabetes Metab Syndr</w:t>
      </w:r>
      <w:r w:rsidRPr="00A35011">
        <w:t xml:space="preserve"> 2021; </w:t>
      </w:r>
      <w:r w:rsidRPr="00A35011">
        <w:rPr>
          <w:b/>
        </w:rPr>
        <w:t>15</w:t>
      </w:r>
      <w:r w:rsidRPr="00A35011">
        <w:t>(2): 505-8.</w:t>
      </w:r>
    </w:p>
    <w:p w:rsidR="006419BC" w:rsidRPr="006419BC" w:rsidRDefault="006419BC" w:rsidP="00A35011">
      <w:pPr>
        <w:pStyle w:val="EndNoteBibliography"/>
        <w:spacing w:after="0"/>
        <w:rPr>
          <w:lang w:val="fr-FR"/>
        </w:rPr>
      </w:pPr>
      <w:r w:rsidRPr="00A35011">
        <w:t>134.</w:t>
      </w:r>
      <w:r w:rsidRPr="00A35011">
        <w:tab/>
        <w:t xml:space="preserve">McGovern AP, Thomas NJ, Vollmer SJ, Hattersley AT, Mateen BA, Dennis JM. The disproportionate excess mortality risk of COVID-19 in younger people with diabetes warrants vaccination prioritisation. </w:t>
      </w:r>
      <w:r w:rsidRPr="006419BC">
        <w:rPr>
          <w:i/>
          <w:lang w:val="fr-FR"/>
        </w:rPr>
        <w:t>Diabetologia</w:t>
      </w:r>
      <w:r w:rsidRPr="006419BC">
        <w:rPr>
          <w:lang w:val="fr-FR"/>
        </w:rPr>
        <w:t xml:space="preserve"> 2021; </w:t>
      </w:r>
      <w:r w:rsidRPr="006419BC">
        <w:rPr>
          <w:b/>
          <w:lang w:val="fr-FR"/>
        </w:rPr>
        <w:t>64</w:t>
      </w:r>
      <w:r w:rsidRPr="006419BC">
        <w:rPr>
          <w:lang w:val="fr-FR"/>
        </w:rPr>
        <w:t>(5): 1184-6.</w:t>
      </w:r>
    </w:p>
    <w:p w:rsidR="006419BC" w:rsidRPr="006419BC" w:rsidRDefault="006419BC" w:rsidP="00A35011">
      <w:pPr>
        <w:pStyle w:val="EndNoteBibliography"/>
        <w:spacing w:after="0"/>
        <w:rPr>
          <w:lang w:val="de-DE"/>
        </w:rPr>
      </w:pPr>
      <w:r w:rsidRPr="006419BC">
        <w:rPr>
          <w:lang w:val="fr-FR"/>
        </w:rPr>
        <w:t>135.</w:t>
      </w:r>
      <w:r w:rsidRPr="006419BC">
        <w:rPr>
          <w:lang w:val="fr-FR"/>
        </w:rPr>
        <w:tab/>
        <w:t xml:space="preserve">Correr CJ, Coura-Vital W, Frade J, et al. </w:t>
      </w:r>
      <w:r w:rsidRPr="00A35011">
        <w:t xml:space="preserve">Prevalence of people at risk of developing type 2 diabetes mellitus and the involvement of community pharmacies in a national screening campaign: a pioneer action in Brazil. </w:t>
      </w:r>
      <w:r w:rsidRPr="006419BC">
        <w:rPr>
          <w:i/>
          <w:lang w:val="de-DE"/>
        </w:rPr>
        <w:t>Diabetol Metab Syndr</w:t>
      </w:r>
      <w:r w:rsidRPr="006419BC">
        <w:rPr>
          <w:lang w:val="de-DE"/>
        </w:rPr>
        <w:t xml:space="preserve"> 2020; </w:t>
      </w:r>
      <w:r w:rsidRPr="006419BC">
        <w:rPr>
          <w:b/>
          <w:lang w:val="de-DE"/>
        </w:rPr>
        <w:t>12</w:t>
      </w:r>
      <w:r w:rsidRPr="006419BC">
        <w:rPr>
          <w:lang w:val="de-DE"/>
        </w:rPr>
        <w:t>: 89.</w:t>
      </w:r>
    </w:p>
    <w:p w:rsidR="006419BC" w:rsidRPr="00A35011" w:rsidRDefault="006419BC" w:rsidP="00A35011">
      <w:pPr>
        <w:pStyle w:val="EndNoteBibliography"/>
        <w:spacing w:after="0"/>
      </w:pPr>
      <w:r w:rsidRPr="006419BC">
        <w:rPr>
          <w:lang w:val="de-DE"/>
        </w:rPr>
        <w:t>136.</w:t>
      </w:r>
      <w:r w:rsidRPr="006419BC">
        <w:rPr>
          <w:lang w:val="de-DE"/>
        </w:rPr>
        <w:tab/>
        <w:t xml:space="preserve">Mehta SR, Kashyap AS, Das S. Diabetes Mellitus in India: The Modern Scourge. </w:t>
      </w:r>
      <w:r w:rsidRPr="00A35011">
        <w:rPr>
          <w:i/>
        </w:rPr>
        <w:t>Med J Armed Forces India</w:t>
      </w:r>
      <w:r w:rsidRPr="00A35011">
        <w:t xml:space="preserve"> 2009; </w:t>
      </w:r>
      <w:r w:rsidRPr="00A35011">
        <w:rPr>
          <w:b/>
        </w:rPr>
        <w:t>65</w:t>
      </w:r>
      <w:r w:rsidRPr="00A35011">
        <w:t>(1): 50-4.</w:t>
      </w:r>
    </w:p>
    <w:p w:rsidR="006419BC" w:rsidRPr="006419BC" w:rsidRDefault="006419BC" w:rsidP="00A35011">
      <w:pPr>
        <w:pStyle w:val="EndNoteBibliography"/>
        <w:spacing w:after="0"/>
        <w:rPr>
          <w:lang w:val="fr-FR"/>
        </w:rPr>
      </w:pPr>
      <w:r w:rsidRPr="00A35011">
        <w:t>137.</w:t>
      </w:r>
      <w:r w:rsidRPr="00A35011">
        <w:tab/>
        <w:t xml:space="preserve">Satman I, Omer B, Tutuncu Y, et al. Twelve-year trends in the prevalence and risk factors of diabetes and prediabetes in Turkish adults. </w:t>
      </w:r>
      <w:r w:rsidRPr="006419BC">
        <w:rPr>
          <w:i/>
          <w:lang w:val="fr-FR"/>
        </w:rPr>
        <w:t>Eur J Epidemiol</w:t>
      </w:r>
      <w:r w:rsidRPr="006419BC">
        <w:rPr>
          <w:lang w:val="fr-FR"/>
        </w:rPr>
        <w:t xml:space="preserve"> 2013; </w:t>
      </w:r>
      <w:r w:rsidRPr="006419BC">
        <w:rPr>
          <w:b/>
          <w:lang w:val="fr-FR"/>
        </w:rPr>
        <w:t>28</w:t>
      </w:r>
      <w:r w:rsidRPr="006419BC">
        <w:rPr>
          <w:lang w:val="fr-FR"/>
        </w:rPr>
        <w:t>(2): 169-80.</w:t>
      </w:r>
    </w:p>
    <w:p w:rsidR="006419BC" w:rsidRPr="006419BC" w:rsidRDefault="006419BC" w:rsidP="00A35011">
      <w:pPr>
        <w:pStyle w:val="EndNoteBibliography"/>
        <w:spacing w:after="0"/>
        <w:rPr>
          <w:lang w:val="fr-FR"/>
        </w:rPr>
      </w:pPr>
      <w:r w:rsidRPr="006419BC">
        <w:rPr>
          <w:lang w:val="fr-FR"/>
        </w:rPr>
        <w:t>138.</w:t>
      </w:r>
      <w:r w:rsidRPr="006419BC">
        <w:rPr>
          <w:lang w:val="fr-FR"/>
        </w:rPr>
        <w:tab/>
        <w:t>BBC. 2020. https://www.bbc.com/news/world-africa-54418613.</w:t>
      </w:r>
    </w:p>
    <w:p w:rsidR="006419BC" w:rsidRPr="00A35011" w:rsidRDefault="006419BC" w:rsidP="00A35011">
      <w:pPr>
        <w:pStyle w:val="EndNoteBibliography"/>
        <w:spacing w:after="0"/>
      </w:pPr>
      <w:r w:rsidRPr="006419BC">
        <w:rPr>
          <w:lang w:val="de-DE"/>
        </w:rPr>
        <w:t>139.</w:t>
      </w:r>
      <w:r w:rsidRPr="006419BC">
        <w:rPr>
          <w:lang w:val="de-DE"/>
        </w:rPr>
        <w:tab/>
        <w:t xml:space="preserve">Timpel P, Harst L, Reifegerste D, Weihrauch-Bluher S, Schwarz PEH. </w:t>
      </w:r>
      <w:r w:rsidRPr="00A35011">
        <w:t xml:space="preserve">What should governments be doing to prevent diabetes throughout the life course? </w:t>
      </w:r>
      <w:r w:rsidRPr="00A35011">
        <w:rPr>
          <w:i/>
        </w:rPr>
        <w:t>Diabetologia</w:t>
      </w:r>
      <w:r w:rsidRPr="00A35011">
        <w:t xml:space="preserve"> 2019; </w:t>
      </w:r>
      <w:r w:rsidRPr="00A35011">
        <w:rPr>
          <w:b/>
        </w:rPr>
        <w:t>62</w:t>
      </w:r>
      <w:r w:rsidRPr="00A35011">
        <w:t>(10): 1842-53.</w:t>
      </w:r>
    </w:p>
    <w:p w:rsidR="006419BC" w:rsidRPr="00A35011" w:rsidRDefault="006419BC" w:rsidP="00A35011">
      <w:pPr>
        <w:pStyle w:val="EndNoteBibliography"/>
        <w:spacing w:after="0"/>
      </w:pPr>
      <w:r w:rsidRPr="00A35011">
        <w:t>140.</w:t>
      </w:r>
      <w:r w:rsidRPr="00A35011">
        <w:tab/>
        <w:t xml:space="preserve">Jose T, Warner DO, O'Horo JC, et al. Digital Health Surveillance Strategies for Management of Coronavirus Disease 2019. </w:t>
      </w:r>
      <w:r w:rsidRPr="00A35011">
        <w:rPr>
          <w:i/>
        </w:rPr>
        <w:t>Mayo Clin Proc Innov Qual Outcomes</w:t>
      </w:r>
      <w:r w:rsidRPr="00A35011">
        <w:t xml:space="preserve"> 2021; </w:t>
      </w:r>
      <w:r w:rsidRPr="00A35011">
        <w:rPr>
          <w:b/>
        </w:rPr>
        <w:t>5</w:t>
      </w:r>
      <w:r w:rsidRPr="00A35011">
        <w:t>(1): 109-17.</w:t>
      </w:r>
    </w:p>
    <w:p w:rsidR="006419BC" w:rsidRPr="00A35011" w:rsidRDefault="006419BC" w:rsidP="00A35011">
      <w:pPr>
        <w:pStyle w:val="EndNoteBibliography"/>
        <w:spacing w:after="0"/>
      </w:pPr>
      <w:r w:rsidRPr="00A35011">
        <w:t>141.</w:t>
      </w:r>
      <w:r w:rsidRPr="00A35011">
        <w:tab/>
        <w:t xml:space="preserve">Deckert A, Anders S, de Allegri M, et al. Effectiveness and cost-effectiveness of four different strategies for SARS-CoV-2 surveillance in the general population (CoV-Surv Study): a structured summary of a study protocol for a cluster-randomised, two-factorial controlled trial. </w:t>
      </w:r>
      <w:r w:rsidRPr="00A35011">
        <w:rPr>
          <w:i/>
        </w:rPr>
        <w:t>Trials</w:t>
      </w:r>
      <w:r w:rsidRPr="00A35011">
        <w:t xml:space="preserve"> 2021; </w:t>
      </w:r>
      <w:r w:rsidRPr="00A35011">
        <w:rPr>
          <w:b/>
        </w:rPr>
        <w:t>22</w:t>
      </w:r>
      <w:r w:rsidRPr="00A35011">
        <w:t>(1): 39.</w:t>
      </w:r>
    </w:p>
    <w:p w:rsidR="006419BC" w:rsidRPr="00A35011" w:rsidRDefault="006419BC" w:rsidP="00A35011">
      <w:pPr>
        <w:pStyle w:val="EndNoteBibliography"/>
        <w:spacing w:after="0"/>
      </w:pPr>
      <w:r w:rsidRPr="00A35011">
        <w:t>142.</w:t>
      </w:r>
      <w:r w:rsidRPr="00A35011">
        <w:tab/>
        <w:t xml:space="preserve">OGILVIE RF. A QUANTITATIVE ESTIMATION OF THE PANCREATIC ISLET TISSUE1. </w:t>
      </w:r>
      <w:r w:rsidRPr="00A35011">
        <w:rPr>
          <w:i/>
        </w:rPr>
        <w:t>QJM: An International Journal of Medicine</w:t>
      </w:r>
      <w:r w:rsidRPr="00A35011">
        <w:t xml:space="preserve"> 1937; </w:t>
      </w:r>
      <w:r w:rsidRPr="00A35011">
        <w:rPr>
          <w:b/>
        </w:rPr>
        <w:t>6</w:t>
      </w:r>
      <w:r w:rsidRPr="00A35011">
        <w:t>(3): 287-300.</w:t>
      </w:r>
    </w:p>
    <w:p w:rsidR="006419BC" w:rsidRPr="006419BC" w:rsidRDefault="006419BC" w:rsidP="00A35011">
      <w:pPr>
        <w:pStyle w:val="EndNoteBibliography"/>
        <w:spacing w:after="0"/>
        <w:rPr>
          <w:lang w:val="fr-FR"/>
        </w:rPr>
      </w:pPr>
      <w:r w:rsidRPr="00A35011">
        <w:t>143.</w:t>
      </w:r>
      <w:r w:rsidRPr="00A35011">
        <w:tab/>
        <w:t xml:space="preserve">Jacob L, Rickwood S, Rathmann W, Kostev K. Change in glucose-lowering medication regimens in individuals with type 2 diabetes mellitus during the COVID-19 pandemic in Germany. </w:t>
      </w:r>
      <w:r w:rsidRPr="006419BC">
        <w:rPr>
          <w:i/>
          <w:lang w:val="fr-FR"/>
        </w:rPr>
        <w:t>Diabetes Obes Metab</w:t>
      </w:r>
      <w:r w:rsidRPr="006419BC">
        <w:rPr>
          <w:lang w:val="fr-FR"/>
        </w:rPr>
        <w:t xml:space="preserve"> 2021; </w:t>
      </w:r>
      <w:r w:rsidRPr="006419BC">
        <w:rPr>
          <w:b/>
          <w:lang w:val="fr-FR"/>
        </w:rPr>
        <w:t>23</w:t>
      </w:r>
      <w:r w:rsidRPr="006419BC">
        <w:rPr>
          <w:lang w:val="fr-FR"/>
        </w:rPr>
        <w:t>(4): 910-5.</w:t>
      </w:r>
    </w:p>
    <w:p w:rsidR="006419BC" w:rsidRPr="006419BC" w:rsidRDefault="006419BC" w:rsidP="00A35011">
      <w:pPr>
        <w:pStyle w:val="EndNoteBibliography"/>
        <w:spacing w:after="0"/>
        <w:rPr>
          <w:lang w:val="de-DE"/>
        </w:rPr>
      </w:pPr>
      <w:r w:rsidRPr="006419BC">
        <w:rPr>
          <w:lang w:val="fr-FR"/>
        </w:rPr>
        <w:t>144.</w:t>
      </w:r>
      <w:r w:rsidRPr="006419BC">
        <w:rPr>
          <w:lang w:val="fr-FR"/>
        </w:rPr>
        <w:tab/>
        <w:t xml:space="preserve">Quinn LM, Davies MJ, Northern A, et al. </w:t>
      </w:r>
      <w:r w:rsidRPr="00A35011">
        <w:t xml:space="preserve">Use of MyDesmond digital education programme to support self-management in people with type 2 diabetes during the COVID-19 pandemic. </w:t>
      </w:r>
      <w:r w:rsidRPr="006419BC">
        <w:rPr>
          <w:i/>
          <w:lang w:val="de-DE"/>
        </w:rPr>
        <w:t>Diabet Med</w:t>
      </w:r>
      <w:r w:rsidRPr="006419BC">
        <w:rPr>
          <w:lang w:val="de-DE"/>
        </w:rPr>
        <w:t xml:space="preserve"> 2021; </w:t>
      </w:r>
      <w:r w:rsidRPr="006419BC">
        <w:rPr>
          <w:b/>
          <w:lang w:val="de-DE"/>
        </w:rPr>
        <w:t>38</w:t>
      </w:r>
      <w:r w:rsidRPr="006419BC">
        <w:rPr>
          <w:lang w:val="de-DE"/>
        </w:rPr>
        <w:t>(3): e14469.</w:t>
      </w:r>
    </w:p>
    <w:p w:rsidR="006419BC" w:rsidRPr="00A35011" w:rsidRDefault="006419BC" w:rsidP="00A35011">
      <w:pPr>
        <w:pStyle w:val="EndNoteBibliography"/>
        <w:spacing w:after="0"/>
      </w:pPr>
      <w:r w:rsidRPr="006419BC">
        <w:rPr>
          <w:lang w:val="de-DE"/>
        </w:rPr>
        <w:t>145.</w:t>
      </w:r>
      <w:r w:rsidRPr="006419BC">
        <w:rPr>
          <w:lang w:val="de-DE"/>
        </w:rPr>
        <w:tab/>
        <w:t xml:space="preserve">Chan JCN, Lim LL, Wareham NJ, et al. </w:t>
      </w:r>
      <w:r w:rsidRPr="00A35011">
        <w:t xml:space="preserve">The Lancet Commission on diabetes: using data to transform diabetes care and patient lives. </w:t>
      </w:r>
      <w:r w:rsidRPr="00A35011">
        <w:rPr>
          <w:i/>
        </w:rPr>
        <w:t>Lancet</w:t>
      </w:r>
      <w:r w:rsidRPr="00A35011">
        <w:t xml:space="preserve"> 2021; </w:t>
      </w:r>
      <w:r w:rsidRPr="00A35011">
        <w:rPr>
          <w:b/>
        </w:rPr>
        <w:t>396</w:t>
      </w:r>
      <w:r w:rsidRPr="00A35011">
        <w:t>(10267): 2019-82.</w:t>
      </w:r>
    </w:p>
    <w:p w:rsidR="006419BC" w:rsidRPr="00A35011" w:rsidRDefault="006419BC" w:rsidP="00A35011">
      <w:pPr>
        <w:pStyle w:val="EndNoteBibliography"/>
        <w:spacing w:after="0"/>
      </w:pPr>
      <w:r w:rsidRPr="00A35011">
        <w:t>146.</w:t>
      </w:r>
      <w:r w:rsidRPr="00A35011">
        <w:tab/>
        <w:t xml:space="preserve">Esguerra JLS, Ofori JK, Nagao M, et al. Glucocorticoid induces human beta cell dysfunction by involving riborepressor GAS5 LincRNA. </w:t>
      </w:r>
      <w:r w:rsidRPr="00A35011">
        <w:rPr>
          <w:i/>
        </w:rPr>
        <w:t>Mol Metab</w:t>
      </w:r>
      <w:r w:rsidRPr="00A35011">
        <w:t xml:space="preserve"> 2020; </w:t>
      </w:r>
      <w:r w:rsidRPr="00A35011">
        <w:rPr>
          <w:b/>
        </w:rPr>
        <w:t>32</w:t>
      </w:r>
      <w:r w:rsidRPr="00A35011">
        <w:t>: 160-7.</w:t>
      </w:r>
    </w:p>
    <w:p w:rsidR="006419BC" w:rsidRPr="00A35011" w:rsidRDefault="006419BC" w:rsidP="00A35011">
      <w:pPr>
        <w:pStyle w:val="EndNoteBibliography"/>
        <w:spacing w:after="0"/>
      </w:pPr>
      <w:r w:rsidRPr="00A35011">
        <w:t>147.</w:t>
      </w:r>
      <w:r w:rsidRPr="00A35011">
        <w:tab/>
        <w:t xml:space="preserve">Bailey B, Whelen ML, Strunk DR. Adhering to COVID-19 health guidelines: Examining demographic and psychological predictors of adherence. </w:t>
      </w:r>
      <w:r w:rsidRPr="00A35011">
        <w:rPr>
          <w:i/>
        </w:rPr>
        <w:t>Appl Psychol Health Well Being</w:t>
      </w:r>
      <w:r w:rsidRPr="00A35011">
        <w:t xml:space="preserve"> 2021.</w:t>
      </w:r>
    </w:p>
    <w:p w:rsidR="006419BC" w:rsidRPr="00A35011" w:rsidRDefault="006419BC" w:rsidP="00A35011">
      <w:pPr>
        <w:pStyle w:val="EndNoteBibliography"/>
        <w:spacing w:after="0"/>
      </w:pPr>
      <w:r w:rsidRPr="00A35011">
        <w:t>148.</w:t>
      </w:r>
      <w:r w:rsidRPr="00A35011">
        <w:tab/>
        <w:t xml:space="preserve">Muller G, Weser G, Schwarz PE. The European perspective of diabetes prevention: the need for individualization of diabetes prevention. </w:t>
      </w:r>
      <w:r w:rsidRPr="00A35011">
        <w:rPr>
          <w:i/>
        </w:rPr>
        <w:t>J Endocrinol Invest</w:t>
      </w:r>
      <w:r w:rsidRPr="00A35011">
        <w:t xml:space="preserve"> 2013; </w:t>
      </w:r>
      <w:r w:rsidRPr="00A35011">
        <w:rPr>
          <w:b/>
        </w:rPr>
        <w:t>36</w:t>
      </w:r>
      <w:r w:rsidRPr="00A35011">
        <w:t>(5): 352-7.</w:t>
      </w:r>
    </w:p>
    <w:p w:rsidR="006419BC" w:rsidRPr="00A35011" w:rsidRDefault="006419BC" w:rsidP="00A35011">
      <w:pPr>
        <w:pStyle w:val="EndNoteBibliography"/>
        <w:spacing w:after="0"/>
      </w:pPr>
      <w:r w:rsidRPr="00A35011">
        <w:t>149.</w:t>
      </w:r>
      <w:r w:rsidRPr="00A35011">
        <w:tab/>
        <w:t xml:space="preserve">RACGP. 2021. </w:t>
      </w:r>
      <w:r w:rsidRPr="006419BC">
        <w:t>https://www.racgp.org.au/clinical-resources/covid-19-resources/other-health-issues/diabetes-management-during-coronavirus</w:t>
      </w:r>
      <w:r w:rsidRPr="00A35011">
        <w:t>.</w:t>
      </w:r>
    </w:p>
    <w:p w:rsidR="006419BC" w:rsidRPr="00A35011" w:rsidRDefault="006419BC" w:rsidP="00A35011">
      <w:pPr>
        <w:pStyle w:val="EndNoteBibliography"/>
      </w:pPr>
      <w:r w:rsidRPr="00A35011">
        <w:t>150.</w:t>
      </w:r>
      <w:r w:rsidRPr="00A35011">
        <w:tab/>
        <w:t xml:space="preserve">Rogers LC, Snyder RJ, Joseph WS. Diabetes-related Amputations: A Pandemic within a Pandemic. </w:t>
      </w:r>
      <w:r w:rsidRPr="00A35011">
        <w:rPr>
          <w:i/>
        </w:rPr>
        <w:t>J Am Podiatr Med Assoc</w:t>
      </w:r>
      <w:r w:rsidRPr="00A35011">
        <w:t xml:space="preserve"> 2020.</w:t>
      </w:r>
    </w:p>
    <w:p w:rsidR="006419BC" w:rsidRPr="00876226" w:rsidRDefault="006419BC" w:rsidP="003B0D0B">
      <w:pPr>
        <w:spacing w:line="480" w:lineRule="auto"/>
        <w:rPr>
          <w:rFonts w:cstheme="minorHAnsi"/>
          <w:b/>
          <w:lang w:val="en-GB"/>
        </w:rPr>
      </w:pPr>
    </w:p>
    <w:p w:rsidR="006419BC" w:rsidRPr="00812349" w:rsidRDefault="006419BC">
      <w:pPr>
        <w:rPr>
          <w:rFonts w:cstheme="minorHAnsi"/>
          <w:b/>
          <w:lang w:val="en-GB"/>
        </w:rPr>
      </w:pPr>
      <w:r w:rsidRPr="00B25D96">
        <w:rPr>
          <w:rFonts w:cstheme="minorHAnsi"/>
          <w:b/>
          <w:lang w:val="en-GB"/>
        </w:rPr>
        <w:lastRenderedPageBreak/>
        <w:br w:type="page"/>
      </w:r>
    </w:p>
    <w:p w:rsidR="006419BC" w:rsidRPr="00812349" w:rsidRDefault="006419BC" w:rsidP="00AD7105">
      <w:pPr>
        <w:rPr>
          <w:b/>
          <w:lang w:val="en-GB"/>
        </w:rPr>
      </w:pPr>
      <w:r w:rsidRPr="00812349">
        <w:rPr>
          <w:b/>
          <w:lang w:val="en-GB"/>
        </w:rPr>
        <w:lastRenderedPageBreak/>
        <w:t>Figure Legends</w:t>
      </w:r>
    </w:p>
    <w:p w:rsidR="006419BC" w:rsidRPr="00710071" w:rsidRDefault="006419BC" w:rsidP="00AD7105">
      <w:pPr>
        <w:rPr>
          <w:lang w:val="en-GB"/>
        </w:rPr>
      </w:pPr>
    </w:p>
    <w:p w:rsidR="006419BC" w:rsidRPr="001F0797" w:rsidRDefault="006419BC" w:rsidP="00582145">
      <w:pPr>
        <w:spacing w:line="480" w:lineRule="auto"/>
        <w:jc w:val="both"/>
        <w:rPr>
          <w:lang w:val="en-GB"/>
        </w:rPr>
      </w:pPr>
      <w:r w:rsidRPr="001F0797">
        <w:rPr>
          <w:b/>
          <w:bCs/>
          <w:lang w:val="en-GB"/>
        </w:rPr>
        <w:t>Figure 1. The renin-angiotensin-aldosterone-system in COVID-19</w:t>
      </w:r>
      <w:r w:rsidRPr="001F0797">
        <w:rPr>
          <w:lang w:val="en-GB"/>
        </w:rPr>
        <w:t xml:space="preserve">. </w:t>
      </w:r>
      <w:r w:rsidRPr="001F0797">
        <w:rPr>
          <w:b/>
          <w:bCs/>
          <w:lang w:val="en-GB"/>
        </w:rPr>
        <w:t xml:space="preserve">A. </w:t>
      </w:r>
      <w:r w:rsidRPr="001F0797">
        <w:rPr>
          <w:lang w:val="en-GB"/>
        </w:rPr>
        <w:t xml:space="preserve">When the RAAS is activated due to e.g. low blood pressure, angiotensinogen produced in the liver is cleaved to angiotensin I (Ang I) in the kidney. Ang I is further converted to angiotensin II (Ang II) by angiotensin-converting enzyme (ACE). Ang II binds to its receptors Ang II type 1 and 2 receptors (AT1R and AT2R) causing the release of aldosterone from the zona glomerulosa in the adrenal cortex, vasoconstriction and adverse </w:t>
      </w:r>
      <w:r w:rsidRPr="001C6A5F">
        <w:rPr>
          <w:lang w:val="en-GB"/>
        </w:rPr>
        <w:t>remodelling</w:t>
      </w:r>
      <w:r w:rsidRPr="001F0797">
        <w:rPr>
          <w:lang w:val="en-GB"/>
        </w:rPr>
        <w:t xml:space="preserve"> of vascular wall and myocardium. This part of the RAAS system serves as a vasoconstrictor. In the second part of the RAAS, Ang II is converted by ACE2 to the vasodilatory Ang 1-7, which binds to its mitochondrial assembly (MAS) receptor thereby possessing opposing actions of Ang II and ACE. </w:t>
      </w:r>
      <w:r w:rsidRPr="001F0797">
        <w:rPr>
          <w:b/>
          <w:bCs/>
          <w:lang w:val="en-GB"/>
        </w:rPr>
        <w:t xml:space="preserve">B. </w:t>
      </w:r>
      <w:r w:rsidRPr="001F0797">
        <w:rPr>
          <w:lang w:val="en-GB"/>
        </w:rPr>
        <w:t xml:space="preserve">ACE2 consists of two forms, a membrane-spanning protein and a circulating soluble form (sACE2) both capable of binding the spike protein on the surface of SARS-CoV-2. The expression of ACE2 is regulated by HMBG1 and SMARCA4. Upon infection with SARS-CoV-2, </w:t>
      </w:r>
      <w:r>
        <w:rPr>
          <w:lang w:val="en-GB"/>
        </w:rPr>
        <w:t xml:space="preserve">the viral spike protein is cleaved by TMPRSS2 and </w:t>
      </w:r>
      <w:r w:rsidRPr="001F0797">
        <w:rPr>
          <w:lang w:val="en-GB"/>
        </w:rPr>
        <w:t xml:space="preserve">the membrane form of ACE2 is internalised together with the virus leading to a decrease in the ACE2 concentration. This may result in overactivation of the ACE/Ang II part of the RAAS and thereby an augmented </w:t>
      </w:r>
      <w:r w:rsidRPr="001C6A5F">
        <w:rPr>
          <w:lang w:val="en-GB"/>
        </w:rPr>
        <w:t>signalling</w:t>
      </w:r>
      <w:r w:rsidRPr="001F0797">
        <w:rPr>
          <w:lang w:val="en-GB"/>
        </w:rPr>
        <w:t xml:space="preserve"> through AT1R and AT2R. Virus entry is facilitated by NRP1 promoting the interaction between SARS-CoV-2 and ACE2. A suggested alternative receptor for virus entry is DPP4.</w:t>
      </w:r>
    </w:p>
    <w:p w:rsidR="006419BC" w:rsidRPr="00876226" w:rsidRDefault="006419BC" w:rsidP="00582145">
      <w:pPr>
        <w:spacing w:line="480" w:lineRule="auto"/>
        <w:jc w:val="both"/>
        <w:rPr>
          <w:lang w:val="en-GB"/>
        </w:rPr>
      </w:pPr>
    </w:p>
    <w:p w:rsidR="006419BC" w:rsidRDefault="006419BC" w:rsidP="00C34AAE">
      <w:pPr>
        <w:spacing w:line="480" w:lineRule="auto"/>
        <w:jc w:val="both"/>
        <w:rPr>
          <w:lang w:val="en-GB"/>
        </w:rPr>
      </w:pPr>
      <w:r w:rsidRPr="001F0797">
        <w:rPr>
          <w:b/>
          <w:bCs/>
          <w:lang w:val="en-GB"/>
        </w:rPr>
        <w:t>Figure 2. Diabetes/obesity and COVID-19</w:t>
      </w:r>
      <w:r w:rsidRPr="001F0797">
        <w:rPr>
          <w:lang w:val="en-GB"/>
        </w:rPr>
        <w:t xml:space="preserve">. Several clinical manifestations and complications of diabetes/obesity and COVID-19 are similar. In the white adipose tissue of individuals with obesity, the adipocytes are hypertrophic and the tissue is infiltrated with pro-inflammatory immune cells secreting cytokines, chemokines and adipokines leading to a permanent inflammatory phenotype. Also in diabetes, insulin resistance leads to an increased infiltration with M1 macrophages in adipose tissue. Upon infection with SARS-CoV-2, this chronic inflammation may aggravate COVID-19 symptoms in a </w:t>
      </w:r>
      <w:r w:rsidRPr="001F0797">
        <w:rPr>
          <w:lang w:val="en-GB"/>
        </w:rPr>
        <w:lastRenderedPageBreak/>
        <w:t>synergy effect resulting in metaflammation and cytokine storm contributing to severe COVID-19 disease.</w:t>
      </w:r>
    </w:p>
    <w:p w:rsidR="006419BC" w:rsidRDefault="006419BC" w:rsidP="00C34AAE">
      <w:pPr>
        <w:spacing w:line="480" w:lineRule="auto"/>
        <w:jc w:val="both"/>
        <w:rPr>
          <w:lang w:val="en-GB"/>
        </w:rPr>
      </w:pPr>
    </w:p>
    <w:p w:rsidR="006419BC" w:rsidRPr="00876226" w:rsidRDefault="006419BC" w:rsidP="00C34AAE">
      <w:pPr>
        <w:spacing w:line="480" w:lineRule="auto"/>
        <w:jc w:val="both"/>
        <w:rPr>
          <w:lang w:val="en-GB"/>
        </w:rPr>
      </w:pPr>
      <w:r w:rsidRPr="001F0797">
        <w:rPr>
          <w:b/>
          <w:lang w:val="en-GB"/>
        </w:rPr>
        <w:t>Figure 3. Metabolic diseases drive SARS-CoV-2 infection susceptibility.</w:t>
      </w:r>
      <w:r>
        <w:rPr>
          <w:lang w:val="en-GB"/>
        </w:rPr>
        <w:t xml:space="preserve"> On one hand, metabolic diseases increase the risk of severe COVID-19. On the other hand, COVID-19 may lead to new-onset metabolic diseases or worsening of already existing metabolic disorders.</w:t>
      </w:r>
    </w:p>
    <w:p w:rsidR="006419BC" w:rsidRDefault="006419BC">
      <w:pPr>
        <w:rPr>
          <w:lang w:val="en-GB"/>
        </w:rPr>
      </w:pPr>
      <w:r>
        <w:rPr>
          <w:lang w:val="en-GB"/>
        </w:rPr>
        <w:br w:type="page"/>
      </w:r>
    </w:p>
    <w:p w:rsidR="006419BC" w:rsidRPr="00876226" w:rsidRDefault="006419BC" w:rsidP="00AD7105">
      <w:pPr>
        <w:rPr>
          <w:lang w:val="en-GB"/>
        </w:rPr>
      </w:pPr>
    </w:p>
    <w:tbl>
      <w:tblPr>
        <w:tblStyle w:val="Tabellenraster"/>
        <w:tblW w:w="0" w:type="auto"/>
        <w:tblLook w:val="04A0" w:firstRow="1" w:lastRow="0" w:firstColumn="1" w:lastColumn="0" w:noHBand="0" w:noVBand="1"/>
      </w:tblPr>
      <w:tblGrid>
        <w:gridCol w:w="4531"/>
        <w:gridCol w:w="4531"/>
      </w:tblGrid>
      <w:tr w:rsidR="006419BC" w:rsidRPr="003971F3" w:rsidTr="00AD7105">
        <w:tc>
          <w:tcPr>
            <w:tcW w:w="9062" w:type="dxa"/>
            <w:gridSpan w:val="2"/>
            <w:shd w:val="clear" w:color="auto" w:fill="BDD6EE" w:themeFill="accent1" w:themeFillTint="66"/>
          </w:tcPr>
          <w:p w:rsidR="006419BC" w:rsidRPr="00B25D96" w:rsidRDefault="006419BC" w:rsidP="00AD7105">
            <w:pPr>
              <w:rPr>
                <w:b/>
                <w:sz w:val="20"/>
                <w:lang w:val="en-GB"/>
              </w:rPr>
            </w:pPr>
            <w:r w:rsidRPr="00B25D96">
              <w:rPr>
                <w:b/>
                <w:sz w:val="20"/>
                <w:lang w:val="en-GB"/>
              </w:rPr>
              <w:t>Medications with potential interfering effects on COVID-19</w:t>
            </w:r>
          </w:p>
        </w:tc>
      </w:tr>
      <w:tr w:rsidR="006419BC" w:rsidRPr="00876226" w:rsidTr="00AD7105">
        <w:tc>
          <w:tcPr>
            <w:tcW w:w="4531" w:type="dxa"/>
            <w:shd w:val="clear" w:color="auto" w:fill="FFF2CC" w:themeFill="accent4" w:themeFillTint="33"/>
          </w:tcPr>
          <w:p w:rsidR="006419BC" w:rsidRPr="00876226" w:rsidRDefault="006419BC" w:rsidP="00AD7105">
            <w:pPr>
              <w:rPr>
                <w:b/>
                <w:sz w:val="20"/>
                <w:lang w:val="en-GB"/>
              </w:rPr>
            </w:pPr>
            <w:r w:rsidRPr="00876226">
              <w:rPr>
                <w:b/>
                <w:sz w:val="20"/>
                <w:lang w:val="en-GB"/>
              </w:rPr>
              <w:t>Potential positive effects</w:t>
            </w:r>
          </w:p>
        </w:tc>
        <w:tc>
          <w:tcPr>
            <w:tcW w:w="4531" w:type="dxa"/>
            <w:shd w:val="clear" w:color="auto" w:fill="FFF2CC" w:themeFill="accent4" w:themeFillTint="33"/>
          </w:tcPr>
          <w:p w:rsidR="006419BC" w:rsidRPr="00B25D96" w:rsidRDefault="006419BC" w:rsidP="00AD7105">
            <w:pPr>
              <w:rPr>
                <w:b/>
                <w:sz w:val="20"/>
                <w:lang w:val="en-GB"/>
              </w:rPr>
            </w:pPr>
            <w:r w:rsidRPr="00B25D96">
              <w:rPr>
                <w:b/>
                <w:sz w:val="20"/>
                <w:lang w:val="en-GB"/>
              </w:rPr>
              <w:t>Potential negative effects</w:t>
            </w:r>
          </w:p>
        </w:tc>
      </w:tr>
      <w:tr w:rsidR="006419BC" w:rsidRPr="003971F3" w:rsidTr="00AD7105">
        <w:tc>
          <w:tcPr>
            <w:tcW w:w="4531" w:type="dxa"/>
            <w:shd w:val="clear" w:color="auto" w:fill="C5E0B3" w:themeFill="accent6" w:themeFillTint="66"/>
          </w:tcPr>
          <w:p w:rsidR="006419BC" w:rsidRPr="00876226" w:rsidRDefault="006419BC" w:rsidP="00AD7105">
            <w:pPr>
              <w:rPr>
                <w:b/>
                <w:color w:val="000000" w:themeColor="text1"/>
                <w:sz w:val="20"/>
                <w:lang w:val="en-GB"/>
              </w:rPr>
            </w:pPr>
            <w:r w:rsidRPr="00876226">
              <w:rPr>
                <w:b/>
                <w:color w:val="000000" w:themeColor="text1"/>
                <w:sz w:val="20"/>
                <w:lang w:val="en-GB"/>
              </w:rPr>
              <w:t>Glucocorticoids</w:t>
            </w:r>
          </w:p>
          <w:p w:rsidR="006419BC" w:rsidRPr="00876226" w:rsidRDefault="006419BC" w:rsidP="00A35011">
            <w:pPr>
              <w:pStyle w:val="Listenabsatz"/>
              <w:numPr>
                <w:ilvl w:val="0"/>
                <w:numId w:val="10"/>
              </w:numPr>
              <w:rPr>
                <w:b/>
                <w:color w:val="000000" w:themeColor="text1"/>
                <w:sz w:val="20"/>
                <w:lang w:val="en-GB"/>
              </w:rPr>
            </w:pPr>
            <w:r w:rsidRPr="00B25D96">
              <w:rPr>
                <w:b/>
                <w:color w:val="000000" w:themeColor="text1"/>
                <w:sz w:val="20"/>
                <w:lang w:val="en-GB"/>
              </w:rPr>
              <w:t>Anti-inflammato</w:t>
            </w:r>
            <w:r w:rsidRPr="00812349">
              <w:rPr>
                <w:b/>
                <w:color w:val="000000" w:themeColor="text1"/>
                <w:sz w:val="20"/>
                <w:lang w:val="en-GB"/>
              </w:rPr>
              <w:t xml:space="preserve">ry effect </w:t>
            </w:r>
            <w:r w:rsidRPr="00A35011">
              <w:rPr>
                <w:b/>
                <w:noProof/>
                <w:color w:val="000000" w:themeColor="text1"/>
                <w:sz w:val="20"/>
                <w:vertAlign w:val="superscript"/>
                <w:lang w:val="en-GB"/>
              </w:rPr>
              <w:t>73</w:t>
            </w:r>
          </w:p>
          <w:p w:rsidR="006419BC" w:rsidRPr="00B25D96" w:rsidRDefault="006419BC" w:rsidP="00AD7105">
            <w:pPr>
              <w:rPr>
                <w:b/>
                <w:color w:val="000000" w:themeColor="text1"/>
                <w:sz w:val="20"/>
                <w:lang w:val="en-GB"/>
              </w:rPr>
            </w:pPr>
          </w:p>
          <w:p w:rsidR="006419BC" w:rsidRPr="00876226" w:rsidRDefault="006419BC" w:rsidP="00AD7105">
            <w:pPr>
              <w:rPr>
                <w:b/>
                <w:color w:val="000000" w:themeColor="text1"/>
                <w:sz w:val="20"/>
                <w:lang w:val="en-GB"/>
              </w:rPr>
            </w:pPr>
            <w:r w:rsidRPr="00812349">
              <w:rPr>
                <w:b/>
                <w:color w:val="000000" w:themeColor="text1"/>
                <w:sz w:val="20"/>
                <w:lang w:val="en-GB"/>
              </w:rPr>
              <w:t xml:space="preserve">ACE inhibitors/Ang II receptor blockers </w:t>
            </w:r>
            <w:r w:rsidRPr="00F34EF5">
              <w:rPr>
                <w:rFonts w:cstheme="minorHAnsi"/>
                <w:b/>
                <w:noProof/>
                <w:vertAlign w:val="superscript"/>
                <w:lang w:val="en-GB"/>
              </w:rPr>
              <w:t>38</w:t>
            </w:r>
          </w:p>
          <w:p w:rsidR="006419BC" w:rsidRPr="00876226" w:rsidRDefault="006419BC" w:rsidP="00AD7105">
            <w:pPr>
              <w:pStyle w:val="Listenabsatz"/>
              <w:numPr>
                <w:ilvl w:val="0"/>
                <w:numId w:val="10"/>
              </w:numPr>
              <w:rPr>
                <w:b/>
                <w:color w:val="000000" w:themeColor="text1"/>
                <w:sz w:val="20"/>
                <w:lang w:val="en-GB"/>
              </w:rPr>
            </w:pPr>
            <w:r w:rsidRPr="00B25D96">
              <w:rPr>
                <w:b/>
                <w:color w:val="000000" w:themeColor="text1"/>
                <w:sz w:val="20"/>
                <w:lang w:val="en-GB"/>
              </w:rPr>
              <w:t xml:space="preserve">Increased expression of soluble ACE2, neutralization of virus </w:t>
            </w:r>
            <w:r w:rsidRPr="00F34EF5">
              <w:rPr>
                <w:rFonts w:cstheme="minorHAnsi"/>
                <w:b/>
                <w:noProof/>
                <w:vertAlign w:val="superscript"/>
                <w:lang w:val="en-GB"/>
              </w:rPr>
              <w:t>34</w:t>
            </w:r>
          </w:p>
          <w:p w:rsidR="006419BC" w:rsidRPr="00B25D96" w:rsidRDefault="006419BC" w:rsidP="00AD7105">
            <w:pPr>
              <w:rPr>
                <w:b/>
                <w:color w:val="000000" w:themeColor="text1"/>
                <w:sz w:val="20"/>
                <w:lang w:val="en-GB"/>
              </w:rPr>
            </w:pPr>
          </w:p>
          <w:p w:rsidR="006419BC" w:rsidRPr="00AD581A" w:rsidRDefault="006419BC" w:rsidP="00AD7105">
            <w:pPr>
              <w:rPr>
                <w:b/>
                <w:color w:val="000000" w:themeColor="text1"/>
                <w:sz w:val="20"/>
                <w:lang w:val="en-GB"/>
              </w:rPr>
            </w:pPr>
            <w:r w:rsidRPr="00AD581A">
              <w:rPr>
                <w:b/>
                <w:color w:val="000000" w:themeColor="text1"/>
                <w:sz w:val="20"/>
                <w:lang w:val="en-GB"/>
              </w:rPr>
              <w:t xml:space="preserve">Metformin </w:t>
            </w:r>
            <w:r w:rsidRPr="00D96F48">
              <w:rPr>
                <w:rFonts w:cstheme="minorHAnsi"/>
                <w:b/>
                <w:noProof/>
                <w:vertAlign w:val="superscript"/>
                <w:lang w:val="en-GB"/>
              </w:rPr>
              <w:t>100,101</w:t>
            </w:r>
          </w:p>
          <w:p w:rsidR="006419BC" w:rsidRPr="00876226" w:rsidRDefault="006419BC" w:rsidP="00AD7105">
            <w:pPr>
              <w:pStyle w:val="Listenabsatz"/>
              <w:numPr>
                <w:ilvl w:val="0"/>
                <w:numId w:val="7"/>
              </w:numPr>
              <w:rPr>
                <w:b/>
                <w:color w:val="000000" w:themeColor="text1"/>
                <w:sz w:val="20"/>
                <w:lang w:val="en-GB"/>
              </w:rPr>
            </w:pPr>
            <w:r w:rsidRPr="00876226">
              <w:rPr>
                <w:b/>
                <w:color w:val="000000" w:themeColor="text1"/>
                <w:sz w:val="20"/>
                <w:lang w:val="en-GB"/>
              </w:rPr>
              <w:t>Reduces blood glucose levels</w:t>
            </w:r>
          </w:p>
          <w:p w:rsidR="006419BC" w:rsidRPr="00B25D96" w:rsidRDefault="006419BC" w:rsidP="00AD7105">
            <w:pPr>
              <w:pStyle w:val="Listenabsatz"/>
              <w:numPr>
                <w:ilvl w:val="0"/>
                <w:numId w:val="7"/>
              </w:numPr>
              <w:rPr>
                <w:b/>
                <w:color w:val="000000" w:themeColor="text1"/>
                <w:sz w:val="20"/>
                <w:lang w:val="en-GB"/>
              </w:rPr>
            </w:pPr>
            <w:r w:rsidRPr="00B25D96">
              <w:rPr>
                <w:b/>
                <w:color w:val="000000" w:themeColor="text1"/>
                <w:sz w:val="20"/>
                <w:lang w:val="en-GB"/>
              </w:rPr>
              <w:t xml:space="preserve">ACE2 stability </w:t>
            </w:r>
          </w:p>
          <w:p w:rsidR="006419BC" w:rsidRPr="00812349" w:rsidRDefault="006419BC" w:rsidP="00AD7105">
            <w:pPr>
              <w:pStyle w:val="Listenabsatz"/>
              <w:numPr>
                <w:ilvl w:val="0"/>
                <w:numId w:val="7"/>
              </w:numPr>
              <w:rPr>
                <w:b/>
                <w:color w:val="000000" w:themeColor="text1"/>
                <w:sz w:val="20"/>
                <w:lang w:val="en-GB"/>
              </w:rPr>
            </w:pPr>
            <w:r w:rsidRPr="00812349">
              <w:rPr>
                <w:b/>
                <w:color w:val="000000" w:themeColor="text1"/>
                <w:sz w:val="20"/>
                <w:lang w:val="en-GB"/>
              </w:rPr>
              <w:t>Modulates ACE2/Ang II/AT1R axis</w:t>
            </w:r>
          </w:p>
          <w:p w:rsidR="006419BC" w:rsidRPr="00710071" w:rsidRDefault="006419BC" w:rsidP="00AD7105">
            <w:pPr>
              <w:pStyle w:val="Listenabsatz"/>
              <w:numPr>
                <w:ilvl w:val="0"/>
                <w:numId w:val="7"/>
              </w:numPr>
              <w:rPr>
                <w:b/>
                <w:color w:val="000000" w:themeColor="text1"/>
                <w:sz w:val="20"/>
                <w:lang w:val="en-GB"/>
              </w:rPr>
            </w:pPr>
            <w:r w:rsidRPr="00710071">
              <w:rPr>
                <w:b/>
                <w:color w:val="000000" w:themeColor="text1"/>
                <w:sz w:val="20"/>
                <w:lang w:val="en-GB"/>
              </w:rPr>
              <w:t>Inhibit</w:t>
            </w:r>
            <w:r>
              <w:rPr>
                <w:b/>
                <w:color w:val="000000" w:themeColor="text1"/>
                <w:sz w:val="20"/>
                <w:lang w:val="en-GB"/>
              </w:rPr>
              <w:t>s</w:t>
            </w:r>
            <w:r w:rsidRPr="00710071">
              <w:rPr>
                <w:b/>
                <w:color w:val="000000" w:themeColor="text1"/>
                <w:sz w:val="20"/>
                <w:lang w:val="en-GB"/>
              </w:rPr>
              <w:t xml:space="preserve"> host-virus binding</w:t>
            </w:r>
          </w:p>
          <w:p w:rsidR="006419BC" w:rsidRPr="00276A60" w:rsidRDefault="006419BC" w:rsidP="00AD7105">
            <w:pPr>
              <w:pStyle w:val="Listenabsatz"/>
              <w:numPr>
                <w:ilvl w:val="0"/>
                <w:numId w:val="7"/>
              </w:numPr>
              <w:rPr>
                <w:b/>
                <w:color w:val="000000" w:themeColor="text1"/>
                <w:sz w:val="20"/>
                <w:lang w:val="en-GB"/>
              </w:rPr>
            </w:pPr>
            <w:r w:rsidRPr="00276A60">
              <w:rPr>
                <w:b/>
                <w:color w:val="000000" w:themeColor="text1"/>
                <w:sz w:val="20"/>
                <w:lang w:val="en-GB"/>
              </w:rPr>
              <w:t>Mitochondrial Complex I inhibition</w:t>
            </w:r>
          </w:p>
          <w:p w:rsidR="006419BC" w:rsidRPr="00EA05A2" w:rsidRDefault="006419BC" w:rsidP="00AD7105">
            <w:pPr>
              <w:pStyle w:val="Listenabsatz"/>
              <w:numPr>
                <w:ilvl w:val="0"/>
                <w:numId w:val="7"/>
              </w:numPr>
              <w:rPr>
                <w:b/>
                <w:color w:val="000000" w:themeColor="text1"/>
                <w:sz w:val="20"/>
                <w:lang w:val="en-GB"/>
              </w:rPr>
            </w:pPr>
            <w:r w:rsidRPr="00EA05A2">
              <w:rPr>
                <w:b/>
                <w:color w:val="000000" w:themeColor="text1"/>
                <w:sz w:val="20"/>
                <w:lang w:val="en-GB"/>
              </w:rPr>
              <w:t>Endothelial/vascular protection</w:t>
            </w:r>
          </w:p>
          <w:p w:rsidR="006419BC" w:rsidRPr="00E3451E" w:rsidRDefault="006419BC" w:rsidP="00AD7105">
            <w:pPr>
              <w:pStyle w:val="Listenabsatz"/>
              <w:numPr>
                <w:ilvl w:val="0"/>
                <w:numId w:val="7"/>
              </w:numPr>
              <w:rPr>
                <w:b/>
                <w:color w:val="000000" w:themeColor="text1"/>
                <w:sz w:val="20"/>
                <w:lang w:val="en-GB"/>
              </w:rPr>
            </w:pPr>
            <w:r w:rsidRPr="00E3451E">
              <w:rPr>
                <w:b/>
                <w:color w:val="000000" w:themeColor="text1"/>
                <w:sz w:val="20"/>
                <w:lang w:val="en-GB"/>
              </w:rPr>
              <w:t>Decreases virus maturation</w:t>
            </w:r>
          </w:p>
          <w:p w:rsidR="006419BC" w:rsidRPr="00CE4108" w:rsidRDefault="006419BC" w:rsidP="00AD7105">
            <w:pPr>
              <w:rPr>
                <w:b/>
                <w:color w:val="000000" w:themeColor="text1"/>
                <w:sz w:val="20"/>
                <w:lang w:val="en-GB"/>
              </w:rPr>
            </w:pPr>
          </w:p>
          <w:p w:rsidR="006419BC" w:rsidRPr="00876226" w:rsidRDefault="006419BC" w:rsidP="00AD7105">
            <w:pPr>
              <w:rPr>
                <w:b/>
                <w:color w:val="000000" w:themeColor="text1"/>
                <w:sz w:val="20"/>
                <w:lang w:val="en-GB"/>
              </w:rPr>
            </w:pPr>
            <w:r w:rsidRPr="000637E9">
              <w:rPr>
                <w:b/>
                <w:color w:val="000000" w:themeColor="text1"/>
                <w:sz w:val="20"/>
                <w:lang w:val="en-GB"/>
              </w:rPr>
              <w:t xml:space="preserve">Sodium-glucose-co-transporter 2 inhibitors </w:t>
            </w:r>
            <w:r w:rsidRPr="00F34EF5">
              <w:rPr>
                <w:rFonts w:cstheme="minorHAnsi"/>
                <w:b/>
                <w:noProof/>
                <w:vertAlign w:val="superscript"/>
                <w:lang w:val="en-GB"/>
              </w:rPr>
              <w:t>57</w:t>
            </w:r>
          </w:p>
          <w:p w:rsidR="006419BC" w:rsidRPr="00B25D96" w:rsidRDefault="006419BC" w:rsidP="00AD7105">
            <w:pPr>
              <w:pStyle w:val="Listenabsatz"/>
              <w:numPr>
                <w:ilvl w:val="0"/>
                <w:numId w:val="7"/>
              </w:numPr>
              <w:rPr>
                <w:b/>
                <w:color w:val="000000" w:themeColor="text1"/>
                <w:sz w:val="20"/>
                <w:lang w:val="en-GB"/>
              </w:rPr>
            </w:pPr>
            <w:r w:rsidRPr="00B25D96">
              <w:rPr>
                <w:b/>
                <w:color w:val="000000" w:themeColor="text1"/>
                <w:sz w:val="20"/>
                <w:lang w:val="en-GB"/>
              </w:rPr>
              <w:t>Reduce blood glucose levels</w:t>
            </w:r>
          </w:p>
          <w:p w:rsidR="006419BC" w:rsidRPr="00812349" w:rsidRDefault="006419BC" w:rsidP="00AD7105">
            <w:pPr>
              <w:pStyle w:val="Listenabsatz"/>
              <w:numPr>
                <w:ilvl w:val="0"/>
                <w:numId w:val="7"/>
              </w:numPr>
              <w:rPr>
                <w:b/>
                <w:color w:val="000000" w:themeColor="text1"/>
                <w:sz w:val="20"/>
                <w:lang w:val="en-GB"/>
              </w:rPr>
            </w:pPr>
            <w:r w:rsidRPr="00812349">
              <w:rPr>
                <w:b/>
                <w:color w:val="000000" w:themeColor="text1"/>
                <w:sz w:val="20"/>
                <w:lang w:val="en-GB"/>
              </w:rPr>
              <w:t>Reduc</w:t>
            </w:r>
            <w:r>
              <w:rPr>
                <w:b/>
                <w:color w:val="000000" w:themeColor="text1"/>
                <w:sz w:val="20"/>
                <w:lang w:val="en-GB"/>
              </w:rPr>
              <w:t xml:space="preserve">es </w:t>
            </w:r>
            <w:r w:rsidRPr="00812349">
              <w:rPr>
                <w:b/>
                <w:color w:val="000000" w:themeColor="text1"/>
                <w:sz w:val="20"/>
                <w:lang w:val="en-GB"/>
              </w:rPr>
              <w:t>viral load</w:t>
            </w:r>
          </w:p>
          <w:p w:rsidR="006419BC" w:rsidRPr="00710071" w:rsidRDefault="006419BC" w:rsidP="00AD7105">
            <w:pPr>
              <w:pStyle w:val="Listenabsatz"/>
              <w:numPr>
                <w:ilvl w:val="0"/>
                <w:numId w:val="7"/>
              </w:numPr>
              <w:rPr>
                <w:b/>
                <w:color w:val="000000" w:themeColor="text1"/>
                <w:sz w:val="20"/>
                <w:lang w:val="en-GB"/>
              </w:rPr>
            </w:pPr>
            <w:r w:rsidRPr="00710071">
              <w:rPr>
                <w:b/>
                <w:color w:val="000000" w:themeColor="text1"/>
                <w:sz w:val="20"/>
                <w:lang w:val="en-GB"/>
              </w:rPr>
              <w:t>Positive effects on cardiovascular and renal functions</w:t>
            </w:r>
          </w:p>
          <w:p w:rsidR="006419BC" w:rsidRPr="00276A60" w:rsidRDefault="006419BC" w:rsidP="00AD7105">
            <w:pPr>
              <w:rPr>
                <w:b/>
                <w:color w:val="000000" w:themeColor="text1"/>
                <w:sz w:val="20"/>
                <w:lang w:val="en-GB"/>
              </w:rPr>
            </w:pPr>
          </w:p>
          <w:p w:rsidR="006419BC" w:rsidRPr="00876226" w:rsidRDefault="006419BC" w:rsidP="00AD7105">
            <w:pPr>
              <w:rPr>
                <w:b/>
                <w:color w:val="000000" w:themeColor="text1"/>
                <w:sz w:val="20"/>
                <w:lang w:val="en-GB"/>
              </w:rPr>
            </w:pPr>
            <w:r w:rsidRPr="00276A60">
              <w:rPr>
                <w:b/>
                <w:color w:val="000000" w:themeColor="text1"/>
                <w:sz w:val="20"/>
                <w:lang w:val="en-GB"/>
              </w:rPr>
              <w:t xml:space="preserve">Glucagon-like peptide-1 receptor agonists </w:t>
            </w:r>
            <w:r>
              <w:rPr>
                <w:rFonts w:cstheme="minorHAnsi"/>
                <w:b/>
                <w:noProof/>
                <w:vertAlign w:val="superscript"/>
                <w:lang w:val="en-GB"/>
              </w:rPr>
              <w:t>108,109</w:t>
            </w:r>
          </w:p>
          <w:p w:rsidR="006419BC" w:rsidRPr="00B25D96" w:rsidRDefault="006419BC" w:rsidP="00AD7105">
            <w:pPr>
              <w:pStyle w:val="Listenabsatz"/>
              <w:numPr>
                <w:ilvl w:val="0"/>
                <w:numId w:val="7"/>
              </w:numPr>
              <w:rPr>
                <w:b/>
                <w:color w:val="000000" w:themeColor="text1"/>
                <w:sz w:val="20"/>
                <w:lang w:val="en-GB"/>
              </w:rPr>
            </w:pPr>
            <w:r w:rsidRPr="00B25D96">
              <w:rPr>
                <w:b/>
                <w:color w:val="000000" w:themeColor="text1"/>
                <w:sz w:val="20"/>
                <w:lang w:val="en-GB"/>
              </w:rPr>
              <w:t>Reduce blood glucose levels</w:t>
            </w:r>
          </w:p>
          <w:p w:rsidR="006419BC" w:rsidRPr="00812349" w:rsidRDefault="006419BC" w:rsidP="00AD7105">
            <w:pPr>
              <w:pStyle w:val="Listenabsatz"/>
              <w:numPr>
                <w:ilvl w:val="0"/>
                <w:numId w:val="7"/>
              </w:numPr>
              <w:rPr>
                <w:b/>
                <w:color w:val="000000" w:themeColor="text1"/>
                <w:sz w:val="20"/>
                <w:lang w:val="en-GB"/>
              </w:rPr>
            </w:pPr>
            <w:r w:rsidRPr="00812349">
              <w:rPr>
                <w:b/>
                <w:color w:val="000000" w:themeColor="text1"/>
                <w:sz w:val="20"/>
                <w:lang w:val="en-GB"/>
              </w:rPr>
              <w:t>Anti-inflammatory effects</w:t>
            </w:r>
          </w:p>
          <w:p w:rsidR="006419BC" w:rsidRPr="00710071" w:rsidRDefault="006419BC" w:rsidP="00AD7105">
            <w:pPr>
              <w:pStyle w:val="Listenabsatz"/>
              <w:numPr>
                <w:ilvl w:val="0"/>
                <w:numId w:val="7"/>
              </w:numPr>
              <w:rPr>
                <w:b/>
                <w:color w:val="000000" w:themeColor="text1"/>
                <w:sz w:val="20"/>
                <w:lang w:val="en-GB"/>
              </w:rPr>
            </w:pPr>
            <w:r w:rsidRPr="00710071">
              <w:rPr>
                <w:b/>
                <w:color w:val="000000" w:themeColor="text1"/>
                <w:sz w:val="20"/>
                <w:lang w:val="en-GB"/>
              </w:rPr>
              <w:t>Improv</w:t>
            </w:r>
            <w:r>
              <w:rPr>
                <w:b/>
                <w:color w:val="000000" w:themeColor="text1"/>
                <w:sz w:val="20"/>
                <w:lang w:val="en-GB"/>
              </w:rPr>
              <w:t>e</w:t>
            </w:r>
            <w:r w:rsidRPr="00710071">
              <w:rPr>
                <w:b/>
                <w:color w:val="000000" w:themeColor="text1"/>
                <w:sz w:val="20"/>
                <w:lang w:val="en-GB"/>
              </w:rPr>
              <w:t xml:space="preserve"> endothelial dysfunction</w:t>
            </w:r>
          </w:p>
          <w:p w:rsidR="006419BC" w:rsidRPr="00276A60" w:rsidRDefault="006419BC" w:rsidP="00AD7105">
            <w:pPr>
              <w:pStyle w:val="Listenabsatz"/>
              <w:numPr>
                <w:ilvl w:val="0"/>
                <w:numId w:val="7"/>
              </w:numPr>
              <w:rPr>
                <w:b/>
                <w:color w:val="000000" w:themeColor="text1"/>
                <w:sz w:val="20"/>
                <w:lang w:val="en-GB"/>
              </w:rPr>
            </w:pPr>
            <w:r w:rsidRPr="00276A60">
              <w:rPr>
                <w:b/>
                <w:color w:val="000000" w:themeColor="text1"/>
                <w:sz w:val="20"/>
                <w:lang w:val="en-GB"/>
              </w:rPr>
              <w:t>Improv</w:t>
            </w:r>
            <w:r>
              <w:rPr>
                <w:b/>
                <w:color w:val="000000" w:themeColor="text1"/>
                <w:sz w:val="20"/>
                <w:lang w:val="en-GB"/>
              </w:rPr>
              <w:t>e</w:t>
            </w:r>
            <w:r w:rsidRPr="00276A60">
              <w:rPr>
                <w:b/>
                <w:color w:val="000000" w:themeColor="text1"/>
                <w:sz w:val="20"/>
                <w:lang w:val="en-GB"/>
              </w:rPr>
              <w:t xml:space="preserve"> cardiovascular and renal functions</w:t>
            </w:r>
          </w:p>
          <w:p w:rsidR="006419BC" w:rsidRPr="00276A60" w:rsidRDefault="006419BC" w:rsidP="00AD7105">
            <w:pPr>
              <w:rPr>
                <w:b/>
                <w:color w:val="000000" w:themeColor="text1"/>
                <w:sz w:val="20"/>
                <w:lang w:val="en-GB"/>
              </w:rPr>
            </w:pPr>
          </w:p>
          <w:p w:rsidR="006419BC" w:rsidRPr="00876226" w:rsidRDefault="006419BC" w:rsidP="00AD7105">
            <w:pPr>
              <w:rPr>
                <w:b/>
                <w:color w:val="000000" w:themeColor="text1"/>
                <w:sz w:val="20"/>
                <w:lang w:val="en-GB"/>
              </w:rPr>
            </w:pPr>
            <w:r w:rsidRPr="00276A60">
              <w:rPr>
                <w:b/>
                <w:color w:val="000000" w:themeColor="text1"/>
                <w:sz w:val="20"/>
                <w:lang w:val="en-GB"/>
              </w:rPr>
              <w:t xml:space="preserve">Dipeptidyl </w:t>
            </w:r>
            <w:r w:rsidRPr="00EA05A2">
              <w:rPr>
                <w:b/>
                <w:color w:val="000000" w:themeColor="text1"/>
                <w:sz w:val="20"/>
                <w:lang w:val="en-GB"/>
              </w:rPr>
              <w:t xml:space="preserve">peptidase-4 inhibitors </w:t>
            </w:r>
            <w:r w:rsidRPr="00F34EF5">
              <w:rPr>
                <w:rFonts w:cstheme="minorHAnsi"/>
                <w:b/>
                <w:noProof/>
                <w:vertAlign w:val="superscript"/>
                <w:lang w:val="en-GB"/>
              </w:rPr>
              <w:t>58,59</w:t>
            </w:r>
          </w:p>
          <w:p w:rsidR="006419BC" w:rsidRPr="00812349" w:rsidRDefault="006419BC" w:rsidP="00AD7105">
            <w:pPr>
              <w:pStyle w:val="Listenabsatz"/>
              <w:numPr>
                <w:ilvl w:val="0"/>
                <w:numId w:val="7"/>
              </w:numPr>
              <w:rPr>
                <w:b/>
                <w:color w:val="000000" w:themeColor="text1"/>
                <w:sz w:val="20"/>
                <w:lang w:val="en-GB"/>
              </w:rPr>
            </w:pPr>
            <w:r w:rsidRPr="00B25D96">
              <w:rPr>
                <w:b/>
                <w:color w:val="000000" w:themeColor="text1"/>
                <w:sz w:val="20"/>
                <w:lang w:val="en-GB"/>
              </w:rPr>
              <w:t xml:space="preserve">Reduce </w:t>
            </w:r>
            <w:r w:rsidRPr="00812349">
              <w:rPr>
                <w:b/>
                <w:color w:val="000000" w:themeColor="text1"/>
                <w:sz w:val="20"/>
                <w:lang w:val="en-GB"/>
              </w:rPr>
              <w:t>blood glucose levels</w:t>
            </w:r>
          </w:p>
          <w:p w:rsidR="006419BC" w:rsidRPr="00710071" w:rsidRDefault="006419BC" w:rsidP="00AD7105">
            <w:pPr>
              <w:pStyle w:val="Listenabsatz"/>
              <w:numPr>
                <w:ilvl w:val="0"/>
                <w:numId w:val="9"/>
              </w:numPr>
              <w:rPr>
                <w:b/>
                <w:color w:val="000000" w:themeColor="text1"/>
                <w:sz w:val="20"/>
                <w:lang w:val="en-GB"/>
              </w:rPr>
            </w:pPr>
            <w:r w:rsidRPr="00710071">
              <w:rPr>
                <w:b/>
                <w:color w:val="000000" w:themeColor="text1"/>
                <w:sz w:val="20"/>
                <w:lang w:val="en-GB"/>
              </w:rPr>
              <w:t>Blockage of virus uptake</w:t>
            </w:r>
          </w:p>
          <w:p w:rsidR="006419BC" w:rsidRPr="00276A60" w:rsidRDefault="006419BC" w:rsidP="00AD7105">
            <w:pPr>
              <w:pStyle w:val="Listenabsatz"/>
              <w:numPr>
                <w:ilvl w:val="0"/>
                <w:numId w:val="9"/>
              </w:numPr>
              <w:rPr>
                <w:b/>
                <w:color w:val="000000" w:themeColor="text1"/>
                <w:sz w:val="20"/>
                <w:lang w:val="en-GB"/>
              </w:rPr>
            </w:pPr>
            <w:r w:rsidRPr="00276A60">
              <w:rPr>
                <w:b/>
                <w:color w:val="000000" w:themeColor="text1"/>
                <w:sz w:val="20"/>
                <w:lang w:val="en-GB"/>
              </w:rPr>
              <w:t>Reduce inflammatory response</w:t>
            </w:r>
          </w:p>
          <w:p w:rsidR="006419BC" w:rsidRPr="00276A60" w:rsidRDefault="006419BC" w:rsidP="00AD7105">
            <w:pPr>
              <w:pStyle w:val="Listenabsatz"/>
              <w:numPr>
                <w:ilvl w:val="0"/>
                <w:numId w:val="9"/>
              </w:numPr>
              <w:rPr>
                <w:b/>
                <w:color w:val="000000" w:themeColor="text1"/>
                <w:sz w:val="20"/>
                <w:lang w:val="en-GB"/>
              </w:rPr>
            </w:pPr>
            <w:r w:rsidRPr="00276A60">
              <w:rPr>
                <w:b/>
                <w:color w:val="000000" w:themeColor="text1"/>
                <w:sz w:val="20"/>
                <w:lang w:val="en-GB"/>
              </w:rPr>
              <w:t>Well tolerated</w:t>
            </w:r>
          </w:p>
          <w:p w:rsidR="006419BC" w:rsidRPr="00EA05A2" w:rsidRDefault="006419BC" w:rsidP="00AD7105">
            <w:pPr>
              <w:rPr>
                <w:b/>
                <w:color w:val="000000" w:themeColor="text1"/>
                <w:sz w:val="20"/>
                <w:lang w:val="en-GB"/>
              </w:rPr>
            </w:pPr>
          </w:p>
          <w:p w:rsidR="006419BC" w:rsidRPr="00AD581A" w:rsidRDefault="006419BC" w:rsidP="00AD7105">
            <w:pPr>
              <w:rPr>
                <w:b/>
                <w:color w:val="000000" w:themeColor="text1"/>
                <w:sz w:val="20"/>
                <w:lang w:val="en-GB"/>
              </w:rPr>
            </w:pPr>
            <w:r w:rsidRPr="00AD581A">
              <w:rPr>
                <w:b/>
                <w:color w:val="000000" w:themeColor="text1"/>
                <w:sz w:val="20"/>
                <w:lang w:val="en-GB"/>
              </w:rPr>
              <w:t>Insulin</w:t>
            </w:r>
            <w:r>
              <w:rPr>
                <w:b/>
                <w:color w:val="000000" w:themeColor="text1"/>
                <w:sz w:val="20"/>
                <w:lang w:val="en-GB"/>
              </w:rPr>
              <w:t xml:space="preserve"> </w:t>
            </w:r>
            <w:r w:rsidRPr="00252072">
              <w:rPr>
                <w:b/>
                <w:noProof/>
                <w:color w:val="000000" w:themeColor="text1"/>
                <w:sz w:val="20"/>
                <w:vertAlign w:val="superscript"/>
                <w:lang w:val="en-GB"/>
              </w:rPr>
              <w:t>22,113</w:t>
            </w:r>
          </w:p>
          <w:p w:rsidR="006419BC" w:rsidRDefault="006419BC" w:rsidP="00AD7105">
            <w:pPr>
              <w:pStyle w:val="Listenabsatz"/>
              <w:numPr>
                <w:ilvl w:val="0"/>
                <w:numId w:val="7"/>
              </w:numPr>
              <w:rPr>
                <w:b/>
                <w:color w:val="000000" w:themeColor="text1"/>
                <w:sz w:val="20"/>
                <w:lang w:val="en-GB"/>
              </w:rPr>
            </w:pPr>
            <w:r w:rsidRPr="00876226">
              <w:rPr>
                <w:b/>
                <w:color w:val="000000" w:themeColor="text1"/>
                <w:sz w:val="20"/>
                <w:lang w:val="en-GB"/>
              </w:rPr>
              <w:t>Reduces blood glucose levels</w:t>
            </w:r>
          </w:p>
          <w:p w:rsidR="006419BC" w:rsidRPr="00876226" w:rsidRDefault="006419BC" w:rsidP="00AD7105">
            <w:pPr>
              <w:pStyle w:val="Listenabsatz"/>
              <w:numPr>
                <w:ilvl w:val="0"/>
                <w:numId w:val="7"/>
              </w:numPr>
              <w:rPr>
                <w:b/>
                <w:color w:val="000000" w:themeColor="text1"/>
                <w:sz w:val="20"/>
                <w:lang w:val="en-GB"/>
              </w:rPr>
            </w:pPr>
            <w:r>
              <w:rPr>
                <w:b/>
                <w:color w:val="000000" w:themeColor="text1"/>
                <w:sz w:val="20"/>
                <w:lang w:val="en-GB"/>
              </w:rPr>
              <w:t>Anti-inflammatory effect</w:t>
            </w:r>
          </w:p>
          <w:p w:rsidR="006419BC" w:rsidRPr="00B25D96" w:rsidRDefault="006419BC" w:rsidP="00AD7105">
            <w:pPr>
              <w:rPr>
                <w:b/>
                <w:color w:val="000000" w:themeColor="text1"/>
                <w:sz w:val="20"/>
                <w:lang w:val="en-GB"/>
              </w:rPr>
            </w:pPr>
          </w:p>
        </w:tc>
        <w:tc>
          <w:tcPr>
            <w:tcW w:w="4531" w:type="dxa"/>
            <w:shd w:val="clear" w:color="auto" w:fill="FBE4D5" w:themeFill="accent2" w:themeFillTint="33"/>
          </w:tcPr>
          <w:p w:rsidR="006419BC" w:rsidRPr="00812349" w:rsidRDefault="006419BC" w:rsidP="00AD7105">
            <w:pPr>
              <w:rPr>
                <w:b/>
                <w:color w:val="000000" w:themeColor="text1"/>
                <w:sz w:val="20"/>
                <w:lang w:val="en-GB"/>
              </w:rPr>
            </w:pPr>
            <w:r w:rsidRPr="00812349">
              <w:rPr>
                <w:b/>
                <w:color w:val="000000" w:themeColor="text1"/>
                <w:sz w:val="20"/>
                <w:lang w:val="en-GB"/>
              </w:rPr>
              <w:t>Glucocorticoids</w:t>
            </w:r>
          </w:p>
          <w:p w:rsidR="006419BC" w:rsidRPr="00876226" w:rsidRDefault="006419BC" w:rsidP="00AD7105">
            <w:pPr>
              <w:pStyle w:val="Listenabsatz"/>
              <w:numPr>
                <w:ilvl w:val="0"/>
                <w:numId w:val="9"/>
              </w:numPr>
              <w:rPr>
                <w:b/>
                <w:color w:val="000000" w:themeColor="text1"/>
                <w:sz w:val="20"/>
                <w:lang w:val="en-GB"/>
              </w:rPr>
            </w:pPr>
            <w:r w:rsidRPr="00D47D74">
              <w:rPr>
                <w:b/>
                <w:color w:val="000000" w:themeColor="text1"/>
                <w:sz w:val="20"/>
                <w:lang w:val="en-GB"/>
              </w:rPr>
              <w:t xml:space="preserve">Risk of hyperglycaemia </w:t>
            </w:r>
            <w:r w:rsidRPr="00A35011">
              <w:rPr>
                <w:rFonts w:cstheme="minorHAnsi"/>
                <w:b/>
                <w:noProof/>
                <w:vertAlign w:val="superscript"/>
                <w:lang w:val="en-GB"/>
              </w:rPr>
              <w:t>146</w:t>
            </w:r>
          </w:p>
          <w:p w:rsidR="006419BC" w:rsidRPr="00B25D96" w:rsidRDefault="006419BC" w:rsidP="00AD7105">
            <w:pPr>
              <w:rPr>
                <w:b/>
                <w:color w:val="000000" w:themeColor="text1"/>
                <w:sz w:val="20"/>
                <w:lang w:val="en-GB"/>
              </w:rPr>
            </w:pPr>
          </w:p>
          <w:p w:rsidR="006419BC" w:rsidRPr="00876226" w:rsidRDefault="006419BC" w:rsidP="00AD7105">
            <w:pPr>
              <w:rPr>
                <w:b/>
                <w:color w:val="000000" w:themeColor="text1"/>
                <w:sz w:val="20"/>
                <w:lang w:val="en-GB"/>
              </w:rPr>
            </w:pPr>
            <w:r w:rsidRPr="00812349">
              <w:rPr>
                <w:b/>
                <w:color w:val="000000" w:themeColor="text1"/>
                <w:sz w:val="20"/>
                <w:lang w:val="en-GB"/>
              </w:rPr>
              <w:t xml:space="preserve">ACE inhibitors/Ang II receptor blockers </w:t>
            </w:r>
            <w:r w:rsidRPr="00F34EF5">
              <w:rPr>
                <w:rFonts w:cstheme="minorHAnsi"/>
                <w:b/>
                <w:noProof/>
                <w:vertAlign w:val="superscript"/>
                <w:lang w:val="en-GB"/>
              </w:rPr>
              <w:t>38</w:t>
            </w:r>
          </w:p>
          <w:p w:rsidR="006419BC" w:rsidRPr="00876226" w:rsidRDefault="006419BC" w:rsidP="00AD7105">
            <w:pPr>
              <w:pStyle w:val="Listenabsatz"/>
              <w:numPr>
                <w:ilvl w:val="0"/>
                <w:numId w:val="9"/>
              </w:numPr>
              <w:rPr>
                <w:b/>
                <w:color w:val="000000" w:themeColor="text1"/>
                <w:sz w:val="20"/>
                <w:lang w:val="en-GB"/>
              </w:rPr>
            </w:pPr>
            <w:r w:rsidRPr="00B25D96">
              <w:rPr>
                <w:b/>
                <w:color w:val="000000" w:themeColor="text1"/>
                <w:sz w:val="20"/>
                <w:lang w:val="en-GB"/>
              </w:rPr>
              <w:t xml:space="preserve">Increased expression of membrane-bound ACE2, </w:t>
            </w:r>
            <w:r>
              <w:rPr>
                <w:b/>
                <w:color w:val="000000" w:themeColor="text1"/>
                <w:sz w:val="20"/>
                <w:lang w:val="en-GB"/>
              </w:rPr>
              <w:t xml:space="preserve">might </w:t>
            </w:r>
            <w:r w:rsidRPr="00B25D96">
              <w:rPr>
                <w:b/>
                <w:color w:val="000000" w:themeColor="text1"/>
                <w:sz w:val="20"/>
                <w:lang w:val="en-GB"/>
              </w:rPr>
              <w:t>increase virus entry</w:t>
            </w:r>
            <w:r>
              <w:rPr>
                <w:b/>
                <w:color w:val="000000" w:themeColor="text1"/>
                <w:sz w:val="20"/>
                <w:lang w:val="en-GB"/>
              </w:rPr>
              <w:t xml:space="preserve"> (no clinical evidence)</w:t>
            </w:r>
            <w:r w:rsidRPr="00B25D96">
              <w:rPr>
                <w:b/>
                <w:color w:val="000000" w:themeColor="text1"/>
                <w:sz w:val="20"/>
                <w:lang w:val="en-GB"/>
              </w:rPr>
              <w:t xml:space="preserve"> </w:t>
            </w:r>
            <w:r w:rsidRPr="00F34EF5">
              <w:rPr>
                <w:rFonts w:cstheme="minorHAnsi"/>
                <w:b/>
                <w:noProof/>
                <w:vertAlign w:val="superscript"/>
                <w:lang w:val="en-GB"/>
              </w:rPr>
              <w:t>33</w:t>
            </w:r>
          </w:p>
          <w:p w:rsidR="006419BC" w:rsidRPr="00B25D96" w:rsidRDefault="006419BC" w:rsidP="00AD7105">
            <w:pPr>
              <w:rPr>
                <w:b/>
                <w:color w:val="000000" w:themeColor="text1"/>
                <w:sz w:val="20"/>
                <w:lang w:val="en-GB"/>
              </w:rPr>
            </w:pPr>
          </w:p>
          <w:p w:rsidR="006419BC" w:rsidRPr="00AD581A" w:rsidRDefault="006419BC" w:rsidP="00AD7105">
            <w:pPr>
              <w:rPr>
                <w:b/>
                <w:color w:val="000000" w:themeColor="text1"/>
                <w:sz w:val="20"/>
                <w:lang w:val="en-GB"/>
              </w:rPr>
            </w:pPr>
            <w:r w:rsidRPr="00AD581A">
              <w:rPr>
                <w:b/>
                <w:color w:val="000000" w:themeColor="text1"/>
                <w:sz w:val="20"/>
                <w:lang w:val="en-GB"/>
              </w:rPr>
              <w:t xml:space="preserve">Metformin </w:t>
            </w:r>
            <w:r w:rsidRPr="00D96F48">
              <w:rPr>
                <w:rFonts w:cstheme="minorHAnsi"/>
                <w:b/>
                <w:noProof/>
                <w:vertAlign w:val="superscript"/>
                <w:lang w:val="en-GB"/>
              </w:rPr>
              <w:t>100,101</w:t>
            </w:r>
          </w:p>
          <w:p w:rsidR="006419BC" w:rsidRPr="00876226" w:rsidRDefault="006419BC" w:rsidP="00AD7105">
            <w:pPr>
              <w:pStyle w:val="Listenabsatz"/>
              <w:numPr>
                <w:ilvl w:val="0"/>
                <w:numId w:val="8"/>
              </w:numPr>
              <w:rPr>
                <w:b/>
                <w:color w:val="000000" w:themeColor="text1"/>
                <w:sz w:val="20"/>
                <w:lang w:val="en-GB"/>
              </w:rPr>
            </w:pPr>
            <w:r w:rsidRPr="00876226">
              <w:rPr>
                <w:b/>
                <w:color w:val="000000" w:themeColor="text1"/>
                <w:sz w:val="20"/>
                <w:lang w:val="en-GB"/>
              </w:rPr>
              <w:t>Risk of dehydration and lactic acidosis</w:t>
            </w:r>
          </w:p>
          <w:p w:rsidR="006419BC" w:rsidRPr="00B25D96" w:rsidRDefault="006419BC" w:rsidP="00AD7105">
            <w:pPr>
              <w:pStyle w:val="Listenabsatz"/>
              <w:numPr>
                <w:ilvl w:val="0"/>
                <w:numId w:val="8"/>
              </w:numPr>
              <w:rPr>
                <w:b/>
                <w:color w:val="000000" w:themeColor="text1"/>
                <w:sz w:val="20"/>
                <w:lang w:val="en-GB"/>
              </w:rPr>
            </w:pPr>
            <w:r w:rsidRPr="00B25D96">
              <w:rPr>
                <w:b/>
                <w:color w:val="000000" w:themeColor="text1"/>
                <w:sz w:val="20"/>
                <w:lang w:val="en-GB"/>
              </w:rPr>
              <w:t>Chronic kidney disease</w:t>
            </w:r>
          </w:p>
          <w:p w:rsidR="006419BC" w:rsidRPr="00812349" w:rsidRDefault="006419BC" w:rsidP="00AD7105">
            <w:pPr>
              <w:pStyle w:val="Listenabsatz"/>
              <w:numPr>
                <w:ilvl w:val="0"/>
                <w:numId w:val="8"/>
              </w:numPr>
              <w:rPr>
                <w:b/>
                <w:color w:val="000000" w:themeColor="text1"/>
                <w:sz w:val="20"/>
                <w:lang w:val="en-GB"/>
              </w:rPr>
            </w:pPr>
            <w:r w:rsidRPr="00812349">
              <w:rPr>
                <w:b/>
                <w:color w:val="000000" w:themeColor="text1"/>
                <w:sz w:val="20"/>
                <w:lang w:val="en-GB"/>
              </w:rPr>
              <w:t>Acute kidney injury</w:t>
            </w:r>
          </w:p>
          <w:p w:rsidR="006419BC" w:rsidRPr="00710071" w:rsidRDefault="006419BC" w:rsidP="00AD7105">
            <w:pPr>
              <w:rPr>
                <w:b/>
                <w:color w:val="000000" w:themeColor="text1"/>
                <w:sz w:val="20"/>
                <w:lang w:val="en-GB"/>
              </w:rPr>
            </w:pPr>
          </w:p>
          <w:p w:rsidR="006419BC" w:rsidRPr="00276A60" w:rsidRDefault="006419BC" w:rsidP="00AD7105">
            <w:pPr>
              <w:rPr>
                <w:b/>
                <w:color w:val="000000" w:themeColor="text1"/>
                <w:sz w:val="20"/>
                <w:lang w:val="en-GB"/>
              </w:rPr>
            </w:pPr>
          </w:p>
          <w:p w:rsidR="006419BC" w:rsidRPr="00276A60" w:rsidRDefault="006419BC" w:rsidP="00AD7105">
            <w:pPr>
              <w:rPr>
                <w:b/>
                <w:color w:val="000000" w:themeColor="text1"/>
                <w:sz w:val="20"/>
                <w:lang w:val="en-GB"/>
              </w:rPr>
            </w:pPr>
          </w:p>
          <w:p w:rsidR="006419BC" w:rsidRPr="00EA05A2" w:rsidRDefault="006419BC" w:rsidP="00AD7105">
            <w:pPr>
              <w:rPr>
                <w:b/>
                <w:color w:val="000000" w:themeColor="text1"/>
                <w:sz w:val="20"/>
                <w:lang w:val="en-GB"/>
              </w:rPr>
            </w:pPr>
          </w:p>
          <w:p w:rsidR="006419BC" w:rsidRPr="00E3451E" w:rsidRDefault="006419BC" w:rsidP="00AD7105">
            <w:pPr>
              <w:rPr>
                <w:b/>
                <w:color w:val="000000" w:themeColor="text1"/>
                <w:sz w:val="20"/>
                <w:lang w:val="en-GB"/>
              </w:rPr>
            </w:pPr>
          </w:p>
          <w:p w:rsidR="006419BC" w:rsidRPr="00876226" w:rsidRDefault="006419BC" w:rsidP="00AD7105">
            <w:pPr>
              <w:rPr>
                <w:b/>
                <w:color w:val="000000" w:themeColor="text1"/>
                <w:sz w:val="20"/>
                <w:lang w:val="en-GB"/>
              </w:rPr>
            </w:pPr>
            <w:r w:rsidRPr="00E3451E">
              <w:rPr>
                <w:b/>
                <w:color w:val="000000" w:themeColor="text1"/>
                <w:sz w:val="20"/>
                <w:lang w:val="en-GB"/>
              </w:rPr>
              <w:t xml:space="preserve">Sodium-glucose-co-transporter 2 inhibitors </w:t>
            </w:r>
            <w:r w:rsidRPr="00F34EF5">
              <w:rPr>
                <w:b/>
                <w:noProof/>
                <w:color w:val="000000" w:themeColor="text1"/>
                <w:sz w:val="20"/>
                <w:vertAlign w:val="superscript"/>
                <w:lang w:val="en-GB"/>
              </w:rPr>
              <w:t>22</w:t>
            </w:r>
          </w:p>
          <w:p w:rsidR="006419BC" w:rsidRPr="00B25D96" w:rsidRDefault="006419BC" w:rsidP="00AD7105">
            <w:pPr>
              <w:pStyle w:val="Listenabsatz"/>
              <w:numPr>
                <w:ilvl w:val="0"/>
                <w:numId w:val="8"/>
              </w:numPr>
              <w:rPr>
                <w:b/>
                <w:color w:val="000000" w:themeColor="text1"/>
                <w:sz w:val="20"/>
                <w:lang w:val="en-GB"/>
              </w:rPr>
            </w:pPr>
            <w:r w:rsidRPr="00B25D96">
              <w:rPr>
                <w:b/>
                <w:color w:val="000000" w:themeColor="text1"/>
                <w:sz w:val="20"/>
                <w:lang w:val="en-GB"/>
              </w:rPr>
              <w:t>Risk of dehydration</w:t>
            </w:r>
          </w:p>
          <w:p w:rsidR="006419BC" w:rsidRPr="00812349" w:rsidRDefault="006419BC" w:rsidP="00AD7105">
            <w:pPr>
              <w:pStyle w:val="Listenabsatz"/>
              <w:numPr>
                <w:ilvl w:val="0"/>
                <w:numId w:val="8"/>
              </w:numPr>
              <w:rPr>
                <w:b/>
                <w:color w:val="000000" w:themeColor="text1"/>
                <w:sz w:val="20"/>
                <w:lang w:val="en-GB"/>
              </w:rPr>
            </w:pPr>
            <w:r w:rsidRPr="00812349">
              <w:rPr>
                <w:b/>
                <w:color w:val="000000" w:themeColor="text1"/>
                <w:sz w:val="20"/>
                <w:lang w:val="en-GB"/>
              </w:rPr>
              <w:t>Diabetic ketoacidosis</w:t>
            </w:r>
          </w:p>
          <w:p w:rsidR="006419BC" w:rsidRPr="00710071" w:rsidRDefault="006419BC" w:rsidP="00AD7105">
            <w:pPr>
              <w:pStyle w:val="Listenabsatz"/>
              <w:numPr>
                <w:ilvl w:val="0"/>
                <w:numId w:val="8"/>
              </w:numPr>
              <w:rPr>
                <w:b/>
                <w:color w:val="000000" w:themeColor="text1"/>
                <w:sz w:val="20"/>
                <w:lang w:val="en-GB"/>
              </w:rPr>
            </w:pPr>
            <w:r w:rsidRPr="00710071">
              <w:rPr>
                <w:b/>
                <w:color w:val="000000" w:themeColor="text1"/>
                <w:sz w:val="20"/>
                <w:lang w:val="en-GB"/>
              </w:rPr>
              <w:t>Acute kidney injury</w:t>
            </w:r>
          </w:p>
          <w:p w:rsidR="006419BC" w:rsidRPr="00276A60" w:rsidRDefault="006419BC" w:rsidP="00AD7105">
            <w:pPr>
              <w:rPr>
                <w:b/>
                <w:color w:val="000000" w:themeColor="text1"/>
                <w:sz w:val="20"/>
                <w:lang w:val="en-GB"/>
              </w:rPr>
            </w:pPr>
          </w:p>
          <w:p w:rsidR="006419BC" w:rsidRPr="00276A60" w:rsidRDefault="006419BC" w:rsidP="00AD7105">
            <w:pPr>
              <w:rPr>
                <w:b/>
                <w:color w:val="000000" w:themeColor="text1"/>
                <w:sz w:val="20"/>
                <w:lang w:val="en-GB"/>
              </w:rPr>
            </w:pPr>
          </w:p>
          <w:p w:rsidR="006419BC" w:rsidRPr="00876226" w:rsidRDefault="006419BC" w:rsidP="00AD7105">
            <w:pPr>
              <w:rPr>
                <w:b/>
                <w:color w:val="000000" w:themeColor="text1"/>
                <w:sz w:val="20"/>
                <w:lang w:val="en-GB"/>
              </w:rPr>
            </w:pPr>
            <w:r w:rsidRPr="00276A60">
              <w:rPr>
                <w:b/>
                <w:color w:val="000000" w:themeColor="text1"/>
                <w:sz w:val="20"/>
                <w:lang w:val="en-GB"/>
              </w:rPr>
              <w:t xml:space="preserve">Glucagon-like peptide-1 receptor agonists </w:t>
            </w:r>
            <w:r w:rsidRPr="00F34EF5">
              <w:rPr>
                <w:b/>
                <w:noProof/>
                <w:color w:val="000000" w:themeColor="text1"/>
                <w:sz w:val="20"/>
                <w:vertAlign w:val="superscript"/>
                <w:lang w:val="en-GB"/>
              </w:rPr>
              <w:t>22</w:t>
            </w:r>
          </w:p>
          <w:p w:rsidR="006419BC" w:rsidRPr="00B25D96" w:rsidRDefault="006419BC" w:rsidP="00AD7105">
            <w:pPr>
              <w:pStyle w:val="Listenabsatz"/>
              <w:numPr>
                <w:ilvl w:val="0"/>
                <w:numId w:val="8"/>
              </w:numPr>
              <w:rPr>
                <w:b/>
                <w:color w:val="000000" w:themeColor="text1"/>
                <w:sz w:val="20"/>
                <w:lang w:val="en-GB"/>
              </w:rPr>
            </w:pPr>
            <w:r w:rsidRPr="00B25D96">
              <w:rPr>
                <w:b/>
                <w:color w:val="000000" w:themeColor="text1"/>
                <w:sz w:val="20"/>
                <w:lang w:val="en-GB"/>
              </w:rPr>
              <w:t>Reduce appetite and increase satiety</w:t>
            </w:r>
          </w:p>
          <w:p w:rsidR="006419BC" w:rsidRPr="00812349" w:rsidRDefault="006419BC" w:rsidP="00AD7105">
            <w:pPr>
              <w:pStyle w:val="Listenabsatz"/>
              <w:numPr>
                <w:ilvl w:val="0"/>
                <w:numId w:val="8"/>
              </w:numPr>
              <w:rPr>
                <w:b/>
                <w:color w:val="000000" w:themeColor="text1"/>
                <w:sz w:val="20"/>
                <w:lang w:val="en-GB"/>
              </w:rPr>
            </w:pPr>
            <w:r w:rsidRPr="00812349">
              <w:rPr>
                <w:b/>
                <w:color w:val="000000" w:themeColor="text1"/>
                <w:sz w:val="20"/>
                <w:lang w:val="en-GB"/>
              </w:rPr>
              <w:t xml:space="preserve">Gastrointestinal symptoms </w:t>
            </w:r>
          </w:p>
          <w:p w:rsidR="006419BC" w:rsidRPr="00710071" w:rsidRDefault="006419BC" w:rsidP="00AD7105">
            <w:pPr>
              <w:rPr>
                <w:b/>
                <w:color w:val="000000" w:themeColor="text1"/>
                <w:sz w:val="20"/>
                <w:lang w:val="en-GB"/>
              </w:rPr>
            </w:pPr>
          </w:p>
          <w:p w:rsidR="006419BC" w:rsidRPr="00276A60" w:rsidRDefault="006419BC" w:rsidP="00AD7105">
            <w:pPr>
              <w:rPr>
                <w:b/>
                <w:color w:val="000000" w:themeColor="text1"/>
                <w:sz w:val="20"/>
                <w:lang w:val="en-GB"/>
              </w:rPr>
            </w:pPr>
          </w:p>
          <w:p w:rsidR="006419BC" w:rsidRPr="00276A60" w:rsidRDefault="006419BC" w:rsidP="00AD7105">
            <w:pPr>
              <w:rPr>
                <w:b/>
                <w:color w:val="000000" w:themeColor="text1"/>
                <w:sz w:val="20"/>
                <w:lang w:val="en-GB"/>
              </w:rPr>
            </w:pPr>
          </w:p>
          <w:p w:rsidR="006419BC" w:rsidRPr="00EA05A2" w:rsidRDefault="006419BC" w:rsidP="00AD7105">
            <w:pPr>
              <w:rPr>
                <w:b/>
                <w:color w:val="000000" w:themeColor="text1"/>
                <w:sz w:val="20"/>
                <w:lang w:val="en-GB"/>
              </w:rPr>
            </w:pPr>
          </w:p>
          <w:p w:rsidR="006419BC" w:rsidRDefault="006419BC" w:rsidP="00AD7105">
            <w:pPr>
              <w:rPr>
                <w:b/>
                <w:color w:val="000000" w:themeColor="text1"/>
                <w:sz w:val="20"/>
                <w:lang w:val="en-GB"/>
              </w:rPr>
            </w:pPr>
          </w:p>
          <w:p w:rsidR="006419BC" w:rsidRPr="00876226" w:rsidRDefault="006419BC" w:rsidP="00AD7105">
            <w:pPr>
              <w:rPr>
                <w:b/>
                <w:color w:val="000000" w:themeColor="text1"/>
                <w:sz w:val="20"/>
                <w:lang w:val="en-GB"/>
              </w:rPr>
            </w:pPr>
            <w:r w:rsidRPr="00E3451E">
              <w:rPr>
                <w:b/>
                <w:color w:val="000000" w:themeColor="text1"/>
                <w:sz w:val="20"/>
                <w:lang w:val="en-GB"/>
              </w:rPr>
              <w:t xml:space="preserve">Dipeptidyl peptidase-4 inhibitors </w:t>
            </w:r>
            <w:r w:rsidRPr="00F34EF5">
              <w:rPr>
                <w:rFonts w:cstheme="minorHAnsi"/>
                <w:b/>
                <w:noProof/>
                <w:color w:val="000000" w:themeColor="text1"/>
                <w:vertAlign w:val="superscript"/>
                <w:lang w:val="en-GB"/>
              </w:rPr>
              <w:t>57</w:t>
            </w:r>
          </w:p>
          <w:p w:rsidR="006419BC" w:rsidRPr="00812349" w:rsidRDefault="006419BC" w:rsidP="00AD7105">
            <w:pPr>
              <w:pStyle w:val="Listenabsatz"/>
              <w:numPr>
                <w:ilvl w:val="0"/>
                <w:numId w:val="8"/>
              </w:numPr>
              <w:rPr>
                <w:b/>
                <w:color w:val="000000" w:themeColor="text1"/>
                <w:sz w:val="20"/>
                <w:lang w:val="en-GB"/>
              </w:rPr>
            </w:pPr>
            <w:r>
              <w:rPr>
                <w:b/>
                <w:color w:val="000000" w:themeColor="text1"/>
                <w:sz w:val="20"/>
                <w:lang w:val="en-GB"/>
              </w:rPr>
              <w:t xml:space="preserve">Increase mortality in elderly patients </w:t>
            </w:r>
            <w:r w:rsidRPr="00F34EF5">
              <w:rPr>
                <w:rFonts w:cstheme="minorHAnsi"/>
                <w:b/>
                <w:noProof/>
                <w:color w:val="000000" w:themeColor="text1"/>
                <w:vertAlign w:val="superscript"/>
                <w:lang w:val="en-GB"/>
              </w:rPr>
              <w:t>57</w:t>
            </w:r>
          </w:p>
          <w:p w:rsidR="006419BC" w:rsidRPr="00710071" w:rsidRDefault="006419BC" w:rsidP="00AD7105">
            <w:pPr>
              <w:rPr>
                <w:b/>
                <w:color w:val="000000" w:themeColor="text1"/>
                <w:sz w:val="20"/>
                <w:lang w:val="en-GB"/>
              </w:rPr>
            </w:pPr>
          </w:p>
          <w:p w:rsidR="006419BC" w:rsidRPr="00276A60" w:rsidRDefault="006419BC" w:rsidP="00AD7105">
            <w:pPr>
              <w:rPr>
                <w:b/>
                <w:color w:val="000000" w:themeColor="text1"/>
                <w:sz w:val="20"/>
                <w:lang w:val="en-GB"/>
              </w:rPr>
            </w:pPr>
          </w:p>
          <w:p w:rsidR="006419BC" w:rsidRPr="00EA05A2" w:rsidRDefault="006419BC" w:rsidP="00AD7105">
            <w:pPr>
              <w:rPr>
                <w:b/>
                <w:color w:val="000000" w:themeColor="text1"/>
                <w:sz w:val="20"/>
                <w:lang w:val="en-GB"/>
              </w:rPr>
            </w:pPr>
          </w:p>
          <w:p w:rsidR="006419BC" w:rsidRPr="00AD581A" w:rsidRDefault="006419BC" w:rsidP="00AD7105">
            <w:pPr>
              <w:rPr>
                <w:b/>
                <w:color w:val="000000" w:themeColor="text1"/>
                <w:sz w:val="20"/>
                <w:lang w:val="en-GB"/>
              </w:rPr>
            </w:pPr>
            <w:r w:rsidRPr="00AD581A">
              <w:rPr>
                <w:b/>
                <w:color w:val="000000" w:themeColor="text1"/>
                <w:sz w:val="20"/>
                <w:lang w:val="en-GB"/>
              </w:rPr>
              <w:t xml:space="preserve">Insulin </w:t>
            </w:r>
            <w:r w:rsidRPr="00AD581A">
              <w:rPr>
                <w:rFonts w:cstheme="minorHAnsi"/>
                <w:b/>
                <w:color w:val="000000" w:themeColor="text1"/>
                <w:vertAlign w:val="superscript"/>
                <w:lang w:val="en-GB"/>
              </w:rPr>
              <w:t xml:space="preserve">77, </w:t>
            </w:r>
            <w:r w:rsidRPr="00252072">
              <w:rPr>
                <w:rFonts w:cstheme="minorHAnsi"/>
                <w:b/>
                <w:noProof/>
                <w:color w:val="000000" w:themeColor="text1"/>
                <w:vertAlign w:val="superscript"/>
                <w:lang w:val="en-GB"/>
              </w:rPr>
              <w:t>117</w:t>
            </w:r>
          </w:p>
          <w:p w:rsidR="006419BC" w:rsidRPr="00876226" w:rsidRDefault="006419BC" w:rsidP="00AD7105">
            <w:pPr>
              <w:pStyle w:val="Listenabsatz"/>
              <w:numPr>
                <w:ilvl w:val="0"/>
                <w:numId w:val="8"/>
              </w:numPr>
              <w:rPr>
                <w:b/>
                <w:color w:val="000000" w:themeColor="text1"/>
                <w:sz w:val="20"/>
                <w:lang w:val="en-GB"/>
              </w:rPr>
            </w:pPr>
            <w:r w:rsidRPr="00876226">
              <w:rPr>
                <w:b/>
                <w:color w:val="000000" w:themeColor="text1"/>
                <w:sz w:val="20"/>
                <w:lang w:val="en-GB"/>
              </w:rPr>
              <w:t>Hypoglycaemia</w:t>
            </w:r>
          </w:p>
          <w:p w:rsidR="006419BC" w:rsidRPr="00B25D96" w:rsidRDefault="006419BC" w:rsidP="00AD7105">
            <w:pPr>
              <w:pStyle w:val="Listenabsatz"/>
              <w:numPr>
                <w:ilvl w:val="0"/>
                <w:numId w:val="8"/>
              </w:numPr>
              <w:rPr>
                <w:b/>
                <w:color w:val="000000" w:themeColor="text1"/>
                <w:sz w:val="20"/>
                <w:lang w:val="en-GB"/>
              </w:rPr>
            </w:pPr>
            <w:r w:rsidRPr="00B25D96">
              <w:rPr>
                <w:b/>
                <w:color w:val="000000" w:themeColor="text1"/>
                <w:sz w:val="20"/>
                <w:lang w:val="en-GB"/>
              </w:rPr>
              <w:t>High doses increase COVID-19 mortality</w:t>
            </w:r>
          </w:p>
        </w:tc>
      </w:tr>
    </w:tbl>
    <w:p w:rsidR="006419BC" w:rsidRPr="00D47D74" w:rsidRDefault="006419BC" w:rsidP="00AD7105">
      <w:pPr>
        <w:rPr>
          <w:lang w:val="en-GB"/>
        </w:rPr>
      </w:pPr>
      <w:r w:rsidRPr="00876226">
        <w:rPr>
          <w:b/>
          <w:lang w:val="en-GB"/>
        </w:rPr>
        <w:t>Table 1.</w:t>
      </w:r>
      <w:r w:rsidRPr="00B25D96">
        <w:rPr>
          <w:lang w:val="en-GB"/>
        </w:rPr>
        <w:t xml:space="preserve"> Glucose-lowering medications </w:t>
      </w:r>
      <w:r w:rsidRPr="00812349">
        <w:rPr>
          <w:lang w:val="en-GB"/>
        </w:rPr>
        <w:t>with potential interfering effects on COVID-19 according to current knowledge and guidelines as referred.</w:t>
      </w:r>
      <w:r>
        <w:rPr>
          <w:lang w:val="en-GB"/>
        </w:rPr>
        <w:t xml:space="preserve"> Of note, </w:t>
      </w:r>
      <w:r>
        <w:rPr>
          <w:lang w:val="en-HK" w:eastAsia="zh-TW"/>
        </w:rPr>
        <w:t>many of these results are retrospective and confounded by indications, patients’ risk profiles, and/or severity of diseases.</w:t>
      </w:r>
    </w:p>
    <w:p w:rsidR="006419BC" w:rsidRPr="00710071" w:rsidRDefault="006419BC" w:rsidP="003B0D0B">
      <w:pPr>
        <w:spacing w:line="480" w:lineRule="auto"/>
        <w:rPr>
          <w:rFonts w:cstheme="minorHAnsi"/>
          <w:b/>
          <w:lang w:val="en-GB"/>
        </w:rPr>
      </w:pPr>
    </w:p>
    <w:p w:rsidR="006419BC" w:rsidRPr="00276A60" w:rsidRDefault="006419BC">
      <w:pPr>
        <w:rPr>
          <w:rFonts w:cstheme="minorHAnsi"/>
          <w:b/>
          <w:lang w:val="en-GB"/>
        </w:rPr>
      </w:pPr>
      <w:r w:rsidRPr="00276A60">
        <w:rPr>
          <w:rFonts w:cstheme="minorHAnsi"/>
          <w:b/>
          <w:lang w:val="en-GB"/>
        </w:rPr>
        <w:br w:type="page"/>
      </w:r>
    </w:p>
    <w:p w:rsidR="006419BC" w:rsidRPr="00276A60" w:rsidRDefault="006419BC" w:rsidP="003B0D0B">
      <w:pPr>
        <w:spacing w:line="480" w:lineRule="auto"/>
        <w:rPr>
          <w:rFonts w:cstheme="minorHAnsi"/>
          <w:b/>
          <w:lang w:val="en-GB"/>
        </w:rPr>
      </w:pPr>
    </w:p>
    <w:tbl>
      <w:tblPr>
        <w:tblStyle w:val="Gitternetztabelle1hell1"/>
        <w:tblW w:w="0" w:type="auto"/>
        <w:tblLook w:val="04A0" w:firstRow="1" w:lastRow="0" w:firstColumn="1" w:lastColumn="0" w:noHBand="0" w:noVBand="1"/>
      </w:tblPr>
      <w:tblGrid>
        <w:gridCol w:w="9062"/>
      </w:tblGrid>
      <w:tr w:rsidR="006419BC" w:rsidRPr="003971F3" w:rsidTr="00AD71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BDD6EE" w:themeFill="accent1" w:themeFillTint="66"/>
          </w:tcPr>
          <w:p w:rsidR="006419BC" w:rsidRPr="00276A60" w:rsidRDefault="006419BC" w:rsidP="00AD7105">
            <w:pPr>
              <w:jc w:val="both"/>
              <w:rPr>
                <w:rFonts w:cstheme="minorHAnsi"/>
                <w:lang w:val="en-GB"/>
              </w:rPr>
            </w:pPr>
            <w:r w:rsidRPr="00276A60">
              <w:rPr>
                <w:rFonts w:cstheme="minorHAnsi"/>
                <w:lang w:val="en-GB"/>
              </w:rPr>
              <w:t>Management of metabolic diseases in a pandemic situation</w:t>
            </w:r>
          </w:p>
        </w:tc>
      </w:tr>
      <w:tr w:rsidR="006419BC" w:rsidRPr="003971F3" w:rsidTr="00AD7105">
        <w:trPr>
          <w:trHeight w:val="5572"/>
        </w:trPr>
        <w:tc>
          <w:tcPr>
            <w:cnfStyle w:val="001000000000" w:firstRow="0" w:lastRow="0" w:firstColumn="1" w:lastColumn="0" w:oddVBand="0" w:evenVBand="0" w:oddHBand="0" w:evenHBand="0" w:firstRowFirstColumn="0" w:firstRowLastColumn="0" w:lastRowFirstColumn="0" w:lastRowLastColumn="0"/>
            <w:tcW w:w="9062" w:type="dxa"/>
            <w:shd w:val="clear" w:color="auto" w:fill="C5E0B3" w:themeFill="accent6" w:themeFillTint="66"/>
          </w:tcPr>
          <w:p w:rsidR="006419BC" w:rsidRPr="00876226" w:rsidRDefault="006419BC" w:rsidP="008D29EA">
            <w:pPr>
              <w:pStyle w:val="Listenabsatz"/>
              <w:numPr>
                <w:ilvl w:val="0"/>
                <w:numId w:val="11"/>
              </w:numPr>
              <w:spacing w:after="200" w:line="276" w:lineRule="auto"/>
              <w:jc w:val="both"/>
              <w:rPr>
                <w:rFonts w:cstheme="minorHAnsi"/>
                <w:bCs w:val="0"/>
                <w:color w:val="000000" w:themeColor="text1"/>
                <w:lang w:val="en-GB"/>
              </w:rPr>
            </w:pPr>
            <w:r w:rsidRPr="00876226">
              <w:rPr>
                <w:rFonts w:cstheme="minorHAnsi"/>
                <w:bCs w:val="0"/>
                <w:color w:val="000000" w:themeColor="text1"/>
                <w:lang w:val="en-GB"/>
              </w:rPr>
              <w:t>Prevention of infection: Avoid social contact</w:t>
            </w:r>
            <w:r w:rsidRPr="00B25D96">
              <w:rPr>
                <w:rFonts w:cstheme="minorHAnsi"/>
                <w:bCs w:val="0"/>
                <w:color w:val="000000" w:themeColor="text1"/>
                <w:lang w:val="en-GB"/>
              </w:rPr>
              <w:t xml:space="preserve"> </w:t>
            </w:r>
            <w:r w:rsidRPr="00A35011">
              <w:rPr>
                <w:rFonts w:cstheme="minorHAnsi"/>
                <w:noProof/>
                <w:color w:val="000000" w:themeColor="text1"/>
                <w:vertAlign w:val="superscript"/>
                <w:lang w:val="en-GB"/>
              </w:rPr>
              <w:t>147</w:t>
            </w:r>
          </w:p>
          <w:p w:rsidR="006419BC" w:rsidRPr="00876226" w:rsidRDefault="006419BC" w:rsidP="00AD7105">
            <w:pPr>
              <w:pStyle w:val="Listenabsatz"/>
              <w:numPr>
                <w:ilvl w:val="0"/>
                <w:numId w:val="11"/>
              </w:numPr>
              <w:spacing w:after="200" w:line="276" w:lineRule="auto"/>
              <w:jc w:val="both"/>
              <w:rPr>
                <w:rFonts w:cstheme="minorHAnsi"/>
                <w:bCs w:val="0"/>
                <w:color w:val="000000" w:themeColor="text1"/>
                <w:lang w:val="en-GB"/>
              </w:rPr>
            </w:pPr>
            <w:r w:rsidRPr="00B25D96">
              <w:rPr>
                <w:rFonts w:cstheme="minorHAnsi"/>
                <w:bCs w:val="0"/>
                <w:color w:val="000000" w:themeColor="text1"/>
                <w:lang w:val="en-GB"/>
              </w:rPr>
              <w:t>Va</w:t>
            </w:r>
            <w:r w:rsidRPr="00812349">
              <w:rPr>
                <w:rFonts w:cstheme="minorHAnsi"/>
                <w:bCs w:val="0"/>
                <w:color w:val="000000" w:themeColor="text1"/>
                <w:lang w:val="en-GB"/>
              </w:rPr>
              <w:t>ccination: Prioritisation</w:t>
            </w:r>
            <w:r w:rsidRPr="00D47D74">
              <w:rPr>
                <w:rFonts w:cstheme="minorHAnsi"/>
                <w:bCs w:val="0"/>
                <w:color w:val="000000" w:themeColor="text1"/>
                <w:lang w:val="en-GB"/>
              </w:rPr>
              <w:t xml:space="preserve"> </w:t>
            </w:r>
            <w:r w:rsidRPr="00252072">
              <w:rPr>
                <w:rFonts w:cstheme="minorHAnsi"/>
                <w:noProof/>
                <w:vertAlign w:val="superscript"/>
                <w:lang w:val="en-GB"/>
              </w:rPr>
              <w:t>133,134</w:t>
            </w:r>
          </w:p>
          <w:p w:rsidR="006419BC" w:rsidRPr="00B25D96" w:rsidRDefault="006419BC" w:rsidP="00AD7105">
            <w:pPr>
              <w:pStyle w:val="Listenabsatz"/>
              <w:numPr>
                <w:ilvl w:val="0"/>
                <w:numId w:val="11"/>
              </w:numPr>
              <w:spacing w:after="200" w:line="276" w:lineRule="auto"/>
              <w:jc w:val="both"/>
              <w:rPr>
                <w:rFonts w:cstheme="minorHAnsi"/>
                <w:bCs w:val="0"/>
                <w:color w:val="000000" w:themeColor="text1"/>
                <w:lang w:val="en-GB"/>
              </w:rPr>
            </w:pPr>
            <w:r w:rsidRPr="00B25D96">
              <w:rPr>
                <w:rFonts w:cstheme="minorHAnsi"/>
                <w:color w:val="000000" w:themeColor="text1"/>
                <w:lang w:val="en-GB"/>
              </w:rPr>
              <w:t>I</w:t>
            </w:r>
            <w:r w:rsidRPr="00812349">
              <w:rPr>
                <w:rFonts w:cstheme="minorHAnsi"/>
                <w:color w:val="000000" w:themeColor="text1"/>
                <w:lang w:val="en-GB"/>
              </w:rPr>
              <w:t xml:space="preserve">mprove a healthy lifestyle also during lockdown and quarantine </w:t>
            </w:r>
            <w:r w:rsidRPr="00F34EF5">
              <w:rPr>
                <w:noProof/>
                <w:color w:val="000000" w:themeColor="text1"/>
                <w:vertAlign w:val="superscript"/>
                <w:lang w:val="en-GB"/>
              </w:rPr>
              <w:t>22</w:t>
            </w:r>
          </w:p>
          <w:p w:rsidR="006419BC" w:rsidRPr="00876226" w:rsidRDefault="006419BC" w:rsidP="001968B8">
            <w:pPr>
              <w:pStyle w:val="Listenabsatz"/>
              <w:numPr>
                <w:ilvl w:val="0"/>
                <w:numId w:val="11"/>
              </w:numPr>
              <w:spacing w:after="200" w:line="276" w:lineRule="auto"/>
              <w:jc w:val="both"/>
              <w:rPr>
                <w:rFonts w:cstheme="minorHAnsi"/>
                <w:bCs w:val="0"/>
                <w:color w:val="000000" w:themeColor="text1"/>
                <w:lang w:val="en-GB"/>
              </w:rPr>
            </w:pPr>
            <w:r w:rsidRPr="00B25D96">
              <w:rPr>
                <w:rFonts w:cstheme="minorHAnsi"/>
                <w:color w:val="000000" w:themeColor="text1"/>
                <w:lang w:val="en-GB"/>
              </w:rPr>
              <w:t>Individual management: Establish an individual set of self-management goals (measurement rate, body weight, steps per day, waist circumference, blood pressure) and adhere to these goals consistently</w:t>
            </w:r>
            <w:r w:rsidRPr="00812349">
              <w:rPr>
                <w:rFonts w:cstheme="minorHAnsi"/>
                <w:color w:val="000000" w:themeColor="text1"/>
                <w:lang w:val="en-GB"/>
              </w:rPr>
              <w:t xml:space="preserve"> </w:t>
            </w:r>
            <w:r w:rsidRPr="00A35011">
              <w:rPr>
                <w:rFonts w:cstheme="minorHAnsi"/>
                <w:noProof/>
                <w:color w:val="000000" w:themeColor="text1"/>
                <w:vertAlign w:val="superscript"/>
                <w:lang w:val="en-GB"/>
              </w:rPr>
              <w:t>148</w:t>
            </w:r>
          </w:p>
          <w:p w:rsidR="006419BC" w:rsidRPr="00876226" w:rsidRDefault="006419BC" w:rsidP="00C3572D">
            <w:pPr>
              <w:pStyle w:val="Listenabsatz"/>
              <w:numPr>
                <w:ilvl w:val="0"/>
                <w:numId w:val="11"/>
              </w:numPr>
              <w:spacing w:after="200" w:line="276" w:lineRule="auto"/>
              <w:jc w:val="both"/>
              <w:rPr>
                <w:rFonts w:cstheme="minorHAnsi"/>
                <w:color w:val="000000" w:themeColor="text1"/>
                <w:lang w:val="en-GB"/>
              </w:rPr>
            </w:pPr>
            <w:r w:rsidRPr="00B25D96">
              <w:rPr>
                <w:rFonts w:cstheme="minorHAnsi"/>
                <w:color w:val="000000" w:themeColor="text1"/>
                <w:lang w:val="en-GB"/>
              </w:rPr>
              <w:t>Digital support: Make use of online education, virtual co</w:t>
            </w:r>
            <w:r w:rsidRPr="00812349">
              <w:rPr>
                <w:rFonts w:cstheme="minorHAnsi"/>
                <w:color w:val="000000" w:themeColor="text1"/>
                <w:lang w:val="en-GB"/>
              </w:rPr>
              <w:t>nsultation and digital health (temperature, physical acti</w:t>
            </w:r>
            <w:r w:rsidRPr="00D47D74">
              <w:rPr>
                <w:rFonts w:cstheme="minorHAnsi"/>
                <w:color w:val="000000" w:themeColor="text1"/>
                <w:lang w:val="en-GB"/>
              </w:rPr>
              <w:t xml:space="preserve">vity, body weight, waist circumference, blood pressure) </w:t>
            </w:r>
            <w:r w:rsidRPr="00A35011">
              <w:rPr>
                <w:rFonts w:cstheme="minorHAnsi"/>
                <w:noProof/>
                <w:color w:val="000000" w:themeColor="text1"/>
                <w:vertAlign w:val="superscript"/>
                <w:lang w:val="en-GB"/>
              </w:rPr>
              <w:t>149</w:t>
            </w:r>
          </w:p>
          <w:p w:rsidR="006419BC" w:rsidRPr="00876226" w:rsidRDefault="006419BC" w:rsidP="00C3572D">
            <w:pPr>
              <w:pStyle w:val="Listenabsatz"/>
              <w:numPr>
                <w:ilvl w:val="0"/>
                <w:numId w:val="11"/>
              </w:numPr>
              <w:spacing w:after="200" w:line="276" w:lineRule="auto"/>
              <w:jc w:val="both"/>
              <w:rPr>
                <w:rFonts w:cstheme="minorHAnsi"/>
                <w:color w:val="000000" w:themeColor="text1"/>
                <w:lang w:val="en-GB"/>
              </w:rPr>
            </w:pPr>
            <w:r w:rsidRPr="00B25D96">
              <w:rPr>
                <w:rFonts w:cstheme="minorHAnsi"/>
                <w:color w:val="000000" w:themeColor="text1"/>
                <w:lang w:val="en-GB"/>
              </w:rPr>
              <w:t>Behavioural support: Use digital stress management tool</w:t>
            </w:r>
            <w:r w:rsidRPr="00812349">
              <w:rPr>
                <w:rFonts w:cstheme="minorHAnsi"/>
                <w:color w:val="000000" w:themeColor="text1"/>
                <w:lang w:val="en-GB"/>
              </w:rPr>
              <w:t xml:space="preserve">s to increase resilience and stress resistance  </w:t>
            </w:r>
            <w:r w:rsidRPr="005228C3">
              <w:rPr>
                <w:rFonts w:cstheme="minorHAnsi"/>
                <w:noProof/>
                <w:vertAlign w:val="superscript"/>
                <w:lang w:val="en-GB"/>
              </w:rPr>
              <w:t>144</w:t>
            </w:r>
          </w:p>
          <w:p w:rsidR="006419BC" w:rsidRPr="00876226" w:rsidRDefault="006419BC" w:rsidP="009936E3">
            <w:pPr>
              <w:pStyle w:val="Listenabsatz"/>
              <w:numPr>
                <w:ilvl w:val="0"/>
                <w:numId w:val="11"/>
              </w:numPr>
              <w:spacing w:after="200" w:line="276" w:lineRule="auto"/>
              <w:jc w:val="both"/>
              <w:rPr>
                <w:rFonts w:cstheme="minorHAnsi"/>
                <w:bCs w:val="0"/>
                <w:color w:val="000000" w:themeColor="text1"/>
                <w:lang w:val="en-GB"/>
              </w:rPr>
            </w:pPr>
            <w:r w:rsidRPr="00B25D96">
              <w:rPr>
                <w:rFonts w:cstheme="minorHAnsi"/>
                <w:color w:val="000000" w:themeColor="text1"/>
                <w:lang w:val="en-GB"/>
              </w:rPr>
              <w:t>Intensify foot care</w:t>
            </w:r>
            <w:r w:rsidRPr="00812349">
              <w:rPr>
                <w:rFonts w:cstheme="minorHAnsi"/>
                <w:color w:val="000000" w:themeColor="text1"/>
                <w:lang w:val="en-GB"/>
              </w:rPr>
              <w:t xml:space="preserve"> </w:t>
            </w:r>
            <w:r w:rsidRPr="00A35011">
              <w:rPr>
                <w:rFonts w:cstheme="minorHAnsi"/>
                <w:noProof/>
                <w:color w:val="000000" w:themeColor="text1"/>
                <w:vertAlign w:val="superscript"/>
                <w:lang w:val="en-GB"/>
              </w:rPr>
              <w:t>150</w:t>
            </w:r>
          </w:p>
          <w:p w:rsidR="006419BC" w:rsidRPr="00876226" w:rsidRDefault="006419BC" w:rsidP="001B5043">
            <w:pPr>
              <w:pStyle w:val="Listenabsatz"/>
              <w:numPr>
                <w:ilvl w:val="0"/>
                <w:numId w:val="11"/>
              </w:numPr>
              <w:spacing w:after="200" w:line="276" w:lineRule="auto"/>
              <w:jc w:val="both"/>
              <w:rPr>
                <w:rFonts w:cstheme="minorHAnsi"/>
                <w:bCs w:val="0"/>
                <w:color w:val="000000" w:themeColor="text1"/>
                <w:lang w:val="en-GB"/>
              </w:rPr>
            </w:pPr>
            <w:r w:rsidRPr="00B25D96">
              <w:rPr>
                <w:rFonts w:cstheme="minorHAnsi"/>
                <w:color w:val="000000" w:themeColor="text1"/>
                <w:lang w:val="en-GB"/>
              </w:rPr>
              <w:t xml:space="preserve">Check </w:t>
            </w:r>
            <w:r w:rsidRPr="00812349">
              <w:rPr>
                <w:rFonts w:cstheme="minorHAnsi"/>
                <w:color w:val="000000" w:themeColor="text1"/>
                <w:lang w:val="en-GB"/>
              </w:rPr>
              <w:t>for new diabetes</w:t>
            </w:r>
            <w:r w:rsidRPr="00D47D74">
              <w:rPr>
                <w:rFonts w:cstheme="minorHAnsi"/>
                <w:color w:val="000000" w:themeColor="text1"/>
                <w:lang w:val="en-GB"/>
              </w:rPr>
              <w:t xml:space="preserve"> </w:t>
            </w:r>
            <w:r w:rsidRPr="00D96F48">
              <w:rPr>
                <w:rFonts w:cstheme="minorHAnsi"/>
                <w:noProof/>
                <w:color w:val="000000" w:themeColor="text1"/>
                <w:vertAlign w:val="superscript"/>
                <w:lang w:val="en-GB"/>
              </w:rPr>
              <w:t>83</w:t>
            </w:r>
          </w:p>
          <w:p w:rsidR="006419BC" w:rsidRPr="00876226" w:rsidRDefault="006419BC" w:rsidP="00305022">
            <w:pPr>
              <w:pStyle w:val="Listenabsatz"/>
              <w:numPr>
                <w:ilvl w:val="0"/>
                <w:numId w:val="11"/>
              </w:numPr>
              <w:spacing w:after="200" w:line="276" w:lineRule="auto"/>
              <w:jc w:val="both"/>
              <w:rPr>
                <w:rFonts w:cstheme="minorHAnsi"/>
                <w:bCs w:val="0"/>
                <w:color w:val="000000" w:themeColor="text1"/>
                <w:lang w:val="en-GB"/>
              </w:rPr>
            </w:pPr>
            <w:r w:rsidRPr="00B25D96">
              <w:rPr>
                <w:rFonts w:cstheme="minorHAnsi"/>
                <w:color w:val="000000" w:themeColor="text1"/>
                <w:lang w:val="en-GB"/>
              </w:rPr>
              <w:t xml:space="preserve">Cardiac risk management </w:t>
            </w:r>
            <w:r w:rsidRPr="00B25D96">
              <w:rPr>
                <w:rFonts w:cstheme="minorHAnsi"/>
                <w:noProof/>
                <w:color w:val="000000" w:themeColor="text1"/>
                <w:vertAlign w:val="superscript"/>
                <w:lang w:val="en-GB"/>
              </w:rPr>
              <w:t>9</w:t>
            </w:r>
          </w:p>
          <w:p w:rsidR="006419BC" w:rsidRPr="00876226" w:rsidRDefault="006419BC" w:rsidP="007F5431">
            <w:pPr>
              <w:pStyle w:val="Listenabsatz"/>
              <w:numPr>
                <w:ilvl w:val="0"/>
                <w:numId w:val="11"/>
              </w:numPr>
              <w:spacing w:after="200" w:line="276" w:lineRule="auto"/>
              <w:jc w:val="both"/>
              <w:rPr>
                <w:rFonts w:cstheme="minorHAnsi"/>
                <w:bCs w:val="0"/>
                <w:color w:val="000000" w:themeColor="text1"/>
                <w:lang w:val="en-GB"/>
              </w:rPr>
            </w:pPr>
            <w:r w:rsidRPr="00B25D96">
              <w:rPr>
                <w:rFonts w:cstheme="minorHAnsi"/>
                <w:color w:val="000000" w:themeColor="text1"/>
                <w:lang w:val="en-GB"/>
              </w:rPr>
              <w:t>Adhere to lipid-lowering drugs</w:t>
            </w:r>
            <w:r w:rsidRPr="00812349">
              <w:rPr>
                <w:rFonts w:cstheme="minorHAnsi"/>
                <w:color w:val="000000" w:themeColor="text1"/>
                <w:lang w:val="en-GB"/>
              </w:rPr>
              <w:t xml:space="preserve"> </w:t>
            </w:r>
            <w:r w:rsidRPr="00F34EF5">
              <w:rPr>
                <w:rFonts w:cstheme="minorHAnsi"/>
                <w:noProof/>
                <w:color w:val="000000" w:themeColor="text1"/>
                <w:vertAlign w:val="superscript"/>
                <w:lang w:val="en-GB"/>
              </w:rPr>
              <w:t>57,68</w:t>
            </w:r>
          </w:p>
          <w:p w:rsidR="006419BC" w:rsidRPr="00876226" w:rsidRDefault="006419BC" w:rsidP="00F14CC4">
            <w:pPr>
              <w:pStyle w:val="Listenabsatz"/>
              <w:numPr>
                <w:ilvl w:val="0"/>
                <w:numId w:val="11"/>
              </w:numPr>
              <w:spacing w:after="200" w:line="276" w:lineRule="auto"/>
              <w:jc w:val="both"/>
              <w:rPr>
                <w:rFonts w:cstheme="minorHAnsi"/>
                <w:bCs w:val="0"/>
                <w:color w:val="000000" w:themeColor="text1"/>
                <w:lang w:val="en-GB"/>
              </w:rPr>
            </w:pPr>
            <w:r w:rsidRPr="00B25D96">
              <w:rPr>
                <w:rFonts w:cstheme="minorHAnsi"/>
                <w:color w:val="000000" w:themeColor="text1"/>
                <w:lang w:val="en-GB"/>
              </w:rPr>
              <w:t>In chronic kidney disease monitor urinary excreti</w:t>
            </w:r>
            <w:r w:rsidRPr="00812349">
              <w:rPr>
                <w:rFonts w:cstheme="minorHAnsi"/>
                <w:color w:val="000000" w:themeColor="text1"/>
                <w:lang w:val="en-GB"/>
              </w:rPr>
              <w:t>on and oedema</w:t>
            </w:r>
            <w:r w:rsidRPr="00D47D74">
              <w:rPr>
                <w:rFonts w:cstheme="minorHAnsi"/>
                <w:color w:val="000000" w:themeColor="text1"/>
                <w:lang w:val="en-GB"/>
              </w:rPr>
              <w:t xml:space="preserve"> </w:t>
            </w:r>
            <w:r w:rsidRPr="00F34EF5">
              <w:rPr>
                <w:rFonts w:cstheme="minorHAnsi"/>
                <w:noProof/>
                <w:color w:val="000000" w:themeColor="text1"/>
                <w:vertAlign w:val="superscript"/>
                <w:lang w:val="en-GB"/>
              </w:rPr>
              <w:t>12</w:t>
            </w:r>
          </w:p>
          <w:p w:rsidR="006419BC" w:rsidRPr="00876226" w:rsidRDefault="006419BC" w:rsidP="008E4062">
            <w:pPr>
              <w:pStyle w:val="Listenabsatz"/>
              <w:numPr>
                <w:ilvl w:val="0"/>
                <w:numId w:val="11"/>
              </w:numPr>
              <w:spacing w:after="200" w:line="276" w:lineRule="auto"/>
              <w:jc w:val="both"/>
              <w:rPr>
                <w:rFonts w:cstheme="minorHAnsi"/>
                <w:bCs w:val="0"/>
                <w:color w:val="000000" w:themeColor="text1"/>
                <w:lang w:val="en-GB"/>
              </w:rPr>
            </w:pPr>
            <w:r w:rsidRPr="00B25D96">
              <w:rPr>
                <w:rFonts w:cstheme="minorHAnsi"/>
                <w:color w:val="000000" w:themeColor="text1"/>
                <w:lang w:val="en-GB"/>
              </w:rPr>
              <w:t>O</w:t>
            </w:r>
            <w:r w:rsidRPr="00812349">
              <w:rPr>
                <w:rFonts w:cstheme="minorHAnsi"/>
                <w:color w:val="000000" w:themeColor="text1"/>
                <w:lang w:val="en-GB"/>
              </w:rPr>
              <w:t xml:space="preserve">ptimise metabolic and blood pressure control </w:t>
            </w:r>
            <w:r w:rsidRPr="00A35011">
              <w:rPr>
                <w:rFonts w:cstheme="minorHAnsi"/>
                <w:noProof/>
                <w:color w:val="000000" w:themeColor="text1"/>
                <w:vertAlign w:val="superscript"/>
                <w:lang w:val="en-GB"/>
              </w:rPr>
              <w:t>149</w:t>
            </w:r>
          </w:p>
          <w:p w:rsidR="006419BC" w:rsidRPr="00876226" w:rsidRDefault="006419BC" w:rsidP="00BB0DB9">
            <w:pPr>
              <w:pStyle w:val="Listenabsatz"/>
              <w:numPr>
                <w:ilvl w:val="0"/>
                <w:numId w:val="11"/>
              </w:numPr>
              <w:spacing w:after="200" w:line="276" w:lineRule="auto"/>
              <w:jc w:val="both"/>
              <w:rPr>
                <w:rFonts w:cstheme="minorHAnsi"/>
                <w:bCs w:val="0"/>
                <w:color w:val="000000" w:themeColor="text1"/>
                <w:lang w:val="en-GB"/>
              </w:rPr>
            </w:pPr>
            <w:r w:rsidRPr="00B25D96">
              <w:rPr>
                <w:rFonts w:cstheme="minorHAnsi"/>
                <w:color w:val="000000" w:themeColor="text1"/>
                <w:lang w:val="en-GB"/>
              </w:rPr>
              <w:t xml:space="preserve">Perform intensified glucose monitoring (SMBG, 5xd; FGM/CGM) to identify  early deterioration of glycaemic condition as well as monitoring blood pressure if hypertensive </w:t>
            </w:r>
            <w:r w:rsidRPr="00A35011">
              <w:rPr>
                <w:rFonts w:cstheme="minorHAnsi"/>
                <w:noProof/>
                <w:color w:val="000000" w:themeColor="text1"/>
                <w:vertAlign w:val="superscript"/>
                <w:lang w:val="en-GB"/>
              </w:rPr>
              <w:t>149</w:t>
            </w:r>
          </w:p>
          <w:p w:rsidR="006419BC" w:rsidRPr="00812349" w:rsidRDefault="006419BC" w:rsidP="00AD7105">
            <w:pPr>
              <w:pStyle w:val="Listenabsatz"/>
              <w:numPr>
                <w:ilvl w:val="0"/>
                <w:numId w:val="11"/>
              </w:numPr>
              <w:spacing w:after="200" w:line="276" w:lineRule="auto"/>
              <w:jc w:val="both"/>
              <w:rPr>
                <w:rFonts w:cstheme="minorHAnsi"/>
                <w:color w:val="000000" w:themeColor="text1"/>
                <w:lang w:val="en-GB"/>
              </w:rPr>
            </w:pPr>
            <w:r w:rsidRPr="00B25D96">
              <w:rPr>
                <w:rFonts w:cstheme="minorHAnsi"/>
                <w:color w:val="000000" w:themeColor="text1"/>
                <w:lang w:val="en-GB"/>
              </w:rPr>
              <w:t>Glucose in target range</w:t>
            </w:r>
            <w:r w:rsidRPr="00812349">
              <w:rPr>
                <w:rFonts w:cstheme="minorHAnsi"/>
                <w:color w:val="000000" w:themeColor="text1"/>
                <w:lang w:val="en-GB"/>
              </w:rPr>
              <w:t xml:space="preserve"> </w:t>
            </w:r>
            <w:r w:rsidRPr="00F34EF5">
              <w:rPr>
                <w:rFonts w:cstheme="minorHAnsi"/>
                <w:noProof/>
                <w:color w:val="000000" w:themeColor="text1"/>
                <w:vertAlign w:val="superscript"/>
                <w:lang w:val="en-GB"/>
              </w:rPr>
              <w:t>22</w:t>
            </w:r>
            <w:r w:rsidRPr="00876226">
              <w:rPr>
                <w:rFonts w:cstheme="minorHAnsi"/>
                <w:color w:val="000000" w:themeColor="text1"/>
                <w:lang w:val="en-GB"/>
              </w:rPr>
              <w:t>:</w:t>
            </w:r>
            <w:r w:rsidRPr="00B25D96">
              <w:rPr>
                <w:rFonts w:cstheme="minorHAnsi"/>
                <w:color w:val="000000" w:themeColor="text1"/>
                <w:lang w:val="en-GB"/>
              </w:rPr>
              <w:t xml:space="preserve"> </w:t>
            </w:r>
          </w:p>
          <w:p w:rsidR="006419BC" w:rsidRPr="00710071" w:rsidRDefault="006419BC" w:rsidP="00582145">
            <w:pPr>
              <w:pStyle w:val="Listenabsatz"/>
              <w:numPr>
                <w:ilvl w:val="1"/>
                <w:numId w:val="11"/>
              </w:numPr>
              <w:spacing w:after="200" w:line="276" w:lineRule="auto"/>
              <w:jc w:val="both"/>
              <w:rPr>
                <w:rFonts w:cstheme="minorHAnsi"/>
                <w:color w:val="000000" w:themeColor="text1"/>
                <w:lang w:val="en-GB"/>
              </w:rPr>
            </w:pPr>
            <w:r w:rsidRPr="00D47D74">
              <w:rPr>
                <w:rFonts w:cstheme="minorHAnsi"/>
                <w:color w:val="000000" w:themeColor="text1"/>
                <w:lang w:val="en-GB"/>
              </w:rPr>
              <w:t>Plasma glucose concentration 4–8 mmol/L (72–144 mg/dL)</w:t>
            </w:r>
            <w:r w:rsidRPr="00C92A01">
              <w:rPr>
                <w:rFonts w:cstheme="minorHAnsi"/>
                <w:color w:val="000000" w:themeColor="text1"/>
                <w:lang w:val="en-GB"/>
              </w:rPr>
              <w:t xml:space="preserve"> </w:t>
            </w:r>
          </w:p>
          <w:p w:rsidR="006419BC" w:rsidRPr="00E3451E" w:rsidRDefault="006419BC" w:rsidP="00582145">
            <w:pPr>
              <w:pStyle w:val="Listenabsatz"/>
              <w:numPr>
                <w:ilvl w:val="1"/>
                <w:numId w:val="11"/>
              </w:numPr>
              <w:spacing w:after="200" w:line="276" w:lineRule="auto"/>
              <w:jc w:val="both"/>
              <w:rPr>
                <w:rFonts w:cstheme="minorHAnsi"/>
                <w:color w:val="000000" w:themeColor="text1"/>
                <w:lang w:val="en-GB"/>
              </w:rPr>
            </w:pPr>
            <w:r w:rsidRPr="00276A60">
              <w:rPr>
                <w:rFonts w:cstheme="minorHAnsi"/>
                <w:color w:val="000000" w:themeColor="text1"/>
                <w:lang w:val="en-GB"/>
              </w:rPr>
              <w:t>On the ICU plasma glucose should be 6</w:t>
            </w:r>
            <w:r w:rsidRPr="00276A60">
              <w:rPr>
                <w:rFonts w:cs="Calibri"/>
                <w:color w:val="000000" w:themeColor="text1"/>
                <w:lang w:val="en-GB"/>
              </w:rPr>
              <w:t>·</w:t>
            </w:r>
            <w:r w:rsidRPr="00276A60">
              <w:rPr>
                <w:rFonts w:cstheme="minorHAnsi"/>
                <w:color w:val="000000" w:themeColor="text1"/>
                <w:lang w:val="en-GB"/>
              </w:rPr>
              <w:t>7-11</w:t>
            </w:r>
            <w:r w:rsidRPr="00EA05A2">
              <w:rPr>
                <w:rFonts w:cs="Calibri"/>
                <w:color w:val="000000" w:themeColor="text1"/>
                <w:lang w:val="en-GB"/>
              </w:rPr>
              <w:t>·</w:t>
            </w:r>
            <w:r w:rsidRPr="00E3451E">
              <w:rPr>
                <w:rFonts w:cstheme="minorHAnsi"/>
                <w:color w:val="000000" w:themeColor="text1"/>
                <w:lang w:val="en-GB"/>
              </w:rPr>
              <w:t xml:space="preserve">1 mmol/L (120-200 mg/dL) </w:t>
            </w:r>
          </w:p>
          <w:p w:rsidR="006419BC" w:rsidRPr="008D495C" w:rsidRDefault="006419BC" w:rsidP="00582145">
            <w:pPr>
              <w:pStyle w:val="Listenabsatz"/>
              <w:numPr>
                <w:ilvl w:val="1"/>
                <w:numId w:val="11"/>
              </w:numPr>
              <w:spacing w:after="200" w:line="276" w:lineRule="auto"/>
              <w:jc w:val="both"/>
              <w:rPr>
                <w:rFonts w:cstheme="minorHAnsi"/>
                <w:lang w:val="en-GB"/>
              </w:rPr>
            </w:pPr>
            <w:r w:rsidRPr="00CE4108">
              <w:rPr>
                <w:rFonts w:cstheme="minorHAnsi"/>
                <w:color w:val="000000" w:themeColor="text1"/>
                <w:lang w:val="en-GB"/>
              </w:rPr>
              <w:t>Avoid hypoglycaemia Grade 2 (&lt;54 mg/dL; &lt;3</w:t>
            </w:r>
            <w:r w:rsidRPr="000637E9">
              <w:rPr>
                <w:rFonts w:cs="Calibri"/>
                <w:color w:val="000000" w:themeColor="text1"/>
                <w:lang w:val="en-GB"/>
              </w:rPr>
              <w:t>·</w:t>
            </w:r>
            <w:r w:rsidRPr="00B1341E">
              <w:rPr>
                <w:rFonts w:cstheme="minorHAnsi"/>
                <w:color w:val="000000" w:themeColor="text1"/>
                <w:lang w:val="en-GB"/>
              </w:rPr>
              <w:t>0 mmol/L) and Grade 3</w:t>
            </w:r>
            <w:r w:rsidRPr="008D495C">
              <w:rPr>
                <w:rFonts w:cstheme="minorHAnsi"/>
                <w:color w:val="000000" w:themeColor="text1"/>
                <w:lang w:val="en-GB"/>
              </w:rPr>
              <w:t xml:space="preserve">  </w:t>
            </w:r>
          </w:p>
          <w:p w:rsidR="006419BC" w:rsidRPr="001C6A5F" w:rsidRDefault="006419BC" w:rsidP="00582145">
            <w:pPr>
              <w:pStyle w:val="Listenabsatz"/>
              <w:numPr>
                <w:ilvl w:val="1"/>
                <w:numId w:val="11"/>
              </w:numPr>
              <w:spacing w:after="200" w:line="276" w:lineRule="auto"/>
              <w:jc w:val="both"/>
              <w:rPr>
                <w:rFonts w:cstheme="minorHAnsi"/>
                <w:color w:val="000000" w:themeColor="text1"/>
                <w:lang w:val="en-GB"/>
              </w:rPr>
            </w:pPr>
            <w:r w:rsidRPr="008D495C">
              <w:rPr>
                <w:rFonts w:cstheme="minorHAnsi"/>
                <w:color w:val="000000" w:themeColor="text1"/>
                <w:lang w:val="en-GB"/>
              </w:rPr>
              <w:t>HbA1c less than 53 mmol/mol (7%)</w:t>
            </w:r>
            <w:r w:rsidRPr="001C6A5F">
              <w:rPr>
                <w:rFonts w:cstheme="minorHAnsi"/>
                <w:color w:val="000000" w:themeColor="text1"/>
                <w:lang w:val="en-GB"/>
              </w:rPr>
              <w:t xml:space="preserve"> </w:t>
            </w:r>
          </w:p>
        </w:tc>
      </w:tr>
    </w:tbl>
    <w:p w:rsidR="006419BC" w:rsidRPr="00D47D74" w:rsidRDefault="006419BC" w:rsidP="00E27EC1">
      <w:pPr>
        <w:spacing w:line="240" w:lineRule="auto"/>
        <w:jc w:val="both"/>
        <w:rPr>
          <w:rFonts w:cstheme="minorHAnsi"/>
          <w:b/>
          <w:lang w:val="en-GB"/>
        </w:rPr>
      </w:pPr>
      <w:r w:rsidRPr="00876226">
        <w:rPr>
          <w:rFonts w:cstheme="minorHAnsi"/>
          <w:b/>
          <w:lang w:val="en-GB"/>
        </w:rPr>
        <w:t xml:space="preserve">Table 2. </w:t>
      </w:r>
      <w:r w:rsidRPr="00B25D96">
        <w:rPr>
          <w:rFonts w:cstheme="minorHAnsi"/>
          <w:lang w:val="en-GB"/>
        </w:rPr>
        <w:t xml:space="preserve">Recommendations of </w:t>
      </w:r>
      <w:r w:rsidRPr="00812349">
        <w:rPr>
          <w:rFonts w:cstheme="minorHAnsi"/>
          <w:lang w:val="en-GB"/>
        </w:rPr>
        <w:t>metabolic disease management in a pandemic situation based on recent literature.</w:t>
      </w:r>
    </w:p>
    <w:p w:rsidR="006419BC" w:rsidRPr="00D47D74" w:rsidRDefault="006419BC">
      <w:pPr>
        <w:rPr>
          <w:rFonts w:cstheme="minorHAnsi"/>
          <w:b/>
          <w:lang w:val="en-GB"/>
        </w:rPr>
      </w:pPr>
      <w:r w:rsidRPr="00D47D74">
        <w:rPr>
          <w:rFonts w:cstheme="minorHAnsi"/>
          <w:b/>
          <w:lang w:val="en-GB"/>
        </w:rPr>
        <w:br w:type="page"/>
      </w:r>
    </w:p>
    <w:tbl>
      <w:tblPr>
        <w:tblW w:w="0" w:type="auto"/>
        <w:tblCellMar>
          <w:left w:w="0" w:type="dxa"/>
          <w:right w:w="0" w:type="dxa"/>
        </w:tblCellMar>
        <w:tblLook w:val="0420" w:firstRow="1" w:lastRow="0" w:firstColumn="0" w:lastColumn="0" w:noHBand="0" w:noVBand="1"/>
      </w:tblPr>
      <w:tblGrid>
        <w:gridCol w:w="2311"/>
        <w:gridCol w:w="1655"/>
        <w:gridCol w:w="1655"/>
        <w:gridCol w:w="1784"/>
        <w:gridCol w:w="1647"/>
      </w:tblGrid>
      <w:tr w:rsidR="006419BC" w:rsidRPr="0096621A" w:rsidTr="001023C0">
        <w:trPr>
          <w:trHeight w:val="584"/>
        </w:trPr>
        <w:tc>
          <w:tcPr>
            <w:tcW w:w="0" w:type="auto"/>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419BC" w:rsidRPr="006419BC" w:rsidRDefault="006419BC" w:rsidP="001023C0">
            <w:pPr>
              <w:rPr>
                <w:rFonts w:ascii="Arial" w:hAnsi="Arial" w:cs="Arial"/>
                <w:sz w:val="20"/>
                <w:szCs w:val="20"/>
                <w:lang w:val="en-US"/>
              </w:rPr>
            </w:pPr>
          </w:p>
        </w:tc>
        <w:tc>
          <w:tcPr>
            <w:tcW w:w="0" w:type="auto"/>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419BC" w:rsidRPr="0096621A" w:rsidRDefault="006419BC" w:rsidP="001023C0">
            <w:pPr>
              <w:rPr>
                <w:rFonts w:ascii="Arial" w:hAnsi="Arial" w:cs="Arial"/>
                <w:sz w:val="20"/>
                <w:szCs w:val="20"/>
              </w:rPr>
            </w:pPr>
            <w:r w:rsidRPr="0096621A">
              <w:rPr>
                <w:rFonts w:ascii="Arial" w:hAnsi="Arial" w:cs="Arial"/>
                <w:b/>
                <w:bCs/>
                <w:sz w:val="20"/>
                <w:szCs w:val="20"/>
              </w:rPr>
              <w:t>No C</w:t>
            </w:r>
            <w:r>
              <w:rPr>
                <w:rFonts w:ascii="Arial" w:hAnsi="Arial" w:cs="Arial"/>
                <w:b/>
                <w:bCs/>
                <w:sz w:val="20"/>
                <w:szCs w:val="20"/>
              </w:rPr>
              <w:t>OVID-19</w:t>
            </w:r>
          </w:p>
        </w:tc>
        <w:tc>
          <w:tcPr>
            <w:tcW w:w="0" w:type="auto"/>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419BC" w:rsidRPr="0096621A" w:rsidRDefault="006419BC" w:rsidP="001023C0">
            <w:pPr>
              <w:rPr>
                <w:rFonts w:ascii="Arial" w:hAnsi="Arial" w:cs="Arial"/>
                <w:sz w:val="20"/>
                <w:szCs w:val="20"/>
              </w:rPr>
            </w:pPr>
            <w:r w:rsidRPr="0096621A">
              <w:rPr>
                <w:rFonts w:ascii="Arial" w:hAnsi="Arial" w:cs="Arial"/>
                <w:b/>
                <w:bCs/>
                <w:sz w:val="20"/>
                <w:szCs w:val="20"/>
              </w:rPr>
              <w:t xml:space="preserve"> Mild disease </w:t>
            </w:r>
          </w:p>
          <w:p w:rsidR="006419BC" w:rsidRPr="0096621A" w:rsidRDefault="006419BC" w:rsidP="001023C0">
            <w:pPr>
              <w:rPr>
                <w:rFonts w:ascii="Arial" w:hAnsi="Arial" w:cs="Arial"/>
                <w:sz w:val="20"/>
                <w:szCs w:val="20"/>
              </w:rPr>
            </w:pPr>
            <w:r>
              <w:rPr>
                <w:rFonts w:ascii="Arial" w:hAnsi="Arial" w:cs="Arial"/>
                <w:b/>
                <w:bCs/>
                <w:sz w:val="20"/>
                <w:szCs w:val="20"/>
              </w:rPr>
              <w:t>(Primary c</w:t>
            </w:r>
            <w:r w:rsidRPr="0096621A">
              <w:rPr>
                <w:rFonts w:ascii="Arial" w:hAnsi="Arial" w:cs="Arial"/>
                <w:b/>
                <w:bCs/>
                <w:sz w:val="20"/>
                <w:szCs w:val="20"/>
              </w:rPr>
              <w:t xml:space="preserve">are) </w:t>
            </w:r>
          </w:p>
        </w:tc>
        <w:tc>
          <w:tcPr>
            <w:tcW w:w="0" w:type="auto"/>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419BC" w:rsidRPr="0096621A" w:rsidRDefault="006419BC" w:rsidP="001023C0">
            <w:pPr>
              <w:rPr>
                <w:rFonts w:ascii="Arial" w:hAnsi="Arial" w:cs="Arial"/>
                <w:sz w:val="20"/>
                <w:szCs w:val="20"/>
              </w:rPr>
            </w:pPr>
            <w:r w:rsidRPr="0096621A">
              <w:rPr>
                <w:rFonts w:ascii="Arial" w:hAnsi="Arial" w:cs="Arial"/>
                <w:b/>
                <w:bCs/>
                <w:sz w:val="20"/>
                <w:szCs w:val="20"/>
              </w:rPr>
              <w:t>Moderate disease (Hospital)</w:t>
            </w:r>
          </w:p>
        </w:tc>
        <w:tc>
          <w:tcPr>
            <w:tcW w:w="0" w:type="auto"/>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419BC" w:rsidRPr="0096621A" w:rsidRDefault="006419BC" w:rsidP="001023C0">
            <w:pPr>
              <w:rPr>
                <w:rFonts w:ascii="Arial" w:hAnsi="Arial" w:cs="Arial"/>
                <w:sz w:val="20"/>
                <w:szCs w:val="20"/>
              </w:rPr>
            </w:pPr>
            <w:r w:rsidRPr="0096621A">
              <w:rPr>
                <w:rFonts w:ascii="Arial" w:hAnsi="Arial" w:cs="Arial"/>
                <w:b/>
                <w:bCs/>
                <w:sz w:val="20"/>
                <w:szCs w:val="20"/>
              </w:rPr>
              <w:t xml:space="preserve">Severe disease </w:t>
            </w:r>
          </w:p>
          <w:p w:rsidR="006419BC" w:rsidRPr="0096621A" w:rsidRDefault="006419BC" w:rsidP="001023C0">
            <w:pPr>
              <w:rPr>
                <w:rFonts w:ascii="Arial" w:hAnsi="Arial" w:cs="Arial"/>
                <w:sz w:val="20"/>
                <w:szCs w:val="20"/>
              </w:rPr>
            </w:pPr>
            <w:r w:rsidRPr="0096621A">
              <w:rPr>
                <w:rFonts w:ascii="Arial" w:hAnsi="Arial" w:cs="Arial"/>
                <w:b/>
                <w:bCs/>
                <w:sz w:val="20"/>
                <w:szCs w:val="20"/>
              </w:rPr>
              <w:t>(ICU)</w:t>
            </w:r>
          </w:p>
        </w:tc>
      </w:tr>
      <w:tr w:rsidR="006419BC" w:rsidRPr="0096621A" w:rsidTr="001023C0">
        <w:trPr>
          <w:trHeight w:val="584"/>
        </w:trPr>
        <w:tc>
          <w:tcPr>
            <w:tcW w:w="0" w:type="auto"/>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419BC" w:rsidRPr="0096621A" w:rsidRDefault="006419BC" w:rsidP="001023C0">
            <w:pPr>
              <w:rPr>
                <w:rFonts w:ascii="Arial" w:hAnsi="Arial" w:cs="Arial"/>
                <w:sz w:val="20"/>
                <w:szCs w:val="20"/>
              </w:rPr>
            </w:pPr>
            <w:r w:rsidRPr="0096621A">
              <w:rPr>
                <w:rFonts w:ascii="Arial" w:hAnsi="Arial" w:cs="Arial"/>
                <w:sz w:val="20"/>
                <w:szCs w:val="20"/>
              </w:rPr>
              <w:t>Recommended according to guidelines</w:t>
            </w:r>
          </w:p>
        </w:tc>
        <w:tc>
          <w:tcPr>
            <w:tcW w:w="0" w:type="auto"/>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Metformin</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DDP4 inhibitors</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SGLT2 inhibitors</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GLP-1 RA</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Sulfonylurea</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l-GR"/>
              </w:rPr>
              <w:t>α</w:t>
            </w:r>
            <w:r w:rsidRPr="0096621A">
              <w:rPr>
                <w:rFonts w:ascii="Arial" w:hAnsi="Arial" w:cs="Arial"/>
                <w:sz w:val="20"/>
                <w:szCs w:val="20"/>
                <w:lang w:val="en-US"/>
              </w:rPr>
              <w:t>-Glucosidase inhibitors</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TZD</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Insulins</w:t>
            </w:r>
          </w:p>
        </w:tc>
        <w:tc>
          <w:tcPr>
            <w:tcW w:w="0" w:type="auto"/>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Metformin</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DPP4 inhibitors</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SGLT2 inhibitors</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GLP-1 RA</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Insulins</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Sulfonylurea</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l-GR"/>
              </w:rPr>
              <w:t>α</w:t>
            </w:r>
            <w:r w:rsidRPr="0096621A">
              <w:rPr>
                <w:rFonts w:ascii="Arial" w:hAnsi="Arial" w:cs="Arial"/>
                <w:sz w:val="20"/>
                <w:szCs w:val="20"/>
                <w:lang w:val="en-US"/>
              </w:rPr>
              <w:t>-Glucosidase inhibitors</w:t>
            </w:r>
          </w:p>
        </w:tc>
        <w:tc>
          <w:tcPr>
            <w:tcW w:w="0" w:type="auto"/>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DPP4 inhibitors</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SGLT2 inhibitors</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GLP-1 RA</w:t>
            </w:r>
          </w:p>
          <w:p w:rsidR="006419BC" w:rsidRPr="0096621A" w:rsidRDefault="006419BC" w:rsidP="001023C0">
            <w:pPr>
              <w:rPr>
                <w:rFonts w:ascii="Arial" w:hAnsi="Arial" w:cs="Arial"/>
                <w:sz w:val="20"/>
                <w:szCs w:val="20"/>
              </w:rPr>
            </w:pPr>
            <w:r w:rsidRPr="0096621A">
              <w:rPr>
                <w:rFonts w:ascii="Arial" w:hAnsi="Arial" w:cs="Arial"/>
                <w:sz w:val="20"/>
                <w:szCs w:val="20"/>
              </w:rPr>
              <w:t>Insulins</w:t>
            </w:r>
          </w:p>
        </w:tc>
        <w:tc>
          <w:tcPr>
            <w:tcW w:w="0" w:type="auto"/>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419BC" w:rsidRPr="0096621A" w:rsidRDefault="006419BC" w:rsidP="001023C0">
            <w:pPr>
              <w:rPr>
                <w:rFonts w:ascii="Arial" w:hAnsi="Arial" w:cs="Arial"/>
                <w:sz w:val="20"/>
                <w:szCs w:val="20"/>
              </w:rPr>
            </w:pPr>
            <w:r w:rsidRPr="0096621A">
              <w:rPr>
                <w:rFonts w:ascii="Arial" w:hAnsi="Arial" w:cs="Arial"/>
                <w:sz w:val="20"/>
                <w:szCs w:val="20"/>
              </w:rPr>
              <w:t>DPP4 inhibitors</w:t>
            </w:r>
          </w:p>
          <w:p w:rsidR="006419BC" w:rsidRPr="0096621A" w:rsidRDefault="006419BC" w:rsidP="001023C0">
            <w:pPr>
              <w:rPr>
                <w:rFonts w:ascii="Arial" w:hAnsi="Arial" w:cs="Arial"/>
                <w:sz w:val="20"/>
                <w:szCs w:val="20"/>
              </w:rPr>
            </w:pPr>
            <w:r w:rsidRPr="0096621A">
              <w:rPr>
                <w:rFonts w:ascii="Arial" w:hAnsi="Arial" w:cs="Arial"/>
                <w:sz w:val="20"/>
                <w:szCs w:val="20"/>
              </w:rPr>
              <w:t>Insulins</w:t>
            </w:r>
          </w:p>
        </w:tc>
      </w:tr>
      <w:tr w:rsidR="006419BC" w:rsidRPr="003971F3" w:rsidTr="001023C0">
        <w:trPr>
          <w:trHeight w:val="1979"/>
        </w:trPr>
        <w:tc>
          <w:tcPr>
            <w:tcW w:w="0" w:type="auto"/>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419BC" w:rsidRPr="0096621A" w:rsidRDefault="006419BC" w:rsidP="001023C0">
            <w:pPr>
              <w:rPr>
                <w:rFonts w:ascii="Arial" w:hAnsi="Arial" w:cs="Arial"/>
                <w:sz w:val="20"/>
                <w:szCs w:val="20"/>
              </w:rPr>
            </w:pPr>
            <w:r w:rsidRPr="0096621A">
              <w:rPr>
                <w:rFonts w:ascii="Arial" w:hAnsi="Arial" w:cs="Arial"/>
                <w:sz w:val="20"/>
                <w:szCs w:val="20"/>
              </w:rPr>
              <w:t>Use with caution</w:t>
            </w:r>
          </w:p>
        </w:tc>
        <w:tc>
          <w:tcPr>
            <w:tcW w:w="0" w:type="auto"/>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419BC" w:rsidRPr="0096621A" w:rsidRDefault="006419BC" w:rsidP="001023C0">
            <w:pPr>
              <w:rPr>
                <w:rFonts w:ascii="Arial" w:hAnsi="Arial" w:cs="Arial"/>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419BC" w:rsidRPr="0096621A" w:rsidRDefault="006419BC" w:rsidP="001023C0">
            <w:pPr>
              <w:rPr>
                <w:rFonts w:ascii="Arial" w:hAnsi="Arial" w:cs="Arial"/>
                <w:sz w:val="20"/>
                <w:szCs w:val="20"/>
              </w:rPr>
            </w:pPr>
            <w:r w:rsidRPr="0096621A">
              <w:rPr>
                <w:rFonts w:ascii="Arial" w:hAnsi="Arial" w:cs="Arial"/>
                <w:sz w:val="20"/>
                <w:szCs w:val="20"/>
              </w:rPr>
              <w:t>TZD</w:t>
            </w:r>
          </w:p>
        </w:tc>
        <w:tc>
          <w:tcPr>
            <w:tcW w:w="0" w:type="auto"/>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Metformin</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l-GR"/>
              </w:rPr>
              <w:t>α</w:t>
            </w:r>
            <w:r w:rsidRPr="0096621A">
              <w:rPr>
                <w:rFonts w:ascii="Arial" w:hAnsi="Arial" w:cs="Arial"/>
                <w:sz w:val="20"/>
                <w:szCs w:val="20"/>
                <w:lang w:val="en-US"/>
              </w:rPr>
              <w:t>-Glucosidase inhibitors</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SGLT2 inhibitors</w:t>
            </w:r>
          </w:p>
        </w:tc>
        <w:tc>
          <w:tcPr>
            <w:tcW w:w="0" w:type="auto"/>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419BC" w:rsidRPr="0096621A" w:rsidRDefault="006419BC" w:rsidP="001023C0">
            <w:pPr>
              <w:rPr>
                <w:rFonts w:ascii="Arial" w:hAnsi="Arial" w:cs="Arial"/>
                <w:sz w:val="20"/>
                <w:szCs w:val="20"/>
                <w:lang w:val="en-US"/>
              </w:rPr>
            </w:pPr>
          </w:p>
        </w:tc>
      </w:tr>
      <w:tr w:rsidR="006419BC" w:rsidRPr="0096621A" w:rsidTr="001023C0">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419BC" w:rsidRPr="0096621A" w:rsidRDefault="006419BC" w:rsidP="001023C0">
            <w:pPr>
              <w:rPr>
                <w:rFonts w:ascii="Arial" w:hAnsi="Arial" w:cs="Arial"/>
                <w:sz w:val="20"/>
                <w:szCs w:val="20"/>
              </w:rPr>
            </w:pPr>
            <w:r w:rsidRPr="0096621A">
              <w:rPr>
                <w:rFonts w:ascii="Arial" w:hAnsi="Arial" w:cs="Arial"/>
                <w:sz w:val="20"/>
                <w:szCs w:val="20"/>
              </w:rPr>
              <w:t>Contraindications</w:t>
            </w:r>
          </w:p>
        </w:tc>
        <w:tc>
          <w:tcPr>
            <w:tcW w:w="0" w:type="auto"/>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419BC" w:rsidRPr="0096621A" w:rsidRDefault="006419BC" w:rsidP="001023C0">
            <w:pPr>
              <w:rPr>
                <w:rFonts w:ascii="Arial" w:hAnsi="Arial" w:cs="Arial"/>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419BC" w:rsidRPr="0096621A" w:rsidRDefault="006419BC" w:rsidP="001023C0">
            <w:pPr>
              <w:rPr>
                <w:rFonts w:ascii="Arial" w:hAnsi="Arial" w:cs="Arial"/>
                <w:sz w:val="20"/>
                <w:szCs w:val="20"/>
              </w:rPr>
            </w:pPr>
          </w:p>
        </w:tc>
        <w:tc>
          <w:tcPr>
            <w:tcW w:w="0" w:type="auto"/>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419BC" w:rsidRPr="0096621A" w:rsidRDefault="006419BC" w:rsidP="001023C0">
            <w:pPr>
              <w:rPr>
                <w:rFonts w:ascii="Arial" w:hAnsi="Arial" w:cs="Arial"/>
                <w:sz w:val="20"/>
                <w:szCs w:val="20"/>
              </w:rPr>
            </w:pPr>
            <w:r w:rsidRPr="0096621A">
              <w:rPr>
                <w:rFonts w:ascii="Arial" w:hAnsi="Arial" w:cs="Arial"/>
                <w:sz w:val="20"/>
                <w:szCs w:val="20"/>
              </w:rPr>
              <w:t>TZD</w:t>
            </w:r>
          </w:p>
          <w:p w:rsidR="006419BC" w:rsidRPr="0096621A" w:rsidRDefault="006419BC" w:rsidP="001023C0">
            <w:pPr>
              <w:rPr>
                <w:rFonts w:ascii="Arial" w:hAnsi="Arial" w:cs="Arial"/>
                <w:sz w:val="20"/>
                <w:szCs w:val="20"/>
              </w:rPr>
            </w:pPr>
            <w:r w:rsidRPr="0096621A">
              <w:rPr>
                <w:rFonts w:ascii="Arial" w:hAnsi="Arial" w:cs="Arial"/>
                <w:sz w:val="20"/>
                <w:szCs w:val="20"/>
              </w:rPr>
              <w:t>Sulfonylurea</w:t>
            </w:r>
          </w:p>
        </w:tc>
        <w:tc>
          <w:tcPr>
            <w:tcW w:w="0" w:type="auto"/>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Metformin</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l-GR"/>
              </w:rPr>
              <w:t>α</w:t>
            </w:r>
            <w:r w:rsidRPr="0096621A">
              <w:rPr>
                <w:rFonts w:ascii="Arial" w:hAnsi="Arial" w:cs="Arial"/>
                <w:sz w:val="20"/>
                <w:szCs w:val="20"/>
                <w:lang w:val="en-US"/>
              </w:rPr>
              <w:t>-Glucosidase inhibitors</w:t>
            </w:r>
          </w:p>
          <w:p w:rsidR="006419BC" w:rsidRPr="0096621A" w:rsidRDefault="006419BC" w:rsidP="001023C0">
            <w:pPr>
              <w:rPr>
                <w:rFonts w:ascii="Arial" w:hAnsi="Arial" w:cs="Arial"/>
                <w:sz w:val="20"/>
                <w:szCs w:val="20"/>
                <w:lang w:val="en-US"/>
              </w:rPr>
            </w:pPr>
            <w:r w:rsidRPr="0096621A">
              <w:rPr>
                <w:rFonts w:ascii="Arial" w:hAnsi="Arial" w:cs="Arial"/>
                <w:sz w:val="20"/>
                <w:szCs w:val="20"/>
                <w:lang w:val="en-US"/>
              </w:rPr>
              <w:t>SGLT2 inhibitors</w:t>
            </w:r>
          </w:p>
          <w:p w:rsidR="006419BC" w:rsidRPr="0096621A" w:rsidRDefault="006419BC" w:rsidP="001023C0">
            <w:pPr>
              <w:rPr>
                <w:rFonts w:ascii="Arial" w:hAnsi="Arial" w:cs="Arial"/>
                <w:sz w:val="20"/>
                <w:szCs w:val="20"/>
              </w:rPr>
            </w:pPr>
            <w:r w:rsidRPr="0096621A">
              <w:rPr>
                <w:rFonts w:ascii="Arial" w:hAnsi="Arial" w:cs="Arial"/>
                <w:sz w:val="20"/>
                <w:szCs w:val="20"/>
              </w:rPr>
              <w:t>TZD</w:t>
            </w:r>
          </w:p>
        </w:tc>
      </w:tr>
    </w:tbl>
    <w:p w:rsidR="006419BC" w:rsidRPr="00AD581A" w:rsidRDefault="006419BC" w:rsidP="003B0D0B">
      <w:pPr>
        <w:spacing w:line="480" w:lineRule="auto"/>
        <w:rPr>
          <w:rFonts w:cstheme="minorHAnsi"/>
          <w:b/>
          <w:bCs/>
          <w:lang w:val="en-GB"/>
        </w:rPr>
      </w:pPr>
    </w:p>
    <w:p w:rsidR="006419BC" w:rsidRPr="00AD581A" w:rsidRDefault="006419BC" w:rsidP="003C70E4">
      <w:pPr>
        <w:spacing w:line="480" w:lineRule="auto"/>
        <w:rPr>
          <w:rFonts w:cstheme="minorHAnsi"/>
          <w:b/>
          <w:lang w:val="en-GB"/>
        </w:rPr>
      </w:pPr>
      <w:r w:rsidRPr="00AD581A">
        <w:rPr>
          <w:rFonts w:cstheme="minorHAnsi"/>
          <w:b/>
          <w:bCs/>
          <w:lang w:val="en-GB"/>
        </w:rPr>
        <w:t>Table 3.</w:t>
      </w:r>
      <w:r w:rsidRPr="00AD581A">
        <w:rPr>
          <w:rFonts w:cstheme="minorHAnsi"/>
          <w:bCs/>
          <w:lang w:val="en-GB"/>
        </w:rPr>
        <w:t xml:space="preserve"> Recommended antidiabetic management of COVID-19 patients</w:t>
      </w:r>
      <w:r>
        <w:rPr>
          <w:rFonts w:cstheme="minorHAnsi"/>
          <w:bCs/>
          <w:lang w:val="en-GB"/>
        </w:rPr>
        <w:t>.</w:t>
      </w:r>
      <w:r w:rsidRPr="00AD581A">
        <w:rPr>
          <w:rFonts w:cstheme="minorHAnsi"/>
          <w:bCs/>
          <w:lang w:val="en-GB"/>
        </w:rPr>
        <w:t xml:space="preserve"> </w:t>
      </w:r>
      <w:r w:rsidRPr="00D96F48">
        <w:rPr>
          <w:rFonts w:cstheme="minorHAnsi"/>
          <w:bCs/>
          <w:noProof/>
          <w:vertAlign w:val="superscript"/>
          <w:lang w:val="en-GB"/>
        </w:rPr>
        <w:t>68,98</w:t>
      </w:r>
      <w:r w:rsidRPr="00F8061F" w:rsidDel="00F8061F">
        <w:rPr>
          <w:rFonts w:cstheme="minorHAnsi"/>
          <w:bCs/>
          <w:lang w:val="en-GB"/>
        </w:rPr>
        <w:t xml:space="preserve"> </w:t>
      </w:r>
      <w:r w:rsidRPr="00AD581A">
        <w:rPr>
          <w:rFonts w:cstheme="minorHAnsi"/>
          <w:bCs/>
          <w:lang w:val="en-GB"/>
        </w:rPr>
        <w:t xml:space="preserve">  </w:t>
      </w:r>
    </w:p>
    <w:p w:rsidR="006419BC" w:rsidRPr="00AD581A" w:rsidRDefault="006419BC" w:rsidP="003D1540">
      <w:pPr>
        <w:rPr>
          <w:rFonts w:cstheme="minorHAnsi"/>
          <w:b/>
          <w:lang w:val="en-GB"/>
        </w:rPr>
      </w:pPr>
    </w:p>
    <w:p w:rsidR="006419BC" w:rsidRDefault="006419BC">
      <w:pPr>
        <w:rPr>
          <w:rFonts w:cstheme="minorHAnsi"/>
          <w:b/>
          <w:lang w:val="en-GB"/>
        </w:rPr>
      </w:pPr>
    </w:p>
    <w:p w:rsidR="006419BC" w:rsidRDefault="006419BC" w:rsidP="00C36D23">
      <w:pPr>
        <w:spacing w:line="480" w:lineRule="auto"/>
        <w:rPr>
          <w:rFonts w:cstheme="minorHAnsi"/>
          <w:b/>
          <w:lang w:val="en-GB"/>
        </w:rPr>
      </w:pPr>
    </w:p>
    <w:p w:rsidR="006419BC" w:rsidRDefault="006419BC">
      <w:pPr>
        <w:rPr>
          <w:rFonts w:cstheme="minorHAnsi"/>
          <w:b/>
          <w:lang w:val="en-GB"/>
        </w:rPr>
      </w:pPr>
      <w:r>
        <w:rPr>
          <w:rFonts w:cstheme="minorHAnsi"/>
          <w:b/>
          <w:lang w:val="en-GB"/>
        </w:rPr>
        <w:br w:type="page"/>
      </w:r>
    </w:p>
    <w:p w:rsidR="006419BC" w:rsidRDefault="006419BC" w:rsidP="00C36D23">
      <w:pPr>
        <w:spacing w:line="480" w:lineRule="auto"/>
        <w:rPr>
          <w:rFonts w:cstheme="minorHAnsi"/>
          <w:b/>
          <w:lang w:val="en-GB"/>
        </w:rPr>
      </w:pPr>
      <w:r>
        <w:rPr>
          <w:rFonts w:cstheme="minorHAnsi"/>
          <w:b/>
          <w:lang w:val="en-GB"/>
        </w:rPr>
        <w:lastRenderedPageBreak/>
        <w:t>Figure 1</w:t>
      </w:r>
    </w:p>
    <w:p w:rsidR="006419BC" w:rsidRDefault="006419BC" w:rsidP="00C36D23">
      <w:pPr>
        <w:spacing w:line="480" w:lineRule="auto"/>
        <w:rPr>
          <w:rFonts w:cstheme="minorHAnsi"/>
          <w:b/>
          <w:lang w:val="en-GB"/>
        </w:rPr>
      </w:pPr>
      <w:r>
        <w:rPr>
          <w:rFonts w:cstheme="minorHAnsi"/>
          <w:b/>
          <w:noProof/>
          <w:lang w:eastAsia="de-DE"/>
        </w:rPr>
        <w:drawing>
          <wp:inline distT="0" distB="0" distL="0" distR="0" wp14:anchorId="70FAE187" wp14:editId="410E58B4">
            <wp:extent cx="5664200" cy="2435644"/>
            <wp:effectExtent l="0" t="0" r="0" b="3175"/>
            <wp:docPr id="356" name="Grafik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87436" cy="2445636"/>
                    </a:xfrm>
                    <a:prstGeom prst="rect">
                      <a:avLst/>
                    </a:prstGeom>
                    <a:noFill/>
                  </pic:spPr>
                </pic:pic>
              </a:graphicData>
            </a:graphic>
          </wp:inline>
        </w:drawing>
      </w:r>
    </w:p>
    <w:p w:rsidR="006419BC" w:rsidRDefault="006419BC" w:rsidP="00C36D23">
      <w:pPr>
        <w:spacing w:line="480" w:lineRule="auto"/>
        <w:rPr>
          <w:rFonts w:cstheme="minorHAnsi"/>
          <w:b/>
          <w:lang w:val="en-GB"/>
        </w:rPr>
      </w:pPr>
    </w:p>
    <w:p w:rsidR="006419BC" w:rsidRDefault="006419BC">
      <w:pPr>
        <w:rPr>
          <w:rFonts w:cstheme="minorHAnsi"/>
          <w:b/>
          <w:lang w:val="en-GB"/>
        </w:rPr>
      </w:pPr>
      <w:r>
        <w:rPr>
          <w:rFonts w:cstheme="minorHAnsi"/>
          <w:b/>
          <w:lang w:val="en-GB"/>
        </w:rPr>
        <w:br w:type="page"/>
      </w:r>
    </w:p>
    <w:p w:rsidR="006419BC" w:rsidRDefault="006419BC" w:rsidP="00C36D23">
      <w:pPr>
        <w:spacing w:line="480" w:lineRule="auto"/>
        <w:rPr>
          <w:rFonts w:cstheme="minorHAnsi"/>
          <w:b/>
          <w:lang w:val="en-GB"/>
        </w:rPr>
      </w:pPr>
      <w:r>
        <w:rPr>
          <w:rFonts w:cstheme="minorHAnsi"/>
          <w:b/>
          <w:lang w:val="en-GB"/>
        </w:rPr>
        <w:lastRenderedPageBreak/>
        <w:t>Figure 2</w:t>
      </w:r>
    </w:p>
    <w:p w:rsidR="006419BC" w:rsidRPr="00AD581A" w:rsidRDefault="006419BC" w:rsidP="00C36D23">
      <w:pPr>
        <w:spacing w:line="480" w:lineRule="auto"/>
        <w:rPr>
          <w:rFonts w:cstheme="minorHAnsi"/>
          <w:b/>
          <w:lang w:val="en-GB"/>
        </w:rPr>
      </w:pPr>
      <w:r>
        <w:rPr>
          <w:rFonts w:cstheme="minorHAnsi"/>
          <w:b/>
          <w:noProof/>
          <w:lang w:eastAsia="de-DE"/>
        </w:rPr>
        <w:drawing>
          <wp:inline distT="0" distB="0" distL="0" distR="0" wp14:anchorId="09614198" wp14:editId="18A5CEE3">
            <wp:extent cx="5684550" cy="3276600"/>
            <wp:effectExtent l="0" t="0" r="0" b="0"/>
            <wp:docPr id="357" name="Grafik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9485" cy="3279445"/>
                    </a:xfrm>
                    <a:prstGeom prst="rect">
                      <a:avLst/>
                    </a:prstGeom>
                    <a:noFill/>
                  </pic:spPr>
                </pic:pic>
              </a:graphicData>
            </a:graphic>
          </wp:inline>
        </w:drawing>
      </w:r>
    </w:p>
    <w:p w:rsidR="006419BC" w:rsidRDefault="006419BC">
      <w:pPr>
        <w:rPr>
          <w:rFonts w:cstheme="minorHAnsi"/>
          <w:b/>
          <w:noProof/>
          <w:lang w:eastAsia="de-DE"/>
        </w:rPr>
      </w:pPr>
      <w:r>
        <w:rPr>
          <w:rFonts w:cstheme="minorHAnsi"/>
          <w:b/>
          <w:noProof/>
          <w:lang w:eastAsia="de-DE"/>
        </w:rPr>
        <w:br w:type="page"/>
      </w:r>
    </w:p>
    <w:p w:rsidR="006419BC" w:rsidRDefault="006419BC" w:rsidP="00C34AAE">
      <w:pPr>
        <w:rPr>
          <w:rFonts w:cstheme="minorHAnsi"/>
          <w:b/>
          <w:lang w:val="en-GB"/>
        </w:rPr>
      </w:pPr>
      <w:r>
        <w:rPr>
          <w:rFonts w:cstheme="minorHAnsi"/>
          <w:b/>
          <w:lang w:val="en-GB"/>
        </w:rPr>
        <w:lastRenderedPageBreak/>
        <w:t>Figure 3</w:t>
      </w:r>
    </w:p>
    <w:p w:rsidR="006419BC" w:rsidRDefault="006419BC" w:rsidP="00C34AAE">
      <w:pPr>
        <w:rPr>
          <w:rFonts w:cstheme="minorHAnsi"/>
          <w:b/>
          <w:lang w:val="en-GB"/>
        </w:rPr>
      </w:pPr>
      <w:r>
        <w:rPr>
          <w:rFonts w:cstheme="minorHAnsi"/>
          <w:b/>
          <w:noProof/>
          <w:lang w:eastAsia="de-DE"/>
        </w:rPr>
        <w:drawing>
          <wp:inline distT="0" distB="0" distL="0" distR="0" wp14:anchorId="5ADC5F97" wp14:editId="1873846E">
            <wp:extent cx="5224780" cy="41275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4780" cy="4127500"/>
                    </a:xfrm>
                    <a:prstGeom prst="rect">
                      <a:avLst/>
                    </a:prstGeom>
                    <a:noFill/>
                  </pic:spPr>
                </pic:pic>
              </a:graphicData>
            </a:graphic>
          </wp:inline>
        </w:drawing>
      </w:r>
    </w:p>
    <w:p w:rsidR="006419BC" w:rsidRPr="00AD581A" w:rsidRDefault="006419BC" w:rsidP="00C34AAE">
      <w:pPr>
        <w:rPr>
          <w:rFonts w:cstheme="minorHAnsi"/>
          <w:b/>
          <w:lang w:val="en-GB"/>
        </w:rPr>
      </w:pPr>
    </w:p>
    <w:p w:rsidR="00C246C8" w:rsidRDefault="00C246C8"/>
    <w:sectPr w:rsidR="00C246C8" w:rsidSect="006419BC">
      <w:footerReference w:type="default" r:id="rI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283525"/>
      <w:docPartObj>
        <w:docPartGallery w:val="Page Numbers (Bottom of Page)"/>
        <w:docPartUnique/>
      </w:docPartObj>
    </w:sdtPr>
    <w:sdtEndPr/>
    <w:sdtContent>
      <w:p w:rsidR="00A35011" w:rsidRDefault="006419BC">
        <w:pPr>
          <w:pStyle w:val="Fuzeile"/>
          <w:jc w:val="right"/>
        </w:pPr>
        <w:r>
          <w:fldChar w:fldCharType="begin"/>
        </w:r>
        <w:r>
          <w:instrText>PAGE   \* MERGEFORMAT</w:instrText>
        </w:r>
        <w:r>
          <w:fldChar w:fldCharType="separate"/>
        </w:r>
        <w:r>
          <w:rPr>
            <w:noProof/>
          </w:rPr>
          <w:t>5</w:t>
        </w:r>
        <w:r>
          <w:fldChar w:fldCharType="end"/>
        </w:r>
      </w:p>
    </w:sdtContent>
  </w:sdt>
  <w:p w:rsidR="00A35011" w:rsidRDefault="006419BC">
    <w:pPr>
      <w:pStyle w:val="Fuzeile"/>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7CF0"/>
    <w:multiLevelType w:val="hybridMultilevel"/>
    <w:tmpl w:val="B3B23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765137"/>
    <w:multiLevelType w:val="hybridMultilevel"/>
    <w:tmpl w:val="7A34A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E21C5F"/>
    <w:multiLevelType w:val="multilevel"/>
    <w:tmpl w:val="55DC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B3FB7"/>
    <w:multiLevelType w:val="hybridMultilevel"/>
    <w:tmpl w:val="06BA4A02"/>
    <w:lvl w:ilvl="0" w:tplc="3C09000F">
      <w:start w:val="1"/>
      <w:numFmt w:val="decimal"/>
      <w:lvlText w:val="%1."/>
      <w:lvlJc w:val="left"/>
      <w:pPr>
        <w:ind w:left="360" w:hanging="360"/>
      </w:pPr>
    </w:lvl>
    <w:lvl w:ilvl="1" w:tplc="3C090019">
      <w:start w:val="1"/>
      <w:numFmt w:val="lowerLetter"/>
      <w:lvlText w:val="%2."/>
      <w:lvlJc w:val="left"/>
      <w:pPr>
        <w:ind w:left="1080" w:hanging="360"/>
      </w:pPr>
    </w:lvl>
    <w:lvl w:ilvl="2" w:tplc="3C09001B">
      <w:start w:val="1"/>
      <w:numFmt w:val="lowerRoman"/>
      <w:lvlText w:val="%3."/>
      <w:lvlJc w:val="right"/>
      <w:pPr>
        <w:ind w:left="1800" w:hanging="180"/>
      </w:pPr>
    </w:lvl>
    <w:lvl w:ilvl="3" w:tplc="3C09000F">
      <w:start w:val="1"/>
      <w:numFmt w:val="decimal"/>
      <w:lvlText w:val="%4."/>
      <w:lvlJc w:val="left"/>
      <w:pPr>
        <w:ind w:left="2520" w:hanging="360"/>
      </w:pPr>
    </w:lvl>
    <w:lvl w:ilvl="4" w:tplc="3C090019">
      <w:start w:val="1"/>
      <w:numFmt w:val="lowerLetter"/>
      <w:lvlText w:val="%5."/>
      <w:lvlJc w:val="left"/>
      <w:pPr>
        <w:ind w:left="3240" w:hanging="360"/>
      </w:pPr>
    </w:lvl>
    <w:lvl w:ilvl="5" w:tplc="3C09001B">
      <w:start w:val="1"/>
      <w:numFmt w:val="lowerRoman"/>
      <w:lvlText w:val="%6."/>
      <w:lvlJc w:val="right"/>
      <w:pPr>
        <w:ind w:left="3960" w:hanging="180"/>
      </w:pPr>
    </w:lvl>
    <w:lvl w:ilvl="6" w:tplc="3C09000F">
      <w:start w:val="1"/>
      <w:numFmt w:val="decimal"/>
      <w:lvlText w:val="%7."/>
      <w:lvlJc w:val="left"/>
      <w:pPr>
        <w:ind w:left="4680" w:hanging="360"/>
      </w:pPr>
    </w:lvl>
    <w:lvl w:ilvl="7" w:tplc="3C090019">
      <w:start w:val="1"/>
      <w:numFmt w:val="lowerLetter"/>
      <w:lvlText w:val="%8."/>
      <w:lvlJc w:val="left"/>
      <w:pPr>
        <w:ind w:left="5400" w:hanging="360"/>
      </w:pPr>
    </w:lvl>
    <w:lvl w:ilvl="8" w:tplc="3C09001B">
      <w:start w:val="1"/>
      <w:numFmt w:val="lowerRoman"/>
      <w:lvlText w:val="%9."/>
      <w:lvlJc w:val="right"/>
      <w:pPr>
        <w:ind w:left="6120" w:hanging="180"/>
      </w:pPr>
    </w:lvl>
  </w:abstractNum>
  <w:abstractNum w:abstractNumId="4" w15:restartNumberingAfterBreak="0">
    <w:nsid w:val="33D072E5"/>
    <w:multiLevelType w:val="multilevel"/>
    <w:tmpl w:val="205CB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870287"/>
    <w:multiLevelType w:val="multilevel"/>
    <w:tmpl w:val="2D3A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D70A4"/>
    <w:multiLevelType w:val="hybridMultilevel"/>
    <w:tmpl w:val="AED800CC"/>
    <w:lvl w:ilvl="0" w:tplc="E6A4E15C">
      <w:start w:val="1"/>
      <w:numFmt w:val="bullet"/>
      <w:lvlText w:val=""/>
      <w:lvlJc w:val="left"/>
      <w:pPr>
        <w:ind w:left="720" w:hanging="360"/>
      </w:pPr>
      <w:rPr>
        <w:rFonts w:ascii="Symbol" w:hAnsi="Symbol" w:hint="default"/>
        <w:color w:val="FF00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CA4112"/>
    <w:multiLevelType w:val="hybridMultilevel"/>
    <w:tmpl w:val="D1064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632E4E"/>
    <w:multiLevelType w:val="hybridMultilevel"/>
    <w:tmpl w:val="F878D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D424B9B"/>
    <w:multiLevelType w:val="multilevel"/>
    <w:tmpl w:val="5D0E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3E276F"/>
    <w:multiLevelType w:val="hybridMultilevel"/>
    <w:tmpl w:val="2074866E"/>
    <w:lvl w:ilvl="0" w:tplc="99942D40">
      <w:start w:val="1"/>
      <w:numFmt w:val="bullet"/>
      <w:lvlText w:val="•"/>
      <w:lvlJc w:val="left"/>
      <w:pPr>
        <w:tabs>
          <w:tab w:val="num" w:pos="720"/>
        </w:tabs>
        <w:ind w:left="720" w:hanging="360"/>
      </w:pPr>
      <w:rPr>
        <w:rFonts w:ascii="Arial" w:hAnsi="Arial" w:hint="default"/>
      </w:rPr>
    </w:lvl>
    <w:lvl w:ilvl="1" w:tplc="6BECC912" w:tentative="1">
      <w:start w:val="1"/>
      <w:numFmt w:val="bullet"/>
      <w:lvlText w:val="•"/>
      <w:lvlJc w:val="left"/>
      <w:pPr>
        <w:tabs>
          <w:tab w:val="num" w:pos="1440"/>
        </w:tabs>
        <w:ind w:left="1440" w:hanging="360"/>
      </w:pPr>
      <w:rPr>
        <w:rFonts w:ascii="Arial" w:hAnsi="Arial" w:hint="default"/>
      </w:rPr>
    </w:lvl>
    <w:lvl w:ilvl="2" w:tplc="6EE0FA68">
      <w:start w:val="302"/>
      <w:numFmt w:val="bullet"/>
      <w:lvlText w:val="-"/>
      <w:lvlJc w:val="left"/>
      <w:pPr>
        <w:tabs>
          <w:tab w:val="num" w:pos="2160"/>
        </w:tabs>
        <w:ind w:left="2160" w:hanging="360"/>
      </w:pPr>
      <w:rPr>
        <w:rFonts w:ascii="Times New Roman" w:hAnsi="Times New Roman" w:hint="default"/>
      </w:rPr>
    </w:lvl>
    <w:lvl w:ilvl="3" w:tplc="16EA5694" w:tentative="1">
      <w:start w:val="1"/>
      <w:numFmt w:val="bullet"/>
      <w:lvlText w:val="•"/>
      <w:lvlJc w:val="left"/>
      <w:pPr>
        <w:tabs>
          <w:tab w:val="num" w:pos="2880"/>
        </w:tabs>
        <w:ind w:left="2880" w:hanging="360"/>
      </w:pPr>
      <w:rPr>
        <w:rFonts w:ascii="Arial" w:hAnsi="Arial" w:hint="default"/>
      </w:rPr>
    </w:lvl>
    <w:lvl w:ilvl="4" w:tplc="CFF20CF8" w:tentative="1">
      <w:start w:val="1"/>
      <w:numFmt w:val="bullet"/>
      <w:lvlText w:val="•"/>
      <w:lvlJc w:val="left"/>
      <w:pPr>
        <w:tabs>
          <w:tab w:val="num" w:pos="3600"/>
        </w:tabs>
        <w:ind w:left="3600" w:hanging="360"/>
      </w:pPr>
      <w:rPr>
        <w:rFonts w:ascii="Arial" w:hAnsi="Arial" w:hint="default"/>
      </w:rPr>
    </w:lvl>
    <w:lvl w:ilvl="5" w:tplc="C862FA30" w:tentative="1">
      <w:start w:val="1"/>
      <w:numFmt w:val="bullet"/>
      <w:lvlText w:val="•"/>
      <w:lvlJc w:val="left"/>
      <w:pPr>
        <w:tabs>
          <w:tab w:val="num" w:pos="4320"/>
        </w:tabs>
        <w:ind w:left="4320" w:hanging="360"/>
      </w:pPr>
      <w:rPr>
        <w:rFonts w:ascii="Arial" w:hAnsi="Arial" w:hint="default"/>
      </w:rPr>
    </w:lvl>
    <w:lvl w:ilvl="6" w:tplc="85D84392" w:tentative="1">
      <w:start w:val="1"/>
      <w:numFmt w:val="bullet"/>
      <w:lvlText w:val="•"/>
      <w:lvlJc w:val="left"/>
      <w:pPr>
        <w:tabs>
          <w:tab w:val="num" w:pos="5040"/>
        </w:tabs>
        <w:ind w:left="5040" w:hanging="360"/>
      </w:pPr>
      <w:rPr>
        <w:rFonts w:ascii="Arial" w:hAnsi="Arial" w:hint="default"/>
      </w:rPr>
    </w:lvl>
    <w:lvl w:ilvl="7" w:tplc="ADA056A2" w:tentative="1">
      <w:start w:val="1"/>
      <w:numFmt w:val="bullet"/>
      <w:lvlText w:val="•"/>
      <w:lvlJc w:val="left"/>
      <w:pPr>
        <w:tabs>
          <w:tab w:val="num" w:pos="5760"/>
        </w:tabs>
        <w:ind w:left="5760" w:hanging="360"/>
      </w:pPr>
      <w:rPr>
        <w:rFonts w:ascii="Arial" w:hAnsi="Arial" w:hint="default"/>
      </w:rPr>
    </w:lvl>
    <w:lvl w:ilvl="8" w:tplc="0C2AFA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CAE01E2"/>
    <w:multiLevelType w:val="hybridMultilevel"/>
    <w:tmpl w:val="AFE0A0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2"/>
  </w:num>
  <w:num w:numId="5">
    <w:abstractNumId w:val="5"/>
  </w:num>
  <w:num w:numId="6">
    <w:abstractNumId w:val="0"/>
  </w:num>
  <w:num w:numId="7">
    <w:abstractNumId w:val="11"/>
  </w:num>
  <w:num w:numId="8">
    <w:abstractNumId w:val="1"/>
  </w:num>
  <w:num w:numId="9">
    <w:abstractNumId w:val="7"/>
  </w:num>
  <w:num w:numId="10">
    <w:abstractNumId w:val="8"/>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419BC"/>
    <w:rsid w:val="006419BC"/>
    <w:rsid w:val="00C246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228E"/>
  <w15:chartTrackingRefBased/>
  <w15:docId w15:val="{D80C08F2-8106-477B-91A2-F45C733A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19BC"/>
  </w:style>
  <w:style w:type="paragraph" w:styleId="berschrift1">
    <w:name w:val="heading 1"/>
    <w:basedOn w:val="Standard"/>
    <w:link w:val="berschrift1Zchn"/>
    <w:uiPriority w:val="9"/>
    <w:qFormat/>
    <w:rsid w:val="006419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6419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rsid w:val="006419BC"/>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6419BC"/>
  </w:style>
  <w:style w:type="character" w:customStyle="1" w:styleId="berschrift1Zchn">
    <w:name w:val="Überschrift 1 Zchn"/>
    <w:basedOn w:val="Absatz-Standardschriftart"/>
    <w:link w:val="berschrift1"/>
    <w:uiPriority w:val="9"/>
    <w:rsid w:val="006419B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419BC"/>
    <w:rPr>
      <w:rFonts w:asciiTheme="majorHAnsi" w:eastAsiaTheme="majorEastAsia" w:hAnsiTheme="majorHAnsi" w:cstheme="majorBidi"/>
      <w:color w:val="2E74B5" w:themeColor="accent1" w:themeShade="BF"/>
      <w:sz w:val="26"/>
      <w:szCs w:val="26"/>
    </w:rPr>
  </w:style>
  <w:style w:type="paragraph" w:customStyle="1" w:styleId="MittleresRaster21">
    <w:name w:val="Mittleres Raster 21"/>
    <w:uiPriority w:val="1"/>
    <w:qFormat/>
    <w:rsid w:val="006419BC"/>
    <w:pPr>
      <w:spacing w:after="0" w:line="240" w:lineRule="auto"/>
    </w:pPr>
    <w:rPr>
      <w:rFonts w:ascii="Calibri" w:eastAsia="Calibri" w:hAnsi="Calibri" w:cs="Times New Roman"/>
      <w:lang w:val="en-GB"/>
    </w:rPr>
  </w:style>
  <w:style w:type="paragraph" w:styleId="KeinLeerraum">
    <w:name w:val="No Spacing"/>
    <w:uiPriority w:val="1"/>
    <w:qFormat/>
    <w:rsid w:val="006419BC"/>
    <w:pPr>
      <w:spacing w:after="0" w:line="240" w:lineRule="auto"/>
    </w:pPr>
    <w:rPr>
      <w:rFonts w:ascii="Calibri" w:eastAsia="Calibri" w:hAnsi="Calibri" w:cs="Times New Roman"/>
    </w:rPr>
  </w:style>
  <w:style w:type="paragraph" w:styleId="Kopfzeile">
    <w:name w:val="header"/>
    <w:basedOn w:val="Standard"/>
    <w:link w:val="KopfzeileZchn"/>
    <w:uiPriority w:val="99"/>
    <w:unhideWhenUsed/>
    <w:rsid w:val="006419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19BC"/>
  </w:style>
  <w:style w:type="paragraph" w:styleId="Fuzeile">
    <w:name w:val="footer"/>
    <w:basedOn w:val="Standard"/>
    <w:link w:val="FuzeileZchn"/>
    <w:uiPriority w:val="99"/>
    <w:unhideWhenUsed/>
    <w:rsid w:val="006419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19BC"/>
  </w:style>
  <w:style w:type="paragraph" w:customStyle="1" w:styleId="EndNoteBibliographyTitle">
    <w:name w:val="EndNote Bibliography Title"/>
    <w:basedOn w:val="Standard"/>
    <w:link w:val="EndNoteBibliographyTitleZchn"/>
    <w:rsid w:val="006419BC"/>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6419BC"/>
    <w:rPr>
      <w:rFonts w:ascii="Calibri" w:hAnsi="Calibri" w:cs="Calibri"/>
      <w:noProof/>
      <w:lang w:val="en-US"/>
    </w:rPr>
  </w:style>
  <w:style w:type="paragraph" w:customStyle="1" w:styleId="EndNoteBibliography">
    <w:name w:val="EndNote Bibliography"/>
    <w:basedOn w:val="Standard"/>
    <w:link w:val="EndNoteBibliographyZchn"/>
    <w:rsid w:val="006419BC"/>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6419BC"/>
    <w:rPr>
      <w:rFonts w:ascii="Calibri" w:hAnsi="Calibri" w:cs="Calibri"/>
      <w:noProof/>
      <w:lang w:val="en-US"/>
    </w:rPr>
  </w:style>
  <w:style w:type="character" w:styleId="Hyperlink">
    <w:name w:val="Hyperlink"/>
    <w:basedOn w:val="Absatz-Standardschriftart"/>
    <w:uiPriority w:val="99"/>
    <w:unhideWhenUsed/>
    <w:rsid w:val="006419BC"/>
    <w:rPr>
      <w:color w:val="0000FF"/>
      <w:u w:val="single"/>
    </w:rPr>
  </w:style>
  <w:style w:type="character" w:customStyle="1" w:styleId="quizsection">
    <w:name w:val="quizsection"/>
    <w:rsid w:val="006419BC"/>
  </w:style>
  <w:style w:type="character" w:customStyle="1" w:styleId="meta-citation">
    <w:name w:val="meta-citation"/>
    <w:rsid w:val="006419BC"/>
  </w:style>
  <w:style w:type="character" w:customStyle="1" w:styleId="highlight">
    <w:name w:val="highlight"/>
    <w:rsid w:val="006419BC"/>
  </w:style>
  <w:style w:type="paragraph" w:styleId="Sprechblasentext">
    <w:name w:val="Balloon Text"/>
    <w:basedOn w:val="Standard"/>
    <w:link w:val="SprechblasentextZchn"/>
    <w:uiPriority w:val="99"/>
    <w:semiHidden/>
    <w:unhideWhenUsed/>
    <w:rsid w:val="006419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19BC"/>
    <w:rPr>
      <w:rFonts w:ascii="Segoe UI" w:hAnsi="Segoe UI" w:cs="Segoe UI"/>
      <w:sz w:val="18"/>
      <w:szCs w:val="18"/>
    </w:rPr>
  </w:style>
  <w:style w:type="paragraph" w:customStyle="1" w:styleId="NPS">
    <w:name w:val="NPS"/>
    <w:basedOn w:val="Standard"/>
    <w:link w:val="NPSZchn"/>
    <w:qFormat/>
    <w:rsid w:val="006419BC"/>
    <w:pPr>
      <w:spacing w:after="0" w:line="240" w:lineRule="auto"/>
      <w:jc w:val="both"/>
    </w:pPr>
    <w:rPr>
      <w:rFonts w:ascii="Arial" w:eastAsia="Calibri" w:hAnsi="Arial" w:cs="Arial"/>
    </w:rPr>
  </w:style>
  <w:style w:type="character" w:customStyle="1" w:styleId="NPSZchn">
    <w:name w:val="NPS Zchn"/>
    <w:link w:val="NPS"/>
    <w:rsid w:val="006419BC"/>
    <w:rPr>
      <w:rFonts w:ascii="Arial" w:eastAsia="Calibri" w:hAnsi="Arial" w:cs="Arial"/>
    </w:rPr>
  </w:style>
  <w:style w:type="character" w:customStyle="1" w:styleId="authors-list-item">
    <w:name w:val="authors-list-item"/>
    <w:basedOn w:val="Absatz-Standardschriftart"/>
    <w:rsid w:val="006419BC"/>
  </w:style>
  <w:style w:type="character" w:customStyle="1" w:styleId="author-sup-separator">
    <w:name w:val="author-sup-separator"/>
    <w:basedOn w:val="Absatz-Standardschriftart"/>
    <w:rsid w:val="006419BC"/>
  </w:style>
  <w:style w:type="character" w:customStyle="1" w:styleId="comma">
    <w:name w:val="comma"/>
    <w:basedOn w:val="Absatz-Standardschriftart"/>
    <w:rsid w:val="006419BC"/>
  </w:style>
  <w:style w:type="character" w:customStyle="1" w:styleId="docsum-authors">
    <w:name w:val="docsum-authors"/>
    <w:basedOn w:val="Absatz-Standardschriftart"/>
    <w:rsid w:val="006419BC"/>
  </w:style>
  <w:style w:type="character" w:customStyle="1" w:styleId="docsum-journal-citation">
    <w:name w:val="docsum-journal-citation"/>
    <w:basedOn w:val="Absatz-Standardschriftart"/>
    <w:rsid w:val="006419BC"/>
  </w:style>
  <w:style w:type="character" w:customStyle="1" w:styleId="fm-vol-iss-date">
    <w:name w:val="fm-vol-iss-date"/>
    <w:basedOn w:val="Absatz-Standardschriftart"/>
    <w:rsid w:val="006419BC"/>
  </w:style>
  <w:style w:type="character" w:customStyle="1" w:styleId="doi">
    <w:name w:val="doi"/>
    <w:basedOn w:val="Absatz-Standardschriftart"/>
    <w:rsid w:val="006419BC"/>
  </w:style>
  <w:style w:type="character" w:customStyle="1" w:styleId="fm-citation-ids-label">
    <w:name w:val="fm-citation-ids-label"/>
    <w:basedOn w:val="Absatz-Standardschriftart"/>
    <w:rsid w:val="006419BC"/>
  </w:style>
  <w:style w:type="paragraph" w:styleId="StandardWeb">
    <w:name w:val="Normal (Web)"/>
    <w:basedOn w:val="Standard"/>
    <w:uiPriority w:val="99"/>
    <w:semiHidden/>
    <w:unhideWhenUsed/>
    <w:rsid w:val="006419B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period">
    <w:name w:val="period"/>
    <w:basedOn w:val="Absatz-Standardschriftart"/>
    <w:rsid w:val="006419BC"/>
  </w:style>
  <w:style w:type="character" w:customStyle="1" w:styleId="cit">
    <w:name w:val="cit"/>
    <w:basedOn w:val="Absatz-Standardschriftart"/>
    <w:rsid w:val="006419BC"/>
  </w:style>
  <w:style w:type="character" w:customStyle="1" w:styleId="citation-doi">
    <w:name w:val="citation-doi"/>
    <w:basedOn w:val="Absatz-Standardschriftart"/>
    <w:rsid w:val="006419BC"/>
  </w:style>
  <w:style w:type="character" w:customStyle="1" w:styleId="secondary-date">
    <w:name w:val="secondary-date"/>
    <w:basedOn w:val="Absatz-Standardschriftart"/>
    <w:rsid w:val="006419BC"/>
  </w:style>
  <w:style w:type="character" w:customStyle="1" w:styleId="name">
    <w:name w:val="name"/>
    <w:basedOn w:val="Absatz-Standardschriftart"/>
    <w:rsid w:val="006419BC"/>
  </w:style>
  <w:style w:type="character" w:customStyle="1" w:styleId="highwire-cite-metadata-journal">
    <w:name w:val="highwire-cite-metadata-journal"/>
    <w:basedOn w:val="Absatz-Standardschriftart"/>
    <w:rsid w:val="006419BC"/>
  </w:style>
  <w:style w:type="character" w:customStyle="1" w:styleId="highwire-cite-metadata-date">
    <w:name w:val="highwire-cite-metadata-date"/>
    <w:basedOn w:val="Absatz-Standardschriftart"/>
    <w:rsid w:val="006419BC"/>
  </w:style>
  <w:style w:type="character" w:customStyle="1" w:styleId="highwire-cite-metadata-volume">
    <w:name w:val="highwire-cite-metadata-volume"/>
    <w:basedOn w:val="Absatz-Standardschriftart"/>
    <w:rsid w:val="006419BC"/>
  </w:style>
  <w:style w:type="character" w:customStyle="1" w:styleId="highwire-cite-metadata-issue">
    <w:name w:val="highwire-cite-metadata-issue"/>
    <w:basedOn w:val="Absatz-Standardschriftart"/>
    <w:rsid w:val="006419BC"/>
  </w:style>
  <w:style w:type="character" w:customStyle="1" w:styleId="highwire-cite-metadata-pages">
    <w:name w:val="highwire-cite-metadata-pages"/>
    <w:basedOn w:val="Absatz-Standardschriftart"/>
    <w:rsid w:val="006419BC"/>
  </w:style>
  <w:style w:type="character" w:customStyle="1" w:styleId="highwire-cite-title">
    <w:name w:val="highwire-cite-title"/>
    <w:basedOn w:val="Absatz-Standardschriftart"/>
    <w:rsid w:val="006419BC"/>
  </w:style>
  <w:style w:type="character" w:customStyle="1" w:styleId="highwire-citation-authors">
    <w:name w:val="highwire-citation-authors"/>
    <w:basedOn w:val="Absatz-Standardschriftart"/>
    <w:rsid w:val="006419BC"/>
  </w:style>
  <w:style w:type="character" w:customStyle="1" w:styleId="highwire-citation-author">
    <w:name w:val="highwire-citation-author"/>
    <w:basedOn w:val="Absatz-Standardschriftart"/>
    <w:rsid w:val="006419BC"/>
  </w:style>
  <w:style w:type="character" w:styleId="Kommentarzeichen">
    <w:name w:val="annotation reference"/>
    <w:basedOn w:val="Absatz-Standardschriftart"/>
    <w:uiPriority w:val="99"/>
    <w:semiHidden/>
    <w:unhideWhenUsed/>
    <w:rsid w:val="006419BC"/>
    <w:rPr>
      <w:sz w:val="16"/>
      <w:szCs w:val="16"/>
    </w:rPr>
  </w:style>
  <w:style w:type="paragraph" w:styleId="Kommentartext">
    <w:name w:val="annotation text"/>
    <w:basedOn w:val="Standard"/>
    <w:link w:val="KommentartextZchn"/>
    <w:uiPriority w:val="99"/>
    <w:semiHidden/>
    <w:unhideWhenUsed/>
    <w:rsid w:val="006419B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419BC"/>
    <w:rPr>
      <w:sz w:val="20"/>
      <w:szCs w:val="20"/>
    </w:rPr>
  </w:style>
  <w:style w:type="paragraph" w:styleId="Kommentarthema">
    <w:name w:val="annotation subject"/>
    <w:basedOn w:val="Kommentartext"/>
    <w:next w:val="Kommentartext"/>
    <w:link w:val="KommentarthemaZchn"/>
    <w:uiPriority w:val="99"/>
    <w:semiHidden/>
    <w:unhideWhenUsed/>
    <w:rsid w:val="006419BC"/>
    <w:rPr>
      <w:b/>
      <w:bCs/>
    </w:rPr>
  </w:style>
  <w:style w:type="character" w:customStyle="1" w:styleId="KommentarthemaZchn">
    <w:name w:val="Kommentarthema Zchn"/>
    <w:basedOn w:val="KommentartextZchn"/>
    <w:link w:val="Kommentarthema"/>
    <w:uiPriority w:val="99"/>
    <w:semiHidden/>
    <w:rsid w:val="006419BC"/>
    <w:rPr>
      <w:b/>
      <w:bCs/>
      <w:sz w:val="20"/>
      <w:szCs w:val="20"/>
    </w:rPr>
  </w:style>
  <w:style w:type="character" w:styleId="Fett">
    <w:name w:val="Strong"/>
    <w:basedOn w:val="Absatz-Standardschriftart"/>
    <w:uiPriority w:val="22"/>
    <w:qFormat/>
    <w:rsid w:val="006419BC"/>
    <w:rPr>
      <w:b/>
      <w:bCs/>
    </w:rPr>
  </w:style>
  <w:style w:type="character" w:styleId="BesuchterLink">
    <w:name w:val="FollowedHyperlink"/>
    <w:basedOn w:val="Absatz-Standardschriftart"/>
    <w:uiPriority w:val="99"/>
    <w:semiHidden/>
    <w:unhideWhenUsed/>
    <w:rsid w:val="006419BC"/>
    <w:rPr>
      <w:color w:val="954F72" w:themeColor="followedHyperlink"/>
      <w:u w:val="single"/>
    </w:rPr>
  </w:style>
  <w:style w:type="table" w:styleId="Tabellenraster">
    <w:name w:val="Table Grid"/>
    <w:basedOn w:val="NormaleTabelle"/>
    <w:uiPriority w:val="39"/>
    <w:rsid w:val="0064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419BC"/>
    <w:pPr>
      <w:ind w:left="720"/>
      <w:contextualSpacing/>
    </w:pPr>
  </w:style>
  <w:style w:type="table" w:customStyle="1" w:styleId="Gitternetztabelle1hell1">
    <w:name w:val="Gitternetztabelle 1 hell1"/>
    <w:basedOn w:val="NormaleTabelle"/>
    <w:uiPriority w:val="46"/>
    <w:rsid w:val="006419BC"/>
    <w:pPr>
      <w:spacing w:after="0" w:line="240" w:lineRule="auto"/>
    </w:pPr>
    <w:rPr>
      <w:rFonts w:ascii="Calibri" w:eastAsia="Calibri" w:hAnsi="Calibri" w:cs="Times New Roman"/>
      <w:sz w:val="20"/>
      <w:szCs w:val="20"/>
      <w:lang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dpi16affiliation">
    <w:name w:val="mdpi16affiliation"/>
    <w:basedOn w:val="Standard"/>
    <w:rsid w:val="006419BC"/>
    <w:pPr>
      <w:spacing w:before="100" w:beforeAutospacing="1" w:after="100" w:afterAutospacing="1" w:line="240" w:lineRule="auto"/>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covidiab.e-dendri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11204</Words>
  <Characters>70589</Characters>
  <Application>Microsoft Office Word</Application>
  <DocSecurity>0</DocSecurity>
  <Lines>588</Lines>
  <Paragraphs>163</Paragraphs>
  <ScaleCrop>false</ScaleCrop>
  <Company>Universitätsklinik Carl Gustav Carus Dresden</Company>
  <LinksUpToDate>false</LinksUpToDate>
  <CharactersWithSpaces>81630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Steenblock, Charlotte</dc:creator>
  <cp:keywords/>
  <dc:description/>
  <cp:lastModifiedBy>Steenblock, Charlotte</cp:lastModifiedBy>
  <cp:revision>1</cp:revision>
  <dcterms:created xsi:type="dcterms:W3CDTF">2021-08-02T19:48:00Z</dcterms:created>
  <dcterms:modified xsi:type="dcterms:W3CDTF">2021-08-02T19:52:00Z</dcterms:modified>
</cp:coreProperties>
</file>