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1244F" w14:textId="64A4AEEA" w:rsidR="004F5BC4" w:rsidRPr="00A53261" w:rsidRDefault="00C871DF" w:rsidP="00866061">
      <w:pPr>
        <w:pStyle w:val="Heading1"/>
        <w:rPr>
          <w:b/>
        </w:rPr>
      </w:pPr>
      <w:r>
        <w:t>A cluster</w:t>
      </w:r>
      <w:r w:rsidR="0098018D">
        <w:t>-</w:t>
      </w:r>
      <w:r>
        <w:t>randomised trial</w:t>
      </w:r>
      <w:r w:rsidR="004F5BC4" w:rsidRPr="00A53261">
        <w:t xml:space="preserve"> of </w:t>
      </w:r>
      <w:r>
        <w:t xml:space="preserve">the impact </w:t>
      </w:r>
      <w:r w:rsidRPr="00205C12">
        <w:t xml:space="preserve">of </w:t>
      </w:r>
      <w:r w:rsidR="00D326E0" w:rsidRPr="00205C12">
        <w:t xml:space="preserve">a policy of </w:t>
      </w:r>
      <w:r w:rsidR="004F5BC4" w:rsidRPr="00205C12">
        <w:t>daily</w:t>
      </w:r>
      <w:r w:rsidR="004F5BC4" w:rsidRPr="00A53261">
        <w:t xml:space="preserve"> testing for contacts of COVID-19 cases on </w:t>
      </w:r>
      <w:r w:rsidR="00A433B9">
        <w:t>attendance</w:t>
      </w:r>
      <w:r w:rsidR="004F5BC4" w:rsidRPr="00A53261">
        <w:t xml:space="preserve"> and COVID-19 transmission in English secondary schools and colleges</w:t>
      </w:r>
      <w:r w:rsidR="00C76401" w:rsidRPr="00A53261">
        <w:t xml:space="preserve"> </w:t>
      </w:r>
    </w:p>
    <w:p w14:paraId="53DAE62E" w14:textId="77777777" w:rsidR="008B3102" w:rsidRPr="00A53261" w:rsidRDefault="008B3102">
      <w:pPr>
        <w:rPr>
          <w:rFonts w:cstheme="minorHAnsi"/>
        </w:rPr>
      </w:pPr>
    </w:p>
    <w:p w14:paraId="0FBD59BE" w14:textId="77777777" w:rsidR="0007112A" w:rsidRDefault="0007112A">
      <w:pPr>
        <w:rPr>
          <w:rFonts w:cstheme="minorHAnsi"/>
          <w:b/>
        </w:rPr>
      </w:pPr>
      <w:r w:rsidRPr="00536B24">
        <w:rPr>
          <w:rFonts w:cstheme="minorHAnsi"/>
          <w:b/>
        </w:rPr>
        <w:t>Authors</w:t>
      </w:r>
    </w:p>
    <w:p w14:paraId="6E8AA394" w14:textId="329C68F8" w:rsidR="0013553F" w:rsidRPr="0013553F" w:rsidRDefault="0013553F">
      <w:pPr>
        <w:rPr>
          <w:rFonts w:cstheme="minorHAnsi"/>
          <w:bCs/>
        </w:rPr>
      </w:pPr>
      <w:r w:rsidRPr="00280520">
        <w:rPr>
          <w:rFonts w:cstheme="minorHAnsi"/>
          <w:bCs/>
        </w:rPr>
        <w:t>Bernadette C Young</w:t>
      </w:r>
      <w:r w:rsidR="00821F4B">
        <w:rPr>
          <w:rFonts w:cstheme="minorHAnsi"/>
          <w:bCs/>
        </w:rPr>
        <w:t xml:space="preserve"> (DPhil)</w:t>
      </w:r>
      <w:r w:rsidR="00AF4E22" w:rsidRPr="00280520">
        <w:rPr>
          <w:rFonts w:cstheme="minorHAnsi"/>
          <w:bCs/>
          <w:vertAlign w:val="superscript"/>
        </w:rPr>
        <w:t>1</w:t>
      </w:r>
      <w:r w:rsidR="00093B62" w:rsidRPr="00280520">
        <w:rPr>
          <w:rFonts w:cstheme="minorHAnsi"/>
          <w:bCs/>
          <w:vertAlign w:val="superscript"/>
        </w:rPr>
        <w:t>*</w:t>
      </w:r>
      <w:r w:rsidR="00AF4E22" w:rsidRPr="00280520">
        <w:rPr>
          <w:rFonts w:cstheme="minorHAnsi"/>
          <w:bCs/>
        </w:rPr>
        <w:t xml:space="preserve">, </w:t>
      </w:r>
      <w:r w:rsidR="00093B62" w:rsidRPr="00280520">
        <w:rPr>
          <w:rFonts w:cstheme="minorHAnsi"/>
          <w:bCs/>
        </w:rPr>
        <w:t>David W Eyre</w:t>
      </w:r>
      <w:r w:rsidR="00821F4B">
        <w:rPr>
          <w:rFonts w:cstheme="minorHAnsi"/>
          <w:bCs/>
        </w:rPr>
        <w:t xml:space="preserve"> (DPhil)</w:t>
      </w:r>
      <w:r w:rsidR="00093B62" w:rsidRPr="00280520">
        <w:rPr>
          <w:rFonts w:cstheme="minorHAnsi"/>
          <w:bCs/>
          <w:vertAlign w:val="superscript"/>
        </w:rPr>
        <w:t>2,3,4*</w:t>
      </w:r>
      <w:r w:rsidR="00093B62" w:rsidRPr="00280520">
        <w:rPr>
          <w:rFonts w:cstheme="minorHAnsi"/>
          <w:bCs/>
        </w:rPr>
        <w:t xml:space="preserve">, </w:t>
      </w:r>
      <w:r w:rsidR="00AF4E22" w:rsidRPr="00280520">
        <w:rPr>
          <w:rFonts w:cstheme="minorHAnsi"/>
          <w:bCs/>
        </w:rPr>
        <w:t>Saroj Kendrick</w:t>
      </w:r>
      <w:r w:rsidR="00821F4B">
        <w:rPr>
          <w:rFonts w:cstheme="minorHAnsi"/>
          <w:bCs/>
        </w:rPr>
        <w:t xml:space="preserve"> (BA)</w:t>
      </w:r>
      <w:r w:rsidR="00093B62" w:rsidRPr="00280520">
        <w:rPr>
          <w:rFonts w:cstheme="minorHAnsi"/>
          <w:bCs/>
          <w:vertAlign w:val="superscript"/>
        </w:rPr>
        <w:t>5</w:t>
      </w:r>
      <w:r w:rsidR="00AF4E22" w:rsidRPr="00280520">
        <w:rPr>
          <w:rFonts w:cstheme="minorHAnsi"/>
          <w:bCs/>
        </w:rPr>
        <w:t>, Chris White</w:t>
      </w:r>
      <w:r w:rsidR="00093B62" w:rsidRPr="00280520">
        <w:rPr>
          <w:rFonts w:cstheme="minorHAnsi"/>
          <w:bCs/>
          <w:vertAlign w:val="superscript"/>
        </w:rPr>
        <w:t>5</w:t>
      </w:r>
      <w:r w:rsidR="00AF4E22" w:rsidRPr="00280520">
        <w:rPr>
          <w:rFonts w:cstheme="minorHAnsi"/>
          <w:bCs/>
        </w:rPr>
        <w:t>, Sylvester Smith</w:t>
      </w:r>
      <w:r w:rsidR="00821F4B">
        <w:rPr>
          <w:rFonts w:cstheme="minorHAnsi"/>
          <w:bCs/>
        </w:rPr>
        <w:t>(MBA)</w:t>
      </w:r>
      <w:r w:rsidR="00093B62" w:rsidRPr="00280520">
        <w:rPr>
          <w:rFonts w:cstheme="minorHAnsi"/>
          <w:bCs/>
          <w:vertAlign w:val="superscript"/>
        </w:rPr>
        <w:t>5</w:t>
      </w:r>
      <w:r w:rsidR="00AF4E22" w:rsidRPr="00280520">
        <w:rPr>
          <w:rFonts w:cstheme="minorHAnsi"/>
          <w:bCs/>
        </w:rPr>
        <w:t>, George Beveridge</w:t>
      </w:r>
      <w:r w:rsidR="00821F4B">
        <w:rPr>
          <w:rFonts w:cstheme="minorHAnsi"/>
          <w:bCs/>
        </w:rPr>
        <w:t xml:space="preserve"> (MSc)</w:t>
      </w:r>
      <w:r w:rsidR="00093B62" w:rsidRPr="00280520">
        <w:rPr>
          <w:rFonts w:cstheme="minorHAnsi"/>
          <w:bCs/>
          <w:vertAlign w:val="superscript"/>
        </w:rPr>
        <w:t>5</w:t>
      </w:r>
      <w:r w:rsidR="00AF4E22" w:rsidRPr="00280520">
        <w:rPr>
          <w:rFonts w:cstheme="minorHAnsi"/>
          <w:bCs/>
        </w:rPr>
        <w:t>, Toby Nonne</w:t>
      </w:r>
      <w:r w:rsidR="009A506F">
        <w:rPr>
          <w:rFonts w:cstheme="minorHAnsi"/>
          <w:bCs/>
        </w:rPr>
        <w:t>n</w:t>
      </w:r>
      <w:r w:rsidR="00AF4E22" w:rsidRPr="00280520">
        <w:rPr>
          <w:rFonts w:cstheme="minorHAnsi"/>
          <w:bCs/>
        </w:rPr>
        <w:t>macher</w:t>
      </w:r>
      <w:r w:rsidR="00821F4B">
        <w:rPr>
          <w:rFonts w:cstheme="minorHAnsi"/>
          <w:bCs/>
        </w:rPr>
        <w:t xml:space="preserve"> (PhD)</w:t>
      </w:r>
      <w:r w:rsidR="00093B62" w:rsidRPr="00280520">
        <w:rPr>
          <w:rFonts w:cstheme="minorHAnsi"/>
          <w:bCs/>
          <w:vertAlign w:val="superscript"/>
        </w:rPr>
        <w:t>5</w:t>
      </w:r>
      <w:r w:rsidR="00AF4E22" w:rsidRPr="00280520">
        <w:rPr>
          <w:rFonts w:cstheme="minorHAnsi"/>
          <w:bCs/>
        </w:rPr>
        <w:t xml:space="preserve">, </w:t>
      </w:r>
      <w:proofErr w:type="spellStart"/>
      <w:r w:rsidR="00AF4E22" w:rsidRPr="00280520">
        <w:rPr>
          <w:rFonts w:cstheme="minorHAnsi"/>
          <w:bCs/>
        </w:rPr>
        <w:t>Fegor</w:t>
      </w:r>
      <w:proofErr w:type="spellEnd"/>
      <w:r w:rsidR="00AF4E22" w:rsidRPr="00280520">
        <w:rPr>
          <w:rFonts w:cstheme="minorHAnsi"/>
          <w:bCs/>
        </w:rPr>
        <w:t xml:space="preserve"> </w:t>
      </w:r>
      <w:proofErr w:type="spellStart"/>
      <w:r w:rsidR="00AF4E22" w:rsidRPr="00280520">
        <w:rPr>
          <w:rFonts w:cstheme="minorHAnsi"/>
          <w:bCs/>
        </w:rPr>
        <w:t>Ichofu</w:t>
      </w:r>
      <w:proofErr w:type="spellEnd"/>
      <w:r w:rsidR="00821F4B">
        <w:rPr>
          <w:rFonts w:cstheme="minorHAnsi"/>
          <w:bCs/>
        </w:rPr>
        <w:t xml:space="preserve"> (BSc)</w:t>
      </w:r>
      <w:r w:rsidR="00093B62" w:rsidRPr="00280520">
        <w:rPr>
          <w:rFonts w:cstheme="minorHAnsi"/>
          <w:bCs/>
          <w:vertAlign w:val="superscript"/>
        </w:rPr>
        <w:t>5</w:t>
      </w:r>
      <w:r w:rsidR="00AF4E22" w:rsidRPr="00280520">
        <w:rPr>
          <w:rFonts w:cstheme="minorHAnsi"/>
          <w:bCs/>
        </w:rPr>
        <w:t>, Joseph Hillier</w:t>
      </w:r>
      <w:r w:rsidR="00797C5D">
        <w:rPr>
          <w:rFonts w:cstheme="minorHAnsi"/>
          <w:bCs/>
        </w:rPr>
        <w:t xml:space="preserve"> (PhD)</w:t>
      </w:r>
      <w:r w:rsidR="00093B62" w:rsidRPr="00280520">
        <w:rPr>
          <w:rFonts w:cstheme="minorHAnsi"/>
          <w:bCs/>
          <w:vertAlign w:val="superscript"/>
        </w:rPr>
        <w:t>5</w:t>
      </w:r>
      <w:r w:rsidR="00AF4E22" w:rsidRPr="00280520">
        <w:rPr>
          <w:rFonts w:cstheme="minorHAnsi"/>
          <w:bCs/>
        </w:rPr>
        <w:t xml:space="preserve">, </w:t>
      </w:r>
      <w:r w:rsidR="00D2034D">
        <w:rPr>
          <w:rFonts w:cstheme="minorHAnsi"/>
          <w:bCs/>
        </w:rPr>
        <w:t>Sarah Oakley</w:t>
      </w:r>
      <w:r w:rsidR="00797C5D">
        <w:rPr>
          <w:rFonts w:cstheme="minorHAnsi"/>
          <w:bCs/>
        </w:rPr>
        <w:t xml:space="preserve"> (MSc)</w:t>
      </w:r>
      <w:r w:rsidR="00D2034D" w:rsidRPr="00D2034D">
        <w:rPr>
          <w:rFonts w:cstheme="minorHAnsi"/>
          <w:bCs/>
          <w:vertAlign w:val="superscript"/>
        </w:rPr>
        <w:t>6</w:t>
      </w:r>
      <w:r w:rsidR="00D2034D">
        <w:rPr>
          <w:rFonts w:cstheme="minorHAnsi"/>
          <w:bCs/>
        </w:rPr>
        <w:t xml:space="preserve">, </w:t>
      </w:r>
      <w:r w:rsidR="00AF4E22" w:rsidRPr="00280520">
        <w:rPr>
          <w:rFonts w:cstheme="minorHAnsi"/>
          <w:bCs/>
        </w:rPr>
        <w:t>Ian Diamond</w:t>
      </w:r>
      <w:r w:rsidR="00797C5D">
        <w:rPr>
          <w:rFonts w:cstheme="minorHAnsi"/>
          <w:bCs/>
        </w:rPr>
        <w:t>(PhD)</w:t>
      </w:r>
      <w:r w:rsidR="00D2034D" w:rsidRPr="00D2034D">
        <w:rPr>
          <w:rFonts w:cstheme="minorHAnsi"/>
          <w:bCs/>
          <w:vertAlign w:val="superscript"/>
        </w:rPr>
        <w:t>7</w:t>
      </w:r>
      <w:r w:rsidR="00AF4E22" w:rsidRPr="00280520">
        <w:rPr>
          <w:rFonts w:cstheme="minorHAnsi"/>
          <w:bCs/>
        </w:rPr>
        <w:t>, Emma Rourke</w:t>
      </w:r>
      <w:r w:rsidR="00821F4B">
        <w:rPr>
          <w:rFonts w:cstheme="minorHAnsi"/>
          <w:bCs/>
        </w:rPr>
        <w:t xml:space="preserve"> (MSc)</w:t>
      </w:r>
      <w:r w:rsidR="00D2034D" w:rsidRPr="00D2034D">
        <w:rPr>
          <w:rFonts w:cstheme="minorHAnsi"/>
          <w:bCs/>
          <w:vertAlign w:val="superscript"/>
        </w:rPr>
        <w:t>7</w:t>
      </w:r>
      <w:r w:rsidR="00AF4E22" w:rsidRPr="00280520">
        <w:rPr>
          <w:rFonts w:cstheme="minorHAnsi"/>
          <w:bCs/>
        </w:rPr>
        <w:t>, Fiona Dawe</w:t>
      </w:r>
      <w:r w:rsidR="00821F4B">
        <w:rPr>
          <w:rFonts w:cstheme="minorHAnsi"/>
          <w:bCs/>
        </w:rPr>
        <w:t xml:space="preserve"> (MSc)</w:t>
      </w:r>
      <w:r w:rsidR="00D2034D" w:rsidRPr="00D2034D">
        <w:rPr>
          <w:rFonts w:cstheme="minorHAnsi"/>
          <w:bCs/>
          <w:vertAlign w:val="superscript"/>
        </w:rPr>
        <w:t>7</w:t>
      </w:r>
      <w:r w:rsidR="00AF4E22" w:rsidRPr="00280520">
        <w:rPr>
          <w:rFonts w:cstheme="minorHAnsi"/>
          <w:bCs/>
        </w:rPr>
        <w:t xml:space="preserve">, </w:t>
      </w:r>
      <w:proofErr w:type="spellStart"/>
      <w:r w:rsidR="00AF4E22" w:rsidRPr="00280520">
        <w:rPr>
          <w:rFonts w:cstheme="minorHAnsi"/>
          <w:bCs/>
        </w:rPr>
        <w:t>Ieuan</w:t>
      </w:r>
      <w:proofErr w:type="spellEnd"/>
      <w:r w:rsidR="00AF4E22" w:rsidRPr="00280520">
        <w:rPr>
          <w:rFonts w:cstheme="minorHAnsi"/>
          <w:bCs/>
        </w:rPr>
        <w:t xml:space="preserve"> Day</w:t>
      </w:r>
      <w:r w:rsidR="00D2034D" w:rsidRPr="00D2034D">
        <w:rPr>
          <w:rFonts w:cstheme="minorHAnsi"/>
          <w:bCs/>
          <w:vertAlign w:val="superscript"/>
        </w:rPr>
        <w:t>7</w:t>
      </w:r>
      <w:r w:rsidR="00AF4E22" w:rsidRPr="00280520">
        <w:rPr>
          <w:rFonts w:cstheme="minorHAnsi"/>
          <w:bCs/>
        </w:rPr>
        <w:t>, Lisa Davies</w:t>
      </w:r>
      <w:r w:rsidR="00797C5D">
        <w:rPr>
          <w:rFonts w:cstheme="minorHAnsi"/>
          <w:bCs/>
        </w:rPr>
        <w:t xml:space="preserve"> (BA)</w:t>
      </w:r>
      <w:r w:rsidR="00D2034D" w:rsidRPr="00D2034D">
        <w:rPr>
          <w:rFonts w:cstheme="minorHAnsi"/>
          <w:bCs/>
          <w:vertAlign w:val="superscript"/>
        </w:rPr>
        <w:t>7</w:t>
      </w:r>
      <w:r w:rsidR="00AF4E22" w:rsidRPr="00280520">
        <w:rPr>
          <w:rFonts w:cstheme="minorHAnsi"/>
          <w:bCs/>
        </w:rPr>
        <w:t>, Paul Staite</w:t>
      </w:r>
      <w:r w:rsidR="00D2034D" w:rsidRPr="00D2034D">
        <w:rPr>
          <w:rFonts w:cstheme="minorHAnsi"/>
          <w:bCs/>
          <w:vertAlign w:val="superscript"/>
        </w:rPr>
        <w:t>7</w:t>
      </w:r>
      <w:r w:rsidR="00AF4E22" w:rsidRPr="00280520">
        <w:rPr>
          <w:rFonts w:cstheme="minorHAnsi"/>
          <w:bCs/>
        </w:rPr>
        <w:t>, Andrea Lacey</w:t>
      </w:r>
      <w:r w:rsidR="00797C5D">
        <w:rPr>
          <w:rFonts w:cstheme="minorHAnsi"/>
          <w:bCs/>
        </w:rPr>
        <w:t xml:space="preserve"> (BSc)</w:t>
      </w:r>
      <w:r w:rsidR="00D2034D" w:rsidRPr="00D2034D">
        <w:rPr>
          <w:rFonts w:cstheme="minorHAnsi"/>
          <w:bCs/>
          <w:vertAlign w:val="superscript"/>
        </w:rPr>
        <w:t>7</w:t>
      </w:r>
      <w:r w:rsidR="00AF4E22" w:rsidRPr="00280520">
        <w:rPr>
          <w:rFonts w:cstheme="minorHAnsi"/>
          <w:bCs/>
        </w:rPr>
        <w:t>, James McCrae</w:t>
      </w:r>
      <w:r w:rsidR="00821F4B">
        <w:rPr>
          <w:rFonts w:cstheme="minorHAnsi"/>
          <w:bCs/>
        </w:rPr>
        <w:t xml:space="preserve"> (BSc)</w:t>
      </w:r>
      <w:r w:rsidR="00D2034D" w:rsidRPr="00D2034D">
        <w:rPr>
          <w:rFonts w:cstheme="minorHAnsi"/>
          <w:bCs/>
          <w:vertAlign w:val="superscript"/>
        </w:rPr>
        <w:t>7</w:t>
      </w:r>
      <w:r w:rsidR="00AF4E22" w:rsidRPr="00280520">
        <w:rPr>
          <w:rFonts w:cstheme="minorHAnsi"/>
          <w:bCs/>
        </w:rPr>
        <w:t>, Ffion Jones</w:t>
      </w:r>
      <w:r w:rsidR="00821F4B">
        <w:rPr>
          <w:rFonts w:cstheme="minorHAnsi"/>
          <w:bCs/>
        </w:rPr>
        <w:t xml:space="preserve"> (BSc)</w:t>
      </w:r>
      <w:r w:rsidR="00D2034D" w:rsidRPr="00D2034D">
        <w:rPr>
          <w:rFonts w:cstheme="minorHAnsi"/>
          <w:bCs/>
          <w:vertAlign w:val="superscript"/>
        </w:rPr>
        <w:t>7</w:t>
      </w:r>
      <w:r w:rsidR="00AF4E22" w:rsidRPr="00280520">
        <w:rPr>
          <w:rFonts w:cstheme="minorHAnsi"/>
          <w:bCs/>
        </w:rPr>
        <w:t>, Joseph Kelly</w:t>
      </w:r>
      <w:r w:rsidR="00821F4B">
        <w:rPr>
          <w:rFonts w:cstheme="minorHAnsi"/>
          <w:bCs/>
        </w:rPr>
        <w:t xml:space="preserve"> (MSc)</w:t>
      </w:r>
      <w:r w:rsidR="00D2034D" w:rsidRPr="00D2034D">
        <w:rPr>
          <w:rFonts w:cstheme="minorHAnsi"/>
          <w:bCs/>
          <w:vertAlign w:val="superscript"/>
        </w:rPr>
        <w:t>7</w:t>
      </w:r>
      <w:r w:rsidR="00AF4E22" w:rsidRPr="00280520">
        <w:rPr>
          <w:rFonts w:cstheme="minorHAnsi"/>
          <w:bCs/>
        </w:rPr>
        <w:t xml:space="preserve">, </w:t>
      </w:r>
      <w:proofErr w:type="spellStart"/>
      <w:r w:rsidR="00AF4E22" w:rsidRPr="00280520">
        <w:rPr>
          <w:rFonts w:cstheme="minorHAnsi"/>
          <w:bCs/>
        </w:rPr>
        <w:t>Urszula</w:t>
      </w:r>
      <w:proofErr w:type="spellEnd"/>
      <w:r w:rsidR="00AF4E22" w:rsidRPr="00280520">
        <w:rPr>
          <w:rFonts w:cstheme="minorHAnsi"/>
          <w:bCs/>
        </w:rPr>
        <w:t xml:space="preserve"> </w:t>
      </w:r>
      <w:proofErr w:type="spellStart"/>
      <w:r w:rsidR="00AF4E22" w:rsidRPr="00280520">
        <w:rPr>
          <w:rFonts w:cstheme="minorHAnsi"/>
          <w:bCs/>
        </w:rPr>
        <w:t>Bankiewicz</w:t>
      </w:r>
      <w:proofErr w:type="spellEnd"/>
      <w:r w:rsidR="00797C5D">
        <w:rPr>
          <w:rFonts w:cstheme="minorHAnsi"/>
          <w:bCs/>
        </w:rPr>
        <w:t xml:space="preserve"> (MSc)</w:t>
      </w:r>
      <w:r w:rsidR="00D2034D" w:rsidRPr="00D2034D">
        <w:rPr>
          <w:rFonts w:cstheme="minorHAnsi"/>
          <w:bCs/>
          <w:vertAlign w:val="superscript"/>
        </w:rPr>
        <w:t>7</w:t>
      </w:r>
      <w:r w:rsidR="00AF4E22" w:rsidRPr="00280520">
        <w:rPr>
          <w:rFonts w:cstheme="minorHAnsi"/>
          <w:bCs/>
        </w:rPr>
        <w:t xml:space="preserve">, </w:t>
      </w:r>
      <w:r w:rsidR="009C7474" w:rsidRPr="00280520">
        <w:rPr>
          <w:rFonts w:cstheme="minorHAnsi"/>
          <w:bCs/>
        </w:rPr>
        <w:t xml:space="preserve">Sarah </w:t>
      </w:r>
      <w:proofErr w:type="spellStart"/>
      <w:r w:rsidR="009C7474" w:rsidRPr="00280520">
        <w:rPr>
          <w:rFonts w:cstheme="minorHAnsi"/>
          <w:bCs/>
        </w:rPr>
        <w:t>Tunkel</w:t>
      </w:r>
      <w:proofErr w:type="spellEnd"/>
      <w:r w:rsidR="00821F4B">
        <w:rPr>
          <w:rFonts w:cstheme="minorHAnsi"/>
          <w:bCs/>
        </w:rPr>
        <w:t xml:space="preserve"> (MBBS)</w:t>
      </w:r>
      <w:r w:rsidR="009C7474" w:rsidRPr="00280520">
        <w:rPr>
          <w:rFonts w:cstheme="minorHAnsi"/>
          <w:bCs/>
          <w:vertAlign w:val="superscript"/>
        </w:rPr>
        <w:t>5</w:t>
      </w:r>
      <w:r w:rsidR="009C7474" w:rsidRPr="00280520">
        <w:rPr>
          <w:rFonts w:cstheme="minorHAnsi"/>
          <w:bCs/>
        </w:rPr>
        <w:t xml:space="preserve">, </w:t>
      </w:r>
      <w:r w:rsidR="00AF4E22" w:rsidRPr="00280520">
        <w:rPr>
          <w:rFonts w:cstheme="minorHAnsi"/>
          <w:bCs/>
        </w:rPr>
        <w:t>Richard Ovens</w:t>
      </w:r>
      <w:r w:rsidR="00821F4B">
        <w:rPr>
          <w:rFonts w:cstheme="minorHAnsi"/>
          <w:bCs/>
        </w:rPr>
        <w:t xml:space="preserve"> (MBBS) </w:t>
      </w:r>
      <w:r w:rsidR="00D2034D">
        <w:rPr>
          <w:rFonts w:cstheme="minorHAnsi"/>
          <w:bCs/>
          <w:vertAlign w:val="superscript"/>
        </w:rPr>
        <w:t>8</w:t>
      </w:r>
      <w:r w:rsidR="00AF4E22" w:rsidRPr="00280520">
        <w:rPr>
          <w:rFonts w:cstheme="minorHAnsi"/>
          <w:bCs/>
        </w:rPr>
        <w:t>, David Chapman</w:t>
      </w:r>
      <w:r w:rsidR="00797C5D">
        <w:rPr>
          <w:rFonts w:cstheme="minorHAnsi"/>
          <w:bCs/>
        </w:rPr>
        <w:t xml:space="preserve"> (PhD)</w:t>
      </w:r>
      <w:r w:rsidR="00D2034D">
        <w:rPr>
          <w:rFonts w:cstheme="minorHAnsi"/>
          <w:bCs/>
          <w:vertAlign w:val="superscript"/>
        </w:rPr>
        <w:t>8</w:t>
      </w:r>
      <w:r w:rsidR="00AF4E22" w:rsidRPr="00280520">
        <w:rPr>
          <w:rFonts w:cstheme="minorHAnsi"/>
          <w:bCs/>
        </w:rPr>
        <w:t xml:space="preserve">, </w:t>
      </w:r>
      <w:proofErr w:type="spellStart"/>
      <w:r w:rsidR="00D2034D">
        <w:rPr>
          <w:rFonts w:cstheme="minorHAnsi"/>
          <w:bCs/>
        </w:rPr>
        <w:t>Vineta</w:t>
      </w:r>
      <w:proofErr w:type="spellEnd"/>
      <w:r w:rsidR="00D2034D">
        <w:rPr>
          <w:rFonts w:cstheme="minorHAnsi"/>
          <w:bCs/>
        </w:rPr>
        <w:t xml:space="preserve"> Bhalla</w:t>
      </w:r>
      <w:r w:rsidR="00821F4B">
        <w:rPr>
          <w:rFonts w:cstheme="minorHAnsi"/>
          <w:bCs/>
        </w:rPr>
        <w:t xml:space="preserve"> (MD)</w:t>
      </w:r>
      <w:r w:rsidR="00D2034D">
        <w:rPr>
          <w:rFonts w:cstheme="minorHAnsi"/>
          <w:bCs/>
          <w:vertAlign w:val="superscript"/>
        </w:rPr>
        <w:t>8</w:t>
      </w:r>
      <w:r w:rsidR="00AF4E22" w:rsidRPr="00280520">
        <w:rPr>
          <w:rFonts w:cstheme="minorHAnsi"/>
          <w:bCs/>
        </w:rPr>
        <w:t>, Peter Marks</w:t>
      </w:r>
      <w:r w:rsidR="00797C5D">
        <w:rPr>
          <w:rFonts w:cstheme="minorHAnsi"/>
          <w:bCs/>
        </w:rPr>
        <w:t xml:space="preserve"> (MPH)</w:t>
      </w:r>
      <w:r w:rsidR="00093B62" w:rsidRPr="00280520">
        <w:rPr>
          <w:rFonts w:cstheme="minorHAnsi"/>
          <w:bCs/>
          <w:vertAlign w:val="superscript"/>
        </w:rPr>
        <w:t>5</w:t>
      </w:r>
      <w:r w:rsidR="00AF4E22" w:rsidRPr="00280520">
        <w:rPr>
          <w:rFonts w:cstheme="minorHAnsi"/>
          <w:bCs/>
        </w:rPr>
        <w:t>, Nick Hicks</w:t>
      </w:r>
      <w:r w:rsidR="00797C5D">
        <w:rPr>
          <w:rFonts w:cstheme="minorHAnsi"/>
          <w:bCs/>
        </w:rPr>
        <w:t xml:space="preserve"> (BM </w:t>
      </w:r>
      <w:proofErr w:type="spellStart"/>
      <w:r w:rsidR="00797C5D">
        <w:rPr>
          <w:rFonts w:cstheme="minorHAnsi"/>
          <w:bCs/>
        </w:rPr>
        <w:t>BCh</w:t>
      </w:r>
      <w:proofErr w:type="spellEnd"/>
      <w:r w:rsidR="00797C5D">
        <w:rPr>
          <w:rFonts w:cstheme="minorHAnsi"/>
          <w:bCs/>
        </w:rPr>
        <w:t>)</w:t>
      </w:r>
      <w:r w:rsidR="007D3417" w:rsidRPr="00280520">
        <w:rPr>
          <w:rFonts w:cstheme="minorHAnsi"/>
          <w:bCs/>
          <w:vertAlign w:val="superscript"/>
        </w:rPr>
        <w:t>5,</w:t>
      </w:r>
      <w:r w:rsidR="00122F44" w:rsidRPr="00280520">
        <w:rPr>
          <w:rFonts w:cstheme="minorHAnsi"/>
          <w:bCs/>
          <w:vertAlign w:val="superscript"/>
        </w:rPr>
        <w:t>9</w:t>
      </w:r>
      <w:r w:rsidR="00AF4E22">
        <w:rPr>
          <w:rFonts w:cstheme="minorHAnsi"/>
          <w:vertAlign w:val="superscript"/>
        </w:rPr>
        <w:t>,</w:t>
      </w:r>
      <w:r w:rsidR="00D2034D">
        <w:rPr>
          <w:rFonts w:cstheme="minorHAnsi"/>
          <w:bCs/>
          <w:vertAlign w:val="superscript"/>
        </w:rPr>
        <w:t>10</w:t>
      </w:r>
      <w:r w:rsidR="00AF4E22" w:rsidRPr="00280520">
        <w:rPr>
          <w:rFonts w:cstheme="minorHAnsi"/>
          <w:bCs/>
        </w:rPr>
        <w:t>, Tom Fowler</w:t>
      </w:r>
      <w:r w:rsidR="00821F4B">
        <w:rPr>
          <w:rFonts w:cstheme="minorHAnsi"/>
          <w:bCs/>
        </w:rPr>
        <w:t xml:space="preserve"> (PhD)</w:t>
      </w:r>
      <w:r w:rsidR="00093B62" w:rsidRPr="00280520">
        <w:rPr>
          <w:rFonts w:cstheme="minorHAnsi"/>
          <w:bCs/>
          <w:vertAlign w:val="superscript"/>
        </w:rPr>
        <w:t>5</w:t>
      </w:r>
      <w:r w:rsidR="002D4732" w:rsidRPr="00280520">
        <w:rPr>
          <w:rFonts w:cstheme="minorHAnsi"/>
          <w:bCs/>
          <w:vertAlign w:val="superscript"/>
        </w:rPr>
        <w:t>,1</w:t>
      </w:r>
      <w:r w:rsidR="00D2034D">
        <w:rPr>
          <w:rFonts w:cstheme="minorHAnsi"/>
          <w:bCs/>
          <w:vertAlign w:val="superscript"/>
        </w:rPr>
        <w:t>1</w:t>
      </w:r>
      <w:r w:rsidR="00AF4E22" w:rsidRPr="00280520">
        <w:rPr>
          <w:rFonts w:cstheme="minorHAnsi"/>
          <w:bCs/>
        </w:rPr>
        <w:t>,</w:t>
      </w:r>
      <w:r w:rsidR="00D73AF2" w:rsidRPr="00280520">
        <w:rPr>
          <w:rFonts w:cstheme="minorHAnsi"/>
          <w:bCs/>
        </w:rPr>
        <w:t xml:space="preserve"> Susan Hopkins</w:t>
      </w:r>
      <w:r w:rsidR="00821F4B">
        <w:rPr>
          <w:rFonts w:cstheme="minorHAnsi"/>
          <w:bCs/>
        </w:rPr>
        <w:t xml:space="preserve"> (MSc)</w:t>
      </w:r>
      <w:r w:rsidR="00D2034D">
        <w:rPr>
          <w:rFonts w:cstheme="minorHAnsi"/>
          <w:bCs/>
          <w:vertAlign w:val="superscript"/>
        </w:rPr>
        <w:t>9</w:t>
      </w:r>
      <w:r w:rsidR="00122F44">
        <w:rPr>
          <w:rFonts w:cstheme="minorHAnsi"/>
          <w:bCs/>
        </w:rPr>
        <w:t xml:space="preserve">, </w:t>
      </w:r>
      <w:r w:rsidR="00AF4E22">
        <w:rPr>
          <w:rFonts w:cstheme="minorHAnsi"/>
          <w:bCs/>
        </w:rPr>
        <w:t>Lucy Yardley</w:t>
      </w:r>
      <w:r w:rsidR="00821F4B">
        <w:rPr>
          <w:rFonts w:cstheme="minorHAnsi"/>
          <w:bCs/>
        </w:rPr>
        <w:t xml:space="preserve"> (PhD)</w:t>
      </w:r>
      <w:r w:rsidR="007D3417">
        <w:rPr>
          <w:rFonts w:cstheme="minorHAnsi"/>
          <w:bCs/>
          <w:vertAlign w:val="superscript"/>
        </w:rPr>
        <w:t>1</w:t>
      </w:r>
      <w:r w:rsidR="00D2034D">
        <w:rPr>
          <w:rFonts w:cstheme="minorHAnsi"/>
          <w:bCs/>
          <w:vertAlign w:val="superscript"/>
        </w:rPr>
        <w:t>2</w:t>
      </w:r>
      <w:r w:rsidR="005D08AE">
        <w:rPr>
          <w:rFonts w:cstheme="minorHAnsi"/>
          <w:bCs/>
          <w:vertAlign w:val="superscript"/>
        </w:rPr>
        <w:t>,13</w:t>
      </w:r>
      <w:r w:rsidR="00AF4E22">
        <w:rPr>
          <w:rFonts w:cstheme="minorHAnsi"/>
          <w:bCs/>
        </w:rPr>
        <w:t xml:space="preserve">, </w:t>
      </w:r>
      <w:r w:rsidR="002E4246">
        <w:rPr>
          <w:rFonts w:cstheme="minorHAnsi"/>
          <w:bCs/>
        </w:rPr>
        <w:t xml:space="preserve">Professor </w:t>
      </w:r>
      <w:r w:rsidR="00AF4E22">
        <w:rPr>
          <w:rFonts w:cstheme="minorHAnsi"/>
          <w:bCs/>
        </w:rPr>
        <w:t>Tim EA Peto</w:t>
      </w:r>
      <w:r w:rsidR="00821F4B">
        <w:rPr>
          <w:rFonts w:cstheme="minorHAnsi"/>
          <w:bCs/>
        </w:rPr>
        <w:t xml:space="preserve"> (FRCP)</w:t>
      </w:r>
      <w:r w:rsidR="00AF4E22" w:rsidRPr="00AF4E22">
        <w:rPr>
          <w:rFonts w:cstheme="minorHAnsi"/>
          <w:bCs/>
          <w:vertAlign w:val="superscript"/>
        </w:rPr>
        <w:t>1</w:t>
      </w:r>
      <w:r w:rsidR="009C7478">
        <w:rPr>
          <w:rFonts w:cstheme="minorHAnsi"/>
          <w:bCs/>
          <w:vertAlign w:val="superscript"/>
        </w:rPr>
        <w:t>,</w:t>
      </w:r>
      <w:r w:rsidR="0017661A">
        <w:rPr>
          <w:rFonts w:cstheme="minorHAnsi"/>
          <w:bCs/>
          <w:vertAlign w:val="superscript"/>
        </w:rPr>
        <w:t>2</w:t>
      </w:r>
      <w:r w:rsidR="009C7478">
        <w:rPr>
          <w:rFonts w:cstheme="minorHAnsi"/>
          <w:bCs/>
          <w:vertAlign w:val="superscript"/>
        </w:rPr>
        <w:t>,</w:t>
      </w:r>
      <w:r w:rsidR="0017661A">
        <w:rPr>
          <w:rFonts w:cstheme="minorHAnsi"/>
          <w:bCs/>
          <w:vertAlign w:val="superscript"/>
        </w:rPr>
        <w:t>3</w:t>
      </w:r>
    </w:p>
    <w:p w14:paraId="57B254DB" w14:textId="77777777" w:rsidR="0013553F" w:rsidRPr="00536B24" w:rsidRDefault="0013553F">
      <w:pPr>
        <w:rPr>
          <w:rFonts w:cstheme="minorHAnsi"/>
          <w:b/>
        </w:rPr>
      </w:pPr>
    </w:p>
    <w:p w14:paraId="6F6E4B91" w14:textId="77777777" w:rsidR="0007112A" w:rsidRPr="00A53261" w:rsidRDefault="0007112A">
      <w:pPr>
        <w:rPr>
          <w:rFonts w:cstheme="minorHAnsi"/>
        </w:rPr>
      </w:pPr>
    </w:p>
    <w:p w14:paraId="7555FD19" w14:textId="77777777" w:rsidR="0007112A" w:rsidRPr="00140D08" w:rsidRDefault="0007112A">
      <w:pPr>
        <w:rPr>
          <w:rFonts w:cstheme="minorHAnsi"/>
          <w:b/>
        </w:rPr>
      </w:pPr>
      <w:r w:rsidRPr="00140D08">
        <w:rPr>
          <w:rFonts w:cstheme="minorHAnsi"/>
          <w:b/>
        </w:rPr>
        <w:t>Affiliations</w:t>
      </w:r>
    </w:p>
    <w:p w14:paraId="7EDB98FF" w14:textId="77777777" w:rsidR="0007112A" w:rsidRDefault="00AF4E22" w:rsidP="00AF4E22">
      <w:pPr>
        <w:pStyle w:val="ListParagraph"/>
        <w:numPr>
          <w:ilvl w:val="0"/>
          <w:numId w:val="13"/>
        </w:numPr>
        <w:rPr>
          <w:rFonts w:cstheme="minorHAnsi"/>
        </w:rPr>
      </w:pPr>
      <w:r w:rsidRPr="00AF4E22">
        <w:rPr>
          <w:rFonts w:cstheme="minorHAnsi"/>
        </w:rPr>
        <w:t>Nuffield Department of Medicine</w:t>
      </w:r>
      <w:r w:rsidR="009C7478">
        <w:rPr>
          <w:rFonts w:cstheme="minorHAnsi"/>
        </w:rPr>
        <w:t>, University of Oxford, Oxford, UK</w:t>
      </w:r>
    </w:p>
    <w:p w14:paraId="498964A6" w14:textId="77777777" w:rsidR="00093B62" w:rsidRPr="009C7478" w:rsidRDefault="00093B62" w:rsidP="00093B62">
      <w:pPr>
        <w:pStyle w:val="NormalWeb"/>
        <w:numPr>
          <w:ilvl w:val="0"/>
          <w:numId w:val="13"/>
        </w:numPr>
        <w:rPr>
          <w:rFonts w:asciiTheme="minorHAnsi" w:hAnsiTheme="minorHAnsi" w:cstheme="minorHAnsi"/>
        </w:rPr>
      </w:pPr>
      <w:r w:rsidRPr="009C7478">
        <w:rPr>
          <w:rFonts w:asciiTheme="minorHAnsi" w:hAnsiTheme="minorHAnsi" w:cstheme="minorHAnsi"/>
        </w:rPr>
        <w:t xml:space="preserve">NIHR Oxford Biomedical Research Centre, University of Oxford, Oxford, United Kingdom </w:t>
      </w:r>
    </w:p>
    <w:p w14:paraId="36E71171" w14:textId="77777777" w:rsidR="00093B62" w:rsidRPr="0090529A" w:rsidRDefault="00093B62" w:rsidP="00093B62">
      <w:pPr>
        <w:pStyle w:val="NormalWeb"/>
        <w:numPr>
          <w:ilvl w:val="0"/>
          <w:numId w:val="13"/>
        </w:numPr>
        <w:rPr>
          <w:rFonts w:asciiTheme="minorHAnsi" w:hAnsiTheme="minorHAnsi" w:cstheme="minorHAnsi"/>
        </w:rPr>
      </w:pPr>
      <w:r w:rsidRPr="0090529A">
        <w:rPr>
          <w:rFonts w:asciiTheme="minorHAnsi" w:hAnsiTheme="minorHAnsi" w:cstheme="minorHAnsi"/>
        </w:rPr>
        <w:t xml:space="preserve">NIHR Health Protection Research Unit in in Healthcare Associated Infections and Antimicrobial Resistance, University of Oxford, Oxford, United Kingdom </w:t>
      </w:r>
    </w:p>
    <w:p w14:paraId="5994ED6C" w14:textId="77777777" w:rsidR="00093B62" w:rsidRPr="0090529A" w:rsidRDefault="00093B62" w:rsidP="00093B62">
      <w:pPr>
        <w:pStyle w:val="NormalWeb"/>
        <w:numPr>
          <w:ilvl w:val="0"/>
          <w:numId w:val="13"/>
        </w:numPr>
        <w:rPr>
          <w:rFonts w:asciiTheme="minorHAnsi" w:hAnsiTheme="minorHAnsi" w:cstheme="minorHAnsi"/>
        </w:rPr>
      </w:pPr>
      <w:r w:rsidRPr="0090529A">
        <w:rPr>
          <w:rFonts w:asciiTheme="minorHAnsi" w:hAnsiTheme="minorHAnsi" w:cstheme="minorHAnsi"/>
        </w:rPr>
        <w:t xml:space="preserve">Big Data Institute, Nuffield Department of Population Health, University of Oxford, Oxford, United Kingdom </w:t>
      </w:r>
    </w:p>
    <w:p w14:paraId="027296AA" w14:textId="77777777" w:rsidR="00AF4E22" w:rsidRPr="0090529A" w:rsidRDefault="00AF4E22" w:rsidP="00AF4E22">
      <w:pPr>
        <w:pStyle w:val="ListParagraph"/>
        <w:numPr>
          <w:ilvl w:val="0"/>
          <w:numId w:val="13"/>
        </w:numPr>
        <w:rPr>
          <w:rFonts w:cstheme="minorHAnsi"/>
        </w:rPr>
      </w:pPr>
      <w:r w:rsidRPr="0090529A">
        <w:rPr>
          <w:rFonts w:cstheme="minorHAnsi"/>
        </w:rPr>
        <w:t>Department of Health and Social Car</w:t>
      </w:r>
      <w:r w:rsidR="0017661A" w:rsidRPr="0090529A">
        <w:rPr>
          <w:rFonts w:cstheme="minorHAnsi"/>
        </w:rPr>
        <w:t>e, UK</w:t>
      </w:r>
    </w:p>
    <w:p w14:paraId="2C317D2C" w14:textId="19E3FE8D" w:rsidR="00D2034D" w:rsidRPr="00D2034D" w:rsidRDefault="00D2034D" w:rsidP="00D2034D">
      <w:pPr>
        <w:pStyle w:val="ListParagraph"/>
        <w:numPr>
          <w:ilvl w:val="0"/>
          <w:numId w:val="13"/>
        </w:numPr>
        <w:rPr>
          <w:rFonts w:cstheme="minorHAnsi"/>
        </w:rPr>
      </w:pPr>
      <w:r w:rsidRPr="00D2034D">
        <w:rPr>
          <w:rFonts w:ascii="Calibri" w:eastAsia="Times New Roman" w:hAnsi="Calibri" w:cs="Calibri"/>
          <w:color w:val="000000"/>
          <w:lang w:eastAsia="en-GB"/>
        </w:rPr>
        <w:t>Oxford University Hos</w:t>
      </w:r>
      <w:r>
        <w:rPr>
          <w:rFonts w:ascii="Calibri" w:eastAsia="Times New Roman" w:hAnsi="Calibri" w:cs="Calibri"/>
          <w:color w:val="000000"/>
          <w:lang w:eastAsia="en-GB"/>
        </w:rPr>
        <w:t>p</w:t>
      </w:r>
      <w:r w:rsidRPr="00D2034D">
        <w:rPr>
          <w:rFonts w:ascii="Calibri" w:eastAsia="Times New Roman" w:hAnsi="Calibri" w:cs="Calibri"/>
          <w:color w:val="000000"/>
          <w:lang w:eastAsia="en-GB"/>
        </w:rPr>
        <w:t xml:space="preserve">itals NHS Foundation </w:t>
      </w:r>
      <w:r w:rsidR="007D6221">
        <w:rPr>
          <w:rFonts w:ascii="Calibri" w:eastAsia="Times New Roman" w:hAnsi="Calibri" w:cs="Calibri"/>
          <w:color w:val="000000"/>
          <w:lang w:eastAsia="en-GB"/>
        </w:rPr>
        <w:t>T</w:t>
      </w:r>
      <w:r w:rsidRPr="00D2034D">
        <w:rPr>
          <w:rFonts w:ascii="Calibri" w:eastAsia="Times New Roman" w:hAnsi="Calibri" w:cs="Calibri"/>
          <w:color w:val="000000"/>
          <w:lang w:eastAsia="en-GB"/>
        </w:rPr>
        <w:t>rust, Oxford, UK</w:t>
      </w:r>
    </w:p>
    <w:p w14:paraId="5C6CC224" w14:textId="77777777" w:rsidR="00AF4E22" w:rsidRPr="0090529A" w:rsidRDefault="00AF4E22" w:rsidP="00AF4E22">
      <w:pPr>
        <w:pStyle w:val="ListParagraph"/>
        <w:numPr>
          <w:ilvl w:val="0"/>
          <w:numId w:val="13"/>
        </w:numPr>
        <w:rPr>
          <w:rFonts w:cstheme="minorHAnsi"/>
        </w:rPr>
      </w:pPr>
      <w:r w:rsidRPr="0090529A">
        <w:rPr>
          <w:rFonts w:cstheme="minorHAnsi"/>
        </w:rPr>
        <w:t>Office for National Statistics</w:t>
      </w:r>
      <w:r w:rsidR="0017661A" w:rsidRPr="0090529A">
        <w:rPr>
          <w:rFonts w:cstheme="minorHAnsi"/>
        </w:rPr>
        <w:t>, UK</w:t>
      </w:r>
    </w:p>
    <w:p w14:paraId="5360B924" w14:textId="61053E64" w:rsidR="003430E5" w:rsidRPr="003430E5" w:rsidRDefault="003430E5" w:rsidP="003430E5">
      <w:pPr>
        <w:pStyle w:val="ListParagraph"/>
        <w:numPr>
          <w:ilvl w:val="0"/>
          <w:numId w:val="13"/>
        </w:numPr>
        <w:rPr>
          <w:rFonts w:cstheme="minorHAnsi"/>
        </w:rPr>
      </w:pPr>
      <w:r w:rsidRPr="0090529A">
        <w:rPr>
          <w:rFonts w:cstheme="minorHAnsi"/>
        </w:rPr>
        <w:t>Deloitt</w:t>
      </w:r>
      <w:r>
        <w:rPr>
          <w:rFonts w:cstheme="minorHAnsi"/>
        </w:rPr>
        <w:t>e MCS limited</w:t>
      </w:r>
      <w:r w:rsidR="00E904B0">
        <w:rPr>
          <w:rFonts w:cstheme="minorHAnsi"/>
        </w:rPr>
        <w:t>, UK</w:t>
      </w:r>
    </w:p>
    <w:p w14:paraId="40AB80A8" w14:textId="77777777" w:rsidR="007D3417" w:rsidRPr="00B54C0C" w:rsidRDefault="007D3417" w:rsidP="00AF4E22">
      <w:pPr>
        <w:pStyle w:val="ListParagraph"/>
        <w:numPr>
          <w:ilvl w:val="0"/>
          <w:numId w:val="13"/>
        </w:numPr>
        <w:rPr>
          <w:rFonts w:cstheme="minorHAnsi"/>
        </w:rPr>
      </w:pPr>
      <w:r w:rsidRPr="0090529A">
        <w:rPr>
          <w:rFonts w:cstheme="minorHAnsi"/>
        </w:rPr>
        <w:t xml:space="preserve">Public </w:t>
      </w:r>
      <w:r w:rsidRPr="00B54C0C">
        <w:rPr>
          <w:rFonts w:cstheme="minorHAnsi"/>
        </w:rPr>
        <w:t>Health England, UK</w:t>
      </w:r>
    </w:p>
    <w:p w14:paraId="0E737A10" w14:textId="77777777" w:rsidR="007D3417" w:rsidRPr="00B54C0C" w:rsidRDefault="007D3417" w:rsidP="007D3417">
      <w:pPr>
        <w:pStyle w:val="ListParagraph"/>
        <w:numPr>
          <w:ilvl w:val="0"/>
          <w:numId w:val="13"/>
        </w:numPr>
        <w:rPr>
          <w:rFonts w:eastAsia="Times New Roman" w:cstheme="minorHAnsi"/>
          <w:lang w:eastAsia="en-GB"/>
        </w:rPr>
      </w:pPr>
      <w:r w:rsidRPr="00B54C0C">
        <w:rPr>
          <w:rFonts w:eastAsia="Times New Roman" w:cstheme="minorHAnsi"/>
          <w:color w:val="000000"/>
          <w:lang w:eastAsia="en-GB"/>
        </w:rPr>
        <w:t xml:space="preserve">Nuffield Department of Primary Care Health Sciences, University of Oxford, Oxford, UK. </w:t>
      </w:r>
    </w:p>
    <w:p w14:paraId="7F1E60CB" w14:textId="77777777" w:rsidR="002D4732" w:rsidRPr="00B54C0C" w:rsidRDefault="002D4732" w:rsidP="007D3417">
      <w:pPr>
        <w:pStyle w:val="ListParagraph"/>
        <w:numPr>
          <w:ilvl w:val="0"/>
          <w:numId w:val="13"/>
        </w:numPr>
        <w:rPr>
          <w:rFonts w:eastAsia="Times New Roman" w:cstheme="minorHAnsi"/>
          <w:lang w:eastAsia="en-GB"/>
        </w:rPr>
      </w:pPr>
      <w:r w:rsidRPr="00B54C0C">
        <w:rPr>
          <w:rFonts w:cstheme="minorHAnsi"/>
          <w:color w:val="000000"/>
          <w:shd w:val="clear" w:color="auto" w:fill="FFFFFF"/>
        </w:rPr>
        <w:t>William Harvey Research Institute, Queen Mary University of London, London UK</w:t>
      </w:r>
    </w:p>
    <w:p w14:paraId="4B7459A9" w14:textId="2BF535E9" w:rsidR="009C7478" w:rsidRPr="00B54C0C" w:rsidRDefault="009C7478" w:rsidP="009C7478">
      <w:pPr>
        <w:pStyle w:val="ListParagraph"/>
        <w:numPr>
          <w:ilvl w:val="0"/>
          <w:numId w:val="13"/>
        </w:numPr>
        <w:rPr>
          <w:rFonts w:cstheme="minorHAnsi"/>
          <w:color w:val="000000" w:themeColor="text1"/>
        </w:rPr>
      </w:pPr>
      <w:r w:rsidRPr="00B54C0C">
        <w:rPr>
          <w:rFonts w:cstheme="minorHAnsi"/>
          <w:color w:val="000000" w:themeColor="text1"/>
        </w:rPr>
        <w:t>Health Protection Research Unit in Behavioural Science, University of Bristol, Bristol, UK</w:t>
      </w:r>
    </w:p>
    <w:p w14:paraId="7921EE67" w14:textId="19F8F3A6" w:rsidR="005D08AE" w:rsidRPr="00B54C0C" w:rsidRDefault="005D08AE" w:rsidP="005D08AE">
      <w:pPr>
        <w:pStyle w:val="ListParagraph"/>
        <w:numPr>
          <w:ilvl w:val="0"/>
          <w:numId w:val="13"/>
        </w:numPr>
        <w:rPr>
          <w:rFonts w:eastAsia="Times New Roman" w:cstheme="minorHAnsi"/>
          <w:color w:val="000000" w:themeColor="text1"/>
          <w:lang w:eastAsia="en-GB"/>
        </w:rPr>
      </w:pPr>
      <w:r w:rsidRPr="00B54C0C">
        <w:rPr>
          <w:rFonts w:eastAsia="Times New Roman" w:cstheme="minorHAnsi"/>
          <w:color w:val="000000" w:themeColor="text1"/>
          <w:lang w:eastAsia="en-GB"/>
        </w:rPr>
        <w:t>School of Psychology, University of Southampton, Southampton, UK</w:t>
      </w:r>
    </w:p>
    <w:p w14:paraId="0B78BBB9" w14:textId="77777777" w:rsidR="009C7478" w:rsidRPr="00B54C0C" w:rsidRDefault="009C7478" w:rsidP="00763A26">
      <w:pPr>
        <w:pStyle w:val="NormalWeb"/>
        <w:rPr>
          <w:rFonts w:asciiTheme="minorHAnsi" w:hAnsiTheme="minorHAnsi" w:cstheme="minorHAnsi"/>
          <w:color w:val="000000" w:themeColor="text1"/>
        </w:rPr>
      </w:pPr>
    </w:p>
    <w:p w14:paraId="309D9A04" w14:textId="555AFFE9" w:rsidR="00AF4E22" w:rsidRDefault="00093B62">
      <w:pPr>
        <w:rPr>
          <w:rFonts w:cstheme="minorHAnsi"/>
        </w:rPr>
      </w:pPr>
      <w:r>
        <w:rPr>
          <w:rFonts w:cstheme="minorHAnsi"/>
        </w:rPr>
        <w:t>* These authors contributed equally to this work</w:t>
      </w:r>
    </w:p>
    <w:p w14:paraId="4AC892F1" w14:textId="77777777" w:rsidR="00093B62" w:rsidRPr="00A53261" w:rsidRDefault="00093B62">
      <w:pPr>
        <w:rPr>
          <w:rFonts w:cstheme="minorHAnsi"/>
        </w:rPr>
      </w:pPr>
    </w:p>
    <w:p w14:paraId="426379A0" w14:textId="77777777" w:rsidR="0007112A" w:rsidRDefault="0007112A">
      <w:pPr>
        <w:rPr>
          <w:rFonts w:cstheme="minorHAnsi"/>
          <w:b/>
        </w:rPr>
      </w:pPr>
      <w:r w:rsidRPr="001762D8">
        <w:rPr>
          <w:rFonts w:cstheme="minorHAnsi"/>
          <w:b/>
        </w:rPr>
        <w:t>Corresponding</w:t>
      </w:r>
    </w:p>
    <w:p w14:paraId="08A4E067" w14:textId="5817605A" w:rsidR="001762D8" w:rsidRPr="001762D8" w:rsidRDefault="001762D8">
      <w:pPr>
        <w:rPr>
          <w:rFonts w:cstheme="minorHAnsi"/>
        </w:rPr>
      </w:pPr>
      <w:r>
        <w:rPr>
          <w:rFonts w:cstheme="minorHAnsi"/>
        </w:rPr>
        <w:t xml:space="preserve">Professor Tim Peto, Nuffield Department of </w:t>
      </w:r>
      <w:r w:rsidR="000B0412">
        <w:rPr>
          <w:rFonts w:cstheme="minorHAnsi"/>
        </w:rPr>
        <w:t>Medicine, University of Oxford, John Radcliffe Hospital, Oxford, OX3 9DU. tim.peto@ndm.ox.ac.uk.</w:t>
      </w:r>
    </w:p>
    <w:p w14:paraId="7D3DC8F6" w14:textId="77777777" w:rsidR="0007112A" w:rsidRPr="00A53261" w:rsidRDefault="0007112A">
      <w:pPr>
        <w:rPr>
          <w:rFonts w:cstheme="minorHAnsi"/>
        </w:rPr>
      </w:pPr>
    </w:p>
    <w:p w14:paraId="5104920E" w14:textId="77777777" w:rsidR="00536B24" w:rsidRDefault="0007112A">
      <w:pPr>
        <w:rPr>
          <w:rFonts w:cstheme="minorHAnsi"/>
          <w:b/>
          <w:bCs/>
        </w:rPr>
      </w:pPr>
      <w:r w:rsidRPr="001762D8">
        <w:rPr>
          <w:rFonts w:cstheme="minorHAnsi"/>
          <w:b/>
        </w:rPr>
        <w:t>Keywords</w:t>
      </w:r>
    </w:p>
    <w:p w14:paraId="64E31A43" w14:textId="018FE7CB" w:rsidR="0007112A" w:rsidRPr="001762D8" w:rsidRDefault="00536B24">
      <w:pPr>
        <w:rPr>
          <w:rFonts w:cstheme="minorHAnsi"/>
          <w:b/>
        </w:rPr>
      </w:pPr>
      <w:r w:rsidRPr="009B67E3">
        <w:rPr>
          <w:rFonts w:cstheme="minorHAnsi"/>
        </w:rPr>
        <w:t>COVID-19</w:t>
      </w:r>
      <w:r w:rsidR="00763A26">
        <w:rPr>
          <w:rFonts w:cstheme="minorHAnsi"/>
        </w:rPr>
        <w:t xml:space="preserve">; </w:t>
      </w:r>
      <w:r w:rsidRPr="009B67E3">
        <w:rPr>
          <w:rFonts w:cstheme="minorHAnsi"/>
        </w:rPr>
        <w:t>SARS-CoV-2</w:t>
      </w:r>
      <w:r w:rsidR="00763A26">
        <w:rPr>
          <w:rFonts w:cstheme="minorHAnsi"/>
        </w:rPr>
        <w:t xml:space="preserve">; </w:t>
      </w:r>
      <w:r w:rsidRPr="009B67E3">
        <w:rPr>
          <w:rFonts w:cstheme="minorHAnsi"/>
        </w:rPr>
        <w:t>Lateral flow testing</w:t>
      </w:r>
      <w:r w:rsidR="00763A26">
        <w:rPr>
          <w:rFonts w:cstheme="minorHAnsi"/>
        </w:rPr>
        <w:t xml:space="preserve">; </w:t>
      </w:r>
      <w:r w:rsidR="00641B44" w:rsidRPr="009B67E3">
        <w:rPr>
          <w:rFonts w:cstheme="minorHAnsi"/>
        </w:rPr>
        <w:t>Contacts</w:t>
      </w:r>
      <w:r w:rsidR="00763A26">
        <w:rPr>
          <w:rFonts w:cstheme="minorHAnsi"/>
        </w:rPr>
        <w:t xml:space="preserve">; </w:t>
      </w:r>
      <w:r w:rsidR="00367E16" w:rsidRPr="009B67E3">
        <w:rPr>
          <w:rFonts w:cstheme="minorHAnsi"/>
        </w:rPr>
        <w:t>Testing</w:t>
      </w:r>
      <w:r w:rsidR="00763A26">
        <w:rPr>
          <w:rFonts w:cstheme="minorHAnsi"/>
        </w:rPr>
        <w:t xml:space="preserve">; </w:t>
      </w:r>
      <w:r w:rsidR="009B67E3" w:rsidRPr="009B67E3">
        <w:rPr>
          <w:rFonts w:cstheme="minorHAnsi"/>
        </w:rPr>
        <w:t>Schools</w:t>
      </w:r>
      <w:r w:rsidR="0007112A" w:rsidRPr="001762D8">
        <w:rPr>
          <w:rFonts w:cstheme="minorHAnsi"/>
          <w:b/>
        </w:rPr>
        <w:br w:type="page"/>
      </w:r>
    </w:p>
    <w:p w14:paraId="77736D54" w14:textId="77777777" w:rsidR="0007112A" w:rsidRPr="00A53261" w:rsidRDefault="0007112A">
      <w:pPr>
        <w:rPr>
          <w:rFonts w:asciiTheme="majorHAnsi" w:hAnsiTheme="majorHAnsi" w:cstheme="majorHAnsi"/>
          <w:color w:val="2F5496" w:themeColor="accent1" w:themeShade="BF"/>
          <w:sz w:val="26"/>
          <w:szCs w:val="26"/>
        </w:rPr>
      </w:pPr>
      <w:r w:rsidRPr="00A53261">
        <w:rPr>
          <w:rFonts w:asciiTheme="majorHAnsi" w:hAnsiTheme="majorHAnsi" w:cstheme="majorHAnsi"/>
          <w:color w:val="2F5496" w:themeColor="accent1" w:themeShade="BF"/>
          <w:sz w:val="26"/>
          <w:szCs w:val="26"/>
        </w:rPr>
        <w:lastRenderedPageBreak/>
        <w:t>Summary</w:t>
      </w:r>
    </w:p>
    <w:p w14:paraId="22362C6C" w14:textId="77777777" w:rsidR="006A7FE8" w:rsidRPr="00A53261" w:rsidRDefault="006A7FE8">
      <w:pPr>
        <w:rPr>
          <w:rFonts w:cstheme="minorHAnsi"/>
        </w:rPr>
      </w:pPr>
    </w:p>
    <w:p w14:paraId="1352FD49" w14:textId="3D6170C2" w:rsidR="0007112A" w:rsidRDefault="004365D3">
      <w:pPr>
        <w:rPr>
          <w:rFonts w:cstheme="minorHAnsi"/>
          <w:b/>
          <w:bCs/>
        </w:rPr>
      </w:pPr>
      <w:r w:rsidRPr="004365D3">
        <w:rPr>
          <w:rFonts w:cstheme="minorHAnsi"/>
          <w:b/>
          <w:bCs/>
        </w:rPr>
        <w:t>Background</w:t>
      </w:r>
    </w:p>
    <w:p w14:paraId="00762144" w14:textId="51CB1C60" w:rsidR="009F7287" w:rsidRPr="004365D3" w:rsidRDefault="009F7287" w:rsidP="009F7287">
      <w:pPr>
        <w:rPr>
          <w:rFonts w:cstheme="minorHAnsi"/>
          <w:b/>
          <w:bCs/>
        </w:rPr>
      </w:pPr>
      <w:r>
        <w:t xml:space="preserve">School-based COVID-19 contacts in England </w:t>
      </w:r>
      <w:r w:rsidR="008C320A">
        <w:t>are</w:t>
      </w:r>
      <w:r>
        <w:t xml:space="preserve"> asked to self-isolate at home</w:t>
      </w:r>
      <w:r w:rsidR="00D94900">
        <w:t xml:space="preserve">, </w:t>
      </w:r>
      <w:r w:rsidR="00D43DE9">
        <w:t xml:space="preserve">missing </w:t>
      </w:r>
      <w:r w:rsidR="009649C1">
        <w:t>key</w:t>
      </w:r>
      <w:r w:rsidR="00D43DE9">
        <w:t xml:space="preserve"> </w:t>
      </w:r>
      <w:r w:rsidR="00106A46">
        <w:t xml:space="preserve">educational </w:t>
      </w:r>
      <w:r w:rsidR="00D43DE9">
        <w:t>opportunities</w:t>
      </w:r>
      <w:r w:rsidR="008F3F3E">
        <w:t xml:space="preserve">. </w:t>
      </w:r>
      <w:r w:rsidR="00E1467E">
        <w:t>W</w:t>
      </w:r>
      <w:r w:rsidR="000C4EBE">
        <w:t xml:space="preserve">e </w:t>
      </w:r>
      <w:r w:rsidR="00321EEA">
        <w:t>trialled</w:t>
      </w:r>
      <w:r w:rsidR="00F42096">
        <w:t xml:space="preserve"> daily </w:t>
      </w:r>
      <w:r w:rsidR="003F7767">
        <w:t xml:space="preserve">testing of </w:t>
      </w:r>
      <w:r w:rsidR="00F42096">
        <w:t>contact</w:t>
      </w:r>
      <w:r w:rsidR="00E956EB">
        <w:t>s</w:t>
      </w:r>
      <w:r w:rsidR="00F42096">
        <w:t xml:space="preserve"> as an alternative</w:t>
      </w:r>
      <w:r w:rsidR="00DC7DC4">
        <w:t xml:space="preserve"> to test if this </w:t>
      </w:r>
      <w:r w:rsidR="00080AA3">
        <w:t>resulted in similar control of transmission, while allowing more school attendance.</w:t>
      </w:r>
    </w:p>
    <w:p w14:paraId="71CB8905" w14:textId="77777777" w:rsidR="0007112A" w:rsidRPr="00A53261" w:rsidRDefault="0007112A">
      <w:pPr>
        <w:rPr>
          <w:rFonts w:cstheme="minorHAnsi"/>
        </w:rPr>
      </w:pPr>
    </w:p>
    <w:p w14:paraId="28548B2A" w14:textId="1B7593C9" w:rsidR="0007112A" w:rsidRDefault="0007112A">
      <w:pPr>
        <w:rPr>
          <w:rFonts w:cstheme="minorHAnsi"/>
          <w:b/>
          <w:bCs/>
        </w:rPr>
      </w:pPr>
      <w:r w:rsidRPr="006C7016">
        <w:rPr>
          <w:rFonts w:cstheme="minorHAnsi"/>
          <w:b/>
          <w:bCs/>
        </w:rPr>
        <w:t>Methods</w:t>
      </w:r>
    </w:p>
    <w:p w14:paraId="08B33A9F" w14:textId="0D200DB8" w:rsidR="006C7016" w:rsidRPr="006C7016" w:rsidRDefault="006C7016">
      <w:pPr>
        <w:rPr>
          <w:rFonts w:cstheme="minorHAnsi"/>
        </w:rPr>
      </w:pPr>
      <w:r>
        <w:rPr>
          <w:rFonts w:cstheme="minorHAnsi"/>
        </w:rPr>
        <w:t>We performed an open-label cluster</w:t>
      </w:r>
      <w:r w:rsidR="0098018D">
        <w:rPr>
          <w:rFonts w:cstheme="minorHAnsi"/>
        </w:rPr>
        <w:t>-</w:t>
      </w:r>
      <w:r>
        <w:rPr>
          <w:rFonts w:cstheme="minorHAnsi"/>
        </w:rPr>
        <w:t xml:space="preserve">randomised controlled trial </w:t>
      </w:r>
      <w:r w:rsidR="00765C1E">
        <w:rPr>
          <w:rFonts w:cstheme="minorHAnsi"/>
        </w:rPr>
        <w:t>in</w:t>
      </w:r>
      <w:r w:rsidR="002D6A01">
        <w:rPr>
          <w:rFonts w:cstheme="minorHAnsi"/>
        </w:rPr>
        <w:t xml:space="preserve"> </w:t>
      </w:r>
      <w:r w:rsidR="00A27565">
        <w:rPr>
          <w:rFonts w:cstheme="minorHAnsi"/>
        </w:rPr>
        <w:t>secondary schools and further education colleges in England</w:t>
      </w:r>
      <w:r w:rsidR="003911F7">
        <w:rPr>
          <w:rFonts w:cstheme="minorHAnsi"/>
        </w:rPr>
        <w:t xml:space="preserve"> (</w:t>
      </w:r>
      <w:r w:rsidR="005874CF" w:rsidRPr="005874CF">
        <w:rPr>
          <w:rFonts w:cstheme="minorHAnsi"/>
        </w:rPr>
        <w:t>ISRCTN18100261</w:t>
      </w:r>
      <w:r w:rsidR="003911F7">
        <w:rPr>
          <w:rFonts w:cstheme="minorHAnsi"/>
        </w:rPr>
        <w:t>)</w:t>
      </w:r>
      <w:r w:rsidR="00A27565">
        <w:rPr>
          <w:rFonts w:cstheme="minorHAnsi"/>
        </w:rPr>
        <w:t xml:space="preserve">. </w:t>
      </w:r>
      <w:r w:rsidR="008D616B">
        <w:rPr>
          <w:rFonts w:cstheme="minorHAnsi"/>
        </w:rPr>
        <w:t>S</w:t>
      </w:r>
      <w:r w:rsidR="00713330">
        <w:rPr>
          <w:rFonts w:cstheme="minorHAnsi"/>
        </w:rPr>
        <w:t>chools</w:t>
      </w:r>
      <w:r w:rsidR="00A27565">
        <w:rPr>
          <w:rFonts w:cstheme="minorHAnsi"/>
        </w:rPr>
        <w:t xml:space="preserve"> were randomised to </w:t>
      </w:r>
      <w:r w:rsidR="00713330">
        <w:rPr>
          <w:rFonts w:cstheme="minorHAnsi"/>
        </w:rPr>
        <w:t xml:space="preserve">self-isolation of </w:t>
      </w:r>
      <w:r w:rsidR="005C192F">
        <w:rPr>
          <w:rFonts w:cstheme="minorHAnsi"/>
        </w:rPr>
        <w:t>school-based</w:t>
      </w:r>
      <w:r w:rsidR="00713330">
        <w:rPr>
          <w:rFonts w:cstheme="minorHAnsi"/>
        </w:rPr>
        <w:t xml:space="preserve"> COVID-19 contacts for 10 days</w:t>
      </w:r>
      <w:r w:rsidR="00AF555B">
        <w:rPr>
          <w:rFonts w:cstheme="minorHAnsi"/>
        </w:rPr>
        <w:t xml:space="preserve"> (control) or to </w:t>
      </w:r>
      <w:r w:rsidR="005D5B09">
        <w:rPr>
          <w:rFonts w:cstheme="minorHAnsi"/>
        </w:rPr>
        <w:t xml:space="preserve">voluntary </w:t>
      </w:r>
      <w:r w:rsidR="00AF555B">
        <w:rPr>
          <w:rFonts w:cstheme="minorHAnsi"/>
        </w:rPr>
        <w:t xml:space="preserve">daily </w:t>
      </w:r>
      <w:r w:rsidR="005D5B09">
        <w:rPr>
          <w:rFonts w:cstheme="minorHAnsi"/>
        </w:rPr>
        <w:t xml:space="preserve">lateral flow </w:t>
      </w:r>
      <w:r w:rsidR="0061673F">
        <w:rPr>
          <w:rFonts w:cstheme="minorHAnsi"/>
        </w:rPr>
        <w:t>device (LFD)</w:t>
      </w:r>
      <w:r w:rsidR="005D5B09">
        <w:rPr>
          <w:rFonts w:cstheme="minorHAnsi"/>
        </w:rPr>
        <w:t xml:space="preserve"> testing </w:t>
      </w:r>
      <w:r w:rsidR="00D903CE">
        <w:rPr>
          <w:rFonts w:cstheme="minorHAnsi"/>
        </w:rPr>
        <w:t xml:space="preserve">with </w:t>
      </w:r>
      <w:r w:rsidR="007B68C0">
        <w:rPr>
          <w:rFonts w:cstheme="minorHAnsi"/>
        </w:rPr>
        <w:t>LFD-</w:t>
      </w:r>
      <w:r w:rsidR="00D903CE">
        <w:rPr>
          <w:rFonts w:cstheme="minorHAnsi"/>
        </w:rPr>
        <w:t>negative</w:t>
      </w:r>
      <w:r w:rsidR="00C86DFA">
        <w:rPr>
          <w:rFonts w:cstheme="minorHAnsi"/>
        </w:rPr>
        <w:t xml:space="preserve"> contacts</w:t>
      </w:r>
      <w:r w:rsidR="005D5B09">
        <w:rPr>
          <w:rFonts w:cstheme="minorHAnsi"/>
        </w:rPr>
        <w:t xml:space="preserve"> </w:t>
      </w:r>
      <w:r w:rsidR="00D903CE">
        <w:rPr>
          <w:rFonts w:cstheme="minorHAnsi"/>
        </w:rPr>
        <w:t>remaining at school</w:t>
      </w:r>
      <w:r w:rsidR="005D5B09">
        <w:rPr>
          <w:rFonts w:cstheme="minorHAnsi"/>
        </w:rPr>
        <w:t xml:space="preserve"> (intervention).</w:t>
      </w:r>
    </w:p>
    <w:p w14:paraId="11CB6D7D" w14:textId="520DDE07" w:rsidR="00C86DFA" w:rsidRDefault="00C86DFA">
      <w:pPr>
        <w:rPr>
          <w:rFonts w:cstheme="minorHAnsi"/>
        </w:rPr>
      </w:pPr>
    </w:p>
    <w:p w14:paraId="790B9299" w14:textId="1D55DC4C" w:rsidR="00C86DFA" w:rsidRPr="006C7016" w:rsidRDefault="00C86DFA">
      <w:pPr>
        <w:rPr>
          <w:rFonts w:cstheme="minorHAnsi"/>
        </w:rPr>
      </w:pPr>
      <w:r>
        <w:rPr>
          <w:rFonts w:cstheme="minorHAnsi"/>
        </w:rPr>
        <w:t>Co-p</w:t>
      </w:r>
      <w:r w:rsidR="004A16C0">
        <w:rPr>
          <w:rFonts w:cstheme="minorHAnsi"/>
        </w:rPr>
        <w:t xml:space="preserve">rimary outcomes </w:t>
      </w:r>
      <w:r w:rsidR="00551EAC">
        <w:rPr>
          <w:rFonts w:cstheme="minorHAnsi"/>
        </w:rPr>
        <w:t xml:space="preserve">in all students and staff </w:t>
      </w:r>
      <w:r w:rsidR="004A16C0">
        <w:rPr>
          <w:rFonts w:cstheme="minorHAnsi"/>
        </w:rPr>
        <w:t>were symptomatic</w:t>
      </w:r>
      <w:r w:rsidR="005A67D8">
        <w:rPr>
          <w:rFonts w:cstheme="minorHAnsi"/>
        </w:rPr>
        <w:t xml:space="preserve"> PCR-confirmed</w:t>
      </w:r>
      <w:r w:rsidR="004A16C0">
        <w:rPr>
          <w:rFonts w:cstheme="minorHAnsi"/>
        </w:rPr>
        <w:t xml:space="preserve"> COVID-19</w:t>
      </w:r>
      <w:r w:rsidR="004634AB">
        <w:rPr>
          <w:rFonts w:cstheme="minorHAnsi"/>
        </w:rPr>
        <w:t xml:space="preserve">, </w:t>
      </w:r>
      <w:r w:rsidR="00F31324">
        <w:rPr>
          <w:rFonts w:cstheme="minorHAnsi"/>
        </w:rPr>
        <w:t>adjusted</w:t>
      </w:r>
      <w:r w:rsidR="004634AB">
        <w:rPr>
          <w:rFonts w:cstheme="minorHAnsi"/>
        </w:rPr>
        <w:t xml:space="preserve"> for community case rates, </w:t>
      </w:r>
      <w:r w:rsidR="00211B3B">
        <w:rPr>
          <w:rFonts w:cstheme="minorHAnsi"/>
        </w:rPr>
        <w:t>to estimate within</w:t>
      </w:r>
      <w:r w:rsidR="00551EAC">
        <w:rPr>
          <w:rFonts w:cstheme="minorHAnsi"/>
        </w:rPr>
        <w:t>-</w:t>
      </w:r>
      <w:r w:rsidR="00211B3B">
        <w:rPr>
          <w:rFonts w:cstheme="minorHAnsi"/>
        </w:rPr>
        <w:t>school transmission</w:t>
      </w:r>
      <w:r w:rsidR="00C34BF5">
        <w:rPr>
          <w:rFonts w:cstheme="minorHAnsi"/>
        </w:rPr>
        <w:t xml:space="preserve"> (non-inferiority</w:t>
      </w:r>
      <w:r w:rsidR="004B0477">
        <w:rPr>
          <w:rFonts w:cstheme="minorHAnsi"/>
        </w:rPr>
        <w:t xml:space="preserve"> margin</w:t>
      </w:r>
      <w:r w:rsidR="00A74996">
        <w:rPr>
          <w:rFonts w:cstheme="minorHAnsi"/>
        </w:rPr>
        <w:t>:</w:t>
      </w:r>
      <w:r w:rsidR="004B0477">
        <w:rPr>
          <w:rFonts w:cstheme="minorHAnsi"/>
        </w:rPr>
        <w:t xml:space="preserve"> &lt;50% relative increase)</w:t>
      </w:r>
      <w:r w:rsidR="00891B6F">
        <w:rPr>
          <w:rFonts w:cstheme="minorHAnsi"/>
        </w:rPr>
        <w:t xml:space="preserve">, and COVID-19-related </w:t>
      </w:r>
      <w:r w:rsidR="00F973A0">
        <w:rPr>
          <w:rFonts w:cstheme="minorHAnsi"/>
        </w:rPr>
        <w:t xml:space="preserve">school </w:t>
      </w:r>
      <w:r w:rsidR="00891B6F">
        <w:rPr>
          <w:rFonts w:cstheme="minorHAnsi"/>
        </w:rPr>
        <w:t>absence</w:t>
      </w:r>
      <w:r w:rsidR="00A84A21">
        <w:rPr>
          <w:rFonts w:cstheme="minorHAnsi"/>
        </w:rPr>
        <w:t>.</w:t>
      </w:r>
      <w:r w:rsidR="00560423">
        <w:rPr>
          <w:rFonts w:cstheme="minorHAnsi"/>
        </w:rPr>
        <w:t xml:space="preserve"> Analyses were performed on an intention to treat</w:t>
      </w:r>
      <w:r w:rsidR="00F70D0B">
        <w:rPr>
          <w:rFonts w:cstheme="minorHAnsi"/>
        </w:rPr>
        <w:t xml:space="preserve"> (ITT)</w:t>
      </w:r>
      <w:r w:rsidR="00560423">
        <w:rPr>
          <w:rFonts w:cstheme="minorHAnsi"/>
        </w:rPr>
        <w:t xml:space="preserve"> basis using </w:t>
      </w:r>
      <w:r w:rsidR="006E48D4">
        <w:rPr>
          <w:rFonts w:cstheme="minorHAnsi"/>
        </w:rPr>
        <w:t>quasi-Poisson regression</w:t>
      </w:r>
      <w:r w:rsidR="00CC6AD7">
        <w:rPr>
          <w:rFonts w:cstheme="minorHAnsi"/>
        </w:rPr>
        <w:t>, also estimating complier average causal effects</w:t>
      </w:r>
      <w:r w:rsidR="00952586">
        <w:rPr>
          <w:rFonts w:cstheme="minorHAnsi"/>
        </w:rPr>
        <w:t xml:space="preserve"> (CACE)</w:t>
      </w:r>
      <w:r w:rsidR="00A56475">
        <w:rPr>
          <w:rFonts w:cstheme="minorHAnsi"/>
        </w:rPr>
        <w:t xml:space="preserve">. </w:t>
      </w:r>
      <w:r w:rsidR="00910707">
        <w:rPr>
          <w:rFonts w:cstheme="minorHAnsi"/>
        </w:rPr>
        <w:t xml:space="preserve">Secondary outcomes included participation rates, PCR </w:t>
      </w:r>
      <w:r w:rsidR="00D71768">
        <w:rPr>
          <w:rFonts w:cstheme="minorHAnsi"/>
        </w:rPr>
        <w:t>results</w:t>
      </w:r>
      <w:r w:rsidR="00910707">
        <w:rPr>
          <w:rFonts w:cstheme="minorHAnsi"/>
        </w:rPr>
        <w:t xml:space="preserve"> in contacts and performance characteristics of LFD</w:t>
      </w:r>
      <w:r w:rsidR="003970BB">
        <w:rPr>
          <w:rFonts w:cstheme="minorHAnsi"/>
        </w:rPr>
        <w:t>s</w:t>
      </w:r>
      <w:r w:rsidR="00910707">
        <w:rPr>
          <w:rFonts w:cstheme="minorHAnsi"/>
        </w:rPr>
        <w:t xml:space="preserve"> </w:t>
      </w:r>
      <w:r w:rsidR="00D71768">
        <w:rPr>
          <w:rFonts w:cstheme="minorHAnsi"/>
        </w:rPr>
        <w:t>vs.</w:t>
      </w:r>
      <w:r w:rsidR="00910707">
        <w:rPr>
          <w:rFonts w:cstheme="minorHAnsi"/>
        </w:rPr>
        <w:t xml:space="preserve"> PCR.</w:t>
      </w:r>
    </w:p>
    <w:p w14:paraId="4E6B97F5" w14:textId="77777777" w:rsidR="0007112A" w:rsidRPr="00A53261" w:rsidRDefault="0007112A">
      <w:pPr>
        <w:rPr>
          <w:rFonts w:cstheme="minorHAnsi"/>
        </w:rPr>
      </w:pPr>
    </w:p>
    <w:p w14:paraId="10B179B5" w14:textId="576452DA" w:rsidR="0007112A" w:rsidRDefault="00910707">
      <w:pPr>
        <w:rPr>
          <w:rFonts w:cstheme="minorHAnsi"/>
          <w:b/>
        </w:rPr>
      </w:pPr>
      <w:r>
        <w:rPr>
          <w:rFonts w:cstheme="minorHAnsi"/>
          <w:b/>
          <w:bCs/>
        </w:rPr>
        <w:t>Findings</w:t>
      </w:r>
    </w:p>
    <w:p w14:paraId="407A85A2" w14:textId="152F0863" w:rsidR="00910707" w:rsidRPr="002400CC" w:rsidRDefault="003970BB">
      <w:pPr>
        <w:rPr>
          <w:rFonts w:cstheme="minorHAnsi"/>
        </w:rPr>
      </w:pPr>
      <w:r>
        <w:rPr>
          <w:rFonts w:cstheme="minorHAnsi"/>
        </w:rPr>
        <w:t xml:space="preserve">Of </w:t>
      </w:r>
      <w:r w:rsidR="002400CC">
        <w:rPr>
          <w:rFonts w:cstheme="minorHAnsi"/>
        </w:rPr>
        <w:t>99 control and 10</w:t>
      </w:r>
      <w:r w:rsidR="00956D31">
        <w:rPr>
          <w:rFonts w:cstheme="minorHAnsi"/>
        </w:rPr>
        <w:t>2</w:t>
      </w:r>
      <w:r w:rsidR="002400CC">
        <w:rPr>
          <w:rFonts w:cstheme="minorHAnsi"/>
        </w:rPr>
        <w:t xml:space="preserve"> intervention schools, 76 and 86 actively participated </w:t>
      </w:r>
      <w:r w:rsidR="002E2A0D">
        <w:rPr>
          <w:rFonts w:cstheme="minorHAnsi"/>
        </w:rPr>
        <w:t>(</w:t>
      </w:r>
      <w:r w:rsidR="002400CC">
        <w:rPr>
          <w:rFonts w:cstheme="minorHAnsi"/>
        </w:rPr>
        <w:t xml:space="preserve">19-April-2021 </w:t>
      </w:r>
      <w:r w:rsidR="002E2A0D">
        <w:rPr>
          <w:rFonts w:cstheme="minorHAnsi"/>
        </w:rPr>
        <w:t>to</w:t>
      </w:r>
      <w:r w:rsidR="002400CC">
        <w:rPr>
          <w:rFonts w:cstheme="minorHAnsi"/>
        </w:rPr>
        <w:t xml:space="preserve"> 27-June-2021</w:t>
      </w:r>
      <w:r w:rsidR="002E2A0D">
        <w:rPr>
          <w:rFonts w:cstheme="minorHAnsi"/>
        </w:rPr>
        <w:t>);</w:t>
      </w:r>
      <w:r w:rsidR="002400CC">
        <w:rPr>
          <w:rFonts w:cstheme="minorHAnsi"/>
        </w:rPr>
        <w:t xml:space="preserve"> </w:t>
      </w:r>
      <w:r w:rsidR="00D710A4">
        <w:rPr>
          <w:rFonts w:cstheme="minorHAnsi"/>
        </w:rPr>
        <w:t>additional</w:t>
      </w:r>
      <w:r w:rsidR="002400CC">
        <w:rPr>
          <w:rFonts w:cstheme="minorHAnsi"/>
        </w:rPr>
        <w:t xml:space="preserve"> national data </w:t>
      </w:r>
      <w:r w:rsidR="00D0439B">
        <w:rPr>
          <w:rFonts w:cstheme="minorHAnsi"/>
        </w:rPr>
        <w:t>allowed</w:t>
      </w:r>
      <w:r w:rsidR="0038318D">
        <w:rPr>
          <w:rFonts w:cstheme="minorHAnsi"/>
        </w:rPr>
        <w:t xml:space="preserve"> most non-participating schools </w:t>
      </w:r>
      <w:r w:rsidR="002A3238">
        <w:rPr>
          <w:rFonts w:cstheme="minorHAnsi"/>
        </w:rPr>
        <w:t>to be included</w:t>
      </w:r>
      <w:r w:rsidR="007C1EB4">
        <w:rPr>
          <w:rFonts w:cstheme="minorHAnsi"/>
        </w:rPr>
        <w:t xml:space="preserve"> in</w:t>
      </w:r>
      <w:r w:rsidR="00D710A4">
        <w:rPr>
          <w:rFonts w:cstheme="minorHAnsi"/>
        </w:rPr>
        <w:t xml:space="preserve"> </w:t>
      </w:r>
      <w:r w:rsidR="007C1EB4">
        <w:rPr>
          <w:rFonts w:cstheme="minorHAnsi"/>
        </w:rPr>
        <w:t>co-</w:t>
      </w:r>
      <w:r w:rsidR="0038318D">
        <w:rPr>
          <w:rFonts w:cstheme="minorHAnsi"/>
        </w:rPr>
        <w:t>primary outcomes.</w:t>
      </w:r>
      <w:r w:rsidR="006158D7">
        <w:rPr>
          <w:rFonts w:cstheme="minorHAnsi"/>
        </w:rPr>
        <w:t xml:space="preserve"> </w:t>
      </w:r>
      <w:r w:rsidR="003911F7" w:rsidRPr="003911F7">
        <w:rPr>
          <w:rFonts w:cstheme="minorHAnsi"/>
        </w:rPr>
        <w:t xml:space="preserve">2432/5763(42.4%) </w:t>
      </w:r>
      <w:r w:rsidR="003911F7">
        <w:rPr>
          <w:rFonts w:cstheme="minorHAnsi"/>
        </w:rPr>
        <w:t xml:space="preserve">intervention arm </w:t>
      </w:r>
      <w:r w:rsidR="003911F7" w:rsidRPr="003911F7">
        <w:rPr>
          <w:rFonts w:cstheme="minorHAnsi"/>
        </w:rPr>
        <w:t>contacts participated</w:t>
      </w:r>
      <w:r w:rsidR="003911F7">
        <w:rPr>
          <w:rFonts w:cstheme="minorHAnsi"/>
        </w:rPr>
        <w:t>.</w:t>
      </w:r>
      <w:r w:rsidR="006158D7">
        <w:rPr>
          <w:rFonts w:cstheme="minorHAnsi"/>
        </w:rPr>
        <w:t xml:space="preserve"> There were 657 symptomatic PCR-confirmed infections during </w:t>
      </w:r>
      <w:r w:rsidR="005E6856" w:rsidRPr="005E6856">
        <w:rPr>
          <w:rFonts w:cstheme="minorHAnsi"/>
        </w:rPr>
        <w:t>7,782,537</w:t>
      </w:r>
      <w:r w:rsidR="005E6856">
        <w:rPr>
          <w:rFonts w:cstheme="minorHAnsi"/>
        </w:rPr>
        <w:t xml:space="preserve"> days-at-risk (59.1/100k/week)</w:t>
      </w:r>
      <w:r w:rsidR="008D21DE">
        <w:rPr>
          <w:rFonts w:cstheme="minorHAnsi"/>
        </w:rPr>
        <w:t xml:space="preserve"> and 740 during </w:t>
      </w:r>
      <w:r w:rsidR="00542A01" w:rsidRPr="00542A01">
        <w:rPr>
          <w:rFonts w:cstheme="minorHAnsi"/>
        </w:rPr>
        <w:t>8,379,749</w:t>
      </w:r>
      <w:r w:rsidR="00542A01">
        <w:rPr>
          <w:rFonts w:cstheme="minorHAnsi"/>
        </w:rPr>
        <w:t xml:space="preserve"> days-at-risk (61.8/100k/week) in the control and intervention arms </w:t>
      </w:r>
      <w:r w:rsidR="00362220">
        <w:rPr>
          <w:rFonts w:cstheme="minorHAnsi"/>
        </w:rPr>
        <w:t xml:space="preserve">respectively </w:t>
      </w:r>
      <w:r w:rsidR="00003155">
        <w:rPr>
          <w:rFonts w:cstheme="minorHAnsi"/>
        </w:rPr>
        <w:t>(</w:t>
      </w:r>
      <w:r w:rsidR="007137B4">
        <w:rPr>
          <w:rFonts w:cstheme="minorHAnsi"/>
        </w:rPr>
        <w:t>ITT</w:t>
      </w:r>
      <w:r w:rsidR="002D1114">
        <w:rPr>
          <w:rFonts w:cstheme="minorHAnsi"/>
        </w:rPr>
        <w:t>-</w:t>
      </w:r>
      <w:r w:rsidR="00003155">
        <w:rPr>
          <w:rFonts w:cstheme="minorHAnsi"/>
        </w:rPr>
        <w:t>adjusted incidence rate ratio</w:t>
      </w:r>
      <w:r w:rsidR="007137B4">
        <w:rPr>
          <w:rFonts w:cstheme="minorHAnsi"/>
        </w:rPr>
        <w:t xml:space="preserve">, </w:t>
      </w:r>
      <w:proofErr w:type="spellStart"/>
      <w:r w:rsidR="007137B4">
        <w:rPr>
          <w:rFonts w:cstheme="minorHAnsi"/>
        </w:rPr>
        <w:t>aIRR</w:t>
      </w:r>
      <w:proofErr w:type="spellEnd"/>
      <w:r w:rsidR="009A3AE9">
        <w:rPr>
          <w:rFonts w:cstheme="minorHAnsi"/>
        </w:rPr>
        <w:t>=</w:t>
      </w:r>
      <w:r w:rsidR="00A716F3">
        <w:rPr>
          <w:rFonts w:cstheme="minorHAnsi"/>
        </w:rPr>
        <w:t>0.96</w:t>
      </w:r>
      <w:r w:rsidR="009A3AE9">
        <w:rPr>
          <w:rFonts w:cstheme="minorHAnsi"/>
        </w:rPr>
        <w:t>[</w:t>
      </w:r>
      <w:r w:rsidR="006B1A64">
        <w:rPr>
          <w:rFonts w:cstheme="minorHAnsi"/>
        </w:rPr>
        <w:t>95%CI</w:t>
      </w:r>
      <w:r w:rsidR="00A716F3">
        <w:rPr>
          <w:rFonts w:cstheme="minorHAnsi"/>
        </w:rPr>
        <w:t xml:space="preserve"> 0.75-1.22</w:t>
      </w:r>
      <w:r w:rsidR="0000081D">
        <w:rPr>
          <w:rFonts w:cstheme="minorHAnsi"/>
        </w:rPr>
        <w:t>;</w:t>
      </w:r>
      <w:r w:rsidR="00A716F3">
        <w:rPr>
          <w:rFonts w:cstheme="minorHAnsi"/>
        </w:rPr>
        <w:t>p=0.72</w:t>
      </w:r>
      <w:r w:rsidR="009A3AE9">
        <w:rPr>
          <w:rFonts w:cstheme="minorHAnsi"/>
        </w:rPr>
        <w:t>]</w:t>
      </w:r>
      <w:r w:rsidR="00A716F3">
        <w:rPr>
          <w:rFonts w:cstheme="minorHAnsi"/>
        </w:rPr>
        <w:t>)</w:t>
      </w:r>
      <w:r w:rsidR="009A3AE9">
        <w:rPr>
          <w:rFonts w:cstheme="minorHAnsi"/>
        </w:rPr>
        <w:t xml:space="preserve"> (CACE</w:t>
      </w:r>
      <w:r w:rsidR="00C90D43">
        <w:rPr>
          <w:rFonts w:cstheme="minorHAnsi"/>
        </w:rPr>
        <w:t>-</w:t>
      </w:r>
      <w:proofErr w:type="spellStart"/>
      <w:r w:rsidR="009A3AE9">
        <w:rPr>
          <w:rFonts w:cstheme="minorHAnsi"/>
        </w:rPr>
        <w:t>aIRR</w:t>
      </w:r>
      <w:proofErr w:type="spellEnd"/>
      <w:r w:rsidR="009A3AE9">
        <w:rPr>
          <w:rFonts w:cstheme="minorHAnsi"/>
        </w:rPr>
        <w:t>=0.86[0.55-1.34])</w:t>
      </w:r>
      <w:r w:rsidR="00E910D5">
        <w:rPr>
          <w:rFonts w:cstheme="minorHAnsi"/>
        </w:rPr>
        <w:t xml:space="preserve">. </w:t>
      </w:r>
      <w:r w:rsidR="004513A7">
        <w:rPr>
          <w:rFonts w:cstheme="minorHAnsi"/>
        </w:rPr>
        <w:t xml:space="preserve">There were </w:t>
      </w:r>
      <w:r w:rsidR="00D34112" w:rsidRPr="00D34112">
        <w:rPr>
          <w:rFonts w:cstheme="minorHAnsi"/>
        </w:rPr>
        <w:t>55,718</w:t>
      </w:r>
      <w:r w:rsidR="002142E8">
        <w:rPr>
          <w:rFonts w:cstheme="minorHAnsi"/>
        </w:rPr>
        <w:t xml:space="preserve"> COVID-related absences during </w:t>
      </w:r>
      <w:r w:rsidR="00C13779" w:rsidRPr="00C13779">
        <w:rPr>
          <w:rFonts w:cstheme="minorHAnsi"/>
        </w:rPr>
        <w:t>3,092,515</w:t>
      </w:r>
      <w:r w:rsidR="00C13779">
        <w:rPr>
          <w:rFonts w:cstheme="minorHAnsi"/>
        </w:rPr>
        <w:t xml:space="preserve"> person-school-days(1.8%)</w:t>
      </w:r>
      <w:r w:rsidR="004F27E4">
        <w:rPr>
          <w:rFonts w:cstheme="minorHAnsi"/>
        </w:rPr>
        <w:t xml:space="preserve"> and </w:t>
      </w:r>
      <w:r w:rsidR="00E45B06" w:rsidRPr="00E45B06">
        <w:rPr>
          <w:rFonts w:cstheme="minorHAnsi"/>
        </w:rPr>
        <w:t>48,609</w:t>
      </w:r>
      <w:r w:rsidR="00E45B06">
        <w:rPr>
          <w:rFonts w:cstheme="minorHAnsi"/>
        </w:rPr>
        <w:t xml:space="preserve"> during </w:t>
      </w:r>
      <w:r w:rsidR="0060137B" w:rsidRPr="0060137B">
        <w:rPr>
          <w:rFonts w:cstheme="minorHAnsi"/>
        </w:rPr>
        <w:t>3,305,403</w:t>
      </w:r>
      <w:r w:rsidR="0060137B">
        <w:rPr>
          <w:rFonts w:cstheme="minorHAnsi"/>
        </w:rPr>
        <w:t xml:space="preserve"> </w:t>
      </w:r>
      <w:r w:rsidR="00D31A22">
        <w:rPr>
          <w:rFonts w:cstheme="minorHAnsi"/>
        </w:rPr>
        <w:t>person-school-days(1.5%) in the control and intervention arms (ITT</w:t>
      </w:r>
      <w:r w:rsidR="00F07A0E">
        <w:rPr>
          <w:rFonts w:cstheme="minorHAnsi"/>
        </w:rPr>
        <w:t>-</w:t>
      </w:r>
      <w:proofErr w:type="spellStart"/>
      <w:r w:rsidR="00D31A22">
        <w:rPr>
          <w:rFonts w:cstheme="minorHAnsi"/>
        </w:rPr>
        <w:t>aIRR</w:t>
      </w:r>
      <w:proofErr w:type="spellEnd"/>
      <w:r w:rsidR="0000081D">
        <w:rPr>
          <w:rFonts w:cstheme="minorHAnsi"/>
        </w:rPr>
        <w:t>=</w:t>
      </w:r>
      <w:r w:rsidR="00D31A22">
        <w:rPr>
          <w:rFonts w:cstheme="minorHAnsi"/>
        </w:rPr>
        <w:t>0.80</w:t>
      </w:r>
      <w:r w:rsidR="0000081D">
        <w:rPr>
          <w:rFonts w:cstheme="minorHAnsi"/>
        </w:rPr>
        <w:t>[</w:t>
      </w:r>
      <w:r w:rsidR="00C55B66">
        <w:rPr>
          <w:rFonts w:cstheme="minorHAnsi"/>
        </w:rPr>
        <w:t xml:space="preserve">95%CI </w:t>
      </w:r>
      <w:r w:rsidR="00A9166D">
        <w:rPr>
          <w:rFonts w:cstheme="minorHAnsi"/>
        </w:rPr>
        <w:t>0.53-1.21</w:t>
      </w:r>
      <w:r w:rsidR="0000081D">
        <w:rPr>
          <w:rFonts w:cstheme="minorHAnsi"/>
        </w:rPr>
        <w:t>;</w:t>
      </w:r>
      <w:r w:rsidR="00A9166D">
        <w:rPr>
          <w:rFonts w:cstheme="minorHAnsi"/>
        </w:rPr>
        <w:t>p</w:t>
      </w:r>
      <w:r w:rsidR="002152D0">
        <w:rPr>
          <w:rFonts w:cstheme="minorHAnsi"/>
        </w:rPr>
        <w:t>=0.29</w:t>
      </w:r>
      <w:r w:rsidR="0000081D">
        <w:rPr>
          <w:rFonts w:cstheme="minorHAnsi"/>
        </w:rPr>
        <w:t>]</w:t>
      </w:r>
      <w:r w:rsidR="002152D0">
        <w:rPr>
          <w:rFonts w:cstheme="minorHAnsi"/>
        </w:rPr>
        <w:t>)</w:t>
      </w:r>
      <w:r w:rsidR="00E902BC">
        <w:rPr>
          <w:rFonts w:cstheme="minorHAnsi"/>
        </w:rPr>
        <w:t xml:space="preserve"> (CACE-</w:t>
      </w:r>
      <w:proofErr w:type="spellStart"/>
      <w:r w:rsidR="00E902BC">
        <w:rPr>
          <w:rFonts w:cstheme="minorHAnsi"/>
        </w:rPr>
        <w:t>aIRR</w:t>
      </w:r>
      <w:proofErr w:type="spellEnd"/>
      <w:r w:rsidR="00E902BC">
        <w:rPr>
          <w:rFonts w:cstheme="minorHAnsi"/>
        </w:rPr>
        <w:t xml:space="preserve"> 0.61</w:t>
      </w:r>
      <w:r w:rsidR="00F07A0E">
        <w:rPr>
          <w:rFonts w:cstheme="minorHAnsi"/>
        </w:rPr>
        <w:t>[</w:t>
      </w:r>
      <w:r w:rsidR="00E902BC">
        <w:rPr>
          <w:rFonts w:cstheme="minorHAnsi"/>
        </w:rPr>
        <w:t>0.30-1.23</w:t>
      </w:r>
      <w:r w:rsidR="00F07A0E">
        <w:rPr>
          <w:rFonts w:cstheme="minorHAnsi"/>
        </w:rPr>
        <w:t>]</w:t>
      </w:r>
      <w:r w:rsidR="00E902BC">
        <w:rPr>
          <w:rFonts w:cstheme="minorHAnsi"/>
        </w:rPr>
        <w:t>)</w:t>
      </w:r>
      <w:r w:rsidR="002152D0">
        <w:rPr>
          <w:rFonts w:cstheme="minorHAnsi"/>
        </w:rPr>
        <w:t>.</w:t>
      </w:r>
      <w:r w:rsidR="00D243B1">
        <w:rPr>
          <w:rFonts w:cstheme="minorHAnsi"/>
        </w:rPr>
        <w:t xml:space="preserve"> </w:t>
      </w:r>
      <w:r w:rsidR="00FB19AC">
        <w:rPr>
          <w:rFonts w:cstheme="minorHAnsi"/>
        </w:rPr>
        <w:t>1</w:t>
      </w:r>
      <w:r w:rsidR="00DD06DE">
        <w:rPr>
          <w:rFonts w:cstheme="minorHAnsi"/>
        </w:rPr>
        <w:t>4</w:t>
      </w:r>
      <w:r w:rsidR="00FB19AC">
        <w:rPr>
          <w:rFonts w:cstheme="minorHAnsi"/>
        </w:rPr>
        <w:t>/886(</w:t>
      </w:r>
      <w:r w:rsidR="008F72F6">
        <w:rPr>
          <w:rFonts w:cstheme="minorHAnsi"/>
        </w:rPr>
        <w:t>1.</w:t>
      </w:r>
      <w:r w:rsidR="00DD06DE">
        <w:rPr>
          <w:rFonts w:cstheme="minorHAnsi"/>
        </w:rPr>
        <w:t>6</w:t>
      </w:r>
      <w:r w:rsidR="008F72F6">
        <w:rPr>
          <w:rFonts w:cstheme="minorHAnsi"/>
        </w:rPr>
        <w:t xml:space="preserve">%) control contacts </w:t>
      </w:r>
      <w:r w:rsidR="007B65E4">
        <w:rPr>
          <w:rFonts w:cstheme="minorHAnsi"/>
        </w:rPr>
        <w:t>providing an</w:t>
      </w:r>
      <w:r w:rsidR="008F72F6">
        <w:rPr>
          <w:rFonts w:cstheme="minorHAnsi"/>
        </w:rPr>
        <w:t xml:space="preserve"> asymptomatic PCR </w:t>
      </w:r>
      <w:r w:rsidR="00172501">
        <w:rPr>
          <w:rFonts w:cstheme="minorHAnsi"/>
        </w:rPr>
        <w:t xml:space="preserve">sample </w:t>
      </w:r>
      <w:r w:rsidR="007B65E4">
        <w:rPr>
          <w:rFonts w:cstheme="minorHAnsi"/>
        </w:rPr>
        <w:t>tested</w:t>
      </w:r>
      <w:r w:rsidR="00304F9B">
        <w:rPr>
          <w:rFonts w:cstheme="minorHAnsi"/>
        </w:rPr>
        <w:t xml:space="preserve"> positive compared to </w:t>
      </w:r>
      <w:r w:rsidR="00BE104B">
        <w:rPr>
          <w:rFonts w:cstheme="minorHAnsi"/>
        </w:rPr>
        <w:t>44</w:t>
      </w:r>
      <w:r w:rsidR="008678BE">
        <w:rPr>
          <w:rFonts w:cstheme="minorHAnsi"/>
        </w:rPr>
        <w:t>/298</w:t>
      </w:r>
      <w:r w:rsidR="00BE104B">
        <w:rPr>
          <w:rFonts w:cstheme="minorHAnsi"/>
        </w:rPr>
        <w:t>1</w:t>
      </w:r>
      <w:r w:rsidR="008678BE">
        <w:rPr>
          <w:rFonts w:cstheme="minorHAnsi"/>
        </w:rPr>
        <w:t>(1.</w:t>
      </w:r>
      <w:r w:rsidR="00BE104B">
        <w:rPr>
          <w:rFonts w:cstheme="minorHAnsi"/>
        </w:rPr>
        <w:t>5</w:t>
      </w:r>
      <w:r w:rsidR="008678BE">
        <w:rPr>
          <w:rFonts w:cstheme="minorHAnsi"/>
        </w:rPr>
        <w:t>%)</w:t>
      </w:r>
      <w:r w:rsidR="00DF57DC">
        <w:rPr>
          <w:rFonts w:cstheme="minorHAnsi"/>
        </w:rPr>
        <w:t xml:space="preserve"> intervention contacts</w:t>
      </w:r>
      <w:r w:rsidR="00832312">
        <w:rPr>
          <w:rFonts w:cstheme="minorHAnsi"/>
        </w:rPr>
        <w:t xml:space="preserve"> (</w:t>
      </w:r>
      <w:r w:rsidR="006F7913">
        <w:rPr>
          <w:rFonts w:cstheme="minorHAnsi"/>
        </w:rPr>
        <w:t xml:space="preserve">adjusted odds ratio, </w:t>
      </w:r>
      <w:proofErr w:type="spellStart"/>
      <w:r w:rsidR="006F7913">
        <w:rPr>
          <w:rFonts w:cstheme="minorHAnsi"/>
        </w:rPr>
        <w:t>aOR</w:t>
      </w:r>
      <w:proofErr w:type="spellEnd"/>
      <w:r w:rsidR="00832312">
        <w:rPr>
          <w:rFonts w:cstheme="minorHAnsi"/>
        </w:rPr>
        <w:t>=</w:t>
      </w:r>
      <w:r w:rsidR="006F7913">
        <w:rPr>
          <w:rFonts w:cstheme="minorHAnsi"/>
        </w:rPr>
        <w:t>0.</w:t>
      </w:r>
      <w:r w:rsidR="007D572D">
        <w:rPr>
          <w:rFonts w:cstheme="minorHAnsi"/>
        </w:rPr>
        <w:t>73</w:t>
      </w:r>
      <w:r w:rsidR="00832312">
        <w:rPr>
          <w:rFonts w:cstheme="minorHAnsi"/>
        </w:rPr>
        <w:t>[</w:t>
      </w:r>
      <w:r w:rsidR="006F7913">
        <w:rPr>
          <w:rFonts w:cstheme="minorHAnsi"/>
        </w:rPr>
        <w:t>95%CI 0.</w:t>
      </w:r>
      <w:r w:rsidR="007D572D">
        <w:rPr>
          <w:rFonts w:cstheme="minorHAnsi"/>
        </w:rPr>
        <w:t>33</w:t>
      </w:r>
      <w:r w:rsidR="006F7913">
        <w:rPr>
          <w:rFonts w:cstheme="minorHAnsi"/>
        </w:rPr>
        <w:t>-1.</w:t>
      </w:r>
      <w:r w:rsidR="007D572D">
        <w:rPr>
          <w:rFonts w:cstheme="minorHAnsi"/>
        </w:rPr>
        <w:t>61</w:t>
      </w:r>
      <w:r w:rsidR="00F07A0E">
        <w:rPr>
          <w:rFonts w:cstheme="minorHAnsi"/>
        </w:rPr>
        <w:t>;</w:t>
      </w:r>
      <w:r w:rsidR="006F7913">
        <w:rPr>
          <w:rFonts w:cstheme="minorHAnsi"/>
        </w:rPr>
        <w:t>p=0.</w:t>
      </w:r>
      <w:r w:rsidR="007D572D">
        <w:rPr>
          <w:rFonts w:cstheme="minorHAnsi"/>
        </w:rPr>
        <w:t>44</w:t>
      </w:r>
      <w:r w:rsidR="00832312">
        <w:rPr>
          <w:rFonts w:cstheme="minorHAnsi"/>
        </w:rPr>
        <w:t>]</w:t>
      </w:r>
      <w:r w:rsidR="006F7913">
        <w:rPr>
          <w:rFonts w:cstheme="minorHAnsi"/>
        </w:rPr>
        <w:t>)</w:t>
      </w:r>
      <w:r w:rsidR="003F07AF">
        <w:rPr>
          <w:rFonts w:cstheme="minorHAnsi"/>
        </w:rPr>
        <w:t>;</w:t>
      </w:r>
      <w:r w:rsidR="008678BE">
        <w:rPr>
          <w:rFonts w:cstheme="minorHAnsi"/>
        </w:rPr>
        <w:t xml:space="preserve"> </w:t>
      </w:r>
      <w:r w:rsidR="003F07AF">
        <w:rPr>
          <w:rFonts w:cstheme="minorHAnsi"/>
        </w:rPr>
        <w:t>r</w:t>
      </w:r>
      <w:r w:rsidR="008678BE">
        <w:rPr>
          <w:rFonts w:cstheme="minorHAnsi"/>
        </w:rPr>
        <w:t xml:space="preserve">ates of symptomatic infection in contacts were </w:t>
      </w:r>
      <w:r w:rsidR="008670F7">
        <w:rPr>
          <w:rFonts w:cstheme="minorHAnsi"/>
        </w:rPr>
        <w:t xml:space="preserve">44/4665(0.9%) and </w:t>
      </w:r>
      <w:r w:rsidR="00AC4948">
        <w:rPr>
          <w:rFonts w:cstheme="minorHAnsi"/>
        </w:rPr>
        <w:t>79/5955(1.3%)</w:t>
      </w:r>
      <w:r w:rsidR="006F7913">
        <w:rPr>
          <w:rFonts w:cstheme="minorHAnsi"/>
        </w:rPr>
        <w:t xml:space="preserve">, respectively </w:t>
      </w:r>
      <w:r w:rsidR="00F07A0E">
        <w:rPr>
          <w:rFonts w:cstheme="minorHAnsi"/>
        </w:rPr>
        <w:t>(</w:t>
      </w:r>
      <w:proofErr w:type="spellStart"/>
      <w:r w:rsidR="006F7913">
        <w:rPr>
          <w:rFonts w:cstheme="minorHAnsi"/>
        </w:rPr>
        <w:t>aOR</w:t>
      </w:r>
      <w:proofErr w:type="spellEnd"/>
      <w:r w:rsidR="00F07A0E">
        <w:rPr>
          <w:rFonts w:cstheme="minorHAnsi"/>
        </w:rPr>
        <w:t>=</w:t>
      </w:r>
      <w:r w:rsidR="00A06807">
        <w:rPr>
          <w:rFonts w:cstheme="minorHAnsi"/>
        </w:rPr>
        <w:t>1.21</w:t>
      </w:r>
      <w:r w:rsidR="00F07A0E">
        <w:rPr>
          <w:rFonts w:cstheme="minorHAnsi"/>
        </w:rPr>
        <w:t>[</w:t>
      </w:r>
      <w:r w:rsidR="00A06807">
        <w:rPr>
          <w:rFonts w:cstheme="minorHAnsi"/>
        </w:rPr>
        <w:t>0.82-1.79</w:t>
      </w:r>
      <w:r w:rsidR="00F07A0E">
        <w:rPr>
          <w:rFonts w:cstheme="minorHAnsi"/>
        </w:rPr>
        <w:t>;</w:t>
      </w:r>
      <w:r w:rsidR="00A06807">
        <w:rPr>
          <w:rFonts w:cstheme="minorHAnsi"/>
        </w:rPr>
        <w:t>p=0.34</w:t>
      </w:r>
      <w:r w:rsidR="00F07A0E">
        <w:rPr>
          <w:rFonts w:cstheme="minorHAnsi"/>
        </w:rPr>
        <w:t>]</w:t>
      </w:r>
      <w:r w:rsidR="00A06807">
        <w:rPr>
          <w:rFonts w:cstheme="minorHAnsi"/>
        </w:rPr>
        <w:t>).</w:t>
      </w:r>
      <w:r w:rsidR="006B1A64">
        <w:rPr>
          <w:rFonts w:cstheme="minorHAnsi"/>
        </w:rPr>
        <w:t xml:space="preserve"> </w:t>
      </w:r>
    </w:p>
    <w:p w14:paraId="0396D738" w14:textId="77777777" w:rsidR="0007112A" w:rsidRPr="00A53261" w:rsidRDefault="0007112A">
      <w:pPr>
        <w:rPr>
          <w:rFonts w:cstheme="minorHAnsi"/>
        </w:rPr>
      </w:pPr>
    </w:p>
    <w:p w14:paraId="4CCB373D" w14:textId="21183BA4" w:rsidR="0007112A" w:rsidRPr="00EF15B2" w:rsidRDefault="00891BFE">
      <w:pPr>
        <w:rPr>
          <w:rFonts w:cstheme="minorHAnsi"/>
          <w:b/>
        </w:rPr>
      </w:pPr>
      <w:r>
        <w:rPr>
          <w:rFonts w:cstheme="minorHAnsi"/>
          <w:b/>
          <w:bCs/>
        </w:rPr>
        <w:t>Interpretation</w:t>
      </w:r>
    </w:p>
    <w:p w14:paraId="013DE7D6" w14:textId="674D4CB1" w:rsidR="00B5358B" w:rsidRDefault="00205AB7">
      <w:pPr>
        <w:rPr>
          <w:rFonts w:cstheme="minorHAnsi"/>
        </w:rPr>
      </w:pPr>
      <w:r>
        <w:rPr>
          <w:rFonts w:cstheme="minorHAnsi"/>
        </w:rPr>
        <w:t xml:space="preserve">Daily contact testing </w:t>
      </w:r>
      <w:r w:rsidR="006A368E">
        <w:rPr>
          <w:rFonts w:cstheme="minorHAnsi"/>
        </w:rPr>
        <w:t xml:space="preserve">of school-based contacts </w:t>
      </w:r>
      <w:r>
        <w:rPr>
          <w:rFonts w:cstheme="minorHAnsi"/>
        </w:rPr>
        <w:t xml:space="preserve">was non-inferior to self-isolation </w:t>
      </w:r>
      <w:r w:rsidR="00E45FFD">
        <w:rPr>
          <w:rFonts w:cstheme="minorHAnsi"/>
        </w:rPr>
        <w:t xml:space="preserve">for </w:t>
      </w:r>
      <w:r w:rsidR="007664F6">
        <w:rPr>
          <w:rFonts w:cstheme="minorHAnsi"/>
        </w:rPr>
        <w:t>control of COVID-19 transmissi</w:t>
      </w:r>
      <w:r w:rsidR="007664F6" w:rsidRPr="00DD00C6">
        <w:rPr>
          <w:rFonts w:cstheme="minorHAnsi"/>
        </w:rPr>
        <w:t>on</w:t>
      </w:r>
      <w:r w:rsidR="00BC0128" w:rsidRPr="00DD00C6">
        <w:rPr>
          <w:rFonts w:cstheme="minorHAnsi"/>
        </w:rPr>
        <w:t xml:space="preserve">, </w:t>
      </w:r>
      <w:r w:rsidR="00596E83" w:rsidRPr="00DD00C6">
        <w:rPr>
          <w:rFonts w:cstheme="minorHAnsi"/>
        </w:rPr>
        <w:t>w</w:t>
      </w:r>
      <w:r w:rsidR="00596E83" w:rsidRPr="006E0FE2">
        <w:rPr>
          <w:rFonts w:cstheme="minorHAnsi"/>
        </w:rPr>
        <w:t>i</w:t>
      </w:r>
      <w:r w:rsidR="00596E83" w:rsidRPr="00C92521">
        <w:rPr>
          <w:rFonts w:cstheme="minorHAnsi"/>
        </w:rPr>
        <w:t xml:space="preserve">th </w:t>
      </w:r>
      <w:r w:rsidR="00BC0128" w:rsidRPr="00DD00C6">
        <w:rPr>
          <w:rFonts w:cstheme="minorHAnsi"/>
        </w:rPr>
        <w:t xml:space="preserve">similar </w:t>
      </w:r>
      <w:r w:rsidR="00BC5EC1" w:rsidRPr="00DD00C6">
        <w:rPr>
          <w:rFonts w:cstheme="minorHAnsi"/>
        </w:rPr>
        <w:t xml:space="preserve">rates of </w:t>
      </w:r>
      <w:r w:rsidR="00797362">
        <w:rPr>
          <w:rFonts w:cstheme="minorHAnsi"/>
        </w:rPr>
        <w:t xml:space="preserve">student and staff </w:t>
      </w:r>
      <w:r w:rsidR="00BC0128" w:rsidRPr="00DD00C6">
        <w:rPr>
          <w:rFonts w:cstheme="minorHAnsi"/>
        </w:rPr>
        <w:t>symptomatic infections</w:t>
      </w:r>
      <w:r w:rsidR="00BB6F83">
        <w:rPr>
          <w:rFonts w:cstheme="minorHAnsi"/>
        </w:rPr>
        <w:t xml:space="preserve"> with both approaches</w:t>
      </w:r>
      <w:r w:rsidR="002A6A4F" w:rsidRPr="00DD00C6">
        <w:rPr>
          <w:rFonts w:cstheme="minorHAnsi"/>
        </w:rPr>
        <w:t xml:space="preserve">. </w:t>
      </w:r>
      <w:r w:rsidR="006D22E6" w:rsidRPr="00DD00C6">
        <w:rPr>
          <w:rFonts w:cstheme="minorHAnsi"/>
        </w:rPr>
        <w:t>I</w:t>
      </w:r>
      <w:r w:rsidR="006D22E6">
        <w:rPr>
          <w:rFonts w:cstheme="minorHAnsi"/>
        </w:rPr>
        <w:t>nfection</w:t>
      </w:r>
      <w:r w:rsidR="00A06807">
        <w:rPr>
          <w:rFonts w:cstheme="minorHAnsi"/>
        </w:rPr>
        <w:t xml:space="preserve"> </w:t>
      </w:r>
      <w:r w:rsidR="000323B3">
        <w:rPr>
          <w:rFonts w:cstheme="minorHAnsi"/>
        </w:rPr>
        <w:t>rates</w:t>
      </w:r>
      <w:r w:rsidR="00A06807">
        <w:rPr>
          <w:rFonts w:cstheme="minorHAnsi"/>
        </w:rPr>
        <w:t xml:space="preserve"> in </w:t>
      </w:r>
      <w:r w:rsidR="00891BFE">
        <w:rPr>
          <w:rFonts w:cstheme="minorHAnsi"/>
        </w:rPr>
        <w:t>school-based</w:t>
      </w:r>
      <w:r w:rsidR="00A06807">
        <w:rPr>
          <w:rFonts w:cstheme="minorHAnsi"/>
        </w:rPr>
        <w:t xml:space="preserve"> contacts were </w:t>
      </w:r>
      <w:r w:rsidR="002045E5">
        <w:rPr>
          <w:rFonts w:cstheme="minorHAnsi"/>
        </w:rPr>
        <w:t xml:space="preserve">only </w:t>
      </w:r>
      <w:r w:rsidR="00976EFE">
        <w:rPr>
          <w:rFonts w:cstheme="minorHAnsi"/>
        </w:rPr>
        <w:t xml:space="preserve">around </w:t>
      </w:r>
      <w:r w:rsidR="00A06807">
        <w:rPr>
          <w:rFonts w:cstheme="minorHAnsi"/>
        </w:rPr>
        <w:t xml:space="preserve">2%. </w:t>
      </w:r>
      <w:r w:rsidR="00891BFE" w:rsidRPr="00891BFE">
        <w:rPr>
          <w:rFonts w:cstheme="minorHAnsi"/>
        </w:rPr>
        <w:t>Daily contact testing</w:t>
      </w:r>
      <w:r w:rsidR="00897812">
        <w:rPr>
          <w:rFonts w:cstheme="minorHAnsi"/>
        </w:rPr>
        <w:t xml:space="preserve"> should be considered for implementation as</w:t>
      </w:r>
      <w:r w:rsidR="00226792">
        <w:rPr>
          <w:rFonts w:cstheme="minorHAnsi"/>
        </w:rPr>
        <w:t xml:space="preserve"> a safe alternative to home isolation</w:t>
      </w:r>
      <w:r w:rsidR="00891BFE">
        <w:rPr>
          <w:rFonts w:cstheme="minorHAnsi"/>
        </w:rPr>
        <w:t xml:space="preserve"> following school-based exposures</w:t>
      </w:r>
      <w:r w:rsidR="00897812">
        <w:rPr>
          <w:rFonts w:cstheme="minorHAnsi"/>
        </w:rPr>
        <w:t>.</w:t>
      </w:r>
    </w:p>
    <w:p w14:paraId="59A54083" w14:textId="77777777" w:rsidR="00B5358B" w:rsidRDefault="00B5358B">
      <w:pPr>
        <w:rPr>
          <w:rFonts w:cstheme="minorHAnsi"/>
        </w:rPr>
      </w:pPr>
    </w:p>
    <w:p w14:paraId="76C0661E" w14:textId="77777777" w:rsidR="00B5358B" w:rsidRDefault="00B5358B">
      <w:pPr>
        <w:rPr>
          <w:rFonts w:cstheme="minorHAnsi"/>
          <w:b/>
          <w:bCs/>
        </w:rPr>
      </w:pPr>
      <w:r>
        <w:rPr>
          <w:rFonts w:cstheme="minorHAnsi"/>
          <w:b/>
          <w:bCs/>
        </w:rPr>
        <w:t>Funding</w:t>
      </w:r>
    </w:p>
    <w:p w14:paraId="1385C5AB" w14:textId="54B9B6A8" w:rsidR="006A7FE8" w:rsidRPr="00A53261" w:rsidRDefault="00B5358B">
      <w:pPr>
        <w:rPr>
          <w:rFonts w:cstheme="minorHAnsi"/>
        </w:rPr>
      </w:pPr>
      <w:r>
        <w:rPr>
          <w:rFonts w:cstheme="minorHAnsi"/>
        </w:rPr>
        <w:t>UK Government.</w:t>
      </w:r>
      <w:r w:rsidR="006A7FE8" w:rsidRPr="00A53261">
        <w:rPr>
          <w:rFonts w:cstheme="minorHAnsi"/>
        </w:rPr>
        <w:br w:type="page"/>
      </w:r>
    </w:p>
    <w:p w14:paraId="0DFCECEB" w14:textId="77777777" w:rsidR="006A7FE8" w:rsidRPr="00A53261" w:rsidRDefault="006A7FE8" w:rsidP="00866061">
      <w:pPr>
        <w:pStyle w:val="Heading1"/>
      </w:pPr>
      <w:r w:rsidRPr="00A53261">
        <w:lastRenderedPageBreak/>
        <w:t>Introduction</w:t>
      </w:r>
    </w:p>
    <w:p w14:paraId="28F7479D" w14:textId="354C7622" w:rsidR="00540DAE" w:rsidRDefault="00E456D5" w:rsidP="00B601A8">
      <w:r>
        <w:t>In</w:t>
      </w:r>
      <w:r w:rsidR="00314A21">
        <w:t xml:space="preserve"> the </w:t>
      </w:r>
      <w:r w:rsidR="0070556B">
        <w:t>COVID</w:t>
      </w:r>
      <w:r w:rsidR="00EB0D7F">
        <w:t>-19</w:t>
      </w:r>
      <w:r w:rsidR="00314A21">
        <w:t xml:space="preserve"> pandemic, disease control in schools</w:t>
      </w:r>
      <w:r w:rsidR="005E7AA3">
        <w:t xml:space="preserve"> has</w:t>
      </w:r>
      <w:r w:rsidR="00314A21">
        <w:t xml:space="preserve"> </w:t>
      </w:r>
      <w:r>
        <w:t>range</w:t>
      </w:r>
      <w:r w:rsidR="00CD1865">
        <w:t>d</w:t>
      </w:r>
      <w:r w:rsidR="00314A21">
        <w:t xml:space="preserve"> from no control</w:t>
      </w:r>
      <w:r w:rsidR="00A529F0">
        <w:t>s</w:t>
      </w:r>
      <w:r w:rsidR="00314A21">
        <w:t xml:space="preserve"> at one extreme</w:t>
      </w:r>
      <w:r w:rsidR="00A529F0">
        <w:t>,</w:t>
      </w:r>
      <w:r w:rsidR="00314A21">
        <w:t xml:space="preserve"> to school closure at anothe</w:t>
      </w:r>
      <w:r w:rsidR="005E7AA3">
        <w:t>r</w:t>
      </w:r>
      <w:r>
        <w:t>, the latter largely based on evidence regarding transmission of influenza.</w:t>
      </w:r>
      <w:r w:rsidR="00E67AF1">
        <w:t>[</w:t>
      </w:r>
      <w:r>
        <w:fldChar w:fldCharType="begin"/>
      </w:r>
      <w:r>
        <w:instrText xml:space="preserve"> REF _Ref78198235 \r \h </w:instrText>
      </w:r>
      <w:r>
        <w:fldChar w:fldCharType="separate"/>
      </w:r>
      <w:r w:rsidR="00663502">
        <w:t>1</w:t>
      </w:r>
      <w:r>
        <w:fldChar w:fldCharType="end"/>
      </w:r>
      <w:r w:rsidR="00E67AF1">
        <w:t>]</w:t>
      </w:r>
      <w:r w:rsidR="00314A21">
        <w:t xml:space="preserve"> Between these </w:t>
      </w:r>
      <w:r w:rsidR="00A529F0">
        <w:t>poles</w:t>
      </w:r>
      <w:r w:rsidR="00314A21">
        <w:t>, different degrees of control have been applied</w:t>
      </w:r>
      <w:r w:rsidR="00A529F0">
        <w:t>,</w:t>
      </w:r>
      <w:r w:rsidR="00314A21">
        <w:t xml:space="preserve"> </w:t>
      </w:r>
      <w:r w:rsidR="00F42811">
        <w:t>including</w:t>
      </w:r>
      <w:r w:rsidR="00314A21">
        <w:t xml:space="preserve"> isolation of </w:t>
      </w:r>
      <w:r w:rsidR="00A529F0">
        <w:t xml:space="preserve">suspected or </w:t>
      </w:r>
      <w:r w:rsidR="00E97F64">
        <w:t>confirmed</w:t>
      </w:r>
      <w:r w:rsidR="00314A21">
        <w:t xml:space="preserve"> cases</w:t>
      </w:r>
      <w:r w:rsidR="00A529F0">
        <w:t>,</w:t>
      </w:r>
      <w:r w:rsidR="005D3992">
        <w:t xml:space="preserve"> to</w:t>
      </w:r>
      <w:r w:rsidR="00314A21">
        <w:t xml:space="preserve"> </w:t>
      </w:r>
      <w:r w:rsidR="00956F8E">
        <w:t>isolation</w:t>
      </w:r>
      <w:r w:rsidR="00314A21">
        <w:t xml:space="preserve"> of close contacts of cases.</w:t>
      </w:r>
      <w:r w:rsidR="00F43739">
        <w:t>[</w:t>
      </w:r>
      <w:r>
        <w:fldChar w:fldCharType="begin"/>
      </w:r>
      <w:r>
        <w:instrText xml:space="preserve"> REF _Ref78198224 \r \h </w:instrText>
      </w:r>
      <w:r>
        <w:fldChar w:fldCharType="separate"/>
      </w:r>
      <w:r w:rsidR="00663502">
        <w:t>2</w:t>
      </w:r>
      <w:r>
        <w:fldChar w:fldCharType="end"/>
      </w:r>
      <w:r w:rsidR="00F43739">
        <w:t>]</w:t>
      </w:r>
      <w:r w:rsidR="00314A21">
        <w:t xml:space="preserve"> </w:t>
      </w:r>
      <w:r w:rsidR="002837B1">
        <w:t xml:space="preserve">With widespread availability of </w:t>
      </w:r>
      <w:r w:rsidR="00AF58AA">
        <w:t xml:space="preserve">SARS-CoV-2 </w:t>
      </w:r>
      <w:r w:rsidR="002837B1">
        <w:t>point</w:t>
      </w:r>
      <w:r>
        <w:t>-</w:t>
      </w:r>
      <w:r w:rsidR="002837B1">
        <w:t>of</w:t>
      </w:r>
      <w:r>
        <w:t>-</w:t>
      </w:r>
      <w:r w:rsidR="002837B1">
        <w:t>care testing</w:t>
      </w:r>
      <w:r w:rsidR="00314A21">
        <w:t>, daily contact testing</w:t>
      </w:r>
      <w:r w:rsidR="00540DAE">
        <w:t xml:space="preserve"> (DCT)</w:t>
      </w:r>
      <w:r w:rsidR="00314A21">
        <w:t xml:space="preserve"> has been modelled and piloted as an alternative to compulsory </w:t>
      </w:r>
      <w:r w:rsidR="002837B1">
        <w:t>unsupervised isolation</w:t>
      </w:r>
      <w:r w:rsidR="00314A21">
        <w:t xml:space="preserve"> of contacts</w:t>
      </w:r>
      <w:r w:rsidR="002837B1">
        <w:t>.</w:t>
      </w:r>
      <w:r w:rsidR="007723B8">
        <w:t>[</w:t>
      </w:r>
      <w:r w:rsidR="00F42811">
        <w:fldChar w:fldCharType="begin"/>
      </w:r>
      <w:r w:rsidR="00F42811">
        <w:instrText xml:space="preserve"> REF _Ref77709375 \r \h </w:instrText>
      </w:r>
      <w:r w:rsidR="00F42811">
        <w:fldChar w:fldCharType="separate"/>
      </w:r>
      <w:r w:rsidR="00663502">
        <w:t>3</w:t>
      </w:r>
      <w:r w:rsidR="00F42811">
        <w:fldChar w:fldCharType="end"/>
      </w:r>
      <w:r w:rsidR="009C1F05">
        <w:t>,</w:t>
      </w:r>
      <w:r w:rsidR="009C1F05">
        <w:fldChar w:fldCharType="begin"/>
      </w:r>
      <w:r w:rsidR="009C1F05">
        <w:instrText xml:space="preserve"> REF _Ref77709210 \r \h </w:instrText>
      </w:r>
      <w:r w:rsidR="009C1F05">
        <w:fldChar w:fldCharType="separate"/>
      </w:r>
      <w:r w:rsidR="00663502">
        <w:t>4</w:t>
      </w:r>
      <w:r w:rsidR="009C1F05">
        <w:fldChar w:fldCharType="end"/>
      </w:r>
      <w:r w:rsidR="001E1D04">
        <w:t>,</w:t>
      </w:r>
      <w:r w:rsidR="001E1D04">
        <w:fldChar w:fldCharType="begin"/>
      </w:r>
      <w:r w:rsidR="001E1D04">
        <w:instrText xml:space="preserve"> REF _Ref77709867 \r \h </w:instrText>
      </w:r>
      <w:r w:rsidR="001E1D04">
        <w:fldChar w:fldCharType="separate"/>
      </w:r>
      <w:r w:rsidR="00663502">
        <w:t>5</w:t>
      </w:r>
      <w:r w:rsidR="001E1D04">
        <w:fldChar w:fldCharType="end"/>
      </w:r>
      <w:r w:rsidR="007723B8">
        <w:t>]</w:t>
      </w:r>
      <w:r w:rsidR="00C6792F">
        <w:t xml:space="preserve"> </w:t>
      </w:r>
      <w:r w:rsidR="00221737">
        <w:t>DCT allows</w:t>
      </w:r>
      <w:r w:rsidR="006437AB">
        <w:t xml:space="preserve"> contacts to attend</w:t>
      </w:r>
      <w:r w:rsidR="00C6792F">
        <w:t xml:space="preserve"> school provided a daily SARS-CoV-2 test </w:t>
      </w:r>
      <w:r w:rsidR="00221737">
        <w:t>is</w:t>
      </w:r>
      <w:r w:rsidR="00C6792F">
        <w:t xml:space="preserve"> negative. </w:t>
      </w:r>
      <w:r w:rsidR="008D0522">
        <w:t>Daily testing with antigen lateral flow devices (LFDs)</w:t>
      </w:r>
      <w:r w:rsidR="00AE7779">
        <w:t xml:space="preserve"> </w:t>
      </w:r>
      <w:r w:rsidR="004B4348">
        <w:t>is</w:t>
      </w:r>
      <w:r w:rsidR="00AE7779">
        <w:t xml:space="preserve"> feasible</w:t>
      </w:r>
      <w:r w:rsidR="00D16451">
        <w:t>,</w:t>
      </w:r>
      <w:r w:rsidR="00AE7779">
        <w:t>[</w:t>
      </w:r>
      <w:r w:rsidR="00AE7779">
        <w:fldChar w:fldCharType="begin"/>
      </w:r>
      <w:r w:rsidR="00AE7779">
        <w:instrText xml:space="preserve"> REF _Ref77708356 \r \h </w:instrText>
      </w:r>
      <w:r w:rsidR="00AE7779">
        <w:fldChar w:fldCharType="separate"/>
      </w:r>
      <w:r w:rsidR="00663502">
        <w:t>6</w:t>
      </w:r>
      <w:r w:rsidR="00AE7779">
        <w:fldChar w:fldCharType="end"/>
      </w:r>
      <w:r w:rsidR="00AE7779">
        <w:t>]</w:t>
      </w:r>
      <w:r w:rsidR="00D16451">
        <w:t xml:space="preserve"> </w:t>
      </w:r>
      <w:r w:rsidR="002837B1">
        <w:t>with</w:t>
      </w:r>
      <w:r w:rsidR="00D16451">
        <w:t xml:space="preserve"> rapid turnaround times</w:t>
      </w:r>
      <w:r>
        <w:t>,</w:t>
      </w:r>
      <w:r w:rsidR="00AE7779">
        <w:t xml:space="preserve"> relatively</w:t>
      </w:r>
      <w:r w:rsidR="00D16451">
        <w:t xml:space="preserve"> low cost</w:t>
      </w:r>
      <w:r w:rsidR="00AE7779">
        <w:t xml:space="preserve"> </w:t>
      </w:r>
      <w:r w:rsidR="007723B8">
        <w:t>and good detection of virus</w:t>
      </w:r>
      <w:r w:rsidR="00D16451">
        <w:t>.</w:t>
      </w:r>
      <w:r w:rsidR="007723B8">
        <w:t>[</w:t>
      </w:r>
      <w:r w:rsidR="00F43739">
        <w:fldChar w:fldCharType="begin"/>
      </w:r>
      <w:r w:rsidR="00F43739">
        <w:instrText xml:space="preserve"> REF _Ref77709719 \r \h </w:instrText>
      </w:r>
      <w:r w:rsidR="00F43739">
        <w:fldChar w:fldCharType="separate"/>
      </w:r>
      <w:r w:rsidR="00663502">
        <w:t>7</w:t>
      </w:r>
      <w:r w:rsidR="00F43739">
        <w:fldChar w:fldCharType="end"/>
      </w:r>
      <w:r w:rsidR="00F43739">
        <w:t>,</w:t>
      </w:r>
      <w:r w:rsidR="00F43739">
        <w:fldChar w:fldCharType="begin"/>
      </w:r>
      <w:r w:rsidR="00F43739">
        <w:instrText xml:space="preserve"> REF _Ref77774029 \r \h </w:instrText>
      </w:r>
      <w:r w:rsidR="00F43739">
        <w:fldChar w:fldCharType="separate"/>
      </w:r>
      <w:r w:rsidR="00663502">
        <w:t>8</w:t>
      </w:r>
      <w:r w:rsidR="00F43739">
        <w:fldChar w:fldCharType="end"/>
      </w:r>
      <w:r w:rsidR="00A25B4E">
        <w:t>,</w:t>
      </w:r>
      <w:r w:rsidR="00A25B4E">
        <w:fldChar w:fldCharType="begin"/>
      </w:r>
      <w:r w:rsidR="00A25B4E">
        <w:instrText xml:space="preserve"> REF _Ref80014664 \r \h </w:instrText>
      </w:r>
      <w:r w:rsidR="00A25B4E">
        <w:fldChar w:fldCharType="separate"/>
      </w:r>
      <w:r w:rsidR="00A25B4E">
        <w:t>9</w:t>
      </w:r>
      <w:r w:rsidR="00A25B4E">
        <w:fldChar w:fldCharType="end"/>
      </w:r>
      <w:r w:rsidR="007723B8">
        <w:t>]</w:t>
      </w:r>
      <w:r w:rsidR="00D16451">
        <w:t xml:space="preserve"> </w:t>
      </w:r>
      <w:r w:rsidR="00591294">
        <w:t xml:space="preserve">In addition to allowing students and staff to remain at school, DCT </w:t>
      </w:r>
      <w:r>
        <w:t>may</w:t>
      </w:r>
      <w:r w:rsidR="00591294">
        <w:t xml:space="preserve"> make </w:t>
      </w:r>
      <w:r w:rsidR="00D66A7F">
        <w:t xml:space="preserve">regular </w:t>
      </w:r>
      <w:r w:rsidR="00D8471B">
        <w:t>asymptomatic testing</w:t>
      </w:r>
      <w:r w:rsidR="00591294">
        <w:t xml:space="preserve"> more popular </w:t>
      </w:r>
      <w:r w:rsidR="003B069B">
        <w:t>and</w:t>
      </w:r>
      <w:r w:rsidR="00123BEE">
        <w:t xml:space="preserve"> improve </w:t>
      </w:r>
      <w:r w:rsidR="0098018D">
        <w:t xml:space="preserve">contact </w:t>
      </w:r>
      <w:r w:rsidR="00123BEE">
        <w:t xml:space="preserve">reporting, </w:t>
      </w:r>
      <w:r>
        <w:t>by</w:t>
      </w:r>
      <w:r w:rsidR="00591294">
        <w:t xml:space="preserve"> remov</w:t>
      </w:r>
      <w:r>
        <w:t>ing</w:t>
      </w:r>
      <w:r w:rsidR="00591294">
        <w:t xml:space="preserve"> the social penalty of positive case</w:t>
      </w:r>
      <w:r w:rsidR="002D5B48">
        <w:t>s</w:t>
      </w:r>
      <w:r w:rsidR="00591294">
        <w:t xml:space="preserve"> triggering </w:t>
      </w:r>
      <w:r w:rsidR="00155F70">
        <w:t>isolation</w:t>
      </w:r>
      <w:r w:rsidR="00591294">
        <w:t xml:space="preserve"> in contacts.</w:t>
      </w:r>
      <w:r w:rsidR="00123BEE">
        <w:t>[</w:t>
      </w:r>
      <w:r w:rsidR="00F43739">
        <w:fldChar w:fldCharType="begin"/>
      </w:r>
      <w:r w:rsidR="00F43739">
        <w:instrText xml:space="preserve"> REF _Ref77774077 \r \h </w:instrText>
      </w:r>
      <w:r w:rsidR="00F43739">
        <w:fldChar w:fldCharType="separate"/>
      </w:r>
      <w:r w:rsidR="00D44A48">
        <w:t>10</w:t>
      </w:r>
      <w:r w:rsidR="00F43739">
        <w:fldChar w:fldCharType="end"/>
      </w:r>
      <w:r w:rsidR="00123BEE">
        <w:t>]</w:t>
      </w:r>
      <w:r w:rsidR="00D66A7F">
        <w:t xml:space="preserve"> </w:t>
      </w:r>
      <w:r w:rsidR="00B601A8">
        <w:t>This in turn may improve</w:t>
      </w:r>
      <w:r w:rsidR="007D5C91">
        <w:t xml:space="preserve"> case detection </w:t>
      </w:r>
      <w:r w:rsidR="00B601A8">
        <w:t xml:space="preserve">and therefore </w:t>
      </w:r>
      <w:r w:rsidR="007D5C91">
        <w:t>may even reduce transmission.[</w:t>
      </w:r>
      <w:r w:rsidR="007D5C91">
        <w:fldChar w:fldCharType="begin"/>
      </w:r>
      <w:r w:rsidR="007D5C91">
        <w:instrText xml:space="preserve"> REF _Ref77709375 \r \h </w:instrText>
      </w:r>
      <w:r w:rsidR="007D5C91">
        <w:fldChar w:fldCharType="separate"/>
      </w:r>
      <w:r w:rsidR="007D5C91">
        <w:t>3</w:t>
      </w:r>
      <w:r w:rsidR="007D5C91">
        <w:fldChar w:fldCharType="end"/>
      </w:r>
      <w:r w:rsidR="007D5C91">
        <w:t>]</w:t>
      </w:r>
      <w:r w:rsidR="00D66A7F">
        <w:t xml:space="preserve"> </w:t>
      </w:r>
      <w:r w:rsidR="001D4801">
        <w:t>However, concerns about LFD</w:t>
      </w:r>
      <w:r w:rsidR="007B68C0">
        <w:t xml:space="preserve"> </w:t>
      </w:r>
      <w:r w:rsidR="005401BF">
        <w:t>performance</w:t>
      </w:r>
      <w:r w:rsidR="00F70DC0">
        <w:t>, especially</w:t>
      </w:r>
      <w:r w:rsidR="005401BF">
        <w:t xml:space="preserve"> </w:t>
      </w:r>
      <w:r w:rsidR="001D4801">
        <w:t xml:space="preserve">outside of healthcare and expert settings, </w:t>
      </w:r>
      <w:r w:rsidR="00EC5F35">
        <w:t xml:space="preserve">have left uncertainty about whether DCT is appropriate for schools </w:t>
      </w:r>
      <w:r w:rsidR="002837B1">
        <w:t xml:space="preserve">or </w:t>
      </w:r>
      <w:r w:rsidR="00EC5F35">
        <w:t>more widely.</w:t>
      </w:r>
      <w:r w:rsidR="008D54BF">
        <w:t>[</w:t>
      </w:r>
      <w:r w:rsidR="00F43739">
        <w:rPr>
          <w:highlight w:val="yellow"/>
        </w:rPr>
        <w:fldChar w:fldCharType="begin"/>
      </w:r>
      <w:r w:rsidR="00F43739">
        <w:instrText xml:space="preserve"> REF _Ref77711768 \r \h </w:instrText>
      </w:r>
      <w:r w:rsidR="00F43739">
        <w:rPr>
          <w:highlight w:val="yellow"/>
        </w:rPr>
      </w:r>
      <w:r w:rsidR="00F43739">
        <w:rPr>
          <w:highlight w:val="yellow"/>
        </w:rPr>
        <w:fldChar w:fldCharType="separate"/>
      </w:r>
      <w:r w:rsidR="00D44A48">
        <w:t>11</w:t>
      </w:r>
      <w:r w:rsidR="00F43739">
        <w:rPr>
          <w:highlight w:val="yellow"/>
        </w:rPr>
        <w:fldChar w:fldCharType="end"/>
      </w:r>
      <w:r w:rsidR="008D54BF">
        <w:t>]</w:t>
      </w:r>
    </w:p>
    <w:p w14:paraId="5843EB08" w14:textId="77777777" w:rsidR="00545A23" w:rsidRDefault="00545A23" w:rsidP="00314A21"/>
    <w:p w14:paraId="3CB5F5A4" w14:textId="1467ED70" w:rsidR="00667926" w:rsidRDefault="00314A21" w:rsidP="00314A21">
      <w:r>
        <w:t xml:space="preserve">A policy of </w:t>
      </w:r>
      <w:r w:rsidR="00FC237B">
        <w:t>self-</w:t>
      </w:r>
      <w:r w:rsidR="002837B1">
        <w:t>isolation</w:t>
      </w:r>
      <w:r>
        <w:t xml:space="preserve"> </w:t>
      </w:r>
      <w:r w:rsidR="00FC237B">
        <w:t xml:space="preserve">of contacts </w:t>
      </w:r>
      <w:r>
        <w:t xml:space="preserve">assumes </w:t>
      </w:r>
      <w:r w:rsidR="00FC237B">
        <w:t xml:space="preserve">this </w:t>
      </w:r>
      <w:r>
        <w:t>reduces the risk o</w:t>
      </w:r>
      <w:r w:rsidR="007B68C0">
        <w:t>f</w:t>
      </w:r>
      <w:r>
        <w:t xml:space="preserve"> onward transmission in school</w:t>
      </w:r>
      <w:r w:rsidR="00FC237B">
        <w:t>s</w:t>
      </w:r>
      <w:r>
        <w:t xml:space="preserve">. </w:t>
      </w:r>
      <w:r w:rsidR="002837B1">
        <w:t>In practice</w:t>
      </w:r>
      <w:r w:rsidR="001D734F">
        <w:t>,</w:t>
      </w:r>
      <w:r w:rsidR="002837B1">
        <w:t xml:space="preserve"> </w:t>
      </w:r>
      <w:r w:rsidR="005A2A99">
        <w:t>its</w:t>
      </w:r>
      <w:r w:rsidR="002837B1">
        <w:t xml:space="preserve"> impact</w:t>
      </w:r>
      <w:r>
        <w:t xml:space="preserve"> is unknown</w:t>
      </w:r>
      <w:r w:rsidR="0098018D">
        <w:t>:</w:t>
      </w:r>
      <w:r w:rsidR="00AF670C">
        <w:t xml:space="preserve"> adherence to isolation is incomplete,[</w:t>
      </w:r>
      <w:r w:rsidR="00F43739">
        <w:fldChar w:fldCharType="begin"/>
      </w:r>
      <w:r w:rsidR="00F43739">
        <w:instrText xml:space="preserve"> REF _Ref77708497 \r \h </w:instrText>
      </w:r>
      <w:r w:rsidR="00F43739">
        <w:fldChar w:fldCharType="separate"/>
      </w:r>
      <w:r w:rsidR="00D44A48">
        <w:t>12</w:t>
      </w:r>
      <w:r w:rsidR="00F43739">
        <w:fldChar w:fldCharType="end"/>
      </w:r>
      <w:r w:rsidR="00AF670C">
        <w:t>]</w:t>
      </w:r>
      <w:r>
        <w:t xml:space="preserve"> and the number of </w:t>
      </w:r>
      <w:r w:rsidR="004B4E3A">
        <w:t>isolation</w:t>
      </w:r>
      <w:r>
        <w:t xml:space="preserve">-days required to prevent </w:t>
      </w:r>
      <w:r w:rsidR="009901DB">
        <w:t>one</w:t>
      </w:r>
      <w:r>
        <w:t xml:space="preserve"> onward transmission has not been calculated. </w:t>
      </w:r>
      <w:r w:rsidR="00AE7779">
        <w:t xml:space="preserve">Evidence is lacking </w:t>
      </w:r>
      <w:r>
        <w:t xml:space="preserve">that the benefit of the policy </w:t>
      </w:r>
      <w:r w:rsidR="00B60A3E">
        <w:t>outweighs</w:t>
      </w:r>
      <w:r>
        <w:t xml:space="preserve"> the clear social</w:t>
      </w:r>
      <w:r w:rsidR="005534EC">
        <w:t>[</w:t>
      </w:r>
      <w:r w:rsidR="00F43739">
        <w:fldChar w:fldCharType="begin"/>
      </w:r>
      <w:r w:rsidR="00F43739">
        <w:instrText xml:space="preserve"> REF _Ref77708686 \r \h </w:instrText>
      </w:r>
      <w:r w:rsidR="00F43739">
        <w:fldChar w:fldCharType="separate"/>
      </w:r>
      <w:r w:rsidR="003F6D11">
        <w:t>1</w:t>
      </w:r>
      <w:r w:rsidR="00D44A48">
        <w:t>3</w:t>
      </w:r>
      <w:r w:rsidR="00F43739">
        <w:fldChar w:fldCharType="end"/>
      </w:r>
      <w:r w:rsidR="00F43739">
        <w:t>,</w:t>
      </w:r>
      <w:r w:rsidR="00F43739">
        <w:fldChar w:fldCharType="begin"/>
      </w:r>
      <w:r w:rsidR="00F43739">
        <w:instrText xml:space="preserve"> REF _Ref77774117 \r \h </w:instrText>
      </w:r>
      <w:r w:rsidR="00F43739">
        <w:fldChar w:fldCharType="separate"/>
      </w:r>
      <w:r w:rsidR="003F6D11">
        <w:t>1</w:t>
      </w:r>
      <w:r w:rsidR="00D44A48">
        <w:t>4</w:t>
      </w:r>
      <w:r w:rsidR="00F43739">
        <w:fldChar w:fldCharType="end"/>
      </w:r>
      <w:r w:rsidR="005534EC">
        <w:t>]</w:t>
      </w:r>
      <w:r>
        <w:t xml:space="preserve"> and </w:t>
      </w:r>
      <w:r w:rsidR="00667926">
        <w:t>educational</w:t>
      </w:r>
      <w:r w:rsidR="005306B4">
        <w:t>[</w:t>
      </w:r>
      <w:r w:rsidR="00F43739">
        <w:fldChar w:fldCharType="begin"/>
      </w:r>
      <w:r w:rsidR="00F43739">
        <w:instrText xml:space="preserve"> REF _Ref77709040 \r \h </w:instrText>
      </w:r>
      <w:r w:rsidR="00F43739">
        <w:fldChar w:fldCharType="separate"/>
      </w:r>
      <w:r w:rsidR="00D44A48">
        <w:t>15</w:t>
      </w:r>
      <w:r w:rsidR="00F43739">
        <w:fldChar w:fldCharType="end"/>
      </w:r>
      <w:r w:rsidR="00F43739">
        <w:t>,</w:t>
      </w:r>
      <w:r w:rsidR="00F43739">
        <w:fldChar w:fldCharType="begin"/>
      </w:r>
      <w:r w:rsidR="00F43739">
        <w:instrText xml:space="preserve"> REF _Ref77709043 \r \h </w:instrText>
      </w:r>
      <w:r w:rsidR="00F43739">
        <w:fldChar w:fldCharType="separate"/>
      </w:r>
      <w:r w:rsidR="00D44A48">
        <w:t>16</w:t>
      </w:r>
      <w:r w:rsidR="00F43739">
        <w:fldChar w:fldCharType="end"/>
      </w:r>
      <w:r w:rsidR="00F43739">
        <w:t>,</w:t>
      </w:r>
      <w:r w:rsidR="00F43739">
        <w:fldChar w:fldCharType="begin"/>
      </w:r>
      <w:r w:rsidR="00F43739">
        <w:instrText xml:space="preserve"> REF _Ref77709044 \r \h </w:instrText>
      </w:r>
      <w:r w:rsidR="00F43739">
        <w:fldChar w:fldCharType="separate"/>
      </w:r>
      <w:r w:rsidR="00D44A48">
        <w:t>17</w:t>
      </w:r>
      <w:r w:rsidR="00F43739">
        <w:fldChar w:fldCharType="end"/>
      </w:r>
      <w:r w:rsidR="005306B4">
        <w:t>]</w:t>
      </w:r>
      <w:r>
        <w:t xml:space="preserve"> disadvantages. </w:t>
      </w:r>
      <w:r w:rsidR="005E6503">
        <w:t>C</w:t>
      </w:r>
      <w:r w:rsidR="00C20FFA">
        <w:t>ontact</w:t>
      </w:r>
      <w:r w:rsidR="00AE7779">
        <w:t>-</w:t>
      </w:r>
      <w:r w:rsidR="00C20FFA">
        <w:t xml:space="preserve">tracing </w:t>
      </w:r>
      <w:r w:rsidR="005E6503">
        <w:t xml:space="preserve">data from England </w:t>
      </w:r>
      <w:r w:rsidR="002837B1">
        <w:t>suggest</w:t>
      </w:r>
      <w:r w:rsidR="005306B4">
        <w:t>s</w:t>
      </w:r>
      <w:r w:rsidR="002837B1">
        <w:t xml:space="preserve"> that transmission </w:t>
      </w:r>
      <w:r w:rsidR="00C44A5A">
        <w:t xml:space="preserve">following contact </w:t>
      </w:r>
      <w:r w:rsidR="002837B1">
        <w:t xml:space="preserve">in secondary schools is infrequent, and occurs in &lt;3% of </w:t>
      </w:r>
      <w:r w:rsidR="00FD4062">
        <w:t>contacts of infected</w:t>
      </w:r>
      <w:r w:rsidR="00BC733B">
        <w:t xml:space="preserve"> </w:t>
      </w:r>
      <w:r w:rsidR="002837B1">
        <w:t>teenagers.</w:t>
      </w:r>
      <w:r w:rsidR="00ED6E60">
        <w:t>[</w:t>
      </w:r>
      <w:r w:rsidR="00F43739">
        <w:fldChar w:fldCharType="begin"/>
      </w:r>
      <w:r w:rsidR="00F43739">
        <w:instrText xml:space="preserve"> REF _Ref77706039 \r \h </w:instrText>
      </w:r>
      <w:r w:rsidR="00F43739">
        <w:fldChar w:fldCharType="separate"/>
      </w:r>
      <w:r w:rsidR="00D44A48">
        <w:t>18</w:t>
      </w:r>
      <w:r w:rsidR="00F43739">
        <w:fldChar w:fldCharType="end"/>
      </w:r>
      <w:r w:rsidR="00ED6E60">
        <w:t>]</w:t>
      </w:r>
      <w:r w:rsidR="00591DB1">
        <w:t xml:space="preserve"> Observational reports from England </w:t>
      </w:r>
      <w:r w:rsidR="00A24420">
        <w:t xml:space="preserve">found </w:t>
      </w:r>
      <w:r w:rsidR="00591DB1">
        <w:t>educational outbreaks are uncommon, and strongly associated with community incidence.[</w:t>
      </w:r>
      <w:r w:rsidR="00663502">
        <w:fldChar w:fldCharType="begin"/>
      </w:r>
      <w:r w:rsidR="00663502">
        <w:instrText xml:space="preserve"> REF _Ref78199290 \r \h </w:instrText>
      </w:r>
      <w:r w:rsidR="00663502">
        <w:fldChar w:fldCharType="separate"/>
      </w:r>
      <w:r w:rsidR="00D44A48">
        <w:t>19</w:t>
      </w:r>
      <w:r w:rsidR="00663502">
        <w:fldChar w:fldCharType="end"/>
      </w:r>
      <w:r w:rsidR="00591DB1">
        <w:t>]</w:t>
      </w:r>
    </w:p>
    <w:p w14:paraId="0B08C8C2" w14:textId="77777777" w:rsidR="00667926" w:rsidRDefault="00667926" w:rsidP="00314A21"/>
    <w:p w14:paraId="0EED0A16" w14:textId="69DA4249" w:rsidR="00D324DF" w:rsidRPr="000421C4" w:rsidRDefault="00667926">
      <w:r>
        <w:t xml:space="preserve">We undertook a </w:t>
      </w:r>
      <w:r w:rsidR="00A80AA5">
        <w:t>cluster</w:t>
      </w:r>
      <w:r w:rsidR="0098018D">
        <w:t>-</w:t>
      </w:r>
      <w:r w:rsidR="00A80AA5">
        <w:t xml:space="preserve">randomised controlled </w:t>
      </w:r>
      <w:r>
        <w:t>trial of DCT</w:t>
      </w:r>
      <w:r w:rsidR="00A80AA5">
        <w:t xml:space="preserve"> in students and staff at secondary schools and colleges</w:t>
      </w:r>
      <w:r w:rsidR="00D33B31">
        <w:t xml:space="preserve"> in England</w:t>
      </w:r>
      <w:r w:rsidR="00DF2A61">
        <w:t xml:space="preserve"> to determine </w:t>
      </w:r>
      <w:r w:rsidR="00A96060">
        <w:t xml:space="preserve">if DCT </w:t>
      </w:r>
      <w:r w:rsidR="00871529">
        <w:t xml:space="preserve">increases school attendance and to assess </w:t>
      </w:r>
      <w:r w:rsidR="003B0F9B">
        <w:t>the</w:t>
      </w:r>
      <w:r w:rsidR="00AD6688">
        <w:t xml:space="preserve"> impact </w:t>
      </w:r>
      <w:r w:rsidR="003B0F9B">
        <w:t>of</w:t>
      </w:r>
      <w:r w:rsidR="00871529">
        <w:t xml:space="preserve"> </w:t>
      </w:r>
      <w:r w:rsidR="00AD6688">
        <w:t>DCT</w:t>
      </w:r>
      <w:r w:rsidR="00871529">
        <w:t xml:space="preserve"> </w:t>
      </w:r>
      <w:r w:rsidR="00AD6688">
        <w:t>on</w:t>
      </w:r>
      <w:r w:rsidR="00871529">
        <w:t xml:space="preserve"> SARS-CoV-2 transmission</w:t>
      </w:r>
      <w:r w:rsidR="005E0AE9">
        <w:t xml:space="preserve"> within the school</w:t>
      </w:r>
      <w:r w:rsidR="00871529">
        <w:t>.</w:t>
      </w:r>
    </w:p>
    <w:p w14:paraId="10BDFC56" w14:textId="77777777" w:rsidR="006A7FE8" w:rsidRPr="00A53261" w:rsidRDefault="006A7FE8" w:rsidP="00EB1246">
      <w:pPr>
        <w:pStyle w:val="Heading1"/>
      </w:pPr>
      <w:r w:rsidRPr="00A53261">
        <w:t>Methods</w:t>
      </w:r>
    </w:p>
    <w:p w14:paraId="2B704435" w14:textId="77777777" w:rsidR="004F5BC4" w:rsidRPr="00A53261" w:rsidRDefault="00744B96" w:rsidP="00EB1246">
      <w:pPr>
        <w:pStyle w:val="Heading2"/>
      </w:pPr>
      <w:r w:rsidRPr="00A53261">
        <w:t xml:space="preserve">Study </w:t>
      </w:r>
      <w:r w:rsidR="004F5BC4" w:rsidRPr="00A53261">
        <w:t xml:space="preserve">design and </w:t>
      </w:r>
      <w:r w:rsidRPr="00A53261">
        <w:t>participants</w:t>
      </w:r>
    </w:p>
    <w:p w14:paraId="0CF57428" w14:textId="515CCD6B" w:rsidR="004F5BC4" w:rsidRPr="00477FE9" w:rsidRDefault="00BD47D5">
      <w:pPr>
        <w:rPr>
          <w:rFonts w:cstheme="minorHAnsi"/>
          <w:b/>
          <w:bCs/>
        </w:rPr>
      </w:pPr>
      <w:r w:rsidRPr="00A53261">
        <w:rPr>
          <w:rFonts w:cstheme="minorHAnsi"/>
        </w:rPr>
        <w:t>We conducted an open-label</w:t>
      </w:r>
      <w:r w:rsidR="004F5BC4" w:rsidRPr="00A53261">
        <w:rPr>
          <w:rFonts w:cstheme="minorHAnsi"/>
        </w:rPr>
        <w:t>, cluster</w:t>
      </w:r>
      <w:r w:rsidRPr="00A53261">
        <w:rPr>
          <w:rFonts w:cstheme="minorHAnsi"/>
        </w:rPr>
        <w:t>-</w:t>
      </w:r>
      <w:r w:rsidR="004F5BC4" w:rsidRPr="00A53261">
        <w:rPr>
          <w:rFonts w:cstheme="minorHAnsi"/>
        </w:rPr>
        <w:t xml:space="preserve">randomised controlled trial </w:t>
      </w:r>
      <w:r w:rsidRPr="00A53261">
        <w:rPr>
          <w:rFonts w:cstheme="minorHAnsi"/>
        </w:rPr>
        <w:t xml:space="preserve">to assess the effectiveness of offering daily testing </w:t>
      </w:r>
      <w:r w:rsidR="00DB4F1A">
        <w:rPr>
          <w:rFonts w:cstheme="minorHAnsi"/>
        </w:rPr>
        <w:t>to</w:t>
      </w:r>
      <w:r w:rsidRPr="00A53261">
        <w:rPr>
          <w:rFonts w:cstheme="minorHAnsi"/>
        </w:rPr>
        <w:t xml:space="preserve"> contacts </w:t>
      </w:r>
      <w:r w:rsidR="00300E97">
        <w:rPr>
          <w:rFonts w:cstheme="minorHAnsi"/>
        </w:rPr>
        <w:t>of</w:t>
      </w:r>
      <w:r w:rsidRPr="00A53261">
        <w:rPr>
          <w:rFonts w:cstheme="minorHAnsi"/>
        </w:rPr>
        <w:t xml:space="preserve"> </w:t>
      </w:r>
      <w:r w:rsidR="00300E97" w:rsidRPr="00A53261">
        <w:rPr>
          <w:rFonts w:cstheme="minorHAnsi"/>
        </w:rPr>
        <w:t>COVID-19</w:t>
      </w:r>
      <w:r w:rsidR="00300E97">
        <w:rPr>
          <w:rFonts w:cstheme="minorHAnsi"/>
        </w:rPr>
        <w:t xml:space="preserve"> </w:t>
      </w:r>
      <w:r w:rsidRPr="00A53261">
        <w:rPr>
          <w:rFonts w:cstheme="minorHAnsi"/>
        </w:rPr>
        <w:t xml:space="preserve">cases </w:t>
      </w:r>
      <w:r w:rsidR="003564ED">
        <w:rPr>
          <w:rFonts w:cstheme="minorHAnsi"/>
        </w:rPr>
        <w:t>(</w:t>
      </w:r>
      <w:r w:rsidR="003564ED" w:rsidRPr="005874CF">
        <w:rPr>
          <w:rFonts w:cstheme="minorHAnsi"/>
        </w:rPr>
        <w:t>ISRCTN18100261</w:t>
      </w:r>
      <w:r w:rsidR="003564ED">
        <w:rPr>
          <w:rFonts w:cstheme="minorHAnsi"/>
        </w:rPr>
        <w:t>)</w:t>
      </w:r>
      <w:r w:rsidR="006C5FE2" w:rsidRPr="00A53261">
        <w:rPr>
          <w:rFonts w:cstheme="minorHAnsi"/>
        </w:rPr>
        <w:t xml:space="preserve">. </w:t>
      </w:r>
      <w:r w:rsidR="008B3102" w:rsidRPr="00A53261">
        <w:rPr>
          <w:rFonts w:cstheme="minorHAnsi"/>
        </w:rPr>
        <w:t xml:space="preserve">The study took place in secondary schools and further education colleges in England. </w:t>
      </w:r>
      <w:r w:rsidR="00F21254">
        <w:rPr>
          <w:rFonts w:cstheme="minorHAnsi"/>
        </w:rPr>
        <w:t>Secondary schools were studied as students at these schools were already participating in asymptomatic screening with LFDs, and so the trial built upon existing infrastructure which was not present in primary schools (students ≤11 years).</w:t>
      </w:r>
      <w:r w:rsidR="00F22210">
        <w:rPr>
          <w:rFonts w:cstheme="minorHAnsi"/>
        </w:rPr>
        <w:t xml:space="preserve"> </w:t>
      </w:r>
      <w:r w:rsidR="008B3102" w:rsidRPr="00A53261">
        <w:rPr>
          <w:rFonts w:cstheme="minorHAnsi"/>
        </w:rPr>
        <w:t xml:space="preserve">Schools and </w:t>
      </w:r>
      <w:r w:rsidR="003E15E3">
        <w:rPr>
          <w:rFonts w:cstheme="minorHAnsi"/>
        </w:rPr>
        <w:t>c</w:t>
      </w:r>
      <w:r w:rsidR="008B3102" w:rsidRPr="00A53261">
        <w:rPr>
          <w:rFonts w:cstheme="minorHAnsi"/>
        </w:rPr>
        <w:t>olleges</w:t>
      </w:r>
      <w:r w:rsidR="001561B2">
        <w:rPr>
          <w:rFonts w:cstheme="minorHAnsi"/>
        </w:rPr>
        <w:t xml:space="preserve"> (</w:t>
      </w:r>
      <w:r w:rsidR="00AD2EDC">
        <w:rPr>
          <w:rFonts w:cstheme="minorHAnsi"/>
        </w:rPr>
        <w:t xml:space="preserve">hereafter </w:t>
      </w:r>
      <w:r w:rsidR="000C719F">
        <w:rPr>
          <w:rFonts w:cstheme="minorHAnsi"/>
        </w:rPr>
        <w:t xml:space="preserve">collectively referred to as </w:t>
      </w:r>
      <w:r w:rsidR="00AD2EDC">
        <w:rPr>
          <w:rFonts w:cstheme="minorHAnsi"/>
        </w:rPr>
        <w:t>schools</w:t>
      </w:r>
      <w:r w:rsidR="001561B2">
        <w:rPr>
          <w:rFonts w:cstheme="minorHAnsi"/>
        </w:rPr>
        <w:t>)</w:t>
      </w:r>
      <w:r w:rsidR="008B3102" w:rsidRPr="00A53261">
        <w:rPr>
          <w:rFonts w:cstheme="minorHAnsi"/>
        </w:rPr>
        <w:t xml:space="preserve"> </w:t>
      </w:r>
      <w:r w:rsidR="006C5FE2" w:rsidRPr="00A53261">
        <w:rPr>
          <w:rFonts w:cstheme="minorHAnsi"/>
        </w:rPr>
        <w:t xml:space="preserve">were eligible </w:t>
      </w:r>
      <w:r w:rsidR="005362E4" w:rsidRPr="00A53261">
        <w:rPr>
          <w:rFonts w:cstheme="minorHAnsi"/>
        </w:rPr>
        <w:t>to participate</w:t>
      </w:r>
      <w:r w:rsidR="00274AB2">
        <w:rPr>
          <w:rFonts w:cstheme="minorHAnsi"/>
        </w:rPr>
        <w:t xml:space="preserve"> </w:t>
      </w:r>
      <w:r w:rsidR="006C5FE2" w:rsidRPr="00A53261">
        <w:rPr>
          <w:rFonts w:cstheme="minorHAnsi"/>
        </w:rPr>
        <w:t xml:space="preserve">if willing to follow the trial procedures and able to operate assisted testing on site. </w:t>
      </w:r>
      <w:r w:rsidR="00DE5E64">
        <w:rPr>
          <w:rFonts w:cstheme="minorHAnsi"/>
        </w:rPr>
        <w:t>A</w:t>
      </w:r>
      <w:r w:rsidR="00207D12" w:rsidRPr="00A53261">
        <w:rPr>
          <w:rFonts w:cstheme="minorHAnsi"/>
        </w:rPr>
        <w:t xml:space="preserve"> representative of the institution </w:t>
      </w:r>
      <w:r w:rsidR="00DE5E64">
        <w:rPr>
          <w:rFonts w:cstheme="minorHAnsi"/>
        </w:rPr>
        <w:t xml:space="preserve">provided </w:t>
      </w:r>
      <w:r w:rsidR="005362E4" w:rsidRPr="00A53261">
        <w:rPr>
          <w:rFonts w:cstheme="minorHAnsi"/>
        </w:rPr>
        <w:t xml:space="preserve">consent </w:t>
      </w:r>
      <w:r w:rsidR="00207D12" w:rsidRPr="00A53261">
        <w:rPr>
          <w:rFonts w:cstheme="minorHAnsi"/>
        </w:rPr>
        <w:t>electronically</w:t>
      </w:r>
      <w:r w:rsidR="005362E4" w:rsidRPr="00A53261">
        <w:rPr>
          <w:rFonts w:cstheme="minorHAnsi"/>
        </w:rPr>
        <w:t>.</w:t>
      </w:r>
      <w:r w:rsidR="008B3102" w:rsidRPr="00A53261">
        <w:rPr>
          <w:rFonts w:cstheme="minorHAnsi"/>
        </w:rPr>
        <w:t xml:space="preserve"> </w:t>
      </w:r>
      <w:r w:rsidR="003C649C" w:rsidRPr="00A53261">
        <w:rPr>
          <w:rFonts w:cstheme="minorHAnsi"/>
        </w:rPr>
        <w:t>Participa</w:t>
      </w:r>
      <w:r w:rsidR="000C1CFF" w:rsidRPr="00A53261">
        <w:rPr>
          <w:rFonts w:cstheme="minorHAnsi"/>
        </w:rPr>
        <w:t>tion</w:t>
      </w:r>
      <w:r w:rsidR="003C649C" w:rsidRPr="00A53261">
        <w:rPr>
          <w:rFonts w:cstheme="minorHAnsi"/>
        </w:rPr>
        <w:t xml:space="preserve"> </w:t>
      </w:r>
      <w:r w:rsidR="0042530C">
        <w:rPr>
          <w:rFonts w:cstheme="minorHAnsi"/>
        </w:rPr>
        <w:t xml:space="preserve">by </w:t>
      </w:r>
      <w:r w:rsidR="00843B61" w:rsidRPr="00A53261">
        <w:rPr>
          <w:rFonts w:cstheme="minorHAnsi"/>
        </w:rPr>
        <w:t xml:space="preserve">individual </w:t>
      </w:r>
      <w:r w:rsidR="0042530C">
        <w:rPr>
          <w:rFonts w:cstheme="minorHAnsi"/>
        </w:rPr>
        <w:t xml:space="preserve">student and staff contacts </w:t>
      </w:r>
      <w:r w:rsidR="000C1CFF" w:rsidRPr="00A53261">
        <w:rPr>
          <w:rFonts w:cstheme="minorHAnsi"/>
        </w:rPr>
        <w:t xml:space="preserve">was voluntary </w:t>
      </w:r>
      <w:r w:rsidR="003C649C" w:rsidRPr="00A53261">
        <w:rPr>
          <w:rFonts w:cstheme="minorHAnsi"/>
        </w:rPr>
        <w:t xml:space="preserve">and </w:t>
      </w:r>
      <w:r w:rsidR="00033E6B">
        <w:rPr>
          <w:rFonts w:cstheme="minorHAnsi"/>
        </w:rPr>
        <w:t>followed</w:t>
      </w:r>
      <w:r w:rsidR="003C649C" w:rsidRPr="00A53261">
        <w:rPr>
          <w:rFonts w:cstheme="minorHAnsi"/>
        </w:rPr>
        <w:t xml:space="preserve"> written or electronic completion of a consent form</w:t>
      </w:r>
      <w:r w:rsidR="000C1CFF" w:rsidRPr="00A53261">
        <w:rPr>
          <w:rFonts w:cstheme="minorHAnsi"/>
        </w:rPr>
        <w:t xml:space="preserve">. </w:t>
      </w:r>
      <w:r w:rsidR="005E0AE9">
        <w:rPr>
          <w:rFonts w:cstheme="minorHAnsi"/>
        </w:rPr>
        <w:t>After randomisation, p</w:t>
      </w:r>
      <w:r w:rsidR="000C1CFF" w:rsidRPr="00A53261">
        <w:rPr>
          <w:rFonts w:cstheme="minorHAnsi"/>
        </w:rPr>
        <w:t xml:space="preserve">arents or guardians provided consent for participants </w:t>
      </w:r>
      <w:r w:rsidR="005E3CB7">
        <w:rPr>
          <w:rFonts w:cstheme="minorHAnsi"/>
        </w:rPr>
        <w:t>&lt;</w:t>
      </w:r>
      <w:r w:rsidR="000C1CFF" w:rsidRPr="00A53261">
        <w:rPr>
          <w:rFonts w:cstheme="minorHAnsi"/>
        </w:rPr>
        <w:t xml:space="preserve">16 </w:t>
      </w:r>
      <w:r w:rsidR="005E3CB7">
        <w:rPr>
          <w:rFonts w:cstheme="minorHAnsi"/>
        </w:rPr>
        <w:t>years old</w:t>
      </w:r>
      <w:r w:rsidR="000C1CFF" w:rsidRPr="00A53261">
        <w:rPr>
          <w:rFonts w:cstheme="minorHAnsi"/>
        </w:rPr>
        <w:t xml:space="preserve"> </w:t>
      </w:r>
      <w:r w:rsidR="00A242AD">
        <w:rPr>
          <w:rFonts w:cstheme="minorHAnsi"/>
        </w:rPr>
        <w:t xml:space="preserve">and for those </w:t>
      </w:r>
      <w:r w:rsidR="00E06151" w:rsidRPr="00A53261">
        <w:rPr>
          <w:rFonts w:cstheme="minorHAnsi"/>
        </w:rPr>
        <w:t>otherwise</w:t>
      </w:r>
      <w:r w:rsidR="000C1CFF" w:rsidRPr="00A53261">
        <w:rPr>
          <w:rFonts w:cstheme="minorHAnsi"/>
        </w:rPr>
        <w:t xml:space="preserve"> </w:t>
      </w:r>
      <w:r w:rsidR="00E06151" w:rsidRPr="00A53261">
        <w:rPr>
          <w:rFonts w:cstheme="minorHAnsi"/>
        </w:rPr>
        <w:t>un</w:t>
      </w:r>
      <w:r w:rsidR="000C1CFF" w:rsidRPr="00A53261">
        <w:rPr>
          <w:rFonts w:cstheme="minorHAnsi"/>
        </w:rPr>
        <w:t>able to give consent</w:t>
      </w:r>
      <w:r w:rsidR="003C649C" w:rsidRPr="00A53261">
        <w:rPr>
          <w:rFonts w:cstheme="minorHAnsi"/>
        </w:rPr>
        <w:t xml:space="preserve">. </w:t>
      </w:r>
      <w:r w:rsidR="004F5BC4" w:rsidRPr="00A53261">
        <w:rPr>
          <w:rFonts w:cstheme="minorHAnsi"/>
        </w:rPr>
        <w:t xml:space="preserve">The </w:t>
      </w:r>
      <w:r w:rsidR="006C5FE2" w:rsidRPr="00A53261">
        <w:rPr>
          <w:rFonts w:cstheme="minorHAnsi"/>
        </w:rPr>
        <w:t xml:space="preserve">study </w:t>
      </w:r>
      <w:r w:rsidR="004F5BC4" w:rsidRPr="00A53261">
        <w:rPr>
          <w:rFonts w:cstheme="minorHAnsi"/>
        </w:rPr>
        <w:t xml:space="preserve">protocol was </w:t>
      </w:r>
      <w:r w:rsidR="000D746A" w:rsidRPr="00A53261">
        <w:rPr>
          <w:rFonts w:cstheme="minorHAnsi"/>
        </w:rPr>
        <w:t>reviewed,</w:t>
      </w:r>
      <w:r w:rsidR="004F5BC4" w:rsidRPr="00A53261">
        <w:rPr>
          <w:rFonts w:cstheme="minorHAnsi"/>
        </w:rPr>
        <w:t xml:space="preserve"> </w:t>
      </w:r>
      <w:r w:rsidR="004E043B">
        <w:rPr>
          <w:rFonts w:cstheme="minorHAnsi"/>
        </w:rPr>
        <w:t>and ethical approv</w:t>
      </w:r>
      <w:r w:rsidR="00A24420">
        <w:rPr>
          <w:rFonts w:cstheme="minorHAnsi"/>
        </w:rPr>
        <w:t>al</w:t>
      </w:r>
      <w:r w:rsidR="004E043B">
        <w:rPr>
          <w:rFonts w:cstheme="minorHAnsi"/>
        </w:rPr>
        <w:t xml:space="preserve"> granted</w:t>
      </w:r>
      <w:r w:rsidR="000D746A">
        <w:rPr>
          <w:rFonts w:cstheme="minorHAnsi"/>
        </w:rPr>
        <w:t>,</w:t>
      </w:r>
      <w:r w:rsidR="004E043B">
        <w:rPr>
          <w:rFonts w:cstheme="minorHAnsi"/>
        </w:rPr>
        <w:t xml:space="preserve"> </w:t>
      </w:r>
      <w:r w:rsidR="004F5BC4" w:rsidRPr="00A53261">
        <w:rPr>
          <w:rFonts w:cstheme="minorHAnsi"/>
        </w:rPr>
        <w:t>by Public Health England’s Research Ethics and Governance Group (re</w:t>
      </w:r>
      <w:r w:rsidRPr="00A53261">
        <w:rPr>
          <w:rFonts w:cstheme="minorHAnsi"/>
        </w:rPr>
        <w:t>f R&amp;D 434</w:t>
      </w:r>
      <w:r w:rsidR="004F5BC4" w:rsidRPr="00A53261">
        <w:rPr>
          <w:rFonts w:cstheme="minorHAnsi"/>
        </w:rPr>
        <w:t xml:space="preserve">). </w:t>
      </w:r>
      <w:r w:rsidR="00744B96" w:rsidRPr="00A53261">
        <w:rPr>
          <w:rFonts w:cstheme="minorHAnsi"/>
        </w:rPr>
        <w:lastRenderedPageBreak/>
        <w:t xml:space="preserve">The study was done in accordance with the Declaration of Helsinki and national legislation. </w:t>
      </w:r>
      <w:r w:rsidR="00AE7779">
        <w:rPr>
          <w:rFonts w:cstheme="minorHAnsi"/>
        </w:rPr>
        <w:t xml:space="preserve">A nested qualitative process study of acceptability and feasibility for students, parents and staff </w:t>
      </w:r>
      <w:r w:rsidR="00CB1CBF">
        <w:rPr>
          <w:rFonts w:cstheme="minorHAnsi"/>
        </w:rPr>
        <w:t>is</w:t>
      </w:r>
      <w:r w:rsidR="00AE7779">
        <w:rPr>
          <w:rFonts w:cstheme="minorHAnsi"/>
        </w:rPr>
        <w:t xml:space="preserve"> reported separately.</w:t>
      </w:r>
      <w:r w:rsidR="00E67AF1">
        <w:rPr>
          <w:rFonts w:cstheme="minorHAnsi"/>
        </w:rPr>
        <w:t>[</w:t>
      </w:r>
      <w:r w:rsidR="0028054A">
        <w:rPr>
          <w:rFonts w:cstheme="minorHAnsi"/>
        </w:rPr>
        <w:fldChar w:fldCharType="begin"/>
      </w:r>
      <w:r w:rsidR="0028054A">
        <w:rPr>
          <w:rFonts w:cstheme="minorHAnsi"/>
        </w:rPr>
        <w:instrText xml:space="preserve"> REF _Ref78198906 \r \h </w:instrText>
      </w:r>
      <w:r w:rsidR="0028054A">
        <w:rPr>
          <w:rFonts w:cstheme="minorHAnsi"/>
        </w:rPr>
      </w:r>
      <w:r w:rsidR="0028054A">
        <w:rPr>
          <w:rFonts w:cstheme="minorHAnsi"/>
        </w:rPr>
        <w:fldChar w:fldCharType="separate"/>
      </w:r>
      <w:r w:rsidR="00D44A48">
        <w:rPr>
          <w:rFonts w:cstheme="minorHAnsi"/>
        </w:rPr>
        <w:t>20</w:t>
      </w:r>
      <w:r w:rsidR="0028054A">
        <w:rPr>
          <w:rFonts w:cstheme="minorHAnsi"/>
        </w:rPr>
        <w:fldChar w:fldCharType="end"/>
      </w:r>
      <w:r w:rsidR="00E67AF1">
        <w:rPr>
          <w:rFonts w:cstheme="minorHAnsi"/>
        </w:rPr>
        <w:t>]</w:t>
      </w:r>
      <w:r w:rsidR="004A2C9B">
        <w:rPr>
          <w:rFonts w:cstheme="minorHAnsi"/>
        </w:rPr>
        <w:t xml:space="preserve"> The study protocol and</w:t>
      </w:r>
      <w:r w:rsidR="00EC0238">
        <w:rPr>
          <w:rFonts w:cstheme="minorHAnsi"/>
        </w:rPr>
        <w:t xml:space="preserve"> analysis plan are provided as supplementary material.</w:t>
      </w:r>
    </w:p>
    <w:p w14:paraId="3F75E046" w14:textId="77777777" w:rsidR="004F5BC4" w:rsidRPr="00A53261" w:rsidRDefault="004F5BC4">
      <w:pPr>
        <w:rPr>
          <w:rFonts w:cstheme="minorHAnsi"/>
        </w:rPr>
      </w:pPr>
    </w:p>
    <w:p w14:paraId="2829AAAF" w14:textId="34E48006" w:rsidR="004F5BC4" w:rsidRPr="00A53261" w:rsidRDefault="004F5BC4" w:rsidP="00EB1246">
      <w:pPr>
        <w:pStyle w:val="Heading2"/>
      </w:pPr>
      <w:r w:rsidRPr="00A53261">
        <w:t>Randomisation</w:t>
      </w:r>
    </w:p>
    <w:p w14:paraId="1C6CC516" w14:textId="55114B39" w:rsidR="008C521C" w:rsidRDefault="006C5FE2">
      <w:pPr>
        <w:rPr>
          <w:rFonts w:cstheme="minorHAnsi"/>
        </w:rPr>
      </w:pPr>
      <w:r w:rsidRPr="00A53261">
        <w:rPr>
          <w:rFonts w:cstheme="minorHAnsi"/>
        </w:rPr>
        <w:t xml:space="preserve">Schools were randomly assigned 1:1 to either </w:t>
      </w:r>
      <w:r w:rsidR="00771980" w:rsidRPr="00A53261">
        <w:rPr>
          <w:rFonts w:cstheme="minorHAnsi"/>
        </w:rPr>
        <w:t xml:space="preserve">a policy of offering contacts daily testing over 7 days to allow </w:t>
      </w:r>
      <w:r w:rsidR="009144B0">
        <w:rPr>
          <w:rFonts w:cstheme="minorHAnsi"/>
        </w:rPr>
        <w:t xml:space="preserve">continued school </w:t>
      </w:r>
      <w:r w:rsidR="00771980" w:rsidRPr="00A53261">
        <w:rPr>
          <w:rFonts w:cstheme="minorHAnsi"/>
        </w:rPr>
        <w:t>attend</w:t>
      </w:r>
      <w:r w:rsidR="009144B0">
        <w:rPr>
          <w:rFonts w:cstheme="minorHAnsi"/>
        </w:rPr>
        <w:t>ance</w:t>
      </w:r>
      <w:r w:rsidR="00771980" w:rsidRPr="00A53261">
        <w:rPr>
          <w:rFonts w:cstheme="minorHAnsi"/>
        </w:rPr>
        <w:t xml:space="preserve"> (intervention </w:t>
      </w:r>
      <w:r w:rsidR="006D5AF6">
        <w:rPr>
          <w:rFonts w:cstheme="minorHAnsi"/>
        </w:rPr>
        <w:t>arm</w:t>
      </w:r>
      <w:r w:rsidR="00771980" w:rsidRPr="00A53261">
        <w:rPr>
          <w:rFonts w:cstheme="minorHAnsi"/>
        </w:rPr>
        <w:t>) or to follow usual policy of</w:t>
      </w:r>
      <w:r w:rsidRPr="00A53261">
        <w:rPr>
          <w:rFonts w:cstheme="minorHAnsi"/>
        </w:rPr>
        <w:t xml:space="preserve"> isolation of contacts for 10 days</w:t>
      </w:r>
      <w:r w:rsidR="00771980" w:rsidRPr="00A53261">
        <w:rPr>
          <w:rFonts w:cstheme="minorHAnsi"/>
        </w:rPr>
        <w:t xml:space="preserve"> (control </w:t>
      </w:r>
      <w:r w:rsidR="006D5AF6">
        <w:rPr>
          <w:rFonts w:cstheme="minorHAnsi"/>
        </w:rPr>
        <w:t>arm</w:t>
      </w:r>
      <w:r w:rsidR="00771980" w:rsidRPr="00A53261">
        <w:rPr>
          <w:rFonts w:cstheme="minorHAnsi"/>
        </w:rPr>
        <w:t>)</w:t>
      </w:r>
      <w:r w:rsidRPr="00A53261">
        <w:rPr>
          <w:rFonts w:cstheme="minorHAnsi"/>
        </w:rPr>
        <w:t>.</w:t>
      </w:r>
      <w:r w:rsidR="00771980" w:rsidRPr="00A53261">
        <w:rPr>
          <w:rFonts w:cstheme="minorHAnsi"/>
        </w:rPr>
        <w:t xml:space="preserve"> </w:t>
      </w:r>
      <w:r w:rsidR="007C6B16">
        <w:rPr>
          <w:rFonts w:cstheme="minorHAnsi"/>
        </w:rPr>
        <w:t xml:space="preserve">Stratification was used to ensure schools </w:t>
      </w:r>
      <w:r w:rsidR="00807861">
        <w:rPr>
          <w:rFonts w:cstheme="minorHAnsi"/>
        </w:rPr>
        <w:t>re</w:t>
      </w:r>
      <w:r w:rsidR="007C6B16">
        <w:rPr>
          <w:rFonts w:cstheme="minorHAnsi"/>
        </w:rPr>
        <w:t xml:space="preserve">presentative of those in England </w:t>
      </w:r>
      <w:r w:rsidR="00807861">
        <w:rPr>
          <w:rFonts w:cstheme="minorHAnsi"/>
        </w:rPr>
        <w:t xml:space="preserve">were balanced between </w:t>
      </w:r>
      <w:r w:rsidR="00952362">
        <w:rPr>
          <w:rFonts w:cstheme="minorHAnsi"/>
        </w:rPr>
        <w:t>study arms</w:t>
      </w:r>
      <w:r w:rsidR="007C6B16">
        <w:rPr>
          <w:rFonts w:cstheme="minorHAnsi"/>
        </w:rPr>
        <w:t xml:space="preserve"> (Table 1, details in supplement).</w:t>
      </w:r>
    </w:p>
    <w:p w14:paraId="3BA38022" w14:textId="77777777" w:rsidR="002837B1" w:rsidRPr="00A53261" w:rsidRDefault="002837B1">
      <w:pPr>
        <w:rPr>
          <w:rFonts w:cstheme="minorHAnsi"/>
        </w:rPr>
      </w:pPr>
    </w:p>
    <w:p w14:paraId="55F615E2" w14:textId="77777777" w:rsidR="00744B96" w:rsidRPr="00A53261" w:rsidRDefault="00744B96" w:rsidP="00EB1246">
      <w:pPr>
        <w:pStyle w:val="Heading2"/>
      </w:pPr>
      <w:r w:rsidRPr="00A53261">
        <w:t>Procedures</w:t>
      </w:r>
    </w:p>
    <w:p w14:paraId="5CB25B0A" w14:textId="43086245" w:rsidR="004F5BC4" w:rsidRPr="00A53261" w:rsidRDefault="0063450D">
      <w:pPr>
        <w:rPr>
          <w:rFonts w:cstheme="minorHAnsi"/>
        </w:rPr>
      </w:pPr>
      <w:r>
        <w:rPr>
          <w:rFonts w:cstheme="minorHAnsi"/>
        </w:rPr>
        <w:t>A</w:t>
      </w:r>
      <w:r w:rsidR="00EE5CE6">
        <w:rPr>
          <w:rFonts w:cstheme="minorHAnsi"/>
        </w:rPr>
        <w:t xml:space="preserve">ll </w:t>
      </w:r>
      <w:r w:rsidR="00694EB8">
        <w:rPr>
          <w:rFonts w:cstheme="minorHAnsi"/>
        </w:rPr>
        <w:t xml:space="preserve">control and intervention arm </w:t>
      </w:r>
      <w:r w:rsidR="006E1744">
        <w:rPr>
          <w:rFonts w:cstheme="minorHAnsi"/>
        </w:rPr>
        <w:t>s</w:t>
      </w:r>
      <w:r w:rsidR="003E27F8" w:rsidRPr="00A53261">
        <w:rPr>
          <w:rFonts w:cstheme="minorHAnsi"/>
        </w:rPr>
        <w:t xml:space="preserve">chools </w:t>
      </w:r>
      <w:r>
        <w:rPr>
          <w:rFonts w:cstheme="minorHAnsi"/>
        </w:rPr>
        <w:t xml:space="preserve">followed </w:t>
      </w:r>
      <w:r w:rsidR="00EE5CE6">
        <w:rPr>
          <w:rFonts w:cstheme="minorHAnsi"/>
        </w:rPr>
        <w:t xml:space="preserve">the national policy of </w:t>
      </w:r>
      <w:r w:rsidR="003E27F8" w:rsidRPr="00A53261">
        <w:rPr>
          <w:rFonts w:cstheme="minorHAnsi"/>
        </w:rPr>
        <w:t>offer</w:t>
      </w:r>
      <w:r w:rsidR="00EE5CE6">
        <w:rPr>
          <w:rFonts w:cstheme="minorHAnsi"/>
        </w:rPr>
        <w:t>ing</w:t>
      </w:r>
      <w:r w:rsidR="003E27F8" w:rsidRPr="00A53261">
        <w:rPr>
          <w:rFonts w:cstheme="minorHAnsi"/>
        </w:rPr>
        <w:t xml:space="preserve"> twice weekly asymptomatic testing with </w:t>
      </w:r>
      <w:r w:rsidR="00E32090">
        <w:rPr>
          <w:rFonts w:cstheme="minorHAnsi"/>
        </w:rPr>
        <w:t>LFDs</w:t>
      </w:r>
      <w:r w:rsidR="006E1744">
        <w:rPr>
          <w:rFonts w:cstheme="minorHAnsi"/>
        </w:rPr>
        <w:t xml:space="preserve">. </w:t>
      </w:r>
      <w:r w:rsidR="006367B9">
        <w:rPr>
          <w:rFonts w:cstheme="minorHAnsi"/>
        </w:rPr>
        <w:t>Individuals with p</w:t>
      </w:r>
      <w:r w:rsidR="003C649C" w:rsidRPr="00A53261">
        <w:rPr>
          <w:rFonts w:cstheme="minorHAnsi"/>
        </w:rPr>
        <w:t xml:space="preserve">ositive LFD results were </w:t>
      </w:r>
      <w:r w:rsidR="00983D50" w:rsidRPr="00A53261">
        <w:rPr>
          <w:rFonts w:cstheme="minorHAnsi"/>
        </w:rPr>
        <w:t xml:space="preserve">required to self-isolate </w:t>
      </w:r>
      <w:r w:rsidR="00983D50">
        <w:rPr>
          <w:rFonts w:cstheme="minorHAnsi"/>
        </w:rPr>
        <w:t xml:space="preserve">immediately and </w:t>
      </w:r>
      <w:r w:rsidR="003C649C" w:rsidRPr="00A53261">
        <w:rPr>
          <w:rFonts w:cstheme="minorHAnsi"/>
        </w:rPr>
        <w:t>requested to obtain a confirmatory</w:t>
      </w:r>
      <w:r w:rsidR="006367B9">
        <w:rPr>
          <w:rFonts w:cstheme="minorHAnsi"/>
        </w:rPr>
        <w:t xml:space="preserve"> PCR</w:t>
      </w:r>
      <w:r w:rsidR="003C649C" w:rsidRPr="00A53261">
        <w:rPr>
          <w:rFonts w:cstheme="minorHAnsi"/>
        </w:rPr>
        <w:t xml:space="preserve"> test within </w:t>
      </w:r>
      <w:r w:rsidR="00C750C9">
        <w:rPr>
          <w:rFonts w:cstheme="minorHAnsi"/>
        </w:rPr>
        <w:t>2</w:t>
      </w:r>
      <w:r w:rsidR="003C649C" w:rsidRPr="00A53261">
        <w:rPr>
          <w:rFonts w:cstheme="minorHAnsi"/>
        </w:rPr>
        <w:t xml:space="preserve"> days</w:t>
      </w:r>
      <w:r w:rsidR="00983D50">
        <w:rPr>
          <w:rFonts w:cstheme="minorHAnsi"/>
        </w:rPr>
        <w:t>.</w:t>
      </w:r>
      <w:r w:rsidR="00221EC8">
        <w:rPr>
          <w:rFonts w:cstheme="minorHAnsi"/>
        </w:rPr>
        <w:t>[</w:t>
      </w:r>
      <w:r w:rsidR="00221EC8">
        <w:rPr>
          <w:rFonts w:cstheme="minorHAnsi"/>
        </w:rPr>
        <w:fldChar w:fldCharType="begin"/>
      </w:r>
      <w:r w:rsidR="00221EC8">
        <w:rPr>
          <w:rFonts w:cstheme="minorHAnsi"/>
        </w:rPr>
        <w:instrText xml:space="preserve"> REF _Ref77775308 \r \h </w:instrText>
      </w:r>
      <w:r w:rsidR="00221EC8">
        <w:rPr>
          <w:rFonts w:cstheme="minorHAnsi"/>
        </w:rPr>
      </w:r>
      <w:r w:rsidR="00221EC8">
        <w:rPr>
          <w:rFonts w:cstheme="minorHAnsi"/>
        </w:rPr>
        <w:fldChar w:fldCharType="separate"/>
      </w:r>
      <w:r w:rsidR="00D44A48">
        <w:rPr>
          <w:rFonts w:cstheme="minorHAnsi"/>
        </w:rPr>
        <w:t>21</w:t>
      </w:r>
      <w:r w:rsidR="00221EC8">
        <w:rPr>
          <w:rFonts w:cstheme="minorHAnsi"/>
        </w:rPr>
        <w:fldChar w:fldCharType="end"/>
      </w:r>
      <w:r w:rsidR="00221EC8">
        <w:rPr>
          <w:rFonts w:cstheme="minorHAnsi"/>
        </w:rPr>
        <w:t>]</w:t>
      </w:r>
      <w:r w:rsidR="00F20C8C">
        <w:rPr>
          <w:rFonts w:cstheme="minorHAnsi"/>
        </w:rPr>
        <w:t xml:space="preserve"> </w:t>
      </w:r>
      <w:r w:rsidR="00983D50">
        <w:rPr>
          <w:rFonts w:cstheme="minorHAnsi"/>
        </w:rPr>
        <w:t>Those</w:t>
      </w:r>
      <w:r w:rsidR="00F20C8C">
        <w:rPr>
          <w:rFonts w:cstheme="minorHAnsi"/>
        </w:rPr>
        <w:t xml:space="preserve"> </w:t>
      </w:r>
      <w:r w:rsidR="003E27F8" w:rsidRPr="00A53261">
        <w:rPr>
          <w:rFonts w:cstheme="minorHAnsi"/>
        </w:rPr>
        <w:t xml:space="preserve">with indicator symptoms of possible COVID-19 (new cough, fever, loss or change in taste or smell) </w:t>
      </w:r>
      <w:r w:rsidR="001C2DB2">
        <w:rPr>
          <w:rFonts w:cstheme="minorHAnsi"/>
        </w:rPr>
        <w:t>were</w:t>
      </w:r>
      <w:r w:rsidR="003E27F8" w:rsidRPr="00A53261">
        <w:rPr>
          <w:rFonts w:cstheme="minorHAnsi"/>
        </w:rPr>
        <w:t xml:space="preserve"> required to self-isolate </w:t>
      </w:r>
      <w:r w:rsidR="003C649C" w:rsidRPr="00A53261">
        <w:rPr>
          <w:rFonts w:cstheme="minorHAnsi"/>
        </w:rPr>
        <w:t xml:space="preserve">along with their household and </w:t>
      </w:r>
      <w:r w:rsidR="008E6D69">
        <w:rPr>
          <w:rFonts w:cstheme="minorHAnsi"/>
        </w:rPr>
        <w:t>obtain</w:t>
      </w:r>
      <w:r w:rsidR="003C649C" w:rsidRPr="00A53261">
        <w:rPr>
          <w:rFonts w:cstheme="minorHAnsi"/>
        </w:rPr>
        <w:t xml:space="preserve"> an urgent PCR test. </w:t>
      </w:r>
    </w:p>
    <w:p w14:paraId="32280B92" w14:textId="14C6B05F" w:rsidR="003E27F8" w:rsidRPr="00A53261" w:rsidRDefault="003E27F8">
      <w:pPr>
        <w:rPr>
          <w:rFonts w:cstheme="minorHAnsi"/>
        </w:rPr>
      </w:pPr>
    </w:p>
    <w:p w14:paraId="2568F891" w14:textId="14E7D1E0" w:rsidR="003C649C" w:rsidRDefault="00931DF9">
      <w:pPr>
        <w:rPr>
          <w:rFonts w:cstheme="minorHAnsi"/>
        </w:rPr>
      </w:pPr>
      <w:r>
        <w:rPr>
          <w:rFonts w:cstheme="minorHAnsi"/>
        </w:rPr>
        <w:t>If</w:t>
      </w:r>
      <w:r w:rsidR="005E74FF">
        <w:rPr>
          <w:rFonts w:cstheme="minorHAnsi"/>
        </w:rPr>
        <w:t xml:space="preserve"> </w:t>
      </w:r>
      <w:r w:rsidR="003C649C" w:rsidRPr="00A53261">
        <w:rPr>
          <w:rFonts w:cstheme="minorHAnsi"/>
        </w:rPr>
        <w:t xml:space="preserve">a student or staff member </w:t>
      </w:r>
      <w:r w:rsidR="008C4C19">
        <w:rPr>
          <w:rFonts w:cstheme="minorHAnsi"/>
        </w:rPr>
        <w:t>tested</w:t>
      </w:r>
      <w:r w:rsidR="003C649C" w:rsidRPr="00A53261">
        <w:rPr>
          <w:rFonts w:cstheme="minorHAnsi"/>
        </w:rPr>
        <w:t xml:space="preserve"> positive </w:t>
      </w:r>
      <w:r w:rsidR="008C4C19">
        <w:rPr>
          <w:rFonts w:cstheme="minorHAnsi"/>
        </w:rPr>
        <w:t>by</w:t>
      </w:r>
      <w:r w:rsidR="003C649C" w:rsidRPr="00A53261">
        <w:rPr>
          <w:rFonts w:cstheme="minorHAnsi"/>
        </w:rPr>
        <w:t xml:space="preserve"> </w:t>
      </w:r>
      <w:r w:rsidR="00F0730D">
        <w:rPr>
          <w:rFonts w:cstheme="minorHAnsi"/>
        </w:rPr>
        <w:t>LFD or PCR</w:t>
      </w:r>
      <w:r w:rsidR="003C649C" w:rsidRPr="00A53261">
        <w:rPr>
          <w:rFonts w:cstheme="minorHAnsi"/>
        </w:rPr>
        <w:t xml:space="preserve">, close contacts </w:t>
      </w:r>
      <w:r w:rsidR="00B54A1D">
        <w:rPr>
          <w:rFonts w:cstheme="minorHAnsi"/>
        </w:rPr>
        <w:t>(“contacts”)</w:t>
      </w:r>
      <w:r w:rsidR="002D4F6B" w:rsidRPr="00A53261">
        <w:rPr>
          <w:rFonts w:cstheme="minorHAnsi"/>
        </w:rPr>
        <w:t xml:space="preserve"> </w:t>
      </w:r>
      <w:r w:rsidR="003C649C" w:rsidRPr="00A53261">
        <w:rPr>
          <w:rFonts w:cstheme="minorHAnsi"/>
        </w:rPr>
        <w:t>were identified</w:t>
      </w:r>
      <w:r w:rsidR="00085084" w:rsidRPr="00A53261">
        <w:rPr>
          <w:rFonts w:cstheme="minorHAnsi"/>
        </w:rPr>
        <w:t xml:space="preserve"> by schools</w:t>
      </w:r>
      <w:r w:rsidR="00B54A1D">
        <w:rPr>
          <w:rFonts w:cstheme="minorHAnsi"/>
        </w:rPr>
        <w:t xml:space="preserve"> using</w:t>
      </w:r>
      <w:r w:rsidR="007D76A5">
        <w:rPr>
          <w:rFonts w:cstheme="minorHAnsi"/>
        </w:rPr>
        <w:t xml:space="preserve"> national guidelines</w:t>
      </w:r>
      <w:r w:rsidR="009C51CB">
        <w:rPr>
          <w:rFonts w:cstheme="minorHAnsi"/>
        </w:rPr>
        <w:t xml:space="preserve"> </w:t>
      </w:r>
      <w:r w:rsidR="00B54A1D">
        <w:rPr>
          <w:rFonts w:cstheme="minorHAnsi"/>
        </w:rPr>
        <w:t>(see supplement</w:t>
      </w:r>
      <w:r w:rsidR="005470A0">
        <w:rPr>
          <w:rFonts w:cstheme="minorHAnsi"/>
        </w:rPr>
        <w:t xml:space="preserve">). </w:t>
      </w:r>
      <w:r w:rsidR="002555E4">
        <w:rPr>
          <w:rFonts w:cstheme="minorHAnsi"/>
        </w:rPr>
        <w:t xml:space="preserve">Those </w:t>
      </w:r>
      <w:r w:rsidR="008C4C19">
        <w:rPr>
          <w:rFonts w:cstheme="minorHAnsi"/>
        </w:rPr>
        <w:t>in</w:t>
      </w:r>
      <w:r w:rsidR="003C649C" w:rsidRPr="00A53261">
        <w:rPr>
          <w:rFonts w:cstheme="minorHAnsi"/>
        </w:rPr>
        <w:t xml:space="preserve"> close contact </w:t>
      </w:r>
      <w:r w:rsidR="00085084" w:rsidRPr="00A53261">
        <w:rPr>
          <w:rFonts w:cstheme="minorHAnsi"/>
        </w:rPr>
        <w:t xml:space="preserve">with a case </w:t>
      </w:r>
      <w:r w:rsidR="008C4C19">
        <w:rPr>
          <w:rFonts w:cstheme="minorHAnsi"/>
        </w:rPr>
        <w:t>&lt;48h</w:t>
      </w:r>
      <w:r w:rsidR="003C649C" w:rsidRPr="00A53261">
        <w:rPr>
          <w:rFonts w:cstheme="minorHAnsi"/>
        </w:rPr>
        <w:t xml:space="preserve"> prior to symptom onset (or </w:t>
      </w:r>
      <w:r w:rsidR="0050114C">
        <w:rPr>
          <w:rFonts w:cstheme="minorHAnsi"/>
        </w:rPr>
        <w:t>a</w:t>
      </w:r>
      <w:r w:rsidR="00085084" w:rsidRPr="00A53261">
        <w:rPr>
          <w:rFonts w:cstheme="minorHAnsi"/>
        </w:rPr>
        <w:t xml:space="preserve"> </w:t>
      </w:r>
      <w:r w:rsidR="003C649C" w:rsidRPr="00A53261">
        <w:rPr>
          <w:rFonts w:cstheme="minorHAnsi"/>
        </w:rPr>
        <w:t>positive test i</w:t>
      </w:r>
      <w:r w:rsidR="00085084" w:rsidRPr="00A53261">
        <w:rPr>
          <w:rFonts w:cstheme="minorHAnsi"/>
        </w:rPr>
        <w:t>f</w:t>
      </w:r>
      <w:r w:rsidR="003C649C" w:rsidRPr="00A53261">
        <w:rPr>
          <w:rFonts w:cstheme="minorHAnsi"/>
        </w:rPr>
        <w:t xml:space="preserve"> asymptomatic) w</w:t>
      </w:r>
      <w:r w:rsidR="00221EC8">
        <w:rPr>
          <w:rFonts w:cstheme="minorHAnsi"/>
        </w:rPr>
        <w:t>ere</w:t>
      </w:r>
      <w:r w:rsidR="003C649C" w:rsidRPr="00A53261">
        <w:rPr>
          <w:rFonts w:cstheme="minorHAnsi"/>
        </w:rPr>
        <w:t xml:space="preserve"> required to self-isolate for 10 days.</w:t>
      </w:r>
      <w:r w:rsidR="00844B1C">
        <w:rPr>
          <w:rFonts w:cstheme="minorHAnsi"/>
        </w:rPr>
        <w:t>[</w:t>
      </w:r>
      <w:r w:rsidR="00844B1C">
        <w:rPr>
          <w:rFonts w:cstheme="minorHAnsi"/>
        </w:rPr>
        <w:fldChar w:fldCharType="begin"/>
      </w:r>
      <w:r w:rsidR="00844B1C">
        <w:rPr>
          <w:rFonts w:cstheme="minorHAnsi"/>
        </w:rPr>
        <w:instrText xml:space="preserve"> REF _Ref77775552 \r \h </w:instrText>
      </w:r>
      <w:r w:rsidR="00844B1C">
        <w:rPr>
          <w:rFonts w:cstheme="minorHAnsi"/>
        </w:rPr>
      </w:r>
      <w:r w:rsidR="00844B1C">
        <w:rPr>
          <w:rFonts w:cstheme="minorHAnsi"/>
        </w:rPr>
        <w:fldChar w:fldCharType="separate"/>
      </w:r>
      <w:r w:rsidR="00D44A48">
        <w:rPr>
          <w:rFonts w:cstheme="minorHAnsi"/>
        </w:rPr>
        <w:t>22</w:t>
      </w:r>
      <w:r w:rsidR="00844B1C">
        <w:rPr>
          <w:rFonts w:cstheme="minorHAnsi"/>
        </w:rPr>
        <w:fldChar w:fldCharType="end"/>
      </w:r>
      <w:r w:rsidR="00844B1C">
        <w:rPr>
          <w:rFonts w:cstheme="minorHAnsi"/>
        </w:rPr>
        <w:t>]</w:t>
      </w:r>
      <w:r w:rsidR="003C649C" w:rsidRPr="00A53261">
        <w:rPr>
          <w:rFonts w:cstheme="minorHAnsi"/>
        </w:rPr>
        <w:t xml:space="preserve"> </w:t>
      </w:r>
    </w:p>
    <w:p w14:paraId="02679694" w14:textId="5B085E31" w:rsidR="00716F87" w:rsidRDefault="00716F87">
      <w:pPr>
        <w:rPr>
          <w:rFonts w:cstheme="minorHAnsi"/>
        </w:rPr>
      </w:pPr>
    </w:p>
    <w:p w14:paraId="1CCC7506" w14:textId="6D804FE2" w:rsidR="003C649C" w:rsidRPr="00A53261" w:rsidRDefault="00476FF8">
      <w:pPr>
        <w:rPr>
          <w:rFonts w:cstheme="minorHAnsi"/>
        </w:rPr>
      </w:pPr>
      <w:r>
        <w:rPr>
          <w:rFonts w:cstheme="minorHAnsi"/>
        </w:rPr>
        <w:t>At</w:t>
      </w:r>
      <w:r w:rsidR="00E06151" w:rsidRPr="00A53261">
        <w:rPr>
          <w:rFonts w:cstheme="minorHAnsi"/>
        </w:rPr>
        <w:t xml:space="preserve"> </w:t>
      </w:r>
      <w:r w:rsidR="0063603A" w:rsidRPr="00A53261">
        <w:rPr>
          <w:rFonts w:cstheme="minorHAnsi"/>
        </w:rPr>
        <w:t xml:space="preserve">intervention </w:t>
      </w:r>
      <w:r w:rsidR="0063603A">
        <w:rPr>
          <w:rFonts w:cstheme="minorHAnsi"/>
        </w:rPr>
        <w:t>arm</w:t>
      </w:r>
      <w:r w:rsidR="0063603A" w:rsidRPr="00A53261">
        <w:rPr>
          <w:rFonts w:cstheme="minorHAnsi"/>
        </w:rPr>
        <w:t xml:space="preserve"> </w:t>
      </w:r>
      <w:r w:rsidR="00E06151" w:rsidRPr="00A53261">
        <w:rPr>
          <w:rFonts w:cstheme="minorHAnsi"/>
        </w:rPr>
        <w:t>schools, contacts were offered DCT as an alternative to self-isolation</w:t>
      </w:r>
      <w:r w:rsidR="003A7707">
        <w:rPr>
          <w:rFonts w:cstheme="minorHAnsi"/>
        </w:rPr>
        <w:t>, provided</w:t>
      </w:r>
      <w:r w:rsidR="00E06151" w:rsidRPr="00A53261">
        <w:rPr>
          <w:rFonts w:cstheme="minorHAnsi"/>
        </w:rPr>
        <w:t xml:space="preserve"> the contact was school</w:t>
      </w:r>
      <w:r w:rsidR="00EC084A">
        <w:rPr>
          <w:rFonts w:cstheme="minorHAnsi"/>
        </w:rPr>
        <w:t>-based</w:t>
      </w:r>
      <w:r w:rsidR="00E06151" w:rsidRPr="00A53261">
        <w:rPr>
          <w:rFonts w:cstheme="minorHAnsi"/>
        </w:rPr>
        <w:t xml:space="preserve"> (</w:t>
      </w:r>
      <w:r w:rsidR="00006843" w:rsidRPr="00A53261">
        <w:rPr>
          <w:rFonts w:cstheme="minorHAnsi"/>
        </w:rPr>
        <w:t>i.e.</w:t>
      </w:r>
      <w:r w:rsidR="00E06151" w:rsidRPr="00A53261">
        <w:rPr>
          <w:rFonts w:cstheme="minorHAnsi"/>
        </w:rPr>
        <w:t xml:space="preserve"> </w:t>
      </w:r>
      <w:r w:rsidR="005A056A">
        <w:rPr>
          <w:rFonts w:cstheme="minorHAnsi"/>
        </w:rPr>
        <w:t xml:space="preserve">with </w:t>
      </w:r>
      <w:r w:rsidR="00E06151" w:rsidRPr="00A53261">
        <w:rPr>
          <w:rFonts w:cstheme="minorHAnsi"/>
        </w:rPr>
        <w:t xml:space="preserve">a staff member or student), </w:t>
      </w:r>
      <w:r w:rsidR="00EC084A">
        <w:rPr>
          <w:rFonts w:cstheme="minorHAnsi"/>
        </w:rPr>
        <w:t>the contact</w:t>
      </w:r>
      <w:r w:rsidR="00E06151" w:rsidRPr="00A53261">
        <w:rPr>
          <w:rFonts w:cstheme="minorHAnsi"/>
        </w:rPr>
        <w:t xml:space="preserve"> did not have indicator symptoms of COVID-19</w:t>
      </w:r>
      <w:r w:rsidR="0063603A">
        <w:rPr>
          <w:rFonts w:cstheme="minorHAnsi"/>
        </w:rPr>
        <w:t>,</w:t>
      </w:r>
      <w:r w:rsidR="00440F0A">
        <w:rPr>
          <w:rFonts w:cstheme="minorHAnsi"/>
        </w:rPr>
        <w:t xml:space="preserve"> and</w:t>
      </w:r>
      <w:r w:rsidR="00E06151" w:rsidRPr="00A53261">
        <w:rPr>
          <w:rFonts w:cstheme="minorHAnsi"/>
        </w:rPr>
        <w:t xml:space="preserve"> </w:t>
      </w:r>
      <w:r w:rsidR="005A056A">
        <w:rPr>
          <w:rFonts w:cstheme="minorHAnsi"/>
        </w:rPr>
        <w:t>contacts</w:t>
      </w:r>
      <w:r w:rsidR="00E06151" w:rsidRPr="00A53261">
        <w:rPr>
          <w:rFonts w:cstheme="minorHAnsi"/>
        </w:rPr>
        <w:t xml:space="preserve"> were able to attend for </w:t>
      </w:r>
      <w:r w:rsidR="00440F0A">
        <w:rPr>
          <w:rFonts w:cstheme="minorHAnsi"/>
        </w:rPr>
        <w:t xml:space="preserve">on-site </w:t>
      </w:r>
      <w:r w:rsidR="00E06151" w:rsidRPr="00A53261">
        <w:rPr>
          <w:rFonts w:cstheme="minorHAnsi"/>
        </w:rPr>
        <w:t xml:space="preserve">testing </w:t>
      </w:r>
      <w:r w:rsidR="00440F0A">
        <w:rPr>
          <w:rFonts w:cstheme="minorHAnsi"/>
        </w:rPr>
        <w:t>at school</w:t>
      </w:r>
      <w:r w:rsidR="00E06151" w:rsidRPr="00A53261">
        <w:rPr>
          <w:rFonts w:cstheme="minorHAnsi"/>
        </w:rPr>
        <w:t xml:space="preserve">. Contacts were </w:t>
      </w:r>
      <w:r w:rsidR="008C4C19">
        <w:rPr>
          <w:rFonts w:cstheme="minorHAnsi"/>
        </w:rPr>
        <w:t>excluded from</w:t>
      </w:r>
      <w:r w:rsidR="00E06151" w:rsidRPr="00A53261">
        <w:rPr>
          <w:rFonts w:cstheme="minorHAnsi"/>
        </w:rPr>
        <w:t xml:space="preserve"> DCT if they had a household member who was isolating </w:t>
      </w:r>
      <w:r w:rsidR="00A906A4">
        <w:rPr>
          <w:rFonts w:cstheme="minorHAnsi"/>
        </w:rPr>
        <w:t>following a positive</w:t>
      </w:r>
      <w:r w:rsidR="00E06151" w:rsidRPr="00A53261">
        <w:rPr>
          <w:rFonts w:cstheme="minorHAnsi"/>
        </w:rPr>
        <w:t xml:space="preserve"> COVID-19</w:t>
      </w:r>
      <w:r w:rsidR="00A906A4">
        <w:rPr>
          <w:rFonts w:cstheme="minorHAnsi"/>
        </w:rPr>
        <w:t xml:space="preserve"> test</w:t>
      </w:r>
      <w:r w:rsidR="00E06151" w:rsidRPr="00A53261">
        <w:rPr>
          <w:rFonts w:cstheme="minorHAnsi"/>
        </w:rPr>
        <w:t xml:space="preserve">. </w:t>
      </w:r>
      <w:r w:rsidR="00085084" w:rsidRPr="00A53261">
        <w:rPr>
          <w:rFonts w:cstheme="minorHAnsi"/>
        </w:rPr>
        <w:t>Contacts who did not consent to DCT were required to self-isolate for 10 days</w:t>
      </w:r>
      <w:r w:rsidR="00323064">
        <w:rPr>
          <w:rFonts w:cstheme="minorHAnsi"/>
        </w:rPr>
        <w:t>.</w:t>
      </w:r>
      <w:r w:rsidR="002D6A01">
        <w:rPr>
          <w:rFonts w:cstheme="minorHAnsi"/>
        </w:rPr>
        <w:t>[</w:t>
      </w:r>
      <w:r w:rsidR="002D6A01">
        <w:rPr>
          <w:rFonts w:cstheme="minorHAnsi"/>
        </w:rPr>
        <w:fldChar w:fldCharType="begin"/>
      </w:r>
      <w:r w:rsidR="002D6A01">
        <w:rPr>
          <w:rFonts w:cstheme="minorHAnsi"/>
        </w:rPr>
        <w:instrText xml:space="preserve"> REF _Ref77775552 \r \h </w:instrText>
      </w:r>
      <w:r w:rsidR="002D6A01">
        <w:rPr>
          <w:rFonts w:cstheme="minorHAnsi"/>
        </w:rPr>
      </w:r>
      <w:r w:rsidR="002D6A01">
        <w:rPr>
          <w:rFonts w:cstheme="minorHAnsi"/>
        </w:rPr>
        <w:fldChar w:fldCharType="separate"/>
      </w:r>
      <w:r w:rsidR="00D44A48">
        <w:rPr>
          <w:rFonts w:cstheme="minorHAnsi"/>
        </w:rPr>
        <w:t>22</w:t>
      </w:r>
      <w:r w:rsidR="002D6A01">
        <w:rPr>
          <w:rFonts w:cstheme="minorHAnsi"/>
        </w:rPr>
        <w:fldChar w:fldCharType="end"/>
      </w:r>
      <w:r w:rsidR="002D6A01">
        <w:rPr>
          <w:rFonts w:cstheme="minorHAnsi"/>
        </w:rPr>
        <w:t>]</w:t>
      </w:r>
    </w:p>
    <w:p w14:paraId="003A9B9A" w14:textId="49154E48" w:rsidR="00FE0B8B" w:rsidRPr="00A53261" w:rsidRDefault="00FE0B8B">
      <w:pPr>
        <w:rPr>
          <w:rFonts w:cstheme="minorHAnsi"/>
        </w:rPr>
      </w:pPr>
    </w:p>
    <w:p w14:paraId="51690622" w14:textId="6F5FFC4E" w:rsidR="00FE0B8B" w:rsidRPr="00A53261" w:rsidRDefault="00E016A8">
      <w:pPr>
        <w:rPr>
          <w:rFonts w:cstheme="minorHAnsi"/>
        </w:rPr>
      </w:pPr>
      <w:r>
        <w:rPr>
          <w:rFonts w:cstheme="minorHAnsi"/>
        </w:rPr>
        <w:t>Participants</w:t>
      </w:r>
      <w:r w:rsidR="00FE0B8B" w:rsidRPr="00A53261">
        <w:rPr>
          <w:rFonts w:cstheme="minorHAnsi"/>
        </w:rPr>
        <w:t xml:space="preserve"> who agreed to DCT </w:t>
      </w:r>
      <w:r w:rsidR="007426DE">
        <w:rPr>
          <w:rFonts w:cstheme="minorHAnsi"/>
        </w:rPr>
        <w:t>swabbed their own</w:t>
      </w:r>
      <w:r w:rsidR="00FE0B8B" w:rsidRPr="00A53261">
        <w:rPr>
          <w:rFonts w:cstheme="minorHAnsi"/>
        </w:rPr>
        <w:t xml:space="preserve"> anterior nose</w:t>
      </w:r>
      <w:r w:rsidR="00614296">
        <w:rPr>
          <w:rFonts w:cstheme="minorHAnsi"/>
        </w:rPr>
        <w:t xml:space="preserve">; </w:t>
      </w:r>
      <w:r w:rsidR="00085084" w:rsidRPr="00A53261">
        <w:rPr>
          <w:rFonts w:cstheme="minorHAnsi"/>
        </w:rPr>
        <w:t>swab</w:t>
      </w:r>
      <w:r w:rsidR="00AA7323">
        <w:rPr>
          <w:rFonts w:cstheme="minorHAnsi"/>
        </w:rPr>
        <w:t>s</w:t>
      </w:r>
      <w:r w:rsidR="00085084" w:rsidRPr="00A53261">
        <w:rPr>
          <w:rFonts w:cstheme="minorHAnsi"/>
        </w:rPr>
        <w:t xml:space="preserve"> </w:t>
      </w:r>
      <w:r w:rsidR="00EB4412">
        <w:rPr>
          <w:rFonts w:cstheme="minorHAnsi"/>
        </w:rPr>
        <w:t>w</w:t>
      </w:r>
      <w:r w:rsidR="00AA7323">
        <w:rPr>
          <w:rFonts w:cstheme="minorHAnsi"/>
        </w:rPr>
        <w:t>ere</w:t>
      </w:r>
      <w:r w:rsidR="00EB4412">
        <w:rPr>
          <w:rFonts w:cstheme="minorHAnsi"/>
        </w:rPr>
        <w:t xml:space="preserve"> </w:t>
      </w:r>
      <w:r w:rsidR="00FE0B8B" w:rsidRPr="00A53261">
        <w:rPr>
          <w:rFonts w:cstheme="minorHAnsi"/>
        </w:rPr>
        <w:t xml:space="preserve">tested </w:t>
      </w:r>
      <w:r w:rsidR="00085084" w:rsidRPr="00A53261">
        <w:rPr>
          <w:rFonts w:cstheme="minorHAnsi"/>
        </w:rPr>
        <w:t xml:space="preserve">by school staff </w:t>
      </w:r>
      <w:r w:rsidR="00FE0B8B" w:rsidRPr="00A53261">
        <w:rPr>
          <w:rFonts w:cstheme="minorHAnsi"/>
        </w:rPr>
        <w:t>using a</w:t>
      </w:r>
      <w:r w:rsidR="00AA7323">
        <w:rPr>
          <w:rFonts w:cstheme="minorHAnsi"/>
        </w:rPr>
        <w:t xml:space="preserve"> SARS-C</w:t>
      </w:r>
      <w:r w:rsidR="00CA37E9">
        <w:rPr>
          <w:rFonts w:cstheme="minorHAnsi"/>
        </w:rPr>
        <w:t>o</w:t>
      </w:r>
      <w:r w:rsidR="00AA7323">
        <w:rPr>
          <w:rFonts w:cstheme="minorHAnsi"/>
        </w:rPr>
        <w:t>V-2 antigen</w:t>
      </w:r>
      <w:r w:rsidR="00FE0B8B" w:rsidRPr="00A53261">
        <w:rPr>
          <w:rFonts w:cstheme="minorHAnsi"/>
        </w:rPr>
        <w:t xml:space="preserve"> LFD (Orient Gene).</w:t>
      </w:r>
      <w:r w:rsidR="00844B1C">
        <w:rPr>
          <w:rFonts w:cstheme="minorHAnsi"/>
        </w:rPr>
        <w:t>[</w:t>
      </w:r>
      <w:r w:rsidR="00844B1C">
        <w:rPr>
          <w:rFonts w:cstheme="minorHAnsi"/>
        </w:rPr>
        <w:fldChar w:fldCharType="begin"/>
      </w:r>
      <w:r w:rsidR="00844B1C">
        <w:rPr>
          <w:rFonts w:cstheme="minorHAnsi"/>
        </w:rPr>
        <w:instrText xml:space="preserve"> REF _Ref77775647 \r \h </w:instrText>
      </w:r>
      <w:r w:rsidR="00844B1C">
        <w:rPr>
          <w:rFonts w:cstheme="minorHAnsi"/>
        </w:rPr>
      </w:r>
      <w:r w:rsidR="00844B1C">
        <w:rPr>
          <w:rFonts w:cstheme="minorHAnsi"/>
        </w:rPr>
        <w:fldChar w:fldCharType="separate"/>
      </w:r>
      <w:r w:rsidR="00D44A48">
        <w:rPr>
          <w:rFonts w:cstheme="minorHAnsi"/>
        </w:rPr>
        <w:t>23</w:t>
      </w:r>
      <w:r w:rsidR="00844B1C">
        <w:rPr>
          <w:rFonts w:cstheme="minorHAnsi"/>
        </w:rPr>
        <w:fldChar w:fldCharType="end"/>
      </w:r>
      <w:r w:rsidR="00844B1C">
        <w:rPr>
          <w:rFonts w:cstheme="minorHAnsi"/>
        </w:rPr>
        <w:t>]</w:t>
      </w:r>
      <w:r w:rsidR="00FE0B8B" w:rsidRPr="00A53261">
        <w:rPr>
          <w:rFonts w:cstheme="minorHAnsi"/>
        </w:rPr>
        <w:t xml:space="preserve"> Participants who tested negative were </w:t>
      </w:r>
      <w:r w:rsidR="008F3839" w:rsidRPr="00A53261">
        <w:rPr>
          <w:rFonts w:cstheme="minorHAnsi"/>
        </w:rPr>
        <w:t xml:space="preserve">informed and </w:t>
      </w:r>
      <w:r w:rsidR="00FE0B8B" w:rsidRPr="00A53261">
        <w:rPr>
          <w:rFonts w:cstheme="minorHAnsi"/>
        </w:rPr>
        <w:t xml:space="preserve">released from isolation that day to attend </w:t>
      </w:r>
      <w:r w:rsidR="00992EFB" w:rsidRPr="00A53261">
        <w:rPr>
          <w:rFonts w:cstheme="minorHAnsi"/>
        </w:rPr>
        <w:t>education</w:t>
      </w:r>
      <w:r w:rsidR="00992EFB">
        <w:rPr>
          <w:rFonts w:cstheme="minorHAnsi"/>
        </w:rPr>
        <w:t>,</w:t>
      </w:r>
      <w:r w:rsidR="00992EFB" w:rsidRPr="00A53261">
        <w:rPr>
          <w:rFonts w:cstheme="minorHAnsi"/>
        </w:rPr>
        <w:t xml:space="preserve"> but</w:t>
      </w:r>
      <w:r w:rsidR="00FE0B8B" w:rsidRPr="00A53261">
        <w:rPr>
          <w:rFonts w:cstheme="minorHAnsi"/>
        </w:rPr>
        <w:t xml:space="preserve"> were asked to self-isolate after school </w:t>
      </w:r>
      <w:r w:rsidR="003C279B">
        <w:rPr>
          <w:rFonts w:cstheme="minorHAnsi"/>
        </w:rPr>
        <w:t>and</w:t>
      </w:r>
      <w:r w:rsidR="00FE0B8B" w:rsidRPr="00A53261">
        <w:rPr>
          <w:rFonts w:cstheme="minorHAnsi"/>
        </w:rPr>
        <w:t xml:space="preserve"> on non-testing days (weekends</w:t>
      </w:r>
      <w:r w:rsidR="003C279B">
        <w:rPr>
          <w:rFonts w:cstheme="minorHAnsi"/>
        </w:rPr>
        <w:t>/holidays</w:t>
      </w:r>
      <w:r w:rsidR="00FE0B8B" w:rsidRPr="00A53261">
        <w:rPr>
          <w:rFonts w:cstheme="minorHAnsi"/>
        </w:rPr>
        <w:t xml:space="preserve">). Those </w:t>
      </w:r>
      <w:r w:rsidR="006F09D0">
        <w:rPr>
          <w:rFonts w:cstheme="minorHAnsi"/>
        </w:rPr>
        <w:t>with</w:t>
      </w:r>
      <w:r w:rsidR="00FE0B8B" w:rsidRPr="00A53261">
        <w:rPr>
          <w:rFonts w:cstheme="minorHAnsi"/>
        </w:rPr>
        <w:t xml:space="preserve"> 5 negative tests over </w:t>
      </w:r>
      <w:r w:rsidR="006F09D0">
        <w:rPr>
          <w:rFonts w:cstheme="minorHAnsi"/>
        </w:rPr>
        <w:t>≥</w:t>
      </w:r>
      <w:r w:rsidR="00FE0B8B" w:rsidRPr="00A53261">
        <w:rPr>
          <w:rFonts w:cstheme="minorHAnsi"/>
        </w:rPr>
        <w:t>7 days were released from self-isolation</w:t>
      </w:r>
      <w:r w:rsidR="001B7B06">
        <w:rPr>
          <w:rFonts w:cstheme="minorHAnsi"/>
        </w:rPr>
        <w:t>, allowing for no testing at weekends</w:t>
      </w:r>
      <w:r w:rsidR="00FE0B8B" w:rsidRPr="00A53261">
        <w:rPr>
          <w:rFonts w:cstheme="minorHAnsi"/>
        </w:rPr>
        <w:t xml:space="preserve">. </w:t>
      </w:r>
      <w:r w:rsidR="00EF7136" w:rsidRPr="00A53261">
        <w:rPr>
          <w:rFonts w:cstheme="minorHAnsi"/>
        </w:rPr>
        <w:t xml:space="preserve">Where a </w:t>
      </w:r>
      <w:r w:rsidR="000C6D14">
        <w:rPr>
          <w:rFonts w:cstheme="minorHAnsi"/>
        </w:rPr>
        <w:t xml:space="preserve">school-based </w:t>
      </w:r>
      <w:r w:rsidR="00EF7136" w:rsidRPr="00A53261">
        <w:rPr>
          <w:rFonts w:cstheme="minorHAnsi"/>
        </w:rPr>
        <w:t>close contact tested positive, they were instructed to self-isolate</w:t>
      </w:r>
      <w:r w:rsidR="00085084" w:rsidRPr="00A53261">
        <w:rPr>
          <w:rFonts w:cstheme="minorHAnsi"/>
        </w:rPr>
        <w:t xml:space="preserve"> along with their household</w:t>
      </w:r>
      <w:r w:rsidR="00EF7136" w:rsidRPr="00A53261">
        <w:rPr>
          <w:rFonts w:cstheme="minorHAnsi"/>
        </w:rPr>
        <w:t xml:space="preserve">, their </w:t>
      </w:r>
      <w:r w:rsidR="000C6D14">
        <w:rPr>
          <w:rFonts w:cstheme="minorHAnsi"/>
        </w:rPr>
        <w:t xml:space="preserve">school-based </w:t>
      </w:r>
      <w:r w:rsidR="00EF7136" w:rsidRPr="00A53261">
        <w:rPr>
          <w:rFonts w:cstheme="minorHAnsi"/>
        </w:rPr>
        <w:t>contacts were identified</w:t>
      </w:r>
      <w:r w:rsidR="00C235DD" w:rsidRPr="00A53261">
        <w:rPr>
          <w:rFonts w:cstheme="minorHAnsi"/>
        </w:rPr>
        <w:t>,</w:t>
      </w:r>
      <w:r w:rsidR="00EF7136" w:rsidRPr="00A53261">
        <w:rPr>
          <w:rFonts w:cstheme="minorHAnsi"/>
        </w:rPr>
        <w:t xml:space="preserve"> and the process repeated for these contacts. </w:t>
      </w:r>
    </w:p>
    <w:p w14:paraId="75DF48BC" w14:textId="77777777" w:rsidR="00EF7136" w:rsidRPr="00A53261" w:rsidRDefault="00EF7136">
      <w:pPr>
        <w:rPr>
          <w:rFonts w:cstheme="minorHAnsi"/>
        </w:rPr>
      </w:pPr>
    </w:p>
    <w:p w14:paraId="722105FB" w14:textId="77777777" w:rsidR="004F5BC4" w:rsidRPr="00A53261" w:rsidRDefault="004F5BC4" w:rsidP="00EB1246">
      <w:pPr>
        <w:pStyle w:val="Heading2"/>
      </w:pPr>
      <w:r w:rsidRPr="00A53261">
        <w:t>Data collection</w:t>
      </w:r>
    </w:p>
    <w:p w14:paraId="4A597786" w14:textId="59C36588" w:rsidR="00343B7B" w:rsidRDefault="006175B7">
      <w:pPr>
        <w:rPr>
          <w:rFonts w:cstheme="minorHAnsi"/>
        </w:rPr>
      </w:pPr>
      <w:r>
        <w:rPr>
          <w:rFonts w:cstheme="minorHAnsi"/>
        </w:rPr>
        <w:t>A study worker was funded at each p</w:t>
      </w:r>
      <w:r w:rsidR="00E2108E">
        <w:rPr>
          <w:rFonts w:cstheme="minorHAnsi"/>
        </w:rPr>
        <w:t xml:space="preserve">articipating school. </w:t>
      </w:r>
      <w:r w:rsidR="00096FE5">
        <w:rPr>
          <w:rFonts w:cstheme="minorHAnsi"/>
        </w:rPr>
        <w:t>S</w:t>
      </w:r>
      <w:r w:rsidR="00A8046E" w:rsidRPr="00A53261">
        <w:rPr>
          <w:rFonts w:cstheme="minorHAnsi"/>
        </w:rPr>
        <w:t>chool</w:t>
      </w:r>
      <w:r w:rsidR="00096FE5">
        <w:rPr>
          <w:rFonts w:cstheme="minorHAnsi"/>
        </w:rPr>
        <w:t>s</w:t>
      </w:r>
      <w:r w:rsidR="00A8046E" w:rsidRPr="00A53261">
        <w:rPr>
          <w:rFonts w:cstheme="minorHAnsi"/>
        </w:rPr>
        <w:t xml:space="preserve"> </w:t>
      </w:r>
      <w:r w:rsidR="00C32AA5">
        <w:rPr>
          <w:rFonts w:cstheme="minorHAnsi"/>
        </w:rPr>
        <w:t>provided</w:t>
      </w:r>
      <w:r w:rsidR="00A8046E" w:rsidRPr="00A53261">
        <w:rPr>
          <w:rFonts w:cstheme="minorHAnsi"/>
        </w:rPr>
        <w:t xml:space="preserve"> a </w:t>
      </w:r>
      <w:r w:rsidR="00816086" w:rsidRPr="00A53261">
        <w:rPr>
          <w:rFonts w:cstheme="minorHAnsi"/>
        </w:rPr>
        <w:t>list of all students and staff</w:t>
      </w:r>
      <w:r w:rsidR="00343B7B">
        <w:rPr>
          <w:rFonts w:cstheme="minorHAnsi"/>
        </w:rPr>
        <w:t xml:space="preserve">, including personal identifiers and demographics. </w:t>
      </w:r>
      <w:r w:rsidR="009A776B">
        <w:rPr>
          <w:rFonts w:cstheme="minorHAnsi"/>
        </w:rPr>
        <w:t xml:space="preserve">For </w:t>
      </w:r>
      <w:r w:rsidR="008D610E">
        <w:rPr>
          <w:rFonts w:cstheme="minorHAnsi"/>
        </w:rPr>
        <w:t xml:space="preserve">consented </w:t>
      </w:r>
      <w:r w:rsidR="009A776B">
        <w:rPr>
          <w:rFonts w:cstheme="minorHAnsi"/>
        </w:rPr>
        <w:t xml:space="preserve">randomised </w:t>
      </w:r>
      <w:r w:rsidR="00F36DDB">
        <w:rPr>
          <w:rFonts w:cstheme="minorHAnsi"/>
        </w:rPr>
        <w:t>schools that</w:t>
      </w:r>
      <w:r w:rsidR="009A776B">
        <w:rPr>
          <w:rFonts w:cstheme="minorHAnsi"/>
        </w:rPr>
        <w:t xml:space="preserve"> </w:t>
      </w:r>
      <w:r w:rsidR="00BF0A7F">
        <w:rPr>
          <w:rFonts w:cstheme="minorHAnsi"/>
        </w:rPr>
        <w:t>stopped active participation</w:t>
      </w:r>
      <w:r w:rsidR="005A056A">
        <w:rPr>
          <w:rFonts w:cstheme="minorHAnsi"/>
        </w:rPr>
        <w:t>,</w:t>
      </w:r>
      <w:r w:rsidR="00223FCB">
        <w:rPr>
          <w:rFonts w:cstheme="minorHAnsi"/>
        </w:rPr>
        <w:t xml:space="preserve"> </w:t>
      </w:r>
      <w:r w:rsidR="004C3287">
        <w:rPr>
          <w:rFonts w:cstheme="minorHAnsi"/>
        </w:rPr>
        <w:t>where available</w:t>
      </w:r>
      <w:r w:rsidR="005A056A">
        <w:rPr>
          <w:rFonts w:cstheme="minorHAnsi"/>
        </w:rPr>
        <w:t>,</w:t>
      </w:r>
      <w:r w:rsidR="004C3287">
        <w:rPr>
          <w:rFonts w:cstheme="minorHAnsi"/>
        </w:rPr>
        <w:t xml:space="preserve"> </w:t>
      </w:r>
      <w:r w:rsidR="00223FCB">
        <w:rPr>
          <w:rFonts w:cstheme="minorHAnsi"/>
        </w:rPr>
        <w:t xml:space="preserve">a list of students was </w:t>
      </w:r>
      <w:r w:rsidR="008D610E">
        <w:rPr>
          <w:rFonts w:cstheme="minorHAnsi"/>
        </w:rPr>
        <w:t>provided by</w:t>
      </w:r>
      <w:r w:rsidR="00223FCB">
        <w:rPr>
          <w:rFonts w:cstheme="minorHAnsi"/>
        </w:rPr>
        <w:t xml:space="preserve"> UK Government </w:t>
      </w:r>
      <w:r w:rsidR="00607BBE">
        <w:rPr>
          <w:rFonts w:cstheme="minorHAnsi"/>
        </w:rPr>
        <w:t>D</w:t>
      </w:r>
      <w:r w:rsidR="00223FCB">
        <w:rPr>
          <w:rFonts w:cstheme="minorHAnsi"/>
        </w:rPr>
        <w:t xml:space="preserve">epartment for </w:t>
      </w:r>
      <w:r w:rsidR="00607BBE">
        <w:rPr>
          <w:rFonts w:cstheme="minorHAnsi"/>
        </w:rPr>
        <w:t>E</w:t>
      </w:r>
      <w:r w:rsidR="00223FCB">
        <w:rPr>
          <w:rFonts w:cstheme="minorHAnsi"/>
        </w:rPr>
        <w:t>ducation</w:t>
      </w:r>
      <w:r w:rsidR="00607BBE">
        <w:rPr>
          <w:rFonts w:cstheme="minorHAnsi"/>
        </w:rPr>
        <w:t xml:space="preserve"> (DfE)</w:t>
      </w:r>
      <w:r w:rsidR="00223FCB">
        <w:rPr>
          <w:rFonts w:cstheme="minorHAnsi"/>
        </w:rPr>
        <w:t xml:space="preserve">. </w:t>
      </w:r>
    </w:p>
    <w:p w14:paraId="6E545512" w14:textId="3450843B" w:rsidR="00B17157" w:rsidRDefault="00B17157">
      <w:pPr>
        <w:rPr>
          <w:rFonts w:cstheme="minorHAnsi"/>
        </w:rPr>
      </w:pPr>
    </w:p>
    <w:p w14:paraId="5931CEE3" w14:textId="09CDFA81" w:rsidR="00E763A9" w:rsidRDefault="00E763A9">
      <w:pPr>
        <w:rPr>
          <w:rFonts w:cstheme="minorHAnsi"/>
        </w:rPr>
      </w:pPr>
      <w:r>
        <w:rPr>
          <w:rFonts w:cstheme="minorHAnsi"/>
        </w:rPr>
        <w:t xml:space="preserve">Schools reported the </w:t>
      </w:r>
      <w:r w:rsidRPr="00A53261">
        <w:rPr>
          <w:rFonts w:cstheme="minorHAnsi"/>
        </w:rPr>
        <w:t>number</w:t>
      </w:r>
      <w:r w:rsidR="00F94155">
        <w:rPr>
          <w:rFonts w:cstheme="minorHAnsi"/>
        </w:rPr>
        <w:t>s</w:t>
      </w:r>
      <w:r w:rsidRPr="00A53261">
        <w:rPr>
          <w:rFonts w:cstheme="minorHAnsi"/>
        </w:rPr>
        <w:t xml:space="preserve"> of staff and students </w:t>
      </w:r>
      <w:r>
        <w:rPr>
          <w:rFonts w:cstheme="minorHAnsi"/>
        </w:rPr>
        <w:t xml:space="preserve">present on each school day, absent for COVID-19-related reasons and absent for other reasons. </w:t>
      </w:r>
      <w:r w:rsidR="00D110B5">
        <w:rPr>
          <w:rFonts w:cstheme="minorHAnsi"/>
        </w:rPr>
        <w:t>Data from</w:t>
      </w:r>
      <w:r w:rsidR="00607BBE">
        <w:rPr>
          <w:rFonts w:cstheme="minorHAnsi"/>
        </w:rPr>
        <w:t xml:space="preserve"> schools who </w:t>
      </w:r>
      <w:r w:rsidR="002D4732">
        <w:rPr>
          <w:rFonts w:cstheme="minorHAnsi"/>
        </w:rPr>
        <w:t>stopped participating</w:t>
      </w:r>
      <w:r w:rsidR="0027545A">
        <w:rPr>
          <w:rFonts w:cstheme="minorHAnsi"/>
        </w:rPr>
        <w:t>,</w:t>
      </w:r>
      <w:r w:rsidR="00607BBE">
        <w:rPr>
          <w:rFonts w:cstheme="minorHAnsi"/>
        </w:rPr>
        <w:t xml:space="preserve"> </w:t>
      </w:r>
      <w:r w:rsidR="002D4732">
        <w:rPr>
          <w:rFonts w:cstheme="minorHAnsi"/>
        </w:rPr>
        <w:t>where available,</w:t>
      </w:r>
      <w:r w:rsidR="00607BBE">
        <w:rPr>
          <w:rFonts w:cstheme="minorHAnsi"/>
        </w:rPr>
        <w:t xml:space="preserve"> were obtained from DfE.</w:t>
      </w:r>
    </w:p>
    <w:p w14:paraId="70019D78" w14:textId="77777777" w:rsidR="00E763A9" w:rsidRDefault="00E763A9">
      <w:pPr>
        <w:rPr>
          <w:rFonts w:cstheme="minorHAnsi"/>
        </w:rPr>
      </w:pPr>
    </w:p>
    <w:p w14:paraId="77EF70C8" w14:textId="0DC5358A" w:rsidR="004F5BC4" w:rsidRPr="00A53261" w:rsidRDefault="00A25EB1">
      <w:pPr>
        <w:rPr>
          <w:rFonts w:cstheme="minorHAnsi"/>
        </w:rPr>
      </w:pPr>
      <w:r>
        <w:rPr>
          <w:rFonts w:cstheme="minorHAnsi"/>
        </w:rPr>
        <w:t>S</w:t>
      </w:r>
      <w:r w:rsidR="0062720C">
        <w:rPr>
          <w:rFonts w:cstheme="minorHAnsi"/>
        </w:rPr>
        <w:t xml:space="preserve">chools recorded each </w:t>
      </w:r>
      <w:r w:rsidR="00A81012">
        <w:rPr>
          <w:rFonts w:cstheme="minorHAnsi"/>
        </w:rPr>
        <w:t>SARS-C</w:t>
      </w:r>
      <w:r w:rsidR="00CA37E9">
        <w:rPr>
          <w:rFonts w:cstheme="minorHAnsi"/>
        </w:rPr>
        <w:t>o</w:t>
      </w:r>
      <w:r w:rsidR="00A81012">
        <w:rPr>
          <w:rFonts w:cstheme="minorHAnsi"/>
        </w:rPr>
        <w:t>V-2 infection</w:t>
      </w:r>
      <w:r w:rsidR="005A3B43">
        <w:rPr>
          <w:rFonts w:cstheme="minorHAnsi"/>
        </w:rPr>
        <w:t xml:space="preserve"> </w:t>
      </w:r>
      <w:r w:rsidR="00494B26">
        <w:rPr>
          <w:rFonts w:cstheme="minorHAnsi"/>
        </w:rPr>
        <w:t>(“index case”)</w:t>
      </w:r>
      <w:r w:rsidR="005A3B43">
        <w:rPr>
          <w:rFonts w:cstheme="minorHAnsi"/>
        </w:rPr>
        <w:t xml:space="preserve"> brought to their attention</w:t>
      </w:r>
      <w:r w:rsidR="009409D9">
        <w:rPr>
          <w:rFonts w:cstheme="minorHAnsi"/>
        </w:rPr>
        <w:t>, including</w:t>
      </w:r>
      <w:r w:rsidR="005A3B43">
        <w:rPr>
          <w:rFonts w:cstheme="minorHAnsi"/>
        </w:rPr>
        <w:t xml:space="preserve"> PCR-positive cases and LFD-positive cases without a subsequent PCR test. LFD-positive-PCR-negative </w:t>
      </w:r>
      <w:r w:rsidR="009409D9">
        <w:rPr>
          <w:rFonts w:cstheme="minorHAnsi"/>
        </w:rPr>
        <w:t xml:space="preserve">individuals </w:t>
      </w:r>
      <w:r w:rsidR="005A3B43">
        <w:rPr>
          <w:rFonts w:cstheme="minorHAnsi"/>
        </w:rPr>
        <w:t xml:space="preserve">were not considered cases. </w:t>
      </w:r>
      <w:r w:rsidR="002E056D">
        <w:rPr>
          <w:rFonts w:cstheme="minorHAnsi"/>
        </w:rPr>
        <w:t>T</w:t>
      </w:r>
      <w:r w:rsidR="00A81012">
        <w:rPr>
          <w:rFonts w:cstheme="minorHAnsi"/>
        </w:rPr>
        <w:t>he</w:t>
      </w:r>
      <w:r w:rsidR="002E056D">
        <w:rPr>
          <w:rFonts w:cstheme="minorHAnsi"/>
        </w:rPr>
        <w:t xml:space="preserve"> school-based</w:t>
      </w:r>
      <w:r w:rsidR="00A81012">
        <w:rPr>
          <w:rFonts w:cstheme="minorHAnsi"/>
        </w:rPr>
        <w:t xml:space="preserve"> contacts of each index case</w:t>
      </w:r>
      <w:r w:rsidR="004D20A8">
        <w:rPr>
          <w:rFonts w:cstheme="minorHAnsi"/>
        </w:rPr>
        <w:t>,</w:t>
      </w:r>
      <w:r w:rsidR="00A8046E" w:rsidRPr="00A53261">
        <w:rPr>
          <w:rFonts w:cstheme="minorHAnsi"/>
        </w:rPr>
        <w:t xml:space="preserve"> </w:t>
      </w:r>
      <w:r w:rsidR="005A056A">
        <w:rPr>
          <w:rFonts w:cstheme="minorHAnsi"/>
        </w:rPr>
        <w:t>whether</w:t>
      </w:r>
      <w:r w:rsidR="00A8046E" w:rsidRPr="00A53261">
        <w:rPr>
          <w:rFonts w:cstheme="minorHAnsi"/>
        </w:rPr>
        <w:t xml:space="preserve"> the</w:t>
      </w:r>
      <w:r w:rsidR="002E056D">
        <w:rPr>
          <w:rFonts w:cstheme="minorHAnsi"/>
        </w:rPr>
        <w:t xml:space="preserve"> contact</w:t>
      </w:r>
      <w:r w:rsidR="00A8046E" w:rsidRPr="00A53261">
        <w:rPr>
          <w:rFonts w:cstheme="minorHAnsi"/>
        </w:rPr>
        <w:t xml:space="preserve"> consented to study procedures</w:t>
      </w:r>
      <w:r w:rsidR="002B5DD8">
        <w:rPr>
          <w:rFonts w:cstheme="minorHAnsi"/>
        </w:rPr>
        <w:t>,</w:t>
      </w:r>
      <w:r w:rsidR="004D20A8">
        <w:rPr>
          <w:rFonts w:cstheme="minorHAnsi"/>
        </w:rPr>
        <w:t xml:space="preserve"> and</w:t>
      </w:r>
      <w:r w:rsidR="00A8046E" w:rsidRPr="00A53261">
        <w:rPr>
          <w:rFonts w:cstheme="minorHAnsi"/>
        </w:rPr>
        <w:t xml:space="preserve"> LFD </w:t>
      </w:r>
      <w:r w:rsidR="004D20A8">
        <w:rPr>
          <w:rFonts w:cstheme="minorHAnsi"/>
        </w:rPr>
        <w:t>results</w:t>
      </w:r>
      <w:r w:rsidR="001B1F86">
        <w:rPr>
          <w:rFonts w:cstheme="minorHAnsi"/>
        </w:rPr>
        <w:t xml:space="preserve"> </w:t>
      </w:r>
      <w:r w:rsidR="00A8046E" w:rsidRPr="00A53261">
        <w:rPr>
          <w:rFonts w:cstheme="minorHAnsi"/>
        </w:rPr>
        <w:t xml:space="preserve">were </w:t>
      </w:r>
      <w:r w:rsidR="001B1F86">
        <w:rPr>
          <w:rFonts w:cstheme="minorHAnsi"/>
        </w:rPr>
        <w:t>recorded.</w:t>
      </w:r>
      <w:r w:rsidR="00C104C1" w:rsidRPr="00C104C1">
        <w:rPr>
          <w:rFonts w:cstheme="minorHAnsi"/>
        </w:rPr>
        <w:t xml:space="preserve"> </w:t>
      </w:r>
      <w:r w:rsidR="00C104C1">
        <w:rPr>
          <w:rFonts w:cstheme="minorHAnsi"/>
        </w:rPr>
        <w:t>During the trial, the trial management team were blinded to the combined data.</w:t>
      </w:r>
    </w:p>
    <w:p w14:paraId="2A295203" w14:textId="6BC7084C" w:rsidR="00A8046E" w:rsidRPr="00A53261" w:rsidRDefault="00A8046E">
      <w:pPr>
        <w:rPr>
          <w:rFonts w:cstheme="minorHAnsi"/>
        </w:rPr>
      </w:pPr>
    </w:p>
    <w:p w14:paraId="7007EB04" w14:textId="6DEE0F43" w:rsidR="00FC5BCD" w:rsidRDefault="00FC5BCD" w:rsidP="00FC5BCD">
      <w:pPr>
        <w:pStyle w:val="Heading2"/>
      </w:pPr>
      <w:r w:rsidRPr="00A53261">
        <w:t>PCR testing</w:t>
      </w:r>
    </w:p>
    <w:p w14:paraId="5392C82D" w14:textId="0C428708" w:rsidR="007F4413" w:rsidRDefault="00DB50B6" w:rsidP="00FC5BCD">
      <w:r>
        <w:rPr>
          <w:rFonts w:cstheme="minorHAnsi"/>
        </w:rPr>
        <w:t>Results of routine</w:t>
      </w:r>
      <w:r w:rsidRPr="00A53261">
        <w:rPr>
          <w:rFonts w:cstheme="minorHAnsi"/>
        </w:rPr>
        <w:t xml:space="preserve"> </w:t>
      </w:r>
      <w:r>
        <w:rPr>
          <w:rFonts w:cstheme="minorHAnsi"/>
        </w:rPr>
        <w:t xml:space="preserve">SARS-CoV-2 </w:t>
      </w:r>
      <w:r w:rsidRPr="00A53261">
        <w:rPr>
          <w:rFonts w:cstheme="minorHAnsi"/>
        </w:rPr>
        <w:t>test</w:t>
      </w:r>
      <w:r>
        <w:rPr>
          <w:rFonts w:cstheme="minorHAnsi"/>
        </w:rPr>
        <w:t>s</w:t>
      </w:r>
      <w:r w:rsidRPr="00A53261">
        <w:rPr>
          <w:rFonts w:cstheme="minorHAnsi"/>
        </w:rPr>
        <w:t xml:space="preserve"> </w:t>
      </w:r>
      <w:r>
        <w:rPr>
          <w:rFonts w:cstheme="minorHAnsi"/>
        </w:rPr>
        <w:t>performed outside of the study</w:t>
      </w:r>
      <w:r w:rsidRPr="00A53261">
        <w:rPr>
          <w:rFonts w:cstheme="minorHAnsi"/>
        </w:rPr>
        <w:t xml:space="preserve"> </w:t>
      </w:r>
      <w:r>
        <w:rPr>
          <w:rFonts w:cstheme="minorHAnsi"/>
        </w:rPr>
        <w:t xml:space="preserve">in staff and students were obtained from national public health data (“NHS Test and Trace”). </w:t>
      </w:r>
      <w:r w:rsidR="00470C62">
        <w:t>Dedicated study PCR testing was also undertaken</w:t>
      </w:r>
      <w:r w:rsidR="007F4413">
        <w:t xml:space="preserve"> in consenting contacts</w:t>
      </w:r>
      <w:r w:rsidR="00733956">
        <w:t xml:space="preserve"> in both study arms</w:t>
      </w:r>
      <w:r w:rsidR="007F4413">
        <w:t xml:space="preserve"> </w:t>
      </w:r>
      <w:r w:rsidR="00B9367E" w:rsidRPr="00A53261">
        <w:rPr>
          <w:rFonts w:cstheme="minorHAnsi"/>
        </w:rPr>
        <w:t xml:space="preserve">on day 2 and 7 of </w:t>
      </w:r>
      <w:r w:rsidR="00733956">
        <w:rPr>
          <w:rFonts w:cstheme="minorHAnsi"/>
        </w:rPr>
        <w:t>the</w:t>
      </w:r>
      <w:r w:rsidR="00B9367E" w:rsidRPr="00A53261">
        <w:rPr>
          <w:rFonts w:cstheme="minorHAnsi"/>
        </w:rPr>
        <w:t xml:space="preserve"> testing/isolation period</w:t>
      </w:r>
      <w:r w:rsidR="00733956">
        <w:rPr>
          <w:rFonts w:cstheme="minorHAnsi"/>
        </w:rPr>
        <w:t>. In addition</w:t>
      </w:r>
      <w:r w:rsidR="00557E45">
        <w:rPr>
          <w:rFonts w:cstheme="minorHAnsi"/>
        </w:rPr>
        <w:t>,</w:t>
      </w:r>
      <w:r w:rsidR="00733956">
        <w:rPr>
          <w:rFonts w:cstheme="minorHAnsi"/>
        </w:rPr>
        <w:t xml:space="preserve"> study PCRs were obtained from </w:t>
      </w:r>
      <w:r w:rsidR="005A056A">
        <w:rPr>
          <w:rFonts w:cstheme="minorHAnsi"/>
        </w:rPr>
        <w:t>consenting</w:t>
      </w:r>
      <w:r w:rsidR="00733956">
        <w:rPr>
          <w:rFonts w:cstheme="minorHAnsi"/>
        </w:rPr>
        <w:t xml:space="preserve"> LFD/PCR</w:t>
      </w:r>
      <w:r w:rsidR="002B4EC4">
        <w:rPr>
          <w:rFonts w:cstheme="minorHAnsi"/>
        </w:rPr>
        <w:t>-</w:t>
      </w:r>
      <w:r w:rsidR="00733956">
        <w:rPr>
          <w:rFonts w:cstheme="minorHAnsi"/>
        </w:rPr>
        <w:t xml:space="preserve">positive </w:t>
      </w:r>
      <w:r w:rsidR="00C91B36">
        <w:rPr>
          <w:rFonts w:cstheme="minorHAnsi"/>
        </w:rPr>
        <w:t>individuals</w:t>
      </w:r>
      <w:r w:rsidR="00B17EE6">
        <w:rPr>
          <w:rFonts w:cstheme="minorHAnsi"/>
        </w:rPr>
        <w:t xml:space="preserve"> </w:t>
      </w:r>
      <w:r w:rsidR="00DA6641">
        <w:rPr>
          <w:rFonts w:cstheme="minorHAnsi"/>
        </w:rPr>
        <w:t>for later analysis</w:t>
      </w:r>
      <w:r w:rsidR="00B17EE6">
        <w:rPr>
          <w:rFonts w:cstheme="minorHAnsi"/>
        </w:rPr>
        <w:t xml:space="preserve"> (see supplement).</w:t>
      </w:r>
    </w:p>
    <w:p w14:paraId="1412B308" w14:textId="77777777" w:rsidR="00A8046E" w:rsidRPr="00A53261" w:rsidRDefault="00A8046E">
      <w:pPr>
        <w:rPr>
          <w:rFonts w:cstheme="minorHAnsi"/>
        </w:rPr>
      </w:pPr>
    </w:p>
    <w:p w14:paraId="37C69993" w14:textId="43E4CFEC" w:rsidR="004F5BC4" w:rsidRPr="00A53261" w:rsidRDefault="004F5BC4" w:rsidP="00EB1246">
      <w:pPr>
        <w:pStyle w:val="Heading2"/>
      </w:pPr>
      <w:r w:rsidRPr="00A53261">
        <w:t>Outcomes</w:t>
      </w:r>
    </w:p>
    <w:p w14:paraId="69A8EEDF" w14:textId="7DFC6D49" w:rsidR="00275CE5" w:rsidRDefault="00EF63FC">
      <w:pPr>
        <w:rPr>
          <w:rFonts w:cstheme="minorHAnsi"/>
        </w:rPr>
      </w:pPr>
      <w:r w:rsidRPr="00A53261">
        <w:rPr>
          <w:rFonts w:cstheme="minorHAnsi"/>
        </w:rPr>
        <w:t>The co-primary outcomes</w:t>
      </w:r>
      <w:r w:rsidR="0054468D">
        <w:rPr>
          <w:rFonts w:cstheme="minorHAnsi"/>
        </w:rPr>
        <w:t xml:space="preserve">, </w:t>
      </w:r>
      <w:r w:rsidR="001A3FA4">
        <w:rPr>
          <w:rFonts w:cstheme="minorHAnsi"/>
        </w:rPr>
        <w:t>across all students and staff,</w:t>
      </w:r>
      <w:r w:rsidRPr="00A53261">
        <w:rPr>
          <w:rFonts w:cstheme="minorHAnsi"/>
        </w:rPr>
        <w:t xml:space="preserve"> </w:t>
      </w:r>
      <w:r w:rsidR="00707124">
        <w:rPr>
          <w:rFonts w:cstheme="minorHAnsi"/>
        </w:rPr>
        <w:t>were</w:t>
      </w:r>
      <w:r w:rsidRPr="00A53261">
        <w:rPr>
          <w:rFonts w:cstheme="minorHAnsi"/>
        </w:rPr>
        <w:t xml:space="preserve"> </w:t>
      </w:r>
      <w:r w:rsidR="0020628F" w:rsidRPr="00A53261">
        <w:rPr>
          <w:rFonts w:cstheme="minorHAnsi"/>
        </w:rPr>
        <w:t>(</w:t>
      </w:r>
      <w:proofErr w:type="spellStart"/>
      <w:r w:rsidR="0020628F" w:rsidRPr="00A53261">
        <w:rPr>
          <w:rFonts w:cstheme="minorHAnsi"/>
        </w:rPr>
        <w:t>i</w:t>
      </w:r>
      <w:proofErr w:type="spellEnd"/>
      <w:r w:rsidR="0020628F" w:rsidRPr="00A53261">
        <w:rPr>
          <w:rFonts w:cstheme="minorHAnsi"/>
        </w:rPr>
        <w:t xml:space="preserve">) </w:t>
      </w:r>
      <w:r w:rsidR="00164AD4">
        <w:rPr>
          <w:rFonts w:cstheme="minorHAnsi"/>
        </w:rPr>
        <w:t xml:space="preserve">the </w:t>
      </w:r>
      <w:r w:rsidR="0020628F" w:rsidRPr="00A53261">
        <w:rPr>
          <w:rFonts w:cstheme="minorHAnsi"/>
        </w:rPr>
        <w:t xml:space="preserve">number </w:t>
      </w:r>
      <w:r w:rsidR="00164AD4">
        <w:rPr>
          <w:rFonts w:cstheme="minorHAnsi"/>
        </w:rPr>
        <w:t xml:space="preserve">COVID-19-related </w:t>
      </w:r>
      <w:r w:rsidR="002152B2">
        <w:rPr>
          <w:rFonts w:cstheme="minorHAnsi"/>
        </w:rPr>
        <w:t xml:space="preserve">school </w:t>
      </w:r>
      <w:r w:rsidR="00164AD4">
        <w:rPr>
          <w:rFonts w:cstheme="minorHAnsi"/>
        </w:rPr>
        <w:t xml:space="preserve">absences </w:t>
      </w:r>
      <w:r w:rsidR="00F73D0B">
        <w:rPr>
          <w:rFonts w:cstheme="minorHAnsi"/>
        </w:rPr>
        <w:t xml:space="preserve">amongst those otherwise eligible to be in school and </w:t>
      </w:r>
      <w:r w:rsidR="0020628F" w:rsidRPr="00A53261">
        <w:rPr>
          <w:rFonts w:cstheme="minorHAnsi"/>
        </w:rPr>
        <w:t xml:space="preserve">(ii) </w:t>
      </w:r>
      <w:r w:rsidR="00FE7937">
        <w:rPr>
          <w:rFonts w:cstheme="minorHAnsi"/>
        </w:rPr>
        <w:t>the</w:t>
      </w:r>
      <w:r w:rsidR="0020628F" w:rsidRPr="00A53261">
        <w:rPr>
          <w:rFonts w:cstheme="minorHAnsi"/>
        </w:rPr>
        <w:t xml:space="preserve"> </w:t>
      </w:r>
      <w:r w:rsidR="00707124">
        <w:rPr>
          <w:rFonts w:cstheme="minorHAnsi"/>
        </w:rPr>
        <w:t xml:space="preserve">extent </w:t>
      </w:r>
      <w:r w:rsidR="0020628F" w:rsidRPr="00A53261">
        <w:rPr>
          <w:rFonts w:cstheme="minorHAnsi"/>
        </w:rPr>
        <w:t xml:space="preserve">of in-school </w:t>
      </w:r>
      <w:r w:rsidR="0035689B">
        <w:rPr>
          <w:rFonts w:cstheme="minorHAnsi"/>
        </w:rPr>
        <w:t>COVID-19</w:t>
      </w:r>
      <w:r w:rsidR="0020628F" w:rsidRPr="00A53261">
        <w:rPr>
          <w:rFonts w:cstheme="minorHAnsi"/>
        </w:rPr>
        <w:t xml:space="preserve"> transmission</w:t>
      </w:r>
      <w:r w:rsidR="00707124">
        <w:rPr>
          <w:rFonts w:cstheme="minorHAnsi"/>
        </w:rPr>
        <w:t xml:space="preserve">. </w:t>
      </w:r>
      <w:r w:rsidR="00C5767F">
        <w:rPr>
          <w:rFonts w:cstheme="minorHAnsi"/>
        </w:rPr>
        <w:t>Non-inferiority in transmission was considered appropriate, as the intervention was hypothesised to produce beneficial increases in attendance. Transmission</w:t>
      </w:r>
      <w:r w:rsidR="00707124">
        <w:rPr>
          <w:rFonts w:cstheme="minorHAnsi"/>
        </w:rPr>
        <w:t xml:space="preserve"> was estimated from rates of symptomatic PCR-positive infections recorded by NHS Test and Trace</w:t>
      </w:r>
      <w:r w:rsidR="0030029D">
        <w:rPr>
          <w:rFonts w:cstheme="minorHAnsi"/>
        </w:rPr>
        <w:t>, after controlling for community case rates.</w:t>
      </w:r>
      <w:r w:rsidR="00C25B00">
        <w:rPr>
          <w:rFonts w:cstheme="minorHAnsi"/>
        </w:rPr>
        <w:t xml:space="preserve"> </w:t>
      </w:r>
      <w:r w:rsidR="00CE3711">
        <w:rPr>
          <w:rFonts w:cstheme="minorHAnsi"/>
        </w:rPr>
        <w:t xml:space="preserve">Both these endpoints </w:t>
      </w:r>
      <w:r w:rsidR="00F47F04">
        <w:rPr>
          <w:rFonts w:cstheme="minorHAnsi"/>
        </w:rPr>
        <w:t>were</w:t>
      </w:r>
      <w:r w:rsidR="00CE3711">
        <w:rPr>
          <w:rFonts w:cstheme="minorHAnsi"/>
        </w:rPr>
        <w:t xml:space="preserve"> assessed using study data for actively participating schools </w:t>
      </w:r>
      <w:r w:rsidR="000169DC">
        <w:rPr>
          <w:rFonts w:cstheme="minorHAnsi"/>
        </w:rPr>
        <w:t>and</w:t>
      </w:r>
      <w:r w:rsidR="00CE3711">
        <w:rPr>
          <w:rFonts w:cstheme="minorHAnsi"/>
        </w:rPr>
        <w:t xml:space="preserve"> using national administrative data on </w:t>
      </w:r>
      <w:r w:rsidR="00560F13">
        <w:rPr>
          <w:rFonts w:cstheme="minorHAnsi"/>
        </w:rPr>
        <w:t>student attendance</w:t>
      </w:r>
      <w:r w:rsidR="00CE3711">
        <w:rPr>
          <w:rFonts w:cstheme="minorHAnsi"/>
        </w:rPr>
        <w:t xml:space="preserve"> and student and staff lists </w:t>
      </w:r>
      <w:r w:rsidR="00A5423D">
        <w:rPr>
          <w:rFonts w:cstheme="minorHAnsi"/>
        </w:rPr>
        <w:t>for non-participating randomised schools.</w:t>
      </w:r>
      <w:r w:rsidR="00952373">
        <w:rPr>
          <w:rFonts w:cstheme="minorHAnsi"/>
        </w:rPr>
        <w:t xml:space="preserve"> </w:t>
      </w:r>
      <w:r w:rsidR="00275CE5">
        <w:rPr>
          <w:rFonts w:cstheme="minorHAnsi"/>
        </w:rPr>
        <w:t xml:space="preserve">Rates of symptomatic PCR-positive community tests were compared as the incidence of these tests was not expected to be impacted by the study intervention, </w:t>
      </w:r>
      <w:r w:rsidR="00503D8E">
        <w:rPr>
          <w:rFonts w:cstheme="minorHAnsi"/>
        </w:rPr>
        <w:t>where</w:t>
      </w:r>
      <w:r w:rsidR="00E4346C">
        <w:rPr>
          <w:rFonts w:cstheme="minorHAnsi"/>
        </w:rPr>
        <w:t>as</w:t>
      </w:r>
      <w:r w:rsidR="00275CE5">
        <w:rPr>
          <w:rFonts w:cstheme="minorHAnsi"/>
        </w:rPr>
        <w:t xml:space="preserve"> more intensive sampling of asymptomatic contacts in intervention </w:t>
      </w:r>
      <w:r w:rsidR="00A64C26">
        <w:rPr>
          <w:rFonts w:cstheme="minorHAnsi"/>
        </w:rPr>
        <w:t xml:space="preserve">schools </w:t>
      </w:r>
      <w:r w:rsidR="00275CE5">
        <w:rPr>
          <w:rFonts w:cstheme="minorHAnsi"/>
        </w:rPr>
        <w:t xml:space="preserve">may have detected </w:t>
      </w:r>
      <w:r w:rsidR="00C25243">
        <w:rPr>
          <w:rFonts w:cstheme="minorHAnsi"/>
        </w:rPr>
        <w:t>more</w:t>
      </w:r>
      <w:r w:rsidR="00275CE5">
        <w:rPr>
          <w:rFonts w:cstheme="minorHAnsi"/>
        </w:rPr>
        <w:t xml:space="preserve"> asymptomatic infection</w:t>
      </w:r>
      <w:r w:rsidR="008A6565">
        <w:rPr>
          <w:rFonts w:cstheme="minorHAnsi"/>
        </w:rPr>
        <w:t xml:space="preserve">. </w:t>
      </w:r>
      <w:r w:rsidR="00257C6A">
        <w:rPr>
          <w:rFonts w:cstheme="minorHAnsi"/>
        </w:rPr>
        <w:t xml:space="preserve">Twice weekly </w:t>
      </w:r>
      <w:r w:rsidR="00EC0E87">
        <w:rPr>
          <w:rFonts w:cstheme="minorHAnsi"/>
        </w:rPr>
        <w:t>a</w:t>
      </w:r>
      <w:r w:rsidR="00C5767F">
        <w:rPr>
          <w:rFonts w:cstheme="minorHAnsi"/>
        </w:rPr>
        <w:t xml:space="preserve">symptomatic LFD testing was not reliably reported, so </w:t>
      </w:r>
      <w:r w:rsidR="00EC0E87">
        <w:rPr>
          <w:rFonts w:cstheme="minorHAnsi"/>
        </w:rPr>
        <w:t>results were not</w:t>
      </w:r>
      <w:r w:rsidR="00C5767F">
        <w:rPr>
          <w:rFonts w:cstheme="minorHAnsi"/>
        </w:rPr>
        <w:t xml:space="preserve"> </w:t>
      </w:r>
      <w:r w:rsidR="004F7A2E">
        <w:rPr>
          <w:rFonts w:cstheme="minorHAnsi"/>
        </w:rPr>
        <w:t>compare</w:t>
      </w:r>
      <w:r w:rsidR="00EC0E87">
        <w:rPr>
          <w:rFonts w:cstheme="minorHAnsi"/>
        </w:rPr>
        <w:t>d</w:t>
      </w:r>
      <w:r w:rsidR="004F7A2E">
        <w:rPr>
          <w:rFonts w:cstheme="minorHAnsi"/>
        </w:rPr>
        <w:t xml:space="preserve"> between arms. </w:t>
      </w:r>
    </w:p>
    <w:p w14:paraId="5F4302B2" w14:textId="77777777" w:rsidR="00C72277" w:rsidRDefault="00C72277">
      <w:pPr>
        <w:rPr>
          <w:rFonts w:cstheme="minorHAnsi"/>
        </w:rPr>
      </w:pPr>
    </w:p>
    <w:p w14:paraId="62288BAA" w14:textId="26DEEB4F" w:rsidR="00707124" w:rsidRDefault="00AF39F5">
      <w:pPr>
        <w:rPr>
          <w:rFonts w:cstheme="minorHAnsi"/>
        </w:rPr>
      </w:pPr>
      <w:r>
        <w:rPr>
          <w:rFonts w:cstheme="minorHAnsi"/>
        </w:rPr>
        <w:t>S</w:t>
      </w:r>
      <w:r w:rsidR="00563A92">
        <w:rPr>
          <w:rFonts w:cstheme="minorHAnsi"/>
        </w:rPr>
        <w:t xml:space="preserve">econdary </w:t>
      </w:r>
      <w:r>
        <w:rPr>
          <w:rFonts w:cstheme="minorHAnsi"/>
        </w:rPr>
        <w:t xml:space="preserve">outcomes </w:t>
      </w:r>
      <w:r w:rsidR="003E4611">
        <w:rPr>
          <w:rFonts w:cstheme="minorHAnsi"/>
        </w:rPr>
        <w:t>reported</w:t>
      </w:r>
      <w:r>
        <w:rPr>
          <w:rFonts w:cstheme="minorHAnsi"/>
        </w:rPr>
        <w:t xml:space="preserve"> include </w:t>
      </w:r>
      <w:r w:rsidR="00A14AA5">
        <w:rPr>
          <w:rFonts w:cstheme="minorHAnsi"/>
        </w:rPr>
        <w:t xml:space="preserve">DCT </w:t>
      </w:r>
      <w:r w:rsidR="00613999">
        <w:rPr>
          <w:rFonts w:cstheme="minorHAnsi"/>
        </w:rPr>
        <w:t xml:space="preserve">participation rates in the intervention </w:t>
      </w:r>
      <w:r w:rsidR="00E82545">
        <w:rPr>
          <w:rFonts w:cstheme="minorHAnsi"/>
        </w:rPr>
        <w:t xml:space="preserve">arm, the </w:t>
      </w:r>
      <w:r w:rsidR="00563A92">
        <w:rPr>
          <w:rFonts w:cstheme="minorHAnsi"/>
        </w:rPr>
        <w:t xml:space="preserve">proportion of </w:t>
      </w:r>
      <w:r w:rsidR="00AF216D">
        <w:rPr>
          <w:rFonts w:cstheme="minorHAnsi"/>
        </w:rPr>
        <w:t xml:space="preserve">contacts testing positive on </w:t>
      </w:r>
      <w:r w:rsidR="005E3649">
        <w:rPr>
          <w:rFonts w:cstheme="minorHAnsi"/>
        </w:rPr>
        <w:t xml:space="preserve">asymptomatic </w:t>
      </w:r>
      <w:r w:rsidR="00FB32A9">
        <w:rPr>
          <w:rFonts w:cstheme="minorHAnsi"/>
        </w:rPr>
        <w:t>study</w:t>
      </w:r>
      <w:r w:rsidR="00563A92">
        <w:rPr>
          <w:rFonts w:cstheme="minorHAnsi"/>
        </w:rPr>
        <w:t xml:space="preserve"> PCR </w:t>
      </w:r>
      <w:r>
        <w:rPr>
          <w:rFonts w:cstheme="minorHAnsi"/>
        </w:rPr>
        <w:t xml:space="preserve">tests </w:t>
      </w:r>
      <w:r w:rsidR="005E3649">
        <w:rPr>
          <w:rFonts w:cstheme="minorHAnsi"/>
        </w:rPr>
        <w:t xml:space="preserve">and symptomatic </w:t>
      </w:r>
      <w:r w:rsidR="005E6A2E">
        <w:rPr>
          <w:rFonts w:cstheme="minorHAnsi"/>
        </w:rPr>
        <w:t xml:space="preserve">routine PCR </w:t>
      </w:r>
      <w:r w:rsidR="003700EE">
        <w:rPr>
          <w:rFonts w:cstheme="minorHAnsi"/>
        </w:rPr>
        <w:t>test</w:t>
      </w:r>
      <w:r w:rsidR="007256E6">
        <w:rPr>
          <w:rFonts w:cstheme="minorHAnsi"/>
        </w:rPr>
        <w:t>s</w:t>
      </w:r>
      <w:r w:rsidR="006927AA">
        <w:rPr>
          <w:rFonts w:cstheme="minorHAnsi"/>
        </w:rPr>
        <w:t xml:space="preserve">, and the performance characteristics of LFD </w:t>
      </w:r>
      <w:r w:rsidR="00F8698C">
        <w:rPr>
          <w:rFonts w:cstheme="minorHAnsi"/>
        </w:rPr>
        <w:t xml:space="preserve">vs. </w:t>
      </w:r>
      <w:r w:rsidR="00554044">
        <w:rPr>
          <w:rFonts w:cstheme="minorHAnsi"/>
        </w:rPr>
        <w:t xml:space="preserve">PCR </w:t>
      </w:r>
      <w:r w:rsidR="006927AA">
        <w:rPr>
          <w:rFonts w:cstheme="minorHAnsi"/>
        </w:rPr>
        <w:t>testing</w:t>
      </w:r>
      <w:r w:rsidR="00230079">
        <w:rPr>
          <w:rFonts w:cstheme="minorHAnsi"/>
        </w:rPr>
        <w:t>.</w:t>
      </w:r>
    </w:p>
    <w:p w14:paraId="38D7D070" w14:textId="77777777" w:rsidR="00281513" w:rsidRPr="00A53261" w:rsidRDefault="00281513">
      <w:pPr>
        <w:rPr>
          <w:rFonts w:cstheme="minorHAnsi"/>
        </w:rPr>
      </w:pPr>
    </w:p>
    <w:p w14:paraId="33840BC9" w14:textId="77777777" w:rsidR="004F5BC4" w:rsidRPr="00A53261" w:rsidRDefault="004F5BC4" w:rsidP="00EB1246">
      <w:pPr>
        <w:pStyle w:val="Heading2"/>
      </w:pPr>
      <w:r w:rsidRPr="00A53261">
        <w:t>Statistical analysis</w:t>
      </w:r>
    </w:p>
    <w:p w14:paraId="401DC30A" w14:textId="3E3E96B6" w:rsidR="00DB77E4" w:rsidRDefault="00E32515" w:rsidP="00834EC2">
      <w:pPr>
        <w:rPr>
          <w:rFonts w:cstheme="minorHAnsi"/>
        </w:rPr>
      </w:pPr>
      <w:r>
        <w:rPr>
          <w:rFonts w:cstheme="minorHAnsi"/>
        </w:rPr>
        <w:t>Rates of COVID-related absence</w:t>
      </w:r>
      <w:r w:rsidR="007A7839">
        <w:rPr>
          <w:rFonts w:cstheme="minorHAnsi"/>
        </w:rPr>
        <w:t>s and symptomatic PCR-positive SARS-CoV-2 infections</w:t>
      </w:r>
      <w:r>
        <w:rPr>
          <w:rFonts w:cstheme="minorHAnsi"/>
        </w:rPr>
        <w:t xml:space="preserve"> were compared</w:t>
      </w:r>
      <w:r w:rsidR="005123DD">
        <w:rPr>
          <w:rFonts w:cstheme="minorHAnsi"/>
        </w:rPr>
        <w:t xml:space="preserve"> on an intention to treat (ITT) basis</w:t>
      </w:r>
      <w:r>
        <w:rPr>
          <w:rFonts w:cstheme="minorHAnsi"/>
        </w:rPr>
        <w:t xml:space="preserve"> using quasi-Poisson regression</w:t>
      </w:r>
      <w:r w:rsidR="001D5193">
        <w:rPr>
          <w:rFonts w:cstheme="minorHAnsi"/>
        </w:rPr>
        <w:t xml:space="preserve"> to account for over-dispersion</w:t>
      </w:r>
      <w:r w:rsidR="002407F9">
        <w:rPr>
          <w:rFonts w:cstheme="minorHAnsi"/>
        </w:rPr>
        <w:t xml:space="preserve">, considering each </w:t>
      </w:r>
      <w:r w:rsidR="00F42743">
        <w:rPr>
          <w:rFonts w:cstheme="minorHAnsi"/>
        </w:rPr>
        <w:t>school</w:t>
      </w:r>
      <w:r w:rsidR="002407F9">
        <w:rPr>
          <w:rFonts w:cstheme="minorHAnsi"/>
        </w:rPr>
        <w:t xml:space="preserve"> as the </w:t>
      </w:r>
      <w:bookmarkStart w:id="0" w:name="_GoBack"/>
      <w:r w:rsidR="002407F9">
        <w:rPr>
          <w:rFonts w:cstheme="minorHAnsi"/>
        </w:rPr>
        <w:t>unit</w:t>
      </w:r>
      <w:bookmarkEnd w:id="0"/>
      <w:r w:rsidR="002407F9">
        <w:rPr>
          <w:rFonts w:cstheme="minorHAnsi"/>
        </w:rPr>
        <w:t xml:space="preserve"> of analysis. We</w:t>
      </w:r>
      <w:r w:rsidR="00EC099D">
        <w:rPr>
          <w:rFonts w:cstheme="minorHAnsi"/>
        </w:rPr>
        <w:t xml:space="preserve"> adjust</w:t>
      </w:r>
      <w:r w:rsidR="002407F9">
        <w:rPr>
          <w:rFonts w:cstheme="minorHAnsi"/>
        </w:rPr>
        <w:t>ed</w:t>
      </w:r>
      <w:r w:rsidR="00EC099D">
        <w:rPr>
          <w:rFonts w:cstheme="minorHAnsi"/>
        </w:rPr>
        <w:t xml:space="preserve"> for randomisation strata groups</w:t>
      </w:r>
      <w:r w:rsidR="007D7E61">
        <w:rPr>
          <w:rFonts w:cstheme="minorHAnsi"/>
        </w:rPr>
        <w:t xml:space="preserve"> and participant type</w:t>
      </w:r>
      <w:r w:rsidR="00EF5D41">
        <w:rPr>
          <w:rFonts w:cstheme="minorHAnsi"/>
        </w:rPr>
        <w:t xml:space="preserve"> (student/staff)</w:t>
      </w:r>
      <w:r w:rsidR="00D278C5">
        <w:rPr>
          <w:rFonts w:cstheme="minorHAnsi"/>
        </w:rPr>
        <w:t xml:space="preserve"> and account</w:t>
      </w:r>
      <w:r w:rsidR="003A36DA">
        <w:rPr>
          <w:rFonts w:cstheme="minorHAnsi"/>
        </w:rPr>
        <w:t>ed</w:t>
      </w:r>
      <w:r w:rsidR="00D278C5">
        <w:rPr>
          <w:rFonts w:cstheme="minorHAnsi"/>
        </w:rPr>
        <w:t xml:space="preserve"> for repeated measurements from the same school over time</w:t>
      </w:r>
      <w:r w:rsidR="00746031">
        <w:rPr>
          <w:rFonts w:cstheme="minorHAnsi"/>
        </w:rPr>
        <w:t xml:space="preserve"> (see supplement for details and </w:t>
      </w:r>
      <w:r w:rsidR="0095232C">
        <w:rPr>
          <w:rFonts w:cstheme="minorHAnsi"/>
        </w:rPr>
        <w:t xml:space="preserve">for </w:t>
      </w:r>
      <w:r w:rsidR="00746031">
        <w:rPr>
          <w:rFonts w:cstheme="minorHAnsi"/>
        </w:rPr>
        <w:t>following analyses).</w:t>
      </w:r>
      <w:r w:rsidR="007A7839">
        <w:rPr>
          <w:rFonts w:cstheme="minorHAnsi"/>
        </w:rPr>
        <w:t xml:space="preserve"> </w:t>
      </w:r>
      <w:r w:rsidR="00B67804">
        <w:rPr>
          <w:rFonts w:cstheme="minorHAnsi"/>
        </w:rPr>
        <w:t xml:space="preserve">Infection incidence models were also adjusted for </w:t>
      </w:r>
      <w:r w:rsidR="009019ED">
        <w:rPr>
          <w:rFonts w:cstheme="minorHAnsi"/>
        </w:rPr>
        <w:t>community SARS-CoV-2 case counts at the lower tier local authority level (LTLA) in the prior week.</w:t>
      </w:r>
      <w:r w:rsidR="00B67804">
        <w:rPr>
          <w:rFonts w:cstheme="minorHAnsi"/>
        </w:rPr>
        <w:t xml:space="preserve"> </w:t>
      </w:r>
      <w:r w:rsidR="003E21AD">
        <w:rPr>
          <w:rFonts w:cstheme="minorHAnsi"/>
        </w:rPr>
        <w:t>To account for incomplete participation in DCT, w</w:t>
      </w:r>
      <w:r w:rsidR="002013E6">
        <w:rPr>
          <w:rFonts w:cstheme="minorHAnsi"/>
        </w:rPr>
        <w:t xml:space="preserve">e present complier average causal effects (CACE) </w:t>
      </w:r>
      <w:r w:rsidR="002013E6">
        <w:rPr>
          <w:rFonts w:cstheme="minorHAnsi"/>
        </w:rPr>
        <w:lastRenderedPageBreak/>
        <w:t>estimates for both primary outcomes</w:t>
      </w:r>
      <w:r w:rsidR="00421929">
        <w:rPr>
          <w:rFonts w:cstheme="minorHAnsi"/>
        </w:rPr>
        <w:t xml:space="preserve">, </w:t>
      </w:r>
      <w:r w:rsidR="000344C9">
        <w:rPr>
          <w:rFonts w:cstheme="minorHAnsi"/>
        </w:rPr>
        <w:t>which</w:t>
      </w:r>
      <w:r w:rsidR="000A2BCF">
        <w:rPr>
          <w:rFonts w:cstheme="minorHAnsi"/>
        </w:rPr>
        <w:t xml:space="preserve"> estimate the impact of the intervention </w:t>
      </w:r>
      <w:r w:rsidR="003352B0">
        <w:rPr>
          <w:rFonts w:cstheme="minorHAnsi"/>
        </w:rPr>
        <w:t>amongst those actively participating.</w:t>
      </w:r>
    </w:p>
    <w:p w14:paraId="424EA96D" w14:textId="77777777" w:rsidR="00DB77E4" w:rsidRDefault="00DB77E4" w:rsidP="00834EC2">
      <w:pPr>
        <w:rPr>
          <w:rFonts w:cstheme="minorHAnsi"/>
        </w:rPr>
      </w:pPr>
    </w:p>
    <w:p w14:paraId="7C4904DD" w14:textId="0228A0CF" w:rsidR="00C72626" w:rsidRDefault="005C7277" w:rsidP="00834EC2">
      <w:pPr>
        <w:rPr>
          <w:rFonts w:cstheme="minorHAnsi"/>
        </w:rPr>
      </w:pPr>
      <w:r>
        <w:rPr>
          <w:rFonts w:cstheme="minorHAnsi"/>
        </w:rPr>
        <w:t xml:space="preserve">We report </w:t>
      </w:r>
      <w:r w:rsidR="009B3FEF">
        <w:rPr>
          <w:rFonts w:cstheme="minorHAnsi"/>
        </w:rPr>
        <w:t>DCT uptake in</w:t>
      </w:r>
      <w:r w:rsidR="00255803">
        <w:rPr>
          <w:rFonts w:cstheme="minorHAnsi"/>
        </w:rPr>
        <w:t xml:space="preserve"> intervention arm participants</w:t>
      </w:r>
      <w:r w:rsidR="009438A4">
        <w:rPr>
          <w:rFonts w:cstheme="minorHAnsi"/>
        </w:rPr>
        <w:t xml:space="preserve">, on a per day and per participant basis. </w:t>
      </w:r>
      <w:r w:rsidR="00474B89">
        <w:rPr>
          <w:rFonts w:cstheme="minorHAnsi"/>
        </w:rPr>
        <w:t xml:space="preserve">We used </w:t>
      </w:r>
      <w:r w:rsidR="00766438">
        <w:rPr>
          <w:rFonts w:cstheme="minorHAnsi"/>
        </w:rPr>
        <w:t xml:space="preserve">Poisson </w:t>
      </w:r>
      <w:r w:rsidR="00474B89">
        <w:rPr>
          <w:rFonts w:cstheme="minorHAnsi"/>
        </w:rPr>
        <w:t xml:space="preserve">regression to investigate </w:t>
      </w:r>
      <w:r w:rsidR="003E730E">
        <w:rPr>
          <w:rFonts w:cstheme="minorHAnsi"/>
        </w:rPr>
        <w:t xml:space="preserve">factors associated with per </w:t>
      </w:r>
      <w:r w:rsidR="00883B2E">
        <w:rPr>
          <w:rFonts w:cstheme="minorHAnsi"/>
        </w:rPr>
        <w:t>individual</w:t>
      </w:r>
      <w:r w:rsidR="003E730E">
        <w:rPr>
          <w:rFonts w:cstheme="minorHAnsi"/>
        </w:rPr>
        <w:t xml:space="preserve"> </w:t>
      </w:r>
      <w:r w:rsidR="00883B2E">
        <w:rPr>
          <w:rFonts w:cstheme="minorHAnsi"/>
        </w:rPr>
        <w:t>participation</w:t>
      </w:r>
      <w:r w:rsidR="003E730E">
        <w:rPr>
          <w:rFonts w:cstheme="minorHAnsi"/>
        </w:rPr>
        <w:t xml:space="preserve"> rates</w:t>
      </w:r>
      <w:r w:rsidR="009339EB">
        <w:rPr>
          <w:rFonts w:cstheme="minorHAnsi"/>
        </w:rPr>
        <w:t xml:space="preserve">, including the randomisation stratification groups, participant type, </w:t>
      </w:r>
      <w:r w:rsidR="0099050E">
        <w:rPr>
          <w:rFonts w:cstheme="minorHAnsi"/>
        </w:rPr>
        <w:t>age,</w:t>
      </w:r>
      <w:r w:rsidR="009339EB">
        <w:rPr>
          <w:rFonts w:cstheme="minorHAnsi"/>
        </w:rPr>
        <w:t xml:space="preserve"> </w:t>
      </w:r>
      <w:r w:rsidR="00A50822">
        <w:rPr>
          <w:rFonts w:cstheme="minorHAnsi"/>
        </w:rPr>
        <w:t xml:space="preserve">sex, </w:t>
      </w:r>
      <w:r w:rsidR="009339EB">
        <w:rPr>
          <w:rFonts w:cstheme="minorHAnsi"/>
        </w:rPr>
        <w:t xml:space="preserve">and ethnicity. </w:t>
      </w:r>
    </w:p>
    <w:p w14:paraId="4918DFB6" w14:textId="77777777" w:rsidR="00C72626" w:rsidRDefault="00C72626" w:rsidP="00834EC2">
      <w:pPr>
        <w:rPr>
          <w:rFonts w:cstheme="minorHAnsi"/>
        </w:rPr>
      </w:pPr>
    </w:p>
    <w:p w14:paraId="28ECDD65" w14:textId="6BADCCC2" w:rsidR="00C72626" w:rsidRDefault="0061107D" w:rsidP="009A47A2">
      <w:pPr>
        <w:rPr>
          <w:rFonts w:cstheme="minorHAnsi"/>
        </w:rPr>
      </w:pPr>
      <w:r>
        <w:rPr>
          <w:rFonts w:cstheme="minorHAnsi"/>
        </w:rPr>
        <w:t xml:space="preserve">The proportion of </w:t>
      </w:r>
      <w:r w:rsidR="00AC5648">
        <w:rPr>
          <w:rFonts w:cstheme="minorHAnsi"/>
        </w:rPr>
        <w:t xml:space="preserve">close contacts testing positive on an asymptomatic </w:t>
      </w:r>
      <w:r w:rsidR="005E22B5">
        <w:rPr>
          <w:rFonts w:cstheme="minorHAnsi"/>
        </w:rPr>
        <w:t>study</w:t>
      </w:r>
      <w:r w:rsidR="00AC5648">
        <w:rPr>
          <w:rFonts w:cstheme="minorHAnsi"/>
        </w:rPr>
        <w:t xml:space="preserve"> PCR test </w:t>
      </w:r>
      <w:r w:rsidR="00836051">
        <w:rPr>
          <w:rFonts w:cstheme="minorHAnsi"/>
        </w:rPr>
        <w:t xml:space="preserve">or symptomatic community PCR test </w:t>
      </w:r>
      <w:r w:rsidR="009B6E0A">
        <w:rPr>
          <w:rFonts w:cstheme="minorHAnsi"/>
        </w:rPr>
        <w:t xml:space="preserve">was compared </w:t>
      </w:r>
      <w:r w:rsidR="0085029B">
        <w:rPr>
          <w:rFonts w:cstheme="minorHAnsi"/>
        </w:rPr>
        <w:t xml:space="preserve">between study arms </w:t>
      </w:r>
      <w:r w:rsidR="009B6E0A">
        <w:rPr>
          <w:rFonts w:cstheme="minorHAnsi"/>
        </w:rPr>
        <w:t>using logistic regression</w:t>
      </w:r>
      <w:r w:rsidR="00FF079F">
        <w:rPr>
          <w:rFonts w:cstheme="minorHAnsi"/>
        </w:rPr>
        <w:t>.</w:t>
      </w:r>
      <w:r w:rsidR="003377EE">
        <w:rPr>
          <w:rFonts w:cstheme="minorHAnsi"/>
        </w:rPr>
        <w:t xml:space="preserve"> </w:t>
      </w:r>
      <w:r w:rsidR="00FF079F">
        <w:rPr>
          <w:rFonts w:cstheme="minorHAnsi"/>
        </w:rPr>
        <w:t>G</w:t>
      </w:r>
      <w:r w:rsidR="00202199">
        <w:rPr>
          <w:rFonts w:cstheme="minorHAnsi"/>
        </w:rPr>
        <w:t xml:space="preserve">iven there were relatively few </w:t>
      </w:r>
      <w:r w:rsidR="00F145D7">
        <w:rPr>
          <w:rFonts w:cstheme="minorHAnsi"/>
        </w:rPr>
        <w:t>PCR-positive contacts</w:t>
      </w:r>
      <w:r w:rsidR="00202199">
        <w:rPr>
          <w:rFonts w:cstheme="minorHAnsi"/>
        </w:rPr>
        <w:t>, adjustment was made only for randomisation strata groups and local case counts in the previous week</w:t>
      </w:r>
      <w:r w:rsidR="00FF079F">
        <w:rPr>
          <w:rFonts w:cstheme="minorHAnsi"/>
        </w:rPr>
        <w:t>.</w:t>
      </w:r>
    </w:p>
    <w:p w14:paraId="43E121BA" w14:textId="2ED7BE5A" w:rsidR="00E122D9" w:rsidRDefault="00E122D9" w:rsidP="00834EC2">
      <w:pPr>
        <w:rPr>
          <w:rFonts w:cstheme="minorHAnsi"/>
        </w:rPr>
      </w:pPr>
    </w:p>
    <w:p w14:paraId="25AE5E1C" w14:textId="633BEFC0" w:rsidR="00E122D9" w:rsidRDefault="000D43BA" w:rsidP="00834EC2">
      <w:pPr>
        <w:rPr>
          <w:rFonts w:cstheme="minorHAnsi"/>
        </w:rPr>
      </w:pPr>
      <w:r>
        <w:rPr>
          <w:rFonts w:cstheme="minorHAnsi"/>
        </w:rPr>
        <w:t xml:space="preserve">We </w:t>
      </w:r>
      <w:r w:rsidR="00AE46E6">
        <w:rPr>
          <w:rFonts w:cstheme="minorHAnsi"/>
        </w:rPr>
        <w:t xml:space="preserve">compared the performance of LFD to PCR testing in participants </w:t>
      </w:r>
      <w:r w:rsidR="00DF6563">
        <w:rPr>
          <w:rFonts w:cstheme="minorHAnsi"/>
        </w:rPr>
        <w:t xml:space="preserve">tested by both methods on the same day, </w:t>
      </w:r>
      <w:r w:rsidR="00230079">
        <w:t>or up to 2 days later for those testing LFD-positive</w:t>
      </w:r>
      <w:r w:rsidR="00230079">
        <w:rPr>
          <w:rFonts w:cstheme="minorHAnsi"/>
        </w:rPr>
        <w:t xml:space="preserve">, </w:t>
      </w:r>
      <w:r w:rsidR="00DF6563">
        <w:rPr>
          <w:rFonts w:cstheme="minorHAnsi"/>
        </w:rPr>
        <w:t xml:space="preserve">regarding PCR testing as the reference standard. </w:t>
      </w:r>
    </w:p>
    <w:p w14:paraId="07C73740" w14:textId="4BDC1D10" w:rsidR="000344B0" w:rsidRDefault="000344B0">
      <w:pPr>
        <w:rPr>
          <w:rFonts w:cstheme="minorHAnsi"/>
        </w:rPr>
      </w:pPr>
    </w:p>
    <w:p w14:paraId="09594824" w14:textId="453C80B9" w:rsidR="00B16B8F" w:rsidRDefault="00D5780A" w:rsidP="00746656">
      <w:pPr>
        <w:pStyle w:val="Heading3"/>
      </w:pPr>
      <w:r w:rsidRPr="004B47B6">
        <w:t>Sample size and power</w:t>
      </w:r>
    </w:p>
    <w:p w14:paraId="491A2947" w14:textId="7A40BB4E" w:rsidR="00F16D86" w:rsidRDefault="00A81CE8">
      <w:pPr>
        <w:rPr>
          <w:rFonts w:cstheme="minorHAnsi"/>
        </w:rPr>
      </w:pPr>
      <w:r w:rsidRPr="00A81CE8">
        <w:rPr>
          <w:rFonts w:cstheme="minorHAnsi"/>
        </w:rPr>
        <w:t xml:space="preserve">The challenge with setting a non-inferiority margin for transmission events is that </w:t>
      </w:r>
      <w:r w:rsidR="00B020C0">
        <w:rPr>
          <w:rFonts w:cstheme="minorHAnsi"/>
        </w:rPr>
        <w:t>the margin’s</w:t>
      </w:r>
      <w:r w:rsidRPr="00A81CE8">
        <w:rPr>
          <w:rFonts w:cstheme="minorHAnsi"/>
        </w:rPr>
        <w:t xml:space="preserve"> meaning is highly dependent on the control group event rate</w:t>
      </w:r>
      <w:r w:rsidR="00B020C0">
        <w:rPr>
          <w:rFonts w:cstheme="minorHAnsi"/>
        </w:rPr>
        <w:t>.</w:t>
      </w:r>
      <w:r w:rsidR="00325609">
        <w:rPr>
          <w:rFonts w:cstheme="minorHAnsi"/>
        </w:rPr>
        <w:t xml:space="preserve"> </w:t>
      </w:r>
      <w:r w:rsidR="00B020C0">
        <w:rPr>
          <w:rFonts w:cstheme="minorHAnsi"/>
        </w:rPr>
        <w:t>I</w:t>
      </w:r>
      <w:r w:rsidR="00325609">
        <w:rPr>
          <w:rFonts w:cstheme="minorHAnsi"/>
        </w:rPr>
        <w:t xml:space="preserve">t was not possible to determine the transmission event rate in the control group </w:t>
      </w:r>
      <w:r w:rsidR="00004B90">
        <w:rPr>
          <w:rFonts w:cstheme="minorHAnsi"/>
        </w:rPr>
        <w:t>prior to</w:t>
      </w:r>
      <w:r w:rsidR="00325609">
        <w:rPr>
          <w:rFonts w:cstheme="minorHAnsi"/>
        </w:rPr>
        <w:t xml:space="preserve"> the trial</w:t>
      </w:r>
      <w:r w:rsidR="00E50544">
        <w:rPr>
          <w:rFonts w:cstheme="minorHAnsi"/>
        </w:rPr>
        <w:t xml:space="preserve"> </w:t>
      </w:r>
      <w:r w:rsidR="00004B90">
        <w:rPr>
          <w:rFonts w:cstheme="minorHAnsi"/>
        </w:rPr>
        <w:t>start,</w:t>
      </w:r>
      <w:r w:rsidR="00E50544">
        <w:rPr>
          <w:rFonts w:cstheme="minorHAnsi"/>
        </w:rPr>
        <w:t xml:space="preserve"> and it is subject to on-going change.</w:t>
      </w:r>
      <w:r w:rsidR="00566E91">
        <w:rPr>
          <w:rFonts w:cstheme="minorHAnsi"/>
        </w:rPr>
        <w:t xml:space="preserve"> </w:t>
      </w:r>
      <w:r w:rsidR="00F24241">
        <w:t>However, it</w:t>
      </w:r>
      <w:r w:rsidR="00B955EC">
        <w:t xml:space="preserve"> was considered at the time of writing the study protocol that </w:t>
      </w:r>
      <w:r w:rsidR="009376B2">
        <w:t>with</w:t>
      </w:r>
      <w:r w:rsidR="00B14825">
        <w:t xml:space="preserve"> an example infection</w:t>
      </w:r>
      <w:r w:rsidR="00680156">
        <w:t xml:space="preserve"> rate</w:t>
      </w:r>
      <w:r w:rsidR="00B14825">
        <w:t xml:space="preserve"> in contacts of 20%</w:t>
      </w:r>
      <w:r w:rsidR="009376B2">
        <w:t xml:space="preserve">, </w:t>
      </w:r>
      <w:r w:rsidR="00B955EC">
        <w:t>an upper bound of the confidence interval of a</w:t>
      </w:r>
      <w:r w:rsidR="00B14825">
        <w:t>n absolute increase of 10%, i.e.,</w:t>
      </w:r>
      <w:r w:rsidR="00B955EC">
        <w:t xml:space="preserve"> relative increase in transmission of up to 50% would be acceptable.</w:t>
      </w:r>
      <w:r w:rsidR="00DA460E">
        <w:t xml:space="preserve"> </w:t>
      </w:r>
      <w:r w:rsidR="002E0367">
        <w:t xml:space="preserve">Given the uncertainties in the absolute rates of </w:t>
      </w:r>
      <w:r w:rsidR="00E059D9">
        <w:t>transmission events in each arm, we</w:t>
      </w:r>
      <w:r w:rsidR="007658C8">
        <w:t xml:space="preserve"> </w:t>
      </w:r>
      <w:r w:rsidR="007658C8">
        <w:rPr>
          <w:rFonts w:cstheme="minorHAnsi"/>
        </w:rPr>
        <w:t>powered t</w:t>
      </w:r>
      <w:r w:rsidR="006D6CBD">
        <w:rPr>
          <w:rFonts w:cstheme="minorHAnsi"/>
        </w:rPr>
        <w:t>he</w:t>
      </w:r>
      <w:r w:rsidR="007658C8">
        <w:rPr>
          <w:rFonts w:cstheme="minorHAnsi"/>
        </w:rPr>
        <w:t xml:space="preserve"> trial to detect a difference in school attendance</w:t>
      </w:r>
      <w:r w:rsidR="00D61710">
        <w:rPr>
          <w:rFonts w:cstheme="minorHAnsi"/>
        </w:rPr>
        <w:t xml:space="preserve"> (details</w:t>
      </w:r>
      <w:r w:rsidR="000B29A0">
        <w:rPr>
          <w:rFonts w:cstheme="minorHAnsi"/>
        </w:rPr>
        <w:t xml:space="preserve"> in</w:t>
      </w:r>
      <w:r w:rsidR="005E340F">
        <w:rPr>
          <w:rFonts w:cstheme="minorHAnsi"/>
        </w:rPr>
        <w:t xml:space="preserve"> </w:t>
      </w:r>
      <w:r w:rsidR="00D61710">
        <w:rPr>
          <w:rFonts w:cstheme="minorHAnsi"/>
        </w:rPr>
        <w:t>supplement)</w:t>
      </w:r>
      <w:r w:rsidR="007658C8">
        <w:rPr>
          <w:rFonts w:cstheme="minorHAnsi"/>
        </w:rPr>
        <w:t xml:space="preserve">. </w:t>
      </w:r>
    </w:p>
    <w:p w14:paraId="7529F37A" w14:textId="77777777" w:rsidR="008C2C39" w:rsidRDefault="008C2C39">
      <w:pPr>
        <w:rPr>
          <w:rFonts w:cstheme="minorHAnsi"/>
        </w:rPr>
      </w:pPr>
    </w:p>
    <w:p w14:paraId="45956934" w14:textId="654BAA06" w:rsidR="004F5BC4" w:rsidRPr="00A53261" w:rsidRDefault="00744B96" w:rsidP="00EB1246">
      <w:pPr>
        <w:pStyle w:val="Heading2"/>
      </w:pPr>
      <w:r w:rsidRPr="00A53261">
        <w:t>Role of the f</w:t>
      </w:r>
      <w:r w:rsidR="004F5BC4" w:rsidRPr="00A53261">
        <w:t>unding source</w:t>
      </w:r>
    </w:p>
    <w:p w14:paraId="22C691E8" w14:textId="5CF05930" w:rsidR="00A53261" w:rsidRDefault="008A59FC">
      <w:pPr>
        <w:rPr>
          <w:rFonts w:cstheme="minorHAnsi"/>
        </w:rPr>
      </w:pPr>
      <w:r>
        <w:rPr>
          <w:rFonts w:cstheme="minorHAnsi"/>
        </w:rPr>
        <w:t>The UK Government Department of Health and Social Care sponsored the trial and was involved in study design</w:t>
      </w:r>
      <w:r w:rsidR="003331BD">
        <w:rPr>
          <w:rFonts w:cstheme="minorHAnsi"/>
        </w:rPr>
        <w:t xml:space="preserve">, </w:t>
      </w:r>
      <w:r>
        <w:rPr>
          <w:rFonts w:cstheme="minorHAnsi"/>
        </w:rPr>
        <w:t>matching of NHS Test and Trace data with study records</w:t>
      </w:r>
      <w:r w:rsidR="00956DA7">
        <w:rPr>
          <w:rFonts w:cstheme="minorHAnsi"/>
        </w:rPr>
        <w:t xml:space="preserve">, </w:t>
      </w:r>
      <w:r w:rsidR="00DE03A4">
        <w:rPr>
          <w:rFonts w:cstheme="minorHAnsi"/>
        </w:rPr>
        <w:t>data curation</w:t>
      </w:r>
      <w:r w:rsidR="00956DA7">
        <w:rPr>
          <w:rFonts w:cstheme="minorHAnsi"/>
        </w:rPr>
        <w:t xml:space="preserve"> and </w:t>
      </w:r>
      <w:r w:rsidR="009F12D4">
        <w:rPr>
          <w:rFonts w:cstheme="minorHAnsi"/>
        </w:rPr>
        <w:t>interim</w:t>
      </w:r>
      <w:r w:rsidR="00956DA7">
        <w:rPr>
          <w:rFonts w:cstheme="minorHAnsi"/>
        </w:rPr>
        <w:t xml:space="preserve"> monitoring</w:t>
      </w:r>
      <w:r>
        <w:rPr>
          <w:rFonts w:cstheme="minorHAnsi"/>
        </w:rPr>
        <w:t>. Otherwise, t</w:t>
      </w:r>
      <w:r w:rsidR="00E90092" w:rsidRPr="00A53261">
        <w:rPr>
          <w:rFonts w:cstheme="minorHAnsi"/>
        </w:rPr>
        <w:t xml:space="preserve">he study sponsor had no role in data analysis and interpretation or writing </w:t>
      </w:r>
      <w:r w:rsidR="003401B5">
        <w:rPr>
          <w:rFonts w:cstheme="minorHAnsi"/>
        </w:rPr>
        <w:t xml:space="preserve">and submission </w:t>
      </w:r>
      <w:r w:rsidR="00E90092" w:rsidRPr="00A53261">
        <w:rPr>
          <w:rFonts w:cstheme="minorHAnsi"/>
        </w:rPr>
        <w:t xml:space="preserve">of the report. </w:t>
      </w:r>
    </w:p>
    <w:p w14:paraId="587A065E" w14:textId="224A706F" w:rsidR="00A53261" w:rsidRDefault="00A53261">
      <w:pPr>
        <w:rPr>
          <w:rFonts w:cstheme="minorHAnsi"/>
        </w:rPr>
      </w:pPr>
    </w:p>
    <w:p w14:paraId="4CD02E9C" w14:textId="77777777" w:rsidR="009A687A" w:rsidRDefault="009A687A" w:rsidP="009A687A">
      <w:pPr>
        <w:pStyle w:val="Heading1"/>
      </w:pPr>
      <w:r>
        <w:t>Results</w:t>
      </w:r>
    </w:p>
    <w:p w14:paraId="6998FD9F" w14:textId="2CC3A75B" w:rsidR="009A687A" w:rsidRDefault="009A687A" w:rsidP="009A687A">
      <w:r>
        <w:t>201 schools were randomised</w:t>
      </w:r>
      <w:r w:rsidR="00917836">
        <w:t xml:space="preserve"> (Table S1</w:t>
      </w:r>
      <w:r w:rsidR="0059005D">
        <w:t>;Figure S1</w:t>
      </w:r>
      <w:r w:rsidR="00917836">
        <w:t>)</w:t>
      </w:r>
      <w:r w:rsidR="00DD1D27">
        <w:t xml:space="preserve"> and</w:t>
      </w:r>
      <w:r w:rsidR="00B60728">
        <w:t xml:space="preserve"> started participating in the </w:t>
      </w:r>
      <w:r w:rsidR="00652572">
        <w:t xml:space="preserve">10-week </w:t>
      </w:r>
      <w:r w:rsidR="00B60728">
        <w:t xml:space="preserve">study between 19-April-2021 and 10-May-2021 and continued until </w:t>
      </w:r>
      <w:r w:rsidR="005E0AE9">
        <w:t xml:space="preserve">the pre-appointed stop date </w:t>
      </w:r>
      <w:r w:rsidR="00B60728">
        <w:t xml:space="preserve">27-June-2021; </w:t>
      </w:r>
      <w:r>
        <w:t xml:space="preserve">76/99(77%) control and 86/102(84%) intervention schools actively participated, returning student/staff lists and attendance data (Figure 1). </w:t>
      </w:r>
    </w:p>
    <w:p w14:paraId="2D46ACA2" w14:textId="77777777" w:rsidR="009A687A" w:rsidRDefault="009A687A" w:rsidP="009A687A"/>
    <w:p w14:paraId="0B597D99" w14:textId="77777777" w:rsidR="009A687A" w:rsidRDefault="009A687A" w:rsidP="009A687A">
      <w:pPr>
        <w:pStyle w:val="Heading2"/>
      </w:pPr>
      <w:r>
        <w:t>Baseline characteristics</w:t>
      </w:r>
    </w:p>
    <w:p w14:paraId="033419A6" w14:textId="18559453" w:rsidR="009A687A" w:rsidRDefault="009A687A" w:rsidP="009A687A">
      <w:r>
        <w:t xml:space="preserve">Schools were randomised using 9 </w:t>
      </w:r>
      <w:r w:rsidR="00545173">
        <w:t xml:space="preserve">school-type </w:t>
      </w:r>
      <w:r>
        <w:t>strata</w:t>
      </w:r>
      <w:r w:rsidR="00545173">
        <w:t xml:space="preserve"> </w:t>
      </w:r>
      <w:r>
        <w:t xml:space="preserve">(Table 1). Schools in the control and intervention arms had a median(IQR) 1014(529-1376) and 1025(682-1359) students and 142(91-189) and 125(91-173) staff respectively. </w:t>
      </w:r>
      <w:r w:rsidR="00096A73">
        <w:t>A</w:t>
      </w:r>
      <w:r>
        <w:t>ges</w:t>
      </w:r>
      <w:r w:rsidR="00793B33">
        <w:t>, sex</w:t>
      </w:r>
      <w:r>
        <w:t xml:space="preserve"> and ethnic groups in students and staff were similar between the study arms, most students </w:t>
      </w:r>
      <w:r w:rsidR="00A7092B">
        <w:t xml:space="preserve">were </w:t>
      </w:r>
      <w:r>
        <w:t>aged 11-18</w:t>
      </w:r>
      <w:r w:rsidR="00215AF6">
        <w:t xml:space="preserve">y </w:t>
      </w:r>
      <w:r>
        <w:t>(Table 2).</w:t>
      </w:r>
    </w:p>
    <w:p w14:paraId="00C8983A" w14:textId="77777777" w:rsidR="009A687A" w:rsidRDefault="009A687A" w:rsidP="009A687A"/>
    <w:p w14:paraId="2A848EEA" w14:textId="53B6D9D2" w:rsidR="009A687A" w:rsidRDefault="009A687A" w:rsidP="009A687A">
      <w:pPr>
        <w:pStyle w:val="Heading2"/>
      </w:pPr>
      <w:r>
        <w:t>Index case</w:t>
      </w:r>
      <w:r w:rsidR="002A1DAD">
        <w:t xml:space="preserve">s </w:t>
      </w:r>
      <w:r>
        <w:t>and contacts</w:t>
      </w:r>
    </w:p>
    <w:p w14:paraId="2139AE27" w14:textId="51F92E46" w:rsidR="00C6105F" w:rsidRDefault="009A687A" w:rsidP="009A687A">
      <w:r>
        <w:t>The 76 and 8</w:t>
      </w:r>
      <w:r w:rsidR="0058097B">
        <w:t>6</w:t>
      </w:r>
      <w:r>
        <w:t xml:space="preserve"> actively participating control and intervention schools reported 338 and 450 index cases (students or staff) respectively</w:t>
      </w:r>
      <w:r w:rsidR="00EE4D57">
        <w:t>, resulting</w:t>
      </w:r>
      <w:r>
        <w:t xml:space="preserve"> in 5097 and 6721 recorded </w:t>
      </w:r>
      <w:r w:rsidR="0095466D">
        <w:t xml:space="preserve">school-based </w:t>
      </w:r>
      <w:r>
        <w:t>contact</w:t>
      </w:r>
      <w:r w:rsidR="00966C39">
        <w:t xml:space="preserve"> events</w:t>
      </w:r>
      <w:r w:rsidR="00BE640F">
        <w:t xml:space="preserve"> </w:t>
      </w:r>
      <w:r>
        <w:t xml:space="preserve">in 4400 and 5797 individuals. A total of 247 and 343 control and intervention arm index cases had ≥1 contact, where the 10 days following the </w:t>
      </w:r>
      <w:r w:rsidR="009B0919">
        <w:t>contact event</w:t>
      </w:r>
      <w:r>
        <w:t xml:space="preserve"> included ≥1 </w:t>
      </w:r>
      <w:r w:rsidR="007105A6">
        <w:t xml:space="preserve">study </w:t>
      </w:r>
      <w:r>
        <w:t xml:space="preserve">school day. </w:t>
      </w:r>
      <w:r w:rsidR="00E760BA">
        <w:t xml:space="preserve">The remaining </w:t>
      </w:r>
      <w:r w:rsidR="007B0258">
        <w:t>i</w:t>
      </w:r>
      <w:r w:rsidR="00526BF7">
        <w:t xml:space="preserve">ndex cases had </w:t>
      </w:r>
      <w:r w:rsidR="00AB33C9">
        <w:t>no reported</w:t>
      </w:r>
      <w:r w:rsidR="00526BF7">
        <w:t xml:space="preserve"> close contacts</w:t>
      </w:r>
      <w:r w:rsidR="00D74249">
        <w:t xml:space="preserve">, e.g. having tested positive </w:t>
      </w:r>
      <w:r w:rsidR="003654C4">
        <w:t>during</w:t>
      </w:r>
      <w:r w:rsidR="00D74249">
        <w:t xml:space="preserve"> </w:t>
      </w:r>
      <w:r w:rsidR="003654C4">
        <w:t>a</w:t>
      </w:r>
      <w:r w:rsidR="00D74249">
        <w:t xml:space="preserve"> weekend</w:t>
      </w:r>
      <w:r w:rsidR="003654C4">
        <w:t>/holiday</w:t>
      </w:r>
      <w:r w:rsidR="00D74249">
        <w:t>.</w:t>
      </w:r>
      <w:r w:rsidR="00526BF7">
        <w:t xml:space="preserve"> </w:t>
      </w:r>
      <w:r>
        <w:t xml:space="preserve">These 4463 and 5763 contacts in 47 and 59 control and intervention schools involved a total of 22,466 and 27,973 school days where without the intervention students and staff would have been asked to isolate at home. </w:t>
      </w:r>
      <w:r w:rsidR="00C1338A">
        <w:t xml:space="preserve">In the </w:t>
      </w:r>
      <w:r>
        <w:t>intervention arm</w:t>
      </w:r>
      <w:r w:rsidR="00107635">
        <w:t>, this represented</w:t>
      </w:r>
      <w:r>
        <w:t xml:space="preserve"> a theoretical maximum of 27,973/</w:t>
      </w:r>
      <w:r w:rsidRPr="00F85CD2">
        <w:t>4</w:t>
      </w:r>
      <w:r>
        <w:t>,</w:t>
      </w:r>
      <w:r w:rsidRPr="00F85CD2">
        <w:t>105</w:t>
      </w:r>
      <w:r>
        <w:t>,</w:t>
      </w:r>
      <w:r w:rsidRPr="00F85CD2">
        <w:t>826</w:t>
      </w:r>
      <w:r>
        <w:t>(0.68%) school days</w:t>
      </w:r>
      <w:r w:rsidR="00D501F5">
        <w:t xml:space="preserve"> where </w:t>
      </w:r>
      <w:r w:rsidR="001B4FE5">
        <w:t>DCT could</w:t>
      </w:r>
      <w:r>
        <w:t xml:space="preserve"> potentially prevent COVID-related absences</w:t>
      </w:r>
      <w:r w:rsidR="001B4FE5">
        <w:t>.</w:t>
      </w:r>
      <w:r w:rsidR="00244354">
        <w:t xml:space="preserve"> O</w:t>
      </w:r>
      <w:r>
        <w:t>n 13,84</w:t>
      </w:r>
      <w:r w:rsidR="00C87513">
        <w:t>6</w:t>
      </w:r>
      <w:r w:rsidR="00244354">
        <w:t>/27,973</w:t>
      </w:r>
      <w:r>
        <w:t>(49.5%) days a</w:t>
      </w:r>
      <w:r w:rsidR="00F465ED">
        <w:t>n</w:t>
      </w:r>
      <w:r>
        <w:t xml:space="preserve"> </w:t>
      </w:r>
      <w:r w:rsidR="000F0710">
        <w:t>LFD</w:t>
      </w:r>
      <w:r>
        <w:t xml:space="preserve"> result was recorded (or the contact had already completed follow-up, i.e., recorded ≥5 tests or a positive test). In </w:t>
      </w:r>
      <w:r w:rsidR="00633CF5">
        <w:t>1241</w:t>
      </w:r>
      <w:r>
        <w:t xml:space="preserve"> contact episodes, the contact declined to participate in </w:t>
      </w:r>
      <w:r w:rsidR="00975ACB">
        <w:t>DCT</w:t>
      </w:r>
      <w:r>
        <w:t xml:space="preserve"> (</w:t>
      </w:r>
      <w:r w:rsidR="003E41DD">
        <w:t>5598</w:t>
      </w:r>
      <w:r>
        <w:t xml:space="preserve"> person-school-days</w:t>
      </w:r>
      <w:r w:rsidR="009257AE">
        <w:t>;</w:t>
      </w:r>
      <w:r w:rsidR="003E41DD">
        <w:t>19.9</w:t>
      </w:r>
      <w:r>
        <w:t xml:space="preserve">%) and on </w:t>
      </w:r>
      <w:r w:rsidR="003E41DD">
        <w:t>2600</w:t>
      </w:r>
      <w:r>
        <w:t>(9.</w:t>
      </w:r>
      <w:r w:rsidR="003E41DD">
        <w:t>2</w:t>
      </w:r>
      <w:r>
        <w:t xml:space="preserve">%) person-school-days a participating contact was </w:t>
      </w:r>
      <w:r w:rsidR="00012359">
        <w:t>un</w:t>
      </w:r>
      <w:r>
        <w:t xml:space="preserve">available </w:t>
      </w:r>
      <w:r w:rsidR="00B561B2">
        <w:t>testing</w:t>
      </w:r>
      <w:r>
        <w:t xml:space="preserve"> (i.e. did not attend school or declined testing). </w:t>
      </w:r>
      <w:r w:rsidR="00564A17">
        <w:t>Testing on</w:t>
      </w:r>
      <w:r>
        <w:t xml:space="preserve"> </w:t>
      </w:r>
      <w:r w:rsidR="006544BE">
        <w:t>4457</w:t>
      </w:r>
      <w:r>
        <w:t>(</w:t>
      </w:r>
      <w:r w:rsidR="006544BE">
        <w:t>15.8</w:t>
      </w:r>
      <w:r>
        <w:t xml:space="preserve">%) person-school-days </w:t>
      </w:r>
      <w:r w:rsidR="00564A17">
        <w:t xml:space="preserve">did not occur </w:t>
      </w:r>
      <w:r>
        <w:t>after the whole cohort of contacts</w:t>
      </w:r>
      <w:r w:rsidR="00935F2C">
        <w:t xml:space="preserve"> or school</w:t>
      </w:r>
      <w:r>
        <w:t xml:space="preserve"> was sent home to isolate, following either school or public health </w:t>
      </w:r>
      <w:r w:rsidR="00BE2ACF">
        <w:t xml:space="preserve">agency </w:t>
      </w:r>
      <w:r>
        <w:t xml:space="preserve">intervention (Figure 2A). </w:t>
      </w:r>
      <w:r w:rsidR="00D65426">
        <w:t xml:space="preserve">These </w:t>
      </w:r>
      <w:r w:rsidR="00935F2C">
        <w:t xml:space="preserve">participation </w:t>
      </w:r>
      <w:r w:rsidR="00D65426">
        <w:t>p</w:t>
      </w:r>
      <w:r w:rsidR="00935F2C">
        <w:t>auses occurred at</w:t>
      </w:r>
      <w:r w:rsidR="006F42AA">
        <w:t xml:space="preserve"> </w:t>
      </w:r>
      <w:r w:rsidR="007473EA">
        <w:t>1</w:t>
      </w:r>
      <w:r w:rsidR="00DA5DD1">
        <w:t>4</w:t>
      </w:r>
      <w:r w:rsidR="00D65426">
        <w:t xml:space="preserve"> </w:t>
      </w:r>
      <w:r w:rsidR="006F42AA">
        <w:t>schools</w:t>
      </w:r>
      <w:r w:rsidR="00B76743">
        <w:t xml:space="preserve">, </w:t>
      </w:r>
      <w:r w:rsidR="00DA5DD1">
        <w:t>5</w:t>
      </w:r>
      <w:r w:rsidR="00661C12">
        <w:t xml:space="preserve"> </w:t>
      </w:r>
      <w:r w:rsidR="00B76743">
        <w:t>due to school capacity issues</w:t>
      </w:r>
      <w:r w:rsidR="0014024D">
        <w:t>,</w:t>
      </w:r>
      <w:r w:rsidR="00B76743">
        <w:t xml:space="preserve"> </w:t>
      </w:r>
      <w:r w:rsidR="0093668C">
        <w:t xml:space="preserve">6 </w:t>
      </w:r>
      <w:r w:rsidR="00BA30C9">
        <w:t>following</w:t>
      </w:r>
      <w:r w:rsidR="0014024D">
        <w:t xml:space="preserve"> school or</w:t>
      </w:r>
      <w:r w:rsidR="00B76743">
        <w:t xml:space="preserve"> public health agency concern</w:t>
      </w:r>
      <w:r w:rsidR="00CB2166">
        <w:t xml:space="preserve"> about </w:t>
      </w:r>
      <w:r w:rsidR="00E3794B">
        <w:t xml:space="preserve">the </w:t>
      </w:r>
      <w:r w:rsidR="006301E4">
        <w:t>D</w:t>
      </w:r>
      <w:r w:rsidR="0093668C">
        <w:t>elta</w:t>
      </w:r>
      <w:r w:rsidR="005F5838">
        <w:t xml:space="preserve"> variant</w:t>
      </w:r>
      <w:r w:rsidR="00DA5DD1">
        <w:t xml:space="preserve">, and 3 </w:t>
      </w:r>
      <w:r w:rsidR="007F6A7D">
        <w:t>after</w:t>
      </w:r>
      <w:r w:rsidR="00DA5DD1">
        <w:t xml:space="preserve"> public health concern about</w:t>
      </w:r>
      <w:r w:rsidR="005F5838">
        <w:t xml:space="preserve"> </w:t>
      </w:r>
      <w:r w:rsidR="00DA5DD1">
        <w:t>cases</w:t>
      </w:r>
      <w:r w:rsidR="00C15986">
        <w:t xml:space="preserve"> </w:t>
      </w:r>
      <w:r w:rsidR="00137103">
        <w:t xml:space="preserve">in the </w:t>
      </w:r>
      <w:r w:rsidR="00DA5DD1">
        <w:t xml:space="preserve">school </w:t>
      </w:r>
      <w:r w:rsidR="00E82EFD">
        <w:t>arising from</w:t>
      </w:r>
      <w:r w:rsidR="00DA5DD1">
        <w:t xml:space="preserve"> </w:t>
      </w:r>
      <w:r w:rsidR="00004B90">
        <w:t>community</w:t>
      </w:r>
      <w:r w:rsidR="00DA5DD1">
        <w:t xml:space="preserve"> </w:t>
      </w:r>
      <w:r w:rsidR="005F5838">
        <w:t>transmission</w:t>
      </w:r>
      <w:r w:rsidR="00036544">
        <w:t xml:space="preserve">. </w:t>
      </w:r>
      <w:r w:rsidR="0054273A">
        <w:t xml:space="preserve">No pause was instituted </w:t>
      </w:r>
      <w:r w:rsidR="00137103">
        <w:t>because of</w:t>
      </w:r>
      <w:r w:rsidR="0054273A">
        <w:t xml:space="preserve"> excess transmission </w:t>
      </w:r>
      <w:r w:rsidR="00036544">
        <w:t>attributed to</w:t>
      </w:r>
      <w:r w:rsidR="0054273A">
        <w:t xml:space="preserve"> the intervention. </w:t>
      </w:r>
    </w:p>
    <w:p w14:paraId="6852A764" w14:textId="3326E637" w:rsidR="00C6105F" w:rsidRDefault="00C6105F" w:rsidP="009A687A"/>
    <w:p w14:paraId="2B062A7B" w14:textId="6B025CEC" w:rsidR="009A687A" w:rsidRDefault="00FD41F7" w:rsidP="009A687A">
      <w:r>
        <w:t>Per</w:t>
      </w:r>
      <w:r w:rsidR="00AB1469">
        <w:t xml:space="preserve"> </w:t>
      </w:r>
      <w:r>
        <w:t>day DCT p</w:t>
      </w:r>
      <w:r w:rsidR="009A687A">
        <w:t>articipation</w:t>
      </w:r>
      <w:r>
        <w:t xml:space="preserve"> </w:t>
      </w:r>
      <w:r w:rsidR="009A687A">
        <w:t>was highest at the start of the study and lowest in the week prior to the “half-term” holiday (31-May-2021 to 04-June-2021) when participation fell</w:t>
      </w:r>
      <w:r w:rsidR="00D81E31">
        <w:t xml:space="preserve">, predominately due to </w:t>
      </w:r>
      <w:r w:rsidR="00384887">
        <w:t xml:space="preserve">school-wide participation pauses </w:t>
      </w:r>
      <w:r w:rsidR="009A687A">
        <w:t xml:space="preserve">(Figure </w:t>
      </w:r>
      <w:r w:rsidR="00B7099C">
        <w:t>2A,</w:t>
      </w:r>
      <w:r w:rsidR="009A687A">
        <w:t>2B).</w:t>
      </w:r>
    </w:p>
    <w:p w14:paraId="26988D4C" w14:textId="77777777" w:rsidR="009A687A" w:rsidRDefault="009A687A" w:rsidP="009A687A"/>
    <w:p w14:paraId="45716391" w14:textId="043F06AA" w:rsidR="009A687A" w:rsidRDefault="009A687A" w:rsidP="009A687A">
      <w:r>
        <w:t xml:space="preserve">Using reporting of ≥3 </w:t>
      </w:r>
      <w:r w:rsidR="000F0710">
        <w:t>LFD</w:t>
      </w:r>
      <w:r>
        <w:t xml:space="preserve"> results or a</w:t>
      </w:r>
      <w:r w:rsidR="001A538B">
        <w:t>n</w:t>
      </w:r>
      <w:r>
        <w:t xml:space="preserve"> </w:t>
      </w:r>
      <w:r w:rsidR="001A538B">
        <w:t>LFD-</w:t>
      </w:r>
      <w:r>
        <w:t>positive result to summarise participation</w:t>
      </w:r>
      <w:r w:rsidRPr="00C239C5">
        <w:t xml:space="preserve"> </w:t>
      </w:r>
      <w:r>
        <w:t>per contact</w:t>
      </w:r>
      <w:r w:rsidR="00957A24">
        <w:t xml:space="preserve"> rather than per day</w:t>
      </w:r>
      <w:r>
        <w:t xml:space="preserve">, </w:t>
      </w:r>
      <w:r w:rsidR="00F814A4">
        <w:t xml:space="preserve">2432/5763(42.4%) </w:t>
      </w:r>
      <w:r w:rsidR="00574E00">
        <w:t xml:space="preserve">contacts participated, with </w:t>
      </w:r>
      <w:r>
        <w:t xml:space="preserve">differing rates </w:t>
      </w:r>
      <w:r w:rsidR="00574E00">
        <w:t>by</w:t>
      </w:r>
      <w:r>
        <w:t xml:space="preserve"> school (Figure </w:t>
      </w:r>
      <w:r w:rsidR="00F62544">
        <w:t>2C</w:t>
      </w:r>
      <w:r>
        <w:t>). The median</w:t>
      </w:r>
      <w:r w:rsidR="00726846">
        <w:t>(IQR)</w:t>
      </w:r>
      <w:r>
        <w:t xml:space="preserve"> </w:t>
      </w:r>
      <w:r w:rsidR="00F31F1F">
        <w:t>participation</w:t>
      </w:r>
      <w:r>
        <w:t xml:space="preserve"> across the 59 schools was 63%(40-79%). </w:t>
      </w:r>
      <w:r w:rsidR="00256614">
        <w:t>S</w:t>
      </w:r>
      <w:r>
        <w:t>taff were more likely to participate than students (</w:t>
      </w:r>
      <w:r w:rsidR="006317C6">
        <w:t>adjusted</w:t>
      </w:r>
      <w:r>
        <w:t xml:space="preserve"> </w:t>
      </w:r>
      <w:r w:rsidR="009C7255">
        <w:t>rate ratio</w:t>
      </w:r>
      <w:r w:rsidR="006317C6">
        <w:t>=</w:t>
      </w:r>
      <w:r w:rsidR="00310DD8">
        <w:t>1.40</w:t>
      </w:r>
      <w:r>
        <w:t>;95%CI 1.</w:t>
      </w:r>
      <w:r w:rsidR="00237828">
        <w:t>09</w:t>
      </w:r>
      <w:r>
        <w:t>-</w:t>
      </w:r>
      <w:r w:rsidR="00237828">
        <w:t>1.80</w:t>
      </w:r>
      <w:r>
        <w:t>;p=0.00</w:t>
      </w:r>
      <w:r w:rsidR="00237828">
        <w:t>9</w:t>
      </w:r>
      <w:r>
        <w:t>)</w:t>
      </w:r>
      <w:r w:rsidR="005369F7">
        <w:t xml:space="preserve">. </w:t>
      </w:r>
      <w:r>
        <w:t>Amongst schools with ≤17% of students receiving free school meals, participation rates were higher in schools with students aged 11-16 years compared to 11-18 years (Table 3).</w:t>
      </w:r>
    </w:p>
    <w:p w14:paraId="2A058C0A" w14:textId="77777777" w:rsidR="009A687A" w:rsidRDefault="009A687A" w:rsidP="009A687A"/>
    <w:p w14:paraId="6AE3350B" w14:textId="560FAD64" w:rsidR="009A687A" w:rsidRDefault="009A687A" w:rsidP="009A687A">
      <w:pPr>
        <w:pStyle w:val="Heading2"/>
      </w:pPr>
      <w:r>
        <w:t>COVID-related absences</w:t>
      </w:r>
    </w:p>
    <w:p w14:paraId="75E2F590" w14:textId="00EF5851" w:rsidR="009A687A" w:rsidRDefault="009A687A" w:rsidP="009A687A">
      <w:r>
        <w:t xml:space="preserve">Rates of </w:t>
      </w:r>
      <w:r w:rsidR="00205B69">
        <w:t xml:space="preserve">student and staff </w:t>
      </w:r>
      <w:r>
        <w:t>COVID-related absence</w:t>
      </w:r>
      <w:r w:rsidR="005320B9">
        <w:t>, due to</w:t>
      </w:r>
      <w:r>
        <w:t xml:space="preserve"> known</w:t>
      </w:r>
      <w:r w:rsidR="00E701E0">
        <w:t xml:space="preserve"> or </w:t>
      </w:r>
      <w:r>
        <w:t>suspected COVID or as a contact</w:t>
      </w:r>
      <w:r w:rsidR="005320B9">
        <w:t>,</w:t>
      </w:r>
      <w:r>
        <w:t xml:space="preserve"> were compared. Student attendance data were available for part</w:t>
      </w:r>
      <w:r w:rsidR="003349B4">
        <w:t xml:space="preserve"> or </w:t>
      </w:r>
      <w:r w:rsidR="00EA05F0">
        <w:t>all</w:t>
      </w:r>
      <w:r>
        <w:t xml:space="preserve"> of the study from 91(92%) of control and 99(97%) intervention schools; with </w:t>
      </w:r>
      <w:r w:rsidR="00C54E46">
        <w:t xml:space="preserve">data for </w:t>
      </w:r>
      <w:r>
        <w:t>355</w:t>
      </w:r>
      <w:r w:rsidR="0025737A">
        <w:t>1</w:t>
      </w:r>
      <w:r>
        <w:t>/4146(86%) and 3836/4261(90%) of possible school</w:t>
      </w:r>
      <w:r w:rsidR="00C51AEF">
        <w:t>-</w:t>
      </w:r>
      <w:r>
        <w:t xml:space="preserve">school day combinations (Figure </w:t>
      </w:r>
      <w:r w:rsidR="0068146F">
        <w:t>S</w:t>
      </w:r>
      <w:r w:rsidR="0059005D">
        <w:t>2</w:t>
      </w:r>
      <w:r>
        <w:t xml:space="preserve">). Similarly, staff attendance was available from 94(95%) control and 100(98%) intervention arm schools, </w:t>
      </w:r>
      <w:r w:rsidR="00C51AEF">
        <w:t xml:space="preserve">for </w:t>
      </w:r>
      <w:r>
        <w:t>376</w:t>
      </w:r>
      <w:r w:rsidR="00FC1BCD">
        <w:t>7</w:t>
      </w:r>
      <w:r>
        <w:t xml:space="preserve">/4146(91%) and 3925/4261(92%) </w:t>
      </w:r>
      <w:r w:rsidR="00C51AEF">
        <w:t>days</w:t>
      </w:r>
      <w:r>
        <w:t xml:space="preserve">. 95,545 and 102,134 </w:t>
      </w:r>
      <w:r w:rsidR="007A595F">
        <w:t xml:space="preserve">students and 14,687 and 14,811 staff were reported in </w:t>
      </w:r>
      <w:r w:rsidR="00BC0670">
        <w:t xml:space="preserve">control and intervention arm </w:t>
      </w:r>
      <w:r w:rsidR="007A595F">
        <w:t>attendance data</w:t>
      </w:r>
      <w:r>
        <w:t>. (</w:t>
      </w:r>
      <w:r w:rsidR="00AC52E4">
        <w:t>Total numbers of students and staff in a</w:t>
      </w:r>
      <w:r w:rsidR="00534102">
        <w:t>ggregate attendance</w:t>
      </w:r>
      <w:r>
        <w:t xml:space="preserve"> </w:t>
      </w:r>
      <w:r w:rsidR="00E05467">
        <w:t>data</w:t>
      </w:r>
      <w:r w:rsidR="00534102">
        <w:t xml:space="preserve"> </w:t>
      </w:r>
      <w:r>
        <w:t xml:space="preserve">differ to </w:t>
      </w:r>
      <w:r w:rsidR="00D02312">
        <w:t>total</w:t>
      </w:r>
      <w:r w:rsidR="00BC0EF3">
        <w:t>s</w:t>
      </w:r>
      <w:r w:rsidR="00D02312">
        <w:t xml:space="preserve"> from </w:t>
      </w:r>
      <w:r>
        <w:t xml:space="preserve">student/staff </w:t>
      </w:r>
      <w:r w:rsidR="00D02312">
        <w:t xml:space="preserve">identifier </w:t>
      </w:r>
      <w:r>
        <w:t>lists</w:t>
      </w:r>
      <w:r w:rsidR="001551AA">
        <w:t xml:space="preserve"> used to identify symptomatic cases</w:t>
      </w:r>
      <w:r w:rsidR="00376B9F">
        <w:t xml:space="preserve"> [Table 2]</w:t>
      </w:r>
      <w:r>
        <w:t xml:space="preserve">, reflecting different underlying data sources and </w:t>
      </w:r>
      <w:r w:rsidR="0076758A">
        <w:t xml:space="preserve">different </w:t>
      </w:r>
      <w:r>
        <w:t xml:space="preserve">schools with available data). </w:t>
      </w:r>
    </w:p>
    <w:p w14:paraId="1EF394EB" w14:textId="77777777" w:rsidR="009A687A" w:rsidRDefault="009A687A" w:rsidP="009A687A"/>
    <w:p w14:paraId="01A4BBBD" w14:textId="0C0B52E1" w:rsidR="009A687A" w:rsidRDefault="00846154" w:rsidP="009A687A">
      <w:r>
        <w:t>Students had</w:t>
      </w:r>
      <w:r w:rsidR="009A687A">
        <w:t xml:space="preserve"> </w:t>
      </w:r>
      <w:r w:rsidR="00F411C8" w:rsidRPr="00F411C8">
        <w:t>55</w:t>
      </w:r>
      <w:r w:rsidR="00F411C8">
        <w:t>,</w:t>
      </w:r>
      <w:r w:rsidR="00F411C8" w:rsidRPr="00F411C8">
        <w:t>718</w:t>
      </w:r>
      <w:r w:rsidR="00F411C8">
        <w:t xml:space="preserve"> </w:t>
      </w:r>
      <w:r w:rsidR="009A687A">
        <w:t xml:space="preserve">COVID-related absences during </w:t>
      </w:r>
      <w:r w:rsidR="009C055C" w:rsidRPr="009C055C">
        <w:t>3</w:t>
      </w:r>
      <w:r w:rsidR="009C055C">
        <w:t>,</w:t>
      </w:r>
      <w:r w:rsidR="009C055C" w:rsidRPr="009C055C">
        <w:t>092</w:t>
      </w:r>
      <w:r w:rsidR="009C055C">
        <w:t>,</w:t>
      </w:r>
      <w:r w:rsidR="009C055C" w:rsidRPr="009C055C">
        <w:t>515</w:t>
      </w:r>
      <w:r w:rsidR="009C055C">
        <w:t xml:space="preserve"> </w:t>
      </w:r>
      <w:r w:rsidR="00547AE3">
        <w:t>person-school-days</w:t>
      </w:r>
      <w:r w:rsidR="009A687A">
        <w:t xml:space="preserve"> in the control arm (1.</w:t>
      </w:r>
      <w:r w:rsidR="004A053B">
        <w:t>80</w:t>
      </w:r>
      <w:r w:rsidR="009A687A">
        <w:t xml:space="preserve">%), and </w:t>
      </w:r>
      <w:r w:rsidR="004A7AB5" w:rsidRPr="004A7AB5">
        <w:t>48</w:t>
      </w:r>
      <w:r w:rsidR="004A7AB5">
        <w:t>,</w:t>
      </w:r>
      <w:r w:rsidR="004A7AB5" w:rsidRPr="004A7AB5">
        <w:t>609</w:t>
      </w:r>
      <w:r w:rsidR="004A7AB5">
        <w:t xml:space="preserve"> </w:t>
      </w:r>
      <w:r w:rsidR="009A687A">
        <w:t>during</w:t>
      </w:r>
      <w:r w:rsidR="009A687A" w:rsidRPr="001778E2">
        <w:rPr>
          <w:rFonts w:ascii="Helvetica Neue" w:eastAsia="Times New Roman" w:hAnsi="Helvetica Neue" w:cs="Times New Roman"/>
          <w:color w:val="333333"/>
          <w:sz w:val="21"/>
          <w:szCs w:val="21"/>
        </w:rPr>
        <w:t xml:space="preserve"> </w:t>
      </w:r>
      <w:r w:rsidR="004A7AB5" w:rsidRPr="004A7AB5">
        <w:t>3</w:t>
      </w:r>
      <w:r w:rsidR="004A7AB5">
        <w:t>,</w:t>
      </w:r>
      <w:r w:rsidR="004A7AB5" w:rsidRPr="004A7AB5">
        <w:t>305</w:t>
      </w:r>
      <w:r w:rsidR="004A7AB5">
        <w:t>,</w:t>
      </w:r>
      <w:r w:rsidR="004A7AB5" w:rsidRPr="004A7AB5">
        <w:t>403</w:t>
      </w:r>
      <w:r w:rsidR="004A7AB5">
        <w:t xml:space="preserve"> </w:t>
      </w:r>
      <w:r w:rsidR="00547AE3">
        <w:t xml:space="preserve">person-school-days </w:t>
      </w:r>
      <w:r w:rsidR="009A687A">
        <w:t>in the intervention arm (1.</w:t>
      </w:r>
      <w:r w:rsidR="00E017CF">
        <w:t>4</w:t>
      </w:r>
      <w:r w:rsidR="009A687A">
        <w:t xml:space="preserve">7%, Figure </w:t>
      </w:r>
      <w:r w:rsidR="00D83708">
        <w:t>3</w:t>
      </w:r>
      <w:r w:rsidR="009A687A">
        <w:t xml:space="preserve">). </w:t>
      </w:r>
      <w:r w:rsidR="004A1145">
        <w:t xml:space="preserve">Rates of </w:t>
      </w:r>
      <w:r w:rsidR="009A687A">
        <w:t>staff</w:t>
      </w:r>
      <w:r w:rsidR="00E017CF">
        <w:t xml:space="preserve"> </w:t>
      </w:r>
      <w:r w:rsidR="009A687A">
        <w:t xml:space="preserve">COVID-related absences </w:t>
      </w:r>
      <w:r w:rsidR="004A1145">
        <w:t xml:space="preserve">were </w:t>
      </w:r>
      <w:r w:rsidR="00E017CF" w:rsidRPr="00E017CF">
        <w:t>3704</w:t>
      </w:r>
      <w:r w:rsidR="0044452E">
        <w:t>/</w:t>
      </w:r>
      <w:r w:rsidR="00E017CF" w:rsidRPr="00E017CF">
        <w:t>566</w:t>
      </w:r>
      <w:r w:rsidR="00E017CF">
        <w:t>,</w:t>
      </w:r>
      <w:r w:rsidR="00E017CF" w:rsidRPr="00E017CF">
        <w:t>502</w:t>
      </w:r>
      <w:r w:rsidR="009A687A">
        <w:t>(0.6</w:t>
      </w:r>
      <w:r w:rsidR="00E017CF">
        <w:t>5</w:t>
      </w:r>
      <w:r w:rsidR="009A687A">
        <w:t xml:space="preserve">%) in control </w:t>
      </w:r>
      <w:r w:rsidR="009532F0">
        <w:t>schools</w:t>
      </w:r>
      <w:r w:rsidR="009A687A">
        <w:t xml:space="preserve"> and </w:t>
      </w:r>
      <w:r w:rsidR="00E017CF" w:rsidRPr="00E017CF">
        <w:t>2932</w:t>
      </w:r>
      <w:r w:rsidR="004A1145">
        <w:t>/</w:t>
      </w:r>
      <w:r w:rsidR="00E017CF" w:rsidRPr="00E017CF">
        <w:t>539</w:t>
      </w:r>
      <w:r w:rsidR="00E017CF">
        <w:t>,</w:t>
      </w:r>
      <w:r w:rsidR="00E017CF" w:rsidRPr="00E017CF">
        <w:t>805</w:t>
      </w:r>
      <w:r w:rsidR="009A687A">
        <w:t>(0.5</w:t>
      </w:r>
      <w:r w:rsidR="00E017CF">
        <w:t>4</w:t>
      </w:r>
      <w:r w:rsidR="009A687A">
        <w:t xml:space="preserve">%) in intervention </w:t>
      </w:r>
      <w:r w:rsidR="009532F0">
        <w:t>schools</w:t>
      </w:r>
      <w:r w:rsidR="009A687A">
        <w:t xml:space="preserve">. </w:t>
      </w:r>
    </w:p>
    <w:p w14:paraId="27C2F643" w14:textId="77777777" w:rsidR="009A687A" w:rsidRDefault="009A687A" w:rsidP="009A687A"/>
    <w:p w14:paraId="213BDE6C" w14:textId="022E5307" w:rsidR="00C41267" w:rsidRDefault="009A687A" w:rsidP="009A687A">
      <w:r>
        <w:t xml:space="preserve">On an </w:t>
      </w:r>
      <w:r w:rsidR="008A203D">
        <w:t>ITT</w:t>
      </w:r>
      <w:r>
        <w:t xml:space="preserve"> basis, adjusting for the randomisation strata group and participant type, the </w:t>
      </w:r>
      <w:r w:rsidR="00442DDE">
        <w:t xml:space="preserve">adjusted </w:t>
      </w:r>
      <w:r>
        <w:t xml:space="preserve">incidence rate ratio, </w:t>
      </w:r>
      <w:proofErr w:type="spellStart"/>
      <w:r w:rsidR="00442DDE">
        <w:t>a</w:t>
      </w:r>
      <w:r>
        <w:t>IRR</w:t>
      </w:r>
      <w:proofErr w:type="spellEnd"/>
      <w:r>
        <w:t>, for COVID-related absence in the intervention arm was 0.8</w:t>
      </w:r>
      <w:r w:rsidR="000C0A3D">
        <w:t>0</w:t>
      </w:r>
      <w:r>
        <w:t xml:space="preserve"> (95%CI 0.5</w:t>
      </w:r>
      <w:r w:rsidR="000C0A3D">
        <w:t>4</w:t>
      </w:r>
      <w:r>
        <w:t>-1.</w:t>
      </w:r>
      <w:r w:rsidR="000C0A3D">
        <w:t>19</w:t>
      </w:r>
      <w:r w:rsidR="00C93BFF">
        <w:t>;</w:t>
      </w:r>
      <w:r>
        <w:t>p=0.</w:t>
      </w:r>
      <w:r w:rsidR="000C0A3D">
        <w:t>27</w:t>
      </w:r>
      <w:r>
        <w:t>) (Table 4</w:t>
      </w:r>
      <w:r w:rsidR="00DE422F">
        <w:t>;Table S</w:t>
      </w:r>
      <w:r w:rsidR="00E64CD4">
        <w:t>2</w:t>
      </w:r>
      <w:r>
        <w:t>). Overall, staff were less likely to be absent for COVID-related reasons than students</w:t>
      </w:r>
      <w:r w:rsidR="00C93BFF">
        <w:t xml:space="preserve"> </w:t>
      </w:r>
      <w:r>
        <w:t>(</w:t>
      </w:r>
      <w:proofErr w:type="spellStart"/>
      <w:r>
        <w:t>aIRR</w:t>
      </w:r>
      <w:proofErr w:type="spellEnd"/>
      <w:r w:rsidR="00C93BFF">
        <w:t>=</w:t>
      </w:r>
      <w:r>
        <w:t>0.</w:t>
      </w:r>
      <w:r w:rsidR="001C03E4">
        <w:t>39</w:t>
      </w:r>
      <w:r w:rsidR="00C93BFF">
        <w:t>;</w:t>
      </w:r>
      <w:r>
        <w:t>95%CI 0.31-0.</w:t>
      </w:r>
      <w:r w:rsidR="001C03E4">
        <w:t>48</w:t>
      </w:r>
      <w:r w:rsidR="00C93BFF">
        <w:t>;</w:t>
      </w:r>
      <w:r>
        <w:t>p&lt;0.001), but there was no evidence a difference in the effect of the intervention between students and staff (heterogeneity p=0.</w:t>
      </w:r>
      <w:r w:rsidR="001C2F5F">
        <w:t>98</w:t>
      </w:r>
      <w:r>
        <w:t xml:space="preserve">). </w:t>
      </w:r>
      <w:r w:rsidR="00C00033">
        <w:t xml:space="preserve">As no covariate changed with time, </w:t>
      </w:r>
      <w:r w:rsidR="005F4F93">
        <w:t xml:space="preserve">the originally proposed </w:t>
      </w:r>
      <w:r w:rsidR="00905354">
        <w:t xml:space="preserve">approach </w:t>
      </w:r>
      <w:r w:rsidR="000F2709">
        <w:t>has</w:t>
      </w:r>
      <w:r w:rsidR="002A644E">
        <w:t xml:space="preserve"> a more conservative confidence interval than required. W</w:t>
      </w:r>
      <w:r w:rsidR="00C00033">
        <w:t>e repeated the analysis aggregating the data per school and participant type</w:t>
      </w:r>
      <w:r w:rsidR="000E001F">
        <w:t xml:space="preserve">, yielding an </w:t>
      </w:r>
      <w:proofErr w:type="spellStart"/>
      <w:r w:rsidR="000E001F">
        <w:t>aIRR</w:t>
      </w:r>
      <w:proofErr w:type="spellEnd"/>
      <w:r w:rsidR="000E001F">
        <w:t xml:space="preserve"> of </w:t>
      </w:r>
      <w:r w:rsidR="0054092D">
        <w:t xml:space="preserve">0.80 (95%CI </w:t>
      </w:r>
      <w:r w:rsidR="00FE565A">
        <w:t>0.62-1.03</w:t>
      </w:r>
      <w:r w:rsidR="00003414">
        <w:t>;</w:t>
      </w:r>
      <w:r w:rsidR="00411293">
        <w:t>p=0.085</w:t>
      </w:r>
      <w:r w:rsidR="00003414">
        <w:t>;</w:t>
      </w:r>
      <w:r w:rsidR="00C70BFF">
        <w:t>Table S3</w:t>
      </w:r>
      <w:r w:rsidR="00411293">
        <w:t xml:space="preserve">). </w:t>
      </w:r>
    </w:p>
    <w:p w14:paraId="09D93940" w14:textId="3C5EC90D" w:rsidR="00C41267" w:rsidRDefault="00C41267" w:rsidP="009A687A"/>
    <w:p w14:paraId="42904F7F" w14:textId="2FFA01A7" w:rsidR="00A02B5C" w:rsidRDefault="009A687A" w:rsidP="009A687A">
      <w:r w:rsidRPr="00B53D2D">
        <w:t xml:space="preserve">As </w:t>
      </w:r>
      <w:r w:rsidR="00C813B7">
        <w:t>per day</w:t>
      </w:r>
      <w:r w:rsidRPr="00B53D2D">
        <w:t xml:space="preserve"> participation in the intervention arm was </w:t>
      </w:r>
      <w:r>
        <w:t>49.5</w:t>
      </w:r>
      <w:r w:rsidRPr="00B53D2D">
        <w:t xml:space="preserve">%, we estimated the impact of the intervention among those </w:t>
      </w:r>
      <w:r>
        <w:t>participating</w:t>
      </w:r>
      <w:r w:rsidR="000C4ECF">
        <w:t>; the point estimate showed a greater reduction in absences</w:t>
      </w:r>
      <w:r w:rsidR="00C149A1">
        <w:t xml:space="preserve"> (</w:t>
      </w:r>
      <w:r w:rsidR="00323780">
        <w:t>CACE</w:t>
      </w:r>
      <w:r w:rsidR="00F03BD8">
        <w:t xml:space="preserve"> </w:t>
      </w:r>
      <w:proofErr w:type="spellStart"/>
      <w:r w:rsidR="00F03BD8">
        <w:t>aIRR</w:t>
      </w:r>
      <w:proofErr w:type="spellEnd"/>
      <w:r w:rsidR="00C149A1">
        <w:t>=</w:t>
      </w:r>
      <w:r>
        <w:t>0.</w:t>
      </w:r>
      <w:r w:rsidR="005000DE">
        <w:t>61</w:t>
      </w:r>
      <w:r>
        <w:t xml:space="preserve"> (95%CI 0.</w:t>
      </w:r>
      <w:r w:rsidR="005000DE">
        <w:t>30</w:t>
      </w:r>
      <w:r>
        <w:t>-</w:t>
      </w:r>
      <w:r w:rsidR="005000DE">
        <w:t>1.23</w:t>
      </w:r>
      <w:r w:rsidR="00C149A1">
        <w:t>;</w:t>
      </w:r>
      <w:r w:rsidR="004F025C">
        <w:t>Table S2</w:t>
      </w:r>
      <w:r>
        <w:t>)</w:t>
      </w:r>
      <w:r w:rsidR="00E64CD4">
        <w:t xml:space="preserve">. </w:t>
      </w:r>
      <w:r w:rsidR="00C16332">
        <w:t>Applying this point estimate</w:t>
      </w:r>
      <w:r w:rsidR="006037FB">
        <w:t xml:space="preserve"> (</w:t>
      </w:r>
      <w:r w:rsidR="00924504">
        <w:t xml:space="preserve">with the caveat the </w:t>
      </w:r>
      <w:r w:rsidR="006037FB">
        <w:t>range of uncertainty is wide)</w:t>
      </w:r>
      <w:r>
        <w:t xml:space="preserve"> to COVID-related absence in control arm students </w:t>
      </w:r>
      <w:r w:rsidR="00FB7F3F">
        <w:t>(</w:t>
      </w:r>
      <w:r>
        <w:t>1.</w:t>
      </w:r>
      <w:r w:rsidR="00E96F64">
        <w:t>80</w:t>
      </w:r>
      <w:r>
        <w:t>%</w:t>
      </w:r>
      <w:r w:rsidR="00FB7F3F">
        <w:t>),</w:t>
      </w:r>
      <w:r>
        <w:t xml:space="preserve"> would equate to a </w:t>
      </w:r>
      <w:r w:rsidR="00E96F64">
        <w:t>39</w:t>
      </w:r>
      <w:r>
        <w:t xml:space="preserve">% relative and </w:t>
      </w:r>
      <w:r w:rsidR="00E81D33">
        <w:t>0.70</w:t>
      </w:r>
      <w:r>
        <w:t>% absolute reduction in school days missed due to COVID.</w:t>
      </w:r>
      <w:r w:rsidR="00DE0C3D">
        <w:t xml:space="preserve"> </w:t>
      </w:r>
      <w:r w:rsidR="004F31DE">
        <w:t>CACE e</w:t>
      </w:r>
      <w:r w:rsidR="000A38E4">
        <w:t xml:space="preserve">stimates were relatively </w:t>
      </w:r>
      <w:r w:rsidR="004F31DE">
        <w:t>unaffected by</w:t>
      </w:r>
      <w:r w:rsidR="000A38E4">
        <w:t xml:space="preserve"> the choice of imputation </w:t>
      </w:r>
      <w:r w:rsidR="00B327CE">
        <w:t xml:space="preserve">strategy </w:t>
      </w:r>
      <w:r w:rsidR="000A38E4">
        <w:t xml:space="preserve">for schools with </w:t>
      </w:r>
      <w:r w:rsidR="00432600">
        <w:t>no contacts and therefore no</w:t>
      </w:r>
      <w:r w:rsidR="000A38E4">
        <w:t xml:space="preserve"> </w:t>
      </w:r>
      <w:r w:rsidR="00D5088A">
        <w:t>participation data</w:t>
      </w:r>
      <w:r w:rsidR="00F6481D">
        <w:t xml:space="preserve"> (Table S</w:t>
      </w:r>
      <w:r w:rsidR="004F025C">
        <w:t>4</w:t>
      </w:r>
      <w:r w:rsidR="00F6481D">
        <w:t>).</w:t>
      </w:r>
      <w:r w:rsidR="00C363BC">
        <w:t xml:space="preserve"> </w:t>
      </w:r>
      <w:r w:rsidR="00345A91">
        <w:t>See Tables S5-S6 for s</w:t>
      </w:r>
      <w:r w:rsidR="00901138">
        <w:t xml:space="preserve">eparate </w:t>
      </w:r>
      <w:r w:rsidR="00096FC3">
        <w:t xml:space="preserve">ITT and CACE </w:t>
      </w:r>
      <w:r w:rsidR="00901138">
        <w:t>results for students and staff.</w:t>
      </w:r>
      <w:r w:rsidR="00970D27">
        <w:t xml:space="preserve"> </w:t>
      </w:r>
    </w:p>
    <w:p w14:paraId="460A4C33" w14:textId="77777777" w:rsidR="00A02B5C" w:rsidRDefault="00A02B5C" w:rsidP="009A687A"/>
    <w:p w14:paraId="4F8A4C83" w14:textId="1188BEBE" w:rsidR="009A687A" w:rsidRDefault="00995737" w:rsidP="009A687A">
      <w:r>
        <w:t>There was no evidence of an impact on all-cause absence rates</w:t>
      </w:r>
      <w:r w:rsidR="00705ACC">
        <w:t xml:space="preserve"> (</w:t>
      </w:r>
      <w:r w:rsidR="008A203D">
        <w:t>ITT</w:t>
      </w:r>
      <w:r w:rsidR="00A26014">
        <w:t xml:space="preserve"> </w:t>
      </w:r>
      <w:proofErr w:type="spellStart"/>
      <w:r w:rsidR="00A26014">
        <w:t>aIRR</w:t>
      </w:r>
      <w:proofErr w:type="spellEnd"/>
      <w:r w:rsidR="00D9580D">
        <w:t>=</w:t>
      </w:r>
      <w:r w:rsidR="00A26014">
        <w:t>0.97, 95%CI 0.82-1.16, p=0.77</w:t>
      </w:r>
      <w:r w:rsidR="00705ACC">
        <w:t>)</w:t>
      </w:r>
      <w:r w:rsidR="00612CB4">
        <w:t xml:space="preserve">, with non-COVID-related reasons </w:t>
      </w:r>
      <w:r w:rsidR="00450097">
        <w:t xml:space="preserve">responsible for </w:t>
      </w:r>
      <w:r w:rsidR="00D9580D">
        <w:t>most</w:t>
      </w:r>
      <w:r w:rsidR="00450097">
        <w:t xml:space="preserve"> absences</w:t>
      </w:r>
      <w:r w:rsidR="00E540A9">
        <w:t xml:space="preserve"> (Table S</w:t>
      </w:r>
      <w:r w:rsidR="006D53B5">
        <w:t>7)</w:t>
      </w:r>
      <w:r w:rsidR="00450097">
        <w:t>.</w:t>
      </w:r>
      <w:r w:rsidR="00A26014">
        <w:t xml:space="preserve"> </w:t>
      </w:r>
    </w:p>
    <w:p w14:paraId="07A611F6" w14:textId="77777777" w:rsidR="009A687A" w:rsidRPr="007A44F1" w:rsidRDefault="009A687A" w:rsidP="009A687A"/>
    <w:p w14:paraId="090BD214" w14:textId="7B8147BB" w:rsidR="009A687A" w:rsidRDefault="003717B4" w:rsidP="009A687A">
      <w:pPr>
        <w:pStyle w:val="Heading2"/>
      </w:pPr>
      <w:r>
        <w:t>S</w:t>
      </w:r>
      <w:r w:rsidR="009A687A">
        <w:t>ymptomatic PCR-confirmed SARS-CoV-2 infection</w:t>
      </w:r>
    </w:p>
    <w:p w14:paraId="11D4F0F8" w14:textId="264D6A6C" w:rsidR="008C1EF3" w:rsidRPr="008C1EF3" w:rsidRDefault="008F3816" w:rsidP="008C1EF3">
      <w:r>
        <w:t>PCR</w:t>
      </w:r>
      <w:r w:rsidR="00562363">
        <w:t xml:space="preserve"> results from</w:t>
      </w:r>
      <w:r>
        <w:t xml:space="preserve"> </w:t>
      </w:r>
      <w:r w:rsidR="00562363">
        <w:t xml:space="preserve">symptomatic </w:t>
      </w:r>
      <w:r>
        <w:t xml:space="preserve">SARS-CoV-2 infections in students </w:t>
      </w:r>
      <w:r w:rsidR="008C1EF3">
        <w:t>were available for 96/99(97%) control schools and 101/102(99%) intervention schools</w:t>
      </w:r>
      <w:r w:rsidR="009F3A52">
        <w:t xml:space="preserve"> and </w:t>
      </w:r>
      <w:r w:rsidR="008C1EF3">
        <w:t xml:space="preserve">staff </w:t>
      </w:r>
      <w:r w:rsidR="00861645">
        <w:t>results</w:t>
      </w:r>
      <w:r w:rsidR="008C1EF3">
        <w:t xml:space="preserve"> for 76(76%) and 85(83%) respectively.</w:t>
      </w:r>
    </w:p>
    <w:p w14:paraId="45A0C1F2" w14:textId="77777777" w:rsidR="009A687A" w:rsidRDefault="009A687A" w:rsidP="009A687A"/>
    <w:p w14:paraId="55FBE449" w14:textId="791BC382" w:rsidR="00BD7486" w:rsidRDefault="00156D99" w:rsidP="009A687A">
      <w:r>
        <w:t>614</w:t>
      </w:r>
      <w:r w:rsidR="009A687A">
        <w:t xml:space="preserve"> and </w:t>
      </w:r>
      <w:r>
        <w:t>683</w:t>
      </w:r>
      <w:r w:rsidR="009A687A">
        <w:t xml:space="preserve"> students at control and intervention schools tested PCR-positive and reported symptoms during </w:t>
      </w:r>
      <w:r w:rsidR="009A687A" w:rsidRPr="00604F65">
        <w:t>6</w:t>
      </w:r>
      <w:r w:rsidR="009A687A">
        <w:t>,</w:t>
      </w:r>
      <w:r w:rsidR="009A687A" w:rsidRPr="00604F65">
        <w:t>966</w:t>
      </w:r>
      <w:r w:rsidR="009A687A">
        <w:t>,</w:t>
      </w:r>
      <w:r w:rsidR="009A687A" w:rsidRPr="00604F65">
        <w:t>653</w:t>
      </w:r>
      <w:r w:rsidR="009A687A">
        <w:t xml:space="preserve"> and </w:t>
      </w:r>
      <w:r w:rsidR="009A687A" w:rsidRPr="00604F65">
        <w:t>7</w:t>
      </w:r>
      <w:r w:rsidR="009A687A">
        <w:t>,</w:t>
      </w:r>
      <w:r w:rsidR="009A687A" w:rsidRPr="00604F65">
        <w:t>541</w:t>
      </w:r>
      <w:r w:rsidR="009A687A">
        <w:t>,</w:t>
      </w:r>
      <w:r w:rsidR="009A687A" w:rsidRPr="00604F65">
        <w:t>525</w:t>
      </w:r>
      <w:r w:rsidR="009A687A">
        <w:t xml:space="preserve"> </w:t>
      </w:r>
      <w:r w:rsidR="003430E5">
        <w:t>days</w:t>
      </w:r>
      <w:r w:rsidR="00791F03">
        <w:t>-</w:t>
      </w:r>
      <w:r w:rsidR="009A687A">
        <w:t>at</w:t>
      </w:r>
      <w:r w:rsidR="00791F03">
        <w:t>-</w:t>
      </w:r>
      <w:r w:rsidR="009A687A">
        <w:t>risk</w:t>
      </w:r>
      <w:r w:rsidR="00B446DE">
        <w:t xml:space="preserve"> (61.7 and 63.4 cases/</w:t>
      </w:r>
      <w:r w:rsidR="009A687A">
        <w:t>100,000 population</w:t>
      </w:r>
      <w:r w:rsidR="00B446DE">
        <w:t>/week). Rates i</w:t>
      </w:r>
      <w:r w:rsidR="009A687A">
        <w:t>n staff</w:t>
      </w:r>
      <w:r w:rsidR="00B446DE">
        <w:t xml:space="preserve"> were</w:t>
      </w:r>
      <w:r w:rsidR="009A687A">
        <w:t xml:space="preserve"> 4</w:t>
      </w:r>
      <w:r w:rsidR="000D2DF5">
        <w:t>3</w:t>
      </w:r>
      <w:r w:rsidR="00B446DE">
        <w:t>/</w:t>
      </w:r>
      <w:r w:rsidR="009A687A" w:rsidRPr="00EC1C54">
        <w:t>790</w:t>
      </w:r>
      <w:r w:rsidR="009A687A">
        <w:t>,</w:t>
      </w:r>
      <w:r w:rsidR="009A687A" w:rsidRPr="00EC1C54">
        <w:t>219</w:t>
      </w:r>
      <w:r w:rsidR="009A687A">
        <w:t xml:space="preserve"> </w:t>
      </w:r>
      <w:r w:rsidR="00B446DE">
        <w:t>(38.1</w:t>
      </w:r>
      <w:r w:rsidR="0099428F">
        <w:t>/100,000/week</w:t>
      </w:r>
      <w:r w:rsidR="00B446DE">
        <w:t>)</w:t>
      </w:r>
      <w:r w:rsidR="009A687A">
        <w:t xml:space="preserve"> and 57</w:t>
      </w:r>
      <w:r w:rsidR="0099428F">
        <w:t>/</w:t>
      </w:r>
      <w:r w:rsidR="009A687A" w:rsidRPr="00EC1C54">
        <w:t>819</w:t>
      </w:r>
      <w:r w:rsidR="009A687A">
        <w:t>,</w:t>
      </w:r>
      <w:r w:rsidR="009A687A" w:rsidRPr="00EC1C54">
        <w:t>487</w:t>
      </w:r>
      <w:r w:rsidR="009A687A">
        <w:t xml:space="preserve"> </w:t>
      </w:r>
      <w:r w:rsidR="0099428F">
        <w:t>(</w:t>
      </w:r>
      <w:r w:rsidR="009A687A">
        <w:t>48.7</w:t>
      </w:r>
      <w:r w:rsidR="0099428F">
        <w:t>/100,000/week).</w:t>
      </w:r>
      <w:r w:rsidR="009A687A">
        <w:t xml:space="preserve"> Incidence rose during the study, </w:t>
      </w:r>
      <w:r w:rsidR="000034EB">
        <w:t>as the Delta variant spread nationally</w:t>
      </w:r>
      <w:r w:rsidR="00367AAD">
        <w:t>,</w:t>
      </w:r>
      <w:r w:rsidR="000034EB">
        <w:t>[</w:t>
      </w:r>
      <w:r w:rsidR="00460261">
        <w:fldChar w:fldCharType="begin"/>
      </w:r>
      <w:r w:rsidR="00460261">
        <w:instrText xml:space="preserve"> REF _Ref77871256 \r \h </w:instrText>
      </w:r>
      <w:r w:rsidR="00460261">
        <w:fldChar w:fldCharType="separate"/>
      </w:r>
      <w:r w:rsidR="00D44A48">
        <w:t>24</w:t>
      </w:r>
      <w:r w:rsidR="00460261">
        <w:fldChar w:fldCharType="end"/>
      </w:r>
      <w:r w:rsidR="00460261">
        <w:t>]</w:t>
      </w:r>
      <w:r w:rsidR="000034EB">
        <w:t xml:space="preserve"> </w:t>
      </w:r>
      <w:r w:rsidR="009A687A">
        <w:t xml:space="preserve">similarly in each arm (Figure </w:t>
      </w:r>
      <w:r w:rsidR="006A63A4">
        <w:t>4</w:t>
      </w:r>
      <w:r w:rsidR="000B153E">
        <w:t>A</w:t>
      </w:r>
      <w:r w:rsidR="009A687A">
        <w:t>).</w:t>
      </w:r>
      <w:r w:rsidR="006A141C">
        <w:t xml:space="preserve"> </w:t>
      </w:r>
      <w:r w:rsidR="00206834">
        <w:t>Incidence was</w:t>
      </w:r>
      <w:r w:rsidR="006A141C">
        <w:t xml:space="preserve"> higher than the number of index cases reported by schools</w:t>
      </w:r>
      <w:r w:rsidR="00536C2E">
        <w:t xml:space="preserve">, </w:t>
      </w:r>
      <w:r w:rsidR="00206834">
        <w:t>partly</w:t>
      </w:r>
      <w:r w:rsidR="00536C2E">
        <w:t xml:space="preserve"> because not all </w:t>
      </w:r>
      <w:r w:rsidR="007D774B">
        <w:t xml:space="preserve">randomised </w:t>
      </w:r>
      <w:r w:rsidR="00536C2E">
        <w:t>school</w:t>
      </w:r>
      <w:r w:rsidR="00206834">
        <w:t xml:space="preserve">s </w:t>
      </w:r>
      <w:r w:rsidR="00536C2E">
        <w:t>actively report</w:t>
      </w:r>
      <w:r w:rsidR="007D774B">
        <w:t>ed</w:t>
      </w:r>
      <w:r w:rsidR="00536C2E">
        <w:t xml:space="preserve"> cases</w:t>
      </w:r>
      <w:r w:rsidR="003B17EA">
        <w:t xml:space="preserve"> and in active schools not all community-diagnosed infections were reported</w:t>
      </w:r>
      <w:r w:rsidR="00A93C8E">
        <w:t xml:space="preserve"> or </w:t>
      </w:r>
      <w:r w:rsidR="003B17EA">
        <w:t>recorded (Table S</w:t>
      </w:r>
      <w:r w:rsidR="00252B26">
        <w:t>8</w:t>
      </w:r>
      <w:r w:rsidR="003B17EA">
        <w:t>).</w:t>
      </w:r>
    </w:p>
    <w:p w14:paraId="20EF59AC" w14:textId="77777777" w:rsidR="009A687A" w:rsidRDefault="009A687A" w:rsidP="009A687A"/>
    <w:p w14:paraId="194FE6B7" w14:textId="39285940" w:rsidR="009A687A" w:rsidRDefault="009A687A" w:rsidP="009A687A">
      <w:r>
        <w:t>Adjusting for the randomisation strata</w:t>
      </w:r>
      <w:r w:rsidR="00FC58B4">
        <w:t>, participant type,</w:t>
      </w:r>
      <w:r>
        <w:t xml:space="preserve"> and the community rate of SARS-CoV-2 infection in the previous week, </w:t>
      </w:r>
      <w:r w:rsidR="004229DB">
        <w:t xml:space="preserve">there was no evidence of difference between study arms in </w:t>
      </w:r>
      <w:r>
        <w:t xml:space="preserve">symptomatic PCR-confirmed infection </w:t>
      </w:r>
      <w:r w:rsidR="004229DB">
        <w:t xml:space="preserve">(ITT </w:t>
      </w:r>
      <w:proofErr w:type="spellStart"/>
      <w:r w:rsidR="004229DB">
        <w:t>aIRR</w:t>
      </w:r>
      <w:proofErr w:type="spellEnd"/>
      <w:r w:rsidR="004229DB">
        <w:t>=</w:t>
      </w:r>
      <w:r>
        <w:t>0.9</w:t>
      </w:r>
      <w:r w:rsidR="008E302F">
        <w:t>6</w:t>
      </w:r>
      <w:r w:rsidR="004229DB">
        <w:t>;</w:t>
      </w:r>
      <w:r>
        <w:t>95%CI 0.7</w:t>
      </w:r>
      <w:r w:rsidR="00FC58B4">
        <w:t>5</w:t>
      </w:r>
      <w:r>
        <w:t>-1.2</w:t>
      </w:r>
      <w:r w:rsidR="00FC58B4">
        <w:t>2</w:t>
      </w:r>
      <w:r w:rsidR="004229DB">
        <w:t>;</w:t>
      </w:r>
      <w:r>
        <w:t>p=0.</w:t>
      </w:r>
      <w:r w:rsidR="003045EB">
        <w:t>72</w:t>
      </w:r>
      <w:r>
        <w:t xml:space="preserve">) (Table </w:t>
      </w:r>
      <w:r w:rsidR="00C80C79">
        <w:t>4;Table S</w:t>
      </w:r>
      <w:r w:rsidR="006371A9">
        <w:t>9</w:t>
      </w:r>
      <w:r>
        <w:t>). Overall rates of infection were lower in staff than students</w:t>
      </w:r>
      <w:r w:rsidR="009C76C2">
        <w:t xml:space="preserve"> (</w:t>
      </w:r>
      <w:proofErr w:type="spellStart"/>
      <w:r>
        <w:t>aIRR</w:t>
      </w:r>
      <w:proofErr w:type="spellEnd"/>
      <w:r w:rsidR="009C76C2">
        <w:t>=</w:t>
      </w:r>
      <w:r>
        <w:t>0.75</w:t>
      </w:r>
      <w:r w:rsidR="009C76C2">
        <w:t>;</w:t>
      </w:r>
      <w:r>
        <w:t>95%CI 0.61-0.9</w:t>
      </w:r>
      <w:r w:rsidR="00A81188">
        <w:t>2</w:t>
      </w:r>
      <w:r w:rsidR="009C76C2">
        <w:t>;</w:t>
      </w:r>
      <w:r>
        <w:t>p=0.00</w:t>
      </w:r>
      <w:r w:rsidR="00A81188">
        <w:t>6</w:t>
      </w:r>
      <w:r>
        <w:t xml:space="preserve">), but there was no evidence that the effect of the </w:t>
      </w:r>
      <w:r>
        <w:lastRenderedPageBreak/>
        <w:t>intervention differed in staff and students (heterogeneity p=0.</w:t>
      </w:r>
      <w:r w:rsidR="00F36ED0">
        <w:t>41</w:t>
      </w:r>
      <w:r>
        <w:t xml:space="preserve">). Infection rates in students were approximately linearly related to local case counts, plateauing as community incidence rose (Figure </w:t>
      </w:r>
      <w:r w:rsidR="0070039F">
        <w:t>S</w:t>
      </w:r>
      <w:r w:rsidR="0059005D">
        <w:t>3</w:t>
      </w:r>
      <w:r>
        <w:t>)</w:t>
      </w:r>
      <w:r w:rsidR="00104BEF">
        <w:t xml:space="preserve">; </w:t>
      </w:r>
      <w:r w:rsidR="004A03BD">
        <w:t xml:space="preserve">estimates </w:t>
      </w:r>
      <w:r w:rsidR="00BF408A">
        <w:t xml:space="preserve">were similar </w:t>
      </w:r>
      <w:r w:rsidR="004A03BD">
        <w:t xml:space="preserve">with varying </w:t>
      </w:r>
      <w:r w:rsidR="00DD14E9">
        <w:t xml:space="preserve">plausible </w:t>
      </w:r>
      <w:r w:rsidR="004A03BD">
        <w:t xml:space="preserve">lags between community case counts and </w:t>
      </w:r>
      <w:r w:rsidR="00D402B1">
        <w:t>student</w:t>
      </w:r>
      <w:r w:rsidR="00157EED">
        <w:t xml:space="preserve"> and </w:t>
      </w:r>
      <w:r w:rsidR="00D402B1">
        <w:t xml:space="preserve">staff </w:t>
      </w:r>
      <w:r w:rsidR="000164DB">
        <w:t xml:space="preserve">infections </w:t>
      </w:r>
      <w:r w:rsidR="00BF408A">
        <w:t>(</w:t>
      </w:r>
      <w:r w:rsidR="000164DB">
        <w:t>Table S10</w:t>
      </w:r>
      <w:r w:rsidR="00BF408A">
        <w:t>)</w:t>
      </w:r>
      <w:r w:rsidR="000164DB">
        <w:t>.</w:t>
      </w:r>
    </w:p>
    <w:p w14:paraId="2952BC0B" w14:textId="77777777" w:rsidR="009A687A" w:rsidRDefault="009A687A" w:rsidP="009A687A"/>
    <w:p w14:paraId="60ADC6AE" w14:textId="344AD97F" w:rsidR="009A687A" w:rsidRDefault="004C6832" w:rsidP="009A687A">
      <w:r>
        <w:t>A CACE analysis allow</w:t>
      </w:r>
      <w:r w:rsidR="002D369F">
        <w:t>ing</w:t>
      </w:r>
      <w:r>
        <w:t xml:space="preserve"> the </w:t>
      </w:r>
      <w:r w:rsidR="00B75CAE">
        <w:t>impact of the intervention to be esti</w:t>
      </w:r>
      <w:r w:rsidR="002D369F">
        <w:t>mated given theoretical full participation, also showed no evidence of difference between study arms in symptomatic PCR-confirmed infection</w:t>
      </w:r>
      <w:r w:rsidR="00D24D43">
        <w:t xml:space="preserve"> (</w:t>
      </w:r>
      <w:proofErr w:type="spellStart"/>
      <w:r w:rsidR="00D24D43">
        <w:t>aIRR</w:t>
      </w:r>
      <w:proofErr w:type="spellEnd"/>
      <w:r w:rsidR="00D24D43">
        <w:t>=</w:t>
      </w:r>
      <w:r w:rsidR="009A687A">
        <w:t>0.</w:t>
      </w:r>
      <w:r w:rsidR="00077A6C">
        <w:t>86</w:t>
      </w:r>
      <w:r w:rsidR="00D24D43">
        <w:t>;</w:t>
      </w:r>
      <w:r w:rsidR="009A687A">
        <w:t>95%CI 0.</w:t>
      </w:r>
      <w:r w:rsidR="00077A6C">
        <w:t>55</w:t>
      </w:r>
      <w:r w:rsidR="009A687A">
        <w:t>-1.3</w:t>
      </w:r>
      <w:r w:rsidR="00E03153">
        <w:t>4</w:t>
      </w:r>
      <w:r w:rsidR="009A687A">
        <w:t xml:space="preserve">). </w:t>
      </w:r>
      <w:r w:rsidR="002E3127">
        <w:t>CACE estimates were relatively unaffected by the choice of imputation strategy for schools with missing participation data (Table S11).</w:t>
      </w:r>
    </w:p>
    <w:p w14:paraId="33930162" w14:textId="4F56403E" w:rsidR="00C11438" w:rsidRDefault="00C11438" w:rsidP="009A687A"/>
    <w:p w14:paraId="0BA1E302" w14:textId="589BF8E0" w:rsidR="00B718B8" w:rsidRDefault="009A687A" w:rsidP="009A687A">
      <w:r>
        <w:t xml:space="preserve">Similar results were obtained in a secondary analysis of any positive PCR-result from routine community-based testing (Figure </w:t>
      </w:r>
      <w:r w:rsidR="005F2D8D">
        <w:t>5B</w:t>
      </w:r>
      <w:r>
        <w:t>)</w:t>
      </w:r>
      <w:r w:rsidR="0051048C">
        <w:t xml:space="preserve"> (</w:t>
      </w:r>
      <w:r w:rsidR="008A203D">
        <w:t>ITT</w:t>
      </w:r>
      <w:r>
        <w:t xml:space="preserve"> </w:t>
      </w:r>
      <w:proofErr w:type="spellStart"/>
      <w:r>
        <w:t>aIRR</w:t>
      </w:r>
      <w:proofErr w:type="spellEnd"/>
      <w:r w:rsidR="0051048C">
        <w:t>=</w:t>
      </w:r>
      <w:r>
        <w:t>0.</w:t>
      </w:r>
      <w:r w:rsidR="003237DB">
        <w:t>96</w:t>
      </w:r>
      <w:r w:rsidR="0051048C">
        <w:t>;</w:t>
      </w:r>
      <w:r>
        <w:t>95%CI 0.76-1.2</w:t>
      </w:r>
      <w:r w:rsidR="001E1521">
        <w:t>0</w:t>
      </w:r>
      <w:r w:rsidR="0051048C">
        <w:t>;</w:t>
      </w:r>
      <w:r>
        <w:t xml:space="preserve">p=0.71 and CACE </w:t>
      </w:r>
      <w:proofErr w:type="spellStart"/>
      <w:r w:rsidR="00F73D1A">
        <w:t>aIRR</w:t>
      </w:r>
      <w:proofErr w:type="spellEnd"/>
      <w:r w:rsidR="00F73D1A">
        <w:t>=</w:t>
      </w:r>
      <w:r>
        <w:t>0.</w:t>
      </w:r>
      <w:r w:rsidR="001E1521">
        <w:t>88</w:t>
      </w:r>
      <w:r w:rsidR="00F73D1A">
        <w:t>;</w:t>
      </w:r>
      <w:r>
        <w:t>95%CI 0.</w:t>
      </w:r>
      <w:r w:rsidR="001E1521">
        <w:t>57</w:t>
      </w:r>
      <w:r>
        <w:t>-1.</w:t>
      </w:r>
      <w:r w:rsidR="001E1521">
        <w:t>41</w:t>
      </w:r>
      <w:r>
        <w:t>) (</w:t>
      </w:r>
      <w:r w:rsidR="00031DC7">
        <w:t>Table S</w:t>
      </w:r>
      <w:r w:rsidR="001E1521">
        <w:t>12</w:t>
      </w:r>
      <w:r w:rsidR="00F73D1A">
        <w:t>).</w:t>
      </w:r>
      <w:r>
        <w:t xml:space="preserve"> There was no evidence of a difference in the effect of the intervention for students and staff (</w:t>
      </w:r>
      <w:r w:rsidR="008A203D">
        <w:t>ITT</w:t>
      </w:r>
      <w:r>
        <w:t xml:space="preserve"> model, heterogeneity p=0.2</w:t>
      </w:r>
      <w:r w:rsidR="00152D7F">
        <w:t>1</w:t>
      </w:r>
      <w:r>
        <w:t>).</w:t>
      </w:r>
      <w:r w:rsidR="00B611CF">
        <w:t xml:space="preserve"> </w:t>
      </w:r>
      <w:r w:rsidR="00861A4A" w:rsidRPr="0051739E">
        <w:t>Separate analyses for students and staff</w:t>
      </w:r>
      <w:r w:rsidR="00245BE5" w:rsidRPr="0051739E">
        <w:t xml:space="preserve"> for symptomatic and any PCR</w:t>
      </w:r>
      <w:r w:rsidR="003B6FDD">
        <w:t>-</w:t>
      </w:r>
      <w:r w:rsidR="00245BE5" w:rsidRPr="0051739E">
        <w:t>positive infection</w:t>
      </w:r>
      <w:r w:rsidR="00861A4A" w:rsidRPr="0051739E">
        <w:t xml:space="preserve"> are presented in Tables </w:t>
      </w:r>
      <w:r w:rsidR="0051739E" w:rsidRPr="0051739E">
        <w:t>S13-S16.</w:t>
      </w:r>
    </w:p>
    <w:p w14:paraId="64C9FD3F" w14:textId="34053CB8" w:rsidR="00EA169F" w:rsidRDefault="00EA169F" w:rsidP="009A687A"/>
    <w:p w14:paraId="6FE21ECA" w14:textId="2647A2E0" w:rsidR="00EA169F" w:rsidRDefault="00EA169F" w:rsidP="00EA169F">
      <w:pPr>
        <w:pStyle w:val="Heading2"/>
      </w:pPr>
      <w:r>
        <w:t>Incidence of PCR-confirmed infection in contacts</w:t>
      </w:r>
    </w:p>
    <w:p w14:paraId="6B57B327" w14:textId="3B3C6324" w:rsidR="001E2BCF" w:rsidRDefault="00E7599F" w:rsidP="00EA169F">
      <w:r w:rsidRPr="0041263C">
        <w:t xml:space="preserve">PCR testing of asymptomatic contacts was undertaken in </w:t>
      </w:r>
      <w:r w:rsidR="004250D9">
        <w:t>886</w:t>
      </w:r>
      <w:r w:rsidR="0041263C" w:rsidRPr="0041263C">
        <w:t xml:space="preserve"> non-overlapping contact episodes in the control arm</w:t>
      </w:r>
      <w:r w:rsidR="00EF1EA1">
        <w:t xml:space="preserve">, </w:t>
      </w:r>
      <w:r w:rsidR="00347D1B">
        <w:t>1</w:t>
      </w:r>
      <w:r w:rsidR="00E02BAC">
        <w:t>4</w:t>
      </w:r>
      <w:r w:rsidR="00EF1EA1">
        <w:t>(</w:t>
      </w:r>
      <w:r w:rsidR="00347D1B">
        <w:t>1.</w:t>
      </w:r>
      <w:r w:rsidR="00E02BAC">
        <w:t>6</w:t>
      </w:r>
      <w:r w:rsidR="00EF1EA1">
        <w:t xml:space="preserve">%) tested PCR-positive, </w:t>
      </w:r>
      <w:r w:rsidR="000D2E04">
        <w:t>1</w:t>
      </w:r>
      <w:r w:rsidR="00EF1EA1">
        <w:t>(0.</w:t>
      </w:r>
      <w:r w:rsidR="000D2E04">
        <w:t>1</w:t>
      </w:r>
      <w:r w:rsidR="00EF1EA1">
        <w:t xml:space="preserve">%) indeterminate and </w:t>
      </w:r>
      <w:r w:rsidR="00E02BAC">
        <w:t>871</w:t>
      </w:r>
      <w:r w:rsidR="00EF1EA1">
        <w:t>(98%) negative</w:t>
      </w:r>
      <w:r w:rsidR="00C95193">
        <w:t>.</w:t>
      </w:r>
      <w:r w:rsidR="00EF1EA1">
        <w:t xml:space="preserve"> </w:t>
      </w:r>
      <w:r w:rsidR="008B721F">
        <w:t xml:space="preserve">In </w:t>
      </w:r>
      <w:r w:rsidR="003419F6">
        <w:t>298</w:t>
      </w:r>
      <w:r w:rsidR="00021B3E">
        <w:t>1</w:t>
      </w:r>
      <w:r w:rsidR="008B721F">
        <w:t xml:space="preserve"> intervention arm</w:t>
      </w:r>
      <w:r w:rsidR="003419F6">
        <w:t xml:space="preserve"> contacts</w:t>
      </w:r>
      <w:r w:rsidR="008B721F">
        <w:t xml:space="preserve">, </w:t>
      </w:r>
      <w:r w:rsidR="00244906">
        <w:t>44</w:t>
      </w:r>
      <w:r w:rsidR="008B721F">
        <w:t>(1.</w:t>
      </w:r>
      <w:r w:rsidR="005941A3">
        <w:t>5</w:t>
      </w:r>
      <w:r w:rsidR="008B721F">
        <w:t>%)</w:t>
      </w:r>
      <w:r w:rsidR="00C95193">
        <w:t xml:space="preserve"> tested positive, </w:t>
      </w:r>
      <w:r w:rsidR="00A56BD3">
        <w:t>14</w:t>
      </w:r>
      <w:r w:rsidR="00C95193">
        <w:t>(0.</w:t>
      </w:r>
      <w:r w:rsidR="005B1319">
        <w:t>5</w:t>
      </w:r>
      <w:r w:rsidR="00C95193">
        <w:t xml:space="preserve">%) indeterminate and </w:t>
      </w:r>
      <w:r w:rsidR="00A56BD3">
        <w:t>2</w:t>
      </w:r>
      <w:r w:rsidR="005941A3">
        <w:t>92</w:t>
      </w:r>
      <w:r w:rsidR="00971B47">
        <w:t>3</w:t>
      </w:r>
      <w:r w:rsidR="00C95193">
        <w:t xml:space="preserve">(98%) negative. </w:t>
      </w:r>
      <w:r w:rsidR="00583A86">
        <w:t>Adjusting for randomisation stratification group and community case counts in the prior week, t</w:t>
      </w:r>
      <w:r w:rsidR="005453BA">
        <w:t xml:space="preserve">here was no evidence that </w:t>
      </w:r>
      <w:r w:rsidR="00DD6177">
        <w:t>the proportion of contacts testing pos</w:t>
      </w:r>
      <w:r w:rsidR="00B32B29">
        <w:t>i</w:t>
      </w:r>
      <w:r w:rsidR="00DD6177">
        <w:t xml:space="preserve">tive </w:t>
      </w:r>
      <w:r w:rsidR="00B32B29">
        <w:t xml:space="preserve">varied between study arms </w:t>
      </w:r>
      <w:r w:rsidR="00C811AD">
        <w:t>(</w:t>
      </w:r>
      <w:r w:rsidR="006B643F">
        <w:t xml:space="preserve">adjusted OR, </w:t>
      </w:r>
      <w:proofErr w:type="spellStart"/>
      <w:r w:rsidR="00B32B29">
        <w:t>aOR</w:t>
      </w:r>
      <w:proofErr w:type="spellEnd"/>
      <w:r w:rsidR="00C811AD">
        <w:t>=</w:t>
      </w:r>
      <w:r w:rsidR="00B32B29">
        <w:t>0.</w:t>
      </w:r>
      <w:r w:rsidR="00D658C4">
        <w:t>73</w:t>
      </w:r>
      <w:r w:rsidR="00C811AD">
        <w:t>;</w:t>
      </w:r>
      <w:r w:rsidR="00B32B29">
        <w:t>95%CI 0.</w:t>
      </w:r>
      <w:r w:rsidR="00D658C4">
        <w:t>33</w:t>
      </w:r>
      <w:r w:rsidR="00B32B29">
        <w:t>-1.</w:t>
      </w:r>
      <w:r w:rsidR="00D658C4">
        <w:t>61</w:t>
      </w:r>
      <w:r w:rsidR="00C811AD">
        <w:t>;</w:t>
      </w:r>
      <w:r w:rsidR="00B32B29">
        <w:t>p=0.</w:t>
      </w:r>
      <w:r w:rsidR="00D658C4">
        <w:t>44</w:t>
      </w:r>
      <w:r w:rsidR="00B32B29">
        <w:t>)</w:t>
      </w:r>
      <w:r w:rsidR="00583A86">
        <w:t xml:space="preserve"> (Table </w:t>
      </w:r>
      <w:r w:rsidR="003465B4">
        <w:t>S</w:t>
      </w:r>
      <w:r w:rsidR="00D4346D">
        <w:t>17</w:t>
      </w:r>
      <w:r w:rsidR="003465B4">
        <w:t>)</w:t>
      </w:r>
      <w:r w:rsidR="00B32B29">
        <w:t xml:space="preserve">. </w:t>
      </w:r>
      <w:r w:rsidR="00F80F2A">
        <w:t xml:space="preserve">Of </w:t>
      </w:r>
      <w:r w:rsidR="005C4B8C">
        <w:t>control and intervention arm</w:t>
      </w:r>
      <w:r w:rsidR="00F80F2A">
        <w:t xml:space="preserve"> contacts testing positive/indeterminate, </w:t>
      </w:r>
      <w:r w:rsidR="00602BB2">
        <w:t>4</w:t>
      </w:r>
      <w:r w:rsidR="00F80F2A">
        <w:t>/1</w:t>
      </w:r>
      <w:r w:rsidR="00602BB2">
        <w:t>5</w:t>
      </w:r>
      <w:r w:rsidR="00F80F2A">
        <w:t>(</w:t>
      </w:r>
      <w:r w:rsidR="004335A2">
        <w:t>2</w:t>
      </w:r>
      <w:r w:rsidR="00602BB2">
        <w:t>7</w:t>
      </w:r>
      <w:r w:rsidR="00F80F2A">
        <w:t xml:space="preserve">%) and </w:t>
      </w:r>
      <w:r w:rsidR="004F1604">
        <w:t>1</w:t>
      </w:r>
      <w:r w:rsidR="002E3D57">
        <w:t>9</w:t>
      </w:r>
      <w:r w:rsidR="00F80F2A">
        <w:t>/</w:t>
      </w:r>
      <w:r w:rsidR="004F1604">
        <w:t>5</w:t>
      </w:r>
      <w:r w:rsidR="002E3D57">
        <w:t>8</w:t>
      </w:r>
      <w:r w:rsidR="00F80F2A">
        <w:t>(</w:t>
      </w:r>
      <w:r w:rsidR="004F1604">
        <w:t>3</w:t>
      </w:r>
      <w:r w:rsidR="002E3D57">
        <w:t>3</w:t>
      </w:r>
      <w:r w:rsidR="00F80F2A">
        <w:t>%) w</w:t>
      </w:r>
      <w:r w:rsidR="005E74FF">
        <w:t>ent</w:t>
      </w:r>
      <w:r w:rsidR="00F80F2A">
        <w:t xml:space="preserve"> on to have a positive symptomatic test </w:t>
      </w:r>
      <w:r w:rsidR="004B29FD">
        <w:t>(exact p=0.</w:t>
      </w:r>
      <w:r w:rsidR="006715FF">
        <w:t>76</w:t>
      </w:r>
      <w:r w:rsidR="004B29FD">
        <w:t>)</w:t>
      </w:r>
      <w:r w:rsidR="00D8145A">
        <w:t>.</w:t>
      </w:r>
    </w:p>
    <w:p w14:paraId="3A8CE640" w14:textId="0D19945B" w:rsidR="00F80F2A" w:rsidRDefault="00F80F2A" w:rsidP="00EA169F"/>
    <w:p w14:paraId="295D2A45" w14:textId="5BF4B767" w:rsidR="00D95A97" w:rsidRDefault="00D95A97" w:rsidP="00EA169F">
      <w:r>
        <w:t>We also compared the proportion of contacts with a symptomatic PCR-positive test</w:t>
      </w:r>
      <w:r w:rsidR="006968D7">
        <w:t xml:space="preserve">, which included </w:t>
      </w:r>
      <w:r w:rsidR="005953AC">
        <w:t xml:space="preserve">those initially testing positive while asymptomatic </w:t>
      </w:r>
      <w:r w:rsidR="00E32B87">
        <w:t xml:space="preserve">above who went on </w:t>
      </w:r>
      <w:r w:rsidR="00A106EC">
        <w:t>to have a symptomatic test</w:t>
      </w:r>
      <w:r w:rsidR="005953AC">
        <w:t>.</w:t>
      </w:r>
      <w:r>
        <w:t xml:space="preserve"> </w:t>
      </w:r>
      <w:r w:rsidR="00D62EBE">
        <w:t xml:space="preserve">This analysis </w:t>
      </w:r>
      <w:r w:rsidR="009E1DEA">
        <w:t>is</w:t>
      </w:r>
      <w:r w:rsidR="00D62EBE">
        <w:t xml:space="preserve"> contingent </w:t>
      </w:r>
      <w:r w:rsidR="003100B8">
        <w:t>on</w:t>
      </w:r>
      <w:r w:rsidR="00D62EBE">
        <w:t xml:space="preserve"> </w:t>
      </w:r>
      <w:r w:rsidR="00BD7FBD">
        <w:t>schools</w:t>
      </w:r>
      <w:r w:rsidR="00D62EBE">
        <w:t xml:space="preserve"> report</w:t>
      </w:r>
      <w:r w:rsidR="00BD7FBD">
        <w:t>ing</w:t>
      </w:r>
      <w:r w:rsidR="00D62EBE">
        <w:t xml:space="preserve"> contacts, with </w:t>
      </w:r>
      <w:r w:rsidR="00482E8A">
        <w:t>several control arm schools with higher incidence not actively participating and reporting contacts (Figure S</w:t>
      </w:r>
      <w:r w:rsidR="0059005D">
        <w:t>4</w:t>
      </w:r>
      <w:r w:rsidR="00482E8A">
        <w:t>).</w:t>
      </w:r>
      <w:r w:rsidR="00D62EBE">
        <w:t xml:space="preserve"> </w:t>
      </w:r>
      <w:r w:rsidR="0051507F">
        <w:t>In the control arm 44/</w:t>
      </w:r>
      <w:r w:rsidR="00964302">
        <w:t>4665</w:t>
      </w:r>
      <w:r w:rsidR="0051507F">
        <w:t>(0.9%) contacts tested PCR-positive within 10 days, compared to 79/</w:t>
      </w:r>
      <w:r w:rsidR="0061692C">
        <w:t>5955</w:t>
      </w:r>
      <w:r w:rsidR="0051507F">
        <w:t xml:space="preserve">(1.3%) in the intervention arm. Adjusting for randomisation strata groups </w:t>
      </w:r>
      <w:r w:rsidR="00E5437E">
        <w:t xml:space="preserve">and community case counts, </w:t>
      </w:r>
      <w:r w:rsidR="001D3489">
        <w:t>there was no evidence that the proportion of contacts testing positive differed between arms</w:t>
      </w:r>
      <w:r w:rsidR="003931FF">
        <w:t xml:space="preserve"> (</w:t>
      </w:r>
      <w:proofErr w:type="spellStart"/>
      <w:r w:rsidR="001D3489">
        <w:t>aOR</w:t>
      </w:r>
      <w:proofErr w:type="spellEnd"/>
      <w:r w:rsidR="003931FF">
        <w:t>=</w:t>
      </w:r>
      <w:r w:rsidR="001D3489">
        <w:t>1.21</w:t>
      </w:r>
      <w:r w:rsidR="003931FF">
        <w:t>;</w:t>
      </w:r>
      <w:r w:rsidR="001D3489">
        <w:t>95%CI 0.82-1.79</w:t>
      </w:r>
      <w:r w:rsidR="003931FF">
        <w:t>;</w:t>
      </w:r>
      <w:r w:rsidR="001D3489">
        <w:t>p=0.34)</w:t>
      </w:r>
      <w:r w:rsidR="00D4346D">
        <w:t xml:space="preserve"> (Table S18)</w:t>
      </w:r>
      <w:r w:rsidR="001D3489">
        <w:t>.</w:t>
      </w:r>
    </w:p>
    <w:p w14:paraId="2E9328A1" w14:textId="77777777" w:rsidR="00F80F2A" w:rsidRPr="0041263C" w:rsidRDefault="00F80F2A" w:rsidP="00EA169F"/>
    <w:p w14:paraId="59912BC6" w14:textId="57E45548" w:rsidR="009F21F5" w:rsidRPr="00EC1C54" w:rsidRDefault="009F21F5" w:rsidP="009F21F5">
      <w:pPr>
        <w:pStyle w:val="Heading2"/>
      </w:pPr>
      <w:r>
        <w:t>Performance characteristics of LFD</w:t>
      </w:r>
      <w:r w:rsidR="00E1348C">
        <w:t>s</w:t>
      </w:r>
      <w:r>
        <w:t xml:space="preserve"> </w:t>
      </w:r>
      <w:r w:rsidR="00E1348C">
        <w:t>vs.</w:t>
      </w:r>
      <w:r>
        <w:t xml:space="preserve"> PCR</w:t>
      </w:r>
    </w:p>
    <w:p w14:paraId="3739855F" w14:textId="0F82FD5E" w:rsidR="009A687A" w:rsidRDefault="00A63732" w:rsidP="009A687A">
      <w:r>
        <w:t xml:space="preserve">Across the study, and </w:t>
      </w:r>
      <w:r w:rsidR="0061311C">
        <w:t xml:space="preserve">the </w:t>
      </w:r>
      <w:r>
        <w:t xml:space="preserve">non-randomised pilot phase, </w:t>
      </w:r>
      <w:r w:rsidR="003A4212">
        <w:t xml:space="preserve">4757 </w:t>
      </w:r>
      <w:r w:rsidR="005A42C0">
        <w:t>contacts</w:t>
      </w:r>
      <w:r w:rsidR="003A4212">
        <w:t xml:space="preserve"> completed at least one LFD </w:t>
      </w:r>
      <w:r w:rsidR="005A42C0">
        <w:t>during</w:t>
      </w:r>
      <w:r w:rsidR="003A4212">
        <w:t xml:space="preserve"> DCT</w:t>
      </w:r>
      <w:r w:rsidR="003E2C8B">
        <w:t xml:space="preserve"> generating</w:t>
      </w:r>
      <w:r w:rsidR="005A42C0">
        <w:t xml:space="preserve"> </w:t>
      </w:r>
      <w:r w:rsidR="003A4212">
        <w:t xml:space="preserve">20,289 LFD results </w:t>
      </w:r>
      <w:r w:rsidR="0049758B">
        <w:t>overall</w:t>
      </w:r>
      <w:r w:rsidR="003A4212">
        <w:t>.</w:t>
      </w:r>
      <w:r w:rsidR="00EC17CA">
        <w:t xml:space="preserve"> </w:t>
      </w:r>
      <w:r w:rsidR="001E61FB">
        <w:t xml:space="preserve">For 3226 a paired PCR test was available from </w:t>
      </w:r>
      <w:r w:rsidR="001E61FB" w:rsidRPr="00B009FA">
        <w:t>the same day</w:t>
      </w:r>
      <w:r w:rsidR="003D68BE">
        <w:t xml:space="preserve">, </w:t>
      </w:r>
      <w:r w:rsidR="00D242C5">
        <w:t>or up to 2 days later for those testing LFD-positive</w:t>
      </w:r>
      <w:r w:rsidR="007E70DA">
        <w:t>.</w:t>
      </w:r>
      <w:r w:rsidR="003D68BE">
        <w:t xml:space="preserve"> </w:t>
      </w:r>
      <w:r w:rsidR="00836449">
        <w:t>3166</w:t>
      </w:r>
      <w:r w:rsidR="00063244">
        <w:t xml:space="preserve"> were PCR-negative and </w:t>
      </w:r>
      <w:r w:rsidR="00836449">
        <w:t>60</w:t>
      </w:r>
      <w:r w:rsidR="00063244">
        <w:t xml:space="preserve"> PCR-positive. Speci</w:t>
      </w:r>
      <w:r w:rsidR="00460352">
        <w:t>ficity</w:t>
      </w:r>
      <w:r w:rsidR="00377C5B">
        <w:t xml:space="preserve"> was </w:t>
      </w:r>
      <w:r w:rsidR="00836449">
        <w:t>3164</w:t>
      </w:r>
      <w:r w:rsidR="00460352">
        <w:t>/</w:t>
      </w:r>
      <w:r w:rsidR="00836449">
        <w:t>3166</w:t>
      </w:r>
      <w:r w:rsidR="00460352">
        <w:t xml:space="preserve"> (</w:t>
      </w:r>
      <w:r w:rsidR="003A4212">
        <w:t>99.93</w:t>
      </w:r>
      <w:r w:rsidR="00460352">
        <w:t xml:space="preserve">%, </w:t>
      </w:r>
      <w:r w:rsidR="00083673">
        <w:t xml:space="preserve">exact binomial 95%CI </w:t>
      </w:r>
      <w:r w:rsidR="003A4212">
        <w:t>99.77-99.99</w:t>
      </w:r>
      <w:r w:rsidR="00460352">
        <w:t>%)</w:t>
      </w:r>
      <w:r w:rsidR="00561605">
        <w:t xml:space="preserve"> and sensitivity </w:t>
      </w:r>
      <w:r w:rsidR="00836449">
        <w:t>32/60</w:t>
      </w:r>
      <w:r w:rsidR="00E544C1">
        <w:t xml:space="preserve"> (</w:t>
      </w:r>
      <w:r w:rsidR="003A4212">
        <w:t>53</w:t>
      </w:r>
      <w:r w:rsidR="00E544C1">
        <w:t>%,</w:t>
      </w:r>
      <w:r w:rsidR="003A4212">
        <w:t xml:space="preserve"> 40-66</w:t>
      </w:r>
      <w:r w:rsidR="00E544C1">
        <w:t>%) (Table S19).</w:t>
      </w:r>
      <w:r w:rsidR="003A4212">
        <w:t xml:space="preserve"> </w:t>
      </w:r>
      <w:r w:rsidR="0007063E">
        <w:t>These results largely reflect performance in students (Table S20</w:t>
      </w:r>
      <w:r w:rsidR="007E70DA">
        <w:t>,S21</w:t>
      </w:r>
      <w:r w:rsidR="0007063E">
        <w:t>), as 3003/3226</w:t>
      </w:r>
      <w:r w:rsidR="007E70DA">
        <w:t xml:space="preserve">(93.1%) of participants with paired tests were students. </w:t>
      </w:r>
      <w:r w:rsidR="00BB5DD6">
        <w:t xml:space="preserve">PCR-positive </w:t>
      </w:r>
      <w:r w:rsidR="003A4212">
        <w:t>cycle threshold (Ct) value</w:t>
      </w:r>
      <w:r w:rsidR="005067E8">
        <w:t>s</w:t>
      </w:r>
      <w:r w:rsidR="003A4212">
        <w:t xml:space="preserve"> </w:t>
      </w:r>
      <w:r w:rsidR="00BB5DD6">
        <w:t>were</w:t>
      </w:r>
      <w:r w:rsidR="003A4212">
        <w:t xml:space="preserve"> </w:t>
      </w:r>
      <w:r w:rsidR="00773688">
        <w:t>lowe</w:t>
      </w:r>
      <w:r w:rsidR="003A4212">
        <w:t xml:space="preserve">r in those testing </w:t>
      </w:r>
      <w:r w:rsidR="006E0B0B">
        <w:lastRenderedPageBreak/>
        <w:t>LFD-</w:t>
      </w:r>
      <w:r w:rsidR="003A4212">
        <w:t xml:space="preserve">positive (median 18.5, IQR 16.3-22) </w:t>
      </w:r>
      <w:r w:rsidR="00BB5DD6">
        <w:t>than</w:t>
      </w:r>
      <w:r w:rsidR="00CD01DB">
        <w:t xml:space="preserve"> LFD-</w:t>
      </w:r>
      <w:r w:rsidR="003A4212">
        <w:t>negative (median 25.3, IQR 21.6-28.5) (Kruskal-Wallis p&lt;0.001</w:t>
      </w:r>
      <w:r w:rsidR="00CD01DB">
        <w:t>;</w:t>
      </w:r>
      <w:r w:rsidR="003A4212">
        <w:t>Figure S</w:t>
      </w:r>
      <w:r w:rsidR="0059005D">
        <w:t>5</w:t>
      </w:r>
      <w:r w:rsidR="003A4212">
        <w:t>).</w:t>
      </w:r>
    </w:p>
    <w:p w14:paraId="34BE5093" w14:textId="5DFA55AC" w:rsidR="009A687A" w:rsidRDefault="009A687A" w:rsidP="009A687A">
      <w:pPr>
        <w:pStyle w:val="Heading1"/>
      </w:pPr>
      <w:r>
        <w:t>Discussion</w:t>
      </w:r>
    </w:p>
    <w:p w14:paraId="3B8A3EF9" w14:textId="349EE522" w:rsidR="009C416D" w:rsidRDefault="00E661FB" w:rsidP="00D15B67">
      <w:r>
        <w:t>D</w:t>
      </w:r>
      <w:r w:rsidR="0056747F">
        <w:t xml:space="preserve">aily </w:t>
      </w:r>
      <w:r w:rsidR="00C359B6">
        <w:t>LFD</w:t>
      </w:r>
      <w:r w:rsidR="0056747F">
        <w:t xml:space="preserve"> testing of school-based </w:t>
      </w:r>
      <w:r w:rsidR="00F3115A">
        <w:t xml:space="preserve">COVID-19 </w:t>
      </w:r>
      <w:r w:rsidR="0056747F">
        <w:t>contacts</w:t>
      </w:r>
      <w:r w:rsidR="00F3115A">
        <w:t xml:space="preserve"> </w:t>
      </w:r>
      <w:r w:rsidR="00B71FA2">
        <w:t xml:space="preserve">was trialled </w:t>
      </w:r>
      <w:r>
        <w:t>as a</w:t>
      </w:r>
      <w:r w:rsidR="008A0BAB">
        <w:t xml:space="preserve"> voluntary</w:t>
      </w:r>
      <w:r>
        <w:t xml:space="preserve"> </w:t>
      </w:r>
      <w:r w:rsidR="00B71FA2">
        <w:t>alternative</w:t>
      </w:r>
      <w:r>
        <w:t xml:space="preserve"> to </w:t>
      </w:r>
      <w:r w:rsidR="00B71FA2">
        <w:t>10 days of</w:t>
      </w:r>
      <w:r>
        <w:t xml:space="preserve"> self-isolation.</w:t>
      </w:r>
      <w:r w:rsidR="00B71FA2">
        <w:t xml:space="preserve"> </w:t>
      </w:r>
      <w:r w:rsidR="00CE7D22">
        <w:t xml:space="preserve">Although DCT </w:t>
      </w:r>
      <w:r w:rsidR="00F64B0B">
        <w:t>avoids students and staff missing school</w:t>
      </w:r>
      <w:r w:rsidR="00CA6505">
        <w:t xml:space="preserve"> while isolating, </w:t>
      </w:r>
      <w:r w:rsidR="00601EAA">
        <w:t>a</w:t>
      </w:r>
      <w:r w:rsidR="005628FD">
        <w:t xml:space="preserve">t the conception of the trial there </w:t>
      </w:r>
      <w:r w:rsidR="00797630">
        <w:t xml:space="preserve">was </w:t>
      </w:r>
      <w:r w:rsidR="005628FD">
        <w:t xml:space="preserve">uncertainty whether </w:t>
      </w:r>
      <w:r w:rsidR="00067A93">
        <w:t>it</w:t>
      </w:r>
      <w:r w:rsidR="005628FD">
        <w:t xml:space="preserve"> would substantially increase </w:t>
      </w:r>
      <w:r w:rsidR="00B522F7">
        <w:t xml:space="preserve">SARS-CoV-2 </w:t>
      </w:r>
      <w:r w:rsidR="005628FD">
        <w:t>transmission</w:t>
      </w:r>
      <w:r w:rsidR="00601EAA">
        <w:t xml:space="preserve">, e.g. </w:t>
      </w:r>
      <w:r w:rsidR="00012B96">
        <w:t>via</w:t>
      </w:r>
      <w:r w:rsidR="00601EAA">
        <w:t xml:space="preserve"> infections missed by LFD testing</w:t>
      </w:r>
      <w:r w:rsidR="00E46EFB">
        <w:t>.</w:t>
      </w:r>
      <w:r w:rsidR="001E1D04">
        <w:t>[</w:t>
      </w:r>
      <w:r w:rsidR="001E1D04">
        <w:fldChar w:fldCharType="begin"/>
      </w:r>
      <w:r w:rsidR="001E1D04">
        <w:instrText xml:space="preserve"> REF _Ref77709375 \r \h </w:instrText>
      </w:r>
      <w:r w:rsidR="001E1D04">
        <w:fldChar w:fldCharType="separate"/>
      </w:r>
      <w:r w:rsidR="00663502">
        <w:t>3</w:t>
      </w:r>
      <w:r w:rsidR="001E1D04">
        <w:fldChar w:fldCharType="end"/>
      </w:r>
      <w:r w:rsidR="001E1D04">
        <w:t>]</w:t>
      </w:r>
      <w:r w:rsidR="002E148C">
        <w:t xml:space="preserve"> </w:t>
      </w:r>
      <w:r w:rsidR="00E46EFB">
        <w:t xml:space="preserve">The trial provides evidence this </w:t>
      </w:r>
      <w:r w:rsidR="00983D50">
        <w:t>wa</w:t>
      </w:r>
      <w:r w:rsidR="00E46EFB">
        <w:t xml:space="preserve">s not the case. </w:t>
      </w:r>
    </w:p>
    <w:p w14:paraId="2514F590" w14:textId="77777777" w:rsidR="0035597D" w:rsidRDefault="0035597D" w:rsidP="00D15B67"/>
    <w:p w14:paraId="3B8FDE06" w14:textId="0E8843A6" w:rsidR="00D15B67" w:rsidRDefault="009C416D" w:rsidP="00D15B67">
      <w:r>
        <w:t xml:space="preserve">We </w:t>
      </w:r>
      <w:r w:rsidR="0015511D">
        <w:t>investigated</w:t>
      </w:r>
      <w:r>
        <w:t xml:space="preserve"> the incidence of symptomatic infection </w:t>
      </w:r>
      <w:r w:rsidR="0027534E">
        <w:t xml:space="preserve">as an unbiased outcome measure that could be ascertained across nearly all schools, </w:t>
      </w:r>
      <w:r w:rsidR="00261B44">
        <w:t>as</w:t>
      </w:r>
      <w:r w:rsidR="002522AD">
        <w:t xml:space="preserve"> national public health policy was that all symptomatic children</w:t>
      </w:r>
      <w:r w:rsidR="00BB4BB6">
        <w:t xml:space="preserve"> and adults</w:t>
      </w:r>
      <w:r w:rsidR="002522AD">
        <w:t>, whether or not they had a LFD test, should obtain a PCR test for SARS-CoV-2</w:t>
      </w:r>
      <w:r w:rsidR="0027534E">
        <w:t>. As the intervention was no</w:t>
      </w:r>
      <w:r w:rsidR="002A6DBB">
        <w:t>t</w:t>
      </w:r>
      <w:r w:rsidR="0027534E">
        <w:t xml:space="preserve"> expected to impact </w:t>
      </w:r>
      <w:r w:rsidR="009B4EDF">
        <w:t xml:space="preserve">the </w:t>
      </w:r>
      <w:r w:rsidR="00651A73">
        <w:t xml:space="preserve">relative </w:t>
      </w:r>
      <w:r w:rsidR="009B4EDF">
        <w:t>incidence of asymptomatic</w:t>
      </w:r>
      <w:r w:rsidR="00651A73">
        <w:t xml:space="preserve"> v</w:t>
      </w:r>
      <w:r w:rsidR="003E2C8B">
        <w:t>ersus</w:t>
      </w:r>
      <w:r w:rsidR="00651A73">
        <w:t xml:space="preserve"> symptomatic</w:t>
      </w:r>
      <w:r w:rsidR="009B4EDF">
        <w:t xml:space="preserve"> infection this measure should also </w:t>
      </w:r>
      <w:r w:rsidR="000E1A17">
        <w:t>indicate</w:t>
      </w:r>
      <w:r w:rsidR="009B4EDF">
        <w:t xml:space="preserve"> the impact on all infections. </w:t>
      </w:r>
      <w:r w:rsidR="00E46EFB">
        <w:t xml:space="preserve">Based on a non-inferiority margin of </w:t>
      </w:r>
      <w:r w:rsidR="00B85D2D">
        <w:t xml:space="preserve">ensuring </w:t>
      </w:r>
      <w:r w:rsidR="00EC2698">
        <w:t xml:space="preserve">any relative increase in </w:t>
      </w:r>
      <w:r w:rsidR="00EE2EAA">
        <w:t>symptomatic infection</w:t>
      </w:r>
      <w:r w:rsidR="0036640F">
        <w:t>, as a proxy for transmission,</w:t>
      </w:r>
      <w:r w:rsidR="00F85BF9">
        <w:t xml:space="preserve"> did not </w:t>
      </w:r>
      <w:r w:rsidR="00EC2698">
        <w:t>exceed</w:t>
      </w:r>
      <w:r w:rsidR="00B85D2D">
        <w:t xml:space="preserve"> </w:t>
      </w:r>
      <w:r w:rsidR="00F85BF9">
        <w:t>&gt;</w:t>
      </w:r>
      <w:r w:rsidR="00B85D2D">
        <w:t>50%</w:t>
      </w:r>
      <w:r w:rsidR="0066528C">
        <w:t>, w</w:t>
      </w:r>
      <w:r w:rsidR="00AD2299">
        <w:t>e show allowing student and staff contacts to remain in school after a negative lateral flow test was non-inferior</w:t>
      </w:r>
      <w:r w:rsidR="00E07DB7">
        <w:t xml:space="preserve"> to routine isolation. </w:t>
      </w:r>
      <w:r w:rsidR="00CB2DF7">
        <w:t>On an ITT basis</w:t>
      </w:r>
      <w:r w:rsidR="003F68C1">
        <w:t xml:space="preserve">, i.e. </w:t>
      </w:r>
      <w:r w:rsidR="00DD1A3A">
        <w:t>implementing DCT</w:t>
      </w:r>
      <w:r w:rsidR="003F68C1">
        <w:t xml:space="preserve"> at participation rates</w:t>
      </w:r>
      <w:r w:rsidR="00681AE5">
        <w:t xml:space="preserve"> seen in the trial,</w:t>
      </w:r>
      <w:r w:rsidR="00CB2DF7">
        <w:t xml:space="preserve"> </w:t>
      </w:r>
      <w:r w:rsidR="003C699B">
        <w:t xml:space="preserve">using data for students from 197/201 schools and staff data from </w:t>
      </w:r>
      <w:r w:rsidR="00A8477D">
        <w:t>161</w:t>
      </w:r>
      <w:r w:rsidR="00313700">
        <w:t>/201</w:t>
      </w:r>
      <w:r w:rsidR="00A8477D">
        <w:t xml:space="preserve"> schools, </w:t>
      </w:r>
      <w:r w:rsidR="00CB2DF7">
        <w:t xml:space="preserve">we can be </w:t>
      </w:r>
      <w:r w:rsidR="003F68C1">
        <w:t xml:space="preserve">97.5% confident that </w:t>
      </w:r>
      <w:r w:rsidR="00333818">
        <w:t xml:space="preserve">any increase in </w:t>
      </w:r>
      <w:r w:rsidR="003F68C1">
        <w:t xml:space="preserve">the rate of </w:t>
      </w:r>
      <w:r w:rsidR="00681AE5">
        <w:t xml:space="preserve">symptomatic infection </w:t>
      </w:r>
      <w:r w:rsidR="00707F69">
        <w:t xml:space="preserve">did </w:t>
      </w:r>
      <w:r w:rsidR="00333818">
        <w:t xml:space="preserve">not exceed 22% more than seen in the control arm. </w:t>
      </w:r>
      <w:r w:rsidR="00455E24">
        <w:t>If</w:t>
      </w:r>
      <w:r w:rsidR="009A14D8">
        <w:t xml:space="preserve"> all those eligible to participate </w:t>
      </w:r>
      <w:r w:rsidR="00455E24">
        <w:t>did</w:t>
      </w:r>
      <w:r w:rsidR="009A14D8">
        <w:t xml:space="preserve"> </w:t>
      </w:r>
      <w:r w:rsidR="004F4BBA">
        <w:t>so</w:t>
      </w:r>
      <w:r w:rsidR="009A14D8">
        <w:t>, then</w:t>
      </w:r>
      <w:r w:rsidR="009B5412">
        <w:t>,</w:t>
      </w:r>
      <w:r w:rsidR="009A14D8">
        <w:t xml:space="preserve"> based on a CACE model, we can be 97.5% confident that any increase does not exceed 34%</w:t>
      </w:r>
      <w:r w:rsidR="007F5B65">
        <w:t>.</w:t>
      </w:r>
      <w:r w:rsidR="009B5412">
        <w:t xml:space="preserve"> </w:t>
      </w:r>
      <w:r w:rsidR="004F4BBA">
        <w:t xml:space="preserve">In both analyses the point estimate favours a slight to modest reduction in incidence with the intervention. </w:t>
      </w:r>
    </w:p>
    <w:p w14:paraId="7D2D6281" w14:textId="77777777" w:rsidR="00D24D43" w:rsidRDefault="00D24D43" w:rsidP="00D15B67"/>
    <w:p w14:paraId="797ACBB9" w14:textId="20CEFAF4" w:rsidR="009C4052" w:rsidRDefault="00274A37" w:rsidP="009C4052">
      <w:r>
        <w:t>The range of absolute c</w:t>
      </w:r>
      <w:r w:rsidR="009C4052">
        <w:t xml:space="preserve">hanges in symptomatic infection rates potentially seen with the intervention, depends on prevailing incidence. At the average </w:t>
      </w:r>
      <w:r>
        <w:t xml:space="preserve">incidence </w:t>
      </w:r>
      <w:r w:rsidR="009C4052">
        <w:t>in the control arm during the study (0.06% students</w:t>
      </w:r>
      <w:r>
        <w:t>/</w:t>
      </w:r>
      <w:r w:rsidR="009C4052">
        <w:t>week), the range of uncertainty in the impact of the intervention is equivalent to 1.2 fewer to 0.9 more infections</w:t>
      </w:r>
      <w:r w:rsidR="0064401E">
        <w:t>/1000-student-</w:t>
      </w:r>
      <w:r w:rsidR="009C4052">
        <w:t>school</w:t>
      </w:r>
      <w:r w:rsidR="0064401E">
        <w:t>/</w:t>
      </w:r>
      <w:r w:rsidR="009C4052">
        <w:t>month, or 3.6 fewer to 2.7 more at the highest weekly rate seen (0.18% students</w:t>
      </w:r>
      <w:r w:rsidR="0064401E">
        <w:t>/</w:t>
      </w:r>
      <w:r w:rsidR="009C4052">
        <w:t xml:space="preserve">week). </w:t>
      </w:r>
      <w:r w:rsidR="00F07F23">
        <w:t>Throughout the study</w:t>
      </w:r>
      <w:r w:rsidR="009454A2">
        <w:t>,</w:t>
      </w:r>
      <w:r w:rsidR="00F07F23">
        <w:t xml:space="preserve"> cases in both arms remained </w:t>
      </w:r>
      <w:r w:rsidR="006119EB">
        <w:t xml:space="preserve">well below the &gt;1% level seen in </w:t>
      </w:r>
      <w:r w:rsidR="004C2243">
        <w:t>2020 when schools remained open</w:t>
      </w:r>
      <w:r w:rsidR="006119EB">
        <w:t>.</w:t>
      </w:r>
      <w:r w:rsidR="002F769A">
        <w:t>[</w:t>
      </w:r>
      <w:r w:rsidR="00F16B35">
        <w:fldChar w:fldCharType="begin"/>
      </w:r>
      <w:r w:rsidR="00F16B35">
        <w:instrText xml:space="preserve"> REF _Ref77839371 \r \h </w:instrText>
      </w:r>
      <w:r w:rsidR="00F16B35">
        <w:fldChar w:fldCharType="separate"/>
      </w:r>
      <w:r w:rsidR="00D44A48">
        <w:t>25</w:t>
      </w:r>
      <w:r w:rsidR="00F16B35">
        <w:fldChar w:fldCharType="end"/>
      </w:r>
      <w:r w:rsidR="002F769A">
        <w:t>]</w:t>
      </w:r>
      <w:r w:rsidR="004C2243">
        <w:t xml:space="preserve"> </w:t>
      </w:r>
      <w:r w:rsidR="00724A32">
        <w:t xml:space="preserve">Staff had lower rates of infection than students. </w:t>
      </w:r>
      <w:r w:rsidR="0064401E">
        <w:t>T</w:t>
      </w:r>
      <w:r w:rsidR="009C4052">
        <w:t>here was no evidence of a difference in the effect of the intervention for students and staff</w:t>
      </w:r>
      <w:r w:rsidR="001A31BA">
        <w:t xml:space="preserve">. </w:t>
      </w:r>
    </w:p>
    <w:p w14:paraId="429AA962" w14:textId="77777777" w:rsidR="009C4052" w:rsidRDefault="009C4052" w:rsidP="00D15B67"/>
    <w:p w14:paraId="066FBDA4" w14:textId="12186428" w:rsidR="00AE322C" w:rsidRDefault="007762A5" w:rsidP="00AE322C">
      <w:r>
        <w:t>A</w:t>
      </w:r>
      <w:r w:rsidR="00191472">
        <w:t>symptomatic</w:t>
      </w:r>
      <w:r w:rsidR="00326898">
        <w:t xml:space="preserve"> and </w:t>
      </w:r>
      <w:r w:rsidR="00191472">
        <w:t xml:space="preserve">symptomatic infections were </w:t>
      </w:r>
      <w:r w:rsidR="00326898">
        <w:t xml:space="preserve">uncommon </w:t>
      </w:r>
      <w:r w:rsidR="0037313D">
        <w:t>in</w:t>
      </w:r>
      <w:r w:rsidR="00326898">
        <w:t xml:space="preserve"> school-based contacts</w:t>
      </w:r>
      <w:r w:rsidR="00D97737">
        <w:t xml:space="preserve"> </w:t>
      </w:r>
      <w:r>
        <w:t>in both study arms</w:t>
      </w:r>
      <w:r w:rsidR="001239DD">
        <w:t>:</w:t>
      </w:r>
      <w:r w:rsidR="00B2499A">
        <w:t xml:space="preserve"> 1.6% and </w:t>
      </w:r>
      <w:r w:rsidR="003268B7">
        <w:t xml:space="preserve">1.5% of students and staff participating in </w:t>
      </w:r>
      <w:r w:rsidR="0037313D">
        <w:t>study</w:t>
      </w:r>
      <w:r w:rsidR="003268B7">
        <w:t xml:space="preserve"> PCRs tested positive</w:t>
      </w:r>
      <w:r w:rsidR="002A6395">
        <w:t xml:space="preserve"> while asymptomatic</w:t>
      </w:r>
      <w:r w:rsidR="003268B7">
        <w:t xml:space="preserve">, </w:t>
      </w:r>
      <w:r w:rsidR="001239DD">
        <w:t>and</w:t>
      </w:r>
      <w:r w:rsidR="00203088">
        <w:t xml:space="preserve"> 0.9% and 1.3% </w:t>
      </w:r>
      <w:r w:rsidR="001239DD">
        <w:t>tested positive in symptomatic testing</w:t>
      </w:r>
      <w:r w:rsidR="00786107">
        <w:t xml:space="preserve"> </w:t>
      </w:r>
      <w:r w:rsidR="00D21E32">
        <w:t xml:space="preserve">in </w:t>
      </w:r>
      <w:r w:rsidR="009A6DE1">
        <w:t>the control and intervention arms respectively</w:t>
      </w:r>
      <w:r w:rsidR="001239DD">
        <w:t>.</w:t>
      </w:r>
      <w:r w:rsidR="00AE322C">
        <w:t xml:space="preserve"> These figures are comparable to the estimates </w:t>
      </w:r>
      <w:r w:rsidR="007545AD">
        <w:t>for</w:t>
      </w:r>
      <w:r w:rsidR="00AE322C">
        <w:t xml:space="preserve"> school</w:t>
      </w:r>
      <w:r w:rsidR="003D74D2">
        <w:t>-</w:t>
      </w:r>
      <w:r w:rsidR="00AE322C">
        <w:t xml:space="preserve">age children from </w:t>
      </w:r>
      <w:r w:rsidR="007545AD">
        <w:t>national</w:t>
      </w:r>
      <w:r w:rsidR="00AE322C">
        <w:t xml:space="preserve"> contact</w:t>
      </w:r>
      <w:r w:rsidR="007545AD">
        <w:t>-tracing</w:t>
      </w:r>
      <w:r w:rsidR="00F95CAD">
        <w:t xml:space="preserve"> data</w:t>
      </w:r>
      <w:r w:rsidR="00AE322C">
        <w:t>.</w:t>
      </w:r>
      <w:r w:rsidR="00F43739">
        <w:t>[</w:t>
      </w:r>
      <w:r w:rsidR="00F43739">
        <w:fldChar w:fldCharType="begin"/>
      </w:r>
      <w:r w:rsidR="00F43739">
        <w:instrText xml:space="preserve"> REF _Ref77706039 \r \h </w:instrText>
      </w:r>
      <w:r w:rsidR="00F43739">
        <w:fldChar w:fldCharType="separate"/>
      </w:r>
      <w:r w:rsidR="00D44A48">
        <w:t>18</w:t>
      </w:r>
      <w:r w:rsidR="00F43739">
        <w:fldChar w:fldCharType="end"/>
      </w:r>
      <w:r w:rsidR="00F95CAD">
        <w:t>]</w:t>
      </w:r>
      <w:r w:rsidR="00AE322C">
        <w:t xml:space="preserve"> </w:t>
      </w:r>
      <w:r w:rsidR="006A7EFA">
        <w:t>The</w:t>
      </w:r>
      <w:r w:rsidR="00CD5CA6">
        <w:t xml:space="preserve">refore, given </w:t>
      </w:r>
      <w:r w:rsidR="00DF2891">
        <w:t>precautions in place in schools during the tria</w:t>
      </w:r>
      <w:r w:rsidR="009921CA">
        <w:t>l (</w:t>
      </w:r>
      <w:r w:rsidR="00DF2891">
        <w:t xml:space="preserve">routine mask use was discontinued </w:t>
      </w:r>
      <w:r w:rsidR="00004B90">
        <w:t>during</w:t>
      </w:r>
      <w:r w:rsidR="00F56866">
        <w:t xml:space="preserve"> the trial </w:t>
      </w:r>
      <w:r w:rsidR="00DF2891">
        <w:t>on 17-May-2021</w:t>
      </w:r>
      <w:r w:rsidR="00983D50">
        <w:t>, but other precautions were maintained</w:t>
      </w:r>
      <w:r w:rsidR="009921CA">
        <w:t>)</w:t>
      </w:r>
      <w:r w:rsidR="00F56866">
        <w:t xml:space="preserve">, </w:t>
      </w:r>
      <w:r w:rsidR="001B785E">
        <w:t xml:space="preserve">the overall risks to students and staff following exposure to a contact at school are low. </w:t>
      </w:r>
      <w:r w:rsidR="009921CA">
        <w:t>Indeed,</w:t>
      </w:r>
      <w:r w:rsidR="007D4A4C">
        <w:t xml:space="preserve"> whether </w:t>
      </w:r>
      <w:r w:rsidR="00C40DEE">
        <w:t>the extent of transmission</w:t>
      </w:r>
      <w:r w:rsidR="00A3481D">
        <w:t xml:space="preserve"> and performance of LFDs </w:t>
      </w:r>
      <w:r w:rsidR="00EC1645">
        <w:t>(discussed below)</w:t>
      </w:r>
      <w:r w:rsidR="00C40DEE">
        <w:t xml:space="preserve"> is</w:t>
      </w:r>
      <w:r w:rsidR="007D4A4C">
        <w:t xml:space="preserve"> sufficient to</w:t>
      </w:r>
      <w:r w:rsidR="00AB524C">
        <w:t xml:space="preserve"> make</w:t>
      </w:r>
      <w:r w:rsidR="007D4A4C">
        <w:t xml:space="preserve"> contact testing</w:t>
      </w:r>
      <w:r w:rsidR="00AB524C">
        <w:t xml:space="preserve"> necessary and cost-effective</w:t>
      </w:r>
      <w:r w:rsidR="007D4A4C">
        <w:t xml:space="preserve"> will require careful </w:t>
      </w:r>
      <w:r w:rsidR="00F83D70">
        <w:t xml:space="preserve">discussion and may vary </w:t>
      </w:r>
      <w:r w:rsidR="009D46BA">
        <w:t xml:space="preserve">with changes in </w:t>
      </w:r>
      <w:r w:rsidR="00F83D70">
        <w:t>incidence</w:t>
      </w:r>
      <w:r w:rsidR="009D46BA">
        <w:t>,</w:t>
      </w:r>
      <w:r w:rsidR="00AB524C">
        <w:t xml:space="preserve"> virus transmissibility</w:t>
      </w:r>
      <w:r w:rsidR="00F83D70">
        <w:t xml:space="preserve"> </w:t>
      </w:r>
      <w:r w:rsidR="009D46BA">
        <w:t>or the prevalence of</w:t>
      </w:r>
      <w:r w:rsidR="00A74877">
        <w:t xml:space="preserve"> any</w:t>
      </w:r>
      <w:r w:rsidR="009D46BA">
        <w:t xml:space="preserve"> vaccine evasive strains</w:t>
      </w:r>
      <w:r w:rsidR="00F83D70">
        <w:t xml:space="preserve">. </w:t>
      </w:r>
      <w:r w:rsidR="00AE322C">
        <w:t xml:space="preserve">Participation in </w:t>
      </w:r>
      <w:r w:rsidR="00C621CA">
        <w:t>study</w:t>
      </w:r>
      <w:r w:rsidR="00C40DEE">
        <w:t xml:space="preserve"> PCR testing in </w:t>
      </w:r>
      <w:r w:rsidR="00AE322C">
        <w:t xml:space="preserve">control schools was lower than in the </w:t>
      </w:r>
      <w:r w:rsidR="00AE322C">
        <w:lastRenderedPageBreak/>
        <w:t>intervention schools</w:t>
      </w:r>
      <w:r w:rsidR="003B1860">
        <w:t>, in part</w:t>
      </w:r>
      <w:r w:rsidR="00AE322C">
        <w:t xml:space="preserve"> because </w:t>
      </w:r>
      <w:r w:rsidR="003B1860">
        <w:t xml:space="preserve">participation in </w:t>
      </w:r>
      <w:r w:rsidR="00AE322C">
        <w:t xml:space="preserve">DCT </w:t>
      </w:r>
      <w:r w:rsidR="003B1860">
        <w:t>facilitated intervention arm PCR-testing</w:t>
      </w:r>
      <w:r w:rsidR="00935F14">
        <w:t xml:space="preserve"> and </w:t>
      </w:r>
      <w:r w:rsidR="00603E9E">
        <w:t xml:space="preserve">because </w:t>
      </w:r>
      <w:r w:rsidR="00935F14">
        <w:t xml:space="preserve">the greater </w:t>
      </w:r>
      <w:r w:rsidR="00293543">
        <w:t>awareness</w:t>
      </w:r>
      <w:r w:rsidR="00935F14">
        <w:t xml:space="preserve"> of the study</w:t>
      </w:r>
      <w:r w:rsidR="007D5803">
        <w:t xml:space="preserve"> in intervention schools</w:t>
      </w:r>
      <w:r w:rsidR="003B1860">
        <w:t>.</w:t>
      </w:r>
      <w:r w:rsidR="00AE322C">
        <w:t xml:space="preserve"> It is unclear whether </w:t>
      </w:r>
      <w:r w:rsidR="006A0C8D">
        <w:t xml:space="preserve">this </w:t>
      </w:r>
      <w:r w:rsidR="00724864">
        <w:t>introduced</w:t>
      </w:r>
      <w:r w:rsidR="00AE322C">
        <w:t xml:space="preserve"> bias in the results</w:t>
      </w:r>
      <w:r w:rsidR="00966B84">
        <w:t xml:space="preserve"> for the </w:t>
      </w:r>
      <w:r w:rsidR="00F905CB">
        <w:t>study</w:t>
      </w:r>
      <w:r w:rsidR="00966B84">
        <w:t xml:space="preserve"> PCR tests, however we also found no </w:t>
      </w:r>
      <w:r w:rsidR="006A0C8D">
        <w:t xml:space="preserve">evidence of </w:t>
      </w:r>
      <w:r w:rsidR="00966B84">
        <w:t xml:space="preserve">difference in symptomatic </w:t>
      </w:r>
      <w:r w:rsidR="00DF4AF5">
        <w:t>infection</w:t>
      </w:r>
      <w:r w:rsidR="00966B84">
        <w:t xml:space="preserve"> rates</w:t>
      </w:r>
      <w:r w:rsidR="00150732">
        <w:t xml:space="preserve"> in contacts</w:t>
      </w:r>
      <w:r w:rsidR="00966B84">
        <w:t xml:space="preserve">. </w:t>
      </w:r>
    </w:p>
    <w:p w14:paraId="374A5B2A" w14:textId="77777777" w:rsidR="00AE322C" w:rsidRDefault="00AE322C" w:rsidP="00910C9B"/>
    <w:p w14:paraId="2BCC0202" w14:textId="40DF0458" w:rsidR="00562077" w:rsidRDefault="00CF2370" w:rsidP="00910C9B">
      <w:r>
        <w:t xml:space="preserve">We did not </w:t>
      </w:r>
      <w:r w:rsidR="00A51619">
        <w:t xml:space="preserve">clearly </w:t>
      </w:r>
      <w:r>
        <w:t xml:space="preserve">demonstrate superiority of the intervention </w:t>
      </w:r>
      <w:r w:rsidR="000749DC">
        <w:t>for</w:t>
      </w:r>
      <w:r>
        <w:t xml:space="preserve"> avoiding student and staff </w:t>
      </w:r>
      <w:r w:rsidR="00215ED4">
        <w:t xml:space="preserve">COVID-related school </w:t>
      </w:r>
      <w:r>
        <w:t xml:space="preserve">absences. </w:t>
      </w:r>
      <w:r w:rsidR="00F035E8">
        <w:t xml:space="preserve">This </w:t>
      </w:r>
      <w:r w:rsidR="002D2404">
        <w:t xml:space="preserve">possibly </w:t>
      </w:r>
      <w:r w:rsidR="00F035E8">
        <w:t>reflects that the trial was relatively underpowered given the large extent of varia</w:t>
      </w:r>
      <w:r w:rsidR="002D2404">
        <w:t xml:space="preserve">tion in </w:t>
      </w:r>
      <w:r w:rsidR="008C67F5">
        <w:t xml:space="preserve">absence rates over time and between schools, requiring overdispersion to be accounted for in </w:t>
      </w:r>
      <w:r w:rsidR="00B311F8">
        <w:t>regression models fitted. P</w:t>
      </w:r>
      <w:r w:rsidR="008A6376">
        <w:t xml:space="preserve">ooling data on a per school basis, in an ITT analysis, </w:t>
      </w:r>
      <w:r w:rsidR="00101287">
        <w:t>our point</w:t>
      </w:r>
      <w:r w:rsidR="008A6376">
        <w:t xml:space="preserve"> estimate </w:t>
      </w:r>
      <w:r w:rsidR="000D5A63">
        <w:t xml:space="preserve">showed </w:t>
      </w:r>
      <w:r w:rsidR="002E4CB7">
        <w:t>a 20% decrease in COVID-related absences, but with a broad range</w:t>
      </w:r>
      <w:r w:rsidR="002658A4">
        <w:t xml:space="preserve"> of </w:t>
      </w:r>
      <w:r w:rsidR="002E4CB7">
        <w:t xml:space="preserve">uncertainty </w:t>
      </w:r>
      <w:r w:rsidR="000A6B19">
        <w:t>(</w:t>
      </w:r>
      <w:r w:rsidR="002658A4">
        <w:t xml:space="preserve">95%CI </w:t>
      </w:r>
      <w:r w:rsidR="007067B7">
        <w:t>0.62-1.03</w:t>
      </w:r>
      <w:r w:rsidR="000A6B19">
        <w:t>)</w:t>
      </w:r>
      <w:r w:rsidR="00590D85">
        <w:t xml:space="preserve">, similarly in the CACE analysis </w:t>
      </w:r>
      <w:r w:rsidR="002872E1">
        <w:t xml:space="preserve">amongst those who participated </w:t>
      </w:r>
      <w:r w:rsidR="00590D85">
        <w:t xml:space="preserve">the point estimate was a 38% reduction, but </w:t>
      </w:r>
      <w:r w:rsidR="00562077">
        <w:t>with broader uncertainty (</w:t>
      </w:r>
      <w:r w:rsidR="002872E1">
        <w:t>95%CI 0.29-1.33).</w:t>
      </w:r>
      <w:r w:rsidR="0093566D">
        <w:t xml:space="preserve"> </w:t>
      </w:r>
    </w:p>
    <w:p w14:paraId="1B5D9C76" w14:textId="77777777" w:rsidR="00562077" w:rsidRDefault="00562077" w:rsidP="00910C9B"/>
    <w:p w14:paraId="27E21635" w14:textId="73E88848" w:rsidR="00CF2370" w:rsidRDefault="00866FE7" w:rsidP="00910C9B">
      <w:r>
        <w:t>R</w:t>
      </w:r>
      <w:r w:rsidR="0093566D">
        <w:t xml:space="preserve">eductions in COVID-related absences were not greater </w:t>
      </w:r>
      <w:r w:rsidR="00D753C7">
        <w:t>because</w:t>
      </w:r>
      <w:r w:rsidR="0093566D">
        <w:t xml:space="preserve"> not all those eligible </w:t>
      </w:r>
      <w:r w:rsidR="00724864">
        <w:t>participated</w:t>
      </w:r>
      <w:r w:rsidR="0093566D">
        <w:t xml:space="preserve">, and not all absences were </w:t>
      </w:r>
      <w:r w:rsidR="001A54B0">
        <w:t>amenable</w:t>
      </w:r>
      <w:r w:rsidR="0093566D">
        <w:t xml:space="preserve"> to the intervention, e.g. household contacts were in</w:t>
      </w:r>
      <w:r w:rsidR="001A54B0">
        <w:t>eligible.</w:t>
      </w:r>
      <w:r w:rsidR="00C30392">
        <w:t xml:space="preserve"> </w:t>
      </w:r>
      <w:r w:rsidR="00EE7653">
        <w:t>However,</w:t>
      </w:r>
      <w:r w:rsidR="00C30392">
        <w:t xml:space="preserve"> despite the lack of statistical evidence</w:t>
      </w:r>
      <w:r w:rsidR="009E638A">
        <w:t xml:space="preserve"> from the trial</w:t>
      </w:r>
      <w:r w:rsidR="00C30392">
        <w:t>, in the absence of increased transmission, it is reasonable to assume that a policy allowing students and staff to remain in school would lead to increased attendance</w:t>
      </w:r>
      <w:r w:rsidR="00C13CB9">
        <w:t xml:space="preserve">, </w:t>
      </w:r>
      <w:r w:rsidR="009F6896">
        <w:t>but this may be more limited than initially anticipated.</w:t>
      </w:r>
    </w:p>
    <w:p w14:paraId="080732BF" w14:textId="77777777" w:rsidR="005B7B75" w:rsidRDefault="005B7B75" w:rsidP="00910C9B"/>
    <w:p w14:paraId="2D56FC65" w14:textId="4CC702A2" w:rsidR="00787C5E" w:rsidRDefault="00764143" w:rsidP="00787C5E">
      <w:r>
        <w:t>DCT</w:t>
      </w:r>
      <w:r w:rsidR="005B7B75">
        <w:t xml:space="preserve"> participat</w:t>
      </w:r>
      <w:r w:rsidR="00C13CB9">
        <w:t>ion</w:t>
      </w:r>
      <w:r w:rsidR="005B7B75">
        <w:t xml:space="preserve"> rates </w:t>
      </w:r>
      <w:r w:rsidR="00954468">
        <w:t>in intervention arm contacts</w:t>
      </w:r>
      <w:r w:rsidR="005B7B75">
        <w:t xml:space="preserve"> were </w:t>
      </w:r>
      <w:r w:rsidR="00954468">
        <w:t>42% o</w:t>
      </w:r>
      <w:r>
        <w:t>n</w:t>
      </w:r>
      <w:r w:rsidR="00954468">
        <w:t xml:space="preserve"> a per</w:t>
      </w:r>
      <w:r w:rsidR="005020EA">
        <w:t>-</w:t>
      </w:r>
      <w:r w:rsidR="00954468">
        <w:t xml:space="preserve">person basis </w:t>
      </w:r>
      <w:r w:rsidR="002C4D04">
        <w:t>with</w:t>
      </w:r>
      <w:r w:rsidR="005F2C61">
        <w:t xml:space="preserve"> marked variation between schools</w:t>
      </w:r>
      <w:r w:rsidR="009457A5">
        <w:t xml:space="preserve"> (</w:t>
      </w:r>
      <w:r w:rsidR="002C4D04">
        <w:t>range</w:t>
      </w:r>
      <w:r w:rsidR="005F2C61">
        <w:t xml:space="preserve"> 0</w:t>
      </w:r>
      <w:r w:rsidR="002C4D04">
        <w:t>-</w:t>
      </w:r>
      <w:r w:rsidR="005F2C61">
        <w:t>100%</w:t>
      </w:r>
      <w:r w:rsidR="009457A5">
        <w:t>)</w:t>
      </w:r>
      <w:r w:rsidR="00FA1B6F">
        <w:t xml:space="preserve">. </w:t>
      </w:r>
      <w:r w:rsidR="007A6770">
        <w:t xml:space="preserve">Staff were more likely to participate than students. </w:t>
      </w:r>
      <w:r w:rsidR="00FA1B6F">
        <w:t>Although</w:t>
      </w:r>
      <w:r w:rsidR="009D07CC">
        <w:t xml:space="preserve"> contacts at</w:t>
      </w:r>
      <w:r w:rsidR="00FA1B6F">
        <w:t xml:space="preserve"> government-funded schools </w:t>
      </w:r>
      <w:r w:rsidR="009D07CC">
        <w:t xml:space="preserve">with students 11-16 years old with a low percentage of free school meals were most likely to participate, </w:t>
      </w:r>
      <w:r w:rsidR="00A40980">
        <w:t>other school types were similar</w:t>
      </w:r>
      <w:r w:rsidR="00477775">
        <w:t xml:space="preserve">, such that differences </w:t>
      </w:r>
      <w:r w:rsidR="002E7A77">
        <w:t xml:space="preserve">in participation </w:t>
      </w:r>
      <w:r w:rsidR="00C766C4">
        <w:t xml:space="preserve">related </w:t>
      </w:r>
      <w:r w:rsidR="007A6770">
        <w:t>to</w:t>
      </w:r>
      <w:r w:rsidR="00C766C4">
        <w:t xml:space="preserve"> factors </w:t>
      </w:r>
      <w:r w:rsidR="001C383C">
        <w:t>other</w:t>
      </w:r>
      <w:r w:rsidR="00C766C4">
        <w:t xml:space="preserve"> than schoo</w:t>
      </w:r>
      <w:r w:rsidR="007A6770">
        <w:t>l</w:t>
      </w:r>
      <w:r w:rsidR="00C766C4">
        <w:t xml:space="preserve"> type</w:t>
      </w:r>
      <w:r w:rsidR="00A40980">
        <w:t xml:space="preserve">. </w:t>
      </w:r>
      <w:r w:rsidR="00235999">
        <w:t>A q</w:t>
      </w:r>
      <w:r w:rsidR="00CA2003">
        <w:t xml:space="preserve">ualitative </w:t>
      </w:r>
      <w:r w:rsidR="00B70A57">
        <w:t xml:space="preserve">analysis </w:t>
      </w:r>
      <w:r w:rsidR="0054265D">
        <w:t xml:space="preserve">of </w:t>
      </w:r>
      <w:r w:rsidR="0094586C">
        <w:t>interviews with</w:t>
      </w:r>
      <w:r w:rsidR="0054265D">
        <w:t xml:space="preserve"> participants to understand why some participate</w:t>
      </w:r>
      <w:r w:rsidR="0094586C">
        <w:t>d</w:t>
      </w:r>
      <w:r w:rsidR="0054265D">
        <w:t xml:space="preserve"> and others did not </w:t>
      </w:r>
      <w:r w:rsidR="00235999">
        <w:t xml:space="preserve">will be </w:t>
      </w:r>
      <w:r w:rsidR="00E03BFC">
        <w:t>presented separately</w:t>
      </w:r>
      <w:r w:rsidR="0054265D">
        <w:t>.</w:t>
      </w:r>
      <w:r w:rsidR="00E67AF1">
        <w:t>[</w:t>
      </w:r>
      <w:r w:rsidR="0028054A">
        <w:fldChar w:fldCharType="begin"/>
      </w:r>
      <w:r w:rsidR="0028054A">
        <w:instrText xml:space="preserve"> REF _Ref78198906 \r \h </w:instrText>
      </w:r>
      <w:r w:rsidR="0028054A">
        <w:fldChar w:fldCharType="separate"/>
      </w:r>
      <w:r w:rsidR="00D44A48">
        <w:t>20</w:t>
      </w:r>
      <w:r w:rsidR="0028054A">
        <w:fldChar w:fldCharType="end"/>
      </w:r>
      <w:r w:rsidR="00E67AF1">
        <w:t>]</w:t>
      </w:r>
      <w:r w:rsidR="00787C5E" w:rsidRPr="00787C5E">
        <w:t xml:space="preserve"> </w:t>
      </w:r>
      <w:r w:rsidR="00787C5E">
        <w:t xml:space="preserve">Additionally, at some stages, schools paused the intervention because of capacity </w:t>
      </w:r>
      <w:r w:rsidR="00CE11D3">
        <w:t>limitations</w:t>
      </w:r>
      <w:r w:rsidR="00787C5E">
        <w:t xml:space="preserve"> or public health </w:t>
      </w:r>
      <w:r w:rsidR="00325E5B">
        <w:t>officials’ concern</w:t>
      </w:r>
      <w:r w:rsidR="00ED6D75">
        <w:t>s</w:t>
      </w:r>
      <w:r w:rsidR="00787C5E">
        <w:t xml:space="preserve"> about the Delta lineage or </w:t>
      </w:r>
      <w:r w:rsidR="00872A62">
        <w:t>rising</w:t>
      </w:r>
      <w:r w:rsidR="00787C5E">
        <w:t xml:space="preserve"> transmission in </w:t>
      </w:r>
      <w:r w:rsidR="00872A62">
        <w:t>the</w:t>
      </w:r>
      <w:r w:rsidR="00787C5E">
        <w:t xml:space="preserve"> community. No local public health teams reported concern that transmission increase</w:t>
      </w:r>
      <w:r w:rsidR="00A63497">
        <w:t>d</w:t>
      </w:r>
      <w:r w:rsidR="00787C5E">
        <w:t xml:space="preserve"> </w:t>
      </w:r>
      <w:r w:rsidR="00872A62">
        <w:t>because</w:t>
      </w:r>
      <w:r w:rsidR="00787C5E">
        <w:t xml:space="preserve"> of this study.</w:t>
      </w:r>
      <w:r w:rsidR="00B53AE9">
        <w:t xml:space="preserve"> We did not </w:t>
      </w:r>
      <w:r w:rsidR="00FD7B0C">
        <w:t>formally</w:t>
      </w:r>
      <w:r w:rsidR="000361D5">
        <w:t xml:space="preserve"> </w:t>
      </w:r>
      <w:r w:rsidR="00B53AE9">
        <w:t xml:space="preserve">assess </w:t>
      </w:r>
      <w:r w:rsidR="005F52BF">
        <w:t>compliance with isolation in the control arm</w:t>
      </w:r>
      <w:r w:rsidR="005E0142">
        <w:t>, although</w:t>
      </w:r>
      <w:r w:rsidR="00E34108">
        <w:t xml:space="preserve"> </w:t>
      </w:r>
      <w:r w:rsidR="000361D5">
        <w:t xml:space="preserve">it was school policy that known </w:t>
      </w:r>
      <w:r w:rsidR="00FD7B0C">
        <w:t xml:space="preserve">cases and contacts did not attend school. </w:t>
      </w:r>
      <w:r w:rsidR="00E34108">
        <w:t>However</w:t>
      </w:r>
      <w:r w:rsidR="00EE44E4">
        <w:t>,</w:t>
      </w:r>
      <w:r w:rsidR="00E34108">
        <w:t xml:space="preserve"> it is still possible that in both study arms </w:t>
      </w:r>
      <w:r w:rsidR="00EE44E4">
        <w:t>there was incomplete compliance with isolation at home outside of school hours</w:t>
      </w:r>
      <w:r w:rsidR="005E0142">
        <w:t xml:space="preserve"> and during school hours in the control arm</w:t>
      </w:r>
      <w:r w:rsidR="001C383C">
        <w:t>, particularly as lockdown restrictions eased</w:t>
      </w:r>
      <w:r w:rsidR="005E0142">
        <w:t>.</w:t>
      </w:r>
    </w:p>
    <w:p w14:paraId="05BC2EDE" w14:textId="77777777" w:rsidR="005B6C8E" w:rsidRDefault="005B6C8E" w:rsidP="00787C5E"/>
    <w:p w14:paraId="53C819DF" w14:textId="60899EA1" w:rsidR="005B6C8E" w:rsidRDefault="00BB4833" w:rsidP="00787C5E">
      <w:r>
        <w:t>Previous estimates for the performance of antigen LFDs compared to PCR testing have varied markedly.[</w:t>
      </w:r>
      <w:r w:rsidR="00F43739">
        <w:fldChar w:fldCharType="begin"/>
      </w:r>
      <w:r w:rsidR="00F43739">
        <w:instrText xml:space="preserve"> REF _Ref77709719 \r \h </w:instrText>
      </w:r>
      <w:r w:rsidR="00F43739">
        <w:fldChar w:fldCharType="separate"/>
      </w:r>
      <w:r w:rsidR="00663502">
        <w:t>7</w:t>
      </w:r>
      <w:r w:rsidR="00F43739">
        <w:fldChar w:fldCharType="end"/>
      </w:r>
      <w:r w:rsidR="00F43739">
        <w:t>,</w:t>
      </w:r>
      <w:r w:rsidR="001C383C">
        <w:fldChar w:fldCharType="begin"/>
      </w:r>
      <w:r w:rsidR="001C383C">
        <w:instrText xml:space="preserve"> REF _Ref80014664 \r \h </w:instrText>
      </w:r>
      <w:r w:rsidR="001C383C">
        <w:fldChar w:fldCharType="separate"/>
      </w:r>
      <w:r w:rsidR="001C383C">
        <w:t>9</w:t>
      </w:r>
      <w:r w:rsidR="001C383C">
        <w:fldChar w:fldCharType="end"/>
      </w:r>
      <w:r w:rsidR="00F43739">
        <w:t>,</w:t>
      </w:r>
      <w:r w:rsidR="00F43739">
        <w:fldChar w:fldCharType="begin"/>
      </w:r>
      <w:r w:rsidR="00F43739">
        <w:instrText xml:space="preserve"> REF _Ref77709764 \r \h </w:instrText>
      </w:r>
      <w:r w:rsidR="00F43739">
        <w:fldChar w:fldCharType="separate"/>
      </w:r>
      <w:r w:rsidR="00D44A48">
        <w:t>26</w:t>
      </w:r>
      <w:r w:rsidR="00F43739">
        <w:fldChar w:fldCharType="end"/>
      </w:r>
      <w:r>
        <w:t xml:space="preserve">] Here we estimate the overall </w:t>
      </w:r>
      <w:r w:rsidR="00A34965">
        <w:t xml:space="preserve">sensitivity of school-based LFD testing </w:t>
      </w:r>
      <w:r w:rsidR="007D4E0F">
        <w:t xml:space="preserve">in </w:t>
      </w:r>
      <w:r w:rsidR="00AF2F85">
        <w:t xml:space="preserve">largely asymptomatic individuals </w:t>
      </w:r>
      <w:r w:rsidR="00A34965">
        <w:t>as 53%</w:t>
      </w:r>
      <w:r w:rsidR="003C19A0">
        <w:t xml:space="preserve">, </w:t>
      </w:r>
      <w:r w:rsidR="00B3727A">
        <w:t>i.e.,</w:t>
      </w:r>
      <w:r w:rsidR="00D12CCF">
        <w:t xml:space="preserve"> within the range of previously reported rates.</w:t>
      </w:r>
      <w:r w:rsidR="007C785A">
        <w:t xml:space="preserve"> It is worth noting </w:t>
      </w:r>
      <w:r w:rsidR="004F57A8">
        <w:t>our</w:t>
      </w:r>
      <w:r w:rsidR="007C785A">
        <w:t xml:space="preserve"> findings on transmission in this study are in the context of this level of performance. </w:t>
      </w:r>
      <w:r w:rsidR="00CC7181">
        <w:t xml:space="preserve">Specificity was 99.93%. </w:t>
      </w:r>
      <w:r w:rsidR="00D555FA">
        <w:t>As LFD performance varies by viral load</w:t>
      </w:r>
      <w:r w:rsidR="00434715">
        <w:t>[</w:t>
      </w:r>
      <w:r w:rsidR="00F43739">
        <w:fldChar w:fldCharType="begin"/>
      </w:r>
      <w:r w:rsidR="00F43739">
        <w:instrText xml:space="preserve"> REF _Ref77710977 \r \h </w:instrText>
      </w:r>
      <w:r w:rsidR="00F43739">
        <w:fldChar w:fldCharType="separate"/>
      </w:r>
      <w:r w:rsidR="00D44A48">
        <w:t>27</w:t>
      </w:r>
      <w:r w:rsidR="00F43739">
        <w:fldChar w:fldCharType="end"/>
      </w:r>
      <w:r w:rsidR="00434715">
        <w:t xml:space="preserve">] </w:t>
      </w:r>
      <w:r w:rsidR="00CC7181">
        <w:t xml:space="preserve">performance </w:t>
      </w:r>
      <w:r w:rsidR="004F57A8">
        <w:t>can</w:t>
      </w:r>
      <w:r w:rsidR="000210B5">
        <w:t xml:space="preserve"> change </w:t>
      </w:r>
      <w:r w:rsidR="00A1352E">
        <w:t xml:space="preserve">as </w:t>
      </w:r>
      <w:r w:rsidR="00B13236">
        <w:t>the population viral load distribution changes</w:t>
      </w:r>
      <w:r w:rsidR="007D4E0F">
        <w:t>.</w:t>
      </w:r>
      <w:r w:rsidR="009041D1">
        <w:t xml:space="preserve"> Consistent with previous reports[</w:t>
      </w:r>
      <w:r w:rsidR="006D40B7">
        <w:rPr>
          <w:highlight w:val="yellow"/>
        </w:rPr>
        <w:fldChar w:fldCharType="begin"/>
      </w:r>
      <w:r w:rsidR="006D40B7">
        <w:instrText xml:space="preserve"> REF _Ref77709719 \r \h </w:instrText>
      </w:r>
      <w:r w:rsidR="006D40B7">
        <w:rPr>
          <w:highlight w:val="yellow"/>
        </w:rPr>
      </w:r>
      <w:r w:rsidR="006D40B7">
        <w:rPr>
          <w:highlight w:val="yellow"/>
        </w:rPr>
        <w:fldChar w:fldCharType="separate"/>
      </w:r>
      <w:r w:rsidR="00663502">
        <w:t>7</w:t>
      </w:r>
      <w:r w:rsidR="006D40B7">
        <w:rPr>
          <w:highlight w:val="yellow"/>
        </w:rPr>
        <w:fldChar w:fldCharType="end"/>
      </w:r>
      <w:r w:rsidR="009041D1">
        <w:t>] we find higher viral loads, i.e. lower PCR cycle threshold values, are associated with increased sensitivity, and therefore LFDs are more likely to detect those who are most infectious.[</w:t>
      </w:r>
      <w:r w:rsidR="00F43739">
        <w:fldChar w:fldCharType="begin"/>
      </w:r>
      <w:r w:rsidR="00F43739">
        <w:instrText xml:space="preserve"> REF _Ref77706039 \r \h </w:instrText>
      </w:r>
      <w:r w:rsidR="00F43739">
        <w:fldChar w:fldCharType="separate"/>
      </w:r>
      <w:r w:rsidR="00D44A48">
        <w:t>18</w:t>
      </w:r>
      <w:r w:rsidR="00F43739">
        <w:fldChar w:fldCharType="end"/>
      </w:r>
      <w:r w:rsidR="009041D1">
        <w:t>]</w:t>
      </w:r>
    </w:p>
    <w:p w14:paraId="5A697A2B" w14:textId="77777777" w:rsidR="009A60D8" w:rsidRDefault="009A60D8" w:rsidP="00787C5E"/>
    <w:p w14:paraId="2DB87198" w14:textId="325CE408" w:rsidR="00A50E91" w:rsidRDefault="008D5105" w:rsidP="00910C9B">
      <w:r>
        <w:lastRenderedPageBreak/>
        <w:t xml:space="preserve">The study has </w:t>
      </w:r>
      <w:r w:rsidR="007C785A">
        <w:t>several</w:t>
      </w:r>
      <w:r>
        <w:t xml:space="preserve"> limitations.</w:t>
      </w:r>
      <w:r w:rsidRPr="008D5105">
        <w:t xml:space="preserve"> </w:t>
      </w:r>
      <w:r>
        <w:t>Schools and colleges</w:t>
      </w:r>
      <w:r w:rsidR="00755A53">
        <w:t>,</w:t>
      </w:r>
      <w:r>
        <w:t xml:space="preserve"> </w:t>
      </w:r>
      <w:r w:rsidR="009A1610">
        <w:t>despite provision of dedicated resources</w:t>
      </w:r>
      <w:r w:rsidR="00755A53">
        <w:t>,</w:t>
      </w:r>
      <w:r w:rsidR="009A1610">
        <w:t xml:space="preserve"> were not always able to participate due to competing </w:t>
      </w:r>
      <w:r w:rsidR="00D53C96">
        <w:t>pressures</w:t>
      </w:r>
      <w:r w:rsidR="006D4812">
        <w:t>.</w:t>
      </w:r>
      <w:r w:rsidR="00C85407">
        <w:t xml:space="preserve"> </w:t>
      </w:r>
      <w:r w:rsidR="006D4812">
        <w:t>I</w:t>
      </w:r>
      <w:r w:rsidR="00C85407">
        <w:t xml:space="preserve">t is also likely as a result </w:t>
      </w:r>
      <w:r w:rsidR="005066A6">
        <w:t xml:space="preserve">that </w:t>
      </w:r>
      <w:r w:rsidR="00C85407">
        <w:t xml:space="preserve">data capture was imperfect, e.g. </w:t>
      </w:r>
      <w:r w:rsidR="0081602B">
        <w:t xml:space="preserve">it is </w:t>
      </w:r>
      <w:r w:rsidR="0061417B">
        <w:t>possib</w:t>
      </w:r>
      <w:r w:rsidR="005A67D8">
        <w:t>l</w:t>
      </w:r>
      <w:r w:rsidR="0081602B">
        <w:t>e</w:t>
      </w:r>
      <w:r w:rsidR="00C85407">
        <w:t xml:space="preserve"> that not all PCR-positive cases were reported to schools, and not all contacts </w:t>
      </w:r>
      <w:r w:rsidR="006256A3">
        <w:t>were</w:t>
      </w:r>
      <w:r w:rsidR="00C85407">
        <w:t xml:space="preserve"> documented for all index cases. However, </w:t>
      </w:r>
      <w:r w:rsidR="000713DC">
        <w:t>our</w:t>
      </w:r>
      <w:r w:rsidR="00C85407">
        <w:t xml:space="preserve"> primary outcome</w:t>
      </w:r>
      <w:r w:rsidR="00B2741B">
        <w:t xml:space="preserve">s </w:t>
      </w:r>
      <w:r w:rsidR="00D00C68">
        <w:t>are</w:t>
      </w:r>
      <w:r w:rsidR="00C85407">
        <w:t xml:space="preserve"> robust to this.</w:t>
      </w:r>
      <w:r w:rsidR="00ED143E">
        <w:t xml:space="preserve"> </w:t>
      </w:r>
      <w:r w:rsidR="002B3DBB">
        <w:t>We</w:t>
      </w:r>
      <w:r>
        <w:t xml:space="preserve"> used the incidence of </w:t>
      </w:r>
      <w:r w:rsidR="00D00C68">
        <w:t>symptomatically driven</w:t>
      </w:r>
      <w:r>
        <w:t xml:space="preserve"> </w:t>
      </w:r>
      <w:r w:rsidR="002B3DBB">
        <w:t>testing</w:t>
      </w:r>
      <w:r>
        <w:t xml:space="preserve"> as </w:t>
      </w:r>
      <w:r w:rsidR="002B3DBB">
        <w:t>a</w:t>
      </w:r>
      <w:r>
        <w:t xml:space="preserve"> </w:t>
      </w:r>
      <w:r w:rsidR="002B3DBB">
        <w:t>primary</w:t>
      </w:r>
      <w:r>
        <w:t xml:space="preserve"> </w:t>
      </w:r>
      <w:r w:rsidR="00DC10A5">
        <w:t>endpoint</w:t>
      </w:r>
      <w:r>
        <w:t xml:space="preserve"> </w:t>
      </w:r>
      <w:r w:rsidR="008F3023">
        <w:t xml:space="preserve">as this </w:t>
      </w:r>
      <w:r>
        <w:t>was least likely to be affected by the two testing strategies</w:t>
      </w:r>
      <w:r w:rsidR="002B3DBB">
        <w:t>; i</w:t>
      </w:r>
      <w:r>
        <w:t xml:space="preserve">n fact, there was little difference in the </w:t>
      </w:r>
      <w:r w:rsidR="00B1363C">
        <w:t>incidence of</w:t>
      </w:r>
      <w:r>
        <w:t xml:space="preserve"> all </w:t>
      </w:r>
      <w:r w:rsidR="00EF2D64">
        <w:t xml:space="preserve">community </w:t>
      </w:r>
      <w:r>
        <w:t>PCR tests</w:t>
      </w:r>
      <w:r w:rsidR="00ED143E">
        <w:t xml:space="preserve"> between the study arms.</w:t>
      </w:r>
      <w:r>
        <w:t xml:space="preserve"> </w:t>
      </w:r>
      <w:r w:rsidR="001B0ABB">
        <w:t xml:space="preserve">Relying on linkage to Test and Trace data is a potential weakness, </w:t>
      </w:r>
      <w:r w:rsidR="00E55A6B">
        <w:t xml:space="preserve">as </w:t>
      </w:r>
      <w:r w:rsidR="00ED143E">
        <w:t>it depended</w:t>
      </w:r>
      <w:r w:rsidR="00E55A6B">
        <w:t xml:space="preserve"> on imperfectly recorded identifiers, </w:t>
      </w:r>
      <w:r w:rsidR="00ED143E">
        <w:t>however this would</w:t>
      </w:r>
      <w:r w:rsidR="00E55A6B">
        <w:t xml:space="preserve"> not be </w:t>
      </w:r>
      <w:r w:rsidR="00ED143E">
        <w:t>expected to differ between study arms.</w:t>
      </w:r>
      <w:r w:rsidR="00E55A6B">
        <w:t xml:space="preserve"> </w:t>
      </w:r>
      <w:r w:rsidR="002462AE">
        <w:t>Furthermore</w:t>
      </w:r>
      <w:r w:rsidR="00113A8E">
        <w:t>,</w:t>
      </w:r>
      <w:r w:rsidR="002462AE">
        <w:t xml:space="preserve"> using </w:t>
      </w:r>
      <w:r w:rsidR="009C173E">
        <w:t>incidence data means we do not directly measure within</w:t>
      </w:r>
      <w:r w:rsidR="00D25B8A">
        <w:t>-</w:t>
      </w:r>
      <w:r w:rsidR="009C173E">
        <w:t xml:space="preserve">school transmission, rather we estimate it by controlling for the rate of community </w:t>
      </w:r>
      <w:r w:rsidR="00A13EA6">
        <w:t>infections</w:t>
      </w:r>
      <w:r w:rsidR="00113A8E">
        <w:t>, as a proxy for the extent of introductions into the school.</w:t>
      </w:r>
      <w:r w:rsidR="004D26B8">
        <w:t xml:space="preserve"> </w:t>
      </w:r>
      <w:r w:rsidR="003342A6">
        <w:t xml:space="preserve">The trial was conducted during </w:t>
      </w:r>
      <w:r w:rsidR="006B649E">
        <w:t xml:space="preserve">periods of low to moderate COVID-19 incidence. We therefore did not estimate the </w:t>
      </w:r>
      <w:r w:rsidR="00792B9A">
        <w:t>impact of DCT in high incidence settings</w:t>
      </w:r>
      <w:r w:rsidR="0051212A">
        <w:t>;</w:t>
      </w:r>
      <w:r w:rsidR="007F1F07">
        <w:t xml:space="preserve"> monitoring of the impact </w:t>
      </w:r>
      <w:r w:rsidR="002C4AE8">
        <w:t>of DCT may be needed if it is deployed when incidence is high.</w:t>
      </w:r>
      <w:r w:rsidR="00E04B89">
        <w:t xml:space="preserve"> Changes in incidence may relate to new variants</w:t>
      </w:r>
      <w:r w:rsidR="006A6712">
        <w:t>, which may impact LFD performance, a</w:t>
      </w:r>
      <w:r w:rsidR="00C0367E">
        <w:t>nd</w:t>
      </w:r>
      <w:r w:rsidR="006A6712">
        <w:t xml:space="preserve"> so on-going assessment of LFD performance </w:t>
      </w:r>
      <w:r w:rsidR="00C0367E">
        <w:t>would be</w:t>
      </w:r>
      <w:r w:rsidR="006A6712">
        <w:t xml:space="preserve"> needed</w:t>
      </w:r>
      <w:r w:rsidR="00C0367E">
        <w:t xml:space="preserve"> as well</w:t>
      </w:r>
      <w:r w:rsidR="006A6712">
        <w:t xml:space="preserve">. </w:t>
      </w:r>
      <w:r w:rsidR="004919D0">
        <w:t xml:space="preserve">High incidence may also pose logistical </w:t>
      </w:r>
      <w:r w:rsidR="002731CC">
        <w:t>challenges</w:t>
      </w:r>
      <w:r w:rsidR="004919D0">
        <w:t>, i</w:t>
      </w:r>
      <w:r w:rsidR="00F9478B">
        <w:t xml:space="preserve">n the last two weeks of the study, community </w:t>
      </w:r>
      <w:r w:rsidR="003E7CCE">
        <w:t>incidence</w:t>
      </w:r>
      <w:r w:rsidR="005E74FF">
        <w:t xml:space="preserve"> </w:t>
      </w:r>
      <w:r w:rsidR="00DC71CA">
        <w:t>rose</w:t>
      </w:r>
      <w:r w:rsidR="00F9478B">
        <w:t xml:space="preserve"> making the DCT protocol unwieldy</w:t>
      </w:r>
      <w:r w:rsidR="00DC71CA">
        <w:t xml:space="preserve"> for some schools</w:t>
      </w:r>
      <w:r w:rsidR="004D26B8">
        <w:t xml:space="preserve">, given the </w:t>
      </w:r>
      <w:r w:rsidR="00F9478B">
        <w:t>space</w:t>
      </w:r>
      <w:r w:rsidR="004D26B8">
        <w:t xml:space="preserve"> and </w:t>
      </w:r>
      <w:r w:rsidR="00F9478B">
        <w:t>staff</w:t>
      </w:r>
      <w:r w:rsidR="004D26B8">
        <w:t xml:space="preserve"> required to perform testing. </w:t>
      </w:r>
      <w:r w:rsidR="00E6025A">
        <w:t>We</w:t>
      </w:r>
      <w:r w:rsidR="00DB0FC3">
        <w:t xml:space="preserve"> did not have sufficient power to stud</w:t>
      </w:r>
      <w:r w:rsidR="00671417">
        <w:t xml:space="preserve">y </w:t>
      </w:r>
      <w:r w:rsidR="00EE69DB">
        <w:t xml:space="preserve">if the intervention had different impacts </w:t>
      </w:r>
      <w:r w:rsidR="00D25809">
        <w:t>across different school types and settings.</w:t>
      </w:r>
    </w:p>
    <w:p w14:paraId="7A6C305C" w14:textId="77777777" w:rsidR="008E7A87" w:rsidRDefault="008E7A87" w:rsidP="00910C9B"/>
    <w:p w14:paraId="72D10A6C" w14:textId="077B09F9" w:rsidR="000F34A7" w:rsidRPr="00892E68" w:rsidRDefault="008E7A87" w:rsidP="00D2034D">
      <w:pPr>
        <w:tabs>
          <w:tab w:val="left" w:pos="9020"/>
        </w:tabs>
      </w:pPr>
      <w:r>
        <w:t>Future work</w:t>
      </w:r>
      <w:r w:rsidR="000B3237">
        <w:t xml:space="preserve"> includes</w:t>
      </w:r>
      <w:r w:rsidR="00B9508E">
        <w:t xml:space="preserve"> </w:t>
      </w:r>
      <w:r w:rsidR="000B3237">
        <w:t>w</w:t>
      </w:r>
      <w:r w:rsidR="00B9508E">
        <w:t>hole</w:t>
      </w:r>
      <w:r w:rsidR="003D406E">
        <w:t>-</w:t>
      </w:r>
      <w:r w:rsidR="00B9508E">
        <w:t xml:space="preserve">genome sequencing of positive </w:t>
      </w:r>
      <w:r w:rsidR="008A5291">
        <w:t>samples</w:t>
      </w:r>
      <w:r w:rsidR="00B9508E">
        <w:t xml:space="preserve"> from school members and from the community</w:t>
      </w:r>
      <w:r w:rsidR="00F90BDC">
        <w:t xml:space="preserve">, which </w:t>
      </w:r>
      <w:r w:rsidR="00B9508E">
        <w:t xml:space="preserve">may help </w:t>
      </w:r>
      <w:r w:rsidR="00F90BDC">
        <w:t>analyse transmission networks in schools, including during periods of higher incidence</w:t>
      </w:r>
      <w:r w:rsidR="00B9508E">
        <w:t xml:space="preserve"> in a manner successfully achieved for </w:t>
      </w:r>
      <w:r w:rsidR="00CF398B">
        <w:t>SARS-CoV-2[</w:t>
      </w:r>
      <w:r w:rsidR="00F43739">
        <w:fldChar w:fldCharType="begin"/>
      </w:r>
      <w:r w:rsidR="00F43739">
        <w:instrText xml:space="preserve"> REF _Ref77711319 \r \h </w:instrText>
      </w:r>
      <w:r w:rsidR="00F43739">
        <w:fldChar w:fldCharType="separate"/>
      </w:r>
      <w:r w:rsidR="00D44A48">
        <w:t>28</w:t>
      </w:r>
      <w:r w:rsidR="00F43739">
        <w:fldChar w:fldCharType="end"/>
      </w:r>
      <w:r w:rsidR="00F43739">
        <w:t>,</w:t>
      </w:r>
      <w:r w:rsidR="00F43739">
        <w:fldChar w:fldCharType="begin"/>
      </w:r>
      <w:r w:rsidR="00F43739">
        <w:instrText xml:space="preserve"> REF _Ref77711493 \r \h </w:instrText>
      </w:r>
      <w:r w:rsidR="00F43739">
        <w:fldChar w:fldCharType="separate"/>
      </w:r>
      <w:r w:rsidR="00663502">
        <w:t>2</w:t>
      </w:r>
      <w:r w:rsidR="00D44A48">
        <w:t>9</w:t>
      </w:r>
      <w:r w:rsidR="00F43739">
        <w:fldChar w:fldCharType="end"/>
      </w:r>
      <w:r w:rsidR="00CF398B">
        <w:t>] and a number of healthcare-associated pathogens</w:t>
      </w:r>
      <w:r w:rsidR="00520160">
        <w:t>.</w:t>
      </w:r>
      <w:r w:rsidR="006D40B7">
        <w:t>[</w:t>
      </w:r>
      <w:r w:rsidR="00F43739">
        <w:fldChar w:fldCharType="begin"/>
      </w:r>
      <w:r w:rsidR="00F43739">
        <w:instrText xml:space="preserve"> REF _Ref77711496 \r \h </w:instrText>
      </w:r>
      <w:r w:rsidR="00F43739">
        <w:fldChar w:fldCharType="separate"/>
      </w:r>
      <w:r w:rsidR="00D44A48">
        <w:t>30</w:t>
      </w:r>
      <w:r w:rsidR="00F43739">
        <w:fldChar w:fldCharType="end"/>
      </w:r>
      <w:r w:rsidR="002F769A">
        <w:t>,</w:t>
      </w:r>
      <w:r w:rsidR="002F769A">
        <w:fldChar w:fldCharType="begin"/>
      </w:r>
      <w:r w:rsidR="002F769A">
        <w:instrText xml:space="preserve"> REF _Ref77711498 \r \h </w:instrText>
      </w:r>
      <w:r w:rsidR="002F769A">
        <w:fldChar w:fldCharType="separate"/>
      </w:r>
      <w:r w:rsidR="00D44A48">
        <w:t>31</w:t>
      </w:r>
      <w:r w:rsidR="002F769A">
        <w:fldChar w:fldCharType="end"/>
      </w:r>
      <w:r w:rsidR="00AE03CB">
        <w:t>]</w:t>
      </w:r>
      <w:r w:rsidR="00AE322C">
        <w:t xml:space="preserve"> </w:t>
      </w:r>
      <w:r w:rsidR="00892E68" w:rsidRPr="00892E68">
        <w:t xml:space="preserve">This study includes staff and students from </w:t>
      </w:r>
      <w:r w:rsidR="00892E68">
        <w:t>s</w:t>
      </w:r>
      <w:r w:rsidR="00892E68" w:rsidRPr="00892E68">
        <w:t xml:space="preserve">econdary </w:t>
      </w:r>
      <w:r w:rsidR="00892E68">
        <w:t>s</w:t>
      </w:r>
      <w:r w:rsidR="00892E68" w:rsidRPr="00892E68">
        <w:t xml:space="preserve">chools and </w:t>
      </w:r>
      <w:r w:rsidR="00892E68">
        <w:t>c</w:t>
      </w:r>
      <w:r w:rsidR="00892E68" w:rsidRPr="00892E68">
        <w:t xml:space="preserve">olleges of </w:t>
      </w:r>
      <w:r w:rsidR="00892E68">
        <w:t>f</w:t>
      </w:r>
      <w:r w:rsidR="00892E68" w:rsidRPr="00892E68">
        <w:t xml:space="preserve">urther </w:t>
      </w:r>
      <w:r w:rsidR="00892E68">
        <w:t>e</w:t>
      </w:r>
      <w:r w:rsidR="00892E68" w:rsidRPr="00892E68">
        <w:t xml:space="preserve">ducation but most of the participants were </w:t>
      </w:r>
      <w:r w:rsidR="00892E68">
        <w:t>students aged 11-18 years</w:t>
      </w:r>
      <w:r w:rsidR="00892E68" w:rsidRPr="00892E68">
        <w:t>. Therefore, it</w:t>
      </w:r>
      <w:r w:rsidR="00892E68">
        <w:t xml:space="preserve"> is</w:t>
      </w:r>
      <w:r w:rsidR="00892E68" w:rsidRPr="00892E68">
        <w:t xml:space="preserve"> unclear the extent to which it can be generalised to other settings</w:t>
      </w:r>
      <w:r w:rsidR="00892E68">
        <w:t>, and other context-specific studies are required.</w:t>
      </w:r>
    </w:p>
    <w:p w14:paraId="54014F5E" w14:textId="4BC35C46" w:rsidR="00F20200" w:rsidRDefault="00F20200" w:rsidP="00D2034D">
      <w:pPr>
        <w:tabs>
          <w:tab w:val="left" w:pos="9020"/>
        </w:tabs>
      </w:pPr>
    </w:p>
    <w:p w14:paraId="20B7BB07" w14:textId="37F6CDB5" w:rsidR="0022039F" w:rsidRDefault="00747F2A" w:rsidP="00D2034D">
      <w:pPr>
        <w:tabs>
          <w:tab w:val="left" w:pos="9020"/>
        </w:tabs>
      </w:pPr>
      <w:r>
        <w:t xml:space="preserve">Our findings have implications for policy makers seeking to balance control of COVID-19 with </w:t>
      </w:r>
      <w:r w:rsidR="00D90466">
        <w:t>student well-being, education</w:t>
      </w:r>
      <w:r w:rsidR="00432DF1">
        <w:t xml:space="preserve"> and avoiding social </w:t>
      </w:r>
      <w:r w:rsidR="002B3E5E">
        <w:t>inequalities</w:t>
      </w:r>
      <w:r w:rsidR="00432DF1">
        <w:t xml:space="preserve">. </w:t>
      </w:r>
      <w:r w:rsidR="003A195A">
        <w:t xml:space="preserve">We show DCT is a safe </w:t>
      </w:r>
      <w:r w:rsidR="00F0742C">
        <w:t>alternative</w:t>
      </w:r>
      <w:r w:rsidR="003A195A">
        <w:t xml:space="preserve"> </w:t>
      </w:r>
      <w:r w:rsidR="00F0742C">
        <w:t>to home isolation for school-based contacts, which has potential to facil</w:t>
      </w:r>
      <w:r w:rsidR="00CD5175">
        <w:t>itate increased school attendance</w:t>
      </w:r>
      <w:r w:rsidR="0070037E">
        <w:t xml:space="preserve"> and therefore to reduce the wider long-term negative consequences of the pandemic.</w:t>
      </w:r>
      <w:r w:rsidR="00CD5175">
        <w:t xml:space="preserve"> </w:t>
      </w:r>
    </w:p>
    <w:p w14:paraId="6830651E" w14:textId="77777777" w:rsidR="0022039F" w:rsidRDefault="0022039F" w:rsidP="00D2034D">
      <w:pPr>
        <w:tabs>
          <w:tab w:val="left" w:pos="9020"/>
        </w:tabs>
      </w:pPr>
    </w:p>
    <w:p w14:paraId="072E2989" w14:textId="170E7C91" w:rsidR="007641D7" w:rsidRDefault="00DF4304" w:rsidP="00D2034D">
      <w:pPr>
        <w:tabs>
          <w:tab w:val="left" w:pos="9020"/>
        </w:tabs>
      </w:pPr>
      <w:r>
        <w:t xml:space="preserve">Overall, this study shows that </w:t>
      </w:r>
      <w:r w:rsidR="0044543B">
        <w:t xml:space="preserve">in secondary school and college </w:t>
      </w:r>
      <w:r w:rsidR="00207669">
        <w:t>of further education</w:t>
      </w:r>
      <w:r w:rsidR="00821F4B">
        <w:t>,</w:t>
      </w:r>
      <w:r w:rsidR="0044543B">
        <w:t xml:space="preserve"> student and staff infection of </w:t>
      </w:r>
      <w:r w:rsidR="003E077B">
        <w:t>following contact with a COVID-19 case at school</w:t>
      </w:r>
      <w:r w:rsidR="00914BE8">
        <w:t xml:space="preserve"> </w:t>
      </w:r>
      <w:r w:rsidR="00456045">
        <w:t xml:space="preserve">occurs in </w:t>
      </w:r>
      <w:r w:rsidR="00072E2A">
        <w:t>only</w:t>
      </w:r>
      <w:r w:rsidR="00456045">
        <w:t xml:space="preserve"> </w:t>
      </w:r>
      <w:r w:rsidR="00914A4F">
        <w:t xml:space="preserve">around </w:t>
      </w:r>
      <w:r w:rsidR="00456045">
        <w:t xml:space="preserve">2%. </w:t>
      </w:r>
      <w:r w:rsidR="00E75D0B">
        <w:t xml:space="preserve">We found </w:t>
      </w:r>
      <w:r w:rsidR="00227634">
        <w:t xml:space="preserve">switching </w:t>
      </w:r>
      <w:r w:rsidR="00674DC2">
        <w:t xml:space="preserve">from isolation at home </w:t>
      </w:r>
      <w:r w:rsidR="00227634">
        <w:t xml:space="preserve">to </w:t>
      </w:r>
      <w:r w:rsidR="00370E16">
        <w:t>DCT</w:t>
      </w:r>
      <w:r w:rsidR="004D4ADF">
        <w:t>, at least in the settings of the schools studied,</w:t>
      </w:r>
      <w:r w:rsidR="00227634">
        <w:t xml:space="preserve"> </w:t>
      </w:r>
      <w:r w:rsidR="00136696">
        <w:t>kept</w:t>
      </w:r>
      <w:r w:rsidR="00E97B35">
        <w:t xml:space="preserve"> </w:t>
      </w:r>
      <w:r w:rsidR="00674DC2">
        <w:t>rates of symptomatic COVID in students and staff</w:t>
      </w:r>
      <w:r w:rsidR="00136696">
        <w:t xml:space="preserve"> at similar levels</w:t>
      </w:r>
      <w:r w:rsidR="00602D51">
        <w:t xml:space="preserve">. </w:t>
      </w:r>
      <w:r w:rsidR="008452AA">
        <w:rPr>
          <w:rFonts w:cstheme="minorHAnsi"/>
        </w:rPr>
        <w:t>DCT</w:t>
      </w:r>
      <w:r w:rsidR="003F1C94" w:rsidRPr="00891BFE">
        <w:rPr>
          <w:rFonts w:cstheme="minorHAnsi"/>
        </w:rPr>
        <w:t xml:space="preserve"> </w:t>
      </w:r>
      <w:r w:rsidR="003F1C94">
        <w:rPr>
          <w:rFonts w:cstheme="minorHAnsi"/>
        </w:rPr>
        <w:t xml:space="preserve">is a safe alternative to home isolation </w:t>
      </w:r>
      <w:r w:rsidR="008452AA">
        <w:rPr>
          <w:rFonts w:cstheme="minorHAnsi"/>
        </w:rPr>
        <w:t>in</w:t>
      </w:r>
      <w:r w:rsidR="003F1C94">
        <w:rPr>
          <w:rFonts w:cstheme="minorHAnsi"/>
        </w:rPr>
        <w:t xml:space="preserve"> school-based </w:t>
      </w:r>
      <w:r w:rsidR="008452AA">
        <w:rPr>
          <w:rFonts w:cstheme="minorHAnsi"/>
        </w:rPr>
        <w:t>contacts</w:t>
      </w:r>
      <w:r w:rsidR="003F1C94">
        <w:rPr>
          <w:rFonts w:cstheme="minorHAnsi"/>
        </w:rPr>
        <w:t xml:space="preserve"> and</w:t>
      </w:r>
      <w:r w:rsidR="00602D51">
        <w:rPr>
          <w:rFonts w:cstheme="minorHAnsi"/>
        </w:rPr>
        <w:t xml:space="preserve"> </w:t>
      </w:r>
      <w:r w:rsidR="00910C9B">
        <w:t xml:space="preserve">should be considered an alternative to routine </w:t>
      </w:r>
      <w:r w:rsidR="00602D51">
        <w:t>isolation</w:t>
      </w:r>
      <w:r w:rsidR="00910C9B">
        <w:t xml:space="preserve"> of close contacts</w:t>
      </w:r>
      <w:r w:rsidR="00602D51">
        <w:t xml:space="preserve"> following school</w:t>
      </w:r>
      <w:r w:rsidR="00D57EA7">
        <w:t>-</w:t>
      </w:r>
      <w:r w:rsidR="00602D51">
        <w:t>based exposures.</w:t>
      </w:r>
    </w:p>
    <w:p w14:paraId="6D0ADE8D" w14:textId="45C2EB64" w:rsidR="00526FF0" w:rsidRDefault="007641D7" w:rsidP="007641D7">
      <w:pPr>
        <w:pStyle w:val="Heading2"/>
      </w:pPr>
      <w:r>
        <w:br w:type="column"/>
      </w:r>
      <w:r w:rsidR="00526FF0">
        <w:lastRenderedPageBreak/>
        <w:t>Evidence in context</w:t>
      </w:r>
    </w:p>
    <w:p w14:paraId="50CE682E" w14:textId="77777777" w:rsidR="00526FF0" w:rsidRDefault="00526FF0" w:rsidP="00526FF0"/>
    <w:p w14:paraId="427EC8C3" w14:textId="25267E77" w:rsidR="00526FF0" w:rsidRPr="001004CD" w:rsidRDefault="00526FF0" w:rsidP="00526FF0">
      <w:pPr>
        <w:rPr>
          <w:b/>
          <w:bCs/>
        </w:rPr>
      </w:pPr>
      <w:r w:rsidRPr="001004CD">
        <w:rPr>
          <w:b/>
          <w:bCs/>
        </w:rPr>
        <w:t>Evidence before this study</w:t>
      </w:r>
    </w:p>
    <w:p w14:paraId="40C14633" w14:textId="318F4ACF" w:rsidR="00526FF0" w:rsidRDefault="00526FF0" w:rsidP="00526FF0">
      <w:r>
        <w:t>We searched PubMed for research articles for any date up until 26</w:t>
      </w:r>
      <w:r w:rsidRPr="00CC1B65">
        <w:rPr>
          <w:vertAlign w:val="superscript"/>
        </w:rPr>
        <w:t>th</w:t>
      </w:r>
      <w:r>
        <w:t xml:space="preserve"> June 2021. We used the terms “SARS-CoV-2” and “school” and “transmission”, as well as “COVID-19” and “school” and “transmission”. No clinical trials have been reported on interventions to impact SARS-CoV-2 transmission in schools or other educational settings. </w:t>
      </w:r>
    </w:p>
    <w:p w14:paraId="51AEF163" w14:textId="77777777" w:rsidR="00526FF0" w:rsidRDefault="00526FF0" w:rsidP="00526FF0"/>
    <w:p w14:paraId="3F6F3B28" w14:textId="50057BEF" w:rsidR="00526FF0" w:rsidRDefault="00526FF0" w:rsidP="00526FF0">
      <w:r>
        <w:t xml:space="preserve">Evidence synthesis on COVID-19 transmission has found the evidence for school closure relies on extrapolating from studies of influenza transmission. Further data from schools has accrued from observational data and modelling. Public health data after school opening in </w:t>
      </w:r>
      <w:r w:rsidR="0017084B">
        <w:t xml:space="preserve">England in </w:t>
      </w:r>
      <w:r>
        <w:t xml:space="preserve">summer 2020 showed that school related outbreaks were uncommon, and strongly associated with community incidence of infection. A review of all case-contact pairs in the UK </w:t>
      </w:r>
      <w:r w:rsidR="00602B1C">
        <w:t>T</w:t>
      </w:r>
      <w:r>
        <w:t xml:space="preserve">est and </w:t>
      </w:r>
      <w:r w:rsidR="00602B1C">
        <w:t>T</w:t>
      </w:r>
      <w:r>
        <w:t xml:space="preserve">race system estimated a low chance of transmission following educational contact with COVID-19 in young people. Modelling studies have suggested that implementing daily contact testing in place of contact isolation may be neutral or advantageous with regard control of transmission. </w:t>
      </w:r>
    </w:p>
    <w:p w14:paraId="2DB44706" w14:textId="77777777" w:rsidR="00526FF0" w:rsidRDefault="00526FF0" w:rsidP="00526FF0"/>
    <w:p w14:paraId="78157729" w14:textId="77777777" w:rsidR="00526FF0" w:rsidRPr="001004CD" w:rsidRDefault="00526FF0" w:rsidP="00526FF0">
      <w:pPr>
        <w:rPr>
          <w:b/>
          <w:bCs/>
        </w:rPr>
      </w:pPr>
      <w:r w:rsidRPr="001004CD">
        <w:rPr>
          <w:b/>
          <w:bCs/>
        </w:rPr>
        <w:t>Added value of this study</w:t>
      </w:r>
    </w:p>
    <w:p w14:paraId="6A8952C2" w14:textId="7D1D13D6" w:rsidR="00526FF0" w:rsidRDefault="00526FF0" w:rsidP="00526FF0">
      <w:r>
        <w:t xml:space="preserve">We report the first randomised-controlled trial of a public health intervention on COVID-19 transmission in </w:t>
      </w:r>
      <w:r w:rsidR="0017084B">
        <w:t xml:space="preserve">secondary </w:t>
      </w:r>
      <w:r>
        <w:t>schools and colleges of further education, during a period of low to moderate community incidence, predominantly with the Delta variant. Infection in close contacts in</w:t>
      </w:r>
      <w:r w:rsidR="001004CD">
        <w:t xml:space="preserve"> these</w:t>
      </w:r>
      <w:r>
        <w:t xml:space="preserve"> educational setting</w:t>
      </w:r>
      <w:r w:rsidR="001004CD">
        <w:t>s</w:t>
      </w:r>
      <w:r>
        <w:t xml:space="preserve"> was uncommon and </w:t>
      </w:r>
      <w:r w:rsidR="00695686">
        <w:t>around</w:t>
      </w:r>
      <w:r>
        <w:t xml:space="preserve"> 2%. Supervised daily testing with lateral flow devices as an alternative to self-isolation for close contacts </w:t>
      </w:r>
      <w:r w:rsidR="0017084B">
        <w:t>was non-inferior</w:t>
      </w:r>
      <w:r>
        <w:t xml:space="preserve"> </w:t>
      </w:r>
      <w:r w:rsidR="0017084B">
        <w:t xml:space="preserve">for control of </w:t>
      </w:r>
      <w:r>
        <w:t>COVID-19 transmission.</w:t>
      </w:r>
      <w:r w:rsidR="0086178B">
        <w:t xml:space="preserve"> School absence was reduced where testing was available, but </w:t>
      </w:r>
      <w:r w:rsidR="0017084B">
        <w:t>did</w:t>
      </w:r>
      <w:r w:rsidR="0086178B">
        <w:t xml:space="preserve"> not </w:t>
      </w:r>
      <w:r w:rsidR="0017084B">
        <w:t>demonstrate</w:t>
      </w:r>
      <w:r w:rsidR="0086178B">
        <w:t xml:space="preserve"> statistically significant reduction. </w:t>
      </w:r>
    </w:p>
    <w:p w14:paraId="3138C7DA" w14:textId="77777777" w:rsidR="00526FF0" w:rsidRDefault="00526FF0" w:rsidP="00526FF0"/>
    <w:p w14:paraId="6A57B4D5" w14:textId="77777777" w:rsidR="00526FF0" w:rsidRPr="001004CD" w:rsidRDefault="00526FF0" w:rsidP="00526FF0">
      <w:pPr>
        <w:rPr>
          <w:b/>
          <w:bCs/>
        </w:rPr>
      </w:pPr>
      <w:r w:rsidRPr="001004CD">
        <w:rPr>
          <w:b/>
          <w:bCs/>
        </w:rPr>
        <w:t>Implications of all available evidence</w:t>
      </w:r>
    </w:p>
    <w:p w14:paraId="41FEB347" w14:textId="18AD3D6F" w:rsidR="0086178B" w:rsidRPr="0031013D" w:rsidRDefault="0086178B" w:rsidP="0031013D">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Safe alternatives to mass isolation </w:t>
      </w:r>
      <w:r w:rsidR="001004CD">
        <w:rPr>
          <w:rFonts w:asciiTheme="minorHAnsi" w:hAnsiTheme="minorHAnsi" w:cstheme="minorHAnsi"/>
          <w:color w:val="000000" w:themeColor="text1"/>
          <w:sz w:val="24"/>
          <w:szCs w:val="24"/>
        </w:rPr>
        <w:t>for young people in education are crucial to reducing the impact o</w:t>
      </w:r>
      <w:r w:rsidR="00CD4DEF">
        <w:rPr>
          <w:rFonts w:asciiTheme="minorHAnsi" w:hAnsiTheme="minorHAnsi" w:cstheme="minorHAnsi"/>
          <w:color w:val="000000" w:themeColor="text1"/>
          <w:sz w:val="24"/>
          <w:szCs w:val="24"/>
        </w:rPr>
        <w:t>f</w:t>
      </w:r>
      <w:r w:rsidR="001004CD">
        <w:rPr>
          <w:rFonts w:asciiTheme="minorHAnsi" w:hAnsiTheme="minorHAnsi" w:cstheme="minorHAnsi"/>
          <w:color w:val="000000" w:themeColor="text1"/>
          <w:sz w:val="24"/>
          <w:szCs w:val="24"/>
        </w:rPr>
        <w:t xml:space="preserve"> the COVID-19 pandemic. With low transmission to contacts</w:t>
      </w:r>
      <w:r w:rsidR="0017084B">
        <w:rPr>
          <w:rFonts w:asciiTheme="minorHAnsi" w:hAnsiTheme="minorHAnsi" w:cstheme="minorHAnsi"/>
          <w:color w:val="000000" w:themeColor="text1"/>
          <w:sz w:val="24"/>
          <w:szCs w:val="24"/>
        </w:rPr>
        <w:t>,</w:t>
      </w:r>
      <w:r w:rsidR="001004CD">
        <w:rPr>
          <w:rFonts w:asciiTheme="minorHAnsi" w:hAnsiTheme="minorHAnsi" w:cstheme="minorHAnsi"/>
          <w:color w:val="000000" w:themeColor="text1"/>
          <w:sz w:val="24"/>
          <w:szCs w:val="24"/>
        </w:rPr>
        <w:t xml:space="preserve"> in the context of other mitigations, the results here show daily testing of contacts is an acceptable alternative</w:t>
      </w:r>
      <w:r w:rsidR="00F129C2">
        <w:rPr>
          <w:rFonts w:asciiTheme="minorHAnsi" w:hAnsiTheme="minorHAnsi" w:cstheme="minorHAnsi"/>
          <w:color w:val="000000" w:themeColor="text1"/>
          <w:sz w:val="24"/>
          <w:szCs w:val="24"/>
        </w:rPr>
        <w:t xml:space="preserve">. Further randomised controlled trials of public health policy interventions can ensure an evidence-based response to the pandemic. </w:t>
      </w:r>
    </w:p>
    <w:p w14:paraId="7CC908F5" w14:textId="79349ABF" w:rsidR="00EC2CFB" w:rsidRDefault="00F03CE1" w:rsidP="007641D7">
      <w:pPr>
        <w:pStyle w:val="Heading2"/>
      </w:pPr>
      <w:r>
        <w:br w:type="column"/>
      </w:r>
      <w:r w:rsidR="00EC2CFB">
        <w:lastRenderedPageBreak/>
        <w:t>Contributions</w:t>
      </w:r>
    </w:p>
    <w:p w14:paraId="612C813E" w14:textId="1D5FF9C9" w:rsidR="00ED5D48" w:rsidRDefault="00E67AF1" w:rsidP="00A11EF0">
      <w:r>
        <w:t xml:space="preserve">FI, JH, ST, VB, RO, DC, PM, NH, TF, SH, LY and TEAP contributed to the protocol and design of the study. BCY, SK, CW, SS, </w:t>
      </w:r>
      <w:proofErr w:type="spellStart"/>
      <w:r>
        <w:t>IanD</w:t>
      </w:r>
      <w:proofErr w:type="spellEnd"/>
      <w:r>
        <w:t xml:space="preserve">, ER, FD, </w:t>
      </w:r>
      <w:proofErr w:type="spellStart"/>
      <w:r>
        <w:t>IeuanD</w:t>
      </w:r>
      <w:proofErr w:type="spellEnd"/>
      <w:r>
        <w:t xml:space="preserve">, LD, PS, AL, JM, FJ, JK, UB contributed to the implementation of the study or data collection. BCY, DWE, GB, TN, FI, </w:t>
      </w:r>
      <w:proofErr w:type="spellStart"/>
      <w:r>
        <w:t>IeuanD</w:t>
      </w:r>
      <w:proofErr w:type="spellEnd"/>
      <w:r>
        <w:t xml:space="preserve"> and TEAP accessed and verified the data. DWE, BCY and TEAP analysed the data</w:t>
      </w:r>
      <w:r w:rsidR="0042020F">
        <w:t xml:space="preserve"> and</w:t>
      </w:r>
      <w:r>
        <w:t xml:space="preserve"> wrote the manuscript.</w:t>
      </w:r>
      <w:r w:rsidR="00F03CE1">
        <w:t xml:space="preserve"> </w:t>
      </w:r>
      <w:r w:rsidR="00D8153E">
        <w:t>A</w:t>
      </w:r>
      <w:r w:rsidR="00ED5D48" w:rsidRPr="00ED5D48">
        <w:t>ll authors</w:t>
      </w:r>
      <w:r w:rsidR="00D8153E">
        <w:t xml:space="preserve"> contributed to revising the manuscript,</w:t>
      </w:r>
      <w:r w:rsidR="00ED5D48" w:rsidRPr="00ED5D48">
        <w:t xml:space="preserve"> had full access to all the data in the study and had final responsibility for the decision to submit for publication. </w:t>
      </w:r>
    </w:p>
    <w:p w14:paraId="7E080239" w14:textId="77777777" w:rsidR="00EC2CFB" w:rsidRDefault="00EC2CFB" w:rsidP="007641D7">
      <w:pPr>
        <w:pStyle w:val="Heading2"/>
      </w:pPr>
    </w:p>
    <w:p w14:paraId="1E737A08" w14:textId="4A641F0D" w:rsidR="00910C9B" w:rsidRDefault="007641D7" w:rsidP="007641D7">
      <w:pPr>
        <w:pStyle w:val="Heading2"/>
      </w:pPr>
      <w:r>
        <w:t>Acknowledgements</w:t>
      </w:r>
    </w:p>
    <w:p w14:paraId="5A643BB3" w14:textId="283FB7B0" w:rsidR="008D54BF" w:rsidRDefault="007641D7" w:rsidP="0052050E">
      <w:r>
        <w:t>We would like to acknowledge all the students and staff at participating schools</w:t>
      </w:r>
      <w:r w:rsidR="00EC51D2">
        <w:t>, as well as 10 pilot schools,</w:t>
      </w:r>
      <w:r>
        <w:t xml:space="preserve"> for contributing to the study</w:t>
      </w:r>
      <w:r w:rsidR="006B13D5">
        <w:t>, and in particular the study workers at each of the schools.</w:t>
      </w:r>
      <w:r w:rsidR="0052050E">
        <w:t xml:space="preserve"> We are thankful to the Microbiology department of Oxford University Hospitals NHS Foundation trust for performing PCR testing. </w:t>
      </w:r>
      <w:r w:rsidR="008D54BF">
        <w:t>Additionally</w:t>
      </w:r>
      <w:r w:rsidR="00F06839">
        <w:t>,</w:t>
      </w:r>
      <w:r w:rsidR="008D54BF">
        <w:t xml:space="preserve"> we acknowledge the support </w:t>
      </w:r>
      <w:r w:rsidR="002D4BB0">
        <w:t>in</w:t>
      </w:r>
      <w:r w:rsidR="008D54BF">
        <w:t xml:space="preserve"> conduct</w:t>
      </w:r>
      <w:r w:rsidR="002D4BB0">
        <w:t xml:space="preserve">ing the study </w:t>
      </w:r>
      <w:r w:rsidR="008450FD">
        <w:t xml:space="preserve">of </w:t>
      </w:r>
      <w:r w:rsidR="008D54BF">
        <w:t>the DHSC DCT project management team</w:t>
      </w:r>
      <w:r w:rsidR="0052050E">
        <w:t>, especially Nichole Solomon,</w:t>
      </w:r>
      <w:r w:rsidR="008D54BF">
        <w:t xml:space="preserve"> and the ONS DCT team. </w:t>
      </w:r>
      <w:r w:rsidR="0052050E">
        <w:t>We thank DfE colleagues</w:t>
      </w:r>
      <w:r w:rsidR="001A281B">
        <w:t xml:space="preserve">, particularly Sara Cooper, Matt </w:t>
      </w:r>
      <w:proofErr w:type="spellStart"/>
      <w:r w:rsidR="001A281B">
        <w:t>Mawer</w:t>
      </w:r>
      <w:proofErr w:type="spellEnd"/>
      <w:r w:rsidR="001A281B">
        <w:t xml:space="preserve"> and Richard Lumley</w:t>
      </w:r>
      <w:r w:rsidR="00C1043E">
        <w:t xml:space="preserve"> f</w:t>
      </w:r>
      <w:r w:rsidR="0052050E">
        <w:t xml:space="preserve">or their assistance. We thank Professor Sarah Walker for insightful advice. </w:t>
      </w:r>
    </w:p>
    <w:p w14:paraId="002A5CAE" w14:textId="6F262962" w:rsidR="006B13D5" w:rsidRDefault="006B13D5" w:rsidP="007641D7"/>
    <w:p w14:paraId="260E921C" w14:textId="632C9B38" w:rsidR="006B13D5" w:rsidRDefault="006B13D5" w:rsidP="006B13D5">
      <w:pPr>
        <w:pStyle w:val="Heading2"/>
      </w:pPr>
      <w:r>
        <w:t>Transparency declaration</w:t>
      </w:r>
    </w:p>
    <w:p w14:paraId="414BAAA1" w14:textId="66C7A7B8" w:rsidR="006B13D5" w:rsidRDefault="006B13D5" w:rsidP="007641D7">
      <w:r>
        <w:t xml:space="preserve">DWE </w:t>
      </w:r>
      <w:r w:rsidRPr="0013553F">
        <w:rPr>
          <w:rFonts w:cstheme="minorHAnsi"/>
          <w:color w:val="000000" w:themeColor="text1"/>
        </w:rPr>
        <w:t>reports lecture fees from Gilead outside the submitted work</w:t>
      </w:r>
      <w:r w:rsidR="00773688">
        <w:rPr>
          <w:rFonts w:cstheme="minorHAnsi"/>
          <w:color w:val="000000" w:themeColor="text1"/>
        </w:rPr>
        <w:t xml:space="preserve">. </w:t>
      </w:r>
      <w:r w:rsidR="00F129C2">
        <w:rPr>
          <w:rFonts w:cstheme="minorHAnsi"/>
          <w:color w:val="000000" w:themeColor="text1"/>
        </w:rPr>
        <w:t xml:space="preserve">VB, </w:t>
      </w:r>
      <w:r w:rsidR="00773688">
        <w:t>RO and DC are consultants employed by DHSC as part of Deloitte’s broader project work supporting the delivery of NHS Test and Trace.</w:t>
      </w:r>
      <w:r w:rsidR="00773688" w:rsidRPr="00773688">
        <w:rPr>
          <w:rFonts w:cstheme="minorHAnsi"/>
          <w:color w:val="000000" w:themeColor="text1"/>
        </w:rPr>
        <w:t xml:space="preserve"> </w:t>
      </w:r>
      <w:r w:rsidR="00773688" w:rsidRPr="0013553F">
        <w:rPr>
          <w:rFonts w:cstheme="minorHAnsi"/>
          <w:color w:val="000000" w:themeColor="text1"/>
        </w:rPr>
        <w:t>TF reports honoraria from Qatar National Research Fund (QNRF) outside the submitted work, no other author has a conflict of interest to declare.</w:t>
      </w:r>
    </w:p>
    <w:p w14:paraId="2A2DDE55" w14:textId="733BACD0" w:rsidR="006B13D5" w:rsidRDefault="006B13D5" w:rsidP="007641D7"/>
    <w:p w14:paraId="5361A3DE" w14:textId="3C97AECF" w:rsidR="006B13D5" w:rsidRDefault="006B13D5" w:rsidP="006B13D5">
      <w:pPr>
        <w:pStyle w:val="Heading2"/>
      </w:pPr>
      <w:r>
        <w:t>Funding</w:t>
      </w:r>
    </w:p>
    <w:p w14:paraId="43501236" w14:textId="214BA383" w:rsidR="000876C6" w:rsidRPr="005D08AE" w:rsidRDefault="000876C6" w:rsidP="000876C6">
      <w:pPr>
        <w:rPr>
          <w:rFonts w:ascii="Times New Roman" w:eastAsia="Times New Roman" w:hAnsi="Times New Roman" w:cs="Times New Roman"/>
          <w:color w:val="000000" w:themeColor="text1"/>
          <w:lang w:eastAsia="en-GB"/>
        </w:rPr>
      </w:pPr>
      <w:r>
        <w:t xml:space="preserve">This study was funded by the UK Government Department of Health and Social Care and supported by the UK Government Department for Education and Office for National Statistics. The work was also supported by the </w:t>
      </w:r>
      <w:r w:rsidRPr="004378DC">
        <w:t>National Institute for Health Research Health Protection Research Unit (NIHR HPRU) in Healthcare Associated Infections and Antimicrobial Resistance at Oxford University in partnership with Public Health England (PHE) (NIHR200915)</w:t>
      </w:r>
      <w:r>
        <w:t xml:space="preserve"> and</w:t>
      </w:r>
      <w:r w:rsidRPr="004378DC">
        <w:t xml:space="preserve"> the NIHR Biomedical Research Centre, Oxford</w:t>
      </w:r>
      <w:r>
        <w:t xml:space="preserve">. </w:t>
      </w:r>
      <w:r w:rsidRPr="004378DC">
        <w:t xml:space="preserve">The views expressed in this publication are those of the authors and not necessarily those of the NHS, the National Institute for Health Research, the Department of Health </w:t>
      </w:r>
      <w:r w:rsidR="009C7474">
        <w:t xml:space="preserve">and Social Care, the Department for Education, the Office for National Statistics </w:t>
      </w:r>
      <w:r w:rsidRPr="004378DC">
        <w:t>or Public Health England</w:t>
      </w:r>
      <w:r>
        <w:t xml:space="preserve">. BCY is an NIHR clinical lecturer. </w:t>
      </w:r>
      <w:r w:rsidR="001B26BA">
        <w:t>B</w:t>
      </w:r>
      <w:r w:rsidR="006D1EF7">
        <w:t>C</w:t>
      </w:r>
      <w:r w:rsidR="001B26BA">
        <w:t>Y, TEAP and</w:t>
      </w:r>
      <w:r>
        <w:t xml:space="preserve"> </w:t>
      </w:r>
      <w:r w:rsidR="009C7474">
        <w:t>LY received grant</w:t>
      </w:r>
      <w:r w:rsidR="001B26BA">
        <w:t>s</w:t>
      </w:r>
      <w:r w:rsidR="009C7474">
        <w:t xml:space="preserve"> from DHSC to fund this work. </w:t>
      </w:r>
      <w:r w:rsidR="006D1EF7">
        <w:t xml:space="preserve">DWE is a Robertson Foundation Fellow. </w:t>
      </w:r>
      <w:r w:rsidR="006A6FF5">
        <w:rPr>
          <w:rFonts w:ascii="Calibri" w:eastAsia="Times New Roman" w:hAnsi="Calibri" w:cs="Calibri"/>
          <w:color w:val="000000" w:themeColor="text1"/>
          <w:lang w:eastAsia="en-GB"/>
        </w:rPr>
        <w:t>LY</w:t>
      </w:r>
      <w:r w:rsidR="005D08AE" w:rsidRPr="005D08AE">
        <w:rPr>
          <w:rFonts w:ascii="Calibri" w:eastAsia="Times New Roman" w:hAnsi="Calibri" w:cs="Calibri"/>
          <w:color w:val="000000" w:themeColor="text1"/>
          <w:lang w:eastAsia="en-GB"/>
        </w:rPr>
        <w:t xml:space="preserve"> is an NIHR Senior Investigator and her research programme is partly supported by NIHR Applied Research Collaboration (ARC)-West, NIHR Health Protection Research Unit (HPRU) for Behavioural Science and Evaluation, and the NIHR Southampton Biomedical Research Centre (BRC).</w:t>
      </w:r>
      <w:r w:rsidR="005D08AE">
        <w:rPr>
          <w:rFonts w:ascii="Times New Roman" w:eastAsia="Times New Roman" w:hAnsi="Times New Roman" w:cs="Times New Roman"/>
          <w:color w:val="000000" w:themeColor="text1"/>
          <w:lang w:eastAsia="en-GB"/>
        </w:rPr>
        <w:t xml:space="preserve"> </w:t>
      </w:r>
      <w:r w:rsidRPr="00667B5B">
        <w:t>For the purpose of open access, the author</w:t>
      </w:r>
      <w:r w:rsidR="008760DA">
        <w:t>s</w:t>
      </w:r>
      <w:r w:rsidRPr="00667B5B">
        <w:t xml:space="preserve"> ha</w:t>
      </w:r>
      <w:r w:rsidR="008760DA">
        <w:t>ve</w:t>
      </w:r>
      <w:r w:rsidRPr="00667B5B">
        <w:t xml:space="preserve"> applied a CC BY public copyright licence to any Author Accepted Manuscript version arising from this submission.</w:t>
      </w:r>
    </w:p>
    <w:p w14:paraId="5F7A4060" w14:textId="037BE472" w:rsidR="00787554" w:rsidRDefault="00787554" w:rsidP="00667B5B"/>
    <w:p w14:paraId="42F7A56F" w14:textId="2D3F5E87" w:rsidR="00787554" w:rsidRDefault="00787554" w:rsidP="00787554">
      <w:pPr>
        <w:pStyle w:val="Heading2"/>
      </w:pPr>
      <w:r>
        <w:t>Data availability</w:t>
      </w:r>
    </w:p>
    <w:p w14:paraId="731A230E" w14:textId="39173B75" w:rsidR="00787554" w:rsidRDefault="00890B33" w:rsidP="00787554">
      <w:r>
        <w:t xml:space="preserve">Data from the trial </w:t>
      </w:r>
      <w:r w:rsidR="00E83408">
        <w:t>will be</w:t>
      </w:r>
      <w:r>
        <w:t xml:space="preserve"> available within the Off</w:t>
      </w:r>
      <w:r w:rsidR="004F7A92">
        <w:t xml:space="preserve">ice for National Statistics Secure Research Service. </w:t>
      </w:r>
      <w:r w:rsidR="0019729E">
        <w:t xml:space="preserve">Applications for access can be made by Accredited Researchers. </w:t>
      </w:r>
      <w:r w:rsidR="00D659E9">
        <w:t xml:space="preserve">For more details please see - </w:t>
      </w:r>
      <w:hyperlink r:id="rId8" w:history="1">
        <w:r w:rsidR="00D659E9" w:rsidRPr="008057D5">
          <w:rPr>
            <w:rStyle w:val="Hyperlink"/>
          </w:rPr>
          <w:t>https://cy.ons.gov.uk/aboutus/whatwedo/statistics/requestingstatistics/approvedresearcherscheme</w:t>
        </w:r>
      </w:hyperlink>
      <w:r w:rsidR="00D659E9">
        <w:t>.</w:t>
      </w:r>
    </w:p>
    <w:p w14:paraId="457FD5BB" w14:textId="571D6D2B" w:rsidR="00D659E9" w:rsidRDefault="00D659E9" w:rsidP="00787554"/>
    <w:p w14:paraId="1EF1F83E" w14:textId="61702FE7" w:rsidR="005E3D7C" w:rsidRPr="00787554" w:rsidRDefault="005E3D7C" w:rsidP="005E3D7C">
      <w:pPr>
        <w:pStyle w:val="Heading1"/>
      </w:pPr>
      <w:r>
        <w:br w:type="column"/>
      </w:r>
      <w:r>
        <w:lastRenderedPageBreak/>
        <w:t>References</w:t>
      </w:r>
    </w:p>
    <w:p w14:paraId="221A06A7" w14:textId="087AF817" w:rsidR="006B13D5" w:rsidRPr="006B13D5" w:rsidRDefault="006B13D5" w:rsidP="006B13D5"/>
    <w:p w14:paraId="713CECC7" w14:textId="21CD96ED" w:rsidR="00E456D5" w:rsidRDefault="00E456D5" w:rsidP="00F42811">
      <w:pPr>
        <w:numPr>
          <w:ilvl w:val="0"/>
          <w:numId w:val="12"/>
        </w:numPr>
        <w:spacing w:before="100" w:beforeAutospacing="1" w:after="100" w:afterAutospacing="1"/>
        <w:rPr>
          <w:rFonts w:eastAsia="Times New Roman" w:cstheme="minorHAnsi"/>
          <w:color w:val="000000" w:themeColor="text1"/>
          <w:lang w:eastAsia="en-GB"/>
        </w:rPr>
      </w:pPr>
      <w:bookmarkStart w:id="1" w:name="_Ref78198235"/>
      <w:bookmarkStart w:id="2" w:name="_Ref77774008"/>
      <w:bookmarkStart w:id="3" w:name="_Ref77708026"/>
      <w:r w:rsidRPr="00E456D5">
        <w:rPr>
          <w:rFonts w:eastAsia="Times New Roman" w:cstheme="minorHAnsi"/>
          <w:color w:val="000000" w:themeColor="text1"/>
          <w:lang w:eastAsia="en-GB"/>
        </w:rPr>
        <w:t xml:space="preserve">Viner RM, Russell SJ, Croker H, </w:t>
      </w:r>
      <w:r w:rsidR="00822251">
        <w:rPr>
          <w:rFonts w:eastAsia="Times New Roman" w:cstheme="minorHAnsi"/>
          <w:color w:val="000000" w:themeColor="text1"/>
          <w:lang w:eastAsia="en-GB"/>
        </w:rPr>
        <w:t>et al</w:t>
      </w:r>
      <w:r w:rsidRPr="00E456D5">
        <w:rPr>
          <w:rFonts w:eastAsia="Times New Roman" w:cstheme="minorHAnsi"/>
          <w:color w:val="000000" w:themeColor="text1"/>
          <w:lang w:eastAsia="en-GB"/>
        </w:rPr>
        <w:t xml:space="preserve">. School closure and management practices during coronavirus outbreaks including COVID-19: a rapid systematic review. Lancet Child </w:t>
      </w:r>
      <w:proofErr w:type="spellStart"/>
      <w:r w:rsidRPr="00E456D5">
        <w:rPr>
          <w:rFonts w:eastAsia="Times New Roman" w:cstheme="minorHAnsi"/>
          <w:color w:val="000000" w:themeColor="text1"/>
          <w:lang w:eastAsia="en-GB"/>
        </w:rPr>
        <w:t>Adolesc</w:t>
      </w:r>
      <w:proofErr w:type="spellEnd"/>
      <w:r w:rsidRPr="00E456D5">
        <w:rPr>
          <w:rFonts w:eastAsia="Times New Roman" w:cstheme="minorHAnsi"/>
          <w:color w:val="000000" w:themeColor="text1"/>
          <w:lang w:eastAsia="en-GB"/>
        </w:rPr>
        <w:t xml:space="preserve"> Health. 2020 May;4(5):397-404. </w:t>
      </w:r>
      <w:proofErr w:type="spellStart"/>
      <w:r w:rsidRPr="00E456D5">
        <w:rPr>
          <w:rFonts w:eastAsia="Times New Roman" w:cstheme="minorHAnsi"/>
          <w:color w:val="000000" w:themeColor="text1"/>
          <w:lang w:eastAsia="en-GB"/>
        </w:rPr>
        <w:t>doi</w:t>
      </w:r>
      <w:proofErr w:type="spellEnd"/>
      <w:r w:rsidRPr="00E456D5">
        <w:rPr>
          <w:rFonts w:eastAsia="Times New Roman" w:cstheme="minorHAnsi"/>
          <w:color w:val="000000" w:themeColor="text1"/>
          <w:lang w:eastAsia="en-GB"/>
        </w:rPr>
        <w:t>: 10.1016/S2352-4642(20)30095-X</w:t>
      </w:r>
      <w:r>
        <w:rPr>
          <w:rFonts w:eastAsia="Times New Roman" w:cstheme="minorHAnsi"/>
          <w:color w:val="000000" w:themeColor="text1"/>
          <w:lang w:eastAsia="en-GB"/>
        </w:rPr>
        <w:t>.</w:t>
      </w:r>
      <w:bookmarkEnd w:id="1"/>
    </w:p>
    <w:p w14:paraId="79EE80E7" w14:textId="5EC2C643" w:rsidR="00F42811" w:rsidRPr="008D54BF" w:rsidRDefault="00F42811" w:rsidP="00F42811">
      <w:pPr>
        <w:numPr>
          <w:ilvl w:val="0"/>
          <w:numId w:val="12"/>
        </w:numPr>
        <w:spacing w:before="100" w:beforeAutospacing="1" w:after="100" w:afterAutospacing="1"/>
        <w:rPr>
          <w:rFonts w:eastAsia="Times New Roman" w:cstheme="minorHAnsi"/>
          <w:color w:val="000000" w:themeColor="text1"/>
          <w:lang w:eastAsia="en-GB"/>
        </w:rPr>
      </w:pPr>
      <w:bookmarkStart w:id="4" w:name="_Ref78198224"/>
      <w:r w:rsidRPr="00F42811">
        <w:rPr>
          <w:rFonts w:eastAsia="Times New Roman" w:cstheme="minorHAnsi"/>
          <w:color w:val="000000" w:themeColor="text1"/>
          <w:lang w:eastAsia="en-GB"/>
        </w:rPr>
        <w:t>UK Government. Guidance for schools: coronavirus (COVID-19); 2020. Available from: https://www.gov.uk/government/collections/guidance-for-schools-coronavirus-covid-19.</w:t>
      </w:r>
      <w:bookmarkEnd w:id="2"/>
      <w:bookmarkEnd w:id="4"/>
      <w:r w:rsidRPr="00F42811">
        <w:rPr>
          <w:rFonts w:eastAsia="Times New Roman" w:cstheme="minorHAnsi"/>
          <w:color w:val="000000" w:themeColor="text1"/>
          <w:lang w:eastAsia="en-GB"/>
        </w:rPr>
        <w:t xml:space="preserve"> </w:t>
      </w:r>
    </w:p>
    <w:p w14:paraId="77D7710F" w14:textId="2A593DF0" w:rsidR="00924134" w:rsidRPr="008D54BF" w:rsidRDefault="002039C6" w:rsidP="00924134">
      <w:pPr>
        <w:pStyle w:val="ListParagraph"/>
        <w:numPr>
          <w:ilvl w:val="0"/>
          <w:numId w:val="12"/>
        </w:numPr>
        <w:rPr>
          <w:rFonts w:cstheme="minorHAnsi"/>
          <w:color w:val="000000" w:themeColor="text1"/>
        </w:rPr>
      </w:pPr>
      <w:bookmarkStart w:id="5" w:name="_Ref77709375"/>
      <w:r w:rsidRPr="008D54BF">
        <w:rPr>
          <w:rFonts w:cstheme="minorHAnsi"/>
          <w:color w:val="000000" w:themeColor="text1"/>
        </w:rPr>
        <w:t xml:space="preserve">SPI-M-O: Statement on Daily contact testing, 3 March 2021. </w:t>
      </w:r>
      <w:r w:rsidR="005306B4" w:rsidRPr="008D54BF">
        <w:rPr>
          <w:rFonts w:cstheme="minorHAnsi"/>
          <w:color w:val="000000" w:themeColor="text1"/>
        </w:rPr>
        <w:t>Available from</w:t>
      </w:r>
      <w:r w:rsidR="00F42811" w:rsidRPr="008D54BF">
        <w:rPr>
          <w:rFonts w:cstheme="minorHAnsi"/>
          <w:color w:val="000000" w:themeColor="text1"/>
        </w:rPr>
        <w:t>:</w:t>
      </w:r>
      <w:r w:rsidR="005306B4" w:rsidRPr="008D54BF">
        <w:rPr>
          <w:rFonts w:cstheme="minorHAnsi"/>
          <w:color w:val="000000" w:themeColor="text1"/>
        </w:rPr>
        <w:t xml:space="preserve"> </w:t>
      </w:r>
      <w:r w:rsidR="005306B4" w:rsidRPr="00025002">
        <w:rPr>
          <w:rFonts w:cstheme="minorHAnsi"/>
        </w:rPr>
        <w:t>https://www.gov.uk/government/publications/spi-m-o-statement-on-daily-contact-testing-3-march-2021</w:t>
      </w:r>
      <w:bookmarkEnd w:id="3"/>
      <w:bookmarkEnd w:id="5"/>
    </w:p>
    <w:p w14:paraId="0C72E35E" w14:textId="77777777" w:rsidR="001E1D04" w:rsidRPr="008D54BF" w:rsidRDefault="009C1F05" w:rsidP="009C1F05">
      <w:pPr>
        <w:numPr>
          <w:ilvl w:val="0"/>
          <w:numId w:val="12"/>
        </w:numPr>
        <w:spacing w:before="100" w:beforeAutospacing="1" w:after="100" w:afterAutospacing="1"/>
        <w:rPr>
          <w:rFonts w:eastAsia="Times New Roman" w:cstheme="minorHAnsi"/>
          <w:color w:val="000000" w:themeColor="text1"/>
          <w:lang w:eastAsia="en-GB"/>
        </w:rPr>
      </w:pPr>
      <w:bookmarkStart w:id="6" w:name="_Ref77709210"/>
      <w:proofErr w:type="spellStart"/>
      <w:r w:rsidRPr="009C1F05">
        <w:rPr>
          <w:rFonts w:eastAsia="Times New Roman" w:cstheme="minorHAnsi"/>
          <w:color w:val="000000" w:themeColor="text1"/>
          <w:lang w:eastAsia="en-GB"/>
        </w:rPr>
        <w:t>Leng</w:t>
      </w:r>
      <w:proofErr w:type="spellEnd"/>
      <w:r w:rsidRPr="009C1F05">
        <w:rPr>
          <w:rFonts w:eastAsia="Times New Roman" w:cstheme="minorHAnsi"/>
          <w:color w:val="000000" w:themeColor="text1"/>
          <w:lang w:eastAsia="en-GB"/>
        </w:rPr>
        <w:t xml:space="preserve"> T, Hill EM, Thompson RN, </w:t>
      </w:r>
      <w:proofErr w:type="spellStart"/>
      <w:r w:rsidRPr="009C1F05">
        <w:rPr>
          <w:rFonts w:eastAsia="Times New Roman" w:cstheme="minorHAnsi"/>
          <w:color w:val="000000" w:themeColor="text1"/>
          <w:lang w:eastAsia="en-GB"/>
        </w:rPr>
        <w:t>Tildesley</w:t>
      </w:r>
      <w:proofErr w:type="spellEnd"/>
      <w:r w:rsidRPr="009C1F05">
        <w:rPr>
          <w:rFonts w:eastAsia="Times New Roman" w:cstheme="minorHAnsi"/>
          <w:color w:val="000000" w:themeColor="text1"/>
          <w:lang w:eastAsia="en-GB"/>
        </w:rPr>
        <w:t xml:space="preserve"> MJ, Keeling MJ, Dyson L. Assessing the impact of secondary school reopening strategies on within-school COVID-19 transmission and absences: a modelling study. </w:t>
      </w:r>
      <w:proofErr w:type="spellStart"/>
      <w:r w:rsidRPr="009C1F05">
        <w:rPr>
          <w:rFonts w:eastAsia="Times New Roman" w:cstheme="minorHAnsi"/>
          <w:color w:val="000000" w:themeColor="text1"/>
          <w:lang w:eastAsia="en-GB"/>
        </w:rPr>
        <w:t>medRxiv</w:t>
      </w:r>
      <w:proofErr w:type="spellEnd"/>
      <w:r w:rsidRPr="009C1F05">
        <w:rPr>
          <w:rFonts w:eastAsia="Times New Roman" w:cstheme="minorHAnsi"/>
          <w:color w:val="000000" w:themeColor="text1"/>
          <w:lang w:eastAsia="en-GB"/>
        </w:rPr>
        <w:t>. 2021:2021.02.11.21251587.</w:t>
      </w:r>
      <w:bookmarkEnd w:id="6"/>
    </w:p>
    <w:p w14:paraId="1A603288" w14:textId="1589C13D" w:rsidR="009C1F05" w:rsidRPr="008D54BF" w:rsidRDefault="001E1D04" w:rsidP="009C1F05">
      <w:pPr>
        <w:numPr>
          <w:ilvl w:val="0"/>
          <w:numId w:val="12"/>
        </w:numPr>
        <w:spacing w:before="100" w:beforeAutospacing="1" w:after="100" w:afterAutospacing="1"/>
        <w:rPr>
          <w:rFonts w:eastAsia="Times New Roman" w:cstheme="minorHAnsi"/>
          <w:color w:val="000000" w:themeColor="text1"/>
          <w:lang w:eastAsia="en-GB"/>
        </w:rPr>
      </w:pPr>
      <w:bookmarkStart w:id="7" w:name="_Ref77709867"/>
      <w:proofErr w:type="spellStart"/>
      <w:r w:rsidRPr="008D54BF">
        <w:rPr>
          <w:rFonts w:eastAsia="Times New Roman" w:cstheme="minorHAnsi"/>
          <w:color w:val="000000" w:themeColor="text1"/>
          <w:lang w:eastAsia="en-GB"/>
        </w:rPr>
        <w:t>Quilty</w:t>
      </w:r>
      <w:proofErr w:type="spellEnd"/>
      <w:r w:rsidRPr="008D54BF">
        <w:rPr>
          <w:rFonts w:eastAsia="Times New Roman" w:cstheme="minorHAnsi"/>
          <w:color w:val="000000" w:themeColor="text1"/>
          <w:lang w:eastAsia="en-GB"/>
        </w:rPr>
        <w:t xml:space="preserve"> BJ, Clifford S, </w:t>
      </w:r>
      <w:proofErr w:type="spellStart"/>
      <w:r w:rsidRPr="008D54BF">
        <w:rPr>
          <w:rFonts w:eastAsia="Times New Roman" w:cstheme="minorHAnsi"/>
          <w:color w:val="000000" w:themeColor="text1"/>
          <w:lang w:eastAsia="en-GB"/>
        </w:rPr>
        <w:t>Hellewell</w:t>
      </w:r>
      <w:proofErr w:type="spellEnd"/>
      <w:r w:rsidRPr="008D54BF">
        <w:rPr>
          <w:rFonts w:eastAsia="Times New Roman" w:cstheme="minorHAnsi"/>
          <w:color w:val="000000" w:themeColor="text1"/>
          <w:lang w:eastAsia="en-GB"/>
        </w:rPr>
        <w:t xml:space="preserve"> J, </w:t>
      </w:r>
      <w:r w:rsidR="00822251">
        <w:rPr>
          <w:rFonts w:eastAsia="Times New Roman" w:cstheme="minorHAnsi"/>
          <w:color w:val="000000" w:themeColor="text1"/>
          <w:lang w:eastAsia="en-GB"/>
        </w:rPr>
        <w:t>et al</w:t>
      </w:r>
      <w:r w:rsidRPr="008D54BF">
        <w:rPr>
          <w:rFonts w:eastAsia="Times New Roman" w:cstheme="minorHAnsi"/>
          <w:color w:val="000000" w:themeColor="text1"/>
          <w:lang w:eastAsia="en-GB"/>
        </w:rPr>
        <w:t xml:space="preserve">. Quarantine and testing strategies in contact tracing for SARS-CoV-2: a modelling study. Lancet Public Health. 2021 Mar;6(3):e175-e183. </w:t>
      </w:r>
      <w:proofErr w:type="spellStart"/>
      <w:r w:rsidRPr="008D54BF">
        <w:rPr>
          <w:rFonts w:eastAsia="Times New Roman" w:cstheme="minorHAnsi"/>
          <w:color w:val="000000" w:themeColor="text1"/>
          <w:lang w:eastAsia="en-GB"/>
        </w:rPr>
        <w:t>doi</w:t>
      </w:r>
      <w:proofErr w:type="spellEnd"/>
      <w:r w:rsidRPr="008D54BF">
        <w:rPr>
          <w:rFonts w:eastAsia="Times New Roman" w:cstheme="minorHAnsi"/>
          <w:color w:val="000000" w:themeColor="text1"/>
          <w:lang w:eastAsia="en-GB"/>
        </w:rPr>
        <w:t>: 10.1016/S2468-2667(20)30308-X</w:t>
      </w:r>
      <w:bookmarkEnd w:id="7"/>
    </w:p>
    <w:p w14:paraId="4A27FC77" w14:textId="0B28A9FA" w:rsidR="007723B8" w:rsidRPr="008D54BF" w:rsidRDefault="007723B8" w:rsidP="007723B8">
      <w:pPr>
        <w:pStyle w:val="ListParagraph"/>
        <w:numPr>
          <w:ilvl w:val="0"/>
          <w:numId w:val="12"/>
        </w:numPr>
        <w:rPr>
          <w:rFonts w:eastAsia="Times New Roman" w:cstheme="minorHAnsi"/>
          <w:color w:val="000000" w:themeColor="text1"/>
          <w:lang w:eastAsia="en-GB"/>
        </w:rPr>
      </w:pPr>
      <w:bookmarkStart w:id="8" w:name="_Ref77708356"/>
      <w:r w:rsidRPr="008D54BF">
        <w:rPr>
          <w:rFonts w:eastAsia="Times New Roman" w:cstheme="minorHAnsi"/>
          <w:color w:val="000000" w:themeColor="text1"/>
          <w:lang w:eastAsia="en-GB"/>
        </w:rPr>
        <w:t xml:space="preserve">Love N, Ready D, Turner C, </w:t>
      </w:r>
      <w:r w:rsidR="00822251">
        <w:rPr>
          <w:rFonts w:eastAsia="Times New Roman" w:cstheme="minorHAnsi"/>
          <w:color w:val="000000" w:themeColor="text1"/>
          <w:lang w:eastAsia="en-GB"/>
        </w:rPr>
        <w:t>et al</w:t>
      </w:r>
      <w:r w:rsidRPr="008D54BF">
        <w:rPr>
          <w:rFonts w:eastAsia="Times New Roman" w:cstheme="minorHAnsi"/>
          <w:color w:val="000000" w:themeColor="text1"/>
          <w:lang w:eastAsia="en-GB"/>
        </w:rPr>
        <w:t xml:space="preserve">. Determining the acceptability of testing contacts of confirmed COVID-19 cases using serial, self-administered Lateral Flow Devices. </w:t>
      </w:r>
      <w:proofErr w:type="spellStart"/>
      <w:r w:rsidRPr="008D54BF">
        <w:rPr>
          <w:rFonts w:eastAsia="Times New Roman" w:cstheme="minorHAnsi"/>
          <w:color w:val="000000" w:themeColor="text1"/>
          <w:lang w:eastAsia="en-GB"/>
        </w:rPr>
        <w:t>MedRxiv</w:t>
      </w:r>
      <w:proofErr w:type="spellEnd"/>
      <w:r w:rsidRPr="008D54BF">
        <w:rPr>
          <w:rFonts w:eastAsia="Times New Roman" w:cstheme="minorHAnsi"/>
          <w:color w:val="000000" w:themeColor="text1"/>
          <w:lang w:eastAsia="en-GB"/>
        </w:rPr>
        <w:t xml:space="preserve"> </w:t>
      </w:r>
      <w:proofErr w:type="spellStart"/>
      <w:r w:rsidRPr="008D54BF">
        <w:rPr>
          <w:rFonts w:eastAsia="Times New Roman" w:cstheme="minorHAnsi"/>
          <w:color w:val="000000" w:themeColor="text1"/>
          <w:lang w:eastAsia="en-GB"/>
        </w:rPr>
        <w:t>doi</w:t>
      </w:r>
      <w:proofErr w:type="spellEnd"/>
      <w:r w:rsidRPr="008D54BF">
        <w:rPr>
          <w:rFonts w:eastAsia="Times New Roman" w:cstheme="minorHAnsi"/>
          <w:color w:val="000000" w:themeColor="text1"/>
          <w:lang w:eastAsia="en-GB"/>
        </w:rPr>
        <w:t>: https://doi.org/</w:t>
      </w:r>
      <w:r w:rsidRPr="008D54BF">
        <w:rPr>
          <w:rFonts w:cstheme="minorHAnsi"/>
          <w:color w:val="000000" w:themeColor="text1"/>
          <w:shd w:val="clear" w:color="auto" w:fill="FFFFFF"/>
        </w:rPr>
        <w:t xml:space="preserve"> </w:t>
      </w:r>
      <w:r w:rsidRPr="008D54BF">
        <w:rPr>
          <w:rFonts w:eastAsia="Times New Roman" w:cstheme="minorHAnsi"/>
          <w:color w:val="000000" w:themeColor="text1"/>
          <w:shd w:val="clear" w:color="auto" w:fill="FFFFFF"/>
          <w:lang w:eastAsia="en-GB"/>
        </w:rPr>
        <w:t>10.1101/2021.03.23.21254168</w:t>
      </w:r>
      <w:bookmarkEnd w:id="8"/>
    </w:p>
    <w:p w14:paraId="4FCDD9BE" w14:textId="403E3C11" w:rsidR="007723B8" w:rsidRPr="008D54BF" w:rsidRDefault="00F42811" w:rsidP="00924134">
      <w:pPr>
        <w:pStyle w:val="ListParagraph"/>
        <w:numPr>
          <w:ilvl w:val="0"/>
          <w:numId w:val="12"/>
        </w:numPr>
        <w:rPr>
          <w:rFonts w:cstheme="minorHAnsi"/>
          <w:color w:val="000000" w:themeColor="text1"/>
        </w:rPr>
      </w:pPr>
      <w:bookmarkStart w:id="9" w:name="_Ref77709719"/>
      <w:bookmarkStart w:id="10" w:name="_Ref77708374"/>
      <w:r w:rsidRPr="008D54BF">
        <w:rPr>
          <w:rFonts w:eastAsia="Times New Roman" w:cstheme="minorHAnsi"/>
          <w:color w:val="000000" w:themeColor="text1"/>
          <w:lang w:eastAsia="en-GB"/>
        </w:rPr>
        <w:t xml:space="preserve">Peto T; UK COVID-19 Lateral Flow Oversight Team. COVID-19: Rapid antigen detection for SARS-CoV-2 by lateral flow assay: A national systematic evaluation of sensitivity and specificity for mass-testing. </w:t>
      </w:r>
      <w:proofErr w:type="spellStart"/>
      <w:r w:rsidRPr="008D54BF">
        <w:rPr>
          <w:rFonts w:eastAsia="Times New Roman" w:cstheme="minorHAnsi"/>
          <w:color w:val="000000" w:themeColor="text1"/>
          <w:lang w:eastAsia="en-GB"/>
        </w:rPr>
        <w:t>EClinicalMedicine</w:t>
      </w:r>
      <w:proofErr w:type="spellEnd"/>
      <w:r w:rsidRPr="008D54BF">
        <w:rPr>
          <w:rFonts w:eastAsia="Times New Roman" w:cstheme="minorHAnsi"/>
          <w:color w:val="000000" w:themeColor="text1"/>
          <w:lang w:eastAsia="en-GB"/>
        </w:rPr>
        <w:t xml:space="preserve">. 2021 Jun;36:100924. </w:t>
      </w:r>
      <w:proofErr w:type="spellStart"/>
      <w:r w:rsidRPr="008D54BF">
        <w:rPr>
          <w:rFonts w:eastAsia="Times New Roman" w:cstheme="minorHAnsi"/>
          <w:color w:val="000000" w:themeColor="text1"/>
          <w:lang w:eastAsia="en-GB"/>
        </w:rPr>
        <w:t>doi</w:t>
      </w:r>
      <w:proofErr w:type="spellEnd"/>
      <w:r w:rsidRPr="008D54BF">
        <w:rPr>
          <w:rFonts w:eastAsia="Times New Roman" w:cstheme="minorHAnsi"/>
          <w:color w:val="000000" w:themeColor="text1"/>
          <w:lang w:eastAsia="en-GB"/>
        </w:rPr>
        <w:t>: 10.1016/j.eclinm.2021.100924</w:t>
      </w:r>
      <w:bookmarkEnd w:id="9"/>
      <w:r w:rsidRPr="008D54BF">
        <w:rPr>
          <w:rFonts w:eastAsia="Times New Roman" w:cstheme="minorHAnsi"/>
          <w:color w:val="000000" w:themeColor="text1"/>
          <w:lang w:eastAsia="en-GB"/>
        </w:rPr>
        <w:t xml:space="preserve"> </w:t>
      </w:r>
      <w:bookmarkEnd w:id="10"/>
    </w:p>
    <w:p w14:paraId="0BDE2AF6" w14:textId="7C49A2EB" w:rsidR="00924134" w:rsidRPr="00B66F18" w:rsidRDefault="007723B8" w:rsidP="007723B8">
      <w:pPr>
        <w:pStyle w:val="ListParagraph"/>
        <w:numPr>
          <w:ilvl w:val="0"/>
          <w:numId w:val="12"/>
        </w:numPr>
        <w:rPr>
          <w:rFonts w:eastAsia="Times New Roman" w:cstheme="minorHAnsi"/>
          <w:color w:val="000000" w:themeColor="text1"/>
          <w:lang w:eastAsia="en-GB"/>
        </w:rPr>
      </w:pPr>
      <w:bookmarkStart w:id="11" w:name="_Ref77774029"/>
      <w:bookmarkStart w:id="12" w:name="_Ref77708099"/>
      <w:proofErr w:type="spellStart"/>
      <w:r w:rsidRPr="008D54BF">
        <w:rPr>
          <w:rFonts w:eastAsia="Times New Roman" w:cstheme="minorHAnsi"/>
          <w:color w:val="000000" w:themeColor="text1"/>
          <w:shd w:val="clear" w:color="auto" w:fill="FFFFFF"/>
          <w:lang w:eastAsia="en-GB"/>
        </w:rPr>
        <w:t>Pekosz</w:t>
      </w:r>
      <w:proofErr w:type="spellEnd"/>
      <w:r w:rsidRPr="008D54BF">
        <w:rPr>
          <w:rFonts w:eastAsia="Times New Roman" w:cstheme="minorHAnsi"/>
          <w:color w:val="000000" w:themeColor="text1"/>
          <w:shd w:val="clear" w:color="auto" w:fill="FFFFFF"/>
          <w:lang w:eastAsia="en-GB"/>
        </w:rPr>
        <w:t xml:space="preserve"> A, </w:t>
      </w:r>
      <w:proofErr w:type="spellStart"/>
      <w:r w:rsidRPr="008D54BF">
        <w:rPr>
          <w:rFonts w:eastAsia="Times New Roman" w:cstheme="minorHAnsi"/>
          <w:color w:val="000000" w:themeColor="text1"/>
          <w:shd w:val="clear" w:color="auto" w:fill="FFFFFF"/>
          <w:lang w:eastAsia="en-GB"/>
        </w:rPr>
        <w:t>Parvu</w:t>
      </w:r>
      <w:proofErr w:type="spellEnd"/>
      <w:r w:rsidRPr="008D54BF">
        <w:rPr>
          <w:rFonts w:eastAsia="Times New Roman" w:cstheme="minorHAnsi"/>
          <w:color w:val="000000" w:themeColor="text1"/>
          <w:shd w:val="clear" w:color="auto" w:fill="FFFFFF"/>
          <w:lang w:eastAsia="en-GB"/>
        </w:rPr>
        <w:t xml:space="preserve"> V, Li M, </w:t>
      </w:r>
      <w:r w:rsidR="00822251">
        <w:rPr>
          <w:rFonts w:eastAsia="Times New Roman" w:cstheme="minorHAnsi"/>
          <w:color w:val="000000" w:themeColor="text1"/>
          <w:shd w:val="clear" w:color="auto" w:fill="FFFFFF"/>
          <w:lang w:eastAsia="en-GB"/>
        </w:rPr>
        <w:t>et al</w:t>
      </w:r>
      <w:r w:rsidRPr="008D54BF">
        <w:rPr>
          <w:rFonts w:eastAsia="Times New Roman" w:cstheme="minorHAnsi"/>
          <w:color w:val="000000" w:themeColor="text1"/>
          <w:shd w:val="clear" w:color="auto" w:fill="FFFFFF"/>
          <w:lang w:eastAsia="en-GB"/>
        </w:rPr>
        <w:t xml:space="preserve">. Antigen-Based Testing but Not Real-Time Polymerase Chain Reaction Correlates With Severe Acute Respiratory Syndrome Coronavirus 2 Viral Culture. Clin Infect Dis. 2021 Jan 20:ciaa1706. </w:t>
      </w:r>
      <w:proofErr w:type="spellStart"/>
      <w:r w:rsidRPr="008D54BF">
        <w:rPr>
          <w:rFonts w:eastAsia="Times New Roman" w:cstheme="minorHAnsi"/>
          <w:color w:val="000000" w:themeColor="text1"/>
          <w:shd w:val="clear" w:color="auto" w:fill="FFFFFF"/>
          <w:lang w:eastAsia="en-GB"/>
        </w:rPr>
        <w:t>doi</w:t>
      </w:r>
      <w:proofErr w:type="spellEnd"/>
      <w:r w:rsidRPr="008D54BF">
        <w:rPr>
          <w:rFonts w:eastAsia="Times New Roman" w:cstheme="minorHAnsi"/>
          <w:color w:val="000000" w:themeColor="text1"/>
          <w:shd w:val="clear" w:color="auto" w:fill="FFFFFF"/>
          <w:lang w:eastAsia="en-GB"/>
        </w:rPr>
        <w:t>: 10.1093/</w:t>
      </w:r>
      <w:proofErr w:type="spellStart"/>
      <w:r w:rsidRPr="008D54BF">
        <w:rPr>
          <w:rFonts w:eastAsia="Times New Roman" w:cstheme="minorHAnsi"/>
          <w:color w:val="000000" w:themeColor="text1"/>
          <w:shd w:val="clear" w:color="auto" w:fill="FFFFFF"/>
          <w:lang w:eastAsia="en-GB"/>
        </w:rPr>
        <w:t>cid</w:t>
      </w:r>
      <w:proofErr w:type="spellEnd"/>
      <w:r w:rsidRPr="008D54BF">
        <w:rPr>
          <w:rFonts w:eastAsia="Times New Roman" w:cstheme="minorHAnsi"/>
          <w:color w:val="000000" w:themeColor="text1"/>
          <w:shd w:val="clear" w:color="auto" w:fill="FFFFFF"/>
          <w:lang w:eastAsia="en-GB"/>
        </w:rPr>
        <w:t>/ciaa1706.</w:t>
      </w:r>
      <w:bookmarkEnd w:id="11"/>
      <w:r w:rsidRPr="008D54BF">
        <w:rPr>
          <w:rFonts w:eastAsia="Times New Roman" w:cstheme="minorHAnsi"/>
          <w:color w:val="000000" w:themeColor="text1"/>
          <w:shd w:val="clear" w:color="auto" w:fill="FFFFFF"/>
          <w:lang w:eastAsia="en-GB"/>
        </w:rPr>
        <w:t xml:space="preserve"> </w:t>
      </w:r>
      <w:bookmarkEnd w:id="12"/>
    </w:p>
    <w:p w14:paraId="088A4A13" w14:textId="2D51E44C" w:rsidR="009513DE" w:rsidRPr="00D4788E" w:rsidRDefault="009513DE" w:rsidP="007723B8">
      <w:pPr>
        <w:pStyle w:val="ListParagraph"/>
        <w:numPr>
          <w:ilvl w:val="0"/>
          <w:numId w:val="12"/>
        </w:numPr>
        <w:rPr>
          <w:rFonts w:eastAsia="Times New Roman" w:cstheme="minorHAnsi"/>
          <w:color w:val="000000" w:themeColor="text1"/>
          <w:lang w:eastAsia="en-GB"/>
        </w:rPr>
      </w:pPr>
      <w:bookmarkStart w:id="13" w:name="_Ref80014664"/>
      <w:proofErr w:type="spellStart"/>
      <w:r w:rsidRPr="009513DE">
        <w:rPr>
          <w:rFonts w:eastAsia="Times New Roman" w:cstheme="minorHAnsi"/>
          <w:color w:val="000000" w:themeColor="text1"/>
          <w:lang w:eastAsia="en-GB"/>
        </w:rPr>
        <w:t>Leber</w:t>
      </w:r>
      <w:proofErr w:type="spellEnd"/>
      <w:r w:rsidRPr="009513DE">
        <w:rPr>
          <w:rFonts w:eastAsia="Times New Roman" w:cstheme="minorHAnsi"/>
          <w:color w:val="000000" w:themeColor="text1"/>
          <w:lang w:eastAsia="en-GB"/>
        </w:rPr>
        <w:t xml:space="preserve"> W, </w:t>
      </w:r>
      <w:proofErr w:type="spellStart"/>
      <w:r w:rsidRPr="009513DE">
        <w:rPr>
          <w:rFonts w:eastAsia="Times New Roman" w:cstheme="minorHAnsi"/>
          <w:color w:val="000000" w:themeColor="text1"/>
          <w:lang w:eastAsia="en-GB"/>
        </w:rPr>
        <w:t>Lammel</w:t>
      </w:r>
      <w:proofErr w:type="spellEnd"/>
      <w:r w:rsidRPr="009513DE">
        <w:rPr>
          <w:rFonts w:eastAsia="Times New Roman" w:cstheme="minorHAnsi"/>
          <w:color w:val="000000" w:themeColor="text1"/>
          <w:lang w:eastAsia="en-GB"/>
        </w:rPr>
        <w:t xml:space="preserve"> O, </w:t>
      </w:r>
      <w:proofErr w:type="spellStart"/>
      <w:r w:rsidRPr="009513DE">
        <w:rPr>
          <w:rFonts w:eastAsia="Times New Roman" w:cstheme="minorHAnsi"/>
          <w:color w:val="000000" w:themeColor="text1"/>
          <w:lang w:eastAsia="en-GB"/>
        </w:rPr>
        <w:t>Siebenhofer</w:t>
      </w:r>
      <w:proofErr w:type="spellEnd"/>
      <w:r w:rsidRPr="009513DE">
        <w:rPr>
          <w:rFonts w:eastAsia="Times New Roman" w:cstheme="minorHAnsi"/>
          <w:color w:val="000000" w:themeColor="text1"/>
          <w:lang w:eastAsia="en-GB"/>
        </w:rPr>
        <w:t xml:space="preserve"> A, </w:t>
      </w:r>
      <w:proofErr w:type="spellStart"/>
      <w:r w:rsidRPr="009513DE">
        <w:rPr>
          <w:rFonts w:eastAsia="Times New Roman" w:cstheme="minorHAnsi"/>
          <w:color w:val="000000" w:themeColor="text1"/>
          <w:lang w:eastAsia="en-GB"/>
        </w:rPr>
        <w:t>Redlberger</w:t>
      </w:r>
      <w:proofErr w:type="spellEnd"/>
      <w:r w:rsidRPr="009513DE">
        <w:rPr>
          <w:rFonts w:eastAsia="Times New Roman" w:cstheme="minorHAnsi"/>
          <w:color w:val="000000" w:themeColor="text1"/>
          <w:lang w:eastAsia="en-GB"/>
        </w:rPr>
        <w:t xml:space="preserve">-Fritz M, </w:t>
      </w:r>
      <w:proofErr w:type="spellStart"/>
      <w:r w:rsidRPr="009513DE">
        <w:rPr>
          <w:rFonts w:eastAsia="Times New Roman" w:cstheme="minorHAnsi"/>
          <w:color w:val="000000" w:themeColor="text1"/>
          <w:lang w:eastAsia="en-GB"/>
        </w:rPr>
        <w:t>Panovska</w:t>
      </w:r>
      <w:proofErr w:type="spellEnd"/>
      <w:r w:rsidRPr="009513DE">
        <w:rPr>
          <w:rFonts w:eastAsia="Times New Roman" w:cstheme="minorHAnsi"/>
          <w:color w:val="000000" w:themeColor="text1"/>
          <w:lang w:eastAsia="en-GB"/>
        </w:rPr>
        <w:t xml:space="preserve">-Griffiths J, </w:t>
      </w:r>
      <w:proofErr w:type="spellStart"/>
      <w:r w:rsidRPr="009513DE">
        <w:rPr>
          <w:rFonts w:eastAsia="Times New Roman" w:cstheme="minorHAnsi"/>
          <w:color w:val="000000" w:themeColor="text1"/>
          <w:lang w:eastAsia="en-GB"/>
        </w:rPr>
        <w:t>Czypionka</w:t>
      </w:r>
      <w:proofErr w:type="spellEnd"/>
      <w:r w:rsidRPr="009513DE">
        <w:rPr>
          <w:rFonts w:eastAsia="Times New Roman" w:cstheme="minorHAnsi"/>
          <w:color w:val="000000" w:themeColor="text1"/>
          <w:lang w:eastAsia="en-GB"/>
        </w:rPr>
        <w:t xml:space="preserve"> T. Comparing the diagnostic accuracy of point-of-care lateral flow antigen testing for SARS-CoV-2 with RT-PCR in primary care (REAP-2). </w:t>
      </w:r>
      <w:proofErr w:type="spellStart"/>
      <w:r w:rsidRPr="009513DE">
        <w:rPr>
          <w:rFonts w:eastAsia="Times New Roman" w:cstheme="minorHAnsi"/>
          <w:color w:val="000000" w:themeColor="text1"/>
          <w:lang w:eastAsia="en-GB"/>
        </w:rPr>
        <w:t>EClinicalMedicine</w:t>
      </w:r>
      <w:proofErr w:type="spellEnd"/>
      <w:r w:rsidRPr="009513DE">
        <w:rPr>
          <w:rFonts w:eastAsia="Times New Roman" w:cstheme="minorHAnsi"/>
          <w:color w:val="000000" w:themeColor="text1"/>
          <w:lang w:eastAsia="en-GB"/>
        </w:rPr>
        <w:t xml:space="preserve">. 2021 Jul 13:101011. </w:t>
      </w:r>
      <w:proofErr w:type="spellStart"/>
      <w:r w:rsidRPr="009513DE">
        <w:rPr>
          <w:rFonts w:eastAsia="Times New Roman" w:cstheme="minorHAnsi"/>
          <w:color w:val="000000" w:themeColor="text1"/>
          <w:lang w:eastAsia="en-GB"/>
        </w:rPr>
        <w:t>doi</w:t>
      </w:r>
      <w:proofErr w:type="spellEnd"/>
      <w:r w:rsidRPr="009513DE">
        <w:rPr>
          <w:rFonts w:eastAsia="Times New Roman" w:cstheme="minorHAnsi"/>
          <w:color w:val="000000" w:themeColor="text1"/>
          <w:lang w:eastAsia="en-GB"/>
        </w:rPr>
        <w:t>: 10.1016/j.eclinm.2021.101011</w:t>
      </w:r>
      <w:r>
        <w:rPr>
          <w:rFonts w:eastAsia="Times New Roman" w:cstheme="minorHAnsi"/>
          <w:color w:val="000000" w:themeColor="text1"/>
          <w:lang w:eastAsia="en-GB"/>
        </w:rPr>
        <w:t>.</w:t>
      </w:r>
      <w:bookmarkEnd w:id="13"/>
    </w:p>
    <w:p w14:paraId="66395069" w14:textId="76070DD9" w:rsidR="00123BEE" w:rsidRPr="00F43739" w:rsidRDefault="00123BEE" w:rsidP="00123BEE">
      <w:pPr>
        <w:pStyle w:val="ListParagraph"/>
        <w:numPr>
          <w:ilvl w:val="0"/>
          <w:numId w:val="12"/>
        </w:numPr>
        <w:rPr>
          <w:rFonts w:eastAsia="Times New Roman" w:cstheme="minorHAnsi"/>
          <w:color w:val="000000" w:themeColor="text1"/>
          <w:lang w:eastAsia="en-GB"/>
        </w:rPr>
      </w:pPr>
      <w:bookmarkStart w:id="14" w:name="_Ref77774077"/>
      <w:bookmarkStart w:id="15" w:name="_Ref77707699"/>
      <w:r w:rsidRPr="008D54BF">
        <w:rPr>
          <w:rFonts w:eastAsia="Times New Roman" w:cstheme="minorHAnsi"/>
          <w:color w:val="000000" w:themeColor="text1"/>
          <w:shd w:val="clear" w:color="auto" w:fill="FFFFFF"/>
          <w:lang w:eastAsia="en-GB"/>
        </w:rPr>
        <w:t xml:space="preserve">Martin AF, </w:t>
      </w:r>
      <w:proofErr w:type="spellStart"/>
      <w:r w:rsidRPr="008D54BF">
        <w:rPr>
          <w:rFonts w:eastAsia="Times New Roman" w:cstheme="minorHAnsi"/>
          <w:color w:val="000000" w:themeColor="text1"/>
          <w:shd w:val="clear" w:color="auto" w:fill="FFFFFF"/>
          <w:lang w:eastAsia="en-GB"/>
        </w:rPr>
        <w:t>Denford</w:t>
      </w:r>
      <w:proofErr w:type="spellEnd"/>
      <w:r w:rsidRPr="008D54BF">
        <w:rPr>
          <w:rFonts w:eastAsia="Times New Roman" w:cstheme="minorHAnsi"/>
          <w:color w:val="000000" w:themeColor="text1"/>
          <w:shd w:val="clear" w:color="auto" w:fill="FFFFFF"/>
          <w:lang w:eastAsia="en-GB"/>
        </w:rPr>
        <w:t xml:space="preserve"> S, Love N, </w:t>
      </w:r>
      <w:r w:rsidR="00822251">
        <w:rPr>
          <w:rFonts w:eastAsia="Times New Roman" w:cstheme="minorHAnsi"/>
          <w:color w:val="000000" w:themeColor="text1"/>
          <w:shd w:val="clear" w:color="auto" w:fill="FFFFFF"/>
          <w:lang w:eastAsia="en-GB"/>
        </w:rPr>
        <w:t>et al</w:t>
      </w:r>
      <w:r w:rsidRPr="008D54BF">
        <w:rPr>
          <w:rFonts w:eastAsia="Times New Roman" w:cstheme="minorHAnsi"/>
          <w:color w:val="000000" w:themeColor="text1"/>
          <w:shd w:val="clear" w:color="auto" w:fill="FFFFFF"/>
          <w:lang w:eastAsia="en-GB"/>
        </w:rPr>
        <w:t xml:space="preserve">. Engagement with daily testing instead of self-isolating in contacts of confirmed cases of SARS-CoV-2. BMC Public Health. 2021 Jun 5;21(1):1067. </w:t>
      </w:r>
      <w:proofErr w:type="spellStart"/>
      <w:r w:rsidRPr="008D54BF">
        <w:rPr>
          <w:rFonts w:eastAsia="Times New Roman" w:cstheme="minorHAnsi"/>
          <w:color w:val="000000" w:themeColor="text1"/>
          <w:shd w:val="clear" w:color="auto" w:fill="FFFFFF"/>
          <w:lang w:eastAsia="en-GB"/>
        </w:rPr>
        <w:t>doi</w:t>
      </w:r>
      <w:proofErr w:type="spellEnd"/>
      <w:r w:rsidRPr="008D54BF">
        <w:rPr>
          <w:rFonts w:eastAsia="Times New Roman" w:cstheme="minorHAnsi"/>
          <w:color w:val="000000" w:themeColor="text1"/>
          <w:shd w:val="clear" w:color="auto" w:fill="FFFFFF"/>
          <w:lang w:eastAsia="en-GB"/>
        </w:rPr>
        <w:t>: 10.1186/s12889-021-11135-7.</w:t>
      </w:r>
      <w:bookmarkEnd w:id="14"/>
    </w:p>
    <w:p w14:paraId="016934FB" w14:textId="67985051" w:rsidR="00F43739" w:rsidRPr="00F43739" w:rsidRDefault="00F43739" w:rsidP="00F43739">
      <w:pPr>
        <w:pStyle w:val="ListParagraph"/>
        <w:numPr>
          <w:ilvl w:val="0"/>
          <w:numId w:val="12"/>
        </w:numPr>
        <w:rPr>
          <w:rFonts w:eastAsia="Times New Roman" w:cstheme="minorHAnsi"/>
          <w:color w:val="000000" w:themeColor="text1"/>
          <w:lang w:eastAsia="en-GB"/>
        </w:rPr>
      </w:pPr>
      <w:bookmarkStart w:id="16" w:name="_Ref77711768"/>
      <w:r>
        <w:rPr>
          <w:rFonts w:eastAsia="Times New Roman" w:cstheme="minorHAnsi"/>
          <w:color w:val="000000" w:themeColor="text1"/>
          <w:shd w:val="clear" w:color="auto" w:fill="FFFFFF"/>
          <w:lang w:eastAsia="en-GB"/>
        </w:rPr>
        <w:t xml:space="preserve">SAGE 83 minutes: Coronavirus (COVID-19) response, 11 March 2021. Available from: </w:t>
      </w:r>
      <w:r w:rsidRPr="00D4788E">
        <w:rPr>
          <w:rFonts w:eastAsia="Times New Roman" w:cstheme="minorHAnsi"/>
          <w:color w:val="000000" w:themeColor="text1"/>
          <w:lang w:eastAsia="en-GB"/>
        </w:rPr>
        <w:t>https://www.gov.uk/government/publications/sage-83-minutes-coronavirus-covid-19-response-11-march-2021</w:t>
      </w:r>
      <w:bookmarkEnd w:id="16"/>
    </w:p>
    <w:p w14:paraId="7BD9B62C" w14:textId="5F0C2868" w:rsidR="00924134" w:rsidRPr="008D54BF" w:rsidRDefault="00AF670C" w:rsidP="00AF670C">
      <w:pPr>
        <w:pStyle w:val="ListParagraph"/>
        <w:numPr>
          <w:ilvl w:val="0"/>
          <w:numId w:val="12"/>
        </w:numPr>
        <w:rPr>
          <w:rFonts w:cstheme="minorHAnsi"/>
          <w:color w:val="000000" w:themeColor="text1"/>
        </w:rPr>
      </w:pPr>
      <w:bookmarkStart w:id="17" w:name="_Ref77708497"/>
      <w:r w:rsidRPr="008D54BF">
        <w:rPr>
          <w:rFonts w:eastAsia="Times New Roman" w:cstheme="minorHAnsi"/>
          <w:color w:val="000000" w:themeColor="text1"/>
          <w:lang w:eastAsia="en-GB"/>
        </w:rPr>
        <w:t>Smith, L</w:t>
      </w:r>
      <w:r w:rsidR="00822251">
        <w:rPr>
          <w:rFonts w:eastAsia="Times New Roman" w:cstheme="minorHAnsi"/>
          <w:color w:val="000000" w:themeColor="text1"/>
          <w:lang w:eastAsia="en-GB"/>
        </w:rPr>
        <w:t>E</w:t>
      </w:r>
      <w:r w:rsidRPr="008D54BF">
        <w:rPr>
          <w:rFonts w:eastAsia="Times New Roman" w:cstheme="minorHAnsi"/>
          <w:color w:val="000000" w:themeColor="text1"/>
          <w:lang w:eastAsia="en-GB"/>
        </w:rPr>
        <w:t xml:space="preserve">, Potts, HWW, </w:t>
      </w:r>
      <w:proofErr w:type="spellStart"/>
      <w:r w:rsidRPr="008D54BF">
        <w:rPr>
          <w:rFonts w:eastAsia="Times New Roman" w:cstheme="minorHAnsi"/>
          <w:color w:val="000000" w:themeColor="text1"/>
          <w:lang w:eastAsia="en-GB"/>
        </w:rPr>
        <w:t>Amlôt</w:t>
      </w:r>
      <w:proofErr w:type="spellEnd"/>
      <w:r w:rsidRPr="008D54BF">
        <w:rPr>
          <w:rFonts w:eastAsia="Times New Roman" w:cstheme="minorHAnsi"/>
          <w:color w:val="000000" w:themeColor="text1"/>
          <w:lang w:eastAsia="en-GB"/>
        </w:rPr>
        <w:t xml:space="preserve">, R, Fear, NT, </w:t>
      </w:r>
      <w:proofErr w:type="spellStart"/>
      <w:r w:rsidRPr="008D54BF">
        <w:rPr>
          <w:rFonts w:eastAsia="Times New Roman" w:cstheme="minorHAnsi"/>
          <w:color w:val="000000" w:themeColor="text1"/>
          <w:lang w:eastAsia="en-GB"/>
        </w:rPr>
        <w:t>Michie</w:t>
      </w:r>
      <w:proofErr w:type="spellEnd"/>
      <w:r w:rsidRPr="008D54BF">
        <w:rPr>
          <w:rFonts w:eastAsia="Times New Roman" w:cstheme="minorHAnsi"/>
          <w:color w:val="000000" w:themeColor="text1"/>
          <w:lang w:eastAsia="en-GB"/>
        </w:rPr>
        <w:t>, S and Rubin, G</w:t>
      </w:r>
      <w:r w:rsidR="00822251">
        <w:rPr>
          <w:rFonts w:eastAsia="Times New Roman" w:cstheme="minorHAnsi"/>
          <w:color w:val="000000" w:themeColor="text1"/>
          <w:lang w:eastAsia="en-GB"/>
        </w:rPr>
        <w:t>J</w:t>
      </w:r>
      <w:r w:rsidRPr="008D54BF">
        <w:rPr>
          <w:rFonts w:eastAsia="Times New Roman" w:cstheme="minorHAnsi"/>
          <w:color w:val="000000" w:themeColor="text1"/>
          <w:lang w:eastAsia="en-GB"/>
        </w:rPr>
        <w:t xml:space="preserve"> (2021). Adherence to the test, trace, and isolate system in the UK: results from 37 nationally representative surveys. BMJ, p.n608</w:t>
      </w:r>
      <w:bookmarkEnd w:id="15"/>
      <w:bookmarkEnd w:id="17"/>
    </w:p>
    <w:p w14:paraId="78A49505" w14:textId="1BB2915D" w:rsidR="00924134" w:rsidRPr="008D54BF" w:rsidRDefault="00515C59" w:rsidP="00924134">
      <w:pPr>
        <w:pStyle w:val="ListParagraph"/>
        <w:numPr>
          <w:ilvl w:val="0"/>
          <w:numId w:val="12"/>
        </w:numPr>
        <w:rPr>
          <w:rFonts w:cstheme="minorHAnsi"/>
          <w:color w:val="000000" w:themeColor="text1"/>
        </w:rPr>
      </w:pPr>
      <w:bookmarkStart w:id="18" w:name="_Ref77708686"/>
      <w:r w:rsidRPr="008D54BF">
        <w:rPr>
          <w:rFonts w:eastAsia="Times New Roman" w:cstheme="minorHAnsi"/>
          <w:color w:val="000000" w:themeColor="text1"/>
          <w:shd w:val="clear" w:color="auto" w:fill="FFFFFF"/>
          <w:lang w:eastAsia="en-GB"/>
        </w:rPr>
        <w:t xml:space="preserve">Brooks SK, Webster RK, Smith LE, </w:t>
      </w:r>
      <w:r w:rsidR="00822251">
        <w:rPr>
          <w:rFonts w:eastAsia="Times New Roman" w:cstheme="minorHAnsi"/>
          <w:color w:val="000000" w:themeColor="text1"/>
          <w:shd w:val="clear" w:color="auto" w:fill="FFFFFF"/>
          <w:lang w:eastAsia="en-GB"/>
        </w:rPr>
        <w:t>et al</w:t>
      </w:r>
      <w:r w:rsidRPr="008D54BF">
        <w:rPr>
          <w:rFonts w:eastAsia="Times New Roman" w:cstheme="minorHAnsi"/>
          <w:color w:val="000000" w:themeColor="text1"/>
          <w:shd w:val="clear" w:color="auto" w:fill="FFFFFF"/>
          <w:lang w:eastAsia="en-GB"/>
        </w:rPr>
        <w:t xml:space="preserve">. The psychological impact of quarantine and how to reduce it: rapid review of the evidence. Lancet. 2020 Mar 14;395(10227):912-920. </w:t>
      </w:r>
      <w:proofErr w:type="spellStart"/>
      <w:r w:rsidRPr="008D54BF">
        <w:rPr>
          <w:rFonts w:eastAsia="Times New Roman" w:cstheme="minorHAnsi"/>
          <w:color w:val="000000" w:themeColor="text1"/>
          <w:shd w:val="clear" w:color="auto" w:fill="FFFFFF"/>
          <w:lang w:eastAsia="en-GB"/>
        </w:rPr>
        <w:t>doi</w:t>
      </w:r>
      <w:proofErr w:type="spellEnd"/>
      <w:r w:rsidRPr="008D54BF">
        <w:rPr>
          <w:rFonts w:eastAsia="Times New Roman" w:cstheme="minorHAnsi"/>
          <w:color w:val="000000" w:themeColor="text1"/>
          <w:shd w:val="clear" w:color="auto" w:fill="FFFFFF"/>
          <w:lang w:eastAsia="en-GB"/>
        </w:rPr>
        <w:t>: 10.1016/S0140-6736(20)30460-8.</w:t>
      </w:r>
      <w:bookmarkEnd w:id="18"/>
    </w:p>
    <w:p w14:paraId="66778D75" w14:textId="44324B7A" w:rsidR="00924134" w:rsidRPr="008D54BF" w:rsidRDefault="005534EC" w:rsidP="005534EC">
      <w:pPr>
        <w:pStyle w:val="ListParagraph"/>
        <w:numPr>
          <w:ilvl w:val="0"/>
          <w:numId w:val="12"/>
        </w:numPr>
        <w:rPr>
          <w:rFonts w:eastAsia="Times New Roman" w:cstheme="minorHAnsi"/>
          <w:color w:val="000000" w:themeColor="text1"/>
          <w:lang w:eastAsia="en-GB"/>
        </w:rPr>
      </w:pPr>
      <w:bookmarkStart w:id="19" w:name="_Ref77774117"/>
      <w:bookmarkStart w:id="20" w:name="_Ref77708832"/>
      <w:r w:rsidRPr="008D54BF">
        <w:rPr>
          <w:rFonts w:eastAsia="Times New Roman" w:cstheme="minorHAnsi"/>
          <w:color w:val="000000" w:themeColor="text1"/>
          <w:shd w:val="clear" w:color="auto" w:fill="FFFFFF"/>
          <w:lang w:eastAsia="en-GB"/>
        </w:rPr>
        <w:t xml:space="preserve">Crawley E, Loades M, Feder G, Logan S, Redwood S, Macleod J. Wider collateral damage to children in the UK because of the social distancing measures designed to </w:t>
      </w:r>
      <w:r w:rsidRPr="008D54BF">
        <w:rPr>
          <w:rFonts w:eastAsia="Times New Roman" w:cstheme="minorHAnsi"/>
          <w:color w:val="000000" w:themeColor="text1"/>
          <w:shd w:val="clear" w:color="auto" w:fill="FFFFFF"/>
          <w:lang w:eastAsia="en-GB"/>
        </w:rPr>
        <w:lastRenderedPageBreak/>
        <w:t xml:space="preserve">reduce the impact of COVID-19 in adults. BMJ </w:t>
      </w:r>
      <w:proofErr w:type="spellStart"/>
      <w:r w:rsidRPr="008D54BF">
        <w:rPr>
          <w:rFonts w:eastAsia="Times New Roman" w:cstheme="minorHAnsi"/>
          <w:color w:val="000000" w:themeColor="text1"/>
          <w:shd w:val="clear" w:color="auto" w:fill="FFFFFF"/>
          <w:lang w:eastAsia="en-GB"/>
        </w:rPr>
        <w:t>Paediatr</w:t>
      </w:r>
      <w:proofErr w:type="spellEnd"/>
      <w:r w:rsidRPr="008D54BF">
        <w:rPr>
          <w:rFonts w:eastAsia="Times New Roman" w:cstheme="minorHAnsi"/>
          <w:color w:val="000000" w:themeColor="text1"/>
          <w:shd w:val="clear" w:color="auto" w:fill="FFFFFF"/>
          <w:lang w:eastAsia="en-GB"/>
        </w:rPr>
        <w:t xml:space="preserve"> Open. 2020 May 4;4(1):e000701. </w:t>
      </w:r>
      <w:proofErr w:type="spellStart"/>
      <w:r w:rsidRPr="008D54BF">
        <w:rPr>
          <w:rFonts w:eastAsia="Times New Roman" w:cstheme="minorHAnsi"/>
          <w:color w:val="000000" w:themeColor="text1"/>
          <w:shd w:val="clear" w:color="auto" w:fill="FFFFFF"/>
          <w:lang w:eastAsia="en-GB"/>
        </w:rPr>
        <w:t>doi</w:t>
      </w:r>
      <w:proofErr w:type="spellEnd"/>
      <w:r w:rsidRPr="008D54BF">
        <w:rPr>
          <w:rFonts w:eastAsia="Times New Roman" w:cstheme="minorHAnsi"/>
          <w:color w:val="000000" w:themeColor="text1"/>
          <w:shd w:val="clear" w:color="auto" w:fill="FFFFFF"/>
          <w:lang w:eastAsia="en-GB"/>
        </w:rPr>
        <w:t>: 10.1136/bmjpo-2020-000701</w:t>
      </w:r>
      <w:bookmarkEnd w:id="19"/>
    </w:p>
    <w:p w14:paraId="66C5E54C" w14:textId="77777777" w:rsidR="005306B4" w:rsidRPr="005306B4" w:rsidRDefault="005306B4" w:rsidP="005306B4">
      <w:pPr>
        <w:numPr>
          <w:ilvl w:val="0"/>
          <w:numId w:val="12"/>
        </w:numPr>
        <w:spacing w:before="100" w:beforeAutospacing="1" w:after="100" w:afterAutospacing="1"/>
        <w:rPr>
          <w:rFonts w:eastAsia="Times New Roman" w:cstheme="minorHAnsi"/>
          <w:color w:val="000000" w:themeColor="text1"/>
          <w:lang w:eastAsia="en-GB"/>
        </w:rPr>
      </w:pPr>
      <w:bookmarkStart w:id="21" w:name="_Ref77709040"/>
      <w:r w:rsidRPr="005306B4">
        <w:rPr>
          <w:rFonts w:eastAsia="Times New Roman" w:cstheme="minorHAnsi"/>
          <w:color w:val="000000" w:themeColor="text1"/>
          <w:lang w:eastAsia="en-GB"/>
        </w:rPr>
        <w:t xml:space="preserve">Burgess S, </w:t>
      </w:r>
      <w:proofErr w:type="spellStart"/>
      <w:r w:rsidRPr="005306B4">
        <w:rPr>
          <w:rFonts w:eastAsia="Times New Roman" w:cstheme="minorHAnsi"/>
          <w:color w:val="000000" w:themeColor="text1"/>
          <w:lang w:eastAsia="en-GB"/>
        </w:rPr>
        <w:t>Sievertsen</w:t>
      </w:r>
      <w:proofErr w:type="spellEnd"/>
      <w:r w:rsidRPr="005306B4">
        <w:rPr>
          <w:rFonts w:eastAsia="Times New Roman" w:cstheme="minorHAnsi"/>
          <w:color w:val="000000" w:themeColor="text1"/>
          <w:lang w:eastAsia="en-GB"/>
        </w:rPr>
        <w:t xml:space="preserve"> HH. Schools, skills, and learning: The impact of COVID-19 on education. </w:t>
      </w:r>
      <w:proofErr w:type="spellStart"/>
      <w:r w:rsidRPr="005306B4">
        <w:rPr>
          <w:rFonts w:eastAsia="Times New Roman" w:cstheme="minorHAnsi"/>
          <w:color w:val="000000" w:themeColor="text1"/>
          <w:lang w:eastAsia="en-GB"/>
        </w:rPr>
        <w:t>VoxEu</w:t>
      </w:r>
      <w:proofErr w:type="spellEnd"/>
      <w:r w:rsidRPr="005306B4">
        <w:rPr>
          <w:rFonts w:eastAsia="Times New Roman" w:cstheme="minorHAnsi"/>
          <w:color w:val="000000" w:themeColor="text1"/>
          <w:lang w:eastAsia="en-GB"/>
        </w:rPr>
        <w:t xml:space="preserve"> org. 2020;1(2)</w:t>
      </w:r>
      <w:bookmarkEnd w:id="21"/>
      <w:r w:rsidRPr="005306B4">
        <w:rPr>
          <w:rFonts w:eastAsia="Times New Roman" w:cstheme="minorHAnsi"/>
          <w:color w:val="000000" w:themeColor="text1"/>
          <w:lang w:eastAsia="en-GB"/>
        </w:rPr>
        <w:t xml:space="preserve"> </w:t>
      </w:r>
    </w:p>
    <w:p w14:paraId="0B974489" w14:textId="77777777" w:rsidR="005306B4" w:rsidRPr="005306B4" w:rsidRDefault="005306B4" w:rsidP="005306B4">
      <w:pPr>
        <w:numPr>
          <w:ilvl w:val="0"/>
          <w:numId w:val="12"/>
        </w:numPr>
        <w:spacing w:before="100" w:beforeAutospacing="1" w:after="100" w:afterAutospacing="1"/>
        <w:rPr>
          <w:rFonts w:eastAsia="Times New Roman" w:cstheme="minorHAnsi"/>
          <w:color w:val="000000" w:themeColor="text1"/>
          <w:lang w:eastAsia="en-GB"/>
        </w:rPr>
      </w:pPr>
      <w:bookmarkStart w:id="22" w:name="_Ref77709043"/>
      <w:r w:rsidRPr="005306B4">
        <w:rPr>
          <w:rFonts w:eastAsia="Times New Roman" w:cstheme="minorHAnsi"/>
          <w:color w:val="000000" w:themeColor="text1"/>
          <w:lang w:eastAsia="en-GB"/>
        </w:rPr>
        <w:t>Centre for Education Policy and Equalising Opportunities. Briefing Note: School Absences and Pupil Achievement; 2021. Available from: https://repec-cepeo.ucl.ac.uk/cepeob/cepeobn1.pdf.</w:t>
      </w:r>
      <w:bookmarkEnd w:id="22"/>
      <w:r w:rsidRPr="005306B4">
        <w:rPr>
          <w:rFonts w:eastAsia="Times New Roman" w:cstheme="minorHAnsi"/>
          <w:color w:val="000000" w:themeColor="text1"/>
          <w:lang w:eastAsia="en-GB"/>
        </w:rPr>
        <w:t xml:space="preserve"> </w:t>
      </w:r>
    </w:p>
    <w:p w14:paraId="61FB7782" w14:textId="6AE50CA2" w:rsidR="005306B4" w:rsidRPr="008D54BF" w:rsidRDefault="005306B4" w:rsidP="005306B4">
      <w:pPr>
        <w:numPr>
          <w:ilvl w:val="0"/>
          <w:numId w:val="12"/>
        </w:numPr>
        <w:spacing w:before="100" w:beforeAutospacing="1" w:after="100" w:afterAutospacing="1"/>
        <w:rPr>
          <w:rFonts w:eastAsia="Times New Roman" w:cstheme="minorHAnsi"/>
          <w:color w:val="000000" w:themeColor="text1"/>
          <w:lang w:eastAsia="en-GB"/>
        </w:rPr>
      </w:pPr>
      <w:bookmarkStart w:id="23" w:name="_Ref77709044"/>
      <w:r w:rsidRPr="005306B4">
        <w:rPr>
          <w:rFonts w:eastAsia="Times New Roman" w:cstheme="minorHAnsi"/>
          <w:color w:val="000000" w:themeColor="text1"/>
          <w:lang w:eastAsia="en-GB"/>
        </w:rPr>
        <w:t>Education Endowment Fund. School Closures Rapid Evidence Assessment; 2020. Available from: https://educationendowmentfoundation.org.uk/evidence-summaries/evidence-reviews/ school-closures-rapid-evidence-assessment</w:t>
      </w:r>
      <w:bookmarkEnd w:id="23"/>
      <w:r w:rsidR="00025002">
        <w:rPr>
          <w:rFonts w:eastAsia="Times New Roman" w:cstheme="minorHAnsi"/>
          <w:color w:val="000000" w:themeColor="text1"/>
          <w:lang w:eastAsia="en-GB"/>
        </w:rPr>
        <w:t>/</w:t>
      </w:r>
      <w:r w:rsidRPr="005306B4">
        <w:rPr>
          <w:rFonts w:eastAsia="Times New Roman" w:cstheme="minorHAnsi"/>
          <w:color w:val="000000" w:themeColor="text1"/>
          <w:lang w:eastAsia="en-GB"/>
        </w:rPr>
        <w:t xml:space="preserve"> </w:t>
      </w:r>
    </w:p>
    <w:p w14:paraId="21C10FF1" w14:textId="108EE313" w:rsidR="00924134" w:rsidRPr="00C750C9" w:rsidRDefault="002039C6" w:rsidP="002039C6">
      <w:pPr>
        <w:pStyle w:val="ListParagraph"/>
        <w:numPr>
          <w:ilvl w:val="0"/>
          <w:numId w:val="12"/>
        </w:numPr>
        <w:rPr>
          <w:rFonts w:eastAsia="Times New Roman" w:cstheme="minorHAnsi"/>
          <w:color w:val="000000" w:themeColor="text1"/>
          <w:lang w:eastAsia="en-GB"/>
        </w:rPr>
      </w:pPr>
      <w:bookmarkStart w:id="24" w:name="_Ref77706039"/>
      <w:bookmarkEnd w:id="20"/>
      <w:r w:rsidRPr="008D54BF">
        <w:rPr>
          <w:rFonts w:eastAsia="Times New Roman" w:cstheme="minorHAnsi"/>
          <w:color w:val="000000" w:themeColor="text1"/>
          <w:shd w:val="clear" w:color="auto" w:fill="FFFFFF"/>
          <w:lang w:eastAsia="en-GB"/>
        </w:rPr>
        <w:t xml:space="preserve">Lee LYW, </w:t>
      </w:r>
      <w:proofErr w:type="spellStart"/>
      <w:r w:rsidRPr="008D54BF">
        <w:rPr>
          <w:rFonts w:eastAsia="Times New Roman" w:cstheme="minorHAnsi"/>
          <w:color w:val="000000" w:themeColor="text1"/>
          <w:shd w:val="clear" w:color="auto" w:fill="FFFFFF"/>
          <w:lang w:eastAsia="en-GB"/>
        </w:rPr>
        <w:t>Rozmanowski</w:t>
      </w:r>
      <w:proofErr w:type="spellEnd"/>
      <w:r w:rsidRPr="008D54BF">
        <w:rPr>
          <w:rFonts w:eastAsia="Times New Roman" w:cstheme="minorHAnsi"/>
          <w:color w:val="000000" w:themeColor="text1"/>
          <w:shd w:val="clear" w:color="auto" w:fill="FFFFFF"/>
          <w:lang w:eastAsia="en-GB"/>
        </w:rPr>
        <w:t xml:space="preserve"> S, Pang M, </w:t>
      </w:r>
      <w:r w:rsidR="00822251">
        <w:rPr>
          <w:rFonts w:eastAsia="Times New Roman" w:cstheme="minorHAnsi"/>
          <w:color w:val="000000" w:themeColor="text1"/>
          <w:shd w:val="clear" w:color="auto" w:fill="FFFFFF"/>
          <w:lang w:eastAsia="en-GB"/>
        </w:rPr>
        <w:t>et al</w:t>
      </w:r>
      <w:r w:rsidRPr="008D54BF">
        <w:rPr>
          <w:rFonts w:eastAsia="Times New Roman" w:cstheme="minorHAnsi"/>
          <w:color w:val="000000" w:themeColor="text1"/>
          <w:shd w:val="clear" w:color="auto" w:fill="FFFFFF"/>
          <w:lang w:eastAsia="en-GB"/>
        </w:rPr>
        <w:t xml:space="preserve">. SARS-CoV-2 infectivity by viral load, S gene variants and demographic factors and the utility of lateral flow devices to prevent transmission. Clin Infect Dis. 2021 May 11:ciab421. </w:t>
      </w:r>
      <w:proofErr w:type="spellStart"/>
      <w:r w:rsidRPr="008D54BF">
        <w:rPr>
          <w:rFonts w:eastAsia="Times New Roman" w:cstheme="minorHAnsi"/>
          <w:color w:val="000000" w:themeColor="text1"/>
          <w:shd w:val="clear" w:color="auto" w:fill="FFFFFF"/>
          <w:lang w:eastAsia="en-GB"/>
        </w:rPr>
        <w:t>doi</w:t>
      </w:r>
      <w:proofErr w:type="spellEnd"/>
      <w:r w:rsidRPr="008D54BF">
        <w:rPr>
          <w:rFonts w:eastAsia="Times New Roman" w:cstheme="minorHAnsi"/>
          <w:color w:val="000000" w:themeColor="text1"/>
          <w:shd w:val="clear" w:color="auto" w:fill="FFFFFF"/>
          <w:lang w:eastAsia="en-GB"/>
        </w:rPr>
        <w:t>: 10.1093/</w:t>
      </w:r>
      <w:proofErr w:type="spellStart"/>
      <w:r w:rsidRPr="008D54BF">
        <w:rPr>
          <w:rFonts w:eastAsia="Times New Roman" w:cstheme="minorHAnsi"/>
          <w:color w:val="000000" w:themeColor="text1"/>
          <w:shd w:val="clear" w:color="auto" w:fill="FFFFFF"/>
          <w:lang w:eastAsia="en-GB"/>
        </w:rPr>
        <w:t>cid</w:t>
      </w:r>
      <w:proofErr w:type="spellEnd"/>
      <w:r w:rsidRPr="008D54BF">
        <w:rPr>
          <w:rFonts w:eastAsia="Times New Roman" w:cstheme="minorHAnsi"/>
          <w:color w:val="000000" w:themeColor="text1"/>
          <w:shd w:val="clear" w:color="auto" w:fill="FFFFFF"/>
          <w:lang w:eastAsia="en-GB"/>
        </w:rPr>
        <w:t xml:space="preserve">/ciab421. </w:t>
      </w:r>
      <w:proofErr w:type="spellStart"/>
      <w:r w:rsidRPr="008D54BF">
        <w:rPr>
          <w:rFonts w:eastAsia="Times New Roman" w:cstheme="minorHAnsi"/>
          <w:color w:val="000000" w:themeColor="text1"/>
          <w:shd w:val="clear" w:color="auto" w:fill="FFFFFF"/>
          <w:lang w:eastAsia="en-GB"/>
        </w:rPr>
        <w:t>Epub</w:t>
      </w:r>
      <w:proofErr w:type="spellEnd"/>
      <w:r w:rsidRPr="008D54BF">
        <w:rPr>
          <w:rFonts w:eastAsia="Times New Roman" w:cstheme="minorHAnsi"/>
          <w:color w:val="000000" w:themeColor="text1"/>
          <w:shd w:val="clear" w:color="auto" w:fill="FFFFFF"/>
          <w:lang w:eastAsia="en-GB"/>
        </w:rPr>
        <w:t xml:space="preserve"> ahead of print. PMID: 33972994; PMCID: PMC8136027.</w:t>
      </w:r>
      <w:bookmarkEnd w:id="24"/>
    </w:p>
    <w:p w14:paraId="1484EC84" w14:textId="73A28BBC" w:rsidR="00591DB1" w:rsidRPr="0028054A" w:rsidRDefault="00591DB1" w:rsidP="002039C6">
      <w:pPr>
        <w:pStyle w:val="ListParagraph"/>
        <w:numPr>
          <w:ilvl w:val="0"/>
          <w:numId w:val="12"/>
        </w:numPr>
        <w:rPr>
          <w:rFonts w:eastAsia="Times New Roman" w:cstheme="minorHAnsi"/>
          <w:color w:val="000000" w:themeColor="text1"/>
          <w:lang w:eastAsia="en-GB"/>
        </w:rPr>
      </w:pPr>
      <w:bookmarkStart w:id="25" w:name="_Ref78199290"/>
      <w:r w:rsidRPr="00591DB1">
        <w:rPr>
          <w:rFonts w:eastAsia="Times New Roman" w:cstheme="minorHAnsi"/>
          <w:color w:val="000000" w:themeColor="text1"/>
          <w:lang w:eastAsia="en-GB"/>
        </w:rPr>
        <w:t xml:space="preserve">Ismail SA, </w:t>
      </w:r>
      <w:proofErr w:type="spellStart"/>
      <w:r w:rsidRPr="00591DB1">
        <w:rPr>
          <w:rFonts w:eastAsia="Times New Roman" w:cstheme="minorHAnsi"/>
          <w:color w:val="000000" w:themeColor="text1"/>
          <w:lang w:eastAsia="en-GB"/>
        </w:rPr>
        <w:t>Saliba</w:t>
      </w:r>
      <w:proofErr w:type="spellEnd"/>
      <w:r w:rsidRPr="00591DB1">
        <w:rPr>
          <w:rFonts w:eastAsia="Times New Roman" w:cstheme="minorHAnsi"/>
          <w:color w:val="000000" w:themeColor="text1"/>
          <w:lang w:eastAsia="en-GB"/>
        </w:rPr>
        <w:t xml:space="preserve"> V, Lopez Bernal J, Ramsay ME, </w:t>
      </w:r>
      <w:proofErr w:type="spellStart"/>
      <w:r w:rsidRPr="00591DB1">
        <w:rPr>
          <w:rFonts w:eastAsia="Times New Roman" w:cstheme="minorHAnsi"/>
          <w:color w:val="000000" w:themeColor="text1"/>
          <w:lang w:eastAsia="en-GB"/>
        </w:rPr>
        <w:t>Ladhani</w:t>
      </w:r>
      <w:proofErr w:type="spellEnd"/>
      <w:r w:rsidRPr="00591DB1">
        <w:rPr>
          <w:rFonts w:eastAsia="Times New Roman" w:cstheme="minorHAnsi"/>
          <w:color w:val="000000" w:themeColor="text1"/>
          <w:lang w:eastAsia="en-GB"/>
        </w:rPr>
        <w:t xml:space="preserve"> SN. SARS-CoV-2 infection and transmission in educational settings: a prospective, cross-sectional analysis of infection clusters and outbreaks in England. Lancet Infect Dis. 2021 Mar;21(3):344-353. </w:t>
      </w:r>
      <w:proofErr w:type="spellStart"/>
      <w:r w:rsidRPr="00591DB1">
        <w:rPr>
          <w:rFonts w:eastAsia="Times New Roman" w:cstheme="minorHAnsi"/>
          <w:color w:val="000000" w:themeColor="text1"/>
          <w:lang w:eastAsia="en-GB"/>
        </w:rPr>
        <w:t>doi</w:t>
      </w:r>
      <w:proofErr w:type="spellEnd"/>
      <w:r w:rsidRPr="00591DB1">
        <w:rPr>
          <w:rFonts w:eastAsia="Times New Roman" w:cstheme="minorHAnsi"/>
          <w:color w:val="000000" w:themeColor="text1"/>
          <w:lang w:eastAsia="en-GB"/>
        </w:rPr>
        <w:t>: 10.1016/S1473-3099(20)30882-3</w:t>
      </w:r>
      <w:r>
        <w:rPr>
          <w:rFonts w:eastAsia="Times New Roman" w:cstheme="minorHAnsi"/>
          <w:color w:val="000000" w:themeColor="text1"/>
          <w:lang w:eastAsia="en-GB"/>
        </w:rPr>
        <w:t>.</w:t>
      </w:r>
      <w:bookmarkEnd w:id="25"/>
    </w:p>
    <w:p w14:paraId="52861615" w14:textId="40953F23" w:rsidR="0028054A" w:rsidRPr="00C750C9" w:rsidRDefault="0028054A" w:rsidP="002039C6">
      <w:pPr>
        <w:pStyle w:val="ListParagraph"/>
        <w:numPr>
          <w:ilvl w:val="0"/>
          <w:numId w:val="12"/>
        </w:numPr>
        <w:rPr>
          <w:rFonts w:eastAsia="Times New Roman" w:cstheme="minorHAnsi"/>
          <w:color w:val="000000" w:themeColor="text1"/>
          <w:lang w:eastAsia="en-GB"/>
        </w:rPr>
      </w:pPr>
      <w:bookmarkStart w:id="26" w:name="_Ref78198906"/>
      <w:proofErr w:type="spellStart"/>
      <w:r>
        <w:rPr>
          <w:rFonts w:eastAsia="Times New Roman" w:cstheme="minorHAnsi"/>
          <w:color w:val="000000" w:themeColor="text1"/>
          <w:lang w:eastAsia="en-GB"/>
        </w:rPr>
        <w:t>Denford</w:t>
      </w:r>
      <w:proofErr w:type="spellEnd"/>
      <w:r>
        <w:rPr>
          <w:rFonts w:eastAsia="Times New Roman" w:cstheme="minorHAnsi"/>
          <w:color w:val="000000" w:themeColor="text1"/>
          <w:lang w:eastAsia="en-GB"/>
        </w:rPr>
        <w:t xml:space="preserve"> S, Yardley L. </w:t>
      </w:r>
      <w:r w:rsidRPr="0028054A">
        <w:rPr>
          <w:rFonts w:eastAsia="Times New Roman" w:cstheme="minorHAnsi"/>
          <w:color w:val="000000" w:themeColor="text1"/>
          <w:lang w:eastAsia="en-GB"/>
        </w:rPr>
        <w:t xml:space="preserve">Feasibility and acceptability of daily testing at school as an alternative to self-isolation following close contact with a confirmed cases of COVID19: A qualitative process analysis </w:t>
      </w:r>
      <w:r>
        <w:rPr>
          <w:rFonts w:eastAsia="Times New Roman" w:cstheme="minorHAnsi"/>
          <w:color w:val="000000" w:themeColor="text1"/>
          <w:lang w:eastAsia="en-GB"/>
        </w:rPr>
        <w:t xml:space="preserve">(pre-print) Available from: </w:t>
      </w:r>
      <w:r w:rsidRPr="0028054A">
        <w:rPr>
          <w:rFonts w:eastAsia="Times New Roman" w:cstheme="minorHAnsi"/>
          <w:color w:val="000000" w:themeColor="text1"/>
          <w:lang w:eastAsia="en-GB"/>
        </w:rPr>
        <w:t>http://www.hprubse.nihr.ac.uk/EasysiteWeb/getresource.axd?AssetID=90034&amp;servicetype=Attachment</w:t>
      </w:r>
      <w:bookmarkEnd w:id="26"/>
    </w:p>
    <w:p w14:paraId="616BCC08" w14:textId="1FD5DB23" w:rsidR="00C750C9" w:rsidRDefault="00221EC8" w:rsidP="002039C6">
      <w:pPr>
        <w:pStyle w:val="ListParagraph"/>
        <w:numPr>
          <w:ilvl w:val="0"/>
          <w:numId w:val="12"/>
        </w:numPr>
        <w:rPr>
          <w:rFonts w:eastAsia="Times New Roman" w:cstheme="minorHAnsi"/>
          <w:color w:val="000000" w:themeColor="text1"/>
          <w:lang w:eastAsia="en-GB"/>
        </w:rPr>
      </w:pPr>
      <w:bookmarkStart w:id="27" w:name="_Ref77775308"/>
      <w:r>
        <w:rPr>
          <w:rFonts w:eastAsia="Times New Roman" w:cstheme="minorHAnsi"/>
          <w:color w:val="000000" w:themeColor="text1"/>
          <w:lang w:eastAsia="en-GB"/>
        </w:rPr>
        <w:t xml:space="preserve">Department for Education. Schools COVID-19 operational guidance. Available at: </w:t>
      </w:r>
      <w:hyperlink r:id="rId9" w:history="1">
        <w:r w:rsidRPr="0059625C">
          <w:rPr>
            <w:rStyle w:val="Hyperlink"/>
            <w:rFonts w:eastAsia="Times New Roman" w:cstheme="minorHAnsi"/>
            <w:lang w:eastAsia="en-GB"/>
          </w:rPr>
          <w:t>https://www.gov.uk/government/publications/actions-for-schools-during-the-coronavirus-outbreak/schools-covid-19-operational-guidance</w:t>
        </w:r>
      </w:hyperlink>
      <w:bookmarkEnd w:id="27"/>
    </w:p>
    <w:p w14:paraId="1BFA9C0D" w14:textId="00CE5571" w:rsidR="00221EC8" w:rsidRDefault="00221EC8" w:rsidP="002039C6">
      <w:pPr>
        <w:pStyle w:val="ListParagraph"/>
        <w:numPr>
          <w:ilvl w:val="0"/>
          <w:numId w:val="12"/>
        </w:numPr>
        <w:rPr>
          <w:rFonts w:eastAsia="Times New Roman" w:cstheme="minorHAnsi"/>
          <w:color w:val="000000" w:themeColor="text1"/>
          <w:lang w:eastAsia="en-GB"/>
        </w:rPr>
      </w:pPr>
      <w:bookmarkStart w:id="28" w:name="_Ref77775552"/>
      <w:r>
        <w:rPr>
          <w:rFonts w:eastAsia="Times New Roman" w:cstheme="minorHAnsi"/>
          <w:color w:val="000000" w:themeColor="text1"/>
          <w:lang w:eastAsia="en-GB"/>
        </w:rPr>
        <w:t xml:space="preserve">Public Health England. Guidance for contacts of people with confirmed coronavirus (COVID-19) infection who do not live with the person. Available at: </w:t>
      </w:r>
      <w:hyperlink r:id="rId10" w:history="1">
        <w:r w:rsidR="00844B1C" w:rsidRPr="0059625C">
          <w:rPr>
            <w:rStyle w:val="Hyperlink"/>
            <w:rFonts w:eastAsia="Times New Roman" w:cstheme="minorHAnsi"/>
            <w:lang w:eastAsia="en-GB"/>
          </w:rPr>
          <w:t>https://www.gov.uk/government/publications/guidance-for-contacts-of-people-with-possible-or-confirmed-coronavirus-covid-19-infection-who-do-not-live-with-the-person/guidance-for-contacts-of-people-with-possible-or-confirmed-coronavirus-covid-19-infection-who-do-not-live-with-the-person</w:t>
        </w:r>
      </w:hyperlink>
      <w:bookmarkEnd w:id="28"/>
    </w:p>
    <w:p w14:paraId="67AE6D99" w14:textId="31F2A079" w:rsidR="00844B1C" w:rsidRPr="008D54BF" w:rsidRDefault="00844B1C" w:rsidP="002039C6">
      <w:pPr>
        <w:pStyle w:val="ListParagraph"/>
        <w:numPr>
          <w:ilvl w:val="0"/>
          <w:numId w:val="12"/>
        </w:numPr>
        <w:rPr>
          <w:rFonts w:eastAsia="Times New Roman" w:cstheme="minorHAnsi"/>
          <w:color w:val="000000" w:themeColor="text1"/>
          <w:lang w:eastAsia="en-GB"/>
        </w:rPr>
      </w:pPr>
      <w:bookmarkStart w:id="29" w:name="_Ref77775647"/>
      <w:r>
        <w:rPr>
          <w:rFonts w:eastAsia="Times New Roman" w:cstheme="minorHAnsi"/>
          <w:color w:val="000000" w:themeColor="text1"/>
          <w:lang w:eastAsia="en-GB"/>
        </w:rPr>
        <w:t xml:space="preserve">Department of Health and Social Care. Lateral flow device performance data. 7 July 2021. Available at: </w:t>
      </w:r>
      <w:r w:rsidRPr="008D7F1E">
        <w:t>https://www.gov.uk/government/publications/lateral-flow-device-performance-data</w:t>
      </w:r>
      <w:bookmarkEnd w:id="29"/>
    </w:p>
    <w:p w14:paraId="4B98C36E" w14:textId="77777777" w:rsidR="002F769A" w:rsidRPr="001E1D04" w:rsidRDefault="002F769A" w:rsidP="002F769A">
      <w:pPr>
        <w:pStyle w:val="ListParagraph"/>
        <w:numPr>
          <w:ilvl w:val="0"/>
          <w:numId w:val="12"/>
        </w:numPr>
      </w:pPr>
      <w:bookmarkStart w:id="30" w:name="_Ref77871256"/>
      <w:bookmarkStart w:id="31" w:name="_Ref77709584"/>
      <w:r>
        <w:t xml:space="preserve">PHE, SARS-CoV-2 variants of concern and variants under investigation in England, Technical briefing 18, 9 July 2021. Available from: </w:t>
      </w:r>
      <w:r w:rsidRPr="00F43739">
        <w:t>https://assets.publishing.service.gov.uk/government/uploads/system/uploads/attachment_data/file/1001358/Variants_of_Concern_VOC_Technical_Briefing_18.pdf</w:t>
      </w:r>
      <w:bookmarkEnd w:id="30"/>
    </w:p>
    <w:p w14:paraId="784FA707" w14:textId="354823D2" w:rsidR="006B13D5" w:rsidRPr="00F43739" w:rsidRDefault="00924134" w:rsidP="00924134">
      <w:pPr>
        <w:pStyle w:val="ListParagraph"/>
        <w:numPr>
          <w:ilvl w:val="0"/>
          <w:numId w:val="12"/>
        </w:numPr>
        <w:rPr>
          <w:rStyle w:val="Hyperlink"/>
          <w:color w:val="auto"/>
          <w:u w:val="none"/>
        </w:rPr>
      </w:pPr>
      <w:bookmarkStart w:id="32" w:name="_Ref77839371"/>
      <w:r w:rsidRPr="008D54BF">
        <w:rPr>
          <w:rFonts w:cstheme="minorHAnsi"/>
          <w:color w:val="000000" w:themeColor="text1"/>
        </w:rPr>
        <w:t>Office for National Statistics</w:t>
      </w:r>
      <w:r w:rsidR="00844B1C">
        <w:rPr>
          <w:rFonts w:cstheme="minorHAnsi"/>
          <w:color w:val="000000" w:themeColor="text1"/>
        </w:rPr>
        <w:t>.</w:t>
      </w:r>
      <w:r w:rsidRPr="008D54BF">
        <w:rPr>
          <w:rFonts w:cstheme="minorHAnsi"/>
          <w:color w:val="000000" w:themeColor="text1"/>
        </w:rPr>
        <w:t xml:space="preserve"> </w:t>
      </w:r>
      <w:hyperlink r:id="rId11" w:history="1">
        <w:r w:rsidRPr="008D54BF">
          <w:rPr>
            <w:rStyle w:val="Hyperlink"/>
            <w:rFonts w:cstheme="minorHAnsi"/>
            <w:color w:val="000000" w:themeColor="text1"/>
            <w:u w:val="none"/>
          </w:rPr>
          <w:t>COVID-19 Schools Infection Survey Round 4, England: March 2021</w:t>
        </w:r>
      </w:hyperlink>
      <w:r w:rsidRPr="008D54BF">
        <w:rPr>
          <w:rFonts w:cstheme="minorHAnsi"/>
          <w:color w:val="000000" w:themeColor="text1"/>
        </w:rPr>
        <w:t xml:space="preserve">. </w:t>
      </w:r>
      <w:r w:rsidR="00CE4BFE" w:rsidRPr="008D54BF">
        <w:rPr>
          <w:rFonts w:cstheme="minorHAnsi"/>
          <w:color w:val="000000" w:themeColor="text1"/>
        </w:rPr>
        <w:t>Available from:</w:t>
      </w:r>
      <w:r w:rsidRPr="008D54BF">
        <w:rPr>
          <w:rFonts w:cstheme="minorHAnsi"/>
          <w:color w:val="000000" w:themeColor="text1"/>
        </w:rPr>
        <w:t xml:space="preserve"> </w:t>
      </w:r>
      <w:hyperlink r:id="rId12" w:history="1">
        <w:r w:rsidR="001E1D04" w:rsidRPr="008D54BF">
          <w:rPr>
            <w:rStyle w:val="Hyperlink"/>
            <w:rFonts w:cstheme="minorHAnsi"/>
          </w:rPr>
          <w:t>https://www.ons.gov.uk/peoplepopulationandcommunity/healthandsocialcare/conditionsanddiseases/bulletins/covid19schoolsinfectionsurveyround4england/march2021</w:t>
        </w:r>
      </w:hyperlink>
      <w:bookmarkEnd w:id="31"/>
      <w:bookmarkEnd w:id="32"/>
    </w:p>
    <w:p w14:paraId="2290FA0B" w14:textId="0FAA7417" w:rsidR="001E1D04" w:rsidRPr="008D54BF" w:rsidRDefault="001E1D04" w:rsidP="001E1D04">
      <w:pPr>
        <w:pStyle w:val="ListParagraph"/>
        <w:numPr>
          <w:ilvl w:val="0"/>
          <w:numId w:val="12"/>
        </w:numPr>
        <w:rPr>
          <w:rFonts w:eastAsia="Times New Roman" w:cstheme="minorHAnsi"/>
          <w:lang w:eastAsia="en-GB"/>
        </w:rPr>
      </w:pPr>
      <w:bookmarkStart w:id="33" w:name="_Ref77709764"/>
      <w:proofErr w:type="spellStart"/>
      <w:r w:rsidRPr="008D54BF">
        <w:rPr>
          <w:rFonts w:eastAsia="Times New Roman" w:cstheme="minorHAnsi"/>
          <w:color w:val="212121"/>
          <w:shd w:val="clear" w:color="auto" w:fill="FFFFFF"/>
          <w:lang w:eastAsia="en-GB"/>
        </w:rPr>
        <w:t>Dinnes</w:t>
      </w:r>
      <w:proofErr w:type="spellEnd"/>
      <w:r w:rsidRPr="008D54BF">
        <w:rPr>
          <w:rFonts w:eastAsia="Times New Roman" w:cstheme="minorHAnsi"/>
          <w:color w:val="212121"/>
          <w:shd w:val="clear" w:color="auto" w:fill="FFFFFF"/>
          <w:lang w:eastAsia="en-GB"/>
        </w:rPr>
        <w:t xml:space="preserve"> J, </w:t>
      </w:r>
      <w:proofErr w:type="spellStart"/>
      <w:r w:rsidRPr="008D54BF">
        <w:rPr>
          <w:rFonts w:eastAsia="Times New Roman" w:cstheme="minorHAnsi"/>
          <w:color w:val="212121"/>
          <w:shd w:val="clear" w:color="auto" w:fill="FFFFFF"/>
          <w:lang w:eastAsia="en-GB"/>
        </w:rPr>
        <w:t>Deeks</w:t>
      </w:r>
      <w:proofErr w:type="spellEnd"/>
      <w:r w:rsidRPr="008D54BF">
        <w:rPr>
          <w:rFonts w:eastAsia="Times New Roman" w:cstheme="minorHAnsi"/>
          <w:color w:val="212121"/>
          <w:shd w:val="clear" w:color="auto" w:fill="FFFFFF"/>
          <w:lang w:eastAsia="en-GB"/>
        </w:rPr>
        <w:t xml:space="preserve"> JJ, Adriano A, </w:t>
      </w:r>
      <w:r w:rsidR="00822251">
        <w:rPr>
          <w:rFonts w:eastAsia="Times New Roman" w:cstheme="minorHAnsi"/>
          <w:color w:val="212121"/>
          <w:shd w:val="clear" w:color="auto" w:fill="FFFFFF"/>
          <w:lang w:eastAsia="en-GB"/>
        </w:rPr>
        <w:t>et al</w:t>
      </w:r>
      <w:r w:rsidRPr="008D54BF">
        <w:rPr>
          <w:rFonts w:eastAsia="Times New Roman" w:cstheme="minorHAnsi"/>
          <w:color w:val="212121"/>
          <w:shd w:val="clear" w:color="auto" w:fill="FFFFFF"/>
          <w:lang w:eastAsia="en-GB"/>
        </w:rPr>
        <w:t xml:space="preserve">. Rapid, point-of-care antigen and molecular-based tests for diagnosis of SARS-CoV-2 infection. Cochrane Database </w:t>
      </w:r>
      <w:proofErr w:type="spellStart"/>
      <w:r w:rsidRPr="008D54BF">
        <w:rPr>
          <w:rFonts w:eastAsia="Times New Roman" w:cstheme="minorHAnsi"/>
          <w:color w:val="212121"/>
          <w:shd w:val="clear" w:color="auto" w:fill="FFFFFF"/>
          <w:lang w:eastAsia="en-GB"/>
        </w:rPr>
        <w:t>Syst</w:t>
      </w:r>
      <w:proofErr w:type="spellEnd"/>
      <w:r w:rsidRPr="008D54BF">
        <w:rPr>
          <w:rFonts w:eastAsia="Times New Roman" w:cstheme="minorHAnsi"/>
          <w:color w:val="212121"/>
          <w:shd w:val="clear" w:color="auto" w:fill="FFFFFF"/>
          <w:lang w:eastAsia="en-GB"/>
        </w:rPr>
        <w:t xml:space="preserve"> Rev. 2020 Aug 26;8(8):CD013705. </w:t>
      </w:r>
      <w:proofErr w:type="spellStart"/>
      <w:r w:rsidRPr="008D54BF">
        <w:rPr>
          <w:rFonts w:eastAsia="Times New Roman" w:cstheme="minorHAnsi"/>
          <w:color w:val="212121"/>
          <w:shd w:val="clear" w:color="auto" w:fill="FFFFFF"/>
          <w:lang w:eastAsia="en-GB"/>
        </w:rPr>
        <w:t>doi</w:t>
      </w:r>
      <w:proofErr w:type="spellEnd"/>
      <w:r w:rsidRPr="008D54BF">
        <w:rPr>
          <w:rFonts w:eastAsia="Times New Roman" w:cstheme="minorHAnsi"/>
          <w:color w:val="212121"/>
          <w:shd w:val="clear" w:color="auto" w:fill="FFFFFF"/>
          <w:lang w:eastAsia="en-GB"/>
        </w:rPr>
        <w:t>: 10.1002/14651858.CD013705</w:t>
      </w:r>
      <w:bookmarkEnd w:id="33"/>
    </w:p>
    <w:p w14:paraId="3ADF37A3" w14:textId="77777777" w:rsidR="006D40B7" w:rsidRDefault="008D54BF" w:rsidP="006D40B7">
      <w:pPr>
        <w:pStyle w:val="ListParagraph"/>
        <w:numPr>
          <w:ilvl w:val="0"/>
          <w:numId w:val="12"/>
        </w:numPr>
      </w:pPr>
      <w:bookmarkStart w:id="34" w:name="_Ref77710977"/>
      <w:r w:rsidRPr="008D54BF">
        <w:lastRenderedPageBreak/>
        <w:t xml:space="preserve">Fernandez-Montero A, </w:t>
      </w:r>
      <w:proofErr w:type="spellStart"/>
      <w:r w:rsidRPr="008D54BF">
        <w:t>Argemi</w:t>
      </w:r>
      <w:proofErr w:type="spellEnd"/>
      <w:r w:rsidRPr="008D54BF">
        <w:t xml:space="preserve"> J, Rodríguez JA, </w:t>
      </w:r>
      <w:proofErr w:type="spellStart"/>
      <w:r w:rsidRPr="008D54BF">
        <w:t>Ariño</w:t>
      </w:r>
      <w:proofErr w:type="spellEnd"/>
      <w:r w:rsidRPr="008D54BF">
        <w:t xml:space="preserve"> AH, Moreno-</w:t>
      </w:r>
      <w:proofErr w:type="spellStart"/>
      <w:r w:rsidRPr="008D54BF">
        <w:t>Galarraga</w:t>
      </w:r>
      <w:proofErr w:type="spellEnd"/>
      <w:r w:rsidRPr="008D54BF">
        <w:t xml:space="preserve"> L. Validation of a rapid antigen test as a screening tool for SARS-CoV-2 infection in asymptomatic populations. Sensitivity, specificity and predictive values. </w:t>
      </w:r>
      <w:proofErr w:type="spellStart"/>
      <w:r w:rsidRPr="008D54BF">
        <w:t>EClinicalMedicine</w:t>
      </w:r>
      <w:proofErr w:type="spellEnd"/>
      <w:r w:rsidRPr="008D54BF">
        <w:t xml:space="preserve">. 2021 Jun 9:100954. </w:t>
      </w:r>
      <w:proofErr w:type="spellStart"/>
      <w:r w:rsidRPr="008D54BF">
        <w:t>doi</w:t>
      </w:r>
      <w:proofErr w:type="spellEnd"/>
      <w:r w:rsidRPr="008D54BF">
        <w:t>: 10.1016/j.eclinm.2021.100954</w:t>
      </w:r>
      <w:bookmarkEnd w:id="34"/>
    </w:p>
    <w:p w14:paraId="5991ABAD" w14:textId="00A04B4B" w:rsidR="006D40B7" w:rsidRDefault="006D40B7" w:rsidP="006D40B7">
      <w:pPr>
        <w:pStyle w:val="ListParagraph"/>
        <w:numPr>
          <w:ilvl w:val="0"/>
          <w:numId w:val="12"/>
        </w:numPr>
      </w:pPr>
      <w:bookmarkStart w:id="35" w:name="_Ref77711319"/>
      <w:r w:rsidRPr="006D40B7">
        <w:t xml:space="preserve">Lumley S, </w:t>
      </w:r>
      <w:proofErr w:type="spellStart"/>
      <w:r w:rsidRPr="006D40B7">
        <w:t>Constantinides</w:t>
      </w:r>
      <w:proofErr w:type="spellEnd"/>
      <w:r w:rsidRPr="006D40B7">
        <w:t xml:space="preserve"> B, Sanderson N, et al. Enhancing epidemiological investigation of nosocomial SARS-CoV-2 infection with whole genome sequencing: A retrospective cohort study across four hospitals in the UK. </w:t>
      </w:r>
      <w:proofErr w:type="spellStart"/>
      <w:r w:rsidRPr="006D40B7">
        <w:t>MedRxiv</w:t>
      </w:r>
      <w:proofErr w:type="spellEnd"/>
      <w:r w:rsidRPr="006D40B7">
        <w:t xml:space="preserve"> </w:t>
      </w:r>
      <w:proofErr w:type="spellStart"/>
      <w:r w:rsidRPr="006D40B7">
        <w:t>doi</w:t>
      </w:r>
      <w:proofErr w:type="spellEnd"/>
      <w:r w:rsidRPr="006D40B7">
        <w:t xml:space="preserve">: </w:t>
      </w:r>
      <w:hyperlink r:id="rId13" w:history="1">
        <w:r w:rsidRPr="0059625C">
          <w:rPr>
            <w:rStyle w:val="Hyperlink"/>
          </w:rPr>
          <w:t>https://doi.org/10.1101/2021.06.28.21259028</w:t>
        </w:r>
      </w:hyperlink>
      <w:bookmarkEnd w:id="35"/>
    </w:p>
    <w:p w14:paraId="5355BAD8" w14:textId="1EFE96DF" w:rsidR="006D40B7" w:rsidRDefault="006D40B7" w:rsidP="006D40B7">
      <w:pPr>
        <w:pStyle w:val="ListParagraph"/>
        <w:numPr>
          <w:ilvl w:val="0"/>
          <w:numId w:val="12"/>
        </w:numPr>
      </w:pPr>
      <w:bookmarkStart w:id="36" w:name="_Ref77711493"/>
      <w:r w:rsidRPr="006D40B7">
        <w:t xml:space="preserve">Meredith LW, Hamilton WL, Warne B, </w:t>
      </w:r>
      <w:r w:rsidR="00822251">
        <w:t>et al</w:t>
      </w:r>
      <w:r w:rsidRPr="006D40B7">
        <w:t xml:space="preserve">. Rapid implementation of SARS-CoV-2 sequencing to investigate cases of health-care associated COVID-19: a prospective genomic surveillance study. Lancet Infect Dis. 2020 Nov;20(11):1263-1271. </w:t>
      </w:r>
      <w:proofErr w:type="spellStart"/>
      <w:r w:rsidRPr="006D40B7">
        <w:t>doi</w:t>
      </w:r>
      <w:proofErr w:type="spellEnd"/>
      <w:r w:rsidRPr="006D40B7">
        <w:t>: 10.1016/S1473-3099(20)30562-4</w:t>
      </w:r>
      <w:bookmarkEnd w:id="36"/>
    </w:p>
    <w:p w14:paraId="069827E1" w14:textId="20BFEE54" w:rsidR="006D40B7" w:rsidRDefault="006D40B7" w:rsidP="006D40B7">
      <w:pPr>
        <w:pStyle w:val="ListParagraph"/>
        <w:numPr>
          <w:ilvl w:val="0"/>
          <w:numId w:val="12"/>
        </w:numPr>
      </w:pPr>
      <w:bookmarkStart w:id="37" w:name="_Ref77711496"/>
      <w:r w:rsidRPr="006D40B7">
        <w:t xml:space="preserve">Eyre DW, Sheppard AE, Madder H, </w:t>
      </w:r>
      <w:r w:rsidR="00822251">
        <w:t>et al</w:t>
      </w:r>
      <w:r w:rsidRPr="006D40B7">
        <w:t xml:space="preserve">. A </w:t>
      </w:r>
      <w:r w:rsidRPr="002F769A">
        <w:rPr>
          <w:i/>
        </w:rPr>
        <w:t xml:space="preserve">Candida </w:t>
      </w:r>
      <w:proofErr w:type="spellStart"/>
      <w:r w:rsidRPr="002F769A">
        <w:rPr>
          <w:i/>
        </w:rPr>
        <w:t>auris</w:t>
      </w:r>
      <w:proofErr w:type="spellEnd"/>
      <w:r w:rsidRPr="006D40B7">
        <w:t xml:space="preserve"> Outbreak and Its Control in an Intensive Care Setting. N </w:t>
      </w:r>
      <w:proofErr w:type="spellStart"/>
      <w:r w:rsidRPr="006D40B7">
        <w:t>Engl</w:t>
      </w:r>
      <w:proofErr w:type="spellEnd"/>
      <w:r w:rsidRPr="006D40B7">
        <w:t xml:space="preserve"> J Med. 2018 Oct 4;379(14):1322-1331. </w:t>
      </w:r>
      <w:proofErr w:type="spellStart"/>
      <w:r w:rsidRPr="006D40B7">
        <w:t>doi</w:t>
      </w:r>
      <w:proofErr w:type="spellEnd"/>
      <w:r w:rsidRPr="006D40B7">
        <w:t>: 10.1056/NEJMoa1714373</w:t>
      </w:r>
      <w:bookmarkEnd w:id="37"/>
    </w:p>
    <w:p w14:paraId="6BA53074" w14:textId="0F0CEB74" w:rsidR="006D40B7" w:rsidRPr="00924134" w:rsidRDefault="006D40B7" w:rsidP="006D40B7">
      <w:pPr>
        <w:pStyle w:val="ListParagraph"/>
        <w:numPr>
          <w:ilvl w:val="0"/>
          <w:numId w:val="12"/>
        </w:numPr>
      </w:pPr>
      <w:bookmarkStart w:id="38" w:name="_Ref77711498"/>
      <w:r w:rsidRPr="006D40B7">
        <w:t xml:space="preserve">Price JR, Cole K, Bexley A, </w:t>
      </w:r>
      <w:r w:rsidR="00822251">
        <w:t>et al</w:t>
      </w:r>
      <w:r w:rsidRPr="006D40B7">
        <w:t xml:space="preserve">. Transmission of </w:t>
      </w:r>
      <w:r w:rsidRPr="002F769A">
        <w:rPr>
          <w:i/>
        </w:rPr>
        <w:t>Staphylococcus aureus</w:t>
      </w:r>
      <w:r w:rsidRPr="006D40B7">
        <w:t xml:space="preserve"> between health-care workers, the environment, and patients in an intensive care unit: a longitudinal cohort study based on whole-genome sequencing. Lancet Infect Dis. 2017 Feb;17(2):207-214. </w:t>
      </w:r>
      <w:proofErr w:type="spellStart"/>
      <w:r w:rsidRPr="006D40B7">
        <w:t>doi</w:t>
      </w:r>
      <w:proofErr w:type="spellEnd"/>
      <w:r w:rsidRPr="006D40B7">
        <w:t>: 10.1016/S1473-3099(16)30413-3</w:t>
      </w:r>
      <w:bookmarkEnd w:id="38"/>
    </w:p>
    <w:p w14:paraId="00C8A861" w14:textId="60913399" w:rsidR="00E059A0" w:rsidRDefault="00792B9A" w:rsidP="005E3D7C">
      <w:pPr>
        <w:pStyle w:val="Heading1"/>
      </w:pPr>
      <w:r>
        <w:br w:type="column"/>
      </w:r>
      <w:r w:rsidR="00E059A0">
        <w:lastRenderedPageBreak/>
        <w:t>Tables</w:t>
      </w:r>
    </w:p>
    <w:p w14:paraId="71A7037F" w14:textId="2F3E05B7" w:rsidR="00B6475C" w:rsidRDefault="00B6475C" w:rsidP="00B6475C"/>
    <w:tbl>
      <w:tblPr>
        <w:tblStyle w:val="GridTable4-Accent5"/>
        <w:tblW w:w="0" w:type="auto"/>
        <w:tblLayout w:type="fixed"/>
        <w:tblLook w:val="0420" w:firstRow="1" w:lastRow="0" w:firstColumn="0" w:lastColumn="0" w:noHBand="0" w:noVBand="1"/>
      </w:tblPr>
      <w:tblGrid>
        <w:gridCol w:w="5027"/>
        <w:gridCol w:w="1914"/>
        <w:gridCol w:w="2059"/>
      </w:tblGrid>
      <w:tr w:rsidR="00CD7FCD" w:rsidRPr="00CD7FCD" w14:paraId="16DFF9B5" w14:textId="77777777" w:rsidTr="00CD7FCD">
        <w:trPr>
          <w:cnfStyle w:val="100000000000" w:firstRow="1" w:lastRow="0" w:firstColumn="0" w:lastColumn="0" w:oddVBand="0" w:evenVBand="0" w:oddHBand="0" w:evenHBand="0" w:firstRowFirstColumn="0" w:firstRowLastColumn="0" w:lastRowFirstColumn="0" w:lastRowLastColumn="0"/>
        </w:trPr>
        <w:tc>
          <w:tcPr>
            <w:tcW w:w="5027" w:type="dxa"/>
          </w:tcPr>
          <w:p w14:paraId="701D3DF1" w14:textId="77777777" w:rsidR="00CD7FCD" w:rsidRPr="00CD7FCD" w:rsidRDefault="00CD7FCD" w:rsidP="0051739E">
            <w:pPr>
              <w:spacing w:before="40" w:after="40"/>
              <w:ind w:left="100" w:right="100"/>
              <w:rPr>
                <w:rFonts w:ascii="Calibri" w:hAnsi="Calibri"/>
                <w:sz w:val="20"/>
                <w:szCs w:val="20"/>
              </w:rPr>
            </w:pPr>
            <w:r w:rsidRPr="00CD7FCD">
              <w:rPr>
                <w:rFonts w:ascii="Calibri" w:eastAsia="Calibri" w:hAnsi="Calibri" w:cs="Calibri"/>
                <w:color w:val="000000"/>
                <w:sz w:val="20"/>
                <w:szCs w:val="20"/>
              </w:rPr>
              <w:t>Characteristic</w:t>
            </w:r>
          </w:p>
        </w:tc>
        <w:tc>
          <w:tcPr>
            <w:tcW w:w="1914" w:type="dxa"/>
          </w:tcPr>
          <w:p w14:paraId="2CDE29AF" w14:textId="1B5A65BE" w:rsidR="00CD7FCD" w:rsidRPr="00CD7FCD" w:rsidRDefault="00CD7FCD" w:rsidP="00CD7FCD">
            <w:pPr>
              <w:spacing w:before="40" w:after="40"/>
              <w:ind w:left="100" w:right="100"/>
              <w:jc w:val="right"/>
              <w:rPr>
                <w:rFonts w:ascii="Calibri" w:hAnsi="Calibri"/>
                <w:sz w:val="20"/>
                <w:szCs w:val="20"/>
              </w:rPr>
            </w:pPr>
            <w:r w:rsidRPr="00CD7FCD">
              <w:rPr>
                <w:rFonts w:ascii="Calibri" w:eastAsia="Calibri" w:hAnsi="Calibri" w:cs="Calibri"/>
                <w:color w:val="000000"/>
                <w:sz w:val="20"/>
                <w:szCs w:val="20"/>
              </w:rPr>
              <w:t>Control</w:t>
            </w:r>
            <w:r>
              <w:rPr>
                <w:rFonts w:ascii="Calibri" w:eastAsia="Calibri" w:hAnsi="Calibri" w:cs="Calibri"/>
                <w:color w:val="000000"/>
                <w:sz w:val="20"/>
                <w:szCs w:val="20"/>
              </w:rPr>
              <w:br/>
              <w:t>n</w:t>
            </w:r>
            <w:r w:rsidRPr="00CD7FCD">
              <w:rPr>
                <w:rFonts w:ascii="Calibri" w:eastAsia="Calibri" w:hAnsi="Calibri" w:cs="Calibri"/>
                <w:color w:val="000000"/>
                <w:sz w:val="20"/>
                <w:szCs w:val="20"/>
              </w:rPr>
              <w:t xml:space="preserve"> = 99</w:t>
            </w:r>
            <w:r w:rsidRPr="00CD7FCD">
              <w:rPr>
                <w:rFonts w:ascii="Calibri" w:eastAsia="Calibri" w:hAnsi="Calibri" w:cs="Calibri"/>
                <w:color w:val="000000"/>
                <w:sz w:val="20"/>
                <w:szCs w:val="20"/>
                <w:vertAlign w:val="superscript"/>
              </w:rPr>
              <w:t>1</w:t>
            </w:r>
          </w:p>
        </w:tc>
        <w:tc>
          <w:tcPr>
            <w:tcW w:w="2059" w:type="dxa"/>
          </w:tcPr>
          <w:p w14:paraId="61F1DE09" w14:textId="0AEA0175" w:rsidR="00CD7FCD" w:rsidRPr="00CD7FCD" w:rsidRDefault="00CD7FCD" w:rsidP="00CD7FCD">
            <w:pPr>
              <w:spacing w:before="40" w:after="40"/>
              <w:ind w:left="100" w:right="100"/>
              <w:jc w:val="right"/>
              <w:rPr>
                <w:rFonts w:ascii="Calibri" w:hAnsi="Calibri"/>
                <w:sz w:val="20"/>
                <w:szCs w:val="20"/>
              </w:rPr>
            </w:pPr>
            <w:r w:rsidRPr="00CD7FCD">
              <w:rPr>
                <w:rFonts w:ascii="Calibri" w:eastAsia="Calibri" w:hAnsi="Calibri" w:cs="Calibri"/>
                <w:color w:val="000000"/>
                <w:sz w:val="20"/>
                <w:szCs w:val="20"/>
              </w:rPr>
              <w:t>Intervention</w:t>
            </w:r>
            <w:r>
              <w:rPr>
                <w:rFonts w:ascii="Calibri" w:eastAsia="Calibri" w:hAnsi="Calibri" w:cs="Calibri"/>
                <w:color w:val="000000"/>
                <w:sz w:val="20"/>
                <w:szCs w:val="20"/>
              </w:rPr>
              <w:br/>
              <w:t>n</w:t>
            </w:r>
            <w:r w:rsidRPr="00CD7FCD">
              <w:rPr>
                <w:rFonts w:ascii="Calibri" w:eastAsia="Calibri" w:hAnsi="Calibri" w:cs="Calibri"/>
                <w:color w:val="000000"/>
                <w:sz w:val="20"/>
                <w:szCs w:val="20"/>
              </w:rPr>
              <w:t xml:space="preserve"> = 102</w:t>
            </w:r>
            <w:r w:rsidRPr="00CD7FCD">
              <w:rPr>
                <w:rFonts w:ascii="Calibri" w:eastAsia="Calibri" w:hAnsi="Calibri" w:cs="Calibri"/>
                <w:color w:val="000000"/>
                <w:sz w:val="20"/>
                <w:szCs w:val="20"/>
                <w:vertAlign w:val="superscript"/>
              </w:rPr>
              <w:t>1</w:t>
            </w:r>
          </w:p>
        </w:tc>
      </w:tr>
      <w:tr w:rsidR="00CD7FCD" w:rsidRPr="00CD7FCD" w14:paraId="723CC824"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297B4097" w14:textId="77777777" w:rsidR="00CD7FCD" w:rsidRPr="00CD7FCD" w:rsidRDefault="00CD7FCD" w:rsidP="0051739E">
            <w:pPr>
              <w:spacing w:before="20" w:after="20"/>
              <w:ind w:left="100" w:right="100"/>
              <w:rPr>
                <w:rFonts w:ascii="Calibri" w:hAnsi="Calibri"/>
                <w:sz w:val="20"/>
                <w:szCs w:val="20"/>
              </w:rPr>
            </w:pPr>
            <w:r w:rsidRPr="00CD7FCD">
              <w:rPr>
                <w:rFonts w:ascii="Calibri" w:eastAsia="Calibri" w:hAnsi="Calibri" w:cs="Calibri"/>
                <w:color w:val="000000"/>
                <w:sz w:val="20"/>
                <w:szCs w:val="20"/>
              </w:rPr>
              <w:t>Strata</w:t>
            </w:r>
          </w:p>
        </w:tc>
        <w:tc>
          <w:tcPr>
            <w:tcW w:w="1914" w:type="dxa"/>
          </w:tcPr>
          <w:p w14:paraId="78699E4B" w14:textId="77777777" w:rsidR="00CD7FCD" w:rsidRPr="00CD7FCD" w:rsidRDefault="00CD7FCD" w:rsidP="00CD7FCD">
            <w:pPr>
              <w:spacing w:before="20" w:after="20"/>
              <w:ind w:left="100" w:right="100"/>
              <w:jc w:val="right"/>
              <w:rPr>
                <w:rFonts w:ascii="Calibri" w:hAnsi="Calibri"/>
                <w:sz w:val="20"/>
                <w:szCs w:val="20"/>
              </w:rPr>
            </w:pPr>
          </w:p>
        </w:tc>
        <w:tc>
          <w:tcPr>
            <w:tcW w:w="2059" w:type="dxa"/>
          </w:tcPr>
          <w:p w14:paraId="06EAA15B" w14:textId="77777777" w:rsidR="00CD7FCD" w:rsidRPr="00CD7FCD" w:rsidRDefault="00CD7FCD" w:rsidP="00CD7FCD">
            <w:pPr>
              <w:spacing w:before="20" w:after="20"/>
              <w:ind w:left="100" w:right="100"/>
              <w:jc w:val="right"/>
              <w:rPr>
                <w:rFonts w:ascii="Calibri" w:hAnsi="Calibri"/>
                <w:sz w:val="20"/>
                <w:szCs w:val="20"/>
              </w:rPr>
            </w:pPr>
          </w:p>
        </w:tc>
      </w:tr>
      <w:tr w:rsidR="00CD7FCD" w:rsidRPr="00CD7FCD" w14:paraId="57C61463" w14:textId="77777777" w:rsidTr="00CD7FCD">
        <w:tc>
          <w:tcPr>
            <w:tcW w:w="5027" w:type="dxa"/>
          </w:tcPr>
          <w:p w14:paraId="20D7141A"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Government-funded, 11-18y, free school meals ≤17%</w:t>
            </w:r>
          </w:p>
        </w:tc>
        <w:tc>
          <w:tcPr>
            <w:tcW w:w="1914" w:type="dxa"/>
          </w:tcPr>
          <w:p w14:paraId="762AE935"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32 (32%)</w:t>
            </w:r>
          </w:p>
        </w:tc>
        <w:tc>
          <w:tcPr>
            <w:tcW w:w="2059" w:type="dxa"/>
          </w:tcPr>
          <w:p w14:paraId="67418632"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34 (33%)</w:t>
            </w:r>
          </w:p>
        </w:tc>
      </w:tr>
      <w:tr w:rsidR="00CD7FCD" w:rsidRPr="00CD7FCD" w14:paraId="46AB235C"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65090D34"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Government-funded, 11-16y, free school meals ≤17%</w:t>
            </w:r>
          </w:p>
        </w:tc>
        <w:tc>
          <w:tcPr>
            <w:tcW w:w="1914" w:type="dxa"/>
          </w:tcPr>
          <w:p w14:paraId="274C6BAB"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8 (8.1%)</w:t>
            </w:r>
          </w:p>
        </w:tc>
        <w:tc>
          <w:tcPr>
            <w:tcW w:w="2059" w:type="dxa"/>
          </w:tcPr>
          <w:p w14:paraId="39CB488D"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8 (7.8%)</w:t>
            </w:r>
          </w:p>
        </w:tc>
      </w:tr>
      <w:tr w:rsidR="00CD7FCD" w:rsidRPr="00CD7FCD" w14:paraId="31AABC3D" w14:textId="77777777" w:rsidTr="00CD7FCD">
        <w:tc>
          <w:tcPr>
            <w:tcW w:w="5027" w:type="dxa"/>
          </w:tcPr>
          <w:p w14:paraId="2E786DF8"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Government-funded, 11-18y, free school meals &gt;17%</w:t>
            </w:r>
          </w:p>
        </w:tc>
        <w:tc>
          <w:tcPr>
            <w:tcW w:w="1914" w:type="dxa"/>
          </w:tcPr>
          <w:p w14:paraId="5D1F8BFF"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22 (22%)</w:t>
            </w:r>
          </w:p>
        </w:tc>
        <w:tc>
          <w:tcPr>
            <w:tcW w:w="2059" w:type="dxa"/>
          </w:tcPr>
          <w:p w14:paraId="1E4AABBA"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24 (24%)</w:t>
            </w:r>
          </w:p>
        </w:tc>
      </w:tr>
      <w:tr w:rsidR="00CD7FCD" w:rsidRPr="00CD7FCD" w14:paraId="4747C88D"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7E043670"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Government-funded, 11-16y, free school meals &gt;17%</w:t>
            </w:r>
          </w:p>
        </w:tc>
        <w:tc>
          <w:tcPr>
            <w:tcW w:w="1914" w:type="dxa"/>
          </w:tcPr>
          <w:p w14:paraId="02A9756E"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19 (19%)</w:t>
            </w:r>
          </w:p>
        </w:tc>
        <w:tc>
          <w:tcPr>
            <w:tcW w:w="2059" w:type="dxa"/>
          </w:tcPr>
          <w:p w14:paraId="3A0AB17D"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18 (18%)</w:t>
            </w:r>
          </w:p>
        </w:tc>
      </w:tr>
      <w:tr w:rsidR="00CD7FCD" w:rsidRPr="00CD7FCD" w14:paraId="390F63A2" w14:textId="77777777" w:rsidTr="00CD7FCD">
        <w:tc>
          <w:tcPr>
            <w:tcW w:w="5027" w:type="dxa"/>
          </w:tcPr>
          <w:p w14:paraId="27E5A649"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Any residential school</w:t>
            </w:r>
          </w:p>
        </w:tc>
        <w:tc>
          <w:tcPr>
            <w:tcW w:w="1914" w:type="dxa"/>
          </w:tcPr>
          <w:p w14:paraId="302908ED"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5 (5.1%)</w:t>
            </w:r>
          </w:p>
        </w:tc>
        <w:tc>
          <w:tcPr>
            <w:tcW w:w="2059" w:type="dxa"/>
          </w:tcPr>
          <w:p w14:paraId="31482DBC"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6 (5.9%)</w:t>
            </w:r>
          </w:p>
        </w:tc>
      </w:tr>
      <w:tr w:rsidR="00CD7FCD" w:rsidRPr="00CD7FCD" w14:paraId="30BA896A"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1E6E0BA1" w14:textId="335C2F49"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 xml:space="preserve">Special </w:t>
            </w:r>
            <w:r w:rsidR="0076041C">
              <w:rPr>
                <w:rFonts w:ascii="Calibri" w:eastAsia="Calibri" w:hAnsi="Calibri" w:cs="Calibri"/>
                <w:color w:val="000000"/>
                <w:sz w:val="20"/>
                <w:szCs w:val="20"/>
              </w:rPr>
              <w:t>needs or alternate provision</w:t>
            </w:r>
          </w:p>
        </w:tc>
        <w:tc>
          <w:tcPr>
            <w:tcW w:w="1914" w:type="dxa"/>
          </w:tcPr>
          <w:p w14:paraId="7EC0E7CA"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5 (5.1%)</w:t>
            </w:r>
          </w:p>
        </w:tc>
        <w:tc>
          <w:tcPr>
            <w:tcW w:w="2059" w:type="dxa"/>
          </w:tcPr>
          <w:p w14:paraId="49893B73"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5 (4.9%)</w:t>
            </w:r>
          </w:p>
        </w:tc>
      </w:tr>
      <w:tr w:rsidR="00CD7FCD" w:rsidRPr="00CD7FCD" w14:paraId="4EEEDD2D" w14:textId="77777777" w:rsidTr="00CD7FCD">
        <w:tc>
          <w:tcPr>
            <w:tcW w:w="5027" w:type="dxa"/>
          </w:tcPr>
          <w:p w14:paraId="7F366ACA"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Further education college, 16-18y</w:t>
            </w:r>
          </w:p>
        </w:tc>
        <w:tc>
          <w:tcPr>
            <w:tcW w:w="1914" w:type="dxa"/>
          </w:tcPr>
          <w:p w14:paraId="65ABCBEE"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 (3.0%)</w:t>
            </w:r>
          </w:p>
        </w:tc>
        <w:tc>
          <w:tcPr>
            <w:tcW w:w="2059" w:type="dxa"/>
          </w:tcPr>
          <w:p w14:paraId="0ABB4FBE"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 (2.0%)</w:t>
            </w:r>
          </w:p>
        </w:tc>
      </w:tr>
      <w:tr w:rsidR="00CD7FCD" w:rsidRPr="00CD7FCD" w14:paraId="0FCB31C3"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3CA7E72E"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Independent day school ≥500 pupils</w:t>
            </w:r>
          </w:p>
        </w:tc>
        <w:tc>
          <w:tcPr>
            <w:tcW w:w="1914" w:type="dxa"/>
          </w:tcPr>
          <w:p w14:paraId="105CB5C4"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 (3.0%)</w:t>
            </w:r>
          </w:p>
        </w:tc>
        <w:tc>
          <w:tcPr>
            <w:tcW w:w="2059" w:type="dxa"/>
          </w:tcPr>
          <w:p w14:paraId="4FB5E2D0"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 (2.9%)</w:t>
            </w:r>
          </w:p>
        </w:tc>
      </w:tr>
      <w:tr w:rsidR="00CD7FCD" w:rsidRPr="00CD7FCD" w14:paraId="5F198BB1" w14:textId="77777777" w:rsidTr="00CD7FCD">
        <w:tc>
          <w:tcPr>
            <w:tcW w:w="5027" w:type="dxa"/>
          </w:tcPr>
          <w:p w14:paraId="0140C469"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Independent day school &lt;500 pupils</w:t>
            </w:r>
          </w:p>
        </w:tc>
        <w:tc>
          <w:tcPr>
            <w:tcW w:w="1914" w:type="dxa"/>
          </w:tcPr>
          <w:p w14:paraId="2CBB96F5"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 (2.0%)</w:t>
            </w:r>
          </w:p>
        </w:tc>
        <w:tc>
          <w:tcPr>
            <w:tcW w:w="2059" w:type="dxa"/>
          </w:tcPr>
          <w:p w14:paraId="339B124B"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 (2.0%)</w:t>
            </w:r>
          </w:p>
        </w:tc>
      </w:tr>
      <w:tr w:rsidR="00CD7FCD" w:rsidRPr="00CD7FCD" w14:paraId="2493B0C2"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7210EF95" w14:textId="77777777" w:rsidR="00CD7FCD" w:rsidRPr="00CD7FCD" w:rsidRDefault="00CD7FCD" w:rsidP="0051739E">
            <w:pPr>
              <w:spacing w:before="20" w:after="20"/>
              <w:ind w:left="100" w:right="100"/>
              <w:rPr>
                <w:rFonts w:ascii="Calibri" w:hAnsi="Calibri"/>
                <w:sz w:val="20"/>
                <w:szCs w:val="20"/>
              </w:rPr>
            </w:pPr>
            <w:r w:rsidRPr="00CD7FCD">
              <w:rPr>
                <w:rFonts w:ascii="Calibri" w:eastAsia="Calibri" w:hAnsi="Calibri" w:cs="Calibri"/>
                <w:color w:val="000000"/>
                <w:sz w:val="20"/>
                <w:szCs w:val="20"/>
              </w:rPr>
              <w:t>Students attending school</w:t>
            </w:r>
          </w:p>
        </w:tc>
        <w:tc>
          <w:tcPr>
            <w:tcW w:w="1914" w:type="dxa"/>
          </w:tcPr>
          <w:p w14:paraId="0EC42D67"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1,014 (529, 1,376)</w:t>
            </w:r>
          </w:p>
        </w:tc>
        <w:tc>
          <w:tcPr>
            <w:tcW w:w="2059" w:type="dxa"/>
          </w:tcPr>
          <w:p w14:paraId="170E8F14"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1,025 (682, 1,359)</w:t>
            </w:r>
          </w:p>
        </w:tc>
      </w:tr>
      <w:tr w:rsidR="00CD7FCD" w:rsidRPr="00CD7FCD" w14:paraId="19A9BC0F" w14:textId="77777777" w:rsidTr="00CD7FCD">
        <w:tc>
          <w:tcPr>
            <w:tcW w:w="5027" w:type="dxa"/>
          </w:tcPr>
          <w:p w14:paraId="50F0C8AF"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Missing data</w:t>
            </w:r>
          </w:p>
        </w:tc>
        <w:tc>
          <w:tcPr>
            <w:tcW w:w="1914" w:type="dxa"/>
          </w:tcPr>
          <w:p w14:paraId="404FC2FB"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3</w:t>
            </w:r>
          </w:p>
        </w:tc>
        <w:tc>
          <w:tcPr>
            <w:tcW w:w="2059" w:type="dxa"/>
          </w:tcPr>
          <w:p w14:paraId="4EF7F61E"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w:t>
            </w:r>
          </w:p>
        </w:tc>
      </w:tr>
      <w:tr w:rsidR="00CD7FCD" w:rsidRPr="00CD7FCD" w14:paraId="21244533" w14:textId="77777777" w:rsidTr="00CD7FCD">
        <w:trPr>
          <w:cnfStyle w:val="000000100000" w:firstRow="0" w:lastRow="0" w:firstColumn="0" w:lastColumn="0" w:oddVBand="0" w:evenVBand="0" w:oddHBand="1" w:evenHBand="0" w:firstRowFirstColumn="0" w:firstRowLastColumn="0" w:lastRowFirstColumn="0" w:lastRowLastColumn="0"/>
        </w:trPr>
        <w:tc>
          <w:tcPr>
            <w:tcW w:w="5027" w:type="dxa"/>
          </w:tcPr>
          <w:p w14:paraId="1FA05927" w14:textId="77777777" w:rsidR="00CD7FCD" w:rsidRPr="00CD7FCD" w:rsidRDefault="00CD7FCD" w:rsidP="0051739E">
            <w:pPr>
              <w:spacing w:before="20" w:after="20"/>
              <w:ind w:left="100" w:right="100"/>
              <w:rPr>
                <w:rFonts w:ascii="Calibri" w:hAnsi="Calibri"/>
                <w:sz w:val="20"/>
                <w:szCs w:val="20"/>
              </w:rPr>
            </w:pPr>
            <w:r w:rsidRPr="00CD7FCD">
              <w:rPr>
                <w:rFonts w:ascii="Calibri" w:eastAsia="Calibri" w:hAnsi="Calibri" w:cs="Calibri"/>
                <w:color w:val="000000"/>
                <w:sz w:val="20"/>
                <w:szCs w:val="20"/>
              </w:rPr>
              <w:t>School staff</w:t>
            </w:r>
          </w:p>
        </w:tc>
        <w:tc>
          <w:tcPr>
            <w:tcW w:w="1914" w:type="dxa"/>
          </w:tcPr>
          <w:p w14:paraId="6588EE81"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142 (91, 189)</w:t>
            </w:r>
          </w:p>
        </w:tc>
        <w:tc>
          <w:tcPr>
            <w:tcW w:w="2059" w:type="dxa"/>
          </w:tcPr>
          <w:p w14:paraId="5132B3B0"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125 (91, 173)</w:t>
            </w:r>
          </w:p>
        </w:tc>
      </w:tr>
      <w:tr w:rsidR="00CD7FCD" w:rsidRPr="00CD7FCD" w14:paraId="706EE4EE" w14:textId="77777777" w:rsidTr="00CD7FCD">
        <w:tc>
          <w:tcPr>
            <w:tcW w:w="5027" w:type="dxa"/>
          </w:tcPr>
          <w:p w14:paraId="077F7C57" w14:textId="77777777" w:rsidR="00CD7FCD" w:rsidRPr="00CD7FCD" w:rsidRDefault="00CD7FCD" w:rsidP="0051739E">
            <w:pPr>
              <w:spacing w:before="20" w:after="20"/>
              <w:ind w:left="300" w:right="100"/>
              <w:rPr>
                <w:rFonts w:ascii="Calibri" w:hAnsi="Calibri"/>
                <w:sz w:val="20"/>
                <w:szCs w:val="20"/>
              </w:rPr>
            </w:pPr>
            <w:r w:rsidRPr="00CD7FCD">
              <w:rPr>
                <w:rFonts w:ascii="Calibri" w:eastAsia="Calibri" w:hAnsi="Calibri" w:cs="Calibri"/>
                <w:color w:val="000000"/>
                <w:sz w:val="20"/>
                <w:szCs w:val="20"/>
              </w:rPr>
              <w:t>Missing data</w:t>
            </w:r>
          </w:p>
        </w:tc>
        <w:tc>
          <w:tcPr>
            <w:tcW w:w="1914" w:type="dxa"/>
          </w:tcPr>
          <w:p w14:paraId="40D1BBAB"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23</w:t>
            </w:r>
          </w:p>
        </w:tc>
        <w:tc>
          <w:tcPr>
            <w:tcW w:w="2059" w:type="dxa"/>
          </w:tcPr>
          <w:p w14:paraId="49197373" w14:textId="77777777" w:rsidR="00CD7FCD" w:rsidRPr="00CD7FCD" w:rsidRDefault="00CD7FCD" w:rsidP="00CD7FCD">
            <w:pPr>
              <w:spacing w:before="20" w:after="20"/>
              <w:ind w:left="100" w:right="100"/>
              <w:jc w:val="right"/>
              <w:rPr>
                <w:rFonts w:ascii="Calibri" w:hAnsi="Calibri"/>
                <w:sz w:val="20"/>
                <w:szCs w:val="20"/>
              </w:rPr>
            </w:pPr>
            <w:r w:rsidRPr="00CD7FCD">
              <w:rPr>
                <w:rFonts w:ascii="Calibri" w:eastAsia="Calibri" w:hAnsi="Calibri" w:cs="Calibri"/>
                <w:color w:val="000000"/>
                <w:sz w:val="20"/>
                <w:szCs w:val="20"/>
              </w:rPr>
              <w:t>17</w:t>
            </w:r>
          </w:p>
        </w:tc>
      </w:tr>
    </w:tbl>
    <w:p w14:paraId="39E814D8" w14:textId="77777777" w:rsidR="00B6475C" w:rsidRDefault="00B6475C" w:rsidP="00B6475C"/>
    <w:p w14:paraId="17747DBC" w14:textId="6AD496F3" w:rsidR="00B6475C" w:rsidRDefault="00B6475C" w:rsidP="00B6475C">
      <w:r w:rsidRPr="00E27BC2">
        <w:rPr>
          <w:b/>
          <w:bCs/>
        </w:rPr>
        <w:t>Table 1. School level baseline characteristics by study arm</w:t>
      </w:r>
      <w:r>
        <w:t xml:space="preserve">. The number of students and staff at each school are based on participant lists provided as part of the study and for students from the UK Government Department for Education </w:t>
      </w:r>
      <w:r w:rsidR="008D3D76">
        <w:t xml:space="preserve">(DfE) </w:t>
      </w:r>
      <w:r>
        <w:t>for schools not actively participating after randomisation.</w:t>
      </w:r>
      <w:r w:rsidR="00CD7FCD">
        <w:t xml:space="preserve"> </w:t>
      </w:r>
      <w:r w:rsidR="00CD7FCD" w:rsidRPr="00CD7FCD">
        <w:rPr>
          <w:vertAlign w:val="superscript"/>
        </w:rPr>
        <w:t>1</w:t>
      </w:r>
      <w:r w:rsidR="00CD7FCD" w:rsidRPr="00CD7FCD">
        <w:t>n (%); Median (IQR)</w:t>
      </w:r>
      <w:r w:rsidR="00CD7FCD">
        <w:t>.</w:t>
      </w:r>
      <w:r w:rsidR="00394846">
        <w:t xml:space="preserve"> </w:t>
      </w:r>
      <w:r w:rsidR="008D3D76">
        <w:t xml:space="preserve">Four schools had missing student </w:t>
      </w:r>
      <w:r w:rsidR="005D57F0">
        <w:t>lists</w:t>
      </w:r>
      <w:r w:rsidR="008D3D76">
        <w:t xml:space="preserve"> as schools stopped participating before this was provided and the school had not submitted student lists to DfE </w:t>
      </w:r>
      <w:r w:rsidR="002D0277">
        <w:t xml:space="preserve">previously. Forty schools had missing staff </w:t>
      </w:r>
      <w:r w:rsidR="005D57F0">
        <w:t>lists</w:t>
      </w:r>
      <w:r w:rsidR="002D0277">
        <w:t xml:space="preserve"> as schools stopped participating </w:t>
      </w:r>
      <w:r w:rsidR="005D57F0">
        <w:t>before this was provided and only student data were available from DfE.</w:t>
      </w:r>
    </w:p>
    <w:p w14:paraId="4AF8C109" w14:textId="77777777" w:rsidR="005E48C2" w:rsidRDefault="00B6475C" w:rsidP="00B6475C">
      <w:r>
        <w:br w:type="column"/>
      </w:r>
    </w:p>
    <w:tbl>
      <w:tblPr>
        <w:tblStyle w:val="GridTable4-Accent5"/>
        <w:tblW w:w="0" w:type="auto"/>
        <w:tblLayout w:type="fixed"/>
        <w:tblLook w:val="0420" w:firstRow="1" w:lastRow="0" w:firstColumn="0" w:lastColumn="0" w:noHBand="0" w:noVBand="1"/>
      </w:tblPr>
      <w:tblGrid>
        <w:gridCol w:w="1622"/>
        <w:gridCol w:w="1732"/>
        <w:gridCol w:w="2044"/>
        <w:gridCol w:w="1645"/>
        <w:gridCol w:w="1957"/>
      </w:tblGrid>
      <w:tr w:rsidR="005E48C2" w:rsidRPr="001D55F9" w14:paraId="3B9D5A5C" w14:textId="77777777" w:rsidTr="005E48C2">
        <w:trPr>
          <w:cnfStyle w:val="100000000000" w:firstRow="1" w:lastRow="0" w:firstColumn="0" w:lastColumn="0" w:oddVBand="0" w:evenVBand="0" w:oddHBand="0" w:evenHBand="0" w:firstRowFirstColumn="0" w:firstRowLastColumn="0" w:lastRowFirstColumn="0" w:lastRowLastColumn="0"/>
        </w:trPr>
        <w:tc>
          <w:tcPr>
            <w:tcW w:w="1622" w:type="dxa"/>
          </w:tcPr>
          <w:p w14:paraId="44125B46" w14:textId="77777777" w:rsidR="005E48C2" w:rsidRPr="001D55F9" w:rsidRDefault="005E48C2" w:rsidP="0051739E">
            <w:pPr>
              <w:spacing w:before="40" w:after="40"/>
              <w:ind w:left="100" w:right="100"/>
              <w:rPr>
                <w:rFonts w:ascii="Calibri" w:hAnsi="Calibri"/>
                <w:sz w:val="20"/>
                <w:szCs w:val="20"/>
              </w:rPr>
            </w:pPr>
          </w:p>
        </w:tc>
        <w:tc>
          <w:tcPr>
            <w:tcW w:w="3776" w:type="dxa"/>
            <w:gridSpan w:val="2"/>
          </w:tcPr>
          <w:p w14:paraId="0F446094" w14:textId="77777777" w:rsidR="005E48C2" w:rsidRPr="001D55F9" w:rsidRDefault="005E48C2" w:rsidP="0051739E">
            <w:pPr>
              <w:spacing w:before="40" w:after="40"/>
              <w:ind w:left="100" w:right="100"/>
              <w:jc w:val="center"/>
              <w:rPr>
                <w:rFonts w:ascii="Calibri" w:hAnsi="Calibri"/>
                <w:sz w:val="20"/>
                <w:szCs w:val="20"/>
              </w:rPr>
            </w:pPr>
            <w:r w:rsidRPr="001D55F9">
              <w:rPr>
                <w:rFonts w:ascii="Calibri" w:eastAsia="Calibri" w:hAnsi="Calibri" w:cs="Calibri"/>
                <w:color w:val="000000"/>
                <w:sz w:val="20"/>
                <w:szCs w:val="20"/>
              </w:rPr>
              <w:t>Students</w:t>
            </w:r>
          </w:p>
        </w:tc>
        <w:tc>
          <w:tcPr>
            <w:tcW w:w="3602" w:type="dxa"/>
            <w:gridSpan w:val="2"/>
          </w:tcPr>
          <w:p w14:paraId="4D39C091" w14:textId="77777777" w:rsidR="005E48C2" w:rsidRPr="001D55F9" w:rsidRDefault="005E48C2" w:rsidP="0051739E">
            <w:pPr>
              <w:spacing w:before="40" w:after="40"/>
              <w:ind w:left="100" w:right="100"/>
              <w:jc w:val="center"/>
              <w:rPr>
                <w:rFonts w:ascii="Calibri" w:hAnsi="Calibri"/>
                <w:sz w:val="20"/>
                <w:szCs w:val="20"/>
              </w:rPr>
            </w:pPr>
            <w:r w:rsidRPr="001D55F9">
              <w:rPr>
                <w:rFonts w:ascii="Calibri" w:eastAsia="Calibri" w:hAnsi="Calibri" w:cs="Calibri"/>
                <w:color w:val="000000"/>
                <w:sz w:val="20"/>
                <w:szCs w:val="20"/>
              </w:rPr>
              <w:t>Staff</w:t>
            </w:r>
          </w:p>
        </w:tc>
      </w:tr>
      <w:tr w:rsidR="000A1F18" w:rsidRPr="001D55F9" w14:paraId="6BC2152E"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1EA0538A" w14:textId="77777777" w:rsidR="005E48C2" w:rsidRPr="001D55F9" w:rsidRDefault="005E48C2" w:rsidP="0051739E">
            <w:pPr>
              <w:spacing w:before="40" w:after="40"/>
              <w:ind w:left="100" w:right="100"/>
              <w:rPr>
                <w:rFonts w:ascii="Calibri" w:hAnsi="Calibri"/>
                <w:sz w:val="20"/>
                <w:szCs w:val="20"/>
              </w:rPr>
            </w:pPr>
            <w:r w:rsidRPr="001D55F9">
              <w:rPr>
                <w:rFonts w:ascii="Calibri" w:eastAsia="Calibri" w:hAnsi="Calibri" w:cs="Calibri"/>
                <w:b/>
                <w:color w:val="000000"/>
                <w:sz w:val="20"/>
                <w:szCs w:val="20"/>
              </w:rPr>
              <w:t>Characteristic</w:t>
            </w:r>
          </w:p>
        </w:tc>
        <w:tc>
          <w:tcPr>
            <w:tcW w:w="1732" w:type="dxa"/>
          </w:tcPr>
          <w:p w14:paraId="43F357F9" w14:textId="77777777" w:rsidR="000A1F18" w:rsidRPr="001D55F9" w:rsidRDefault="005E48C2" w:rsidP="004D1B9A">
            <w:pPr>
              <w:spacing w:before="40" w:after="40"/>
              <w:ind w:left="100" w:right="100"/>
              <w:jc w:val="right"/>
              <w:rPr>
                <w:rFonts w:ascii="Calibri" w:eastAsia="Calibri" w:hAnsi="Calibri" w:cs="Calibri"/>
                <w:b/>
                <w:bCs/>
                <w:color w:val="000000"/>
                <w:sz w:val="20"/>
                <w:szCs w:val="20"/>
              </w:rPr>
            </w:pPr>
            <w:r w:rsidRPr="001D55F9">
              <w:rPr>
                <w:rFonts w:ascii="Calibri" w:eastAsia="Calibri" w:hAnsi="Calibri" w:cs="Calibri"/>
                <w:b/>
                <w:color w:val="000000"/>
                <w:sz w:val="20"/>
                <w:szCs w:val="20"/>
              </w:rPr>
              <w:t xml:space="preserve">Control, </w:t>
            </w:r>
          </w:p>
          <w:p w14:paraId="07B19FFD" w14:textId="3FB2EB02" w:rsidR="005E48C2" w:rsidRPr="001D55F9" w:rsidRDefault="000A1F18" w:rsidP="004D1B9A">
            <w:pPr>
              <w:spacing w:before="40" w:after="40"/>
              <w:ind w:left="100" w:right="100"/>
              <w:jc w:val="right"/>
              <w:rPr>
                <w:rFonts w:ascii="Calibri" w:hAnsi="Calibri"/>
                <w:sz w:val="20"/>
                <w:szCs w:val="20"/>
              </w:rPr>
            </w:pPr>
            <w:r w:rsidRPr="001D55F9">
              <w:rPr>
                <w:rFonts w:ascii="Calibri" w:eastAsia="Calibri" w:hAnsi="Calibri" w:cs="Calibri"/>
                <w:b/>
                <w:color w:val="000000"/>
                <w:sz w:val="20"/>
                <w:szCs w:val="20"/>
              </w:rPr>
              <w:t>n</w:t>
            </w:r>
            <w:r w:rsidR="005E48C2" w:rsidRPr="001D55F9">
              <w:rPr>
                <w:rFonts w:ascii="Calibri" w:eastAsia="Calibri" w:hAnsi="Calibri" w:cs="Calibri"/>
                <w:b/>
                <w:color w:val="000000"/>
                <w:sz w:val="20"/>
                <w:szCs w:val="20"/>
              </w:rPr>
              <w:t xml:space="preserve"> = 102,859</w:t>
            </w:r>
            <w:r w:rsidR="005E48C2" w:rsidRPr="001D55F9">
              <w:rPr>
                <w:rFonts w:ascii="Calibri" w:eastAsia="Calibri" w:hAnsi="Calibri" w:cs="Calibri"/>
                <w:b/>
                <w:color w:val="000000"/>
                <w:sz w:val="20"/>
                <w:szCs w:val="20"/>
                <w:vertAlign w:val="superscript"/>
              </w:rPr>
              <w:t>1</w:t>
            </w:r>
          </w:p>
        </w:tc>
        <w:tc>
          <w:tcPr>
            <w:tcW w:w="2044" w:type="dxa"/>
          </w:tcPr>
          <w:p w14:paraId="7B4435FA" w14:textId="77777777" w:rsidR="000A1F18" w:rsidRPr="001D55F9" w:rsidRDefault="005E48C2" w:rsidP="004D1B9A">
            <w:pPr>
              <w:spacing w:before="40" w:after="40"/>
              <w:ind w:left="100" w:right="100"/>
              <w:jc w:val="right"/>
              <w:rPr>
                <w:rFonts w:ascii="Calibri" w:eastAsia="Calibri" w:hAnsi="Calibri" w:cs="Calibri"/>
                <w:b/>
                <w:bCs/>
                <w:color w:val="000000"/>
                <w:sz w:val="20"/>
                <w:szCs w:val="20"/>
              </w:rPr>
            </w:pPr>
            <w:r w:rsidRPr="001D55F9">
              <w:rPr>
                <w:rFonts w:ascii="Calibri" w:eastAsia="Calibri" w:hAnsi="Calibri" w:cs="Calibri"/>
                <w:b/>
                <w:color w:val="000000"/>
                <w:sz w:val="20"/>
                <w:szCs w:val="20"/>
              </w:rPr>
              <w:t>Intervention</w:t>
            </w:r>
          </w:p>
          <w:p w14:paraId="445371FE" w14:textId="719CD44D" w:rsidR="005E48C2" w:rsidRPr="001D55F9" w:rsidRDefault="000A1F18" w:rsidP="004D1B9A">
            <w:pPr>
              <w:spacing w:before="40" w:after="40"/>
              <w:ind w:left="100" w:right="100"/>
              <w:jc w:val="right"/>
              <w:rPr>
                <w:rFonts w:ascii="Calibri" w:hAnsi="Calibri"/>
                <w:sz w:val="20"/>
                <w:szCs w:val="20"/>
              </w:rPr>
            </w:pPr>
            <w:r w:rsidRPr="001D55F9">
              <w:rPr>
                <w:rFonts w:ascii="Calibri" w:eastAsia="Calibri" w:hAnsi="Calibri" w:cs="Calibri"/>
                <w:b/>
                <w:color w:val="000000"/>
                <w:sz w:val="20"/>
                <w:szCs w:val="20"/>
              </w:rPr>
              <w:t>n</w:t>
            </w:r>
            <w:r w:rsidR="005E48C2" w:rsidRPr="001D55F9">
              <w:rPr>
                <w:rFonts w:ascii="Calibri" w:eastAsia="Calibri" w:hAnsi="Calibri" w:cs="Calibri"/>
                <w:b/>
                <w:color w:val="000000"/>
                <w:sz w:val="20"/>
                <w:szCs w:val="20"/>
              </w:rPr>
              <w:t xml:space="preserve"> = 111,693</w:t>
            </w:r>
            <w:r w:rsidR="005E48C2" w:rsidRPr="001D55F9">
              <w:rPr>
                <w:rFonts w:ascii="Calibri" w:eastAsia="Calibri" w:hAnsi="Calibri" w:cs="Calibri"/>
                <w:b/>
                <w:color w:val="000000"/>
                <w:sz w:val="20"/>
                <w:szCs w:val="20"/>
                <w:vertAlign w:val="superscript"/>
              </w:rPr>
              <w:t>1</w:t>
            </w:r>
          </w:p>
        </w:tc>
        <w:tc>
          <w:tcPr>
            <w:tcW w:w="1645" w:type="dxa"/>
          </w:tcPr>
          <w:p w14:paraId="67CD16A4" w14:textId="77777777" w:rsidR="000A1F18" w:rsidRPr="001D55F9" w:rsidRDefault="005E48C2" w:rsidP="004D1B9A">
            <w:pPr>
              <w:spacing w:before="40" w:after="40"/>
              <w:ind w:left="100" w:right="100"/>
              <w:jc w:val="right"/>
              <w:rPr>
                <w:rFonts w:ascii="Calibri" w:eastAsia="Calibri" w:hAnsi="Calibri" w:cs="Calibri"/>
                <w:b/>
                <w:color w:val="000000"/>
                <w:sz w:val="20"/>
                <w:szCs w:val="20"/>
              </w:rPr>
            </w:pPr>
            <w:r w:rsidRPr="001D55F9">
              <w:rPr>
                <w:rFonts w:ascii="Calibri" w:eastAsia="Calibri" w:hAnsi="Calibri" w:cs="Calibri"/>
                <w:b/>
                <w:color w:val="000000"/>
                <w:sz w:val="20"/>
                <w:szCs w:val="20"/>
              </w:rPr>
              <w:t xml:space="preserve">Control, </w:t>
            </w:r>
          </w:p>
          <w:p w14:paraId="5049093F" w14:textId="13CB4492" w:rsidR="005E48C2" w:rsidRPr="001D55F9" w:rsidRDefault="000A1F18" w:rsidP="004D1B9A">
            <w:pPr>
              <w:spacing w:before="40" w:after="40"/>
              <w:ind w:left="100" w:right="100"/>
              <w:jc w:val="right"/>
              <w:rPr>
                <w:rFonts w:ascii="Calibri" w:hAnsi="Calibri"/>
                <w:sz w:val="20"/>
                <w:szCs w:val="20"/>
              </w:rPr>
            </w:pPr>
            <w:r w:rsidRPr="001D55F9">
              <w:rPr>
                <w:rFonts w:ascii="Calibri" w:eastAsia="Calibri" w:hAnsi="Calibri" w:cs="Calibri"/>
                <w:b/>
                <w:color w:val="000000"/>
                <w:sz w:val="20"/>
                <w:szCs w:val="20"/>
              </w:rPr>
              <w:t>n</w:t>
            </w:r>
            <w:r w:rsidR="005E48C2" w:rsidRPr="001D55F9">
              <w:rPr>
                <w:rFonts w:ascii="Calibri" w:eastAsia="Calibri" w:hAnsi="Calibri" w:cs="Calibri"/>
                <w:b/>
                <w:color w:val="000000"/>
                <w:sz w:val="20"/>
                <w:szCs w:val="20"/>
              </w:rPr>
              <w:t xml:space="preserve"> = 11,798</w:t>
            </w:r>
            <w:r w:rsidR="005E48C2" w:rsidRPr="001D55F9">
              <w:rPr>
                <w:rFonts w:ascii="Calibri" w:eastAsia="Calibri" w:hAnsi="Calibri" w:cs="Calibri"/>
                <w:b/>
                <w:color w:val="000000"/>
                <w:sz w:val="20"/>
                <w:szCs w:val="20"/>
                <w:vertAlign w:val="superscript"/>
              </w:rPr>
              <w:t>1</w:t>
            </w:r>
          </w:p>
        </w:tc>
        <w:tc>
          <w:tcPr>
            <w:tcW w:w="1957" w:type="dxa"/>
          </w:tcPr>
          <w:p w14:paraId="6F76BD00" w14:textId="77777777" w:rsidR="000A1F18" w:rsidRPr="001D55F9" w:rsidRDefault="005E48C2" w:rsidP="004D1B9A">
            <w:pPr>
              <w:spacing w:before="40" w:after="40"/>
              <w:ind w:left="100" w:right="100"/>
              <w:jc w:val="right"/>
              <w:rPr>
                <w:rFonts w:ascii="Calibri" w:eastAsia="Calibri" w:hAnsi="Calibri" w:cs="Calibri"/>
                <w:b/>
                <w:color w:val="000000"/>
                <w:sz w:val="20"/>
                <w:szCs w:val="20"/>
              </w:rPr>
            </w:pPr>
            <w:r w:rsidRPr="001D55F9">
              <w:rPr>
                <w:rFonts w:ascii="Calibri" w:eastAsia="Calibri" w:hAnsi="Calibri" w:cs="Calibri"/>
                <w:b/>
                <w:color w:val="000000"/>
                <w:sz w:val="20"/>
                <w:szCs w:val="20"/>
              </w:rPr>
              <w:t xml:space="preserve">Intervention, </w:t>
            </w:r>
          </w:p>
          <w:p w14:paraId="1CF485EA" w14:textId="06D0AB26" w:rsidR="005E48C2" w:rsidRPr="001D55F9" w:rsidRDefault="000A1F18" w:rsidP="004D1B9A">
            <w:pPr>
              <w:spacing w:before="40" w:after="40"/>
              <w:ind w:left="100" w:right="100"/>
              <w:jc w:val="right"/>
              <w:rPr>
                <w:rFonts w:ascii="Calibri" w:hAnsi="Calibri"/>
                <w:sz w:val="20"/>
                <w:szCs w:val="20"/>
              </w:rPr>
            </w:pPr>
            <w:r w:rsidRPr="001D55F9">
              <w:rPr>
                <w:rFonts w:ascii="Calibri" w:eastAsia="Calibri" w:hAnsi="Calibri" w:cs="Calibri"/>
                <w:b/>
                <w:color w:val="000000"/>
                <w:sz w:val="20"/>
                <w:szCs w:val="20"/>
              </w:rPr>
              <w:t>n</w:t>
            </w:r>
            <w:r w:rsidR="005E48C2" w:rsidRPr="001D55F9">
              <w:rPr>
                <w:rFonts w:ascii="Calibri" w:eastAsia="Calibri" w:hAnsi="Calibri" w:cs="Calibri"/>
                <w:b/>
                <w:color w:val="000000"/>
                <w:sz w:val="20"/>
                <w:szCs w:val="20"/>
              </w:rPr>
              <w:t xml:space="preserve"> = 12,229</w:t>
            </w:r>
            <w:r w:rsidR="005E48C2" w:rsidRPr="001D55F9">
              <w:rPr>
                <w:rFonts w:ascii="Calibri" w:eastAsia="Calibri" w:hAnsi="Calibri" w:cs="Calibri"/>
                <w:b/>
                <w:color w:val="000000"/>
                <w:sz w:val="20"/>
                <w:szCs w:val="20"/>
                <w:vertAlign w:val="superscript"/>
              </w:rPr>
              <w:t>1</w:t>
            </w:r>
          </w:p>
        </w:tc>
      </w:tr>
      <w:tr w:rsidR="005E48C2" w:rsidRPr="001D55F9" w14:paraId="5A236368" w14:textId="77777777" w:rsidTr="005E48C2">
        <w:tc>
          <w:tcPr>
            <w:tcW w:w="1622" w:type="dxa"/>
          </w:tcPr>
          <w:p w14:paraId="0FB3883D" w14:textId="77777777" w:rsidR="005E48C2" w:rsidRPr="001D55F9" w:rsidRDefault="005E48C2" w:rsidP="0051739E">
            <w:pPr>
              <w:spacing w:before="20" w:after="20"/>
              <w:ind w:left="100" w:right="100"/>
              <w:rPr>
                <w:rFonts w:ascii="Calibri" w:hAnsi="Calibri"/>
                <w:sz w:val="20"/>
                <w:szCs w:val="20"/>
              </w:rPr>
            </w:pPr>
            <w:r w:rsidRPr="001D55F9">
              <w:rPr>
                <w:rFonts w:ascii="Calibri" w:eastAsia="Calibri" w:hAnsi="Calibri" w:cs="Calibri"/>
                <w:color w:val="000000"/>
                <w:sz w:val="20"/>
                <w:szCs w:val="20"/>
              </w:rPr>
              <w:t>Ethnicity</w:t>
            </w:r>
          </w:p>
        </w:tc>
        <w:tc>
          <w:tcPr>
            <w:tcW w:w="1732" w:type="dxa"/>
          </w:tcPr>
          <w:p w14:paraId="757E4FD1" w14:textId="77777777" w:rsidR="005E48C2" w:rsidRPr="001D55F9" w:rsidRDefault="005E48C2" w:rsidP="004D1B9A">
            <w:pPr>
              <w:spacing w:before="20" w:after="20"/>
              <w:ind w:left="100" w:right="100"/>
              <w:jc w:val="right"/>
              <w:rPr>
                <w:rFonts w:ascii="Calibri" w:hAnsi="Calibri"/>
                <w:sz w:val="20"/>
                <w:szCs w:val="20"/>
              </w:rPr>
            </w:pPr>
          </w:p>
        </w:tc>
        <w:tc>
          <w:tcPr>
            <w:tcW w:w="2044" w:type="dxa"/>
          </w:tcPr>
          <w:p w14:paraId="09C905F5" w14:textId="77777777" w:rsidR="005E48C2" w:rsidRPr="001D55F9" w:rsidRDefault="005E48C2" w:rsidP="004D1B9A">
            <w:pPr>
              <w:spacing w:before="20" w:after="20"/>
              <w:ind w:left="100" w:right="100"/>
              <w:jc w:val="right"/>
              <w:rPr>
                <w:rFonts w:ascii="Calibri" w:hAnsi="Calibri"/>
                <w:sz w:val="20"/>
                <w:szCs w:val="20"/>
              </w:rPr>
            </w:pPr>
          </w:p>
        </w:tc>
        <w:tc>
          <w:tcPr>
            <w:tcW w:w="1645" w:type="dxa"/>
          </w:tcPr>
          <w:p w14:paraId="7FF63362" w14:textId="77777777" w:rsidR="005E48C2" w:rsidRPr="001D55F9" w:rsidRDefault="005E48C2" w:rsidP="004D1B9A">
            <w:pPr>
              <w:spacing w:before="20" w:after="20"/>
              <w:ind w:left="100" w:right="100"/>
              <w:jc w:val="right"/>
              <w:rPr>
                <w:rFonts w:ascii="Calibri" w:hAnsi="Calibri"/>
                <w:sz w:val="20"/>
                <w:szCs w:val="20"/>
              </w:rPr>
            </w:pPr>
          </w:p>
        </w:tc>
        <w:tc>
          <w:tcPr>
            <w:tcW w:w="1957" w:type="dxa"/>
          </w:tcPr>
          <w:p w14:paraId="231E3D53" w14:textId="77777777" w:rsidR="005E48C2" w:rsidRPr="001D55F9" w:rsidRDefault="005E48C2" w:rsidP="004D1B9A">
            <w:pPr>
              <w:spacing w:before="20" w:after="20"/>
              <w:ind w:left="100" w:right="100"/>
              <w:jc w:val="right"/>
              <w:rPr>
                <w:rFonts w:ascii="Calibri" w:hAnsi="Calibri"/>
                <w:sz w:val="20"/>
                <w:szCs w:val="20"/>
              </w:rPr>
            </w:pPr>
          </w:p>
        </w:tc>
      </w:tr>
      <w:tr w:rsidR="000A1F18" w:rsidRPr="001D55F9" w14:paraId="6BD182EC"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1AA966D9"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Asian</w:t>
            </w:r>
          </w:p>
        </w:tc>
        <w:tc>
          <w:tcPr>
            <w:tcW w:w="1732" w:type="dxa"/>
          </w:tcPr>
          <w:p w14:paraId="6FDB530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14,735 (14%)</w:t>
            </w:r>
          </w:p>
        </w:tc>
        <w:tc>
          <w:tcPr>
            <w:tcW w:w="2044" w:type="dxa"/>
          </w:tcPr>
          <w:p w14:paraId="4C0DC06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12,885 (12%)</w:t>
            </w:r>
          </w:p>
        </w:tc>
        <w:tc>
          <w:tcPr>
            <w:tcW w:w="1645" w:type="dxa"/>
          </w:tcPr>
          <w:p w14:paraId="469A6550"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562 (4.8%)</w:t>
            </w:r>
          </w:p>
        </w:tc>
        <w:tc>
          <w:tcPr>
            <w:tcW w:w="1957" w:type="dxa"/>
          </w:tcPr>
          <w:p w14:paraId="2C2D959D"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522 (4.3%)</w:t>
            </w:r>
          </w:p>
        </w:tc>
      </w:tr>
      <w:tr w:rsidR="005E48C2" w:rsidRPr="001D55F9" w14:paraId="7DDE0D36" w14:textId="77777777" w:rsidTr="005E48C2">
        <w:tc>
          <w:tcPr>
            <w:tcW w:w="1622" w:type="dxa"/>
          </w:tcPr>
          <w:p w14:paraId="5F987E3C"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Black</w:t>
            </w:r>
          </w:p>
        </w:tc>
        <w:tc>
          <w:tcPr>
            <w:tcW w:w="1732" w:type="dxa"/>
          </w:tcPr>
          <w:p w14:paraId="782FB037"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6,240 (6.1%)</w:t>
            </w:r>
          </w:p>
        </w:tc>
        <w:tc>
          <w:tcPr>
            <w:tcW w:w="2044" w:type="dxa"/>
          </w:tcPr>
          <w:p w14:paraId="588827D0"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5,772 (5.2%)</w:t>
            </w:r>
          </w:p>
        </w:tc>
        <w:tc>
          <w:tcPr>
            <w:tcW w:w="1645" w:type="dxa"/>
          </w:tcPr>
          <w:p w14:paraId="7A6C3DE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239 (2.0%)</w:t>
            </w:r>
          </w:p>
        </w:tc>
        <w:tc>
          <w:tcPr>
            <w:tcW w:w="1957" w:type="dxa"/>
          </w:tcPr>
          <w:p w14:paraId="258F19D0"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204 (1.7%)</w:t>
            </w:r>
          </w:p>
        </w:tc>
      </w:tr>
      <w:tr w:rsidR="000A1F18" w:rsidRPr="001D55F9" w14:paraId="2677DFDC"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4AADC9DA"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Chinese</w:t>
            </w:r>
          </w:p>
        </w:tc>
        <w:tc>
          <w:tcPr>
            <w:tcW w:w="1732" w:type="dxa"/>
          </w:tcPr>
          <w:p w14:paraId="08258624"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491 (0.5%)</w:t>
            </w:r>
          </w:p>
        </w:tc>
        <w:tc>
          <w:tcPr>
            <w:tcW w:w="2044" w:type="dxa"/>
          </w:tcPr>
          <w:p w14:paraId="2297D3A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703 (0.6%)</w:t>
            </w:r>
          </w:p>
        </w:tc>
        <w:tc>
          <w:tcPr>
            <w:tcW w:w="1645" w:type="dxa"/>
          </w:tcPr>
          <w:p w14:paraId="35A010A0"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12 (0.1%)</w:t>
            </w:r>
          </w:p>
        </w:tc>
        <w:tc>
          <w:tcPr>
            <w:tcW w:w="1957" w:type="dxa"/>
          </w:tcPr>
          <w:p w14:paraId="58AAAB3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20 (0.2%)</w:t>
            </w:r>
          </w:p>
        </w:tc>
      </w:tr>
      <w:tr w:rsidR="005E48C2" w:rsidRPr="001D55F9" w14:paraId="43F95F35" w14:textId="77777777" w:rsidTr="005E48C2">
        <w:tc>
          <w:tcPr>
            <w:tcW w:w="1622" w:type="dxa"/>
          </w:tcPr>
          <w:p w14:paraId="5FD3C433"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Mixed</w:t>
            </w:r>
          </w:p>
        </w:tc>
        <w:tc>
          <w:tcPr>
            <w:tcW w:w="1732" w:type="dxa"/>
          </w:tcPr>
          <w:p w14:paraId="5A1ACB17"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4,975 (4.8%)</w:t>
            </w:r>
          </w:p>
        </w:tc>
        <w:tc>
          <w:tcPr>
            <w:tcW w:w="2044" w:type="dxa"/>
          </w:tcPr>
          <w:p w14:paraId="50EE2724"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4,565 (4.1%)</w:t>
            </w:r>
          </w:p>
        </w:tc>
        <w:tc>
          <w:tcPr>
            <w:tcW w:w="1645" w:type="dxa"/>
          </w:tcPr>
          <w:p w14:paraId="5B607E99"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120 (1.0%)</w:t>
            </w:r>
          </w:p>
        </w:tc>
        <w:tc>
          <w:tcPr>
            <w:tcW w:w="1957" w:type="dxa"/>
          </w:tcPr>
          <w:p w14:paraId="1FE58A5A"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96 (0.8%)</w:t>
            </w:r>
          </w:p>
        </w:tc>
      </w:tr>
      <w:tr w:rsidR="000A1F18" w:rsidRPr="001D55F9" w14:paraId="4AE9495D"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50C65D27"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Other</w:t>
            </w:r>
          </w:p>
        </w:tc>
        <w:tc>
          <w:tcPr>
            <w:tcW w:w="1732" w:type="dxa"/>
          </w:tcPr>
          <w:p w14:paraId="64F08665"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2,137 (2.1%)</w:t>
            </w:r>
          </w:p>
        </w:tc>
        <w:tc>
          <w:tcPr>
            <w:tcW w:w="2044" w:type="dxa"/>
          </w:tcPr>
          <w:p w14:paraId="7A60B9BD"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2,123 (1.9%)</w:t>
            </w:r>
          </w:p>
        </w:tc>
        <w:tc>
          <w:tcPr>
            <w:tcW w:w="1645" w:type="dxa"/>
          </w:tcPr>
          <w:p w14:paraId="6BC27AD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65 (0.6%)</w:t>
            </w:r>
          </w:p>
        </w:tc>
        <w:tc>
          <w:tcPr>
            <w:tcW w:w="1957" w:type="dxa"/>
          </w:tcPr>
          <w:p w14:paraId="1EEED189"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57 (0.5%)</w:t>
            </w:r>
          </w:p>
        </w:tc>
      </w:tr>
      <w:tr w:rsidR="005E48C2" w:rsidRPr="001D55F9" w14:paraId="7D6CA4C2" w14:textId="77777777" w:rsidTr="005E48C2">
        <w:tc>
          <w:tcPr>
            <w:tcW w:w="1622" w:type="dxa"/>
          </w:tcPr>
          <w:p w14:paraId="72B05165"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Prefer not to say</w:t>
            </w:r>
          </w:p>
        </w:tc>
        <w:tc>
          <w:tcPr>
            <w:tcW w:w="1732" w:type="dxa"/>
          </w:tcPr>
          <w:p w14:paraId="712F7D02"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8,709 (8.5%)</w:t>
            </w:r>
          </w:p>
        </w:tc>
        <w:tc>
          <w:tcPr>
            <w:tcW w:w="2044" w:type="dxa"/>
          </w:tcPr>
          <w:p w14:paraId="45DBB687"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9,948 (8.9%)</w:t>
            </w:r>
          </w:p>
        </w:tc>
        <w:tc>
          <w:tcPr>
            <w:tcW w:w="1645" w:type="dxa"/>
          </w:tcPr>
          <w:p w14:paraId="18F63C2D"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3,411 (29%)</w:t>
            </w:r>
          </w:p>
        </w:tc>
        <w:tc>
          <w:tcPr>
            <w:tcW w:w="1957" w:type="dxa"/>
          </w:tcPr>
          <w:p w14:paraId="396F49BD"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3,502 (29%)</w:t>
            </w:r>
          </w:p>
        </w:tc>
      </w:tr>
      <w:tr w:rsidR="000A1F18" w:rsidRPr="001D55F9" w14:paraId="3760C37D"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4BF9A328"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White</w:t>
            </w:r>
          </w:p>
        </w:tc>
        <w:tc>
          <w:tcPr>
            <w:tcW w:w="1732" w:type="dxa"/>
          </w:tcPr>
          <w:p w14:paraId="42F518F6"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65,339 (64%)</w:t>
            </w:r>
          </w:p>
        </w:tc>
        <w:tc>
          <w:tcPr>
            <w:tcW w:w="2044" w:type="dxa"/>
          </w:tcPr>
          <w:p w14:paraId="4FCB70A1"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75,470 (68%)</w:t>
            </w:r>
          </w:p>
        </w:tc>
        <w:tc>
          <w:tcPr>
            <w:tcW w:w="1645" w:type="dxa"/>
          </w:tcPr>
          <w:p w14:paraId="4AACB378"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7,389 (63%)</w:t>
            </w:r>
          </w:p>
        </w:tc>
        <w:tc>
          <w:tcPr>
            <w:tcW w:w="1957" w:type="dxa"/>
          </w:tcPr>
          <w:p w14:paraId="5E6DDA68"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7,828 (64%)</w:t>
            </w:r>
          </w:p>
        </w:tc>
      </w:tr>
      <w:tr w:rsidR="005E48C2" w:rsidRPr="001D55F9" w14:paraId="13D24697" w14:textId="77777777" w:rsidTr="005E48C2">
        <w:tc>
          <w:tcPr>
            <w:tcW w:w="1622" w:type="dxa"/>
          </w:tcPr>
          <w:p w14:paraId="163867FB"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Missing data</w:t>
            </w:r>
          </w:p>
        </w:tc>
        <w:tc>
          <w:tcPr>
            <w:tcW w:w="1732" w:type="dxa"/>
          </w:tcPr>
          <w:p w14:paraId="0CF9CC4C"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233</w:t>
            </w:r>
          </w:p>
        </w:tc>
        <w:tc>
          <w:tcPr>
            <w:tcW w:w="2044" w:type="dxa"/>
          </w:tcPr>
          <w:p w14:paraId="661F375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227</w:t>
            </w:r>
          </w:p>
        </w:tc>
        <w:tc>
          <w:tcPr>
            <w:tcW w:w="1645" w:type="dxa"/>
          </w:tcPr>
          <w:p w14:paraId="569B7D4B" w14:textId="0DA670F0" w:rsidR="005E48C2" w:rsidRPr="001D55F9" w:rsidRDefault="00943114"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0</w:t>
            </w:r>
          </w:p>
        </w:tc>
        <w:tc>
          <w:tcPr>
            <w:tcW w:w="1957" w:type="dxa"/>
          </w:tcPr>
          <w:p w14:paraId="26227AEB" w14:textId="4B9B60BD" w:rsidR="005E48C2" w:rsidRPr="001D55F9" w:rsidRDefault="00943114"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0</w:t>
            </w:r>
          </w:p>
        </w:tc>
      </w:tr>
      <w:tr w:rsidR="000A1F18" w:rsidRPr="001D55F9" w14:paraId="7614BD62"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04EAD1B2" w14:textId="77777777" w:rsidR="005E48C2" w:rsidRPr="001D55F9" w:rsidRDefault="005E48C2" w:rsidP="0051739E">
            <w:pPr>
              <w:spacing w:before="20" w:after="20"/>
              <w:ind w:left="100" w:right="100"/>
              <w:rPr>
                <w:rFonts w:ascii="Calibri" w:hAnsi="Calibri"/>
                <w:sz w:val="20"/>
                <w:szCs w:val="20"/>
              </w:rPr>
            </w:pPr>
            <w:r w:rsidRPr="001D55F9">
              <w:rPr>
                <w:rFonts w:ascii="Calibri" w:eastAsia="Calibri" w:hAnsi="Calibri" w:cs="Calibri"/>
                <w:color w:val="000000"/>
                <w:sz w:val="20"/>
                <w:szCs w:val="20"/>
              </w:rPr>
              <w:t>Age group</w:t>
            </w:r>
          </w:p>
        </w:tc>
        <w:tc>
          <w:tcPr>
            <w:tcW w:w="1732" w:type="dxa"/>
          </w:tcPr>
          <w:p w14:paraId="3F7B4E0A" w14:textId="77777777" w:rsidR="005E48C2" w:rsidRPr="001D55F9" w:rsidRDefault="005E48C2" w:rsidP="004D1B9A">
            <w:pPr>
              <w:spacing w:before="20" w:after="20"/>
              <w:ind w:left="100" w:right="100"/>
              <w:jc w:val="right"/>
              <w:rPr>
                <w:rFonts w:ascii="Calibri" w:hAnsi="Calibri"/>
                <w:sz w:val="20"/>
                <w:szCs w:val="20"/>
              </w:rPr>
            </w:pPr>
          </w:p>
        </w:tc>
        <w:tc>
          <w:tcPr>
            <w:tcW w:w="2044" w:type="dxa"/>
          </w:tcPr>
          <w:p w14:paraId="786DAE32" w14:textId="77777777" w:rsidR="005E48C2" w:rsidRPr="001D55F9" w:rsidRDefault="005E48C2" w:rsidP="004D1B9A">
            <w:pPr>
              <w:spacing w:before="20" w:after="20"/>
              <w:ind w:left="100" w:right="100"/>
              <w:jc w:val="right"/>
              <w:rPr>
                <w:rFonts w:ascii="Calibri" w:hAnsi="Calibri"/>
                <w:sz w:val="20"/>
                <w:szCs w:val="20"/>
              </w:rPr>
            </w:pPr>
          </w:p>
        </w:tc>
        <w:tc>
          <w:tcPr>
            <w:tcW w:w="1645" w:type="dxa"/>
          </w:tcPr>
          <w:p w14:paraId="22C0A8D4" w14:textId="77777777" w:rsidR="005E48C2" w:rsidRPr="001D55F9" w:rsidRDefault="005E48C2" w:rsidP="004D1B9A">
            <w:pPr>
              <w:spacing w:before="20" w:after="20"/>
              <w:ind w:left="100" w:right="100"/>
              <w:jc w:val="right"/>
              <w:rPr>
                <w:rFonts w:ascii="Calibri" w:hAnsi="Calibri"/>
                <w:sz w:val="20"/>
                <w:szCs w:val="20"/>
              </w:rPr>
            </w:pPr>
          </w:p>
        </w:tc>
        <w:tc>
          <w:tcPr>
            <w:tcW w:w="1957" w:type="dxa"/>
          </w:tcPr>
          <w:p w14:paraId="54199FCF" w14:textId="77777777" w:rsidR="005E48C2" w:rsidRPr="001D55F9" w:rsidRDefault="005E48C2" w:rsidP="004D1B9A">
            <w:pPr>
              <w:spacing w:before="20" w:after="20"/>
              <w:ind w:left="100" w:right="100"/>
              <w:jc w:val="right"/>
              <w:rPr>
                <w:rFonts w:ascii="Calibri" w:hAnsi="Calibri"/>
                <w:sz w:val="20"/>
                <w:szCs w:val="20"/>
              </w:rPr>
            </w:pPr>
          </w:p>
        </w:tc>
      </w:tr>
      <w:tr w:rsidR="005E48C2" w:rsidRPr="001D55F9" w14:paraId="21EAAAEA" w14:textId="77777777" w:rsidTr="005E48C2">
        <w:tc>
          <w:tcPr>
            <w:tcW w:w="1622" w:type="dxa"/>
          </w:tcPr>
          <w:p w14:paraId="14B25C1B"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11 to 14</w:t>
            </w:r>
          </w:p>
        </w:tc>
        <w:tc>
          <w:tcPr>
            <w:tcW w:w="1732" w:type="dxa"/>
          </w:tcPr>
          <w:p w14:paraId="198422E5"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48,396 (47%)</w:t>
            </w:r>
          </w:p>
        </w:tc>
        <w:tc>
          <w:tcPr>
            <w:tcW w:w="2044" w:type="dxa"/>
          </w:tcPr>
          <w:p w14:paraId="7D3B6FAC"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50,400 (45%)</w:t>
            </w:r>
          </w:p>
        </w:tc>
        <w:tc>
          <w:tcPr>
            <w:tcW w:w="1645" w:type="dxa"/>
          </w:tcPr>
          <w:p w14:paraId="6C381A6F" w14:textId="77777777" w:rsidR="005E48C2" w:rsidRPr="001D55F9" w:rsidRDefault="005E48C2" w:rsidP="004D1B9A">
            <w:pPr>
              <w:spacing w:before="20" w:after="20"/>
              <w:ind w:left="100" w:right="100"/>
              <w:jc w:val="right"/>
              <w:rPr>
                <w:rFonts w:ascii="Calibri" w:hAnsi="Calibri"/>
                <w:sz w:val="20"/>
                <w:szCs w:val="20"/>
              </w:rPr>
            </w:pPr>
          </w:p>
        </w:tc>
        <w:tc>
          <w:tcPr>
            <w:tcW w:w="1957" w:type="dxa"/>
          </w:tcPr>
          <w:p w14:paraId="3F5B0564" w14:textId="77777777" w:rsidR="005E48C2" w:rsidRPr="001D55F9" w:rsidRDefault="005E48C2" w:rsidP="004D1B9A">
            <w:pPr>
              <w:spacing w:before="20" w:after="20"/>
              <w:ind w:left="100" w:right="100"/>
              <w:jc w:val="right"/>
              <w:rPr>
                <w:rFonts w:ascii="Calibri" w:hAnsi="Calibri"/>
                <w:sz w:val="20"/>
                <w:szCs w:val="20"/>
              </w:rPr>
            </w:pPr>
          </w:p>
        </w:tc>
      </w:tr>
      <w:tr w:rsidR="000A1F18" w:rsidRPr="001D55F9" w14:paraId="4AF4D32B"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42ABA7D4"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15 to 18</w:t>
            </w:r>
          </w:p>
        </w:tc>
        <w:tc>
          <w:tcPr>
            <w:tcW w:w="1732" w:type="dxa"/>
          </w:tcPr>
          <w:p w14:paraId="4E523B2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49,461 (48%)</w:t>
            </w:r>
          </w:p>
        </w:tc>
        <w:tc>
          <w:tcPr>
            <w:tcW w:w="2044" w:type="dxa"/>
          </w:tcPr>
          <w:p w14:paraId="43B4C194"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52,185 (47%)</w:t>
            </w:r>
          </w:p>
        </w:tc>
        <w:tc>
          <w:tcPr>
            <w:tcW w:w="1645" w:type="dxa"/>
          </w:tcPr>
          <w:p w14:paraId="08732642"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16 (0.1%)</w:t>
            </w:r>
          </w:p>
        </w:tc>
        <w:tc>
          <w:tcPr>
            <w:tcW w:w="1957" w:type="dxa"/>
          </w:tcPr>
          <w:p w14:paraId="448F5D2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 (&lt;0.1%)</w:t>
            </w:r>
          </w:p>
        </w:tc>
      </w:tr>
      <w:tr w:rsidR="005E48C2" w:rsidRPr="001D55F9" w14:paraId="7C365174" w14:textId="77777777" w:rsidTr="005E48C2">
        <w:tc>
          <w:tcPr>
            <w:tcW w:w="1622" w:type="dxa"/>
          </w:tcPr>
          <w:p w14:paraId="2D55EF17"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19 to 34</w:t>
            </w:r>
          </w:p>
        </w:tc>
        <w:tc>
          <w:tcPr>
            <w:tcW w:w="1732" w:type="dxa"/>
          </w:tcPr>
          <w:p w14:paraId="54C2105C"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3,602 (3.5%)</w:t>
            </w:r>
          </w:p>
        </w:tc>
        <w:tc>
          <w:tcPr>
            <w:tcW w:w="2044" w:type="dxa"/>
          </w:tcPr>
          <w:p w14:paraId="33FA6C72"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6,974 (6.2%)</w:t>
            </w:r>
          </w:p>
        </w:tc>
        <w:tc>
          <w:tcPr>
            <w:tcW w:w="1645" w:type="dxa"/>
          </w:tcPr>
          <w:p w14:paraId="291F0EC8"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3,453 (29%)</w:t>
            </w:r>
          </w:p>
        </w:tc>
        <w:tc>
          <w:tcPr>
            <w:tcW w:w="1957" w:type="dxa"/>
          </w:tcPr>
          <w:p w14:paraId="2786DF6E"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3,411 (28%)</w:t>
            </w:r>
          </w:p>
        </w:tc>
      </w:tr>
      <w:tr w:rsidR="000A1F18" w:rsidRPr="001D55F9" w14:paraId="55D7B521"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4ADFCED1"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35 to 44</w:t>
            </w:r>
          </w:p>
        </w:tc>
        <w:tc>
          <w:tcPr>
            <w:tcW w:w="1732" w:type="dxa"/>
          </w:tcPr>
          <w:p w14:paraId="070E158D"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744 (0.7%)</w:t>
            </w:r>
          </w:p>
        </w:tc>
        <w:tc>
          <w:tcPr>
            <w:tcW w:w="2044" w:type="dxa"/>
          </w:tcPr>
          <w:p w14:paraId="425D6BBC"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1,232 (1.1%)</w:t>
            </w:r>
          </w:p>
        </w:tc>
        <w:tc>
          <w:tcPr>
            <w:tcW w:w="1645" w:type="dxa"/>
          </w:tcPr>
          <w:p w14:paraId="14FAD6E7"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2,807 (24%)</w:t>
            </w:r>
          </w:p>
        </w:tc>
        <w:tc>
          <w:tcPr>
            <w:tcW w:w="1957" w:type="dxa"/>
          </w:tcPr>
          <w:p w14:paraId="761319F5"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3,015 (25%)</w:t>
            </w:r>
          </w:p>
        </w:tc>
      </w:tr>
      <w:tr w:rsidR="005E48C2" w:rsidRPr="001D55F9" w14:paraId="6AC91CC1" w14:textId="77777777" w:rsidTr="005E48C2">
        <w:tc>
          <w:tcPr>
            <w:tcW w:w="1622" w:type="dxa"/>
          </w:tcPr>
          <w:p w14:paraId="4F4C86D5"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45 to 54</w:t>
            </w:r>
          </w:p>
        </w:tc>
        <w:tc>
          <w:tcPr>
            <w:tcW w:w="1732" w:type="dxa"/>
          </w:tcPr>
          <w:p w14:paraId="45DD7D09"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418 (0.4%)</w:t>
            </w:r>
          </w:p>
        </w:tc>
        <w:tc>
          <w:tcPr>
            <w:tcW w:w="2044" w:type="dxa"/>
          </w:tcPr>
          <w:p w14:paraId="5D128C1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672 (0.6%)</w:t>
            </w:r>
          </w:p>
        </w:tc>
        <w:tc>
          <w:tcPr>
            <w:tcW w:w="1645" w:type="dxa"/>
          </w:tcPr>
          <w:p w14:paraId="2B948B85"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2,865 (24%)</w:t>
            </w:r>
          </w:p>
        </w:tc>
        <w:tc>
          <w:tcPr>
            <w:tcW w:w="1957" w:type="dxa"/>
          </w:tcPr>
          <w:p w14:paraId="7CB94641"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3,145 (26%)</w:t>
            </w:r>
          </w:p>
        </w:tc>
      </w:tr>
      <w:tr w:rsidR="000A1F18" w:rsidRPr="001D55F9" w14:paraId="50C99DCB"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4060FCBE"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55 to 64</w:t>
            </w:r>
          </w:p>
        </w:tc>
        <w:tc>
          <w:tcPr>
            <w:tcW w:w="1732" w:type="dxa"/>
          </w:tcPr>
          <w:p w14:paraId="63CCDCC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143 (0.1%)</w:t>
            </w:r>
          </w:p>
        </w:tc>
        <w:tc>
          <w:tcPr>
            <w:tcW w:w="2044" w:type="dxa"/>
          </w:tcPr>
          <w:p w14:paraId="453E1994"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209 (0.2%)</w:t>
            </w:r>
          </w:p>
        </w:tc>
        <w:tc>
          <w:tcPr>
            <w:tcW w:w="1645" w:type="dxa"/>
          </w:tcPr>
          <w:p w14:paraId="7A681C74"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2,215 (19%)</w:t>
            </w:r>
          </w:p>
        </w:tc>
        <w:tc>
          <w:tcPr>
            <w:tcW w:w="1957" w:type="dxa"/>
          </w:tcPr>
          <w:p w14:paraId="0718783E"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2,193 (18%)</w:t>
            </w:r>
          </w:p>
        </w:tc>
      </w:tr>
      <w:tr w:rsidR="005E48C2" w:rsidRPr="001D55F9" w14:paraId="47D0BE4F" w14:textId="77777777" w:rsidTr="005E48C2">
        <w:tc>
          <w:tcPr>
            <w:tcW w:w="1622" w:type="dxa"/>
          </w:tcPr>
          <w:p w14:paraId="61B74238"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65+</w:t>
            </w:r>
          </w:p>
        </w:tc>
        <w:tc>
          <w:tcPr>
            <w:tcW w:w="1732" w:type="dxa"/>
          </w:tcPr>
          <w:p w14:paraId="4E745781"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95 (&lt;0.1%)</w:t>
            </w:r>
          </w:p>
        </w:tc>
        <w:tc>
          <w:tcPr>
            <w:tcW w:w="2044" w:type="dxa"/>
          </w:tcPr>
          <w:p w14:paraId="604DBEB0"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21 (&lt;0.1%)</w:t>
            </w:r>
          </w:p>
        </w:tc>
        <w:tc>
          <w:tcPr>
            <w:tcW w:w="1645" w:type="dxa"/>
          </w:tcPr>
          <w:p w14:paraId="2199431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442 (3.7%)</w:t>
            </w:r>
          </w:p>
        </w:tc>
        <w:tc>
          <w:tcPr>
            <w:tcW w:w="1957" w:type="dxa"/>
          </w:tcPr>
          <w:p w14:paraId="0FAF0147"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460 (3.8%)</w:t>
            </w:r>
          </w:p>
        </w:tc>
      </w:tr>
      <w:tr w:rsidR="000A1F18" w:rsidRPr="001D55F9" w14:paraId="526247AE"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2E21BB69" w14:textId="77777777" w:rsidR="005E48C2" w:rsidRPr="001D55F9" w:rsidRDefault="005E48C2" w:rsidP="0051739E">
            <w:pPr>
              <w:spacing w:before="20" w:after="20"/>
              <w:ind w:left="100" w:right="100"/>
              <w:rPr>
                <w:rFonts w:ascii="Calibri" w:hAnsi="Calibri"/>
                <w:sz w:val="20"/>
                <w:szCs w:val="20"/>
              </w:rPr>
            </w:pPr>
            <w:r w:rsidRPr="001D55F9">
              <w:rPr>
                <w:rFonts w:ascii="Calibri" w:eastAsia="Calibri" w:hAnsi="Calibri" w:cs="Calibri"/>
                <w:color w:val="000000"/>
                <w:sz w:val="20"/>
                <w:szCs w:val="20"/>
              </w:rPr>
              <w:t>Sex</w:t>
            </w:r>
          </w:p>
        </w:tc>
        <w:tc>
          <w:tcPr>
            <w:tcW w:w="1732" w:type="dxa"/>
          </w:tcPr>
          <w:p w14:paraId="5F1F7566" w14:textId="77777777" w:rsidR="005E48C2" w:rsidRPr="001D55F9" w:rsidRDefault="005E48C2" w:rsidP="004D1B9A">
            <w:pPr>
              <w:spacing w:before="20" w:after="20"/>
              <w:ind w:left="100" w:right="100"/>
              <w:jc w:val="right"/>
              <w:rPr>
                <w:rFonts w:ascii="Calibri" w:hAnsi="Calibri"/>
                <w:sz w:val="20"/>
                <w:szCs w:val="20"/>
              </w:rPr>
            </w:pPr>
          </w:p>
        </w:tc>
        <w:tc>
          <w:tcPr>
            <w:tcW w:w="2044" w:type="dxa"/>
          </w:tcPr>
          <w:p w14:paraId="54E7A41E" w14:textId="77777777" w:rsidR="005E48C2" w:rsidRPr="001D55F9" w:rsidRDefault="005E48C2" w:rsidP="004D1B9A">
            <w:pPr>
              <w:spacing w:before="20" w:after="20"/>
              <w:ind w:left="100" w:right="100"/>
              <w:jc w:val="right"/>
              <w:rPr>
                <w:rFonts w:ascii="Calibri" w:hAnsi="Calibri"/>
                <w:sz w:val="20"/>
                <w:szCs w:val="20"/>
              </w:rPr>
            </w:pPr>
          </w:p>
        </w:tc>
        <w:tc>
          <w:tcPr>
            <w:tcW w:w="1645" w:type="dxa"/>
          </w:tcPr>
          <w:p w14:paraId="558FF979" w14:textId="77777777" w:rsidR="005E48C2" w:rsidRPr="001D55F9" w:rsidRDefault="005E48C2" w:rsidP="004D1B9A">
            <w:pPr>
              <w:spacing w:before="20" w:after="20"/>
              <w:ind w:left="100" w:right="100"/>
              <w:jc w:val="right"/>
              <w:rPr>
                <w:rFonts w:ascii="Calibri" w:hAnsi="Calibri"/>
                <w:sz w:val="20"/>
                <w:szCs w:val="20"/>
              </w:rPr>
            </w:pPr>
          </w:p>
        </w:tc>
        <w:tc>
          <w:tcPr>
            <w:tcW w:w="1957" w:type="dxa"/>
          </w:tcPr>
          <w:p w14:paraId="0F628A5A" w14:textId="77777777" w:rsidR="005E48C2" w:rsidRPr="001D55F9" w:rsidRDefault="005E48C2" w:rsidP="004D1B9A">
            <w:pPr>
              <w:spacing w:before="20" w:after="20"/>
              <w:ind w:left="100" w:right="100"/>
              <w:jc w:val="right"/>
              <w:rPr>
                <w:rFonts w:ascii="Calibri" w:hAnsi="Calibri"/>
                <w:sz w:val="20"/>
                <w:szCs w:val="20"/>
              </w:rPr>
            </w:pPr>
          </w:p>
        </w:tc>
      </w:tr>
      <w:tr w:rsidR="005E48C2" w:rsidRPr="001D55F9" w14:paraId="0BB3B8EC" w14:textId="77777777" w:rsidTr="005E48C2">
        <w:tc>
          <w:tcPr>
            <w:tcW w:w="1622" w:type="dxa"/>
          </w:tcPr>
          <w:p w14:paraId="1F64C5C4"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Female</w:t>
            </w:r>
          </w:p>
        </w:tc>
        <w:tc>
          <w:tcPr>
            <w:tcW w:w="1732" w:type="dxa"/>
          </w:tcPr>
          <w:p w14:paraId="7803A4BA"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49,502 (48%)</w:t>
            </w:r>
          </w:p>
        </w:tc>
        <w:tc>
          <w:tcPr>
            <w:tcW w:w="2044" w:type="dxa"/>
          </w:tcPr>
          <w:p w14:paraId="3ED35A13"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58,148 (52%)</w:t>
            </w:r>
          </w:p>
        </w:tc>
        <w:tc>
          <w:tcPr>
            <w:tcW w:w="1645" w:type="dxa"/>
          </w:tcPr>
          <w:p w14:paraId="4D3350F6"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8,092 (69%)</w:t>
            </w:r>
          </w:p>
        </w:tc>
        <w:tc>
          <w:tcPr>
            <w:tcW w:w="1957" w:type="dxa"/>
          </w:tcPr>
          <w:p w14:paraId="44B5C0D6"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8,395 (69%)</w:t>
            </w:r>
          </w:p>
        </w:tc>
      </w:tr>
      <w:tr w:rsidR="000A1F18" w:rsidRPr="001D55F9" w14:paraId="409E754A" w14:textId="77777777" w:rsidTr="005E48C2">
        <w:trPr>
          <w:cnfStyle w:val="000000100000" w:firstRow="0" w:lastRow="0" w:firstColumn="0" w:lastColumn="0" w:oddVBand="0" w:evenVBand="0" w:oddHBand="1" w:evenHBand="0" w:firstRowFirstColumn="0" w:firstRowLastColumn="0" w:lastRowFirstColumn="0" w:lastRowLastColumn="0"/>
        </w:trPr>
        <w:tc>
          <w:tcPr>
            <w:tcW w:w="1622" w:type="dxa"/>
          </w:tcPr>
          <w:p w14:paraId="08C9EDC9"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Male</w:t>
            </w:r>
          </w:p>
        </w:tc>
        <w:tc>
          <w:tcPr>
            <w:tcW w:w="1732" w:type="dxa"/>
          </w:tcPr>
          <w:p w14:paraId="45B3E666"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53,356 (52%)</w:t>
            </w:r>
          </w:p>
        </w:tc>
        <w:tc>
          <w:tcPr>
            <w:tcW w:w="2044" w:type="dxa"/>
          </w:tcPr>
          <w:p w14:paraId="219AC19B"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53,545 (48%)</w:t>
            </w:r>
          </w:p>
        </w:tc>
        <w:tc>
          <w:tcPr>
            <w:tcW w:w="1645" w:type="dxa"/>
          </w:tcPr>
          <w:p w14:paraId="49021606"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3,706 (31%)</w:t>
            </w:r>
          </w:p>
        </w:tc>
        <w:tc>
          <w:tcPr>
            <w:tcW w:w="1957" w:type="dxa"/>
          </w:tcPr>
          <w:p w14:paraId="7013BF4A"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3,834 (31%)</w:t>
            </w:r>
          </w:p>
        </w:tc>
      </w:tr>
      <w:tr w:rsidR="005E48C2" w:rsidRPr="001D55F9" w14:paraId="37230D6B" w14:textId="77777777" w:rsidTr="005E48C2">
        <w:tc>
          <w:tcPr>
            <w:tcW w:w="1622" w:type="dxa"/>
          </w:tcPr>
          <w:p w14:paraId="1A067805" w14:textId="77777777" w:rsidR="005E48C2" w:rsidRPr="001D55F9" w:rsidRDefault="005E48C2" w:rsidP="0051739E">
            <w:pPr>
              <w:spacing w:before="20" w:after="20"/>
              <w:ind w:left="300" w:right="100"/>
              <w:rPr>
                <w:rFonts w:ascii="Calibri" w:hAnsi="Calibri"/>
                <w:sz w:val="20"/>
                <w:szCs w:val="20"/>
              </w:rPr>
            </w:pPr>
            <w:r w:rsidRPr="001D55F9">
              <w:rPr>
                <w:rFonts w:ascii="Calibri" w:eastAsia="Calibri" w:hAnsi="Calibri" w:cs="Calibri"/>
                <w:color w:val="000000"/>
                <w:sz w:val="20"/>
                <w:szCs w:val="20"/>
              </w:rPr>
              <w:t>Missing data</w:t>
            </w:r>
          </w:p>
        </w:tc>
        <w:tc>
          <w:tcPr>
            <w:tcW w:w="1732" w:type="dxa"/>
          </w:tcPr>
          <w:p w14:paraId="05370D05"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1</w:t>
            </w:r>
          </w:p>
        </w:tc>
        <w:tc>
          <w:tcPr>
            <w:tcW w:w="2044" w:type="dxa"/>
          </w:tcPr>
          <w:p w14:paraId="2BFB2AF2" w14:textId="77777777" w:rsidR="005E48C2" w:rsidRPr="001D55F9" w:rsidRDefault="005E48C2"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0</w:t>
            </w:r>
          </w:p>
        </w:tc>
        <w:tc>
          <w:tcPr>
            <w:tcW w:w="1645" w:type="dxa"/>
          </w:tcPr>
          <w:p w14:paraId="5DAB4D3F" w14:textId="48EF3496" w:rsidR="005E48C2" w:rsidRPr="001D55F9" w:rsidRDefault="00943114"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0</w:t>
            </w:r>
          </w:p>
        </w:tc>
        <w:tc>
          <w:tcPr>
            <w:tcW w:w="1957" w:type="dxa"/>
          </w:tcPr>
          <w:p w14:paraId="0FBF40BB" w14:textId="48328F95" w:rsidR="005E48C2" w:rsidRPr="001D55F9" w:rsidRDefault="00943114" w:rsidP="004D1B9A">
            <w:pPr>
              <w:spacing w:before="20" w:after="20"/>
              <w:ind w:left="100" w:right="100"/>
              <w:jc w:val="right"/>
              <w:rPr>
                <w:rFonts w:ascii="Calibri" w:hAnsi="Calibri"/>
                <w:sz w:val="20"/>
                <w:szCs w:val="20"/>
              </w:rPr>
            </w:pPr>
            <w:r w:rsidRPr="001D55F9">
              <w:rPr>
                <w:rFonts w:ascii="Calibri" w:eastAsia="Calibri" w:hAnsi="Calibri" w:cs="Calibri"/>
                <w:color w:val="000000"/>
                <w:sz w:val="20"/>
                <w:szCs w:val="20"/>
              </w:rPr>
              <w:t>0</w:t>
            </w:r>
          </w:p>
        </w:tc>
      </w:tr>
    </w:tbl>
    <w:p w14:paraId="393B55D3" w14:textId="02387803" w:rsidR="00B6475C" w:rsidRDefault="00B6475C" w:rsidP="00B6475C"/>
    <w:p w14:paraId="05C409B1" w14:textId="65C725A8" w:rsidR="00604B9B" w:rsidRDefault="00B6475C" w:rsidP="00E059A0">
      <w:pPr>
        <w:sectPr w:rsidR="00604B9B" w:rsidSect="006A7FE8">
          <w:footerReference w:type="even" r:id="rId14"/>
          <w:footerReference w:type="default" r:id="rId15"/>
          <w:pgSz w:w="11900" w:h="16840"/>
          <w:pgMar w:top="1440" w:right="1440" w:bottom="1440" w:left="1440" w:header="708" w:footer="708" w:gutter="0"/>
          <w:lnNumType w:countBy="1" w:restart="continuous"/>
          <w:cols w:space="708"/>
          <w:docGrid w:linePitch="360"/>
        </w:sectPr>
      </w:pPr>
      <w:r w:rsidRPr="00E27BC2">
        <w:rPr>
          <w:b/>
          <w:bCs/>
        </w:rPr>
        <w:t xml:space="preserve">Table </w:t>
      </w:r>
      <w:r>
        <w:rPr>
          <w:b/>
          <w:bCs/>
        </w:rPr>
        <w:t>2</w:t>
      </w:r>
      <w:r w:rsidRPr="00E27BC2">
        <w:rPr>
          <w:b/>
          <w:bCs/>
        </w:rPr>
        <w:t xml:space="preserve">. </w:t>
      </w:r>
      <w:r>
        <w:rPr>
          <w:b/>
          <w:bCs/>
        </w:rPr>
        <w:t>Student and staff</w:t>
      </w:r>
      <w:r w:rsidRPr="00E27BC2">
        <w:rPr>
          <w:b/>
          <w:bCs/>
        </w:rPr>
        <w:t xml:space="preserve"> level baseline characteristics by study arm</w:t>
      </w:r>
      <w:r>
        <w:t>. Note students aged ≥19 years attended further education colleges providing courses for students at any age. Data based on 96 control schools and 101 intervention arm schools with data on student</w:t>
      </w:r>
      <w:r w:rsidR="00686F67">
        <w:t xml:space="preserve"> demographics</w:t>
      </w:r>
      <w:r>
        <w:t xml:space="preserve"> and 76 and 86 schools respectively with data on staff.</w:t>
      </w:r>
      <w:r w:rsidR="000A1F18">
        <w:t xml:space="preserve"> </w:t>
      </w:r>
      <w:r w:rsidR="004D1B9A" w:rsidRPr="004D1B9A">
        <w:rPr>
          <w:vertAlign w:val="superscript"/>
        </w:rPr>
        <w:t>1</w:t>
      </w:r>
      <w:r w:rsidR="004D1B9A" w:rsidRPr="004D1B9A">
        <w:t>n (%)</w:t>
      </w:r>
      <w:r w:rsidR="004D1B9A">
        <w:t>.</w:t>
      </w:r>
    </w:p>
    <w:tbl>
      <w:tblPr>
        <w:tblStyle w:val="GridTable4-Accent5"/>
        <w:tblW w:w="0" w:type="auto"/>
        <w:tblLayout w:type="fixed"/>
        <w:tblLook w:val="0420" w:firstRow="1" w:lastRow="0" w:firstColumn="0" w:lastColumn="0" w:noHBand="0" w:noVBand="1"/>
      </w:tblPr>
      <w:tblGrid>
        <w:gridCol w:w="4004"/>
        <w:gridCol w:w="1520"/>
        <w:gridCol w:w="1559"/>
        <w:gridCol w:w="850"/>
        <w:gridCol w:w="1276"/>
        <w:gridCol w:w="1134"/>
        <w:gridCol w:w="851"/>
        <w:gridCol w:w="1275"/>
        <w:gridCol w:w="1211"/>
      </w:tblGrid>
      <w:tr w:rsidR="001659D1" w:rsidRPr="00215888" w14:paraId="46FE102C" w14:textId="77777777" w:rsidTr="008B51CA">
        <w:trPr>
          <w:cnfStyle w:val="100000000000" w:firstRow="1" w:lastRow="0" w:firstColumn="0" w:lastColumn="0" w:oddVBand="0" w:evenVBand="0" w:oddHBand="0" w:evenHBand="0" w:firstRowFirstColumn="0" w:firstRowLastColumn="0" w:lastRowFirstColumn="0" w:lastRowLastColumn="0"/>
        </w:trPr>
        <w:tc>
          <w:tcPr>
            <w:tcW w:w="4004" w:type="dxa"/>
          </w:tcPr>
          <w:p w14:paraId="084C036C" w14:textId="77777777" w:rsidR="001659D1" w:rsidRPr="00215888" w:rsidRDefault="001659D1" w:rsidP="0051739E">
            <w:pPr>
              <w:spacing w:before="40" w:after="40"/>
              <w:ind w:left="100" w:right="100"/>
              <w:rPr>
                <w:sz w:val="20"/>
                <w:szCs w:val="20"/>
              </w:rPr>
            </w:pPr>
          </w:p>
        </w:tc>
        <w:tc>
          <w:tcPr>
            <w:tcW w:w="3079" w:type="dxa"/>
            <w:gridSpan w:val="2"/>
          </w:tcPr>
          <w:p w14:paraId="672BEF5E" w14:textId="77777777" w:rsidR="001659D1" w:rsidRPr="00215888" w:rsidRDefault="001659D1" w:rsidP="008B51CA">
            <w:pPr>
              <w:spacing w:before="40" w:after="40"/>
              <w:ind w:left="100" w:right="100"/>
              <w:jc w:val="center"/>
              <w:rPr>
                <w:sz w:val="20"/>
                <w:szCs w:val="20"/>
              </w:rPr>
            </w:pPr>
            <w:r w:rsidRPr="00215888">
              <w:rPr>
                <w:rFonts w:ascii="Calibri" w:eastAsia="Calibri" w:hAnsi="Calibri" w:cs="Calibri"/>
                <w:color w:val="000000"/>
                <w:sz w:val="20"/>
                <w:szCs w:val="20"/>
              </w:rPr>
              <w:t>Descriptive</w:t>
            </w:r>
          </w:p>
        </w:tc>
        <w:tc>
          <w:tcPr>
            <w:tcW w:w="3260" w:type="dxa"/>
            <w:gridSpan w:val="3"/>
          </w:tcPr>
          <w:p w14:paraId="1B8ADEA3" w14:textId="77777777" w:rsidR="001659D1" w:rsidRPr="00215888" w:rsidRDefault="001659D1" w:rsidP="008B51CA">
            <w:pPr>
              <w:spacing w:before="40" w:after="40"/>
              <w:ind w:left="100" w:right="100"/>
              <w:jc w:val="center"/>
              <w:rPr>
                <w:sz w:val="20"/>
                <w:szCs w:val="20"/>
              </w:rPr>
            </w:pPr>
            <w:r w:rsidRPr="00215888">
              <w:rPr>
                <w:rFonts w:ascii="Calibri" w:eastAsia="Calibri" w:hAnsi="Calibri" w:cs="Calibri"/>
                <w:color w:val="000000"/>
                <w:sz w:val="20"/>
                <w:szCs w:val="20"/>
              </w:rPr>
              <w:t>Univariable</w:t>
            </w:r>
          </w:p>
        </w:tc>
        <w:tc>
          <w:tcPr>
            <w:tcW w:w="3337" w:type="dxa"/>
            <w:gridSpan w:val="3"/>
          </w:tcPr>
          <w:p w14:paraId="398BE5DD" w14:textId="77777777" w:rsidR="001659D1" w:rsidRPr="00215888" w:rsidRDefault="001659D1" w:rsidP="008B51CA">
            <w:pPr>
              <w:spacing w:before="40" w:after="40"/>
              <w:ind w:left="100" w:right="100"/>
              <w:jc w:val="center"/>
              <w:rPr>
                <w:sz w:val="20"/>
                <w:szCs w:val="20"/>
              </w:rPr>
            </w:pPr>
            <w:r w:rsidRPr="00215888">
              <w:rPr>
                <w:rFonts w:ascii="Calibri" w:eastAsia="Calibri" w:hAnsi="Calibri" w:cs="Calibri"/>
                <w:color w:val="000000"/>
                <w:sz w:val="20"/>
                <w:szCs w:val="20"/>
              </w:rPr>
              <w:t>Multivariable</w:t>
            </w:r>
          </w:p>
        </w:tc>
      </w:tr>
      <w:tr w:rsidR="001659D1" w:rsidRPr="00215888" w14:paraId="0FC19970" w14:textId="77777777" w:rsidTr="008B51CA">
        <w:trPr>
          <w:cnfStyle w:val="000000100000" w:firstRow="0" w:lastRow="0" w:firstColumn="0" w:lastColumn="0" w:oddVBand="0" w:evenVBand="0" w:oddHBand="1" w:evenHBand="0" w:firstRowFirstColumn="0" w:firstRowLastColumn="0" w:lastRowFirstColumn="0" w:lastRowLastColumn="0"/>
        </w:trPr>
        <w:tc>
          <w:tcPr>
            <w:tcW w:w="4004" w:type="dxa"/>
          </w:tcPr>
          <w:p w14:paraId="1BBF4D5D" w14:textId="77777777" w:rsidR="001659D1" w:rsidRPr="00215888" w:rsidRDefault="001659D1" w:rsidP="0051739E">
            <w:pPr>
              <w:spacing w:before="40" w:after="40"/>
              <w:ind w:left="100" w:right="100"/>
              <w:rPr>
                <w:sz w:val="20"/>
                <w:szCs w:val="20"/>
              </w:rPr>
            </w:pPr>
            <w:r w:rsidRPr="00215888">
              <w:rPr>
                <w:rFonts w:ascii="Calibri" w:eastAsia="Calibri" w:hAnsi="Calibri" w:cs="Calibri"/>
                <w:b/>
                <w:color w:val="000000"/>
                <w:sz w:val="20"/>
                <w:szCs w:val="20"/>
              </w:rPr>
              <w:t>Characteristic</w:t>
            </w:r>
          </w:p>
        </w:tc>
        <w:tc>
          <w:tcPr>
            <w:tcW w:w="1520" w:type="dxa"/>
          </w:tcPr>
          <w:p w14:paraId="1657C3C2" w14:textId="77777777" w:rsidR="009847A6" w:rsidRPr="00215888" w:rsidRDefault="001659D1" w:rsidP="008B51CA">
            <w:pPr>
              <w:spacing w:before="40" w:after="40"/>
              <w:ind w:left="100" w:right="100"/>
              <w:jc w:val="right"/>
              <w:rPr>
                <w:rFonts w:ascii="Calibri" w:eastAsia="Calibri" w:hAnsi="Calibri" w:cs="Calibri"/>
                <w:b/>
                <w:color w:val="000000"/>
                <w:sz w:val="20"/>
                <w:szCs w:val="20"/>
              </w:rPr>
            </w:pPr>
            <w:r w:rsidRPr="00215888">
              <w:rPr>
                <w:rFonts w:ascii="Calibri" w:eastAsia="Calibri" w:hAnsi="Calibri" w:cs="Calibri"/>
                <w:b/>
                <w:color w:val="000000"/>
                <w:sz w:val="20"/>
                <w:szCs w:val="20"/>
              </w:rPr>
              <w:t xml:space="preserve">Did not participate, </w:t>
            </w:r>
          </w:p>
          <w:p w14:paraId="1507B969" w14:textId="0A4C7D54" w:rsidR="001659D1" w:rsidRPr="00215888" w:rsidRDefault="008B51CA" w:rsidP="008B51CA">
            <w:pPr>
              <w:spacing w:before="40" w:after="40"/>
              <w:ind w:left="100" w:right="100"/>
              <w:jc w:val="right"/>
              <w:rPr>
                <w:sz w:val="20"/>
                <w:szCs w:val="20"/>
              </w:rPr>
            </w:pPr>
            <w:r>
              <w:rPr>
                <w:rFonts w:ascii="Calibri" w:eastAsia="Calibri" w:hAnsi="Calibri" w:cs="Calibri"/>
                <w:b/>
                <w:color w:val="000000"/>
                <w:sz w:val="20"/>
                <w:szCs w:val="20"/>
              </w:rPr>
              <w:t>n</w:t>
            </w:r>
            <w:r w:rsidR="001659D1" w:rsidRPr="00215888">
              <w:rPr>
                <w:rFonts w:ascii="Calibri" w:eastAsia="Calibri" w:hAnsi="Calibri" w:cs="Calibri"/>
                <w:b/>
                <w:color w:val="000000"/>
                <w:sz w:val="20"/>
                <w:szCs w:val="20"/>
              </w:rPr>
              <w:t xml:space="preserve"> = 3,331</w:t>
            </w:r>
            <w:r w:rsidR="001659D1" w:rsidRPr="00215888">
              <w:rPr>
                <w:rFonts w:ascii="Calibri" w:eastAsia="Calibri" w:hAnsi="Calibri" w:cs="Calibri"/>
                <w:b/>
                <w:color w:val="000000"/>
                <w:sz w:val="20"/>
                <w:szCs w:val="20"/>
                <w:vertAlign w:val="superscript"/>
              </w:rPr>
              <w:t>1</w:t>
            </w:r>
          </w:p>
        </w:tc>
        <w:tc>
          <w:tcPr>
            <w:tcW w:w="1559" w:type="dxa"/>
          </w:tcPr>
          <w:p w14:paraId="6460B5B4" w14:textId="66C17A83" w:rsidR="001659D1" w:rsidRPr="00215888" w:rsidRDefault="001659D1" w:rsidP="008B51CA">
            <w:pPr>
              <w:spacing w:before="40" w:after="40"/>
              <w:ind w:left="100" w:right="100"/>
              <w:jc w:val="right"/>
              <w:rPr>
                <w:sz w:val="20"/>
                <w:szCs w:val="20"/>
              </w:rPr>
            </w:pPr>
            <w:r w:rsidRPr="00215888">
              <w:rPr>
                <w:rFonts w:ascii="Calibri" w:eastAsia="Calibri" w:hAnsi="Calibri" w:cs="Calibri"/>
                <w:b/>
                <w:color w:val="000000"/>
                <w:sz w:val="20"/>
                <w:szCs w:val="20"/>
              </w:rPr>
              <w:t xml:space="preserve">Participated, </w:t>
            </w:r>
            <w:r w:rsidR="008B51CA">
              <w:rPr>
                <w:rFonts w:ascii="Calibri" w:eastAsia="Calibri" w:hAnsi="Calibri" w:cs="Calibri"/>
                <w:b/>
                <w:color w:val="000000"/>
                <w:sz w:val="20"/>
                <w:szCs w:val="20"/>
              </w:rPr>
              <w:br/>
              <w:t>n</w:t>
            </w:r>
            <w:r w:rsidRPr="00215888">
              <w:rPr>
                <w:rFonts w:ascii="Calibri" w:eastAsia="Calibri" w:hAnsi="Calibri" w:cs="Calibri"/>
                <w:b/>
                <w:color w:val="000000"/>
                <w:sz w:val="20"/>
                <w:szCs w:val="20"/>
              </w:rPr>
              <w:t xml:space="preserve"> = 2,432</w:t>
            </w:r>
            <w:r w:rsidRPr="00215888">
              <w:rPr>
                <w:rFonts w:ascii="Calibri" w:eastAsia="Calibri" w:hAnsi="Calibri" w:cs="Calibri"/>
                <w:b/>
                <w:color w:val="000000"/>
                <w:sz w:val="20"/>
                <w:szCs w:val="20"/>
                <w:vertAlign w:val="superscript"/>
              </w:rPr>
              <w:t>1</w:t>
            </w:r>
          </w:p>
        </w:tc>
        <w:tc>
          <w:tcPr>
            <w:tcW w:w="850" w:type="dxa"/>
          </w:tcPr>
          <w:p w14:paraId="6D279BF2" w14:textId="51C8691A" w:rsidR="001659D1" w:rsidRPr="00215888" w:rsidRDefault="003016FD" w:rsidP="008B51CA">
            <w:pPr>
              <w:spacing w:before="40" w:after="40"/>
              <w:ind w:left="100" w:right="100"/>
              <w:jc w:val="right"/>
              <w:rPr>
                <w:sz w:val="20"/>
                <w:szCs w:val="20"/>
              </w:rPr>
            </w:pPr>
            <w:r>
              <w:rPr>
                <w:rFonts w:ascii="Calibri" w:eastAsia="Calibri" w:hAnsi="Calibri" w:cs="Calibri"/>
                <w:b/>
                <w:color w:val="000000"/>
                <w:sz w:val="20"/>
                <w:szCs w:val="20"/>
              </w:rPr>
              <w:t>RR</w:t>
            </w:r>
            <w:r w:rsidRPr="00215888">
              <w:rPr>
                <w:rFonts w:ascii="Calibri" w:eastAsia="Calibri" w:hAnsi="Calibri" w:cs="Calibri"/>
                <w:b/>
                <w:color w:val="000000"/>
                <w:sz w:val="20"/>
                <w:szCs w:val="20"/>
                <w:vertAlign w:val="superscript"/>
              </w:rPr>
              <w:t>2</w:t>
            </w:r>
          </w:p>
        </w:tc>
        <w:tc>
          <w:tcPr>
            <w:tcW w:w="1276" w:type="dxa"/>
          </w:tcPr>
          <w:p w14:paraId="23967FC9" w14:textId="77777777" w:rsidR="001659D1" w:rsidRPr="00215888" w:rsidRDefault="001659D1" w:rsidP="008B51CA">
            <w:pPr>
              <w:spacing w:before="40" w:after="40"/>
              <w:ind w:left="100" w:right="100"/>
              <w:jc w:val="right"/>
              <w:rPr>
                <w:sz w:val="20"/>
                <w:szCs w:val="20"/>
              </w:rPr>
            </w:pPr>
            <w:r w:rsidRPr="00215888">
              <w:rPr>
                <w:rFonts w:ascii="Calibri" w:eastAsia="Calibri" w:hAnsi="Calibri" w:cs="Calibri"/>
                <w:b/>
                <w:color w:val="000000"/>
                <w:sz w:val="20"/>
                <w:szCs w:val="20"/>
              </w:rPr>
              <w:t>95% CI</w:t>
            </w:r>
            <w:r w:rsidRPr="00215888">
              <w:rPr>
                <w:rFonts w:ascii="Calibri" w:eastAsia="Calibri" w:hAnsi="Calibri" w:cs="Calibri"/>
                <w:b/>
                <w:color w:val="000000"/>
                <w:sz w:val="20"/>
                <w:szCs w:val="20"/>
                <w:vertAlign w:val="superscript"/>
              </w:rPr>
              <w:t>2</w:t>
            </w:r>
          </w:p>
        </w:tc>
        <w:tc>
          <w:tcPr>
            <w:tcW w:w="1134" w:type="dxa"/>
          </w:tcPr>
          <w:p w14:paraId="5FB11902" w14:textId="77777777" w:rsidR="001659D1" w:rsidRPr="00215888" w:rsidRDefault="001659D1" w:rsidP="008B51CA">
            <w:pPr>
              <w:spacing w:before="40" w:after="40"/>
              <w:ind w:left="100" w:right="100"/>
              <w:jc w:val="right"/>
              <w:rPr>
                <w:sz w:val="20"/>
                <w:szCs w:val="20"/>
              </w:rPr>
            </w:pPr>
            <w:r w:rsidRPr="00215888">
              <w:rPr>
                <w:rFonts w:ascii="Calibri" w:eastAsia="Calibri" w:hAnsi="Calibri" w:cs="Calibri"/>
                <w:b/>
                <w:color w:val="000000"/>
                <w:sz w:val="20"/>
                <w:szCs w:val="20"/>
              </w:rPr>
              <w:t>p-value</w:t>
            </w:r>
          </w:p>
        </w:tc>
        <w:tc>
          <w:tcPr>
            <w:tcW w:w="851" w:type="dxa"/>
          </w:tcPr>
          <w:p w14:paraId="28195D83" w14:textId="1074EB2E" w:rsidR="001659D1" w:rsidRPr="00215888" w:rsidRDefault="003016FD" w:rsidP="008B51CA">
            <w:pPr>
              <w:spacing w:before="40" w:after="40"/>
              <w:ind w:left="100" w:right="100"/>
              <w:jc w:val="right"/>
              <w:rPr>
                <w:sz w:val="20"/>
                <w:szCs w:val="20"/>
              </w:rPr>
            </w:pPr>
            <w:r>
              <w:rPr>
                <w:rFonts w:ascii="Calibri" w:eastAsia="Calibri" w:hAnsi="Calibri" w:cs="Calibri"/>
                <w:b/>
                <w:color w:val="000000"/>
                <w:sz w:val="20"/>
                <w:szCs w:val="20"/>
              </w:rPr>
              <w:t>R</w:t>
            </w:r>
            <w:r w:rsidR="001659D1" w:rsidRPr="00215888">
              <w:rPr>
                <w:rFonts w:ascii="Calibri" w:eastAsia="Calibri" w:hAnsi="Calibri" w:cs="Calibri"/>
                <w:b/>
                <w:color w:val="000000"/>
                <w:sz w:val="20"/>
                <w:szCs w:val="20"/>
              </w:rPr>
              <w:t>R</w:t>
            </w:r>
            <w:r w:rsidR="001659D1" w:rsidRPr="00215888">
              <w:rPr>
                <w:rFonts w:ascii="Calibri" w:eastAsia="Calibri" w:hAnsi="Calibri" w:cs="Calibri"/>
                <w:b/>
                <w:color w:val="000000"/>
                <w:sz w:val="20"/>
                <w:szCs w:val="20"/>
                <w:vertAlign w:val="superscript"/>
              </w:rPr>
              <w:t>2</w:t>
            </w:r>
          </w:p>
        </w:tc>
        <w:tc>
          <w:tcPr>
            <w:tcW w:w="1275" w:type="dxa"/>
          </w:tcPr>
          <w:p w14:paraId="702520C3" w14:textId="77777777" w:rsidR="001659D1" w:rsidRPr="00215888" w:rsidRDefault="001659D1" w:rsidP="008B51CA">
            <w:pPr>
              <w:spacing w:before="40" w:after="40"/>
              <w:ind w:left="100" w:right="100"/>
              <w:jc w:val="right"/>
              <w:rPr>
                <w:sz w:val="20"/>
                <w:szCs w:val="20"/>
              </w:rPr>
            </w:pPr>
            <w:r w:rsidRPr="00215888">
              <w:rPr>
                <w:rFonts w:ascii="Calibri" w:eastAsia="Calibri" w:hAnsi="Calibri" w:cs="Calibri"/>
                <w:b/>
                <w:color w:val="000000"/>
                <w:sz w:val="20"/>
                <w:szCs w:val="20"/>
              </w:rPr>
              <w:t>95% CI</w:t>
            </w:r>
            <w:r w:rsidRPr="00215888">
              <w:rPr>
                <w:rFonts w:ascii="Calibri" w:eastAsia="Calibri" w:hAnsi="Calibri" w:cs="Calibri"/>
                <w:b/>
                <w:color w:val="000000"/>
                <w:sz w:val="20"/>
                <w:szCs w:val="20"/>
                <w:vertAlign w:val="superscript"/>
              </w:rPr>
              <w:t>2</w:t>
            </w:r>
          </w:p>
        </w:tc>
        <w:tc>
          <w:tcPr>
            <w:tcW w:w="1211" w:type="dxa"/>
          </w:tcPr>
          <w:p w14:paraId="5B66BF31" w14:textId="77777777" w:rsidR="001659D1" w:rsidRPr="00215888" w:rsidRDefault="001659D1" w:rsidP="008B51CA">
            <w:pPr>
              <w:spacing w:before="40" w:after="40"/>
              <w:ind w:left="100" w:right="100"/>
              <w:jc w:val="right"/>
              <w:rPr>
                <w:sz w:val="20"/>
                <w:szCs w:val="20"/>
              </w:rPr>
            </w:pPr>
            <w:r w:rsidRPr="00215888">
              <w:rPr>
                <w:rFonts w:ascii="Calibri" w:eastAsia="Calibri" w:hAnsi="Calibri" w:cs="Calibri"/>
                <w:b/>
                <w:color w:val="000000"/>
                <w:sz w:val="20"/>
                <w:szCs w:val="20"/>
              </w:rPr>
              <w:t>p-value</w:t>
            </w:r>
          </w:p>
        </w:tc>
      </w:tr>
      <w:tr w:rsidR="001659D1" w:rsidRPr="00215888" w14:paraId="5D572E7E" w14:textId="77777777" w:rsidTr="008B51CA">
        <w:tc>
          <w:tcPr>
            <w:tcW w:w="4004" w:type="dxa"/>
          </w:tcPr>
          <w:p w14:paraId="112820FA" w14:textId="77777777" w:rsidR="001659D1" w:rsidRPr="00215888" w:rsidRDefault="001659D1" w:rsidP="0051739E">
            <w:pPr>
              <w:spacing w:before="20" w:after="20"/>
              <w:ind w:left="100" w:right="100"/>
              <w:rPr>
                <w:sz w:val="20"/>
                <w:szCs w:val="20"/>
              </w:rPr>
            </w:pPr>
            <w:r w:rsidRPr="00215888">
              <w:rPr>
                <w:rFonts w:ascii="Calibri" w:eastAsia="Calibri" w:hAnsi="Calibri" w:cs="Calibri"/>
                <w:b/>
                <w:color w:val="000000"/>
                <w:sz w:val="20"/>
                <w:szCs w:val="20"/>
              </w:rPr>
              <w:t>Study week of first contact test</w:t>
            </w:r>
          </w:p>
        </w:tc>
        <w:tc>
          <w:tcPr>
            <w:tcW w:w="1520" w:type="dxa"/>
          </w:tcPr>
          <w:p w14:paraId="4B85CEA4" w14:textId="77777777" w:rsidR="001659D1" w:rsidRPr="00215888" w:rsidRDefault="001659D1" w:rsidP="008B51CA">
            <w:pPr>
              <w:spacing w:before="20" w:after="20"/>
              <w:ind w:left="100" w:right="100"/>
              <w:jc w:val="right"/>
              <w:rPr>
                <w:sz w:val="20"/>
                <w:szCs w:val="20"/>
              </w:rPr>
            </w:pPr>
          </w:p>
        </w:tc>
        <w:tc>
          <w:tcPr>
            <w:tcW w:w="1559" w:type="dxa"/>
          </w:tcPr>
          <w:p w14:paraId="67554FC7" w14:textId="77777777" w:rsidR="001659D1" w:rsidRPr="00215888" w:rsidRDefault="001659D1" w:rsidP="008B51CA">
            <w:pPr>
              <w:spacing w:before="20" w:after="20"/>
              <w:ind w:left="100" w:right="100"/>
              <w:jc w:val="right"/>
              <w:rPr>
                <w:sz w:val="20"/>
                <w:szCs w:val="20"/>
              </w:rPr>
            </w:pPr>
          </w:p>
        </w:tc>
        <w:tc>
          <w:tcPr>
            <w:tcW w:w="850" w:type="dxa"/>
          </w:tcPr>
          <w:p w14:paraId="4EE27C34" w14:textId="77777777" w:rsidR="001659D1" w:rsidRPr="00215888" w:rsidRDefault="001659D1" w:rsidP="008B51CA">
            <w:pPr>
              <w:spacing w:before="20" w:after="20"/>
              <w:ind w:left="100" w:right="100"/>
              <w:jc w:val="right"/>
              <w:rPr>
                <w:sz w:val="20"/>
                <w:szCs w:val="20"/>
              </w:rPr>
            </w:pPr>
          </w:p>
        </w:tc>
        <w:tc>
          <w:tcPr>
            <w:tcW w:w="1276" w:type="dxa"/>
          </w:tcPr>
          <w:p w14:paraId="61C3BAD8" w14:textId="77777777" w:rsidR="001659D1" w:rsidRPr="00215888" w:rsidRDefault="001659D1" w:rsidP="008B51CA">
            <w:pPr>
              <w:spacing w:before="20" w:after="20"/>
              <w:ind w:left="100" w:right="100"/>
              <w:jc w:val="right"/>
              <w:rPr>
                <w:sz w:val="20"/>
                <w:szCs w:val="20"/>
              </w:rPr>
            </w:pPr>
          </w:p>
        </w:tc>
        <w:tc>
          <w:tcPr>
            <w:tcW w:w="1134" w:type="dxa"/>
          </w:tcPr>
          <w:p w14:paraId="2CE3D626" w14:textId="77777777" w:rsidR="001659D1" w:rsidRPr="00215888" w:rsidRDefault="001659D1" w:rsidP="008B51CA">
            <w:pPr>
              <w:spacing w:before="20" w:after="20"/>
              <w:ind w:left="100" w:right="100"/>
              <w:jc w:val="right"/>
              <w:rPr>
                <w:sz w:val="20"/>
                <w:szCs w:val="20"/>
              </w:rPr>
            </w:pPr>
          </w:p>
        </w:tc>
        <w:tc>
          <w:tcPr>
            <w:tcW w:w="851" w:type="dxa"/>
          </w:tcPr>
          <w:p w14:paraId="3B9B35F0" w14:textId="77777777" w:rsidR="001659D1" w:rsidRPr="00215888" w:rsidRDefault="001659D1" w:rsidP="008B51CA">
            <w:pPr>
              <w:spacing w:before="20" w:after="20"/>
              <w:ind w:left="100" w:right="100"/>
              <w:jc w:val="right"/>
              <w:rPr>
                <w:sz w:val="20"/>
                <w:szCs w:val="20"/>
              </w:rPr>
            </w:pPr>
          </w:p>
        </w:tc>
        <w:tc>
          <w:tcPr>
            <w:tcW w:w="1275" w:type="dxa"/>
          </w:tcPr>
          <w:p w14:paraId="4C7112A0" w14:textId="77777777" w:rsidR="001659D1" w:rsidRPr="00215888" w:rsidRDefault="001659D1" w:rsidP="008B51CA">
            <w:pPr>
              <w:spacing w:before="20" w:after="20"/>
              <w:ind w:left="100" w:right="100"/>
              <w:jc w:val="right"/>
              <w:rPr>
                <w:sz w:val="20"/>
                <w:szCs w:val="20"/>
              </w:rPr>
            </w:pPr>
          </w:p>
        </w:tc>
        <w:tc>
          <w:tcPr>
            <w:tcW w:w="1211" w:type="dxa"/>
          </w:tcPr>
          <w:p w14:paraId="28E4672F" w14:textId="77777777" w:rsidR="001659D1" w:rsidRPr="00215888" w:rsidRDefault="001659D1" w:rsidP="008B51CA">
            <w:pPr>
              <w:spacing w:before="20" w:after="20"/>
              <w:ind w:left="100" w:right="100"/>
              <w:jc w:val="right"/>
              <w:rPr>
                <w:sz w:val="20"/>
                <w:szCs w:val="20"/>
              </w:rPr>
            </w:pPr>
          </w:p>
        </w:tc>
      </w:tr>
      <w:tr w:rsidR="00D64FB9" w:rsidRPr="00215888" w14:paraId="563DFDAE"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749F8F5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1</w:t>
            </w:r>
          </w:p>
        </w:tc>
        <w:tc>
          <w:tcPr>
            <w:tcW w:w="0" w:type="dxa"/>
            <w:vAlign w:val="center"/>
          </w:tcPr>
          <w:p w14:paraId="284B925E" w14:textId="3E668BC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 (17%)</w:t>
            </w:r>
          </w:p>
        </w:tc>
        <w:tc>
          <w:tcPr>
            <w:tcW w:w="0" w:type="dxa"/>
            <w:vAlign w:val="center"/>
          </w:tcPr>
          <w:p w14:paraId="763AE0CF" w14:textId="7F0C532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34 (83%)</w:t>
            </w:r>
          </w:p>
        </w:tc>
        <w:tc>
          <w:tcPr>
            <w:tcW w:w="0" w:type="dxa"/>
            <w:vAlign w:val="center"/>
          </w:tcPr>
          <w:p w14:paraId="4BCF5C09" w14:textId="16E03DB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1.10</w:t>
            </w:r>
          </w:p>
        </w:tc>
        <w:tc>
          <w:tcPr>
            <w:tcW w:w="0" w:type="dxa"/>
            <w:vAlign w:val="center"/>
          </w:tcPr>
          <w:p w14:paraId="6D0AA267" w14:textId="33AD6BA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0.77, 1.58</w:t>
            </w:r>
          </w:p>
        </w:tc>
        <w:tc>
          <w:tcPr>
            <w:tcW w:w="0" w:type="dxa"/>
            <w:vAlign w:val="center"/>
          </w:tcPr>
          <w:p w14:paraId="4C054127" w14:textId="792E437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0.60</w:t>
            </w:r>
          </w:p>
        </w:tc>
        <w:tc>
          <w:tcPr>
            <w:tcW w:w="0" w:type="dxa"/>
            <w:vAlign w:val="center"/>
          </w:tcPr>
          <w:p w14:paraId="00A15934" w14:textId="1F08BAE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1.45</w:t>
            </w:r>
          </w:p>
        </w:tc>
        <w:tc>
          <w:tcPr>
            <w:tcW w:w="0" w:type="dxa"/>
            <w:vAlign w:val="center"/>
          </w:tcPr>
          <w:p w14:paraId="48E7BFCF" w14:textId="2CF69E0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0.92, 2.27</w:t>
            </w:r>
          </w:p>
        </w:tc>
        <w:tc>
          <w:tcPr>
            <w:tcW w:w="0" w:type="dxa"/>
            <w:vAlign w:val="center"/>
          </w:tcPr>
          <w:p w14:paraId="7DB65092" w14:textId="0E493F4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0.11</w:t>
            </w:r>
          </w:p>
        </w:tc>
      </w:tr>
      <w:tr w:rsidR="00D64FB9" w:rsidRPr="00215888" w14:paraId="21155B11" w14:textId="77777777" w:rsidTr="006E6EE9">
        <w:tc>
          <w:tcPr>
            <w:tcW w:w="0" w:type="dxa"/>
          </w:tcPr>
          <w:p w14:paraId="2339D3CE"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2</w:t>
            </w:r>
          </w:p>
        </w:tc>
        <w:tc>
          <w:tcPr>
            <w:tcW w:w="0" w:type="dxa"/>
            <w:vAlign w:val="center"/>
          </w:tcPr>
          <w:p w14:paraId="7C7F4645" w14:textId="0C18A31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70 (25%)</w:t>
            </w:r>
          </w:p>
        </w:tc>
        <w:tc>
          <w:tcPr>
            <w:tcW w:w="0" w:type="dxa"/>
            <w:vAlign w:val="center"/>
          </w:tcPr>
          <w:p w14:paraId="39B7CD5D" w14:textId="2836A16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213 (75%)</w:t>
            </w:r>
          </w:p>
        </w:tc>
        <w:tc>
          <w:tcPr>
            <w:tcW w:w="0" w:type="dxa"/>
            <w:vAlign w:val="center"/>
          </w:tcPr>
          <w:p w14:paraId="5B4E2BD8" w14:textId="52DB78C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60F4ED1C" w14:textId="48B68F7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2F393DBD" w14:textId="1EAAA226" w:rsidR="00D64FB9" w:rsidRPr="00215888" w:rsidRDefault="00D64FB9" w:rsidP="00D64FB9">
            <w:pPr>
              <w:spacing w:before="20" w:after="20"/>
              <w:ind w:left="100" w:right="100"/>
              <w:jc w:val="right"/>
              <w:rPr>
                <w:sz w:val="20"/>
                <w:szCs w:val="20"/>
              </w:rPr>
            </w:pPr>
          </w:p>
        </w:tc>
        <w:tc>
          <w:tcPr>
            <w:tcW w:w="0" w:type="dxa"/>
            <w:vAlign w:val="center"/>
          </w:tcPr>
          <w:p w14:paraId="42024B16" w14:textId="131B3E1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6D075325" w14:textId="172980E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4D0DAF92" w14:textId="2E42C628" w:rsidR="00D64FB9" w:rsidRPr="00215888" w:rsidRDefault="00D64FB9" w:rsidP="00D64FB9">
            <w:pPr>
              <w:spacing w:before="20" w:after="20"/>
              <w:ind w:left="100" w:right="100"/>
              <w:jc w:val="right"/>
              <w:rPr>
                <w:sz w:val="20"/>
                <w:szCs w:val="20"/>
              </w:rPr>
            </w:pPr>
          </w:p>
        </w:tc>
      </w:tr>
      <w:tr w:rsidR="00D64FB9" w:rsidRPr="00215888" w14:paraId="327E5068"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4B536BA6"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3</w:t>
            </w:r>
          </w:p>
        </w:tc>
        <w:tc>
          <w:tcPr>
            <w:tcW w:w="0" w:type="dxa"/>
            <w:vAlign w:val="center"/>
          </w:tcPr>
          <w:p w14:paraId="5A559C4A" w14:textId="52B8B4C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147 (43%)</w:t>
            </w:r>
          </w:p>
        </w:tc>
        <w:tc>
          <w:tcPr>
            <w:tcW w:w="0" w:type="dxa"/>
            <w:vAlign w:val="center"/>
          </w:tcPr>
          <w:p w14:paraId="2159ACAF" w14:textId="12FB7A9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195 (57%)</w:t>
            </w:r>
          </w:p>
        </w:tc>
        <w:tc>
          <w:tcPr>
            <w:tcW w:w="0" w:type="dxa"/>
            <w:vAlign w:val="center"/>
          </w:tcPr>
          <w:p w14:paraId="08427B56" w14:textId="549A3C2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0.76</w:t>
            </w:r>
          </w:p>
        </w:tc>
        <w:tc>
          <w:tcPr>
            <w:tcW w:w="0" w:type="dxa"/>
            <w:vAlign w:val="center"/>
          </w:tcPr>
          <w:p w14:paraId="798249D6" w14:textId="3C02B3C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0.58, 0.99</w:t>
            </w:r>
          </w:p>
        </w:tc>
        <w:tc>
          <w:tcPr>
            <w:tcW w:w="0" w:type="dxa"/>
            <w:vAlign w:val="center"/>
          </w:tcPr>
          <w:p w14:paraId="16578E68" w14:textId="4EB8C78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0.041</w:t>
            </w:r>
          </w:p>
        </w:tc>
        <w:tc>
          <w:tcPr>
            <w:tcW w:w="0" w:type="dxa"/>
            <w:vAlign w:val="center"/>
          </w:tcPr>
          <w:p w14:paraId="37FEE268" w14:textId="21CBF3F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0.81</w:t>
            </w:r>
          </w:p>
        </w:tc>
        <w:tc>
          <w:tcPr>
            <w:tcW w:w="0" w:type="dxa"/>
            <w:vAlign w:val="center"/>
          </w:tcPr>
          <w:p w14:paraId="48407337" w14:textId="285A333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0.60, 1.09</w:t>
            </w:r>
          </w:p>
        </w:tc>
        <w:tc>
          <w:tcPr>
            <w:tcW w:w="0" w:type="dxa"/>
            <w:vAlign w:val="center"/>
          </w:tcPr>
          <w:p w14:paraId="6B90F11A" w14:textId="276C074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0.17</w:t>
            </w:r>
          </w:p>
        </w:tc>
      </w:tr>
      <w:tr w:rsidR="00D64FB9" w:rsidRPr="00215888" w14:paraId="22F19825" w14:textId="77777777" w:rsidTr="006E6EE9">
        <w:tc>
          <w:tcPr>
            <w:tcW w:w="0" w:type="dxa"/>
          </w:tcPr>
          <w:p w14:paraId="32DF773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4</w:t>
            </w:r>
          </w:p>
        </w:tc>
        <w:tc>
          <w:tcPr>
            <w:tcW w:w="0" w:type="dxa"/>
            <w:vAlign w:val="center"/>
          </w:tcPr>
          <w:p w14:paraId="41EDD6EB" w14:textId="765FBBA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138 (41%)</w:t>
            </w:r>
          </w:p>
        </w:tc>
        <w:tc>
          <w:tcPr>
            <w:tcW w:w="0" w:type="dxa"/>
            <w:vAlign w:val="center"/>
          </w:tcPr>
          <w:p w14:paraId="5C5ACFF5" w14:textId="51AFE55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200 (59%)</w:t>
            </w:r>
          </w:p>
        </w:tc>
        <w:tc>
          <w:tcPr>
            <w:tcW w:w="0" w:type="dxa"/>
            <w:vAlign w:val="center"/>
          </w:tcPr>
          <w:p w14:paraId="22E8DAFF" w14:textId="63FE206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0.79</w:t>
            </w:r>
          </w:p>
        </w:tc>
        <w:tc>
          <w:tcPr>
            <w:tcW w:w="0" w:type="dxa"/>
            <w:vAlign w:val="center"/>
          </w:tcPr>
          <w:p w14:paraId="5A263F2D" w14:textId="272F166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0.60, 1.02</w:t>
            </w:r>
          </w:p>
        </w:tc>
        <w:tc>
          <w:tcPr>
            <w:tcW w:w="0" w:type="dxa"/>
            <w:vAlign w:val="center"/>
          </w:tcPr>
          <w:p w14:paraId="085299B0" w14:textId="547AF2E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0.075</w:t>
            </w:r>
          </w:p>
        </w:tc>
        <w:tc>
          <w:tcPr>
            <w:tcW w:w="0" w:type="dxa"/>
            <w:vAlign w:val="center"/>
          </w:tcPr>
          <w:p w14:paraId="63DE9D79" w14:textId="0BC4D24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0.96</w:t>
            </w:r>
          </w:p>
        </w:tc>
        <w:tc>
          <w:tcPr>
            <w:tcW w:w="0" w:type="dxa"/>
            <w:vAlign w:val="center"/>
          </w:tcPr>
          <w:p w14:paraId="6E4C0F0F" w14:textId="18C378C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0.68, 1.36</w:t>
            </w:r>
          </w:p>
        </w:tc>
        <w:tc>
          <w:tcPr>
            <w:tcW w:w="0" w:type="dxa"/>
            <w:vAlign w:val="center"/>
          </w:tcPr>
          <w:p w14:paraId="76EAA610" w14:textId="1DFE6B9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w:t>
            </w:r>
          </w:p>
        </w:tc>
      </w:tr>
      <w:tr w:rsidR="00D64FB9" w:rsidRPr="00215888" w14:paraId="0B4462AC"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9667F50"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5</w:t>
            </w:r>
          </w:p>
        </w:tc>
        <w:tc>
          <w:tcPr>
            <w:tcW w:w="0" w:type="dxa"/>
            <w:vAlign w:val="center"/>
          </w:tcPr>
          <w:p w14:paraId="5C2ED88F" w14:textId="4471C01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306 (72%)</w:t>
            </w:r>
          </w:p>
        </w:tc>
        <w:tc>
          <w:tcPr>
            <w:tcW w:w="0" w:type="dxa"/>
            <w:vAlign w:val="center"/>
          </w:tcPr>
          <w:p w14:paraId="0C36BE25" w14:textId="5AE31C7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118 (28%)</w:t>
            </w:r>
          </w:p>
        </w:tc>
        <w:tc>
          <w:tcPr>
            <w:tcW w:w="0" w:type="dxa"/>
            <w:vAlign w:val="center"/>
          </w:tcPr>
          <w:p w14:paraId="2B293CE7" w14:textId="55C76FC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0.37</w:t>
            </w:r>
          </w:p>
        </w:tc>
        <w:tc>
          <w:tcPr>
            <w:tcW w:w="0" w:type="dxa"/>
            <w:vAlign w:val="center"/>
          </w:tcPr>
          <w:p w14:paraId="68122AE1" w14:textId="5F17CC6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0.14, 0.95</w:t>
            </w:r>
          </w:p>
        </w:tc>
        <w:tc>
          <w:tcPr>
            <w:tcW w:w="0" w:type="dxa"/>
            <w:vAlign w:val="center"/>
          </w:tcPr>
          <w:p w14:paraId="1C03E616" w14:textId="2F09849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0.038</w:t>
            </w:r>
          </w:p>
        </w:tc>
        <w:tc>
          <w:tcPr>
            <w:tcW w:w="0" w:type="dxa"/>
            <w:vAlign w:val="center"/>
          </w:tcPr>
          <w:p w14:paraId="5C9EA67E" w14:textId="1B2FF09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0.43</w:t>
            </w:r>
          </w:p>
        </w:tc>
        <w:tc>
          <w:tcPr>
            <w:tcW w:w="0" w:type="dxa"/>
            <w:vAlign w:val="center"/>
          </w:tcPr>
          <w:p w14:paraId="4D661B12" w14:textId="192DADF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0.20, 0.95</w:t>
            </w:r>
          </w:p>
        </w:tc>
        <w:tc>
          <w:tcPr>
            <w:tcW w:w="0" w:type="dxa"/>
            <w:vAlign w:val="center"/>
          </w:tcPr>
          <w:p w14:paraId="61295F93" w14:textId="0878BAA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0.036</w:t>
            </w:r>
          </w:p>
        </w:tc>
      </w:tr>
      <w:tr w:rsidR="00D64FB9" w:rsidRPr="00215888" w14:paraId="0670F524" w14:textId="77777777" w:rsidTr="006E6EE9">
        <w:tc>
          <w:tcPr>
            <w:tcW w:w="0" w:type="dxa"/>
          </w:tcPr>
          <w:p w14:paraId="598A12E9"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6</w:t>
            </w:r>
          </w:p>
        </w:tc>
        <w:tc>
          <w:tcPr>
            <w:tcW w:w="0" w:type="dxa"/>
            <w:vAlign w:val="center"/>
          </w:tcPr>
          <w:p w14:paraId="210457DA" w14:textId="1A9D2FD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412 (93%)</w:t>
            </w:r>
          </w:p>
        </w:tc>
        <w:tc>
          <w:tcPr>
            <w:tcW w:w="0" w:type="dxa"/>
            <w:vAlign w:val="center"/>
          </w:tcPr>
          <w:p w14:paraId="3EAB0C8E" w14:textId="1B406A0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30 (6.8%)</w:t>
            </w:r>
          </w:p>
        </w:tc>
        <w:tc>
          <w:tcPr>
            <w:tcW w:w="0" w:type="dxa"/>
            <w:vAlign w:val="center"/>
          </w:tcPr>
          <w:p w14:paraId="430D6C91" w14:textId="112F4C4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0.09</w:t>
            </w:r>
          </w:p>
        </w:tc>
        <w:tc>
          <w:tcPr>
            <w:tcW w:w="0" w:type="dxa"/>
            <w:vAlign w:val="center"/>
          </w:tcPr>
          <w:p w14:paraId="750ACD5D" w14:textId="5E8D33A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0.02, 0.43</w:t>
            </w:r>
          </w:p>
        </w:tc>
        <w:tc>
          <w:tcPr>
            <w:tcW w:w="0" w:type="dxa"/>
            <w:vAlign w:val="center"/>
          </w:tcPr>
          <w:p w14:paraId="3A756F0F" w14:textId="6A045A6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0.003</w:t>
            </w:r>
          </w:p>
        </w:tc>
        <w:tc>
          <w:tcPr>
            <w:tcW w:w="0" w:type="dxa"/>
            <w:vAlign w:val="center"/>
          </w:tcPr>
          <w:p w14:paraId="4632591B" w14:textId="440DD4A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0.12</w:t>
            </w:r>
          </w:p>
        </w:tc>
        <w:tc>
          <w:tcPr>
            <w:tcW w:w="0" w:type="dxa"/>
            <w:vAlign w:val="center"/>
          </w:tcPr>
          <w:p w14:paraId="149145AA" w14:textId="61A2CD7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0.03, 0.49</w:t>
            </w:r>
          </w:p>
        </w:tc>
        <w:tc>
          <w:tcPr>
            <w:tcW w:w="0" w:type="dxa"/>
            <w:vAlign w:val="center"/>
          </w:tcPr>
          <w:p w14:paraId="242A50F8" w14:textId="3DB1828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0.003</w:t>
            </w:r>
          </w:p>
        </w:tc>
      </w:tr>
      <w:tr w:rsidR="00D64FB9" w:rsidRPr="00215888" w14:paraId="16688658"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36791EA6"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8</w:t>
            </w:r>
          </w:p>
        </w:tc>
        <w:tc>
          <w:tcPr>
            <w:tcW w:w="0" w:type="dxa"/>
            <w:vAlign w:val="center"/>
          </w:tcPr>
          <w:p w14:paraId="5F99A576" w14:textId="5DE8901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206 (42%)</w:t>
            </w:r>
          </w:p>
        </w:tc>
        <w:tc>
          <w:tcPr>
            <w:tcW w:w="0" w:type="dxa"/>
            <w:vAlign w:val="center"/>
          </w:tcPr>
          <w:p w14:paraId="246D93EF" w14:textId="3DED8F0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280 (58%)</w:t>
            </w:r>
          </w:p>
        </w:tc>
        <w:tc>
          <w:tcPr>
            <w:tcW w:w="0" w:type="dxa"/>
            <w:vAlign w:val="center"/>
          </w:tcPr>
          <w:p w14:paraId="1AD0F92A" w14:textId="5D9538B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0.77</w:t>
            </w:r>
          </w:p>
        </w:tc>
        <w:tc>
          <w:tcPr>
            <w:tcW w:w="0" w:type="dxa"/>
            <w:vAlign w:val="center"/>
          </w:tcPr>
          <w:p w14:paraId="5DF382B8" w14:textId="40ACB1C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0.59, 0.99</w:t>
            </w:r>
          </w:p>
        </w:tc>
        <w:tc>
          <w:tcPr>
            <w:tcW w:w="0" w:type="dxa"/>
            <w:vAlign w:val="center"/>
          </w:tcPr>
          <w:p w14:paraId="61EAAB1A" w14:textId="3C2CB9B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0.041</w:t>
            </w:r>
          </w:p>
        </w:tc>
        <w:tc>
          <w:tcPr>
            <w:tcW w:w="0" w:type="dxa"/>
            <w:vAlign w:val="center"/>
          </w:tcPr>
          <w:p w14:paraId="02B2F19F" w14:textId="1ADE8C7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w:t>
            </w:r>
          </w:p>
        </w:tc>
        <w:tc>
          <w:tcPr>
            <w:tcW w:w="0" w:type="dxa"/>
            <w:vAlign w:val="center"/>
          </w:tcPr>
          <w:p w14:paraId="25EC06D4" w14:textId="66BE531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0.62, 1.09</w:t>
            </w:r>
          </w:p>
        </w:tc>
        <w:tc>
          <w:tcPr>
            <w:tcW w:w="0" w:type="dxa"/>
            <w:vAlign w:val="center"/>
          </w:tcPr>
          <w:p w14:paraId="6ACEB0FB" w14:textId="2E859DB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0.17</w:t>
            </w:r>
          </w:p>
        </w:tc>
      </w:tr>
      <w:tr w:rsidR="00D64FB9" w:rsidRPr="00215888" w14:paraId="42891F15" w14:textId="77777777" w:rsidTr="006E6EE9">
        <w:tc>
          <w:tcPr>
            <w:tcW w:w="0" w:type="dxa"/>
          </w:tcPr>
          <w:p w14:paraId="42F6ACDE"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9</w:t>
            </w:r>
          </w:p>
        </w:tc>
        <w:tc>
          <w:tcPr>
            <w:tcW w:w="0" w:type="dxa"/>
            <w:vAlign w:val="center"/>
          </w:tcPr>
          <w:p w14:paraId="0C52A4C2" w14:textId="5700A74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332 (31%)</w:t>
            </w:r>
          </w:p>
        </w:tc>
        <w:tc>
          <w:tcPr>
            <w:tcW w:w="0" w:type="dxa"/>
            <w:vAlign w:val="center"/>
          </w:tcPr>
          <w:p w14:paraId="59874D5D" w14:textId="4F1E76A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755 (69%)</w:t>
            </w:r>
          </w:p>
        </w:tc>
        <w:tc>
          <w:tcPr>
            <w:tcW w:w="0" w:type="dxa"/>
            <w:vAlign w:val="center"/>
          </w:tcPr>
          <w:p w14:paraId="36AFCD0A" w14:textId="5EB9F9E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0.92</w:t>
            </w:r>
          </w:p>
        </w:tc>
        <w:tc>
          <w:tcPr>
            <w:tcW w:w="0" w:type="dxa"/>
            <w:vAlign w:val="center"/>
          </w:tcPr>
          <w:p w14:paraId="1159D3D3" w14:textId="1FB4A64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0.79, 1.08</w:t>
            </w:r>
          </w:p>
        </w:tc>
        <w:tc>
          <w:tcPr>
            <w:tcW w:w="0" w:type="dxa"/>
            <w:vAlign w:val="center"/>
          </w:tcPr>
          <w:p w14:paraId="3E1FFB4D" w14:textId="705AB9D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0.32</w:t>
            </w:r>
          </w:p>
        </w:tc>
        <w:tc>
          <w:tcPr>
            <w:tcW w:w="0" w:type="dxa"/>
            <w:vAlign w:val="center"/>
          </w:tcPr>
          <w:p w14:paraId="6BF894E8" w14:textId="6398701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1.03</w:t>
            </w:r>
          </w:p>
        </w:tc>
        <w:tc>
          <w:tcPr>
            <w:tcW w:w="0" w:type="dxa"/>
            <w:vAlign w:val="center"/>
          </w:tcPr>
          <w:p w14:paraId="3A75839D" w14:textId="6A109C9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0.84, 1.28</w:t>
            </w:r>
          </w:p>
        </w:tc>
        <w:tc>
          <w:tcPr>
            <w:tcW w:w="0" w:type="dxa"/>
            <w:vAlign w:val="center"/>
          </w:tcPr>
          <w:p w14:paraId="4946F746" w14:textId="1A5400D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0.75</w:t>
            </w:r>
          </w:p>
        </w:tc>
      </w:tr>
      <w:tr w:rsidR="00D64FB9" w:rsidRPr="00215888" w14:paraId="1E7D7BEE"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17A3CA0"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10</w:t>
            </w:r>
          </w:p>
        </w:tc>
        <w:tc>
          <w:tcPr>
            <w:tcW w:w="0" w:type="dxa"/>
            <w:vAlign w:val="center"/>
          </w:tcPr>
          <w:p w14:paraId="6974915A" w14:textId="23B1ADA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1,713 (74%)</w:t>
            </w:r>
          </w:p>
        </w:tc>
        <w:tc>
          <w:tcPr>
            <w:tcW w:w="0" w:type="dxa"/>
            <w:vAlign w:val="center"/>
          </w:tcPr>
          <w:p w14:paraId="37F9119F" w14:textId="725F75D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607 (26%)</w:t>
            </w:r>
          </w:p>
        </w:tc>
        <w:tc>
          <w:tcPr>
            <w:tcW w:w="0" w:type="dxa"/>
            <w:vAlign w:val="center"/>
          </w:tcPr>
          <w:p w14:paraId="6925D820" w14:textId="5338D6A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0.35</w:t>
            </w:r>
          </w:p>
        </w:tc>
        <w:tc>
          <w:tcPr>
            <w:tcW w:w="0" w:type="dxa"/>
            <w:vAlign w:val="center"/>
          </w:tcPr>
          <w:p w14:paraId="6BE13BE2" w14:textId="4690AAC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0.24, 0.50</w:t>
            </w:r>
          </w:p>
        </w:tc>
        <w:tc>
          <w:tcPr>
            <w:tcW w:w="0" w:type="dxa"/>
            <w:vAlign w:val="center"/>
          </w:tcPr>
          <w:p w14:paraId="3AC33B66" w14:textId="36F363E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&lt;0.001</w:t>
            </w:r>
          </w:p>
        </w:tc>
        <w:tc>
          <w:tcPr>
            <w:tcW w:w="0" w:type="dxa"/>
            <w:vAlign w:val="center"/>
          </w:tcPr>
          <w:p w14:paraId="6ECA79EA" w14:textId="324CCB8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0.39</w:t>
            </w:r>
          </w:p>
        </w:tc>
        <w:tc>
          <w:tcPr>
            <w:tcW w:w="0" w:type="dxa"/>
            <w:vAlign w:val="center"/>
          </w:tcPr>
          <w:p w14:paraId="68B3F93F" w14:textId="47287A0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0.25, 0.60</w:t>
            </w:r>
          </w:p>
        </w:tc>
        <w:tc>
          <w:tcPr>
            <w:tcW w:w="0" w:type="dxa"/>
            <w:vAlign w:val="center"/>
          </w:tcPr>
          <w:p w14:paraId="5B6DCDD0" w14:textId="76DED1D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&lt;0.001</w:t>
            </w:r>
          </w:p>
        </w:tc>
      </w:tr>
      <w:tr w:rsidR="00D64FB9" w:rsidRPr="00215888" w14:paraId="0BE7D8C6" w14:textId="77777777" w:rsidTr="006E6EE9">
        <w:tc>
          <w:tcPr>
            <w:tcW w:w="0" w:type="dxa"/>
          </w:tcPr>
          <w:p w14:paraId="4F082B5B" w14:textId="77777777"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Strata group</w:t>
            </w:r>
          </w:p>
        </w:tc>
        <w:tc>
          <w:tcPr>
            <w:tcW w:w="0" w:type="dxa"/>
            <w:vAlign w:val="center"/>
          </w:tcPr>
          <w:p w14:paraId="0774305B" w14:textId="77777777" w:rsidR="00D64FB9" w:rsidRPr="00215888" w:rsidRDefault="00D64FB9" w:rsidP="00D64FB9">
            <w:pPr>
              <w:spacing w:before="20" w:after="20"/>
              <w:ind w:left="100" w:right="100"/>
              <w:jc w:val="right"/>
              <w:rPr>
                <w:sz w:val="20"/>
                <w:szCs w:val="20"/>
              </w:rPr>
            </w:pPr>
          </w:p>
        </w:tc>
        <w:tc>
          <w:tcPr>
            <w:tcW w:w="0" w:type="dxa"/>
            <w:vAlign w:val="center"/>
          </w:tcPr>
          <w:p w14:paraId="0F6FD4ED" w14:textId="77777777" w:rsidR="00D64FB9" w:rsidRPr="00215888" w:rsidRDefault="00D64FB9" w:rsidP="00D64FB9">
            <w:pPr>
              <w:spacing w:before="20" w:after="20"/>
              <w:ind w:left="100" w:right="100"/>
              <w:jc w:val="right"/>
              <w:rPr>
                <w:sz w:val="20"/>
                <w:szCs w:val="20"/>
              </w:rPr>
            </w:pPr>
          </w:p>
        </w:tc>
        <w:tc>
          <w:tcPr>
            <w:tcW w:w="0" w:type="dxa"/>
            <w:vAlign w:val="center"/>
          </w:tcPr>
          <w:p w14:paraId="50482E9C" w14:textId="77777777" w:rsidR="00D64FB9" w:rsidRPr="00215888" w:rsidRDefault="00D64FB9" w:rsidP="00D64FB9">
            <w:pPr>
              <w:spacing w:before="20" w:after="20"/>
              <w:ind w:left="100" w:right="100"/>
              <w:jc w:val="right"/>
              <w:rPr>
                <w:sz w:val="20"/>
                <w:szCs w:val="20"/>
              </w:rPr>
            </w:pPr>
          </w:p>
        </w:tc>
        <w:tc>
          <w:tcPr>
            <w:tcW w:w="0" w:type="dxa"/>
            <w:vAlign w:val="center"/>
          </w:tcPr>
          <w:p w14:paraId="7C30FE72" w14:textId="77777777" w:rsidR="00D64FB9" w:rsidRPr="00215888" w:rsidRDefault="00D64FB9" w:rsidP="00D64FB9">
            <w:pPr>
              <w:spacing w:before="20" w:after="20"/>
              <w:ind w:left="100" w:right="100"/>
              <w:jc w:val="right"/>
              <w:rPr>
                <w:sz w:val="20"/>
                <w:szCs w:val="20"/>
              </w:rPr>
            </w:pPr>
          </w:p>
        </w:tc>
        <w:tc>
          <w:tcPr>
            <w:tcW w:w="0" w:type="dxa"/>
            <w:vAlign w:val="center"/>
          </w:tcPr>
          <w:p w14:paraId="7E9E4B34" w14:textId="77777777" w:rsidR="00D64FB9" w:rsidRPr="00215888" w:rsidRDefault="00D64FB9" w:rsidP="00D64FB9">
            <w:pPr>
              <w:spacing w:before="20" w:after="20"/>
              <w:ind w:left="100" w:right="100"/>
              <w:jc w:val="right"/>
              <w:rPr>
                <w:sz w:val="20"/>
                <w:szCs w:val="20"/>
              </w:rPr>
            </w:pPr>
          </w:p>
        </w:tc>
        <w:tc>
          <w:tcPr>
            <w:tcW w:w="0" w:type="dxa"/>
            <w:vAlign w:val="center"/>
          </w:tcPr>
          <w:p w14:paraId="19B80A65" w14:textId="77777777" w:rsidR="00D64FB9" w:rsidRPr="00215888" w:rsidRDefault="00D64FB9" w:rsidP="00D64FB9">
            <w:pPr>
              <w:spacing w:before="20" w:after="20"/>
              <w:ind w:left="100" w:right="100"/>
              <w:jc w:val="right"/>
              <w:rPr>
                <w:sz w:val="20"/>
                <w:szCs w:val="20"/>
              </w:rPr>
            </w:pPr>
          </w:p>
        </w:tc>
        <w:tc>
          <w:tcPr>
            <w:tcW w:w="0" w:type="dxa"/>
            <w:vAlign w:val="center"/>
          </w:tcPr>
          <w:p w14:paraId="44738BF3" w14:textId="77777777" w:rsidR="00D64FB9" w:rsidRPr="00215888" w:rsidRDefault="00D64FB9" w:rsidP="00D64FB9">
            <w:pPr>
              <w:spacing w:before="20" w:after="20"/>
              <w:ind w:left="100" w:right="100"/>
              <w:jc w:val="right"/>
              <w:rPr>
                <w:sz w:val="20"/>
                <w:szCs w:val="20"/>
              </w:rPr>
            </w:pPr>
          </w:p>
        </w:tc>
        <w:tc>
          <w:tcPr>
            <w:tcW w:w="0" w:type="dxa"/>
            <w:vAlign w:val="center"/>
          </w:tcPr>
          <w:p w14:paraId="1FCCB927" w14:textId="77777777" w:rsidR="00D64FB9" w:rsidRPr="00215888" w:rsidRDefault="00D64FB9" w:rsidP="00D64FB9">
            <w:pPr>
              <w:spacing w:before="20" w:after="20"/>
              <w:ind w:left="100" w:right="100"/>
              <w:jc w:val="right"/>
              <w:rPr>
                <w:sz w:val="20"/>
                <w:szCs w:val="20"/>
              </w:rPr>
            </w:pPr>
          </w:p>
        </w:tc>
      </w:tr>
      <w:tr w:rsidR="00D64FB9" w:rsidRPr="00215888" w14:paraId="5791B200"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5873E1F8"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Government-funded, 11-18y</w:t>
            </w:r>
            <w:r w:rsidRPr="00215888">
              <w:rPr>
                <w:rFonts w:ascii="Calibri" w:eastAsia="Calibri" w:hAnsi="Calibri" w:cs="Calibri"/>
                <w:color w:val="000000"/>
                <w:sz w:val="20"/>
                <w:szCs w:val="20"/>
              </w:rPr>
              <w:br/>
              <w:t>free school meals ≤17%</w:t>
            </w:r>
          </w:p>
        </w:tc>
        <w:tc>
          <w:tcPr>
            <w:tcW w:w="0" w:type="dxa"/>
            <w:vAlign w:val="center"/>
          </w:tcPr>
          <w:p w14:paraId="70B0D037" w14:textId="5D24D06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1,018 (51%)</w:t>
            </w:r>
          </w:p>
        </w:tc>
        <w:tc>
          <w:tcPr>
            <w:tcW w:w="0" w:type="dxa"/>
            <w:vAlign w:val="center"/>
          </w:tcPr>
          <w:p w14:paraId="4A30C81D" w14:textId="685C4C0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979 (49%)</w:t>
            </w:r>
          </w:p>
        </w:tc>
        <w:tc>
          <w:tcPr>
            <w:tcW w:w="0" w:type="dxa"/>
            <w:vAlign w:val="center"/>
          </w:tcPr>
          <w:p w14:paraId="4C79DD5F" w14:textId="37DE448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7A2E615F" w14:textId="64F78C3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605A6DE0" w14:textId="77777777" w:rsidR="00D64FB9" w:rsidRPr="00215888" w:rsidRDefault="00D64FB9" w:rsidP="00D64FB9">
            <w:pPr>
              <w:spacing w:before="20" w:after="20"/>
              <w:ind w:left="100" w:right="100"/>
              <w:jc w:val="right"/>
              <w:rPr>
                <w:sz w:val="20"/>
                <w:szCs w:val="20"/>
              </w:rPr>
            </w:pPr>
          </w:p>
        </w:tc>
        <w:tc>
          <w:tcPr>
            <w:tcW w:w="0" w:type="dxa"/>
            <w:vAlign w:val="center"/>
          </w:tcPr>
          <w:p w14:paraId="083607AA" w14:textId="07CA008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1BD0BDB5" w14:textId="6B8314E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20A7E07" w14:textId="77777777" w:rsidR="00D64FB9" w:rsidRPr="00215888" w:rsidRDefault="00D64FB9" w:rsidP="00D64FB9">
            <w:pPr>
              <w:spacing w:before="20" w:after="20"/>
              <w:ind w:left="100" w:right="100"/>
              <w:jc w:val="right"/>
              <w:rPr>
                <w:sz w:val="20"/>
                <w:szCs w:val="20"/>
              </w:rPr>
            </w:pPr>
          </w:p>
        </w:tc>
      </w:tr>
      <w:tr w:rsidR="00D64FB9" w:rsidRPr="00215888" w14:paraId="35BA1B8E" w14:textId="77777777" w:rsidTr="006E6EE9">
        <w:tc>
          <w:tcPr>
            <w:tcW w:w="0" w:type="dxa"/>
          </w:tcPr>
          <w:p w14:paraId="0B669394"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Government-funded, 11-16y</w:t>
            </w:r>
            <w:r w:rsidRPr="00215888">
              <w:rPr>
                <w:rFonts w:ascii="Calibri" w:eastAsia="Calibri" w:hAnsi="Calibri" w:cs="Calibri"/>
                <w:color w:val="000000"/>
                <w:sz w:val="20"/>
                <w:szCs w:val="20"/>
              </w:rPr>
              <w:br/>
              <w:t>free school meals ≤17%</w:t>
            </w:r>
          </w:p>
        </w:tc>
        <w:tc>
          <w:tcPr>
            <w:tcW w:w="0" w:type="dxa"/>
            <w:vAlign w:val="center"/>
          </w:tcPr>
          <w:p w14:paraId="7938459E" w14:textId="1EC4F3C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70 (22%)</w:t>
            </w:r>
          </w:p>
        </w:tc>
        <w:tc>
          <w:tcPr>
            <w:tcW w:w="0" w:type="dxa"/>
            <w:vAlign w:val="center"/>
          </w:tcPr>
          <w:p w14:paraId="7ED3A8B8" w14:textId="04C8CC7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252 (78%)</w:t>
            </w:r>
          </w:p>
        </w:tc>
        <w:tc>
          <w:tcPr>
            <w:tcW w:w="0" w:type="dxa"/>
            <w:vAlign w:val="center"/>
          </w:tcPr>
          <w:p w14:paraId="18FC9175" w14:textId="2658F3C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1.60</w:t>
            </w:r>
          </w:p>
        </w:tc>
        <w:tc>
          <w:tcPr>
            <w:tcW w:w="0" w:type="dxa"/>
            <w:vAlign w:val="center"/>
          </w:tcPr>
          <w:p w14:paraId="2C64FDA9" w14:textId="3D8C1CF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1.17, 2.19</w:t>
            </w:r>
          </w:p>
        </w:tc>
        <w:tc>
          <w:tcPr>
            <w:tcW w:w="0" w:type="dxa"/>
            <w:vAlign w:val="center"/>
          </w:tcPr>
          <w:p w14:paraId="3964132A" w14:textId="4340E2A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0.003</w:t>
            </w:r>
          </w:p>
        </w:tc>
        <w:tc>
          <w:tcPr>
            <w:tcW w:w="0" w:type="dxa"/>
            <w:vAlign w:val="center"/>
          </w:tcPr>
          <w:p w14:paraId="4F3FF2C5" w14:textId="2B43610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1.44</w:t>
            </w:r>
          </w:p>
        </w:tc>
        <w:tc>
          <w:tcPr>
            <w:tcW w:w="0" w:type="dxa"/>
            <w:vAlign w:val="center"/>
          </w:tcPr>
          <w:p w14:paraId="63515877" w14:textId="52EF27C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1.06, 1.95</w:t>
            </w:r>
          </w:p>
        </w:tc>
        <w:tc>
          <w:tcPr>
            <w:tcW w:w="0" w:type="dxa"/>
            <w:vAlign w:val="center"/>
          </w:tcPr>
          <w:p w14:paraId="42BBB275" w14:textId="3BD516D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0.020</w:t>
            </w:r>
          </w:p>
        </w:tc>
      </w:tr>
      <w:tr w:rsidR="00D64FB9" w:rsidRPr="00215888" w14:paraId="51A736FE"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3FBFE363"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Government-funded, 11-18y</w:t>
            </w:r>
            <w:r w:rsidRPr="00215888">
              <w:rPr>
                <w:rFonts w:ascii="Calibri" w:eastAsia="Calibri" w:hAnsi="Calibri" w:cs="Calibri"/>
                <w:color w:val="000000"/>
                <w:sz w:val="20"/>
                <w:szCs w:val="20"/>
              </w:rPr>
              <w:br/>
              <w:t>free school meals &gt;17%</w:t>
            </w:r>
          </w:p>
        </w:tc>
        <w:tc>
          <w:tcPr>
            <w:tcW w:w="0" w:type="dxa"/>
            <w:vAlign w:val="center"/>
          </w:tcPr>
          <w:p w14:paraId="3F832DC6" w14:textId="78DB10D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987 (66%)</w:t>
            </w:r>
          </w:p>
        </w:tc>
        <w:tc>
          <w:tcPr>
            <w:tcW w:w="0" w:type="dxa"/>
            <w:vAlign w:val="center"/>
          </w:tcPr>
          <w:p w14:paraId="267FD27B" w14:textId="07232D2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501 (34%)</w:t>
            </w:r>
          </w:p>
        </w:tc>
        <w:tc>
          <w:tcPr>
            <w:tcW w:w="0" w:type="dxa"/>
            <w:vAlign w:val="center"/>
          </w:tcPr>
          <w:p w14:paraId="10BA9273" w14:textId="6B87170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0.69</w:t>
            </w:r>
          </w:p>
        </w:tc>
        <w:tc>
          <w:tcPr>
            <w:tcW w:w="0" w:type="dxa"/>
            <w:vAlign w:val="center"/>
          </w:tcPr>
          <w:p w14:paraId="6091107B" w14:textId="388BC27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0.39, 1.22</w:t>
            </w:r>
          </w:p>
        </w:tc>
        <w:tc>
          <w:tcPr>
            <w:tcW w:w="0" w:type="dxa"/>
            <w:vAlign w:val="center"/>
          </w:tcPr>
          <w:p w14:paraId="38321C32" w14:textId="64B0DF9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0.20</w:t>
            </w:r>
          </w:p>
        </w:tc>
        <w:tc>
          <w:tcPr>
            <w:tcW w:w="0" w:type="dxa"/>
            <w:vAlign w:val="center"/>
          </w:tcPr>
          <w:p w14:paraId="75707803" w14:textId="707EAE2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0.71</w:t>
            </w:r>
          </w:p>
        </w:tc>
        <w:tc>
          <w:tcPr>
            <w:tcW w:w="0" w:type="dxa"/>
            <w:vAlign w:val="center"/>
          </w:tcPr>
          <w:p w14:paraId="76B900B9" w14:textId="46ECB3A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0.45, 1.11</w:t>
            </w:r>
          </w:p>
        </w:tc>
        <w:tc>
          <w:tcPr>
            <w:tcW w:w="0" w:type="dxa"/>
            <w:vAlign w:val="center"/>
          </w:tcPr>
          <w:p w14:paraId="325DC04E" w14:textId="01B546F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0.13</w:t>
            </w:r>
          </w:p>
        </w:tc>
      </w:tr>
      <w:tr w:rsidR="00D64FB9" w:rsidRPr="00215888" w14:paraId="28086CB9" w14:textId="77777777" w:rsidTr="006E6EE9">
        <w:tc>
          <w:tcPr>
            <w:tcW w:w="0" w:type="dxa"/>
          </w:tcPr>
          <w:p w14:paraId="16F59321"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Government-funded, 11-16y</w:t>
            </w:r>
            <w:r w:rsidRPr="00215888">
              <w:rPr>
                <w:rFonts w:ascii="Calibri" w:eastAsia="Calibri" w:hAnsi="Calibri" w:cs="Calibri"/>
                <w:color w:val="000000"/>
                <w:sz w:val="20"/>
                <w:szCs w:val="20"/>
              </w:rPr>
              <w:br/>
              <w:t>free school meals &gt;17%</w:t>
            </w:r>
          </w:p>
        </w:tc>
        <w:tc>
          <w:tcPr>
            <w:tcW w:w="0" w:type="dxa"/>
            <w:vAlign w:val="center"/>
          </w:tcPr>
          <w:p w14:paraId="661A1F32" w14:textId="2270532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904 (67%)</w:t>
            </w:r>
          </w:p>
        </w:tc>
        <w:tc>
          <w:tcPr>
            <w:tcW w:w="0" w:type="dxa"/>
            <w:vAlign w:val="center"/>
          </w:tcPr>
          <w:p w14:paraId="132BA293" w14:textId="4A3244A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439 (33%)</w:t>
            </w:r>
          </w:p>
        </w:tc>
        <w:tc>
          <w:tcPr>
            <w:tcW w:w="0" w:type="dxa"/>
            <w:vAlign w:val="center"/>
          </w:tcPr>
          <w:p w14:paraId="0C0899FA" w14:textId="05808A7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0.67</w:t>
            </w:r>
          </w:p>
        </w:tc>
        <w:tc>
          <w:tcPr>
            <w:tcW w:w="0" w:type="dxa"/>
            <w:vAlign w:val="center"/>
          </w:tcPr>
          <w:p w14:paraId="4107C49E" w14:textId="2F4CE23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0.31, 1.44</w:t>
            </w:r>
          </w:p>
        </w:tc>
        <w:tc>
          <w:tcPr>
            <w:tcW w:w="0" w:type="dxa"/>
            <w:vAlign w:val="center"/>
          </w:tcPr>
          <w:p w14:paraId="620EAF19" w14:textId="338FB39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0.30</w:t>
            </w:r>
          </w:p>
        </w:tc>
        <w:tc>
          <w:tcPr>
            <w:tcW w:w="0" w:type="dxa"/>
            <w:vAlign w:val="center"/>
          </w:tcPr>
          <w:p w14:paraId="686039C8" w14:textId="2AE9B6F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0.76</w:t>
            </w:r>
          </w:p>
        </w:tc>
        <w:tc>
          <w:tcPr>
            <w:tcW w:w="0" w:type="dxa"/>
            <w:vAlign w:val="center"/>
          </w:tcPr>
          <w:p w14:paraId="4E95967B" w14:textId="631D1F6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0.47, 1.23</w:t>
            </w:r>
          </w:p>
        </w:tc>
        <w:tc>
          <w:tcPr>
            <w:tcW w:w="0" w:type="dxa"/>
            <w:vAlign w:val="center"/>
          </w:tcPr>
          <w:p w14:paraId="5BBACAF1" w14:textId="6F49E3E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0.26</w:t>
            </w:r>
          </w:p>
        </w:tc>
      </w:tr>
      <w:tr w:rsidR="00D64FB9" w:rsidRPr="00215888" w14:paraId="46099470"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663FC1A2"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Other</w:t>
            </w:r>
          </w:p>
        </w:tc>
        <w:tc>
          <w:tcPr>
            <w:tcW w:w="0" w:type="dxa"/>
            <w:vAlign w:val="center"/>
          </w:tcPr>
          <w:p w14:paraId="36F4482E" w14:textId="00B8943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209 (58%)</w:t>
            </w:r>
          </w:p>
        </w:tc>
        <w:tc>
          <w:tcPr>
            <w:tcW w:w="0" w:type="dxa"/>
            <w:vAlign w:val="center"/>
          </w:tcPr>
          <w:p w14:paraId="5481EEDE" w14:textId="441BF67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154 (42%)</w:t>
            </w:r>
          </w:p>
        </w:tc>
        <w:tc>
          <w:tcPr>
            <w:tcW w:w="0" w:type="dxa"/>
            <w:vAlign w:val="center"/>
          </w:tcPr>
          <w:p w14:paraId="17B5928B" w14:textId="7FCA712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0.87</w:t>
            </w:r>
          </w:p>
        </w:tc>
        <w:tc>
          <w:tcPr>
            <w:tcW w:w="0" w:type="dxa"/>
            <w:vAlign w:val="center"/>
          </w:tcPr>
          <w:p w14:paraId="2BC39472" w14:textId="146375C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0.51, 1.47</w:t>
            </w:r>
          </w:p>
        </w:tc>
        <w:tc>
          <w:tcPr>
            <w:tcW w:w="0" w:type="dxa"/>
            <w:vAlign w:val="center"/>
          </w:tcPr>
          <w:p w14:paraId="0922AADD" w14:textId="46AB1FE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0.59</w:t>
            </w:r>
          </w:p>
        </w:tc>
        <w:tc>
          <w:tcPr>
            <w:tcW w:w="0" w:type="dxa"/>
            <w:vAlign w:val="center"/>
          </w:tcPr>
          <w:p w14:paraId="1201A4C6" w14:textId="2DF3A00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w:t>
            </w:r>
          </w:p>
        </w:tc>
        <w:tc>
          <w:tcPr>
            <w:tcW w:w="0" w:type="dxa"/>
            <w:vAlign w:val="center"/>
          </w:tcPr>
          <w:p w14:paraId="641AF427" w14:textId="764E445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0.49, 1.36</w:t>
            </w:r>
          </w:p>
        </w:tc>
        <w:tc>
          <w:tcPr>
            <w:tcW w:w="0" w:type="dxa"/>
            <w:vAlign w:val="center"/>
          </w:tcPr>
          <w:p w14:paraId="79156D28" w14:textId="339FBE3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0.45</w:t>
            </w:r>
          </w:p>
        </w:tc>
      </w:tr>
      <w:tr w:rsidR="00D64FB9" w:rsidRPr="00215888" w14:paraId="41CF322E" w14:textId="77777777" w:rsidTr="006E6EE9">
        <w:tc>
          <w:tcPr>
            <w:tcW w:w="0" w:type="dxa"/>
          </w:tcPr>
          <w:p w14:paraId="78905EB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Independent day school</w:t>
            </w:r>
          </w:p>
        </w:tc>
        <w:tc>
          <w:tcPr>
            <w:tcW w:w="0" w:type="dxa"/>
            <w:vAlign w:val="center"/>
          </w:tcPr>
          <w:p w14:paraId="558F282A" w14:textId="1251990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143 (57%)</w:t>
            </w:r>
          </w:p>
        </w:tc>
        <w:tc>
          <w:tcPr>
            <w:tcW w:w="0" w:type="dxa"/>
            <w:vAlign w:val="center"/>
          </w:tcPr>
          <w:p w14:paraId="7004B363" w14:textId="5F677E5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107 (43%)</w:t>
            </w:r>
          </w:p>
        </w:tc>
        <w:tc>
          <w:tcPr>
            <w:tcW w:w="0" w:type="dxa"/>
            <w:vAlign w:val="center"/>
          </w:tcPr>
          <w:p w14:paraId="7F62DEE3" w14:textId="2067050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0.87</w:t>
            </w:r>
          </w:p>
        </w:tc>
        <w:tc>
          <w:tcPr>
            <w:tcW w:w="0" w:type="dxa"/>
            <w:vAlign w:val="center"/>
          </w:tcPr>
          <w:p w14:paraId="0F0DA979" w14:textId="2B37EE0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0.64, 1.19</w:t>
            </w:r>
          </w:p>
        </w:tc>
        <w:tc>
          <w:tcPr>
            <w:tcW w:w="0" w:type="dxa"/>
            <w:vAlign w:val="center"/>
          </w:tcPr>
          <w:p w14:paraId="1A2B35F1" w14:textId="1BB437C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0.39</w:t>
            </w:r>
          </w:p>
        </w:tc>
        <w:tc>
          <w:tcPr>
            <w:tcW w:w="0" w:type="dxa"/>
            <w:vAlign w:val="center"/>
          </w:tcPr>
          <w:p w14:paraId="06C10DC2" w14:textId="6BCC729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1.00</w:t>
            </w:r>
          </w:p>
        </w:tc>
        <w:tc>
          <w:tcPr>
            <w:tcW w:w="0" w:type="dxa"/>
            <w:vAlign w:val="center"/>
          </w:tcPr>
          <w:p w14:paraId="37398F96" w14:textId="1D558FA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0.68, 1.47</w:t>
            </w:r>
          </w:p>
        </w:tc>
        <w:tc>
          <w:tcPr>
            <w:tcW w:w="0" w:type="dxa"/>
            <w:vAlign w:val="center"/>
          </w:tcPr>
          <w:p w14:paraId="36464B9A" w14:textId="7675EB4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&gt;0.99</w:t>
            </w:r>
          </w:p>
        </w:tc>
      </w:tr>
      <w:tr w:rsidR="00D64FB9" w:rsidRPr="00215888" w14:paraId="4EE87CB8"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44C4E361" w14:textId="77777777"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Ethnicity</w:t>
            </w:r>
          </w:p>
        </w:tc>
        <w:tc>
          <w:tcPr>
            <w:tcW w:w="0" w:type="dxa"/>
            <w:vAlign w:val="center"/>
          </w:tcPr>
          <w:p w14:paraId="5053E3D1" w14:textId="77777777" w:rsidR="00D64FB9" w:rsidRPr="00215888" w:rsidRDefault="00D64FB9" w:rsidP="00D64FB9">
            <w:pPr>
              <w:spacing w:before="20" w:after="20"/>
              <w:ind w:left="100" w:right="100"/>
              <w:jc w:val="right"/>
              <w:rPr>
                <w:sz w:val="20"/>
                <w:szCs w:val="20"/>
              </w:rPr>
            </w:pPr>
          </w:p>
        </w:tc>
        <w:tc>
          <w:tcPr>
            <w:tcW w:w="0" w:type="dxa"/>
            <w:vAlign w:val="center"/>
          </w:tcPr>
          <w:p w14:paraId="3D57B220" w14:textId="77777777" w:rsidR="00D64FB9" w:rsidRPr="00215888" w:rsidRDefault="00D64FB9" w:rsidP="00D64FB9">
            <w:pPr>
              <w:spacing w:before="20" w:after="20"/>
              <w:ind w:left="100" w:right="100"/>
              <w:jc w:val="right"/>
              <w:rPr>
                <w:sz w:val="20"/>
                <w:szCs w:val="20"/>
              </w:rPr>
            </w:pPr>
          </w:p>
        </w:tc>
        <w:tc>
          <w:tcPr>
            <w:tcW w:w="0" w:type="dxa"/>
            <w:vAlign w:val="center"/>
          </w:tcPr>
          <w:p w14:paraId="6859505C" w14:textId="77777777" w:rsidR="00D64FB9" w:rsidRPr="00215888" w:rsidRDefault="00D64FB9" w:rsidP="00D64FB9">
            <w:pPr>
              <w:spacing w:before="20" w:after="20"/>
              <w:ind w:left="100" w:right="100"/>
              <w:jc w:val="right"/>
              <w:rPr>
                <w:sz w:val="20"/>
                <w:szCs w:val="20"/>
              </w:rPr>
            </w:pPr>
          </w:p>
        </w:tc>
        <w:tc>
          <w:tcPr>
            <w:tcW w:w="0" w:type="dxa"/>
            <w:vAlign w:val="center"/>
          </w:tcPr>
          <w:p w14:paraId="456CD85A" w14:textId="77777777" w:rsidR="00D64FB9" w:rsidRPr="00215888" w:rsidRDefault="00D64FB9" w:rsidP="00D64FB9">
            <w:pPr>
              <w:spacing w:before="20" w:after="20"/>
              <w:ind w:left="100" w:right="100"/>
              <w:jc w:val="right"/>
              <w:rPr>
                <w:sz w:val="20"/>
                <w:szCs w:val="20"/>
              </w:rPr>
            </w:pPr>
          </w:p>
        </w:tc>
        <w:tc>
          <w:tcPr>
            <w:tcW w:w="0" w:type="dxa"/>
            <w:vAlign w:val="center"/>
          </w:tcPr>
          <w:p w14:paraId="7BB4C2FE" w14:textId="77777777" w:rsidR="00D64FB9" w:rsidRPr="00215888" w:rsidRDefault="00D64FB9" w:rsidP="00D64FB9">
            <w:pPr>
              <w:spacing w:before="20" w:after="20"/>
              <w:ind w:left="100" w:right="100"/>
              <w:jc w:val="right"/>
              <w:rPr>
                <w:sz w:val="20"/>
                <w:szCs w:val="20"/>
              </w:rPr>
            </w:pPr>
          </w:p>
        </w:tc>
        <w:tc>
          <w:tcPr>
            <w:tcW w:w="0" w:type="dxa"/>
            <w:vAlign w:val="center"/>
          </w:tcPr>
          <w:p w14:paraId="60A9835B" w14:textId="77777777" w:rsidR="00D64FB9" w:rsidRPr="00215888" w:rsidRDefault="00D64FB9" w:rsidP="00D64FB9">
            <w:pPr>
              <w:spacing w:before="20" w:after="20"/>
              <w:ind w:left="100" w:right="100"/>
              <w:jc w:val="right"/>
              <w:rPr>
                <w:sz w:val="20"/>
                <w:szCs w:val="20"/>
              </w:rPr>
            </w:pPr>
          </w:p>
        </w:tc>
        <w:tc>
          <w:tcPr>
            <w:tcW w:w="0" w:type="dxa"/>
            <w:vAlign w:val="center"/>
          </w:tcPr>
          <w:p w14:paraId="62212847" w14:textId="77777777" w:rsidR="00D64FB9" w:rsidRPr="00215888" w:rsidRDefault="00D64FB9" w:rsidP="00D64FB9">
            <w:pPr>
              <w:spacing w:before="20" w:after="20"/>
              <w:ind w:left="100" w:right="100"/>
              <w:jc w:val="right"/>
              <w:rPr>
                <w:sz w:val="20"/>
                <w:szCs w:val="20"/>
              </w:rPr>
            </w:pPr>
          </w:p>
        </w:tc>
        <w:tc>
          <w:tcPr>
            <w:tcW w:w="0" w:type="dxa"/>
            <w:vAlign w:val="center"/>
          </w:tcPr>
          <w:p w14:paraId="2D130D0D" w14:textId="77777777" w:rsidR="00D64FB9" w:rsidRPr="00215888" w:rsidRDefault="00D64FB9" w:rsidP="00D64FB9">
            <w:pPr>
              <w:spacing w:before="20" w:after="20"/>
              <w:ind w:left="100" w:right="100"/>
              <w:jc w:val="right"/>
              <w:rPr>
                <w:sz w:val="20"/>
                <w:szCs w:val="20"/>
              </w:rPr>
            </w:pPr>
          </w:p>
        </w:tc>
      </w:tr>
      <w:tr w:rsidR="00D64FB9" w:rsidRPr="00215888" w14:paraId="1C9EBC2D" w14:textId="77777777" w:rsidTr="006E6EE9">
        <w:trPr>
          <w:trHeight w:val="44"/>
        </w:trPr>
        <w:tc>
          <w:tcPr>
            <w:tcW w:w="0" w:type="dxa"/>
          </w:tcPr>
          <w:p w14:paraId="4805863F"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White</w:t>
            </w:r>
          </w:p>
        </w:tc>
        <w:tc>
          <w:tcPr>
            <w:tcW w:w="0" w:type="dxa"/>
            <w:vAlign w:val="center"/>
          </w:tcPr>
          <w:p w14:paraId="16FBEBD7" w14:textId="24D050F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2,320 (57%)</w:t>
            </w:r>
          </w:p>
        </w:tc>
        <w:tc>
          <w:tcPr>
            <w:tcW w:w="0" w:type="dxa"/>
            <w:vAlign w:val="center"/>
          </w:tcPr>
          <w:p w14:paraId="59935F7C" w14:textId="66C01BA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1,764 (43%)</w:t>
            </w:r>
          </w:p>
        </w:tc>
        <w:tc>
          <w:tcPr>
            <w:tcW w:w="0" w:type="dxa"/>
            <w:vAlign w:val="center"/>
          </w:tcPr>
          <w:p w14:paraId="05C303B9" w14:textId="72F2C24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2572845C" w14:textId="6613A5A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54C8115" w14:textId="77777777" w:rsidR="00D64FB9" w:rsidRPr="00215888" w:rsidRDefault="00D64FB9" w:rsidP="00D64FB9">
            <w:pPr>
              <w:spacing w:before="20" w:after="20"/>
              <w:ind w:left="100" w:right="100"/>
              <w:jc w:val="right"/>
              <w:rPr>
                <w:sz w:val="20"/>
                <w:szCs w:val="20"/>
              </w:rPr>
            </w:pPr>
          </w:p>
        </w:tc>
        <w:tc>
          <w:tcPr>
            <w:tcW w:w="0" w:type="dxa"/>
            <w:vAlign w:val="center"/>
          </w:tcPr>
          <w:p w14:paraId="5300DD4B" w14:textId="1AC7211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633657D7" w14:textId="644CF08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6D4CBE4" w14:textId="77777777" w:rsidR="00D64FB9" w:rsidRPr="00215888" w:rsidRDefault="00D64FB9" w:rsidP="00D64FB9">
            <w:pPr>
              <w:spacing w:before="20" w:after="20"/>
              <w:ind w:left="100" w:right="100"/>
              <w:jc w:val="right"/>
              <w:rPr>
                <w:sz w:val="20"/>
                <w:szCs w:val="20"/>
              </w:rPr>
            </w:pPr>
          </w:p>
        </w:tc>
      </w:tr>
      <w:tr w:rsidR="00D64FB9" w:rsidRPr="00215888" w14:paraId="305C5B44"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10A5D5B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Asian</w:t>
            </w:r>
          </w:p>
        </w:tc>
        <w:tc>
          <w:tcPr>
            <w:tcW w:w="0" w:type="dxa"/>
            <w:vAlign w:val="center"/>
          </w:tcPr>
          <w:p w14:paraId="45051012" w14:textId="76B54DD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394 (63%)</w:t>
            </w:r>
          </w:p>
        </w:tc>
        <w:tc>
          <w:tcPr>
            <w:tcW w:w="0" w:type="dxa"/>
            <w:vAlign w:val="center"/>
          </w:tcPr>
          <w:p w14:paraId="6E4651A9" w14:textId="24779A7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236 (37%)</w:t>
            </w:r>
          </w:p>
        </w:tc>
        <w:tc>
          <w:tcPr>
            <w:tcW w:w="0" w:type="dxa"/>
            <w:vAlign w:val="center"/>
          </w:tcPr>
          <w:p w14:paraId="1AB7B968" w14:textId="1B6E19D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0.87</w:t>
            </w:r>
          </w:p>
        </w:tc>
        <w:tc>
          <w:tcPr>
            <w:tcW w:w="0" w:type="dxa"/>
            <w:vAlign w:val="center"/>
          </w:tcPr>
          <w:p w14:paraId="15508BBF" w14:textId="69E2B0B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0.49, 1.53</w:t>
            </w:r>
          </w:p>
        </w:tc>
        <w:tc>
          <w:tcPr>
            <w:tcW w:w="0" w:type="dxa"/>
            <w:vAlign w:val="center"/>
          </w:tcPr>
          <w:p w14:paraId="4E0DE45F" w14:textId="38A315C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0.62</w:t>
            </w:r>
          </w:p>
        </w:tc>
        <w:tc>
          <w:tcPr>
            <w:tcW w:w="0" w:type="dxa"/>
            <w:vAlign w:val="center"/>
          </w:tcPr>
          <w:p w14:paraId="05FEDD04" w14:textId="638677C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1.06</w:t>
            </w:r>
          </w:p>
        </w:tc>
        <w:tc>
          <w:tcPr>
            <w:tcW w:w="0" w:type="dxa"/>
            <w:vAlign w:val="center"/>
          </w:tcPr>
          <w:p w14:paraId="1D71A764" w14:textId="38AF333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0.85, 1.31</w:t>
            </w:r>
          </w:p>
        </w:tc>
        <w:tc>
          <w:tcPr>
            <w:tcW w:w="0" w:type="dxa"/>
            <w:vAlign w:val="center"/>
          </w:tcPr>
          <w:p w14:paraId="2C2F5F00" w14:textId="344C97D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0.61</w:t>
            </w:r>
          </w:p>
        </w:tc>
      </w:tr>
      <w:tr w:rsidR="00D64FB9" w:rsidRPr="00215888" w14:paraId="781726E3" w14:textId="77777777" w:rsidTr="006E6EE9">
        <w:tc>
          <w:tcPr>
            <w:tcW w:w="0" w:type="dxa"/>
          </w:tcPr>
          <w:p w14:paraId="6226187E"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Black</w:t>
            </w:r>
          </w:p>
        </w:tc>
        <w:tc>
          <w:tcPr>
            <w:tcW w:w="0" w:type="dxa"/>
            <w:vAlign w:val="center"/>
          </w:tcPr>
          <w:p w14:paraId="6A867CFA" w14:textId="796A5BF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167 (61%)</w:t>
            </w:r>
          </w:p>
        </w:tc>
        <w:tc>
          <w:tcPr>
            <w:tcW w:w="0" w:type="dxa"/>
            <w:vAlign w:val="center"/>
          </w:tcPr>
          <w:p w14:paraId="44756F8B" w14:textId="0057D1E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106 (39%)</w:t>
            </w:r>
          </w:p>
        </w:tc>
        <w:tc>
          <w:tcPr>
            <w:tcW w:w="0" w:type="dxa"/>
            <w:vAlign w:val="center"/>
          </w:tcPr>
          <w:p w14:paraId="6844F079" w14:textId="441D42D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0.90</w:t>
            </w:r>
          </w:p>
        </w:tc>
        <w:tc>
          <w:tcPr>
            <w:tcW w:w="0" w:type="dxa"/>
            <w:vAlign w:val="center"/>
          </w:tcPr>
          <w:p w14:paraId="37CA4F03" w14:textId="319A38D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0.62, 1.30</w:t>
            </w:r>
          </w:p>
        </w:tc>
        <w:tc>
          <w:tcPr>
            <w:tcW w:w="0" w:type="dxa"/>
            <w:vAlign w:val="center"/>
          </w:tcPr>
          <w:p w14:paraId="674605FF" w14:textId="0482F58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0.57</w:t>
            </w:r>
          </w:p>
        </w:tc>
        <w:tc>
          <w:tcPr>
            <w:tcW w:w="0" w:type="dxa"/>
            <w:vAlign w:val="center"/>
          </w:tcPr>
          <w:p w14:paraId="0460F4A9" w14:textId="2F11438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1.03</w:t>
            </w:r>
          </w:p>
        </w:tc>
        <w:tc>
          <w:tcPr>
            <w:tcW w:w="0" w:type="dxa"/>
            <w:vAlign w:val="center"/>
          </w:tcPr>
          <w:p w14:paraId="1696B5E3" w14:textId="44599BC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0.82, 1.30</w:t>
            </w:r>
          </w:p>
        </w:tc>
        <w:tc>
          <w:tcPr>
            <w:tcW w:w="0" w:type="dxa"/>
            <w:vAlign w:val="center"/>
          </w:tcPr>
          <w:p w14:paraId="2ECC8BAD" w14:textId="3CBA823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w:t>
            </w:r>
          </w:p>
        </w:tc>
      </w:tr>
      <w:tr w:rsidR="00D64FB9" w:rsidRPr="00215888" w14:paraId="120E4094"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B3BD7C4"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Chinese</w:t>
            </w:r>
          </w:p>
        </w:tc>
        <w:tc>
          <w:tcPr>
            <w:tcW w:w="0" w:type="dxa"/>
            <w:vAlign w:val="center"/>
          </w:tcPr>
          <w:p w14:paraId="31D13313" w14:textId="5A22CFD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12 (23%)</w:t>
            </w:r>
          </w:p>
        </w:tc>
        <w:tc>
          <w:tcPr>
            <w:tcW w:w="0" w:type="dxa"/>
            <w:vAlign w:val="center"/>
          </w:tcPr>
          <w:p w14:paraId="41A13492" w14:textId="048C9D7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40 (77%)</w:t>
            </w:r>
          </w:p>
        </w:tc>
        <w:tc>
          <w:tcPr>
            <w:tcW w:w="0" w:type="dxa"/>
            <w:vAlign w:val="center"/>
          </w:tcPr>
          <w:p w14:paraId="606AA89E" w14:textId="218090D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1.78</w:t>
            </w:r>
          </w:p>
        </w:tc>
        <w:tc>
          <w:tcPr>
            <w:tcW w:w="0" w:type="dxa"/>
            <w:vAlign w:val="center"/>
          </w:tcPr>
          <w:p w14:paraId="76D39E98" w14:textId="5C41D9C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1.18, 2.69</w:t>
            </w:r>
          </w:p>
        </w:tc>
        <w:tc>
          <w:tcPr>
            <w:tcW w:w="0" w:type="dxa"/>
            <w:vAlign w:val="center"/>
          </w:tcPr>
          <w:p w14:paraId="2F782E52" w14:textId="654BA3C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0.006</w:t>
            </w:r>
          </w:p>
        </w:tc>
        <w:tc>
          <w:tcPr>
            <w:tcW w:w="0" w:type="dxa"/>
            <w:vAlign w:val="center"/>
          </w:tcPr>
          <w:p w14:paraId="3095D86E" w14:textId="21D7850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1.72</w:t>
            </w:r>
          </w:p>
        </w:tc>
        <w:tc>
          <w:tcPr>
            <w:tcW w:w="0" w:type="dxa"/>
            <w:vAlign w:val="center"/>
          </w:tcPr>
          <w:p w14:paraId="7F9CC93A" w14:textId="6418298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1.15, 2.55</w:t>
            </w:r>
          </w:p>
        </w:tc>
        <w:tc>
          <w:tcPr>
            <w:tcW w:w="0" w:type="dxa"/>
            <w:vAlign w:val="center"/>
          </w:tcPr>
          <w:p w14:paraId="3CE0AB09" w14:textId="0DFEDA4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0.008</w:t>
            </w:r>
          </w:p>
        </w:tc>
      </w:tr>
      <w:tr w:rsidR="00D64FB9" w:rsidRPr="00215888" w14:paraId="4C2430E2" w14:textId="77777777" w:rsidTr="006E6EE9">
        <w:tc>
          <w:tcPr>
            <w:tcW w:w="0" w:type="dxa"/>
          </w:tcPr>
          <w:p w14:paraId="47D02C1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Mixed</w:t>
            </w:r>
          </w:p>
        </w:tc>
        <w:tc>
          <w:tcPr>
            <w:tcW w:w="0" w:type="dxa"/>
            <w:vAlign w:val="center"/>
          </w:tcPr>
          <w:p w14:paraId="1838E672" w14:textId="0509417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134 (64%)</w:t>
            </w:r>
          </w:p>
        </w:tc>
        <w:tc>
          <w:tcPr>
            <w:tcW w:w="0" w:type="dxa"/>
            <w:vAlign w:val="center"/>
          </w:tcPr>
          <w:p w14:paraId="59ED66B3" w14:textId="4F206FD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75 (36%)</w:t>
            </w:r>
          </w:p>
        </w:tc>
        <w:tc>
          <w:tcPr>
            <w:tcW w:w="0" w:type="dxa"/>
            <w:vAlign w:val="center"/>
          </w:tcPr>
          <w:p w14:paraId="0389BF37" w14:textId="2A6FFC4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0.83</w:t>
            </w:r>
          </w:p>
        </w:tc>
        <w:tc>
          <w:tcPr>
            <w:tcW w:w="0" w:type="dxa"/>
            <w:vAlign w:val="center"/>
          </w:tcPr>
          <w:p w14:paraId="567960D1" w14:textId="252EE45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0.61, 1.13</w:t>
            </w:r>
          </w:p>
        </w:tc>
        <w:tc>
          <w:tcPr>
            <w:tcW w:w="0" w:type="dxa"/>
            <w:vAlign w:val="center"/>
          </w:tcPr>
          <w:p w14:paraId="098428D7" w14:textId="12FB040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0.24</w:t>
            </w:r>
          </w:p>
        </w:tc>
        <w:tc>
          <w:tcPr>
            <w:tcW w:w="0" w:type="dxa"/>
            <w:vAlign w:val="center"/>
          </w:tcPr>
          <w:p w14:paraId="2E1F7DB3" w14:textId="42D61DE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0.93</w:t>
            </w:r>
          </w:p>
        </w:tc>
        <w:tc>
          <w:tcPr>
            <w:tcW w:w="0" w:type="dxa"/>
            <w:vAlign w:val="center"/>
          </w:tcPr>
          <w:p w14:paraId="0925FB58" w14:textId="2B467BA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0.79, 1.10</w:t>
            </w:r>
          </w:p>
        </w:tc>
        <w:tc>
          <w:tcPr>
            <w:tcW w:w="0" w:type="dxa"/>
            <w:vAlign w:val="center"/>
          </w:tcPr>
          <w:p w14:paraId="1128251B" w14:textId="4A02100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0.39</w:t>
            </w:r>
          </w:p>
        </w:tc>
      </w:tr>
      <w:tr w:rsidR="00D64FB9" w:rsidRPr="00215888" w14:paraId="4DA96EBC"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3743129"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lastRenderedPageBreak/>
              <w:t>Other</w:t>
            </w:r>
          </w:p>
        </w:tc>
        <w:tc>
          <w:tcPr>
            <w:tcW w:w="0" w:type="dxa"/>
            <w:vAlign w:val="center"/>
          </w:tcPr>
          <w:p w14:paraId="3B8EAA51" w14:textId="4C2EBBE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76 (77%)</w:t>
            </w:r>
          </w:p>
        </w:tc>
        <w:tc>
          <w:tcPr>
            <w:tcW w:w="0" w:type="dxa"/>
            <w:vAlign w:val="center"/>
          </w:tcPr>
          <w:p w14:paraId="6B28B6A5" w14:textId="37EA9BE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23 (23%)</w:t>
            </w:r>
          </w:p>
        </w:tc>
        <w:tc>
          <w:tcPr>
            <w:tcW w:w="0" w:type="dxa"/>
            <w:vAlign w:val="center"/>
          </w:tcPr>
          <w:p w14:paraId="13F3D440" w14:textId="3E6CB03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0.54</w:t>
            </w:r>
          </w:p>
        </w:tc>
        <w:tc>
          <w:tcPr>
            <w:tcW w:w="0" w:type="dxa"/>
            <w:vAlign w:val="center"/>
          </w:tcPr>
          <w:p w14:paraId="0C225BEB" w14:textId="6AB1BF2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0.31, 0.92</w:t>
            </w:r>
          </w:p>
        </w:tc>
        <w:tc>
          <w:tcPr>
            <w:tcW w:w="0" w:type="dxa"/>
            <w:vAlign w:val="center"/>
          </w:tcPr>
          <w:p w14:paraId="1D2CF07C" w14:textId="3FFFB88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0.024</w:t>
            </w:r>
          </w:p>
        </w:tc>
        <w:tc>
          <w:tcPr>
            <w:tcW w:w="0" w:type="dxa"/>
            <w:vAlign w:val="center"/>
          </w:tcPr>
          <w:p w14:paraId="60127BAB" w14:textId="5055E53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0.69</w:t>
            </w:r>
          </w:p>
        </w:tc>
        <w:tc>
          <w:tcPr>
            <w:tcW w:w="0" w:type="dxa"/>
            <w:vAlign w:val="center"/>
          </w:tcPr>
          <w:p w14:paraId="401F38EC" w14:textId="0A4712E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0.48, 0.98</w:t>
            </w:r>
          </w:p>
        </w:tc>
        <w:tc>
          <w:tcPr>
            <w:tcW w:w="0" w:type="dxa"/>
            <w:vAlign w:val="center"/>
          </w:tcPr>
          <w:p w14:paraId="08D77B7F" w14:textId="63ABCF1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0.037</w:t>
            </w:r>
          </w:p>
        </w:tc>
      </w:tr>
      <w:tr w:rsidR="00D64FB9" w:rsidRPr="00215888" w14:paraId="02340318" w14:textId="77777777" w:rsidTr="006E6EE9">
        <w:tc>
          <w:tcPr>
            <w:tcW w:w="0" w:type="dxa"/>
          </w:tcPr>
          <w:p w14:paraId="7809F397"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Prefer not to say</w:t>
            </w:r>
          </w:p>
        </w:tc>
        <w:tc>
          <w:tcPr>
            <w:tcW w:w="0" w:type="dxa"/>
            <w:vAlign w:val="center"/>
          </w:tcPr>
          <w:p w14:paraId="30D2EB22" w14:textId="5133F27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228 (55%)</w:t>
            </w:r>
          </w:p>
        </w:tc>
        <w:tc>
          <w:tcPr>
            <w:tcW w:w="0" w:type="dxa"/>
            <w:vAlign w:val="center"/>
          </w:tcPr>
          <w:p w14:paraId="269333D2" w14:textId="50EA25B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188 (45%)</w:t>
            </w:r>
          </w:p>
        </w:tc>
        <w:tc>
          <w:tcPr>
            <w:tcW w:w="0" w:type="dxa"/>
            <w:vAlign w:val="center"/>
          </w:tcPr>
          <w:p w14:paraId="7837C92A" w14:textId="41B5867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1.05</w:t>
            </w:r>
          </w:p>
        </w:tc>
        <w:tc>
          <w:tcPr>
            <w:tcW w:w="0" w:type="dxa"/>
            <w:vAlign w:val="center"/>
          </w:tcPr>
          <w:p w14:paraId="0F2D5436" w14:textId="6BF46AC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0.70, 1.57</w:t>
            </w:r>
          </w:p>
        </w:tc>
        <w:tc>
          <w:tcPr>
            <w:tcW w:w="0" w:type="dxa"/>
            <w:vAlign w:val="center"/>
          </w:tcPr>
          <w:p w14:paraId="59044A25" w14:textId="1AB1558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0.83</w:t>
            </w:r>
          </w:p>
        </w:tc>
        <w:tc>
          <w:tcPr>
            <w:tcW w:w="0" w:type="dxa"/>
            <w:vAlign w:val="center"/>
          </w:tcPr>
          <w:p w14:paraId="149D65EE" w14:textId="202B9C1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0.94</w:t>
            </w:r>
          </w:p>
        </w:tc>
        <w:tc>
          <w:tcPr>
            <w:tcW w:w="0" w:type="dxa"/>
            <w:vAlign w:val="center"/>
          </w:tcPr>
          <w:p w14:paraId="755C11EE" w14:textId="440F51E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0.70, 1.28</w:t>
            </w:r>
          </w:p>
        </w:tc>
        <w:tc>
          <w:tcPr>
            <w:tcW w:w="0" w:type="dxa"/>
            <w:vAlign w:val="center"/>
          </w:tcPr>
          <w:p w14:paraId="6828D9AF" w14:textId="1AC6E6D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0.71</w:t>
            </w:r>
          </w:p>
        </w:tc>
      </w:tr>
      <w:tr w:rsidR="00D64FB9" w:rsidRPr="00215888" w14:paraId="55AE61F7"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0674E24" w14:textId="77777777"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Age group</w:t>
            </w:r>
          </w:p>
        </w:tc>
        <w:tc>
          <w:tcPr>
            <w:tcW w:w="0" w:type="dxa"/>
            <w:vAlign w:val="center"/>
          </w:tcPr>
          <w:p w14:paraId="362D8B2E" w14:textId="77777777" w:rsidR="00D64FB9" w:rsidRPr="00215888" w:rsidRDefault="00D64FB9" w:rsidP="00D64FB9">
            <w:pPr>
              <w:spacing w:before="20" w:after="20"/>
              <w:ind w:left="100" w:right="100"/>
              <w:jc w:val="right"/>
              <w:rPr>
                <w:sz w:val="20"/>
                <w:szCs w:val="20"/>
              </w:rPr>
            </w:pPr>
          </w:p>
        </w:tc>
        <w:tc>
          <w:tcPr>
            <w:tcW w:w="0" w:type="dxa"/>
            <w:vAlign w:val="center"/>
          </w:tcPr>
          <w:p w14:paraId="0C4134DD" w14:textId="77777777" w:rsidR="00D64FB9" w:rsidRPr="00215888" w:rsidRDefault="00D64FB9" w:rsidP="00D64FB9">
            <w:pPr>
              <w:spacing w:before="20" w:after="20"/>
              <w:ind w:left="100" w:right="100"/>
              <w:jc w:val="right"/>
              <w:rPr>
                <w:sz w:val="20"/>
                <w:szCs w:val="20"/>
              </w:rPr>
            </w:pPr>
          </w:p>
        </w:tc>
        <w:tc>
          <w:tcPr>
            <w:tcW w:w="0" w:type="dxa"/>
            <w:vAlign w:val="center"/>
          </w:tcPr>
          <w:p w14:paraId="3C95AAE6" w14:textId="77777777" w:rsidR="00D64FB9" w:rsidRPr="00215888" w:rsidRDefault="00D64FB9" w:rsidP="00D64FB9">
            <w:pPr>
              <w:spacing w:before="20" w:after="20"/>
              <w:ind w:left="100" w:right="100"/>
              <w:jc w:val="right"/>
              <w:rPr>
                <w:sz w:val="20"/>
                <w:szCs w:val="20"/>
              </w:rPr>
            </w:pPr>
          </w:p>
        </w:tc>
        <w:tc>
          <w:tcPr>
            <w:tcW w:w="0" w:type="dxa"/>
            <w:vAlign w:val="center"/>
          </w:tcPr>
          <w:p w14:paraId="54C9FE43" w14:textId="77777777" w:rsidR="00D64FB9" w:rsidRPr="00215888" w:rsidRDefault="00D64FB9" w:rsidP="00D64FB9">
            <w:pPr>
              <w:spacing w:before="20" w:after="20"/>
              <w:ind w:left="100" w:right="100"/>
              <w:jc w:val="right"/>
              <w:rPr>
                <w:sz w:val="20"/>
                <w:szCs w:val="20"/>
              </w:rPr>
            </w:pPr>
          </w:p>
        </w:tc>
        <w:tc>
          <w:tcPr>
            <w:tcW w:w="0" w:type="dxa"/>
            <w:vAlign w:val="center"/>
          </w:tcPr>
          <w:p w14:paraId="642C3FD5" w14:textId="77777777" w:rsidR="00D64FB9" w:rsidRPr="00215888" w:rsidRDefault="00D64FB9" w:rsidP="00D64FB9">
            <w:pPr>
              <w:spacing w:before="20" w:after="20"/>
              <w:ind w:left="100" w:right="100"/>
              <w:jc w:val="right"/>
              <w:rPr>
                <w:sz w:val="20"/>
                <w:szCs w:val="20"/>
              </w:rPr>
            </w:pPr>
          </w:p>
        </w:tc>
        <w:tc>
          <w:tcPr>
            <w:tcW w:w="0" w:type="dxa"/>
            <w:vAlign w:val="center"/>
          </w:tcPr>
          <w:p w14:paraId="1099B303" w14:textId="77777777" w:rsidR="00D64FB9" w:rsidRPr="00215888" w:rsidRDefault="00D64FB9" w:rsidP="00D64FB9">
            <w:pPr>
              <w:spacing w:before="20" w:after="20"/>
              <w:ind w:left="100" w:right="100"/>
              <w:jc w:val="right"/>
              <w:rPr>
                <w:sz w:val="20"/>
                <w:szCs w:val="20"/>
              </w:rPr>
            </w:pPr>
          </w:p>
        </w:tc>
        <w:tc>
          <w:tcPr>
            <w:tcW w:w="0" w:type="dxa"/>
            <w:vAlign w:val="center"/>
          </w:tcPr>
          <w:p w14:paraId="73752B64" w14:textId="77777777" w:rsidR="00D64FB9" w:rsidRPr="00215888" w:rsidRDefault="00D64FB9" w:rsidP="00D64FB9">
            <w:pPr>
              <w:spacing w:before="20" w:after="20"/>
              <w:ind w:left="100" w:right="100"/>
              <w:jc w:val="right"/>
              <w:rPr>
                <w:sz w:val="20"/>
                <w:szCs w:val="20"/>
              </w:rPr>
            </w:pPr>
          </w:p>
        </w:tc>
        <w:tc>
          <w:tcPr>
            <w:tcW w:w="0" w:type="dxa"/>
            <w:vAlign w:val="center"/>
          </w:tcPr>
          <w:p w14:paraId="710E8918" w14:textId="77777777" w:rsidR="00D64FB9" w:rsidRPr="00215888" w:rsidRDefault="00D64FB9" w:rsidP="00D64FB9">
            <w:pPr>
              <w:spacing w:before="20" w:after="20"/>
              <w:ind w:left="100" w:right="100"/>
              <w:jc w:val="right"/>
              <w:rPr>
                <w:sz w:val="20"/>
                <w:szCs w:val="20"/>
              </w:rPr>
            </w:pPr>
          </w:p>
        </w:tc>
      </w:tr>
      <w:tr w:rsidR="00D64FB9" w:rsidRPr="00215888" w14:paraId="6BC03ECF" w14:textId="77777777" w:rsidTr="006E6EE9">
        <w:tc>
          <w:tcPr>
            <w:tcW w:w="0" w:type="dxa"/>
          </w:tcPr>
          <w:p w14:paraId="1DF13180"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11 to 14</w:t>
            </w:r>
          </w:p>
        </w:tc>
        <w:tc>
          <w:tcPr>
            <w:tcW w:w="0" w:type="dxa"/>
            <w:vAlign w:val="center"/>
          </w:tcPr>
          <w:p w14:paraId="4904BD23" w14:textId="5B917AC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1,840 (65%)</w:t>
            </w:r>
          </w:p>
        </w:tc>
        <w:tc>
          <w:tcPr>
            <w:tcW w:w="0" w:type="dxa"/>
            <w:vAlign w:val="center"/>
          </w:tcPr>
          <w:p w14:paraId="55D8C60C" w14:textId="771EF2A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984 (35%)</w:t>
            </w:r>
          </w:p>
        </w:tc>
        <w:tc>
          <w:tcPr>
            <w:tcW w:w="0" w:type="dxa"/>
            <w:vAlign w:val="center"/>
          </w:tcPr>
          <w:p w14:paraId="7832AE7F" w14:textId="794F3DB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4B5D2CCE" w14:textId="6FFF81E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508CBF9D" w14:textId="77777777" w:rsidR="00D64FB9" w:rsidRPr="00215888" w:rsidRDefault="00D64FB9" w:rsidP="00D64FB9">
            <w:pPr>
              <w:spacing w:before="20" w:after="20"/>
              <w:ind w:left="100" w:right="100"/>
              <w:jc w:val="right"/>
              <w:rPr>
                <w:sz w:val="20"/>
                <w:szCs w:val="20"/>
              </w:rPr>
            </w:pPr>
          </w:p>
        </w:tc>
        <w:tc>
          <w:tcPr>
            <w:tcW w:w="0" w:type="dxa"/>
            <w:vAlign w:val="center"/>
          </w:tcPr>
          <w:p w14:paraId="429FCFA3" w14:textId="38274E7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07ED85BF" w14:textId="56F9F31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E30A895" w14:textId="77777777" w:rsidR="00D64FB9" w:rsidRPr="00215888" w:rsidRDefault="00D64FB9" w:rsidP="00D64FB9">
            <w:pPr>
              <w:spacing w:before="20" w:after="20"/>
              <w:ind w:left="100" w:right="100"/>
              <w:jc w:val="right"/>
              <w:rPr>
                <w:sz w:val="20"/>
                <w:szCs w:val="20"/>
              </w:rPr>
            </w:pPr>
          </w:p>
        </w:tc>
      </w:tr>
      <w:tr w:rsidR="00D64FB9" w:rsidRPr="00215888" w14:paraId="669EDC47"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49366D81"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15 to 18</w:t>
            </w:r>
          </w:p>
        </w:tc>
        <w:tc>
          <w:tcPr>
            <w:tcW w:w="0" w:type="dxa"/>
            <w:vAlign w:val="center"/>
          </w:tcPr>
          <w:p w14:paraId="4813D3B1" w14:textId="4DEF744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1,400 (53%)</w:t>
            </w:r>
          </w:p>
        </w:tc>
        <w:tc>
          <w:tcPr>
            <w:tcW w:w="0" w:type="dxa"/>
            <w:vAlign w:val="center"/>
          </w:tcPr>
          <w:p w14:paraId="3BAD015F" w14:textId="764B8C3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1,258 (47%)</w:t>
            </w:r>
          </w:p>
        </w:tc>
        <w:tc>
          <w:tcPr>
            <w:tcW w:w="0" w:type="dxa"/>
            <w:vAlign w:val="center"/>
          </w:tcPr>
          <w:p w14:paraId="771A6BB4" w14:textId="4B50344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1.36</w:t>
            </w:r>
          </w:p>
        </w:tc>
        <w:tc>
          <w:tcPr>
            <w:tcW w:w="0" w:type="dxa"/>
            <w:vAlign w:val="center"/>
          </w:tcPr>
          <w:p w14:paraId="4BA2E28F" w14:textId="5EF2C7D5"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0.91, 2.03</w:t>
            </w:r>
          </w:p>
        </w:tc>
        <w:tc>
          <w:tcPr>
            <w:tcW w:w="0" w:type="dxa"/>
            <w:vAlign w:val="center"/>
          </w:tcPr>
          <w:p w14:paraId="42DA5FB1" w14:textId="22E9252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0.14</w:t>
            </w:r>
          </w:p>
        </w:tc>
        <w:tc>
          <w:tcPr>
            <w:tcW w:w="0" w:type="dxa"/>
            <w:vAlign w:val="center"/>
          </w:tcPr>
          <w:p w14:paraId="4E95D7AD" w14:textId="77777777" w:rsidR="00D64FB9" w:rsidRPr="00215888" w:rsidRDefault="00D64FB9" w:rsidP="00D64FB9">
            <w:pPr>
              <w:spacing w:before="20" w:after="20"/>
              <w:ind w:left="100" w:right="100"/>
              <w:jc w:val="right"/>
              <w:rPr>
                <w:sz w:val="20"/>
                <w:szCs w:val="20"/>
              </w:rPr>
            </w:pPr>
          </w:p>
        </w:tc>
        <w:tc>
          <w:tcPr>
            <w:tcW w:w="0" w:type="dxa"/>
            <w:vAlign w:val="center"/>
          </w:tcPr>
          <w:p w14:paraId="657FE189" w14:textId="77777777" w:rsidR="00D64FB9" w:rsidRPr="00215888" w:rsidRDefault="00D64FB9" w:rsidP="00D64FB9">
            <w:pPr>
              <w:spacing w:before="20" w:after="20"/>
              <w:ind w:left="100" w:right="100"/>
              <w:jc w:val="right"/>
              <w:rPr>
                <w:sz w:val="20"/>
                <w:szCs w:val="20"/>
              </w:rPr>
            </w:pPr>
          </w:p>
        </w:tc>
        <w:tc>
          <w:tcPr>
            <w:tcW w:w="0" w:type="dxa"/>
            <w:vAlign w:val="center"/>
          </w:tcPr>
          <w:p w14:paraId="75FC2EDD" w14:textId="77777777" w:rsidR="00D64FB9" w:rsidRPr="00215888" w:rsidRDefault="00D64FB9" w:rsidP="00D64FB9">
            <w:pPr>
              <w:spacing w:before="20" w:after="20"/>
              <w:ind w:left="100" w:right="100"/>
              <w:jc w:val="right"/>
              <w:rPr>
                <w:sz w:val="20"/>
                <w:szCs w:val="20"/>
              </w:rPr>
            </w:pPr>
          </w:p>
        </w:tc>
      </w:tr>
      <w:tr w:rsidR="00D64FB9" w:rsidRPr="00215888" w14:paraId="5031E250" w14:textId="77777777" w:rsidTr="006E6EE9">
        <w:tc>
          <w:tcPr>
            <w:tcW w:w="0" w:type="dxa"/>
          </w:tcPr>
          <w:p w14:paraId="777583B4"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Over 18</w:t>
            </w:r>
          </w:p>
        </w:tc>
        <w:tc>
          <w:tcPr>
            <w:tcW w:w="0" w:type="dxa"/>
            <w:vAlign w:val="center"/>
          </w:tcPr>
          <w:p w14:paraId="724A9084" w14:textId="654201E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91 (32%)</w:t>
            </w:r>
          </w:p>
        </w:tc>
        <w:tc>
          <w:tcPr>
            <w:tcW w:w="0" w:type="dxa"/>
            <w:vAlign w:val="center"/>
          </w:tcPr>
          <w:p w14:paraId="3197092C" w14:textId="3051085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190 (68%)</w:t>
            </w:r>
          </w:p>
        </w:tc>
        <w:tc>
          <w:tcPr>
            <w:tcW w:w="0" w:type="dxa"/>
            <w:vAlign w:val="center"/>
          </w:tcPr>
          <w:p w14:paraId="0A47A226" w14:textId="2FB9B54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1.94</w:t>
            </w:r>
          </w:p>
        </w:tc>
        <w:tc>
          <w:tcPr>
            <w:tcW w:w="0" w:type="dxa"/>
            <w:vAlign w:val="center"/>
          </w:tcPr>
          <w:p w14:paraId="79243204" w14:textId="026BCC5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1.26, 2.99</w:t>
            </w:r>
          </w:p>
        </w:tc>
        <w:tc>
          <w:tcPr>
            <w:tcW w:w="0" w:type="dxa"/>
            <w:vAlign w:val="center"/>
          </w:tcPr>
          <w:p w14:paraId="7C9FB5B7" w14:textId="7C8C03B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0.003</w:t>
            </w:r>
          </w:p>
        </w:tc>
        <w:tc>
          <w:tcPr>
            <w:tcW w:w="0" w:type="dxa"/>
            <w:vAlign w:val="center"/>
          </w:tcPr>
          <w:p w14:paraId="160B2DD6" w14:textId="77777777" w:rsidR="00D64FB9" w:rsidRPr="00215888" w:rsidRDefault="00D64FB9" w:rsidP="00D64FB9">
            <w:pPr>
              <w:spacing w:before="20" w:after="20"/>
              <w:ind w:left="100" w:right="100"/>
              <w:jc w:val="right"/>
              <w:rPr>
                <w:sz w:val="20"/>
                <w:szCs w:val="20"/>
              </w:rPr>
            </w:pPr>
          </w:p>
        </w:tc>
        <w:tc>
          <w:tcPr>
            <w:tcW w:w="0" w:type="dxa"/>
            <w:vAlign w:val="center"/>
          </w:tcPr>
          <w:p w14:paraId="45EA2410" w14:textId="77777777" w:rsidR="00D64FB9" w:rsidRPr="00215888" w:rsidRDefault="00D64FB9" w:rsidP="00D64FB9">
            <w:pPr>
              <w:spacing w:before="20" w:after="20"/>
              <w:ind w:left="100" w:right="100"/>
              <w:jc w:val="right"/>
              <w:rPr>
                <w:sz w:val="20"/>
                <w:szCs w:val="20"/>
              </w:rPr>
            </w:pPr>
          </w:p>
        </w:tc>
        <w:tc>
          <w:tcPr>
            <w:tcW w:w="0" w:type="dxa"/>
            <w:vAlign w:val="center"/>
          </w:tcPr>
          <w:p w14:paraId="427651EE" w14:textId="77777777" w:rsidR="00D64FB9" w:rsidRPr="00215888" w:rsidRDefault="00D64FB9" w:rsidP="00D64FB9">
            <w:pPr>
              <w:spacing w:before="20" w:after="20"/>
              <w:ind w:left="100" w:right="100"/>
              <w:jc w:val="right"/>
              <w:rPr>
                <w:sz w:val="20"/>
                <w:szCs w:val="20"/>
              </w:rPr>
            </w:pPr>
          </w:p>
        </w:tc>
      </w:tr>
      <w:tr w:rsidR="00D64FB9" w:rsidRPr="00215888" w14:paraId="59C5D130"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4C40283" w14:textId="77777777"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Sex</w:t>
            </w:r>
          </w:p>
        </w:tc>
        <w:tc>
          <w:tcPr>
            <w:tcW w:w="0" w:type="dxa"/>
            <w:vAlign w:val="center"/>
          </w:tcPr>
          <w:p w14:paraId="0EA12134" w14:textId="77777777" w:rsidR="00D64FB9" w:rsidRPr="00215888" w:rsidRDefault="00D64FB9" w:rsidP="00D64FB9">
            <w:pPr>
              <w:spacing w:before="20" w:after="20"/>
              <w:ind w:left="100" w:right="100"/>
              <w:jc w:val="right"/>
              <w:rPr>
                <w:sz w:val="20"/>
                <w:szCs w:val="20"/>
              </w:rPr>
            </w:pPr>
          </w:p>
        </w:tc>
        <w:tc>
          <w:tcPr>
            <w:tcW w:w="0" w:type="dxa"/>
            <w:vAlign w:val="center"/>
          </w:tcPr>
          <w:p w14:paraId="5683718D" w14:textId="77777777" w:rsidR="00D64FB9" w:rsidRPr="00215888" w:rsidRDefault="00D64FB9" w:rsidP="00D64FB9">
            <w:pPr>
              <w:spacing w:before="20" w:after="20"/>
              <w:ind w:left="100" w:right="100"/>
              <w:jc w:val="right"/>
              <w:rPr>
                <w:sz w:val="20"/>
                <w:szCs w:val="20"/>
              </w:rPr>
            </w:pPr>
          </w:p>
        </w:tc>
        <w:tc>
          <w:tcPr>
            <w:tcW w:w="0" w:type="dxa"/>
            <w:vAlign w:val="center"/>
          </w:tcPr>
          <w:p w14:paraId="0BA807C4" w14:textId="77777777" w:rsidR="00D64FB9" w:rsidRPr="00215888" w:rsidRDefault="00D64FB9" w:rsidP="00D64FB9">
            <w:pPr>
              <w:spacing w:before="20" w:after="20"/>
              <w:ind w:left="100" w:right="100"/>
              <w:jc w:val="right"/>
              <w:rPr>
                <w:sz w:val="20"/>
                <w:szCs w:val="20"/>
              </w:rPr>
            </w:pPr>
          </w:p>
        </w:tc>
        <w:tc>
          <w:tcPr>
            <w:tcW w:w="0" w:type="dxa"/>
            <w:vAlign w:val="center"/>
          </w:tcPr>
          <w:p w14:paraId="483EA000" w14:textId="77777777" w:rsidR="00D64FB9" w:rsidRPr="00215888" w:rsidRDefault="00D64FB9" w:rsidP="00D64FB9">
            <w:pPr>
              <w:spacing w:before="20" w:after="20"/>
              <w:ind w:left="100" w:right="100"/>
              <w:jc w:val="right"/>
              <w:rPr>
                <w:sz w:val="20"/>
                <w:szCs w:val="20"/>
              </w:rPr>
            </w:pPr>
          </w:p>
        </w:tc>
        <w:tc>
          <w:tcPr>
            <w:tcW w:w="0" w:type="dxa"/>
            <w:vAlign w:val="center"/>
          </w:tcPr>
          <w:p w14:paraId="258D09E0" w14:textId="77777777" w:rsidR="00D64FB9" w:rsidRPr="00215888" w:rsidRDefault="00D64FB9" w:rsidP="00D64FB9">
            <w:pPr>
              <w:spacing w:before="20" w:after="20"/>
              <w:ind w:left="100" w:right="100"/>
              <w:jc w:val="right"/>
              <w:rPr>
                <w:sz w:val="20"/>
                <w:szCs w:val="20"/>
              </w:rPr>
            </w:pPr>
          </w:p>
        </w:tc>
        <w:tc>
          <w:tcPr>
            <w:tcW w:w="0" w:type="dxa"/>
            <w:vAlign w:val="center"/>
          </w:tcPr>
          <w:p w14:paraId="2EC0A31A" w14:textId="77777777" w:rsidR="00D64FB9" w:rsidRPr="00215888" w:rsidRDefault="00D64FB9" w:rsidP="00D64FB9">
            <w:pPr>
              <w:spacing w:before="20" w:after="20"/>
              <w:ind w:left="100" w:right="100"/>
              <w:jc w:val="right"/>
              <w:rPr>
                <w:sz w:val="20"/>
                <w:szCs w:val="20"/>
              </w:rPr>
            </w:pPr>
          </w:p>
        </w:tc>
        <w:tc>
          <w:tcPr>
            <w:tcW w:w="0" w:type="dxa"/>
            <w:vAlign w:val="center"/>
          </w:tcPr>
          <w:p w14:paraId="2F3DF649" w14:textId="77777777" w:rsidR="00D64FB9" w:rsidRPr="00215888" w:rsidRDefault="00D64FB9" w:rsidP="00D64FB9">
            <w:pPr>
              <w:spacing w:before="20" w:after="20"/>
              <w:ind w:left="100" w:right="100"/>
              <w:jc w:val="right"/>
              <w:rPr>
                <w:sz w:val="20"/>
                <w:szCs w:val="20"/>
              </w:rPr>
            </w:pPr>
          </w:p>
        </w:tc>
        <w:tc>
          <w:tcPr>
            <w:tcW w:w="0" w:type="dxa"/>
            <w:vAlign w:val="center"/>
          </w:tcPr>
          <w:p w14:paraId="771E2030" w14:textId="77777777" w:rsidR="00D64FB9" w:rsidRPr="00215888" w:rsidRDefault="00D64FB9" w:rsidP="00D64FB9">
            <w:pPr>
              <w:spacing w:before="20" w:after="20"/>
              <w:ind w:left="100" w:right="100"/>
              <w:jc w:val="right"/>
              <w:rPr>
                <w:sz w:val="20"/>
                <w:szCs w:val="20"/>
              </w:rPr>
            </w:pPr>
          </w:p>
        </w:tc>
      </w:tr>
      <w:tr w:rsidR="00D64FB9" w:rsidRPr="00215888" w14:paraId="73992F5A" w14:textId="77777777" w:rsidTr="006E6EE9">
        <w:tc>
          <w:tcPr>
            <w:tcW w:w="0" w:type="dxa"/>
          </w:tcPr>
          <w:p w14:paraId="14F7131B"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Female</w:t>
            </w:r>
          </w:p>
        </w:tc>
        <w:tc>
          <w:tcPr>
            <w:tcW w:w="0" w:type="dxa"/>
            <w:vAlign w:val="center"/>
          </w:tcPr>
          <w:p w14:paraId="65A49F2A" w14:textId="227888D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1,619 (54%)</w:t>
            </w:r>
          </w:p>
        </w:tc>
        <w:tc>
          <w:tcPr>
            <w:tcW w:w="0" w:type="dxa"/>
            <w:vAlign w:val="center"/>
          </w:tcPr>
          <w:p w14:paraId="777AFC79" w14:textId="052556A1"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1,390 (46%)</w:t>
            </w:r>
          </w:p>
        </w:tc>
        <w:tc>
          <w:tcPr>
            <w:tcW w:w="0" w:type="dxa"/>
            <w:vAlign w:val="center"/>
          </w:tcPr>
          <w:p w14:paraId="4434B594" w14:textId="0479016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526BFEA" w14:textId="3137BEF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2A9D42FC" w14:textId="77777777" w:rsidR="00D64FB9" w:rsidRPr="00215888" w:rsidRDefault="00D64FB9" w:rsidP="00D64FB9">
            <w:pPr>
              <w:spacing w:before="20" w:after="20"/>
              <w:ind w:left="100" w:right="100"/>
              <w:jc w:val="right"/>
              <w:rPr>
                <w:sz w:val="20"/>
                <w:szCs w:val="20"/>
              </w:rPr>
            </w:pPr>
          </w:p>
        </w:tc>
        <w:tc>
          <w:tcPr>
            <w:tcW w:w="0" w:type="dxa"/>
            <w:vAlign w:val="center"/>
          </w:tcPr>
          <w:p w14:paraId="6E1F8241" w14:textId="42A698F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49D4E71B" w14:textId="0C47509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07B2DB71" w14:textId="77777777" w:rsidR="00D64FB9" w:rsidRPr="00215888" w:rsidRDefault="00D64FB9" w:rsidP="00D64FB9">
            <w:pPr>
              <w:spacing w:before="20" w:after="20"/>
              <w:ind w:left="100" w:right="100"/>
              <w:jc w:val="right"/>
              <w:rPr>
                <w:sz w:val="20"/>
                <w:szCs w:val="20"/>
              </w:rPr>
            </w:pPr>
          </w:p>
        </w:tc>
      </w:tr>
      <w:tr w:rsidR="00D64FB9" w:rsidRPr="00215888" w14:paraId="4E713F91"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56BA7D77"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Male</w:t>
            </w:r>
          </w:p>
        </w:tc>
        <w:tc>
          <w:tcPr>
            <w:tcW w:w="0" w:type="dxa"/>
            <w:vAlign w:val="center"/>
          </w:tcPr>
          <w:p w14:paraId="4B6C1C1E" w14:textId="26EC6DC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1,712 (62%)</w:t>
            </w:r>
          </w:p>
        </w:tc>
        <w:tc>
          <w:tcPr>
            <w:tcW w:w="0" w:type="dxa"/>
            <w:vAlign w:val="center"/>
          </w:tcPr>
          <w:p w14:paraId="0D7F753B" w14:textId="573D385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1,042 (38%)</w:t>
            </w:r>
          </w:p>
        </w:tc>
        <w:tc>
          <w:tcPr>
            <w:tcW w:w="0" w:type="dxa"/>
            <w:vAlign w:val="center"/>
          </w:tcPr>
          <w:p w14:paraId="6DC1131A" w14:textId="62A7973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w:t>
            </w:r>
          </w:p>
        </w:tc>
        <w:tc>
          <w:tcPr>
            <w:tcW w:w="0" w:type="dxa"/>
            <w:vAlign w:val="center"/>
          </w:tcPr>
          <w:p w14:paraId="2306AEE7" w14:textId="526197A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0.72, 0.93</w:t>
            </w:r>
          </w:p>
        </w:tc>
        <w:tc>
          <w:tcPr>
            <w:tcW w:w="0" w:type="dxa"/>
            <w:vAlign w:val="center"/>
          </w:tcPr>
          <w:p w14:paraId="5270A178" w14:textId="05041773"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0.002</w:t>
            </w:r>
          </w:p>
        </w:tc>
        <w:tc>
          <w:tcPr>
            <w:tcW w:w="0" w:type="dxa"/>
            <w:vAlign w:val="center"/>
          </w:tcPr>
          <w:p w14:paraId="45EF525C" w14:textId="09043D3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0.92</w:t>
            </w:r>
          </w:p>
        </w:tc>
        <w:tc>
          <w:tcPr>
            <w:tcW w:w="0" w:type="dxa"/>
            <w:vAlign w:val="center"/>
          </w:tcPr>
          <w:p w14:paraId="09375E21" w14:textId="02AD47CB"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0.82, 1.03</w:t>
            </w:r>
          </w:p>
        </w:tc>
        <w:tc>
          <w:tcPr>
            <w:tcW w:w="0" w:type="dxa"/>
            <w:vAlign w:val="center"/>
          </w:tcPr>
          <w:p w14:paraId="2C22CF23" w14:textId="4CA7DDE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0.14</w:t>
            </w:r>
          </w:p>
        </w:tc>
      </w:tr>
      <w:tr w:rsidR="00D64FB9" w:rsidRPr="00215888" w14:paraId="720B7118" w14:textId="77777777" w:rsidTr="006E6EE9">
        <w:tc>
          <w:tcPr>
            <w:tcW w:w="0" w:type="dxa"/>
          </w:tcPr>
          <w:p w14:paraId="69A06CF3" w14:textId="77777777"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Participant type</w:t>
            </w:r>
          </w:p>
        </w:tc>
        <w:tc>
          <w:tcPr>
            <w:tcW w:w="0" w:type="dxa"/>
            <w:vAlign w:val="center"/>
          </w:tcPr>
          <w:p w14:paraId="4A8086DC" w14:textId="77777777" w:rsidR="00D64FB9" w:rsidRPr="00215888" w:rsidRDefault="00D64FB9" w:rsidP="00D64FB9">
            <w:pPr>
              <w:spacing w:before="20" w:after="20"/>
              <w:ind w:left="100" w:right="100"/>
              <w:jc w:val="right"/>
              <w:rPr>
                <w:sz w:val="20"/>
                <w:szCs w:val="20"/>
              </w:rPr>
            </w:pPr>
          </w:p>
        </w:tc>
        <w:tc>
          <w:tcPr>
            <w:tcW w:w="0" w:type="dxa"/>
            <w:vAlign w:val="center"/>
          </w:tcPr>
          <w:p w14:paraId="3FC284EE" w14:textId="77777777" w:rsidR="00D64FB9" w:rsidRPr="00215888" w:rsidRDefault="00D64FB9" w:rsidP="00D64FB9">
            <w:pPr>
              <w:spacing w:before="20" w:after="20"/>
              <w:ind w:left="100" w:right="100"/>
              <w:jc w:val="right"/>
              <w:rPr>
                <w:sz w:val="20"/>
                <w:szCs w:val="20"/>
              </w:rPr>
            </w:pPr>
          </w:p>
        </w:tc>
        <w:tc>
          <w:tcPr>
            <w:tcW w:w="0" w:type="dxa"/>
            <w:vAlign w:val="center"/>
          </w:tcPr>
          <w:p w14:paraId="24728497" w14:textId="77777777" w:rsidR="00D64FB9" w:rsidRPr="00215888" w:rsidRDefault="00D64FB9" w:rsidP="00D64FB9">
            <w:pPr>
              <w:spacing w:before="20" w:after="20"/>
              <w:ind w:left="100" w:right="100"/>
              <w:jc w:val="right"/>
              <w:rPr>
                <w:sz w:val="20"/>
                <w:szCs w:val="20"/>
              </w:rPr>
            </w:pPr>
          </w:p>
        </w:tc>
        <w:tc>
          <w:tcPr>
            <w:tcW w:w="0" w:type="dxa"/>
            <w:vAlign w:val="center"/>
          </w:tcPr>
          <w:p w14:paraId="58555E6F" w14:textId="77777777" w:rsidR="00D64FB9" w:rsidRPr="00215888" w:rsidRDefault="00D64FB9" w:rsidP="00D64FB9">
            <w:pPr>
              <w:spacing w:before="20" w:after="20"/>
              <w:ind w:left="100" w:right="100"/>
              <w:jc w:val="right"/>
              <w:rPr>
                <w:sz w:val="20"/>
                <w:szCs w:val="20"/>
              </w:rPr>
            </w:pPr>
          </w:p>
        </w:tc>
        <w:tc>
          <w:tcPr>
            <w:tcW w:w="0" w:type="dxa"/>
            <w:vAlign w:val="center"/>
          </w:tcPr>
          <w:p w14:paraId="5E14B066" w14:textId="77777777" w:rsidR="00D64FB9" w:rsidRPr="00215888" w:rsidRDefault="00D64FB9" w:rsidP="00D64FB9">
            <w:pPr>
              <w:spacing w:before="20" w:after="20"/>
              <w:ind w:left="100" w:right="100"/>
              <w:jc w:val="right"/>
              <w:rPr>
                <w:sz w:val="20"/>
                <w:szCs w:val="20"/>
              </w:rPr>
            </w:pPr>
          </w:p>
        </w:tc>
        <w:tc>
          <w:tcPr>
            <w:tcW w:w="0" w:type="dxa"/>
            <w:vAlign w:val="center"/>
          </w:tcPr>
          <w:p w14:paraId="5AC01E5B" w14:textId="77777777" w:rsidR="00D64FB9" w:rsidRPr="00215888" w:rsidRDefault="00D64FB9" w:rsidP="00D64FB9">
            <w:pPr>
              <w:spacing w:before="20" w:after="20"/>
              <w:ind w:left="100" w:right="100"/>
              <w:jc w:val="right"/>
              <w:rPr>
                <w:sz w:val="20"/>
                <w:szCs w:val="20"/>
              </w:rPr>
            </w:pPr>
          </w:p>
        </w:tc>
        <w:tc>
          <w:tcPr>
            <w:tcW w:w="0" w:type="dxa"/>
            <w:vAlign w:val="center"/>
          </w:tcPr>
          <w:p w14:paraId="17597914" w14:textId="77777777" w:rsidR="00D64FB9" w:rsidRPr="00215888" w:rsidRDefault="00D64FB9" w:rsidP="00D64FB9">
            <w:pPr>
              <w:spacing w:before="20" w:after="20"/>
              <w:ind w:left="100" w:right="100"/>
              <w:jc w:val="right"/>
              <w:rPr>
                <w:sz w:val="20"/>
                <w:szCs w:val="20"/>
              </w:rPr>
            </w:pPr>
          </w:p>
        </w:tc>
        <w:tc>
          <w:tcPr>
            <w:tcW w:w="0" w:type="dxa"/>
            <w:vAlign w:val="center"/>
          </w:tcPr>
          <w:p w14:paraId="5E86BCF2" w14:textId="77777777" w:rsidR="00D64FB9" w:rsidRPr="00215888" w:rsidRDefault="00D64FB9" w:rsidP="00D64FB9">
            <w:pPr>
              <w:spacing w:before="20" w:after="20"/>
              <w:ind w:left="100" w:right="100"/>
              <w:jc w:val="right"/>
              <w:rPr>
                <w:sz w:val="20"/>
                <w:szCs w:val="20"/>
              </w:rPr>
            </w:pPr>
          </w:p>
        </w:tc>
      </w:tr>
      <w:tr w:rsidR="00D64FB9" w:rsidRPr="00215888" w14:paraId="72A09D65"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3BFE961D"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Student</w:t>
            </w:r>
          </w:p>
        </w:tc>
        <w:tc>
          <w:tcPr>
            <w:tcW w:w="0" w:type="dxa"/>
            <w:vAlign w:val="center"/>
          </w:tcPr>
          <w:p w14:paraId="30D19BB2" w14:textId="5EF9F39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3,257 (59%)</w:t>
            </w:r>
          </w:p>
        </w:tc>
        <w:tc>
          <w:tcPr>
            <w:tcW w:w="0" w:type="dxa"/>
            <w:vAlign w:val="center"/>
          </w:tcPr>
          <w:p w14:paraId="744EC83D" w14:textId="3602C990"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2,253 (41%)</w:t>
            </w:r>
          </w:p>
        </w:tc>
        <w:tc>
          <w:tcPr>
            <w:tcW w:w="0" w:type="dxa"/>
            <w:vAlign w:val="center"/>
          </w:tcPr>
          <w:p w14:paraId="0D64BE6E" w14:textId="23FB6DC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6CEA3596" w14:textId="7FAE7A2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70169B19" w14:textId="77777777" w:rsidR="00D64FB9" w:rsidRPr="00215888" w:rsidRDefault="00D64FB9" w:rsidP="00D64FB9">
            <w:pPr>
              <w:spacing w:before="20" w:after="20"/>
              <w:ind w:left="100" w:right="100"/>
              <w:jc w:val="right"/>
              <w:rPr>
                <w:sz w:val="20"/>
                <w:szCs w:val="20"/>
              </w:rPr>
            </w:pPr>
          </w:p>
        </w:tc>
        <w:tc>
          <w:tcPr>
            <w:tcW w:w="0" w:type="dxa"/>
            <w:vAlign w:val="center"/>
          </w:tcPr>
          <w:p w14:paraId="2E490598" w14:textId="6390F95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42686745" w14:textId="4BBB64D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w:t>
            </w:r>
          </w:p>
        </w:tc>
        <w:tc>
          <w:tcPr>
            <w:tcW w:w="0" w:type="dxa"/>
            <w:vAlign w:val="center"/>
          </w:tcPr>
          <w:p w14:paraId="3A4E8DBF" w14:textId="77777777" w:rsidR="00D64FB9" w:rsidRPr="00215888" w:rsidRDefault="00D64FB9" w:rsidP="00D64FB9">
            <w:pPr>
              <w:spacing w:before="20" w:after="20"/>
              <w:ind w:left="100" w:right="100"/>
              <w:jc w:val="right"/>
              <w:rPr>
                <w:sz w:val="20"/>
                <w:szCs w:val="20"/>
              </w:rPr>
            </w:pPr>
          </w:p>
        </w:tc>
      </w:tr>
      <w:tr w:rsidR="00D64FB9" w:rsidRPr="00215888" w14:paraId="2066CAEC" w14:textId="77777777" w:rsidTr="006E6EE9">
        <w:tc>
          <w:tcPr>
            <w:tcW w:w="0" w:type="dxa"/>
          </w:tcPr>
          <w:p w14:paraId="16C310B3" w14:textId="77777777" w:rsidR="00D64FB9" w:rsidRPr="00215888" w:rsidRDefault="00D64FB9" w:rsidP="00D64FB9">
            <w:pPr>
              <w:spacing w:before="20" w:after="20"/>
              <w:ind w:left="300" w:right="100"/>
              <w:rPr>
                <w:sz w:val="20"/>
                <w:szCs w:val="20"/>
              </w:rPr>
            </w:pPr>
            <w:r w:rsidRPr="00215888">
              <w:rPr>
                <w:rFonts w:ascii="Calibri" w:eastAsia="Calibri" w:hAnsi="Calibri" w:cs="Calibri"/>
                <w:color w:val="000000"/>
                <w:sz w:val="20"/>
                <w:szCs w:val="20"/>
              </w:rPr>
              <w:t>Staff</w:t>
            </w:r>
          </w:p>
        </w:tc>
        <w:tc>
          <w:tcPr>
            <w:tcW w:w="0" w:type="dxa"/>
            <w:vAlign w:val="center"/>
          </w:tcPr>
          <w:p w14:paraId="546450CF" w14:textId="6F184FD7"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74 (29%)</w:t>
            </w:r>
          </w:p>
        </w:tc>
        <w:tc>
          <w:tcPr>
            <w:tcW w:w="0" w:type="dxa"/>
            <w:vAlign w:val="center"/>
          </w:tcPr>
          <w:p w14:paraId="277CEE5E" w14:textId="12BBCCB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179 (71%)</w:t>
            </w:r>
          </w:p>
        </w:tc>
        <w:tc>
          <w:tcPr>
            <w:tcW w:w="0" w:type="dxa"/>
            <w:vAlign w:val="center"/>
          </w:tcPr>
          <w:p w14:paraId="7ED14577" w14:textId="49AA3C3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1.73</w:t>
            </w:r>
          </w:p>
        </w:tc>
        <w:tc>
          <w:tcPr>
            <w:tcW w:w="0" w:type="dxa"/>
            <w:vAlign w:val="center"/>
          </w:tcPr>
          <w:p w14:paraId="3D62E4B6" w14:textId="22D4BD62"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1.33, 2.25</w:t>
            </w:r>
          </w:p>
        </w:tc>
        <w:tc>
          <w:tcPr>
            <w:tcW w:w="0" w:type="dxa"/>
            <w:vAlign w:val="center"/>
          </w:tcPr>
          <w:p w14:paraId="15ECE4F9" w14:textId="5672234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&lt;0.001</w:t>
            </w:r>
          </w:p>
        </w:tc>
        <w:tc>
          <w:tcPr>
            <w:tcW w:w="0" w:type="dxa"/>
            <w:vAlign w:val="center"/>
          </w:tcPr>
          <w:p w14:paraId="3C18E98B" w14:textId="73C144D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1.40</w:t>
            </w:r>
          </w:p>
        </w:tc>
        <w:tc>
          <w:tcPr>
            <w:tcW w:w="0" w:type="dxa"/>
            <w:vAlign w:val="center"/>
          </w:tcPr>
          <w:p w14:paraId="22C43F1B" w14:textId="587B06AE"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1.09, 1.80</w:t>
            </w:r>
          </w:p>
        </w:tc>
        <w:tc>
          <w:tcPr>
            <w:tcW w:w="0" w:type="dxa"/>
            <w:vAlign w:val="center"/>
          </w:tcPr>
          <w:p w14:paraId="5DB5BED5" w14:textId="02BC36ED"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0.009</w:t>
            </w:r>
          </w:p>
        </w:tc>
      </w:tr>
      <w:tr w:rsidR="00D64FB9" w:rsidRPr="00215888" w14:paraId="4E2568C8" w14:textId="77777777" w:rsidTr="006E6EE9">
        <w:trPr>
          <w:cnfStyle w:val="000000100000" w:firstRow="0" w:lastRow="0" w:firstColumn="0" w:lastColumn="0" w:oddVBand="0" w:evenVBand="0" w:oddHBand="1" w:evenHBand="0" w:firstRowFirstColumn="0" w:firstRowLastColumn="0" w:lastRowFirstColumn="0" w:lastRowLastColumn="0"/>
        </w:trPr>
        <w:tc>
          <w:tcPr>
            <w:tcW w:w="0" w:type="dxa"/>
          </w:tcPr>
          <w:p w14:paraId="22837589" w14:textId="0993E34A" w:rsidR="00D64FB9" w:rsidRPr="00215888" w:rsidRDefault="00D64FB9" w:rsidP="00D64FB9">
            <w:pPr>
              <w:spacing w:before="20" w:after="20"/>
              <w:ind w:left="100" w:right="100"/>
              <w:rPr>
                <w:sz w:val="20"/>
                <w:szCs w:val="20"/>
              </w:rPr>
            </w:pPr>
            <w:r w:rsidRPr="00215888">
              <w:rPr>
                <w:rFonts w:ascii="Calibri" w:eastAsia="Calibri" w:hAnsi="Calibri" w:cs="Calibri"/>
                <w:b/>
                <w:color w:val="000000"/>
                <w:sz w:val="20"/>
                <w:szCs w:val="20"/>
              </w:rPr>
              <w:t>School size</w:t>
            </w:r>
            <w:r>
              <w:rPr>
                <w:rFonts w:ascii="Calibri" w:eastAsia="Calibri" w:hAnsi="Calibri" w:cs="Calibri"/>
                <w:b/>
                <w:color w:val="000000"/>
                <w:sz w:val="20"/>
                <w:szCs w:val="20"/>
              </w:rPr>
              <w:t xml:space="preserve">, students and staff, </w:t>
            </w:r>
            <w:r w:rsidR="003016FD">
              <w:rPr>
                <w:rFonts w:ascii="Calibri" w:eastAsia="Calibri" w:hAnsi="Calibri" w:cs="Calibri"/>
                <w:b/>
                <w:color w:val="000000"/>
                <w:sz w:val="20"/>
                <w:szCs w:val="20"/>
              </w:rPr>
              <w:t>R</w:t>
            </w:r>
            <w:r>
              <w:rPr>
                <w:rFonts w:ascii="Calibri" w:eastAsia="Calibri" w:hAnsi="Calibri" w:cs="Calibri"/>
                <w:b/>
                <w:color w:val="000000"/>
                <w:sz w:val="20"/>
                <w:szCs w:val="20"/>
              </w:rPr>
              <w:t>R per 100</w:t>
            </w:r>
          </w:p>
        </w:tc>
        <w:tc>
          <w:tcPr>
            <w:tcW w:w="0" w:type="dxa"/>
            <w:vAlign w:val="center"/>
          </w:tcPr>
          <w:p w14:paraId="2840CC48" w14:textId="0983426A"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1,274 (958, 1,410)</w:t>
            </w:r>
          </w:p>
        </w:tc>
        <w:tc>
          <w:tcPr>
            <w:tcW w:w="0" w:type="dxa"/>
            <w:vAlign w:val="center"/>
          </w:tcPr>
          <w:p w14:paraId="58E9B2E2" w14:textId="0B978D48"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1,070 (801, 1,506)</w:t>
            </w:r>
          </w:p>
        </w:tc>
        <w:tc>
          <w:tcPr>
            <w:tcW w:w="0" w:type="dxa"/>
            <w:vAlign w:val="center"/>
          </w:tcPr>
          <w:p w14:paraId="188061F1" w14:textId="5013B0E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0.99</w:t>
            </w:r>
          </w:p>
        </w:tc>
        <w:tc>
          <w:tcPr>
            <w:tcW w:w="0" w:type="dxa"/>
            <w:vAlign w:val="center"/>
          </w:tcPr>
          <w:p w14:paraId="103A2C3A" w14:textId="1E75F46F"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0.97, 1.01</w:t>
            </w:r>
          </w:p>
        </w:tc>
        <w:tc>
          <w:tcPr>
            <w:tcW w:w="0" w:type="dxa"/>
            <w:vAlign w:val="center"/>
          </w:tcPr>
          <w:p w14:paraId="22BF6019" w14:textId="2E2F1A2C"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0.35</w:t>
            </w:r>
          </w:p>
        </w:tc>
        <w:tc>
          <w:tcPr>
            <w:tcW w:w="0" w:type="dxa"/>
            <w:vAlign w:val="center"/>
          </w:tcPr>
          <w:p w14:paraId="22D66D4F" w14:textId="600BC746"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0.99</w:t>
            </w:r>
          </w:p>
        </w:tc>
        <w:tc>
          <w:tcPr>
            <w:tcW w:w="0" w:type="dxa"/>
            <w:vAlign w:val="center"/>
          </w:tcPr>
          <w:p w14:paraId="172C3B74" w14:textId="3EE8B899"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0.98, 1.00</w:t>
            </w:r>
          </w:p>
        </w:tc>
        <w:tc>
          <w:tcPr>
            <w:tcW w:w="0" w:type="dxa"/>
            <w:vAlign w:val="center"/>
          </w:tcPr>
          <w:p w14:paraId="16F19D1F" w14:textId="00FE9C34" w:rsidR="00D64FB9" w:rsidRPr="00215888" w:rsidRDefault="00D64FB9" w:rsidP="00D64FB9">
            <w:pPr>
              <w:spacing w:before="20" w:after="20"/>
              <w:ind w:left="100" w:right="100"/>
              <w:jc w:val="right"/>
              <w:rPr>
                <w:sz w:val="20"/>
                <w:szCs w:val="20"/>
              </w:rPr>
            </w:pPr>
            <w:r>
              <w:rPr>
                <w:rFonts w:ascii="Calibri" w:eastAsia="Calibri" w:hAnsi="Calibri" w:cs="Calibri"/>
                <w:color w:val="000000"/>
                <w:sz w:val="18"/>
                <w:szCs w:val="18"/>
              </w:rPr>
              <w:t>0.18</w:t>
            </w:r>
          </w:p>
        </w:tc>
      </w:tr>
    </w:tbl>
    <w:p w14:paraId="349BC4EC" w14:textId="08DF6C29" w:rsidR="00604B9B" w:rsidRDefault="00604B9B" w:rsidP="00E059A0"/>
    <w:p w14:paraId="457AE661" w14:textId="4C78E848" w:rsidR="00604B9B" w:rsidRDefault="000D1431" w:rsidP="00E059A0">
      <w:pPr>
        <w:sectPr w:rsidR="00604B9B" w:rsidSect="00604B9B">
          <w:pgSz w:w="16840" w:h="11900" w:orient="landscape"/>
          <w:pgMar w:top="1440" w:right="1440" w:bottom="1440" w:left="1440" w:header="708" w:footer="708" w:gutter="0"/>
          <w:lnNumType w:countBy="1" w:restart="continuous"/>
          <w:cols w:space="708"/>
          <w:docGrid w:linePitch="360"/>
        </w:sectPr>
      </w:pPr>
      <w:r w:rsidRPr="009B31CF">
        <w:rPr>
          <w:b/>
          <w:bCs/>
        </w:rPr>
        <w:t xml:space="preserve">Table 3. Associations with participation in lateral flow testing in </w:t>
      </w:r>
      <w:r w:rsidRPr="00E20B10">
        <w:rPr>
          <w:b/>
          <w:bCs/>
        </w:rPr>
        <w:t xml:space="preserve">5763 </w:t>
      </w:r>
      <w:r w:rsidRPr="009B31CF">
        <w:rPr>
          <w:b/>
          <w:bCs/>
        </w:rPr>
        <w:t>contacts in intervention arm schools</w:t>
      </w:r>
      <w:r>
        <w:rPr>
          <w:b/>
          <w:bCs/>
        </w:rPr>
        <w:t xml:space="preserve"> </w:t>
      </w:r>
      <w:r w:rsidRPr="00E20B10">
        <w:rPr>
          <w:b/>
          <w:bCs/>
        </w:rPr>
        <w:t>where the 10 days following the positive test in the index case included ≥1 school day</w:t>
      </w:r>
      <w:r>
        <w:t xml:space="preserve">. Participant age is omitted from the multivariable model due to collinearity with participant type. Results from </w:t>
      </w:r>
      <w:r w:rsidR="00A1549D">
        <w:t xml:space="preserve">Poisson </w:t>
      </w:r>
      <w:r>
        <w:t xml:space="preserve">regression, </w:t>
      </w:r>
      <w:r w:rsidR="00023206">
        <w:t xml:space="preserve">with robust variance estimation, adjusting variance </w:t>
      </w:r>
      <w:r>
        <w:t>to account for repeated measurements from the same school</w:t>
      </w:r>
      <w:r w:rsidR="001C20D9">
        <w:t xml:space="preserve"> (for univariable and multivariable models)</w:t>
      </w:r>
      <w:r>
        <w:t xml:space="preserve">.  </w:t>
      </w:r>
      <w:r w:rsidR="00CD3BEA" w:rsidRPr="00CD3BEA">
        <w:rPr>
          <w:vertAlign w:val="superscript"/>
        </w:rPr>
        <w:t>1</w:t>
      </w:r>
      <w:r w:rsidR="00CD3BEA" w:rsidRPr="00CD3BEA">
        <w:t>n (%); Median (IQR)</w:t>
      </w:r>
      <w:r w:rsidR="00CD3BEA">
        <w:t xml:space="preserve">;  </w:t>
      </w:r>
      <w:r w:rsidR="003016FD" w:rsidRPr="00CD3BEA">
        <w:rPr>
          <w:vertAlign w:val="superscript"/>
        </w:rPr>
        <w:t>2</w:t>
      </w:r>
      <w:r w:rsidR="003016FD">
        <w:t>R</w:t>
      </w:r>
      <w:r w:rsidR="003016FD" w:rsidRPr="00CD3BEA">
        <w:t xml:space="preserve">R </w:t>
      </w:r>
      <w:r w:rsidR="00CD3BEA" w:rsidRPr="00CD3BEA">
        <w:t xml:space="preserve">= </w:t>
      </w:r>
      <w:r w:rsidR="003016FD">
        <w:t>Rate</w:t>
      </w:r>
      <w:r w:rsidR="003016FD" w:rsidRPr="00CD3BEA">
        <w:t xml:space="preserve"> </w:t>
      </w:r>
      <w:r w:rsidR="00CD3BEA" w:rsidRPr="00CD3BEA">
        <w:t>Ratio, CI = Confidence Interval</w:t>
      </w:r>
      <w:r w:rsidR="00CD3BEA">
        <w:t>.</w:t>
      </w:r>
      <w:r w:rsidR="00052676">
        <w:t xml:space="preserve"> Note week 7 is the school “half-term” holiday, when school-based lateral flow testing was not undertaken.</w:t>
      </w:r>
      <w:r w:rsidR="00A74B9E">
        <w:t xml:space="preserve"> Note participation in the final week of the study appears lower than in Figure 2, as participation is summarised as completion of ≥3 LFDs, and contacts in the final week may not have completed testing before the end of the study.</w:t>
      </w:r>
    </w:p>
    <w:tbl>
      <w:tblPr>
        <w:tblStyle w:val="GridTable4-Accent5"/>
        <w:tblW w:w="8642" w:type="dxa"/>
        <w:tblLook w:val="04A0" w:firstRow="1" w:lastRow="0" w:firstColumn="1" w:lastColumn="0" w:noHBand="0" w:noVBand="1"/>
      </w:tblPr>
      <w:tblGrid>
        <w:gridCol w:w="1082"/>
        <w:gridCol w:w="2032"/>
        <w:gridCol w:w="1134"/>
        <w:gridCol w:w="1134"/>
        <w:gridCol w:w="850"/>
        <w:gridCol w:w="1276"/>
        <w:gridCol w:w="1134"/>
      </w:tblGrid>
      <w:tr w:rsidR="004036B9" w:rsidRPr="00821A74" w14:paraId="33603A19" w14:textId="77777777" w:rsidTr="00232E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2" w:type="dxa"/>
            <w:vMerge w:val="restart"/>
            <w:hideMark/>
          </w:tcPr>
          <w:p w14:paraId="6E610749" w14:textId="77777777" w:rsidR="004036B9" w:rsidRPr="004036B9" w:rsidRDefault="004036B9" w:rsidP="004036B9">
            <w:pPr>
              <w:rPr>
                <w:rFonts w:ascii="Calibri" w:eastAsia="Times New Roman" w:hAnsi="Calibri" w:cs="Times New Roman"/>
                <w:sz w:val="20"/>
                <w:szCs w:val="20"/>
                <w:lang w:eastAsia="en-GB"/>
              </w:rPr>
            </w:pPr>
          </w:p>
        </w:tc>
        <w:tc>
          <w:tcPr>
            <w:tcW w:w="2032" w:type="dxa"/>
            <w:vMerge w:val="restart"/>
            <w:hideMark/>
          </w:tcPr>
          <w:p w14:paraId="1B6170A3" w14:textId="77777777" w:rsidR="004036B9" w:rsidRPr="004036B9" w:rsidRDefault="004036B9" w:rsidP="004036B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End point</w:t>
            </w:r>
          </w:p>
        </w:tc>
        <w:tc>
          <w:tcPr>
            <w:tcW w:w="3118" w:type="dxa"/>
            <w:gridSpan w:val="3"/>
            <w:noWrap/>
            <w:hideMark/>
          </w:tcPr>
          <w:p w14:paraId="042ACD19" w14:textId="77777777" w:rsidR="004036B9" w:rsidRPr="004036B9" w:rsidRDefault="004036B9" w:rsidP="004036B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Intention to treat</w:t>
            </w:r>
          </w:p>
        </w:tc>
        <w:tc>
          <w:tcPr>
            <w:tcW w:w="2410" w:type="dxa"/>
            <w:gridSpan w:val="2"/>
            <w:hideMark/>
          </w:tcPr>
          <w:p w14:paraId="790AEE2D" w14:textId="77777777" w:rsidR="004036B9" w:rsidRPr="004036B9" w:rsidRDefault="004036B9" w:rsidP="004036B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Complier average causal effect</w:t>
            </w:r>
          </w:p>
        </w:tc>
      </w:tr>
      <w:tr w:rsidR="004036B9" w:rsidRPr="00821A74" w14:paraId="17D1E311" w14:textId="77777777" w:rsidTr="00232E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2" w:type="dxa"/>
            <w:vMerge/>
            <w:hideMark/>
          </w:tcPr>
          <w:p w14:paraId="0DA18D67" w14:textId="77777777" w:rsidR="004036B9" w:rsidRPr="004036B9" w:rsidRDefault="004036B9" w:rsidP="004036B9">
            <w:pPr>
              <w:rPr>
                <w:rFonts w:ascii="Calibri" w:eastAsia="Times New Roman" w:hAnsi="Calibri" w:cs="Times New Roman"/>
                <w:sz w:val="20"/>
                <w:szCs w:val="20"/>
                <w:lang w:eastAsia="en-GB"/>
              </w:rPr>
            </w:pPr>
          </w:p>
        </w:tc>
        <w:tc>
          <w:tcPr>
            <w:tcW w:w="2032" w:type="dxa"/>
            <w:vMerge/>
            <w:hideMark/>
          </w:tcPr>
          <w:p w14:paraId="09BA645D" w14:textId="77777777" w:rsidR="004036B9" w:rsidRPr="004036B9" w:rsidRDefault="004036B9" w:rsidP="004036B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p>
        </w:tc>
        <w:tc>
          <w:tcPr>
            <w:tcW w:w="1134" w:type="dxa"/>
            <w:noWrap/>
            <w:hideMark/>
          </w:tcPr>
          <w:p w14:paraId="4EA90340" w14:textId="77777777" w:rsidR="004036B9" w:rsidRPr="004036B9" w:rsidRDefault="004036B9" w:rsidP="00571A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proofErr w:type="spellStart"/>
            <w:r w:rsidRPr="004036B9">
              <w:rPr>
                <w:rFonts w:ascii="Calibri" w:eastAsia="Times New Roman" w:hAnsi="Calibri" w:cs="Times New Roman"/>
                <w:color w:val="000000"/>
                <w:sz w:val="20"/>
                <w:szCs w:val="20"/>
                <w:lang w:eastAsia="en-GB"/>
              </w:rPr>
              <w:t>aIRR</w:t>
            </w:r>
            <w:proofErr w:type="spellEnd"/>
            <w:r w:rsidRPr="004036B9">
              <w:rPr>
                <w:rFonts w:ascii="Calibri" w:eastAsia="Times New Roman" w:hAnsi="Calibri" w:cs="Times New Roman"/>
                <w:color w:val="000000"/>
                <w:sz w:val="20"/>
                <w:szCs w:val="20"/>
                <w:lang w:eastAsia="en-GB"/>
              </w:rPr>
              <w:t xml:space="preserve"> / </w:t>
            </w:r>
            <w:proofErr w:type="spellStart"/>
            <w:r w:rsidRPr="004036B9">
              <w:rPr>
                <w:rFonts w:ascii="Calibri" w:eastAsia="Times New Roman" w:hAnsi="Calibri" w:cs="Times New Roman"/>
                <w:color w:val="000000"/>
                <w:sz w:val="20"/>
                <w:szCs w:val="20"/>
                <w:lang w:eastAsia="en-GB"/>
              </w:rPr>
              <w:t>aOR</w:t>
            </w:r>
            <w:proofErr w:type="spellEnd"/>
          </w:p>
        </w:tc>
        <w:tc>
          <w:tcPr>
            <w:tcW w:w="1134" w:type="dxa"/>
            <w:noWrap/>
            <w:hideMark/>
          </w:tcPr>
          <w:p w14:paraId="44EE8252" w14:textId="75E2412E" w:rsidR="004036B9" w:rsidRPr="004036B9" w:rsidRDefault="004036B9" w:rsidP="00571A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95%</w:t>
            </w:r>
            <w:r w:rsidR="004D66FD" w:rsidRPr="00821A74">
              <w:rPr>
                <w:rFonts w:ascii="Calibri" w:eastAsia="Times New Roman" w:hAnsi="Calibri" w:cs="Times New Roman"/>
                <w:color w:val="000000"/>
                <w:sz w:val="20"/>
                <w:szCs w:val="20"/>
                <w:lang w:eastAsia="en-GB"/>
              </w:rPr>
              <w:t xml:space="preserve"> </w:t>
            </w:r>
            <w:r w:rsidRPr="004036B9">
              <w:rPr>
                <w:rFonts w:ascii="Calibri" w:eastAsia="Times New Roman" w:hAnsi="Calibri" w:cs="Times New Roman"/>
                <w:color w:val="000000"/>
                <w:sz w:val="20"/>
                <w:szCs w:val="20"/>
                <w:lang w:eastAsia="en-GB"/>
              </w:rPr>
              <w:t>CI</w:t>
            </w:r>
          </w:p>
        </w:tc>
        <w:tc>
          <w:tcPr>
            <w:tcW w:w="850" w:type="dxa"/>
            <w:noWrap/>
            <w:hideMark/>
          </w:tcPr>
          <w:p w14:paraId="0D0A55FD" w14:textId="77777777" w:rsidR="004036B9" w:rsidRPr="004036B9" w:rsidRDefault="004036B9" w:rsidP="00571A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p value</w:t>
            </w:r>
          </w:p>
        </w:tc>
        <w:tc>
          <w:tcPr>
            <w:tcW w:w="1276" w:type="dxa"/>
            <w:noWrap/>
            <w:hideMark/>
          </w:tcPr>
          <w:p w14:paraId="6091885A" w14:textId="77777777" w:rsidR="004036B9" w:rsidRPr="004036B9" w:rsidRDefault="004036B9" w:rsidP="00571A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Effect</w:t>
            </w:r>
          </w:p>
        </w:tc>
        <w:tc>
          <w:tcPr>
            <w:tcW w:w="1134" w:type="dxa"/>
            <w:noWrap/>
            <w:hideMark/>
          </w:tcPr>
          <w:p w14:paraId="4A28BC70" w14:textId="03EB79AD" w:rsidR="004036B9" w:rsidRPr="004036B9" w:rsidRDefault="004036B9" w:rsidP="00571A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95%</w:t>
            </w:r>
            <w:r w:rsidR="004D66FD" w:rsidRPr="00821A74">
              <w:rPr>
                <w:rFonts w:ascii="Calibri" w:eastAsia="Times New Roman" w:hAnsi="Calibri" w:cs="Times New Roman"/>
                <w:color w:val="000000"/>
                <w:sz w:val="20"/>
                <w:szCs w:val="20"/>
                <w:lang w:eastAsia="en-GB"/>
              </w:rPr>
              <w:t xml:space="preserve"> </w:t>
            </w:r>
            <w:r w:rsidRPr="004036B9">
              <w:rPr>
                <w:rFonts w:ascii="Calibri" w:eastAsia="Times New Roman" w:hAnsi="Calibri" w:cs="Times New Roman"/>
                <w:color w:val="000000"/>
                <w:sz w:val="20"/>
                <w:szCs w:val="20"/>
                <w:lang w:eastAsia="en-GB"/>
              </w:rPr>
              <w:t>CI</w:t>
            </w:r>
          </w:p>
        </w:tc>
      </w:tr>
      <w:tr w:rsidR="004036B9" w:rsidRPr="00821A74" w14:paraId="40BD5843" w14:textId="77777777" w:rsidTr="00232EFB">
        <w:trPr>
          <w:trHeight w:val="680"/>
        </w:trPr>
        <w:tc>
          <w:tcPr>
            <w:cnfStyle w:val="001000000000" w:firstRow="0" w:lastRow="0" w:firstColumn="1" w:lastColumn="0" w:oddVBand="0" w:evenVBand="0" w:oddHBand="0" w:evenHBand="0" w:firstRowFirstColumn="0" w:firstRowLastColumn="0" w:lastRowFirstColumn="0" w:lastRowLastColumn="0"/>
            <w:tcW w:w="1082" w:type="dxa"/>
            <w:vMerge w:val="restart"/>
            <w:hideMark/>
          </w:tcPr>
          <w:p w14:paraId="6A00B680" w14:textId="77777777" w:rsidR="004036B9" w:rsidRPr="004036B9" w:rsidRDefault="004036B9" w:rsidP="004036B9">
            <w:pPr>
              <w:jc w:val="center"/>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Primary end points</w:t>
            </w:r>
          </w:p>
        </w:tc>
        <w:tc>
          <w:tcPr>
            <w:tcW w:w="2032" w:type="dxa"/>
            <w:hideMark/>
          </w:tcPr>
          <w:p w14:paraId="38663699" w14:textId="77777777" w:rsidR="004036B9" w:rsidRPr="004036B9" w:rsidRDefault="004036B9" w:rsidP="004036B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Rate of COVID-related absence</w:t>
            </w:r>
          </w:p>
        </w:tc>
        <w:tc>
          <w:tcPr>
            <w:tcW w:w="1134" w:type="dxa"/>
            <w:noWrap/>
            <w:hideMark/>
          </w:tcPr>
          <w:p w14:paraId="44496D37" w14:textId="63D12C96" w:rsidR="004036B9" w:rsidRPr="004036B9" w:rsidRDefault="0084206C"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821A74">
              <w:rPr>
                <w:rFonts w:ascii="Calibri" w:eastAsia="Times New Roman" w:hAnsi="Calibri" w:cs="Times New Roman"/>
                <w:color w:val="000000"/>
                <w:sz w:val="20"/>
                <w:szCs w:val="20"/>
                <w:lang w:eastAsia="en-GB"/>
              </w:rPr>
              <w:t>0.80</w:t>
            </w:r>
          </w:p>
        </w:tc>
        <w:tc>
          <w:tcPr>
            <w:tcW w:w="1134" w:type="dxa"/>
            <w:noWrap/>
            <w:hideMark/>
          </w:tcPr>
          <w:p w14:paraId="4FEFA475" w14:textId="51E3E0B2" w:rsidR="004036B9" w:rsidRPr="004036B9" w:rsidRDefault="00821A74"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821A74">
              <w:rPr>
                <w:rFonts w:ascii="Calibri" w:eastAsia="Times New Roman" w:hAnsi="Calibri" w:cs="Times New Roman"/>
                <w:sz w:val="20"/>
                <w:szCs w:val="20"/>
                <w:lang w:eastAsia="en-GB"/>
              </w:rPr>
              <w:t>0.</w:t>
            </w:r>
            <w:r w:rsidR="00C6097E">
              <w:rPr>
                <w:rFonts w:ascii="Calibri" w:eastAsia="Times New Roman" w:hAnsi="Calibri" w:cs="Times New Roman"/>
                <w:sz w:val="20"/>
                <w:szCs w:val="20"/>
                <w:lang w:eastAsia="en-GB"/>
              </w:rPr>
              <w:t>54</w:t>
            </w:r>
            <w:r w:rsidR="00BF0412">
              <w:rPr>
                <w:rFonts w:ascii="Calibri" w:eastAsia="Times New Roman" w:hAnsi="Calibri" w:cs="Times New Roman"/>
                <w:sz w:val="20"/>
                <w:szCs w:val="20"/>
                <w:lang w:eastAsia="en-GB"/>
              </w:rPr>
              <w:t xml:space="preserve">, </w:t>
            </w:r>
            <w:r w:rsidRPr="00821A74">
              <w:rPr>
                <w:rFonts w:ascii="Calibri" w:eastAsia="Times New Roman" w:hAnsi="Calibri" w:cs="Times New Roman"/>
                <w:sz w:val="20"/>
                <w:szCs w:val="20"/>
                <w:lang w:eastAsia="en-GB"/>
              </w:rPr>
              <w:t>1.</w:t>
            </w:r>
            <w:r w:rsidR="00C6097E">
              <w:rPr>
                <w:rFonts w:ascii="Calibri" w:eastAsia="Times New Roman" w:hAnsi="Calibri" w:cs="Times New Roman"/>
                <w:sz w:val="20"/>
                <w:szCs w:val="20"/>
                <w:lang w:eastAsia="en-GB"/>
              </w:rPr>
              <w:t>19</w:t>
            </w:r>
          </w:p>
        </w:tc>
        <w:tc>
          <w:tcPr>
            <w:tcW w:w="850" w:type="dxa"/>
            <w:noWrap/>
            <w:hideMark/>
          </w:tcPr>
          <w:p w14:paraId="3784EF4D" w14:textId="6F1D4EEC" w:rsidR="004036B9" w:rsidRPr="004036B9" w:rsidRDefault="00821A74"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821A74">
              <w:rPr>
                <w:rFonts w:ascii="Calibri" w:eastAsia="Times New Roman" w:hAnsi="Calibri" w:cs="Times New Roman"/>
                <w:sz w:val="20"/>
                <w:szCs w:val="20"/>
                <w:lang w:eastAsia="en-GB"/>
              </w:rPr>
              <w:t>0.</w:t>
            </w:r>
            <w:r w:rsidR="00C6097E">
              <w:rPr>
                <w:rFonts w:ascii="Calibri" w:eastAsia="Times New Roman" w:hAnsi="Calibri" w:cs="Times New Roman"/>
                <w:sz w:val="20"/>
                <w:szCs w:val="20"/>
                <w:lang w:eastAsia="en-GB"/>
              </w:rPr>
              <w:t>27</w:t>
            </w:r>
          </w:p>
        </w:tc>
        <w:tc>
          <w:tcPr>
            <w:tcW w:w="1276" w:type="dxa"/>
            <w:noWrap/>
            <w:hideMark/>
          </w:tcPr>
          <w:p w14:paraId="01DD2BCD" w14:textId="5BBD2F98" w:rsidR="004036B9" w:rsidRPr="004036B9" w:rsidRDefault="00821A74"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0.6</w:t>
            </w:r>
            <w:r w:rsidR="000C745E">
              <w:rPr>
                <w:rFonts w:ascii="Calibri" w:eastAsia="Times New Roman" w:hAnsi="Calibri" w:cs="Times New Roman"/>
                <w:sz w:val="20"/>
                <w:szCs w:val="20"/>
                <w:lang w:eastAsia="en-GB"/>
              </w:rPr>
              <w:t>1</w:t>
            </w:r>
          </w:p>
        </w:tc>
        <w:tc>
          <w:tcPr>
            <w:tcW w:w="1134" w:type="dxa"/>
            <w:noWrap/>
            <w:hideMark/>
          </w:tcPr>
          <w:p w14:paraId="1CE60E3F" w14:textId="07FFDB68" w:rsidR="004036B9" w:rsidRPr="004036B9" w:rsidRDefault="00232EFB"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w:t>
            </w:r>
            <w:r w:rsidR="00EC56EB">
              <w:rPr>
                <w:rFonts w:ascii="Calibri" w:eastAsia="Times New Roman" w:hAnsi="Calibri" w:cs="Times New Roman"/>
                <w:sz w:val="20"/>
                <w:szCs w:val="20"/>
                <w:lang w:eastAsia="en-GB"/>
              </w:rPr>
              <w:t>3</w:t>
            </w:r>
            <w:r w:rsidR="00686893">
              <w:rPr>
                <w:rFonts w:ascii="Calibri" w:eastAsia="Times New Roman" w:hAnsi="Calibri" w:cs="Times New Roman"/>
                <w:sz w:val="20"/>
                <w:szCs w:val="20"/>
                <w:lang w:eastAsia="en-GB"/>
              </w:rPr>
              <w:t>0</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w:t>
            </w:r>
            <w:r w:rsidR="00686893">
              <w:rPr>
                <w:rFonts w:ascii="Calibri" w:eastAsia="Times New Roman" w:hAnsi="Calibri" w:cs="Times New Roman"/>
                <w:sz w:val="20"/>
                <w:szCs w:val="20"/>
                <w:lang w:eastAsia="en-GB"/>
              </w:rPr>
              <w:t>2</w:t>
            </w:r>
            <w:r w:rsidR="00D311EF">
              <w:rPr>
                <w:rFonts w:ascii="Calibri" w:eastAsia="Times New Roman" w:hAnsi="Calibri" w:cs="Times New Roman"/>
                <w:sz w:val="20"/>
                <w:szCs w:val="20"/>
                <w:lang w:eastAsia="en-GB"/>
              </w:rPr>
              <w:t>3</w:t>
            </w:r>
          </w:p>
        </w:tc>
      </w:tr>
      <w:tr w:rsidR="00EF62FD" w:rsidRPr="00821A74" w14:paraId="564C681D" w14:textId="77777777" w:rsidTr="00232EF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82" w:type="dxa"/>
            <w:vMerge/>
          </w:tcPr>
          <w:p w14:paraId="49399568" w14:textId="77777777" w:rsidR="00EF62FD" w:rsidRPr="004036B9" w:rsidRDefault="00EF62FD" w:rsidP="004036B9">
            <w:pPr>
              <w:rPr>
                <w:rFonts w:ascii="Calibri" w:eastAsia="Times New Roman" w:hAnsi="Calibri" w:cs="Times New Roman"/>
                <w:color w:val="000000"/>
                <w:sz w:val="20"/>
                <w:szCs w:val="20"/>
                <w:lang w:eastAsia="en-GB"/>
              </w:rPr>
            </w:pPr>
          </w:p>
        </w:tc>
        <w:tc>
          <w:tcPr>
            <w:tcW w:w="2032" w:type="dxa"/>
          </w:tcPr>
          <w:p w14:paraId="412598A3" w14:textId="058452BE" w:rsidR="00EF62FD" w:rsidRPr="004036B9" w:rsidRDefault="00EF62FD" w:rsidP="004036B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Rate of COVID-related absence</w:t>
            </w:r>
            <w:r>
              <w:rPr>
                <w:rFonts w:ascii="Calibri" w:eastAsia="Times New Roman" w:hAnsi="Calibri" w:cs="Times New Roman"/>
                <w:color w:val="000000"/>
                <w:sz w:val="20"/>
                <w:szCs w:val="20"/>
                <w:lang w:eastAsia="en-GB"/>
              </w:rPr>
              <w:t xml:space="preserve"> (aggregated dataset)</w:t>
            </w:r>
          </w:p>
        </w:tc>
        <w:tc>
          <w:tcPr>
            <w:tcW w:w="1134" w:type="dxa"/>
            <w:noWrap/>
          </w:tcPr>
          <w:p w14:paraId="5A5D8798" w14:textId="1422066D" w:rsidR="00EF62FD" w:rsidRDefault="0048209F"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0.80</w:t>
            </w:r>
          </w:p>
        </w:tc>
        <w:tc>
          <w:tcPr>
            <w:tcW w:w="1134" w:type="dxa"/>
            <w:noWrap/>
          </w:tcPr>
          <w:p w14:paraId="5127BF04" w14:textId="50255D8E" w:rsidR="00EF62FD" w:rsidRDefault="0048209F"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0.62</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1.03</w:t>
            </w:r>
          </w:p>
        </w:tc>
        <w:tc>
          <w:tcPr>
            <w:tcW w:w="850" w:type="dxa"/>
            <w:noWrap/>
          </w:tcPr>
          <w:p w14:paraId="7CD7CC66" w14:textId="4B1CA3C6" w:rsidR="00EF62FD" w:rsidRDefault="00806A41"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0.085</w:t>
            </w:r>
          </w:p>
        </w:tc>
        <w:tc>
          <w:tcPr>
            <w:tcW w:w="1276" w:type="dxa"/>
            <w:noWrap/>
          </w:tcPr>
          <w:p w14:paraId="7DC95DFC" w14:textId="34C2A208" w:rsidR="00EF62FD" w:rsidRDefault="00806A41"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0.62</w:t>
            </w:r>
          </w:p>
        </w:tc>
        <w:tc>
          <w:tcPr>
            <w:tcW w:w="1134" w:type="dxa"/>
            <w:noWrap/>
          </w:tcPr>
          <w:p w14:paraId="31279358" w14:textId="31ACF36D" w:rsidR="00EF62FD" w:rsidRDefault="00806A41"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0.29</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1.33</w:t>
            </w:r>
          </w:p>
        </w:tc>
      </w:tr>
      <w:tr w:rsidR="004036B9" w:rsidRPr="00821A74" w14:paraId="583679A3" w14:textId="77777777" w:rsidTr="00232EFB">
        <w:trPr>
          <w:trHeight w:val="680"/>
        </w:trPr>
        <w:tc>
          <w:tcPr>
            <w:cnfStyle w:val="001000000000" w:firstRow="0" w:lastRow="0" w:firstColumn="1" w:lastColumn="0" w:oddVBand="0" w:evenVBand="0" w:oddHBand="0" w:evenHBand="0" w:firstRowFirstColumn="0" w:firstRowLastColumn="0" w:lastRowFirstColumn="0" w:lastRowLastColumn="0"/>
            <w:tcW w:w="1082" w:type="dxa"/>
            <w:vMerge/>
            <w:hideMark/>
          </w:tcPr>
          <w:p w14:paraId="3AEFD6DC" w14:textId="77777777" w:rsidR="004036B9" w:rsidRPr="004036B9" w:rsidRDefault="004036B9" w:rsidP="004036B9">
            <w:pPr>
              <w:rPr>
                <w:rFonts w:ascii="Calibri" w:eastAsia="Times New Roman" w:hAnsi="Calibri" w:cs="Times New Roman"/>
                <w:color w:val="000000"/>
                <w:sz w:val="20"/>
                <w:szCs w:val="20"/>
                <w:lang w:eastAsia="en-GB"/>
              </w:rPr>
            </w:pPr>
          </w:p>
        </w:tc>
        <w:tc>
          <w:tcPr>
            <w:tcW w:w="2032" w:type="dxa"/>
            <w:hideMark/>
          </w:tcPr>
          <w:p w14:paraId="1E128B91" w14:textId="77777777" w:rsidR="004036B9" w:rsidRPr="004036B9" w:rsidRDefault="004036B9" w:rsidP="004036B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Rate of symptomatic PCR-confirmed infection</w:t>
            </w:r>
          </w:p>
        </w:tc>
        <w:tc>
          <w:tcPr>
            <w:tcW w:w="1134" w:type="dxa"/>
            <w:noWrap/>
            <w:hideMark/>
          </w:tcPr>
          <w:p w14:paraId="488104C1" w14:textId="0EFC23AA" w:rsidR="004036B9" w:rsidRPr="004036B9" w:rsidRDefault="00997879"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0.96</w:t>
            </w:r>
          </w:p>
        </w:tc>
        <w:tc>
          <w:tcPr>
            <w:tcW w:w="1134" w:type="dxa"/>
            <w:noWrap/>
            <w:hideMark/>
          </w:tcPr>
          <w:p w14:paraId="18A03A1B" w14:textId="43B0F695" w:rsidR="004036B9" w:rsidRPr="004036B9" w:rsidRDefault="00997879"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0.75</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1.22</w:t>
            </w:r>
          </w:p>
        </w:tc>
        <w:tc>
          <w:tcPr>
            <w:tcW w:w="850" w:type="dxa"/>
            <w:noWrap/>
            <w:hideMark/>
          </w:tcPr>
          <w:p w14:paraId="55E1D70E" w14:textId="29B51CFC" w:rsidR="004036B9" w:rsidRPr="004036B9" w:rsidRDefault="00997879"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0.72</w:t>
            </w:r>
          </w:p>
        </w:tc>
        <w:tc>
          <w:tcPr>
            <w:tcW w:w="1276" w:type="dxa"/>
            <w:noWrap/>
            <w:hideMark/>
          </w:tcPr>
          <w:p w14:paraId="5404053B" w14:textId="6D877719" w:rsidR="004036B9" w:rsidRPr="004036B9" w:rsidRDefault="00C15EB7"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0.86</w:t>
            </w:r>
          </w:p>
        </w:tc>
        <w:tc>
          <w:tcPr>
            <w:tcW w:w="1134" w:type="dxa"/>
            <w:noWrap/>
            <w:hideMark/>
          </w:tcPr>
          <w:p w14:paraId="39499DC6" w14:textId="2C9747D1" w:rsidR="004036B9" w:rsidRPr="004036B9" w:rsidRDefault="00C15EB7"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0.55</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1.34</w:t>
            </w:r>
          </w:p>
        </w:tc>
      </w:tr>
      <w:tr w:rsidR="00D651BD" w:rsidRPr="00821A74" w14:paraId="53004B8D" w14:textId="77777777" w:rsidTr="00232EFB">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82" w:type="dxa"/>
            <w:vMerge w:val="restart"/>
          </w:tcPr>
          <w:p w14:paraId="25B3CDC8" w14:textId="77777777" w:rsidR="00D651BD" w:rsidRDefault="00D651BD" w:rsidP="004036B9">
            <w:pPr>
              <w:jc w:val="center"/>
              <w:rPr>
                <w:rFonts w:ascii="Calibri" w:eastAsia="Times New Roman" w:hAnsi="Calibri" w:cs="Times New Roman"/>
                <w:b w:val="0"/>
                <w:bCs w:val="0"/>
                <w:color w:val="000000"/>
                <w:sz w:val="20"/>
                <w:szCs w:val="20"/>
                <w:lang w:eastAsia="en-GB"/>
              </w:rPr>
            </w:pPr>
            <w:r w:rsidRPr="004036B9">
              <w:rPr>
                <w:rFonts w:ascii="Calibri" w:eastAsia="Times New Roman" w:hAnsi="Calibri" w:cs="Times New Roman"/>
                <w:color w:val="000000"/>
                <w:sz w:val="20"/>
                <w:szCs w:val="20"/>
                <w:lang w:eastAsia="en-GB"/>
              </w:rPr>
              <w:t>Secondary end points</w:t>
            </w:r>
          </w:p>
          <w:p w14:paraId="354A87A2" w14:textId="486354AA" w:rsidR="00D651BD" w:rsidRPr="004036B9" w:rsidRDefault="00D651BD" w:rsidP="004036B9">
            <w:pPr>
              <w:jc w:val="center"/>
              <w:rPr>
                <w:rFonts w:ascii="Calibri" w:eastAsia="Times New Roman" w:hAnsi="Calibri" w:cs="Times New Roman"/>
                <w:color w:val="000000"/>
                <w:sz w:val="20"/>
                <w:szCs w:val="20"/>
                <w:lang w:eastAsia="en-GB"/>
              </w:rPr>
            </w:pPr>
          </w:p>
        </w:tc>
        <w:tc>
          <w:tcPr>
            <w:tcW w:w="2032" w:type="dxa"/>
          </w:tcPr>
          <w:p w14:paraId="074219DD" w14:textId="4DA48A64" w:rsidR="00D651BD" w:rsidRPr="004036B9" w:rsidRDefault="00D651BD" w:rsidP="004036B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 xml:space="preserve">Rate of </w:t>
            </w:r>
            <w:r>
              <w:rPr>
                <w:rFonts w:ascii="Calibri" w:eastAsia="Times New Roman" w:hAnsi="Calibri" w:cs="Times New Roman"/>
                <w:color w:val="000000"/>
                <w:sz w:val="20"/>
                <w:szCs w:val="20"/>
                <w:lang w:eastAsia="en-GB"/>
              </w:rPr>
              <w:t>any</w:t>
            </w:r>
            <w:r w:rsidRPr="004036B9">
              <w:rPr>
                <w:rFonts w:ascii="Calibri" w:eastAsia="Times New Roman" w:hAnsi="Calibri" w:cs="Times New Roman"/>
                <w:color w:val="000000"/>
                <w:sz w:val="20"/>
                <w:szCs w:val="20"/>
                <w:lang w:eastAsia="en-GB"/>
              </w:rPr>
              <w:t xml:space="preserve"> absence</w:t>
            </w:r>
          </w:p>
        </w:tc>
        <w:tc>
          <w:tcPr>
            <w:tcW w:w="1134" w:type="dxa"/>
            <w:noWrap/>
          </w:tcPr>
          <w:p w14:paraId="0DE6D5C1" w14:textId="377C05CE" w:rsidR="00D651BD" w:rsidRDefault="00EE3CE4"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0.97</w:t>
            </w:r>
          </w:p>
        </w:tc>
        <w:tc>
          <w:tcPr>
            <w:tcW w:w="1134" w:type="dxa"/>
            <w:noWrap/>
          </w:tcPr>
          <w:p w14:paraId="6BA315DE" w14:textId="6F0DD09B" w:rsidR="00D651BD" w:rsidRDefault="00EE3CE4"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0.82</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1.16</w:t>
            </w:r>
          </w:p>
        </w:tc>
        <w:tc>
          <w:tcPr>
            <w:tcW w:w="850" w:type="dxa"/>
            <w:noWrap/>
          </w:tcPr>
          <w:p w14:paraId="6A8ACDCC" w14:textId="617E638C" w:rsidR="00D651BD" w:rsidRDefault="00EE3CE4"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0.77</w:t>
            </w:r>
          </w:p>
        </w:tc>
        <w:tc>
          <w:tcPr>
            <w:tcW w:w="1276" w:type="dxa"/>
            <w:noWrap/>
          </w:tcPr>
          <w:p w14:paraId="6A05F787" w14:textId="23728543" w:rsidR="00D651BD" w:rsidRDefault="00BF0412"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0.89</w:t>
            </w:r>
          </w:p>
        </w:tc>
        <w:tc>
          <w:tcPr>
            <w:tcW w:w="1134" w:type="dxa"/>
            <w:noWrap/>
          </w:tcPr>
          <w:p w14:paraId="01F5EFE1" w14:textId="57A71D6B" w:rsidR="00D651BD" w:rsidRDefault="00BF0412"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BF0412">
              <w:rPr>
                <w:rFonts w:ascii="Calibri" w:eastAsia="Times New Roman" w:hAnsi="Calibri" w:cs="Times New Roman"/>
                <w:sz w:val="20"/>
                <w:szCs w:val="20"/>
                <w:lang w:eastAsia="en-GB"/>
              </w:rPr>
              <w:t>0.71</w:t>
            </w:r>
            <w:r>
              <w:rPr>
                <w:rFonts w:ascii="Calibri" w:eastAsia="Times New Roman" w:hAnsi="Calibri" w:cs="Times New Roman"/>
                <w:sz w:val="20"/>
                <w:szCs w:val="20"/>
                <w:lang w:eastAsia="en-GB"/>
              </w:rPr>
              <w:t xml:space="preserve">, </w:t>
            </w:r>
            <w:r w:rsidRPr="00BF0412">
              <w:rPr>
                <w:rFonts w:ascii="Calibri" w:eastAsia="Times New Roman" w:hAnsi="Calibri" w:cs="Times New Roman"/>
                <w:sz w:val="20"/>
                <w:szCs w:val="20"/>
                <w:lang w:eastAsia="en-GB"/>
              </w:rPr>
              <w:t>1.18</w:t>
            </w:r>
          </w:p>
        </w:tc>
      </w:tr>
      <w:tr w:rsidR="00D651BD" w:rsidRPr="00821A74" w14:paraId="03E048B7" w14:textId="77777777" w:rsidTr="00232EFB">
        <w:trPr>
          <w:trHeight w:val="1020"/>
        </w:trPr>
        <w:tc>
          <w:tcPr>
            <w:cnfStyle w:val="001000000000" w:firstRow="0" w:lastRow="0" w:firstColumn="1" w:lastColumn="0" w:oddVBand="0" w:evenVBand="0" w:oddHBand="0" w:evenHBand="0" w:firstRowFirstColumn="0" w:firstRowLastColumn="0" w:lastRowFirstColumn="0" w:lastRowLastColumn="0"/>
            <w:tcW w:w="1082" w:type="dxa"/>
            <w:vMerge/>
          </w:tcPr>
          <w:p w14:paraId="7108D578" w14:textId="61A8DDB9" w:rsidR="00D651BD" w:rsidRPr="004036B9" w:rsidRDefault="00D651BD" w:rsidP="004036B9">
            <w:pPr>
              <w:jc w:val="center"/>
              <w:rPr>
                <w:rFonts w:ascii="Calibri" w:eastAsia="Times New Roman" w:hAnsi="Calibri" w:cs="Times New Roman"/>
                <w:color w:val="000000"/>
                <w:sz w:val="20"/>
                <w:szCs w:val="20"/>
                <w:lang w:eastAsia="en-GB"/>
              </w:rPr>
            </w:pPr>
          </w:p>
        </w:tc>
        <w:tc>
          <w:tcPr>
            <w:tcW w:w="2032" w:type="dxa"/>
          </w:tcPr>
          <w:p w14:paraId="7AF24723" w14:textId="184FD97F" w:rsidR="00D651BD" w:rsidRPr="004036B9" w:rsidRDefault="00D651BD" w:rsidP="004036B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 xml:space="preserve">Rate of </w:t>
            </w:r>
            <w:r>
              <w:rPr>
                <w:rFonts w:ascii="Calibri" w:eastAsia="Times New Roman" w:hAnsi="Calibri" w:cs="Times New Roman"/>
                <w:color w:val="000000"/>
                <w:sz w:val="20"/>
                <w:szCs w:val="20"/>
                <w:lang w:eastAsia="en-GB"/>
              </w:rPr>
              <w:t>any community testing</w:t>
            </w:r>
            <w:r w:rsidRPr="004036B9">
              <w:rPr>
                <w:rFonts w:ascii="Calibri" w:eastAsia="Times New Roman" w:hAnsi="Calibri" w:cs="Times New Roman"/>
                <w:color w:val="000000"/>
                <w:sz w:val="20"/>
                <w:szCs w:val="20"/>
                <w:lang w:eastAsia="en-GB"/>
              </w:rPr>
              <w:t xml:space="preserve"> PCR-confirmed infection</w:t>
            </w:r>
          </w:p>
        </w:tc>
        <w:tc>
          <w:tcPr>
            <w:tcW w:w="1134" w:type="dxa"/>
            <w:noWrap/>
          </w:tcPr>
          <w:p w14:paraId="3BA0154F" w14:textId="55C9D698"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0.96</w:t>
            </w:r>
          </w:p>
        </w:tc>
        <w:tc>
          <w:tcPr>
            <w:tcW w:w="1134" w:type="dxa"/>
            <w:noWrap/>
          </w:tcPr>
          <w:p w14:paraId="075E3A77" w14:textId="5C882822"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0.76</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1.2</w:t>
            </w:r>
            <w:r w:rsidR="00236BA9">
              <w:rPr>
                <w:rFonts w:ascii="Calibri" w:eastAsia="Times New Roman" w:hAnsi="Calibri" w:cs="Times New Roman"/>
                <w:sz w:val="20"/>
                <w:szCs w:val="20"/>
                <w:lang w:eastAsia="en-GB"/>
              </w:rPr>
              <w:t>0</w:t>
            </w:r>
          </w:p>
        </w:tc>
        <w:tc>
          <w:tcPr>
            <w:tcW w:w="850" w:type="dxa"/>
            <w:noWrap/>
          </w:tcPr>
          <w:p w14:paraId="44F594A3" w14:textId="1E3F639F"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0.7</w:t>
            </w:r>
            <w:r w:rsidR="00236BA9">
              <w:rPr>
                <w:rFonts w:ascii="Calibri" w:eastAsia="Times New Roman" w:hAnsi="Calibri" w:cs="Times New Roman"/>
                <w:sz w:val="20"/>
                <w:szCs w:val="20"/>
                <w:lang w:eastAsia="en-GB"/>
              </w:rPr>
              <w:t>1</w:t>
            </w:r>
          </w:p>
        </w:tc>
        <w:tc>
          <w:tcPr>
            <w:tcW w:w="1276" w:type="dxa"/>
            <w:noWrap/>
          </w:tcPr>
          <w:p w14:paraId="1C540DE7" w14:textId="4D10F4EE"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0.8</w:t>
            </w:r>
            <w:r w:rsidR="00236BA9">
              <w:rPr>
                <w:rFonts w:ascii="Calibri" w:eastAsia="Times New Roman" w:hAnsi="Calibri" w:cs="Times New Roman"/>
                <w:sz w:val="20"/>
                <w:szCs w:val="20"/>
                <w:lang w:eastAsia="en-GB"/>
              </w:rPr>
              <w:t>8</w:t>
            </w:r>
          </w:p>
        </w:tc>
        <w:tc>
          <w:tcPr>
            <w:tcW w:w="1134" w:type="dxa"/>
            <w:noWrap/>
          </w:tcPr>
          <w:p w14:paraId="5FA624D7" w14:textId="40A75073"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0.5</w:t>
            </w:r>
            <w:r w:rsidR="00236BA9">
              <w:rPr>
                <w:rFonts w:ascii="Calibri" w:eastAsia="Times New Roman" w:hAnsi="Calibri" w:cs="Times New Roman"/>
                <w:sz w:val="20"/>
                <w:szCs w:val="20"/>
                <w:lang w:eastAsia="en-GB"/>
              </w:rPr>
              <w:t>7</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1.41</w:t>
            </w:r>
          </w:p>
        </w:tc>
      </w:tr>
      <w:tr w:rsidR="00D651BD" w:rsidRPr="00821A74" w14:paraId="098B5D6E" w14:textId="77777777" w:rsidTr="00232EFB">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82" w:type="dxa"/>
            <w:vMerge/>
            <w:hideMark/>
          </w:tcPr>
          <w:p w14:paraId="3CE551B5" w14:textId="20DBF6DE" w:rsidR="00D651BD" w:rsidRPr="004036B9" w:rsidRDefault="00D651BD" w:rsidP="004036B9">
            <w:pPr>
              <w:jc w:val="center"/>
              <w:rPr>
                <w:rFonts w:ascii="Calibri" w:eastAsia="Times New Roman" w:hAnsi="Calibri" w:cs="Times New Roman"/>
                <w:color w:val="000000"/>
                <w:sz w:val="20"/>
                <w:szCs w:val="20"/>
                <w:lang w:eastAsia="en-GB"/>
              </w:rPr>
            </w:pPr>
          </w:p>
        </w:tc>
        <w:tc>
          <w:tcPr>
            <w:tcW w:w="2032" w:type="dxa"/>
            <w:hideMark/>
          </w:tcPr>
          <w:p w14:paraId="447C7162" w14:textId="77777777" w:rsidR="00D651BD" w:rsidRPr="004036B9" w:rsidRDefault="00D651BD" w:rsidP="004036B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Proportion of asymptomatic contacts testing PCR positive on a research PCR test</w:t>
            </w:r>
          </w:p>
        </w:tc>
        <w:tc>
          <w:tcPr>
            <w:tcW w:w="1134" w:type="dxa"/>
            <w:noWrap/>
            <w:hideMark/>
          </w:tcPr>
          <w:p w14:paraId="75169444" w14:textId="0CDA0E9A" w:rsidR="00D651BD" w:rsidRPr="004036B9" w:rsidRDefault="00D651BD"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0.7</w:t>
            </w:r>
            <w:r w:rsidR="007E45C6">
              <w:rPr>
                <w:rFonts w:ascii="Calibri" w:eastAsia="Times New Roman" w:hAnsi="Calibri" w:cs="Times New Roman"/>
                <w:color w:val="000000"/>
                <w:sz w:val="20"/>
                <w:szCs w:val="20"/>
                <w:lang w:eastAsia="en-GB"/>
              </w:rPr>
              <w:t>3</w:t>
            </w:r>
          </w:p>
        </w:tc>
        <w:tc>
          <w:tcPr>
            <w:tcW w:w="1134" w:type="dxa"/>
            <w:noWrap/>
            <w:hideMark/>
          </w:tcPr>
          <w:p w14:paraId="7E42E278" w14:textId="00AAEC12" w:rsidR="00D651BD" w:rsidRPr="004036B9" w:rsidRDefault="00D651BD"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0.3</w:t>
            </w:r>
            <w:r w:rsidR="007E45C6">
              <w:rPr>
                <w:rFonts w:ascii="Calibri" w:eastAsia="Times New Roman" w:hAnsi="Calibri" w:cs="Times New Roman"/>
                <w:sz w:val="20"/>
                <w:szCs w:val="20"/>
                <w:lang w:eastAsia="en-GB"/>
              </w:rPr>
              <w:t>3</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w:t>
            </w:r>
            <w:r w:rsidR="00732AA3">
              <w:rPr>
                <w:rFonts w:ascii="Calibri" w:eastAsia="Times New Roman" w:hAnsi="Calibri" w:cs="Times New Roman"/>
                <w:sz w:val="20"/>
                <w:szCs w:val="20"/>
                <w:lang w:eastAsia="en-GB"/>
              </w:rPr>
              <w:t>61</w:t>
            </w:r>
          </w:p>
        </w:tc>
        <w:tc>
          <w:tcPr>
            <w:tcW w:w="850" w:type="dxa"/>
            <w:noWrap/>
            <w:hideMark/>
          </w:tcPr>
          <w:p w14:paraId="66F719D7" w14:textId="75818AF9" w:rsidR="00D651BD" w:rsidRPr="004036B9" w:rsidRDefault="00D651BD"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w:t>
            </w:r>
            <w:r w:rsidR="008743FD">
              <w:rPr>
                <w:rFonts w:ascii="Calibri" w:eastAsia="Times New Roman" w:hAnsi="Calibri" w:cs="Times New Roman"/>
                <w:sz w:val="20"/>
                <w:szCs w:val="20"/>
                <w:lang w:eastAsia="en-GB"/>
              </w:rPr>
              <w:t>44</w:t>
            </w:r>
          </w:p>
        </w:tc>
        <w:tc>
          <w:tcPr>
            <w:tcW w:w="1276" w:type="dxa"/>
            <w:noWrap/>
            <w:hideMark/>
          </w:tcPr>
          <w:p w14:paraId="30A73DE0" w14:textId="4E903C20" w:rsidR="00D651BD" w:rsidRPr="004036B9" w:rsidRDefault="00D651BD"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w:t>
            </w:r>
          </w:p>
        </w:tc>
        <w:tc>
          <w:tcPr>
            <w:tcW w:w="1134" w:type="dxa"/>
            <w:noWrap/>
            <w:hideMark/>
          </w:tcPr>
          <w:p w14:paraId="1AFD7C04" w14:textId="0E5F883F" w:rsidR="00D651BD" w:rsidRPr="004036B9" w:rsidRDefault="00D651BD" w:rsidP="00AD01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w:t>
            </w:r>
          </w:p>
        </w:tc>
      </w:tr>
      <w:tr w:rsidR="00D651BD" w:rsidRPr="00821A74" w14:paraId="50C731C1" w14:textId="77777777" w:rsidTr="00232EFB">
        <w:trPr>
          <w:trHeight w:val="1020"/>
        </w:trPr>
        <w:tc>
          <w:tcPr>
            <w:cnfStyle w:val="001000000000" w:firstRow="0" w:lastRow="0" w:firstColumn="1" w:lastColumn="0" w:oddVBand="0" w:evenVBand="0" w:oddHBand="0" w:evenHBand="0" w:firstRowFirstColumn="0" w:firstRowLastColumn="0" w:lastRowFirstColumn="0" w:lastRowLastColumn="0"/>
            <w:tcW w:w="1082" w:type="dxa"/>
            <w:vMerge/>
            <w:hideMark/>
          </w:tcPr>
          <w:p w14:paraId="428BEC60" w14:textId="77777777" w:rsidR="00D651BD" w:rsidRPr="004036B9" w:rsidRDefault="00D651BD" w:rsidP="004036B9">
            <w:pPr>
              <w:rPr>
                <w:rFonts w:ascii="Calibri" w:eastAsia="Times New Roman" w:hAnsi="Calibri" w:cs="Times New Roman"/>
                <w:color w:val="000000"/>
                <w:sz w:val="20"/>
                <w:szCs w:val="20"/>
                <w:lang w:eastAsia="en-GB"/>
              </w:rPr>
            </w:pPr>
          </w:p>
        </w:tc>
        <w:tc>
          <w:tcPr>
            <w:tcW w:w="2032" w:type="dxa"/>
            <w:hideMark/>
          </w:tcPr>
          <w:p w14:paraId="0CF7E72F" w14:textId="77777777" w:rsidR="00D651BD" w:rsidRPr="004036B9" w:rsidRDefault="00D651BD" w:rsidP="004036B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4036B9">
              <w:rPr>
                <w:rFonts w:ascii="Calibri" w:eastAsia="Times New Roman" w:hAnsi="Calibri" w:cs="Times New Roman"/>
                <w:color w:val="000000"/>
                <w:sz w:val="20"/>
                <w:szCs w:val="20"/>
                <w:lang w:eastAsia="en-GB"/>
              </w:rPr>
              <w:t>Proportion of contacts testing PCR-positive while symptomatic on a routine community test</w:t>
            </w:r>
          </w:p>
        </w:tc>
        <w:tc>
          <w:tcPr>
            <w:tcW w:w="1134" w:type="dxa"/>
            <w:noWrap/>
            <w:hideMark/>
          </w:tcPr>
          <w:p w14:paraId="1D6CB46B" w14:textId="3024E1B8"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1.21</w:t>
            </w:r>
          </w:p>
        </w:tc>
        <w:tc>
          <w:tcPr>
            <w:tcW w:w="1134" w:type="dxa"/>
            <w:noWrap/>
            <w:hideMark/>
          </w:tcPr>
          <w:p w14:paraId="6E522524" w14:textId="259394AF"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0.82</w:t>
            </w:r>
            <w:r w:rsidR="00BF041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1.79</w:t>
            </w:r>
          </w:p>
        </w:tc>
        <w:tc>
          <w:tcPr>
            <w:tcW w:w="850" w:type="dxa"/>
            <w:noWrap/>
            <w:hideMark/>
          </w:tcPr>
          <w:p w14:paraId="6067BFBA" w14:textId="2FED1DFC"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0.34</w:t>
            </w:r>
          </w:p>
        </w:tc>
        <w:tc>
          <w:tcPr>
            <w:tcW w:w="1276" w:type="dxa"/>
            <w:noWrap/>
            <w:hideMark/>
          </w:tcPr>
          <w:p w14:paraId="073320E9" w14:textId="0618243E"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w:t>
            </w:r>
          </w:p>
        </w:tc>
        <w:tc>
          <w:tcPr>
            <w:tcW w:w="1134" w:type="dxa"/>
            <w:noWrap/>
            <w:hideMark/>
          </w:tcPr>
          <w:p w14:paraId="4F82320E" w14:textId="2D82CFF3" w:rsidR="00D651BD" w:rsidRPr="004036B9" w:rsidRDefault="00D651BD" w:rsidP="00AD01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w:t>
            </w:r>
          </w:p>
        </w:tc>
      </w:tr>
    </w:tbl>
    <w:p w14:paraId="04B635C4" w14:textId="54EF59BB" w:rsidR="009702E7" w:rsidRDefault="009702E7" w:rsidP="00E059A0"/>
    <w:p w14:paraId="7D524734" w14:textId="7810835E" w:rsidR="009702E7" w:rsidRDefault="009702E7" w:rsidP="00E059A0"/>
    <w:p w14:paraId="2C8C9586" w14:textId="54C29CCE" w:rsidR="009702E7" w:rsidRPr="004D66FD" w:rsidRDefault="009702E7" w:rsidP="00E059A0">
      <w:r w:rsidRPr="007C1E89">
        <w:rPr>
          <w:b/>
          <w:bCs/>
        </w:rPr>
        <w:t>Table 4</w:t>
      </w:r>
      <w:r w:rsidR="007C1E89" w:rsidRPr="007C1E89">
        <w:rPr>
          <w:b/>
          <w:bCs/>
        </w:rPr>
        <w:t>. Co-primary and secondary end points.</w:t>
      </w:r>
      <w:r w:rsidR="004D66FD">
        <w:rPr>
          <w:b/>
          <w:bCs/>
        </w:rPr>
        <w:t xml:space="preserve"> </w:t>
      </w:r>
      <w:proofErr w:type="spellStart"/>
      <w:r w:rsidR="004D66FD" w:rsidRPr="004D66FD">
        <w:t>aIRR</w:t>
      </w:r>
      <w:proofErr w:type="spellEnd"/>
      <w:r w:rsidR="004D66FD" w:rsidRPr="004D66FD">
        <w:t xml:space="preserve">, adjusted </w:t>
      </w:r>
      <w:r w:rsidR="004D66FD">
        <w:t>incidence rate ratio</w:t>
      </w:r>
      <w:r w:rsidR="00212BAE">
        <w:t xml:space="preserve"> for rates</w:t>
      </w:r>
      <w:r w:rsidR="004D66FD">
        <w:t xml:space="preserve">; </w:t>
      </w:r>
      <w:proofErr w:type="spellStart"/>
      <w:r w:rsidR="004D66FD">
        <w:t>aOR</w:t>
      </w:r>
      <w:proofErr w:type="spellEnd"/>
      <w:r w:rsidR="004D66FD">
        <w:t>, adjusted odds ratio</w:t>
      </w:r>
      <w:r w:rsidR="00212BAE">
        <w:t xml:space="preserve"> for proportions</w:t>
      </w:r>
      <w:r w:rsidR="004D66FD">
        <w:t>; CI, confidence interval</w:t>
      </w:r>
      <w:r w:rsidR="00A053DC">
        <w:t>.</w:t>
      </w:r>
    </w:p>
    <w:p w14:paraId="176E8CBB" w14:textId="497EB3C2" w:rsidR="00E059A0" w:rsidRPr="00E059A0" w:rsidRDefault="00E059A0" w:rsidP="00E059A0">
      <w:pPr>
        <w:pStyle w:val="Heading1"/>
      </w:pPr>
      <w:r>
        <w:br w:type="column"/>
      </w:r>
      <w:r>
        <w:lastRenderedPageBreak/>
        <w:t>Figure</w:t>
      </w:r>
      <w:r w:rsidR="00EB1E88">
        <w:t xml:space="preserve"> legends</w:t>
      </w:r>
    </w:p>
    <w:p w14:paraId="0219F0C8" w14:textId="77777777" w:rsidR="009A687A" w:rsidRDefault="009A687A" w:rsidP="009A687A">
      <w:pPr>
        <w:rPr>
          <w:b/>
          <w:bCs/>
        </w:rPr>
      </w:pPr>
    </w:p>
    <w:p w14:paraId="47B7168C" w14:textId="39FFCB54" w:rsidR="007362AF" w:rsidRDefault="009A687A" w:rsidP="00420EFD">
      <w:pPr>
        <w:rPr>
          <w:lang w:val="en-US"/>
        </w:rPr>
      </w:pPr>
      <w:r w:rsidRPr="00093075">
        <w:rPr>
          <w:b/>
          <w:bCs/>
        </w:rPr>
        <w:t>Figure 1. Consort diagram of participating schools</w:t>
      </w:r>
      <w:r>
        <w:rPr>
          <w:b/>
          <w:bCs/>
        </w:rPr>
        <w:t xml:space="preserve"> for two co-primary outcomes: COVID related school absence</w:t>
      </w:r>
      <w:r w:rsidR="006B7D02">
        <w:rPr>
          <w:b/>
          <w:bCs/>
        </w:rPr>
        <w:t xml:space="preserve"> (panel A)</w:t>
      </w:r>
      <w:r w:rsidR="00054BAC">
        <w:rPr>
          <w:b/>
          <w:bCs/>
        </w:rPr>
        <w:t xml:space="preserve"> </w:t>
      </w:r>
      <w:r>
        <w:rPr>
          <w:b/>
          <w:bCs/>
        </w:rPr>
        <w:t>and symptomatic PCR-positive infection</w:t>
      </w:r>
      <w:r w:rsidR="006B7D02">
        <w:rPr>
          <w:b/>
          <w:bCs/>
        </w:rPr>
        <w:t xml:space="preserve"> (panel B)</w:t>
      </w:r>
      <w:r>
        <w:t xml:space="preserve">. The former depends on availability of daily school attendance data for students and staff aggregated at school level. The latter depends on provision of student and staff lists to enable matching of identifiers with NHS Test and Trace national community testing data. DfE, UK Government Department for Education. </w:t>
      </w:r>
      <w:r w:rsidRPr="00093075">
        <w:rPr>
          <w:lang w:val="en-US"/>
        </w:rPr>
        <w:t xml:space="preserve">School participation </w:t>
      </w:r>
      <w:r>
        <w:rPr>
          <w:lang w:val="en-US"/>
        </w:rPr>
        <w:t xml:space="preserve">was </w:t>
      </w:r>
      <w:r w:rsidRPr="00093075">
        <w:rPr>
          <w:lang w:val="en-US"/>
        </w:rPr>
        <w:t xml:space="preserve">defined based on </w:t>
      </w:r>
      <w:r>
        <w:rPr>
          <w:lang w:val="en-US"/>
        </w:rPr>
        <w:t xml:space="preserve">submission of student/staff lists and attendance data for at least part of the study. </w:t>
      </w:r>
      <w:r w:rsidR="0012702A">
        <w:rPr>
          <w:lang w:val="en-US"/>
        </w:rPr>
        <w:t xml:space="preserve">A total of 2000 schools were notified of the study by email, 226 attended webinars to </w:t>
      </w:r>
      <w:r w:rsidR="008C49B3">
        <w:rPr>
          <w:lang w:val="en-US"/>
        </w:rPr>
        <w:t>learn more about the study</w:t>
      </w:r>
      <w:r w:rsidR="00981FDF">
        <w:rPr>
          <w:lang w:val="en-US"/>
        </w:rPr>
        <w:t xml:space="preserve">, within this group 204 schools were </w:t>
      </w:r>
      <w:r w:rsidR="009E4807">
        <w:rPr>
          <w:lang w:val="en-US"/>
        </w:rPr>
        <w:t xml:space="preserve">taken through the consent process, </w:t>
      </w:r>
      <w:r w:rsidR="001411EB">
        <w:rPr>
          <w:lang w:val="en-US"/>
        </w:rPr>
        <w:t xml:space="preserve">during which 3 decided not to participate further. </w:t>
      </w:r>
      <w:r w:rsidR="008320F5">
        <w:t>Of the</w:t>
      </w:r>
      <w:r w:rsidR="00E11A2B">
        <w:t xml:space="preserve"> 39 </w:t>
      </w:r>
      <w:r w:rsidR="008320F5">
        <w:t xml:space="preserve">schools that </w:t>
      </w:r>
      <w:r w:rsidR="00E11A2B">
        <w:t>stopped active participation between randomisation and the study starting</w:t>
      </w:r>
      <w:r w:rsidR="008320F5">
        <w:t>, 2</w:t>
      </w:r>
      <w:r w:rsidR="0012784D">
        <w:t>6</w:t>
      </w:r>
      <w:r w:rsidR="008320F5">
        <w:t xml:space="preserve"> provided reasons:</w:t>
      </w:r>
      <w:r w:rsidR="00E11A2B">
        <w:t xml:space="preserve"> 20 stated resource constraints, 3 intervention schools cited concerns about the protocol, 2 control schools did not wish to be in the control arm, 1 intervention school on local authority public health advice.</w:t>
      </w:r>
    </w:p>
    <w:p w14:paraId="6998BC1F" w14:textId="77777777" w:rsidR="007362AF" w:rsidRDefault="007362AF" w:rsidP="00420EFD">
      <w:pPr>
        <w:rPr>
          <w:lang w:val="en-US"/>
        </w:rPr>
      </w:pPr>
    </w:p>
    <w:p w14:paraId="76EC5491" w14:textId="112AE8F0" w:rsidR="00507885" w:rsidRDefault="00420EFD" w:rsidP="00507885">
      <w:r>
        <w:rPr>
          <w:b/>
          <w:bCs/>
        </w:rPr>
        <w:t>F</w:t>
      </w:r>
      <w:r w:rsidRPr="007721C6">
        <w:rPr>
          <w:b/>
          <w:bCs/>
        </w:rPr>
        <w:t xml:space="preserve">igure 2. </w:t>
      </w:r>
      <w:r w:rsidR="00AB4389">
        <w:rPr>
          <w:b/>
          <w:bCs/>
        </w:rPr>
        <w:t>Study p</w:t>
      </w:r>
      <w:r w:rsidRPr="007721C6">
        <w:rPr>
          <w:b/>
          <w:bCs/>
        </w:rPr>
        <w:t>articipation during 27,973 potential isolation school days in 5763 intervention arm contacts</w:t>
      </w:r>
      <w:r>
        <w:rPr>
          <w:b/>
          <w:bCs/>
        </w:rPr>
        <w:t xml:space="preserve">. </w:t>
      </w:r>
      <w:r w:rsidRPr="007721C6">
        <w:t>Panel A shows the number of contacts in the intervention arm by study day, by participation or reason for non-participation.</w:t>
      </w:r>
      <w:r>
        <w:t xml:space="preserve"> </w:t>
      </w:r>
      <w:r w:rsidR="00A86986">
        <w:t xml:space="preserve">Note the </w:t>
      </w:r>
      <w:r w:rsidR="00A86986" w:rsidRPr="00A5530C">
        <w:t>school “half-term” holiday (31-May-2021 to 04-June-2021)</w:t>
      </w:r>
      <w:r w:rsidR="00A86986">
        <w:t xml:space="preserve">. </w:t>
      </w:r>
      <w:r w:rsidRPr="007721C6">
        <w:t>Panel B shows the percentage of contacts in the intervention arm participating, by study day; the bars are coloured according to the number of contacts under follow up on a given day.</w:t>
      </w:r>
      <w:r w:rsidR="0073793F">
        <w:t xml:space="preserve"> </w:t>
      </w:r>
      <w:r w:rsidR="0073793F" w:rsidRPr="0073793F">
        <w:t xml:space="preserve">Panel C shows the </w:t>
      </w:r>
      <w:r w:rsidR="0073793F">
        <w:t>p</w:t>
      </w:r>
      <w:r w:rsidR="00AB4389" w:rsidRPr="0073793F">
        <w:t xml:space="preserve">ercentage of contacts participating in </w:t>
      </w:r>
      <w:r w:rsidR="000F0710">
        <w:t>LFD</w:t>
      </w:r>
      <w:r w:rsidR="00AB4389" w:rsidRPr="0073793F">
        <w:t xml:space="preserve">s in 59 intervention arm schools reporting ≥1 contact affecting school days. For each contact event return of ≥3 </w:t>
      </w:r>
      <w:r w:rsidR="000F0710">
        <w:t>LFD</w:t>
      </w:r>
      <w:r w:rsidR="00AB4389" w:rsidRPr="0073793F">
        <w:t xml:space="preserve"> results or a positive </w:t>
      </w:r>
      <w:r w:rsidR="000F0710">
        <w:t>LFD</w:t>
      </w:r>
      <w:r w:rsidR="00AB4389" w:rsidRPr="0073793F">
        <w:t xml:space="preserve"> result is used to summarise participation in the intervention. The bars are coloured by strata group, which summarises the 9 strata used for randomisation. </w:t>
      </w:r>
      <w:r w:rsidR="000F0710">
        <w:t>LFD</w:t>
      </w:r>
      <w:r w:rsidR="00AB4389" w:rsidRPr="0073793F">
        <w:t>s, lateral flow tests. Schools with no contacts participating are shown with a small negative value on the y-axis to aid visualisation.</w:t>
      </w:r>
    </w:p>
    <w:p w14:paraId="63754146" w14:textId="77777777" w:rsidR="00507885" w:rsidRDefault="00507885" w:rsidP="00507885"/>
    <w:p w14:paraId="5840191A" w14:textId="7A1E6F97" w:rsidR="00C1631C" w:rsidRDefault="00507885" w:rsidP="00C1631C">
      <w:r w:rsidRPr="008A6BA3">
        <w:rPr>
          <w:b/>
          <w:bCs/>
        </w:rPr>
        <w:t xml:space="preserve">Figure </w:t>
      </w:r>
      <w:r w:rsidR="00011F0A">
        <w:rPr>
          <w:b/>
          <w:bCs/>
        </w:rPr>
        <w:t>3</w:t>
      </w:r>
      <w:r w:rsidR="00C1631C">
        <w:rPr>
          <w:b/>
          <w:bCs/>
        </w:rPr>
        <w:t>. Co-primary outcome:</w:t>
      </w:r>
      <w:r w:rsidRPr="008A6BA3">
        <w:rPr>
          <w:b/>
          <w:bCs/>
        </w:rPr>
        <w:t xml:space="preserve"> Percentage of students</w:t>
      </w:r>
      <w:r>
        <w:rPr>
          <w:b/>
          <w:bCs/>
        </w:rPr>
        <w:t xml:space="preserve"> (panel A) and staff (panel B)</w:t>
      </w:r>
      <w:r w:rsidRPr="008A6BA3">
        <w:rPr>
          <w:b/>
          <w:bCs/>
        </w:rPr>
        <w:t xml:space="preserve"> absent for COVID-related reasons as a proportion of all those not absent for other reasons by study day</w:t>
      </w:r>
      <w:r>
        <w:t xml:space="preserve">. Note the </w:t>
      </w:r>
      <w:r w:rsidRPr="00A5530C">
        <w:t>school “half-term” holiday (31-May-2021 to 04-June-2021)</w:t>
      </w:r>
      <w:r>
        <w:t>.</w:t>
      </w:r>
    </w:p>
    <w:p w14:paraId="2E0FE944" w14:textId="01FC14E9" w:rsidR="00C1631C" w:rsidRDefault="00C1631C" w:rsidP="00C1631C"/>
    <w:p w14:paraId="359E39CC" w14:textId="0A62CBC2" w:rsidR="00E90092" w:rsidRPr="00A53261" w:rsidRDefault="00C1631C" w:rsidP="00310F87">
      <w:pPr>
        <w:rPr>
          <w:rFonts w:cstheme="minorHAnsi"/>
        </w:rPr>
      </w:pPr>
      <w:r w:rsidRPr="008058C0">
        <w:rPr>
          <w:b/>
          <w:bCs/>
        </w:rPr>
        <w:t xml:space="preserve">Figure </w:t>
      </w:r>
      <w:r w:rsidR="00011F0A">
        <w:rPr>
          <w:b/>
          <w:bCs/>
        </w:rPr>
        <w:t>4</w:t>
      </w:r>
      <w:r w:rsidRPr="008058C0">
        <w:rPr>
          <w:b/>
          <w:bCs/>
        </w:rPr>
        <w:t>. Co-primary outcome: incidence of symptomatic PCR positive results in students and staff by study arm</w:t>
      </w:r>
      <w:r w:rsidR="007B148D">
        <w:rPr>
          <w:b/>
          <w:bCs/>
        </w:rPr>
        <w:t xml:space="preserve"> (panel A), and secondary outcome: all PCR positive results (panel B)</w:t>
      </w:r>
      <w:r>
        <w:t>. Weekly incidence is shown per 100,000 at risk. The shaded area is the mean rate</w:t>
      </w:r>
      <w:r w:rsidR="009B16B1">
        <w:t xml:space="preserve"> </w:t>
      </w:r>
      <w:r w:rsidR="004C7474">
        <w:t xml:space="preserve">± </w:t>
      </w:r>
      <w:r w:rsidR="000511D7">
        <w:t>1 standard deviation</w:t>
      </w:r>
      <w:r w:rsidR="003A6CAD">
        <w:t xml:space="preserve"> using a negative binomial model to account for over-dispersion</w:t>
      </w:r>
      <w:r w:rsidR="00641A74">
        <w:t xml:space="preserve"> (</w:t>
      </w:r>
      <w:r w:rsidR="00E47A2F">
        <w:t>theta=0.28).</w:t>
      </w:r>
      <w:r w:rsidR="003A6CAD">
        <w:t xml:space="preserve"> </w:t>
      </w:r>
    </w:p>
    <w:sectPr w:rsidR="00E90092" w:rsidRPr="00A53261" w:rsidSect="006A7FE8">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891FF" w14:textId="77777777" w:rsidR="00821F4B" w:rsidRDefault="00821F4B" w:rsidP="00531406">
      <w:r>
        <w:separator/>
      </w:r>
    </w:p>
  </w:endnote>
  <w:endnote w:type="continuationSeparator" w:id="0">
    <w:p w14:paraId="478FED86" w14:textId="77777777" w:rsidR="00821F4B" w:rsidRDefault="00821F4B" w:rsidP="00531406">
      <w:r>
        <w:continuationSeparator/>
      </w:r>
    </w:p>
  </w:endnote>
  <w:endnote w:type="continuationNotice" w:id="1">
    <w:p w14:paraId="1F4B40A5" w14:textId="77777777" w:rsidR="00821F4B" w:rsidRDefault="0082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1170"/>
      <w:docPartObj>
        <w:docPartGallery w:val="Page Numbers (Bottom of Page)"/>
        <w:docPartUnique/>
      </w:docPartObj>
    </w:sdtPr>
    <w:sdtEndPr>
      <w:rPr>
        <w:rStyle w:val="PageNumber"/>
      </w:rPr>
    </w:sdtEndPr>
    <w:sdtContent>
      <w:p w14:paraId="748E24EE" w14:textId="03E840D3" w:rsidR="00821F4B" w:rsidRDefault="00821F4B" w:rsidP="00D07A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52CA3" w14:textId="77777777" w:rsidR="00821F4B" w:rsidRDefault="0082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5832873"/>
      <w:docPartObj>
        <w:docPartGallery w:val="Page Numbers (Bottom of Page)"/>
        <w:docPartUnique/>
      </w:docPartObj>
    </w:sdtPr>
    <w:sdtEndPr>
      <w:rPr>
        <w:rStyle w:val="PageNumber"/>
      </w:rPr>
    </w:sdtEndPr>
    <w:sdtContent>
      <w:p w14:paraId="38BA9CEE" w14:textId="2A5CCFA9" w:rsidR="00821F4B" w:rsidRDefault="00821F4B" w:rsidP="00D07A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E34428" w14:textId="77777777" w:rsidR="00821F4B" w:rsidRDefault="0082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F98F8" w14:textId="77777777" w:rsidR="00821F4B" w:rsidRDefault="00821F4B" w:rsidP="00531406">
      <w:r>
        <w:separator/>
      </w:r>
    </w:p>
  </w:footnote>
  <w:footnote w:type="continuationSeparator" w:id="0">
    <w:p w14:paraId="235E263F" w14:textId="77777777" w:rsidR="00821F4B" w:rsidRDefault="00821F4B" w:rsidP="00531406">
      <w:r>
        <w:continuationSeparator/>
      </w:r>
    </w:p>
  </w:footnote>
  <w:footnote w:type="continuationNotice" w:id="1">
    <w:p w14:paraId="602960E8" w14:textId="77777777" w:rsidR="00821F4B" w:rsidRDefault="00821F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3E3E"/>
    <w:multiLevelType w:val="hybridMultilevel"/>
    <w:tmpl w:val="29C6D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20FD5"/>
    <w:multiLevelType w:val="multilevel"/>
    <w:tmpl w:val="FDC2A9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531DE"/>
    <w:multiLevelType w:val="hybridMultilevel"/>
    <w:tmpl w:val="04FA3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71A84"/>
    <w:multiLevelType w:val="multilevel"/>
    <w:tmpl w:val="D3B201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B73A4"/>
    <w:multiLevelType w:val="hybridMultilevel"/>
    <w:tmpl w:val="3572B8C8"/>
    <w:lvl w:ilvl="0" w:tplc="897E3B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838FA"/>
    <w:multiLevelType w:val="hybridMultilevel"/>
    <w:tmpl w:val="295066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D31F0"/>
    <w:multiLevelType w:val="hybridMultilevel"/>
    <w:tmpl w:val="F7449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F384C"/>
    <w:multiLevelType w:val="hybridMultilevel"/>
    <w:tmpl w:val="B748DD9C"/>
    <w:lvl w:ilvl="0" w:tplc="13F64B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60280"/>
    <w:multiLevelType w:val="hybridMultilevel"/>
    <w:tmpl w:val="508689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B370F9"/>
    <w:multiLevelType w:val="hybridMultilevel"/>
    <w:tmpl w:val="D12E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43587"/>
    <w:multiLevelType w:val="multilevel"/>
    <w:tmpl w:val="986C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F6BDA"/>
    <w:multiLevelType w:val="multilevel"/>
    <w:tmpl w:val="977271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B4D1D"/>
    <w:multiLevelType w:val="multilevel"/>
    <w:tmpl w:val="0D60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1F7CA8"/>
    <w:multiLevelType w:val="hybridMultilevel"/>
    <w:tmpl w:val="F5BE3476"/>
    <w:lvl w:ilvl="0" w:tplc="C74C2D94">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4" w15:restartNumberingAfterBreak="0">
    <w:nsid w:val="71DD749C"/>
    <w:multiLevelType w:val="hybridMultilevel"/>
    <w:tmpl w:val="1138D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78342A"/>
    <w:multiLevelType w:val="hybridMultilevel"/>
    <w:tmpl w:val="15BE609C"/>
    <w:lvl w:ilvl="0" w:tplc="98F69EBC">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6" w15:restartNumberingAfterBreak="0">
    <w:nsid w:val="74984758"/>
    <w:multiLevelType w:val="hybridMultilevel"/>
    <w:tmpl w:val="9AE61130"/>
    <w:lvl w:ilvl="0" w:tplc="70D07846">
      <w:start w:val="6"/>
      <w:numFmt w:val="bullet"/>
      <w:lvlText w:val="-"/>
      <w:lvlJc w:val="left"/>
      <w:pPr>
        <w:ind w:left="400" w:hanging="360"/>
      </w:pPr>
      <w:rPr>
        <w:rFonts w:ascii="Calibri" w:eastAsiaTheme="minorHAnsi" w:hAnsi="Calibri"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7" w15:restartNumberingAfterBreak="0">
    <w:nsid w:val="75465956"/>
    <w:multiLevelType w:val="multilevel"/>
    <w:tmpl w:val="255E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9B644C"/>
    <w:multiLevelType w:val="hybridMultilevel"/>
    <w:tmpl w:val="13FAA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5"/>
  </w:num>
  <w:num w:numId="4">
    <w:abstractNumId w:val="13"/>
  </w:num>
  <w:num w:numId="5">
    <w:abstractNumId w:val="18"/>
  </w:num>
  <w:num w:numId="6">
    <w:abstractNumId w:val="0"/>
  </w:num>
  <w:num w:numId="7">
    <w:abstractNumId w:val="8"/>
  </w:num>
  <w:num w:numId="8">
    <w:abstractNumId w:val="16"/>
  </w:num>
  <w:num w:numId="9">
    <w:abstractNumId w:val="5"/>
  </w:num>
  <w:num w:numId="10">
    <w:abstractNumId w:val="2"/>
  </w:num>
  <w:num w:numId="11">
    <w:abstractNumId w:val="14"/>
  </w:num>
  <w:num w:numId="12">
    <w:abstractNumId w:val="9"/>
  </w:num>
  <w:num w:numId="13">
    <w:abstractNumId w:val="6"/>
  </w:num>
  <w:num w:numId="14">
    <w:abstractNumId w:val="12"/>
  </w:num>
  <w:num w:numId="15">
    <w:abstractNumId w:val="10"/>
  </w:num>
  <w:num w:numId="16">
    <w:abstractNumId w:val="17"/>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01"/>
    <w:rsid w:val="0000081D"/>
    <w:rsid w:val="0000298D"/>
    <w:rsid w:val="00003155"/>
    <w:rsid w:val="00003414"/>
    <w:rsid w:val="000034EB"/>
    <w:rsid w:val="00003AC5"/>
    <w:rsid w:val="000048D0"/>
    <w:rsid w:val="00004B90"/>
    <w:rsid w:val="00005C92"/>
    <w:rsid w:val="00006843"/>
    <w:rsid w:val="00006AF3"/>
    <w:rsid w:val="00006C21"/>
    <w:rsid w:val="00006EF7"/>
    <w:rsid w:val="00007A70"/>
    <w:rsid w:val="00011863"/>
    <w:rsid w:val="00011F0A"/>
    <w:rsid w:val="00012359"/>
    <w:rsid w:val="00012B96"/>
    <w:rsid w:val="00013765"/>
    <w:rsid w:val="00013815"/>
    <w:rsid w:val="00015165"/>
    <w:rsid w:val="000164DB"/>
    <w:rsid w:val="000169DC"/>
    <w:rsid w:val="00016C60"/>
    <w:rsid w:val="000171E6"/>
    <w:rsid w:val="000177A2"/>
    <w:rsid w:val="00017904"/>
    <w:rsid w:val="000210B5"/>
    <w:rsid w:val="00021B3E"/>
    <w:rsid w:val="0002268A"/>
    <w:rsid w:val="00022886"/>
    <w:rsid w:val="00023206"/>
    <w:rsid w:val="0002406C"/>
    <w:rsid w:val="00024F88"/>
    <w:rsid w:val="00025002"/>
    <w:rsid w:val="0002506A"/>
    <w:rsid w:val="00025493"/>
    <w:rsid w:val="000268D7"/>
    <w:rsid w:val="00027F5C"/>
    <w:rsid w:val="00031DC7"/>
    <w:rsid w:val="000323B3"/>
    <w:rsid w:val="00033E6B"/>
    <w:rsid w:val="00034146"/>
    <w:rsid w:val="000344B0"/>
    <w:rsid w:val="000344C9"/>
    <w:rsid w:val="000358DE"/>
    <w:rsid w:val="00036030"/>
    <w:rsid w:val="000361D5"/>
    <w:rsid w:val="0003620D"/>
    <w:rsid w:val="00036544"/>
    <w:rsid w:val="00037C7C"/>
    <w:rsid w:val="000421C4"/>
    <w:rsid w:val="00043276"/>
    <w:rsid w:val="000450EE"/>
    <w:rsid w:val="0004525B"/>
    <w:rsid w:val="00046329"/>
    <w:rsid w:val="00046AA6"/>
    <w:rsid w:val="00046B9F"/>
    <w:rsid w:val="000475A7"/>
    <w:rsid w:val="000511D7"/>
    <w:rsid w:val="000517DB"/>
    <w:rsid w:val="00052676"/>
    <w:rsid w:val="0005409D"/>
    <w:rsid w:val="00054BAC"/>
    <w:rsid w:val="00057112"/>
    <w:rsid w:val="00057EF6"/>
    <w:rsid w:val="00060E3B"/>
    <w:rsid w:val="00061437"/>
    <w:rsid w:val="00061785"/>
    <w:rsid w:val="00061800"/>
    <w:rsid w:val="00061B27"/>
    <w:rsid w:val="00063244"/>
    <w:rsid w:val="00063E6E"/>
    <w:rsid w:val="00064790"/>
    <w:rsid w:val="00064900"/>
    <w:rsid w:val="00065068"/>
    <w:rsid w:val="00067A93"/>
    <w:rsid w:val="0007063E"/>
    <w:rsid w:val="0007112A"/>
    <w:rsid w:val="000713DC"/>
    <w:rsid w:val="0007206D"/>
    <w:rsid w:val="00072356"/>
    <w:rsid w:val="00072E2A"/>
    <w:rsid w:val="000749DC"/>
    <w:rsid w:val="00075303"/>
    <w:rsid w:val="0007566A"/>
    <w:rsid w:val="00077A6C"/>
    <w:rsid w:val="00080AA3"/>
    <w:rsid w:val="000814C4"/>
    <w:rsid w:val="0008210F"/>
    <w:rsid w:val="00082ECC"/>
    <w:rsid w:val="00083673"/>
    <w:rsid w:val="000841DB"/>
    <w:rsid w:val="000845D5"/>
    <w:rsid w:val="00084EB8"/>
    <w:rsid w:val="00085084"/>
    <w:rsid w:val="00086D6B"/>
    <w:rsid w:val="000876C6"/>
    <w:rsid w:val="000907E3"/>
    <w:rsid w:val="00091D50"/>
    <w:rsid w:val="00093B62"/>
    <w:rsid w:val="00094BCF"/>
    <w:rsid w:val="0009633A"/>
    <w:rsid w:val="00096A73"/>
    <w:rsid w:val="00096FC3"/>
    <w:rsid w:val="00096FE5"/>
    <w:rsid w:val="000979B5"/>
    <w:rsid w:val="000A0857"/>
    <w:rsid w:val="000A1F18"/>
    <w:rsid w:val="000A2BCF"/>
    <w:rsid w:val="000A38E4"/>
    <w:rsid w:val="000A4423"/>
    <w:rsid w:val="000A6B19"/>
    <w:rsid w:val="000A722D"/>
    <w:rsid w:val="000A7EA1"/>
    <w:rsid w:val="000B0412"/>
    <w:rsid w:val="000B1414"/>
    <w:rsid w:val="000B153E"/>
    <w:rsid w:val="000B2496"/>
    <w:rsid w:val="000B29A0"/>
    <w:rsid w:val="000B3237"/>
    <w:rsid w:val="000C0A3D"/>
    <w:rsid w:val="000C1CFF"/>
    <w:rsid w:val="000C204B"/>
    <w:rsid w:val="000C2F56"/>
    <w:rsid w:val="000C4EBE"/>
    <w:rsid w:val="000C4ECF"/>
    <w:rsid w:val="000C6D14"/>
    <w:rsid w:val="000C719F"/>
    <w:rsid w:val="000C745E"/>
    <w:rsid w:val="000D1431"/>
    <w:rsid w:val="000D210F"/>
    <w:rsid w:val="000D2DF5"/>
    <w:rsid w:val="000D2E04"/>
    <w:rsid w:val="000D43BA"/>
    <w:rsid w:val="000D4437"/>
    <w:rsid w:val="000D5903"/>
    <w:rsid w:val="000D5A63"/>
    <w:rsid w:val="000D6067"/>
    <w:rsid w:val="000D646B"/>
    <w:rsid w:val="000D746A"/>
    <w:rsid w:val="000E001F"/>
    <w:rsid w:val="000E198D"/>
    <w:rsid w:val="000E1A17"/>
    <w:rsid w:val="000E24A1"/>
    <w:rsid w:val="000E25ED"/>
    <w:rsid w:val="000E2B98"/>
    <w:rsid w:val="000E2DAA"/>
    <w:rsid w:val="000E3194"/>
    <w:rsid w:val="000E3278"/>
    <w:rsid w:val="000E3CCC"/>
    <w:rsid w:val="000E6AD6"/>
    <w:rsid w:val="000E6D95"/>
    <w:rsid w:val="000F053E"/>
    <w:rsid w:val="000F0710"/>
    <w:rsid w:val="000F2709"/>
    <w:rsid w:val="000F2A04"/>
    <w:rsid w:val="000F34A7"/>
    <w:rsid w:val="000F7D74"/>
    <w:rsid w:val="001004CD"/>
    <w:rsid w:val="00101287"/>
    <w:rsid w:val="001021B8"/>
    <w:rsid w:val="001044D1"/>
    <w:rsid w:val="00104BEF"/>
    <w:rsid w:val="00106073"/>
    <w:rsid w:val="00106A46"/>
    <w:rsid w:val="00106FEF"/>
    <w:rsid w:val="00107635"/>
    <w:rsid w:val="00107B3B"/>
    <w:rsid w:val="00111463"/>
    <w:rsid w:val="00113891"/>
    <w:rsid w:val="00113A8E"/>
    <w:rsid w:val="00114525"/>
    <w:rsid w:val="00116324"/>
    <w:rsid w:val="00116564"/>
    <w:rsid w:val="00121ED6"/>
    <w:rsid w:val="00122F44"/>
    <w:rsid w:val="001239DD"/>
    <w:rsid w:val="00123BEE"/>
    <w:rsid w:val="00123C1F"/>
    <w:rsid w:val="001256FA"/>
    <w:rsid w:val="0012702A"/>
    <w:rsid w:val="0012784D"/>
    <w:rsid w:val="001306CF"/>
    <w:rsid w:val="001329A2"/>
    <w:rsid w:val="00134EE9"/>
    <w:rsid w:val="0013553F"/>
    <w:rsid w:val="00136696"/>
    <w:rsid w:val="00137103"/>
    <w:rsid w:val="0014024D"/>
    <w:rsid w:val="00140D08"/>
    <w:rsid w:val="001411EB"/>
    <w:rsid w:val="00141D26"/>
    <w:rsid w:val="001443C1"/>
    <w:rsid w:val="001444C3"/>
    <w:rsid w:val="00150732"/>
    <w:rsid w:val="00152253"/>
    <w:rsid w:val="00152D7F"/>
    <w:rsid w:val="001537E0"/>
    <w:rsid w:val="0015511D"/>
    <w:rsid w:val="001551AA"/>
    <w:rsid w:val="00155264"/>
    <w:rsid w:val="00155F70"/>
    <w:rsid w:val="001561B2"/>
    <w:rsid w:val="0015675D"/>
    <w:rsid w:val="00156D99"/>
    <w:rsid w:val="00157EED"/>
    <w:rsid w:val="00162A2A"/>
    <w:rsid w:val="00163242"/>
    <w:rsid w:val="00164A3B"/>
    <w:rsid w:val="00164AD4"/>
    <w:rsid w:val="001659D1"/>
    <w:rsid w:val="00166CCE"/>
    <w:rsid w:val="00167680"/>
    <w:rsid w:val="0017084B"/>
    <w:rsid w:val="00172501"/>
    <w:rsid w:val="001762D8"/>
    <w:rsid w:val="0017661A"/>
    <w:rsid w:val="00176CE0"/>
    <w:rsid w:val="00182D84"/>
    <w:rsid w:val="0018462D"/>
    <w:rsid w:val="00187ABD"/>
    <w:rsid w:val="001911F7"/>
    <w:rsid w:val="00191472"/>
    <w:rsid w:val="00191804"/>
    <w:rsid w:val="0019180B"/>
    <w:rsid w:val="00191F95"/>
    <w:rsid w:val="00192F9A"/>
    <w:rsid w:val="001933A4"/>
    <w:rsid w:val="0019729E"/>
    <w:rsid w:val="00197E3A"/>
    <w:rsid w:val="001A281B"/>
    <w:rsid w:val="001A31BA"/>
    <w:rsid w:val="001A3AD1"/>
    <w:rsid w:val="001A3FA4"/>
    <w:rsid w:val="001A44EA"/>
    <w:rsid w:val="001A4C67"/>
    <w:rsid w:val="001A4D06"/>
    <w:rsid w:val="001A538B"/>
    <w:rsid w:val="001A54B0"/>
    <w:rsid w:val="001A5E44"/>
    <w:rsid w:val="001B0ABB"/>
    <w:rsid w:val="001B1F86"/>
    <w:rsid w:val="001B26BA"/>
    <w:rsid w:val="001B4FE5"/>
    <w:rsid w:val="001B6DBA"/>
    <w:rsid w:val="001B715A"/>
    <w:rsid w:val="001B785E"/>
    <w:rsid w:val="001B7B06"/>
    <w:rsid w:val="001B7C79"/>
    <w:rsid w:val="001C0088"/>
    <w:rsid w:val="001C02DB"/>
    <w:rsid w:val="001C038A"/>
    <w:rsid w:val="001C03E4"/>
    <w:rsid w:val="001C1235"/>
    <w:rsid w:val="001C135A"/>
    <w:rsid w:val="001C1A26"/>
    <w:rsid w:val="001C1EF9"/>
    <w:rsid w:val="001C20D9"/>
    <w:rsid w:val="001C2DB2"/>
    <w:rsid w:val="001C2F5F"/>
    <w:rsid w:val="001C383C"/>
    <w:rsid w:val="001C507F"/>
    <w:rsid w:val="001C5245"/>
    <w:rsid w:val="001C7DB5"/>
    <w:rsid w:val="001D3489"/>
    <w:rsid w:val="001D4692"/>
    <w:rsid w:val="001D4801"/>
    <w:rsid w:val="001D5193"/>
    <w:rsid w:val="001D55F9"/>
    <w:rsid w:val="001D71C6"/>
    <w:rsid w:val="001D734F"/>
    <w:rsid w:val="001D7553"/>
    <w:rsid w:val="001E1521"/>
    <w:rsid w:val="001E1AF8"/>
    <w:rsid w:val="001E1D04"/>
    <w:rsid w:val="001E2BCF"/>
    <w:rsid w:val="001E2CC8"/>
    <w:rsid w:val="001E39DE"/>
    <w:rsid w:val="001E61FB"/>
    <w:rsid w:val="001E6354"/>
    <w:rsid w:val="001E712F"/>
    <w:rsid w:val="001E77C7"/>
    <w:rsid w:val="001F16BB"/>
    <w:rsid w:val="001F35E0"/>
    <w:rsid w:val="001F4F7B"/>
    <w:rsid w:val="001F54DF"/>
    <w:rsid w:val="002013E6"/>
    <w:rsid w:val="00202199"/>
    <w:rsid w:val="002023D3"/>
    <w:rsid w:val="00203088"/>
    <w:rsid w:val="002039C6"/>
    <w:rsid w:val="002045E5"/>
    <w:rsid w:val="00205AB7"/>
    <w:rsid w:val="00205B69"/>
    <w:rsid w:val="00205C12"/>
    <w:rsid w:val="00205D7F"/>
    <w:rsid w:val="0020612E"/>
    <w:rsid w:val="0020628F"/>
    <w:rsid w:val="00206834"/>
    <w:rsid w:val="00207669"/>
    <w:rsid w:val="00207D12"/>
    <w:rsid w:val="00207D80"/>
    <w:rsid w:val="00211216"/>
    <w:rsid w:val="002116AC"/>
    <w:rsid w:val="00211B3B"/>
    <w:rsid w:val="00212BAE"/>
    <w:rsid w:val="00214166"/>
    <w:rsid w:val="002142E8"/>
    <w:rsid w:val="002152B2"/>
    <w:rsid w:val="002152D0"/>
    <w:rsid w:val="00215888"/>
    <w:rsid w:val="00215AF6"/>
    <w:rsid w:val="00215ED4"/>
    <w:rsid w:val="00215F08"/>
    <w:rsid w:val="00216E8E"/>
    <w:rsid w:val="00217C2F"/>
    <w:rsid w:val="0022039F"/>
    <w:rsid w:val="00220671"/>
    <w:rsid w:val="0022154F"/>
    <w:rsid w:val="00221737"/>
    <w:rsid w:val="00221B0F"/>
    <w:rsid w:val="00221EC8"/>
    <w:rsid w:val="00223FCB"/>
    <w:rsid w:val="00226792"/>
    <w:rsid w:val="00226847"/>
    <w:rsid w:val="00226F9E"/>
    <w:rsid w:val="002272C5"/>
    <w:rsid w:val="00227634"/>
    <w:rsid w:val="00230079"/>
    <w:rsid w:val="00231915"/>
    <w:rsid w:val="002323C3"/>
    <w:rsid w:val="00232EFB"/>
    <w:rsid w:val="00235999"/>
    <w:rsid w:val="00236BA9"/>
    <w:rsid w:val="00237828"/>
    <w:rsid w:val="00237F39"/>
    <w:rsid w:val="002400CC"/>
    <w:rsid w:val="002407F9"/>
    <w:rsid w:val="00244354"/>
    <w:rsid w:val="00244906"/>
    <w:rsid w:val="00245BE5"/>
    <w:rsid w:val="002462AE"/>
    <w:rsid w:val="0025136D"/>
    <w:rsid w:val="002522AD"/>
    <w:rsid w:val="00252B26"/>
    <w:rsid w:val="00252CDA"/>
    <w:rsid w:val="00252E2B"/>
    <w:rsid w:val="00252F72"/>
    <w:rsid w:val="002530C5"/>
    <w:rsid w:val="00254FCA"/>
    <w:rsid w:val="00255411"/>
    <w:rsid w:val="002555E4"/>
    <w:rsid w:val="00255803"/>
    <w:rsid w:val="00256614"/>
    <w:rsid w:val="0025737A"/>
    <w:rsid w:val="00257BA8"/>
    <w:rsid w:val="00257C6A"/>
    <w:rsid w:val="0026097D"/>
    <w:rsid w:val="00261B44"/>
    <w:rsid w:val="002658A4"/>
    <w:rsid w:val="002666D0"/>
    <w:rsid w:val="002671C4"/>
    <w:rsid w:val="00271BD5"/>
    <w:rsid w:val="00272001"/>
    <w:rsid w:val="002731CC"/>
    <w:rsid w:val="00273A17"/>
    <w:rsid w:val="002745D3"/>
    <w:rsid w:val="00274A37"/>
    <w:rsid w:val="00274AB2"/>
    <w:rsid w:val="00274F93"/>
    <w:rsid w:val="0027534E"/>
    <w:rsid w:val="0027545A"/>
    <w:rsid w:val="00275879"/>
    <w:rsid w:val="00275CE5"/>
    <w:rsid w:val="00280520"/>
    <w:rsid w:val="0028054A"/>
    <w:rsid w:val="00281513"/>
    <w:rsid w:val="002837B1"/>
    <w:rsid w:val="002841D2"/>
    <w:rsid w:val="00285114"/>
    <w:rsid w:val="002859D8"/>
    <w:rsid w:val="002872E1"/>
    <w:rsid w:val="00292705"/>
    <w:rsid w:val="00292D6F"/>
    <w:rsid w:val="00292D7E"/>
    <w:rsid w:val="00293543"/>
    <w:rsid w:val="002943DE"/>
    <w:rsid w:val="00296C65"/>
    <w:rsid w:val="002A00FC"/>
    <w:rsid w:val="002A0AAA"/>
    <w:rsid w:val="002A1826"/>
    <w:rsid w:val="002A1C16"/>
    <w:rsid w:val="002A1DAD"/>
    <w:rsid w:val="002A234C"/>
    <w:rsid w:val="002A3238"/>
    <w:rsid w:val="002A52D5"/>
    <w:rsid w:val="002A6108"/>
    <w:rsid w:val="002A6395"/>
    <w:rsid w:val="002A644E"/>
    <w:rsid w:val="002A6A4F"/>
    <w:rsid w:val="002A6DBB"/>
    <w:rsid w:val="002B3225"/>
    <w:rsid w:val="002B3695"/>
    <w:rsid w:val="002B3DBB"/>
    <w:rsid w:val="002B3E5E"/>
    <w:rsid w:val="002B4E7A"/>
    <w:rsid w:val="002B4EC4"/>
    <w:rsid w:val="002B5142"/>
    <w:rsid w:val="002B5DD8"/>
    <w:rsid w:val="002B6FCA"/>
    <w:rsid w:val="002B711C"/>
    <w:rsid w:val="002C4AE8"/>
    <w:rsid w:val="002C4D04"/>
    <w:rsid w:val="002C4E93"/>
    <w:rsid w:val="002C4FD0"/>
    <w:rsid w:val="002C79B7"/>
    <w:rsid w:val="002C7EFF"/>
    <w:rsid w:val="002D0277"/>
    <w:rsid w:val="002D1114"/>
    <w:rsid w:val="002D2404"/>
    <w:rsid w:val="002D369F"/>
    <w:rsid w:val="002D4732"/>
    <w:rsid w:val="002D4BB0"/>
    <w:rsid w:val="002D4F6B"/>
    <w:rsid w:val="002D50E3"/>
    <w:rsid w:val="002D5112"/>
    <w:rsid w:val="002D5B48"/>
    <w:rsid w:val="002D6A01"/>
    <w:rsid w:val="002D75E0"/>
    <w:rsid w:val="002D7643"/>
    <w:rsid w:val="002E023D"/>
    <w:rsid w:val="002E0367"/>
    <w:rsid w:val="002E056D"/>
    <w:rsid w:val="002E148C"/>
    <w:rsid w:val="002E161A"/>
    <w:rsid w:val="002E2A0D"/>
    <w:rsid w:val="002E3127"/>
    <w:rsid w:val="002E3D57"/>
    <w:rsid w:val="002E4246"/>
    <w:rsid w:val="002E4CB7"/>
    <w:rsid w:val="002E7A77"/>
    <w:rsid w:val="002E7FF5"/>
    <w:rsid w:val="002F10E0"/>
    <w:rsid w:val="002F36A2"/>
    <w:rsid w:val="002F3AC3"/>
    <w:rsid w:val="002F69D1"/>
    <w:rsid w:val="002F769A"/>
    <w:rsid w:val="002F76BC"/>
    <w:rsid w:val="002F773D"/>
    <w:rsid w:val="0030029D"/>
    <w:rsid w:val="00300A8A"/>
    <w:rsid w:val="00300E97"/>
    <w:rsid w:val="003016FD"/>
    <w:rsid w:val="003034FF"/>
    <w:rsid w:val="003045EB"/>
    <w:rsid w:val="003048DE"/>
    <w:rsid w:val="00304F9B"/>
    <w:rsid w:val="0030600D"/>
    <w:rsid w:val="003060EC"/>
    <w:rsid w:val="0030621C"/>
    <w:rsid w:val="00307104"/>
    <w:rsid w:val="003073B3"/>
    <w:rsid w:val="003100B8"/>
    <w:rsid w:val="0031013D"/>
    <w:rsid w:val="00310DD8"/>
    <w:rsid w:val="00310F87"/>
    <w:rsid w:val="00313700"/>
    <w:rsid w:val="00314906"/>
    <w:rsid w:val="00314A21"/>
    <w:rsid w:val="003174E2"/>
    <w:rsid w:val="0031792C"/>
    <w:rsid w:val="00321EEA"/>
    <w:rsid w:val="00323064"/>
    <w:rsid w:val="00323780"/>
    <w:rsid w:val="003237DB"/>
    <w:rsid w:val="00323DE7"/>
    <w:rsid w:val="003251D5"/>
    <w:rsid w:val="00325470"/>
    <w:rsid w:val="00325609"/>
    <w:rsid w:val="00325E5B"/>
    <w:rsid w:val="00326898"/>
    <w:rsid w:val="003268B7"/>
    <w:rsid w:val="003303F4"/>
    <w:rsid w:val="003304FD"/>
    <w:rsid w:val="00330821"/>
    <w:rsid w:val="00330A65"/>
    <w:rsid w:val="00332F97"/>
    <w:rsid w:val="003331BD"/>
    <w:rsid w:val="00333818"/>
    <w:rsid w:val="00333E67"/>
    <w:rsid w:val="003342A6"/>
    <w:rsid w:val="00334514"/>
    <w:rsid w:val="003349B4"/>
    <w:rsid w:val="00334D7A"/>
    <w:rsid w:val="003352B0"/>
    <w:rsid w:val="00336F62"/>
    <w:rsid w:val="003377EE"/>
    <w:rsid w:val="0033791A"/>
    <w:rsid w:val="003401B5"/>
    <w:rsid w:val="003419F6"/>
    <w:rsid w:val="00342A4C"/>
    <w:rsid w:val="003430E5"/>
    <w:rsid w:val="003434F5"/>
    <w:rsid w:val="00343B5D"/>
    <w:rsid w:val="00343B7B"/>
    <w:rsid w:val="00343C80"/>
    <w:rsid w:val="00344690"/>
    <w:rsid w:val="00344E18"/>
    <w:rsid w:val="003457F5"/>
    <w:rsid w:val="00345A91"/>
    <w:rsid w:val="003465B4"/>
    <w:rsid w:val="00347D1B"/>
    <w:rsid w:val="00350FD6"/>
    <w:rsid w:val="00351856"/>
    <w:rsid w:val="003524A3"/>
    <w:rsid w:val="003527EA"/>
    <w:rsid w:val="0035597D"/>
    <w:rsid w:val="003564ED"/>
    <w:rsid w:val="0035689B"/>
    <w:rsid w:val="00357B72"/>
    <w:rsid w:val="00357E6C"/>
    <w:rsid w:val="00361287"/>
    <w:rsid w:val="00362220"/>
    <w:rsid w:val="003654C4"/>
    <w:rsid w:val="0036640F"/>
    <w:rsid w:val="00367AAD"/>
    <w:rsid w:val="00367E16"/>
    <w:rsid w:val="003700EE"/>
    <w:rsid w:val="00370E16"/>
    <w:rsid w:val="003717B4"/>
    <w:rsid w:val="00372B5D"/>
    <w:rsid w:val="00372E5D"/>
    <w:rsid w:val="0037313D"/>
    <w:rsid w:val="0037316D"/>
    <w:rsid w:val="0037421C"/>
    <w:rsid w:val="00374754"/>
    <w:rsid w:val="003751F1"/>
    <w:rsid w:val="00376B9F"/>
    <w:rsid w:val="00377148"/>
    <w:rsid w:val="00377C5B"/>
    <w:rsid w:val="00380611"/>
    <w:rsid w:val="00381B61"/>
    <w:rsid w:val="0038318D"/>
    <w:rsid w:val="0038342E"/>
    <w:rsid w:val="00384887"/>
    <w:rsid w:val="003873DB"/>
    <w:rsid w:val="00390524"/>
    <w:rsid w:val="003911F7"/>
    <w:rsid w:val="00391C31"/>
    <w:rsid w:val="00392FB5"/>
    <w:rsid w:val="003931FF"/>
    <w:rsid w:val="00394846"/>
    <w:rsid w:val="00394BF0"/>
    <w:rsid w:val="00394E7F"/>
    <w:rsid w:val="00396727"/>
    <w:rsid w:val="003970BB"/>
    <w:rsid w:val="003971A2"/>
    <w:rsid w:val="00397330"/>
    <w:rsid w:val="00397C15"/>
    <w:rsid w:val="003A1257"/>
    <w:rsid w:val="003A16F7"/>
    <w:rsid w:val="003A195A"/>
    <w:rsid w:val="003A1FB5"/>
    <w:rsid w:val="003A36DA"/>
    <w:rsid w:val="003A3915"/>
    <w:rsid w:val="003A4212"/>
    <w:rsid w:val="003A4374"/>
    <w:rsid w:val="003A6CAD"/>
    <w:rsid w:val="003A7707"/>
    <w:rsid w:val="003A7CD7"/>
    <w:rsid w:val="003B069B"/>
    <w:rsid w:val="003B0F9B"/>
    <w:rsid w:val="003B17EA"/>
    <w:rsid w:val="003B1800"/>
    <w:rsid w:val="003B1860"/>
    <w:rsid w:val="003B2189"/>
    <w:rsid w:val="003B4F39"/>
    <w:rsid w:val="003B62F0"/>
    <w:rsid w:val="003B6E04"/>
    <w:rsid w:val="003B6FDD"/>
    <w:rsid w:val="003B7C4F"/>
    <w:rsid w:val="003B7DAE"/>
    <w:rsid w:val="003B7EAC"/>
    <w:rsid w:val="003C0B51"/>
    <w:rsid w:val="003C1382"/>
    <w:rsid w:val="003C183A"/>
    <w:rsid w:val="003C18F2"/>
    <w:rsid w:val="003C19A0"/>
    <w:rsid w:val="003C279B"/>
    <w:rsid w:val="003C2B9F"/>
    <w:rsid w:val="003C5AD7"/>
    <w:rsid w:val="003C5F63"/>
    <w:rsid w:val="003C649C"/>
    <w:rsid w:val="003C699B"/>
    <w:rsid w:val="003C72AB"/>
    <w:rsid w:val="003D2EA7"/>
    <w:rsid w:val="003D379F"/>
    <w:rsid w:val="003D406E"/>
    <w:rsid w:val="003D67C4"/>
    <w:rsid w:val="003D68BE"/>
    <w:rsid w:val="003D74D2"/>
    <w:rsid w:val="003E077B"/>
    <w:rsid w:val="003E15E3"/>
    <w:rsid w:val="003E21AD"/>
    <w:rsid w:val="003E27F8"/>
    <w:rsid w:val="003E2C8B"/>
    <w:rsid w:val="003E41DD"/>
    <w:rsid w:val="003E4611"/>
    <w:rsid w:val="003E730E"/>
    <w:rsid w:val="003E7CCE"/>
    <w:rsid w:val="003F006B"/>
    <w:rsid w:val="003F07AF"/>
    <w:rsid w:val="003F1066"/>
    <w:rsid w:val="003F1C94"/>
    <w:rsid w:val="003F283A"/>
    <w:rsid w:val="003F2F05"/>
    <w:rsid w:val="003F3E48"/>
    <w:rsid w:val="003F4758"/>
    <w:rsid w:val="003F4F4D"/>
    <w:rsid w:val="003F68C1"/>
    <w:rsid w:val="003F6D11"/>
    <w:rsid w:val="003F7767"/>
    <w:rsid w:val="003F7CA6"/>
    <w:rsid w:val="00401F43"/>
    <w:rsid w:val="004028FA"/>
    <w:rsid w:val="004031C4"/>
    <w:rsid w:val="004033F8"/>
    <w:rsid w:val="004036B9"/>
    <w:rsid w:val="00406692"/>
    <w:rsid w:val="004073D2"/>
    <w:rsid w:val="00411293"/>
    <w:rsid w:val="0041263C"/>
    <w:rsid w:val="00412C7D"/>
    <w:rsid w:val="0041381B"/>
    <w:rsid w:val="004150A6"/>
    <w:rsid w:val="00415251"/>
    <w:rsid w:val="00417F02"/>
    <w:rsid w:val="0042020F"/>
    <w:rsid w:val="00420EFD"/>
    <w:rsid w:val="0042142D"/>
    <w:rsid w:val="00421929"/>
    <w:rsid w:val="00422607"/>
    <w:rsid w:val="004229DB"/>
    <w:rsid w:val="00424670"/>
    <w:rsid w:val="004249D9"/>
    <w:rsid w:val="004250D9"/>
    <w:rsid w:val="00425258"/>
    <w:rsid w:val="0042530C"/>
    <w:rsid w:val="00426025"/>
    <w:rsid w:val="0042627E"/>
    <w:rsid w:val="00426533"/>
    <w:rsid w:val="00432600"/>
    <w:rsid w:val="00432A4A"/>
    <w:rsid w:val="00432A84"/>
    <w:rsid w:val="00432DF1"/>
    <w:rsid w:val="004335A2"/>
    <w:rsid w:val="00434715"/>
    <w:rsid w:val="004365D3"/>
    <w:rsid w:val="004378BA"/>
    <w:rsid w:val="00440F0A"/>
    <w:rsid w:val="0044222D"/>
    <w:rsid w:val="00442DDE"/>
    <w:rsid w:val="004440B1"/>
    <w:rsid w:val="00444399"/>
    <w:rsid w:val="0044452E"/>
    <w:rsid w:val="00444766"/>
    <w:rsid w:val="0044543B"/>
    <w:rsid w:val="00445C2A"/>
    <w:rsid w:val="004465BF"/>
    <w:rsid w:val="004475C6"/>
    <w:rsid w:val="004476D2"/>
    <w:rsid w:val="00450097"/>
    <w:rsid w:val="004502E6"/>
    <w:rsid w:val="00450F96"/>
    <w:rsid w:val="004513A7"/>
    <w:rsid w:val="00455E24"/>
    <w:rsid w:val="00456045"/>
    <w:rsid w:val="00456C6C"/>
    <w:rsid w:val="004579C8"/>
    <w:rsid w:val="00457DD6"/>
    <w:rsid w:val="00460261"/>
    <w:rsid w:val="00460352"/>
    <w:rsid w:val="00462CF9"/>
    <w:rsid w:val="004634AB"/>
    <w:rsid w:val="0046356B"/>
    <w:rsid w:val="00470C62"/>
    <w:rsid w:val="004721B1"/>
    <w:rsid w:val="00474A73"/>
    <w:rsid w:val="00474B89"/>
    <w:rsid w:val="00475376"/>
    <w:rsid w:val="00476FF8"/>
    <w:rsid w:val="004771E4"/>
    <w:rsid w:val="00477775"/>
    <w:rsid w:val="00477FE9"/>
    <w:rsid w:val="004812C9"/>
    <w:rsid w:val="00481323"/>
    <w:rsid w:val="0048209F"/>
    <w:rsid w:val="00482851"/>
    <w:rsid w:val="00482E8A"/>
    <w:rsid w:val="00483A49"/>
    <w:rsid w:val="00484BE7"/>
    <w:rsid w:val="004850D9"/>
    <w:rsid w:val="00490454"/>
    <w:rsid w:val="004911BA"/>
    <w:rsid w:val="004919D0"/>
    <w:rsid w:val="00494079"/>
    <w:rsid w:val="00494B26"/>
    <w:rsid w:val="00494F11"/>
    <w:rsid w:val="00496DA2"/>
    <w:rsid w:val="0049758B"/>
    <w:rsid w:val="004A03BD"/>
    <w:rsid w:val="004A053B"/>
    <w:rsid w:val="004A1145"/>
    <w:rsid w:val="004A16C0"/>
    <w:rsid w:val="004A2C9B"/>
    <w:rsid w:val="004A5596"/>
    <w:rsid w:val="004A74FC"/>
    <w:rsid w:val="004A7534"/>
    <w:rsid w:val="004A7AB5"/>
    <w:rsid w:val="004A7DB4"/>
    <w:rsid w:val="004B0477"/>
    <w:rsid w:val="004B22C4"/>
    <w:rsid w:val="004B29FD"/>
    <w:rsid w:val="004B2B9C"/>
    <w:rsid w:val="004B3354"/>
    <w:rsid w:val="004B4348"/>
    <w:rsid w:val="004B47B6"/>
    <w:rsid w:val="004B4E3A"/>
    <w:rsid w:val="004B61AB"/>
    <w:rsid w:val="004B7D7E"/>
    <w:rsid w:val="004C1F43"/>
    <w:rsid w:val="004C2243"/>
    <w:rsid w:val="004C2DEA"/>
    <w:rsid w:val="004C3287"/>
    <w:rsid w:val="004C6832"/>
    <w:rsid w:val="004C6D64"/>
    <w:rsid w:val="004C7474"/>
    <w:rsid w:val="004C7E83"/>
    <w:rsid w:val="004D18A5"/>
    <w:rsid w:val="004D1B9A"/>
    <w:rsid w:val="004D1F9D"/>
    <w:rsid w:val="004D20A8"/>
    <w:rsid w:val="004D26B8"/>
    <w:rsid w:val="004D28AF"/>
    <w:rsid w:val="004D2FF6"/>
    <w:rsid w:val="004D4ADF"/>
    <w:rsid w:val="004D4CC8"/>
    <w:rsid w:val="004D66FD"/>
    <w:rsid w:val="004D6E11"/>
    <w:rsid w:val="004D7CF2"/>
    <w:rsid w:val="004E043B"/>
    <w:rsid w:val="004E146D"/>
    <w:rsid w:val="004E343D"/>
    <w:rsid w:val="004F019C"/>
    <w:rsid w:val="004F025C"/>
    <w:rsid w:val="004F121A"/>
    <w:rsid w:val="004F1604"/>
    <w:rsid w:val="004F1733"/>
    <w:rsid w:val="004F27E4"/>
    <w:rsid w:val="004F31DE"/>
    <w:rsid w:val="004F3723"/>
    <w:rsid w:val="004F45DF"/>
    <w:rsid w:val="004F4BBA"/>
    <w:rsid w:val="004F53A3"/>
    <w:rsid w:val="004F5703"/>
    <w:rsid w:val="004F57A8"/>
    <w:rsid w:val="004F5BC4"/>
    <w:rsid w:val="004F7A2E"/>
    <w:rsid w:val="004F7A92"/>
    <w:rsid w:val="005000DE"/>
    <w:rsid w:val="005008FB"/>
    <w:rsid w:val="00500AB0"/>
    <w:rsid w:val="0050114C"/>
    <w:rsid w:val="00501AF9"/>
    <w:rsid w:val="005020EA"/>
    <w:rsid w:val="00503903"/>
    <w:rsid w:val="00503B8E"/>
    <w:rsid w:val="00503D8E"/>
    <w:rsid w:val="0050548D"/>
    <w:rsid w:val="00505EAC"/>
    <w:rsid w:val="005066A6"/>
    <w:rsid w:val="005067E8"/>
    <w:rsid w:val="00507885"/>
    <w:rsid w:val="00510269"/>
    <w:rsid w:val="0051048C"/>
    <w:rsid w:val="00510F5E"/>
    <w:rsid w:val="005111D6"/>
    <w:rsid w:val="0051212A"/>
    <w:rsid w:val="005123DD"/>
    <w:rsid w:val="00512ECE"/>
    <w:rsid w:val="005134AC"/>
    <w:rsid w:val="00513712"/>
    <w:rsid w:val="0051507F"/>
    <w:rsid w:val="00515C59"/>
    <w:rsid w:val="00516476"/>
    <w:rsid w:val="0051739E"/>
    <w:rsid w:val="00520160"/>
    <w:rsid w:val="0052050E"/>
    <w:rsid w:val="00520EFA"/>
    <w:rsid w:val="00522925"/>
    <w:rsid w:val="0052303F"/>
    <w:rsid w:val="00524EF1"/>
    <w:rsid w:val="00525023"/>
    <w:rsid w:val="00526BF7"/>
    <w:rsid w:val="00526FF0"/>
    <w:rsid w:val="005272AA"/>
    <w:rsid w:val="00527573"/>
    <w:rsid w:val="005306B4"/>
    <w:rsid w:val="00530BDC"/>
    <w:rsid w:val="00531406"/>
    <w:rsid w:val="005320B9"/>
    <w:rsid w:val="00534102"/>
    <w:rsid w:val="00534404"/>
    <w:rsid w:val="0053461D"/>
    <w:rsid w:val="005348A0"/>
    <w:rsid w:val="00534DE5"/>
    <w:rsid w:val="00535049"/>
    <w:rsid w:val="005362E4"/>
    <w:rsid w:val="005369F7"/>
    <w:rsid w:val="00536B24"/>
    <w:rsid w:val="00536C2E"/>
    <w:rsid w:val="005378F6"/>
    <w:rsid w:val="005401BF"/>
    <w:rsid w:val="0054092D"/>
    <w:rsid w:val="00540DAE"/>
    <w:rsid w:val="0054265D"/>
    <w:rsid w:val="0054273A"/>
    <w:rsid w:val="00542A01"/>
    <w:rsid w:val="0054468D"/>
    <w:rsid w:val="00545173"/>
    <w:rsid w:val="005453BA"/>
    <w:rsid w:val="00545A23"/>
    <w:rsid w:val="005460F4"/>
    <w:rsid w:val="005470A0"/>
    <w:rsid w:val="00547AE3"/>
    <w:rsid w:val="00550458"/>
    <w:rsid w:val="00550CEE"/>
    <w:rsid w:val="00550CF8"/>
    <w:rsid w:val="00551EAC"/>
    <w:rsid w:val="005522E8"/>
    <w:rsid w:val="005534EC"/>
    <w:rsid w:val="00554044"/>
    <w:rsid w:val="00557E45"/>
    <w:rsid w:val="00560423"/>
    <w:rsid w:val="00560F13"/>
    <w:rsid w:val="00560F21"/>
    <w:rsid w:val="00561605"/>
    <w:rsid w:val="00562077"/>
    <w:rsid w:val="00562363"/>
    <w:rsid w:val="005628FD"/>
    <w:rsid w:val="00563A92"/>
    <w:rsid w:val="00563CA4"/>
    <w:rsid w:val="00564A17"/>
    <w:rsid w:val="0056560F"/>
    <w:rsid w:val="00565C27"/>
    <w:rsid w:val="00565E46"/>
    <w:rsid w:val="00566E91"/>
    <w:rsid w:val="00566F8F"/>
    <w:rsid w:val="0056747F"/>
    <w:rsid w:val="00571ABA"/>
    <w:rsid w:val="005729BF"/>
    <w:rsid w:val="00574921"/>
    <w:rsid w:val="00574D11"/>
    <w:rsid w:val="00574E00"/>
    <w:rsid w:val="005771D3"/>
    <w:rsid w:val="00577613"/>
    <w:rsid w:val="00580393"/>
    <w:rsid w:val="0058097B"/>
    <w:rsid w:val="00580BD4"/>
    <w:rsid w:val="0058309C"/>
    <w:rsid w:val="00583A86"/>
    <w:rsid w:val="00583AFC"/>
    <w:rsid w:val="00583EC5"/>
    <w:rsid w:val="00585333"/>
    <w:rsid w:val="005874CF"/>
    <w:rsid w:val="0059005D"/>
    <w:rsid w:val="00590D85"/>
    <w:rsid w:val="00591294"/>
    <w:rsid w:val="00591DB1"/>
    <w:rsid w:val="005927F7"/>
    <w:rsid w:val="005932C4"/>
    <w:rsid w:val="005938E8"/>
    <w:rsid w:val="00593ABA"/>
    <w:rsid w:val="00593E76"/>
    <w:rsid w:val="005941A3"/>
    <w:rsid w:val="00595255"/>
    <w:rsid w:val="005953AC"/>
    <w:rsid w:val="00596E83"/>
    <w:rsid w:val="005A056A"/>
    <w:rsid w:val="005A182C"/>
    <w:rsid w:val="005A227A"/>
    <w:rsid w:val="005A2A99"/>
    <w:rsid w:val="005A3B43"/>
    <w:rsid w:val="005A3C99"/>
    <w:rsid w:val="005A42C0"/>
    <w:rsid w:val="005A4A35"/>
    <w:rsid w:val="005A5882"/>
    <w:rsid w:val="005A6192"/>
    <w:rsid w:val="005A637F"/>
    <w:rsid w:val="005A67D8"/>
    <w:rsid w:val="005A6D09"/>
    <w:rsid w:val="005A7C61"/>
    <w:rsid w:val="005A7F70"/>
    <w:rsid w:val="005B0A65"/>
    <w:rsid w:val="005B0E40"/>
    <w:rsid w:val="005B1319"/>
    <w:rsid w:val="005B21F0"/>
    <w:rsid w:val="005B36B0"/>
    <w:rsid w:val="005B4F61"/>
    <w:rsid w:val="005B60FB"/>
    <w:rsid w:val="005B6666"/>
    <w:rsid w:val="005B6C8E"/>
    <w:rsid w:val="005B7B75"/>
    <w:rsid w:val="005C192F"/>
    <w:rsid w:val="005C28F6"/>
    <w:rsid w:val="005C3371"/>
    <w:rsid w:val="005C378B"/>
    <w:rsid w:val="005C4B8C"/>
    <w:rsid w:val="005C50FE"/>
    <w:rsid w:val="005C7277"/>
    <w:rsid w:val="005D08AE"/>
    <w:rsid w:val="005D35C2"/>
    <w:rsid w:val="005D3992"/>
    <w:rsid w:val="005D57F0"/>
    <w:rsid w:val="005D5B09"/>
    <w:rsid w:val="005D7207"/>
    <w:rsid w:val="005D722C"/>
    <w:rsid w:val="005D7FAE"/>
    <w:rsid w:val="005E0142"/>
    <w:rsid w:val="005E0AE9"/>
    <w:rsid w:val="005E1A97"/>
    <w:rsid w:val="005E22B5"/>
    <w:rsid w:val="005E2CE7"/>
    <w:rsid w:val="005E340F"/>
    <w:rsid w:val="005E3649"/>
    <w:rsid w:val="005E3CB7"/>
    <w:rsid w:val="005E3D7C"/>
    <w:rsid w:val="005E48C2"/>
    <w:rsid w:val="005E62AB"/>
    <w:rsid w:val="005E6503"/>
    <w:rsid w:val="005E6856"/>
    <w:rsid w:val="005E6A2E"/>
    <w:rsid w:val="005E74FF"/>
    <w:rsid w:val="005E7AA3"/>
    <w:rsid w:val="005F0A9F"/>
    <w:rsid w:val="005F0D5F"/>
    <w:rsid w:val="005F23D0"/>
    <w:rsid w:val="005F2C61"/>
    <w:rsid w:val="005F2D8D"/>
    <w:rsid w:val="005F4F93"/>
    <w:rsid w:val="005F52BF"/>
    <w:rsid w:val="005F5838"/>
    <w:rsid w:val="005F5844"/>
    <w:rsid w:val="005F6891"/>
    <w:rsid w:val="00600251"/>
    <w:rsid w:val="00600FFE"/>
    <w:rsid w:val="0060137B"/>
    <w:rsid w:val="00601611"/>
    <w:rsid w:val="00601A38"/>
    <w:rsid w:val="00601EAA"/>
    <w:rsid w:val="00601F78"/>
    <w:rsid w:val="00602B1C"/>
    <w:rsid w:val="00602BB2"/>
    <w:rsid w:val="00602D51"/>
    <w:rsid w:val="0060362D"/>
    <w:rsid w:val="006037FB"/>
    <w:rsid w:val="00603E9E"/>
    <w:rsid w:val="00604640"/>
    <w:rsid w:val="00604B9B"/>
    <w:rsid w:val="00605F61"/>
    <w:rsid w:val="00607767"/>
    <w:rsid w:val="00607B53"/>
    <w:rsid w:val="00607BBE"/>
    <w:rsid w:val="006107E3"/>
    <w:rsid w:val="0061107D"/>
    <w:rsid w:val="006119EB"/>
    <w:rsid w:val="00612CB4"/>
    <w:rsid w:val="0061311C"/>
    <w:rsid w:val="00613999"/>
    <w:rsid w:val="0061417B"/>
    <w:rsid w:val="00614296"/>
    <w:rsid w:val="006158D7"/>
    <w:rsid w:val="0061673F"/>
    <w:rsid w:val="0061692C"/>
    <w:rsid w:val="00616DB4"/>
    <w:rsid w:val="00617472"/>
    <w:rsid w:val="006175B7"/>
    <w:rsid w:val="00622C3D"/>
    <w:rsid w:val="00624216"/>
    <w:rsid w:val="006256A3"/>
    <w:rsid w:val="0062720C"/>
    <w:rsid w:val="0062795C"/>
    <w:rsid w:val="006301E4"/>
    <w:rsid w:val="00630E9E"/>
    <w:rsid w:val="00631369"/>
    <w:rsid w:val="006317C6"/>
    <w:rsid w:val="00633BDF"/>
    <w:rsid w:val="00633CF5"/>
    <w:rsid w:val="00633E2B"/>
    <w:rsid w:val="0063450D"/>
    <w:rsid w:val="0063603A"/>
    <w:rsid w:val="006367B9"/>
    <w:rsid w:val="00636AE2"/>
    <w:rsid w:val="006371A9"/>
    <w:rsid w:val="00637D07"/>
    <w:rsid w:val="006411F4"/>
    <w:rsid w:val="0064130B"/>
    <w:rsid w:val="00641A74"/>
    <w:rsid w:val="00641B44"/>
    <w:rsid w:val="00641BCA"/>
    <w:rsid w:val="006437AB"/>
    <w:rsid w:val="0064401E"/>
    <w:rsid w:val="00647C94"/>
    <w:rsid w:val="00650205"/>
    <w:rsid w:val="00651A73"/>
    <w:rsid w:val="00651B59"/>
    <w:rsid w:val="00651F65"/>
    <w:rsid w:val="00652572"/>
    <w:rsid w:val="006544BE"/>
    <w:rsid w:val="0065502E"/>
    <w:rsid w:val="006579EF"/>
    <w:rsid w:val="00660180"/>
    <w:rsid w:val="0066162F"/>
    <w:rsid w:val="00661C12"/>
    <w:rsid w:val="006632D4"/>
    <w:rsid w:val="00663502"/>
    <w:rsid w:val="0066528C"/>
    <w:rsid w:val="00666044"/>
    <w:rsid w:val="00667308"/>
    <w:rsid w:val="0066779B"/>
    <w:rsid w:val="00667926"/>
    <w:rsid w:val="00667A25"/>
    <w:rsid w:val="00667B5B"/>
    <w:rsid w:val="00671417"/>
    <w:rsid w:val="006715FF"/>
    <w:rsid w:val="00671C82"/>
    <w:rsid w:val="006726C3"/>
    <w:rsid w:val="00673DFA"/>
    <w:rsid w:val="00674B17"/>
    <w:rsid w:val="00674DC2"/>
    <w:rsid w:val="00676CC7"/>
    <w:rsid w:val="00680156"/>
    <w:rsid w:val="00680505"/>
    <w:rsid w:val="00680A4F"/>
    <w:rsid w:val="0068146F"/>
    <w:rsid w:val="00681AE5"/>
    <w:rsid w:val="0068257E"/>
    <w:rsid w:val="006832BC"/>
    <w:rsid w:val="00683F92"/>
    <w:rsid w:val="00686893"/>
    <w:rsid w:val="00686F67"/>
    <w:rsid w:val="00687879"/>
    <w:rsid w:val="00691E30"/>
    <w:rsid w:val="0069262D"/>
    <w:rsid w:val="006927AA"/>
    <w:rsid w:val="00694684"/>
    <w:rsid w:val="00694CD4"/>
    <w:rsid w:val="00694EB8"/>
    <w:rsid w:val="00695686"/>
    <w:rsid w:val="00696699"/>
    <w:rsid w:val="006968D7"/>
    <w:rsid w:val="00696A88"/>
    <w:rsid w:val="006977BB"/>
    <w:rsid w:val="006A0BB1"/>
    <w:rsid w:val="006A0C8D"/>
    <w:rsid w:val="006A141C"/>
    <w:rsid w:val="006A2F6E"/>
    <w:rsid w:val="006A368E"/>
    <w:rsid w:val="006A37CA"/>
    <w:rsid w:val="006A4287"/>
    <w:rsid w:val="006A63A4"/>
    <w:rsid w:val="006A6627"/>
    <w:rsid w:val="006A6712"/>
    <w:rsid w:val="006A6FF5"/>
    <w:rsid w:val="006A7EFA"/>
    <w:rsid w:val="006A7FE8"/>
    <w:rsid w:val="006B0C08"/>
    <w:rsid w:val="006B0EB0"/>
    <w:rsid w:val="006B13D5"/>
    <w:rsid w:val="006B1A64"/>
    <w:rsid w:val="006B2CCF"/>
    <w:rsid w:val="006B38BB"/>
    <w:rsid w:val="006B3A8E"/>
    <w:rsid w:val="006B4C02"/>
    <w:rsid w:val="006B643F"/>
    <w:rsid w:val="006B649E"/>
    <w:rsid w:val="006B7D02"/>
    <w:rsid w:val="006C33E7"/>
    <w:rsid w:val="006C5FE2"/>
    <w:rsid w:val="006C66AC"/>
    <w:rsid w:val="006C7016"/>
    <w:rsid w:val="006C7B06"/>
    <w:rsid w:val="006D0487"/>
    <w:rsid w:val="006D1EF7"/>
    <w:rsid w:val="006D22E6"/>
    <w:rsid w:val="006D2B08"/>
    <w:rsid w:val="006D2F08"/>
    <w:rsid w:val="006D34DA"/>
    <w:rsid w:val="006D40B7"/>
    <w:rsid w:val="006D4812"/>
    <w:rsid w:val="006D53B5"/>
    <w:rsid w:val="006D5AF6"/>
    <w:rsid w:val="006D6904"/>
    <w:rsid w:val="006D6CBD"/>
    <w:rsid w:val="006E0B0B"/>
    <w:rsid w:val="006E0FE2"/>
    <w:rsid w:val="006E1744"/>
    <w:rsid w:val="006E48D4"/>
    <w:rsid w:val="006E6EE9"/>
    <w:rsid w:val="006E771E"/>
    <w:rsid w:val="006F0648"/>
    <w:rsid w:val="006F09D0"/>
    <w:rsid w:val="006F13FC"/>
    <w:rsid w:val="006F31C7"/>
    <w:rsid w:val="006F3DB2"/>
    <w:rsid w:val="006F3E48"/>
    <w:rsid w:val="006F42AA"/>
    <w:rsid w:val="006F4ECB"/>
    <w:rsid w:val="006F6202"/>
    <w:rsid w:val="006F6BE6"/>
    <w:rsid w:val="006F6EA7"/>
    <w:rsid w:val="006F7913"/>
    <w:rsid w:val="0070037E"/>
    <w:rsid w:val="0070039F"/>
    <w:rsid w:val="0070185F"/>
    <w:rsid w:val="007026C6"/>
    <w:rsid w:val="0070290A"/>
    <w:rsid w:val="00703F69"/>
    <w:rsid w:val="00704E0C"/>
    <w:rsid w:val="0070556B"/>
    <w:rsid w:val="00705ACC"/>
    <w:rsid w:val="007067B7"/>
    <w:rsid w:val="0070692A"/>
    <w:rsid w:val="00707124"/>
    <w:rsid w:val="00707F69"/>
    <w:rsid w:val="007105A6"/>
    <w:rsid w:val="00713330"/>
    <w:rsid w:val="007137B4"/>
    <w:rsid w:val="00713E29"/>
    <w:rsid w:val="00715D6E"/>
    <w:rsid w:val="00716F87"/>
    <w:rsid w:val="00722E7A"/>
    <w:rsid w:val="00723586"/>
    <w:rsid w:val="007237B5"/>
    <w:rsid w:val="00724312"/>
    <w:rsid w:val="00724864"/>
    <w:rsid w:val="00724A32"/>
    <w:rsid w:val="00725249"/>
    <w:rsid w:val="00725289"/>
    <w:rsid w:val="007256E6"/>
    <w:rsid w:val="00725A05"/>
    <w:rsid w:val="00726846"/>
    <w:rsid w:val="00726CC3"/>
    <w:rsid w:val="00727B76"/>
    <w:rsid w:val="007312C1"/>
    <w:rsid w:val="00732AA3"/>
    <w:rsid w:val="00732CC2"/>
    <w:rsid w:val="00732D88"/>
    <w:rsid w:val="00733956"/>
    <w:rsid w:val="00734179"/>
    <w:rsid w:val="007351C1"/>
    <w:rsid w:val="007362AF"/>
    <w:rsid w:val="0073793F"/>
    <w:rsid w:val="00741E0B"/>
    <w:rsid w:val="007426DE"/>
    <w:rsid w:val="00742975"/>
    <w:rsid w:val="00744B96"/>
    <w:rsid w:val="00744EC4"/>
    <w:rsid w:val="00745F36"/>
    <w:rsid w:val="00746031"/>
    <w:rsid w:val="00746656"/>
    <w:rsid w:val="007473EA"/>
    <w:rsid w:val="007474E0"/>
    <w:rsid w:val="00747F2A"/>
    <w:rsid w:val="0075161D"/>
    <w:rsid w:val="0075180F"/>
    <w:rsid w:val="0075256D"/>
    <w:rsid w:val="00752C12"/>
    <w:rsid w:val="007538C5"/>
    <w:rsid w:val="0075454D"/>
    <w:rsid w:val="007545AD"/>
    <w:rsid w:val="00755A53"/>
    <w:rsid w:val="00756BA2"/>
    <w:rsid w:val="0076041C"/>
    <w:rsid w:val="00761884"/>
    <w:rsid w:val="00763A26"/>
    <w:rsid w:val="00763F49"/>
    <w:rsid w:val="00764143"/>
    <w:rsid w:val="007641D7"/>
    <w:rsid w:val="00765855"/>
    <w:rsid w:val="007658C8"/>
    <w:rsid w:val="00765C1E"/>
    <w:rsid w:val="00765DA0"/>
    <w:rsid w:val="00766438"/>
    <w:rsid w:val="007664F6"/>
    <w:rsid w:val="0076758A"/>
    <w:rsid w:val="00771980"/>
    <w:rsid w:val="007723B8"/>
    <w:rsid w:val="0077337C"/>
    <w:rsid w:val="00773688"/>
    <w:rsid w:val="00774636"/>
    <w:rsid w:val="007762A5"/>
    <w:rsid w:val="00777F08"/>
    <w:rsid w:val="00782766"/>
    <w:rsid w:val="00784F5B"/>
    <w:rsid w:val="00785A42"/>
    <w:rsid w:val="00786107"/>
    <w:rsid w:val="00787514"/>
    <w:rsid w:val="00787554"/>
    <w:rsid w:val="00787C5E"/>
    <w:rsid w:val="00790FC8"/>
    <w:rsid w:val="0079176E"/>
    <w:rsid w:val="00791F03"/>
    <w:rsid w:val="00792B9A"/>
    <w:rsid w:val="00793B33"/>
    <w:rsid w:val="00796AC5"/>
    <w:rsid w:val="00797362"/>
    <w:rsid w:val="00797630"/>
    <w:rsid w:val="00797C5D"/>
    <w:rsid w:val="007A05CD"/>
    <w:rsid w:val="007A1913"/>
    <w:rsid w:val="007A1ADC"/>
    <w:rsid w:val="007A2834"/>
    <w:rsid w:val="007A2B8C"/>
    <w:rsid w:val="007A34F2"/>
    <w:rsid w:val="007A4EA0"/>
    <w:rsid w:val="007A576D"/>
    <w:rsid w:val="007A595F"/>
    <w:rsid w:val="007A6770"/>
    <w:rsid w:val="007A7070"/>
    <w:rsid w:val="007A7839"/>
    <w:rsid w:val="007B0258"/>
    <w:rsid w:val="007B148D"/>
    <w:rsid w:val="007B153B"/>
    <w:rsid w:val="007B1F62"/>
    <w:rsid w:val="007B5D98"/>
    <w:rsid w:val="007B65E4"/>
    <w:rsid w:val="007B68C0"/>
    <w:rsid w:val="007B6910"/>
    <w:rsid w:val="007C1E89"/>
    <w:rsid w:val="007C1EB4"/>
    <w:rsid w:val="007C304A"/>
    <w:rsid w:val="007C45B9"/>
    <w:rsid w:val="007C4A86"/>
    <w:rsid w:val="007C5855"/>
    <w:rsid w:val="007C5DD5"/>
    <w:rsid w:val="007C6B16"/>
    <w:rsid w:val="007C785A"/>
    <w:rsid w:val="007C7F18"/>
    <w:rsid w:val="007D2D78"/>
    <w:rsid w:val="007D3417"/>
    <w:rsid w:val="007D4A4C"/>
    <w:rsid w:val="007D4E0F"/>
    <w:rsid w:val="007D572D"/>
    <w:rsid w:val="007D5803"/>
    <w:rsid w:val="007D5C91"/>
    <w:rsid w:val="007D6221"/>
    <w:rsid w:val="007D6B21"/>
    <w:rsid w:val="007D76A5"/>
    <w:rsid w:val="007D774B"/>
    <w:rsid w:val="007D7E61"/>
    <w:rsid w:val="007E0E75"/>
    <w:rsid w:val="007E1E8D"/>
    <w:rsid w:val="007E1F7F"/>
    <w:rsid w:val="007E45C6"/>
    <w:rsid w:val="007E70DA"/>
    <w:rsid w:val="007F0FEA"/>
    <w:rsid w:val="007F1937"/>
    <w:rsid w:val="007F1F07"/>
    <w:rsid w:val="007F376D"/>
    <w:rsid w:val="007F4413"/>
    <w:rsid w:val="007F5672"/>
    <w:rsid w:val="007F5A86"/>
    <w:rsid w:val="007F5B65"/>
    <w:rsid w:val="007F6A7D"/>
    <w:rsid w:val="007F7EAF"/>
    <w:rsid w:val="00802C3D"/>
    <w:rsid w:val="00806A41"/>
    <w:rsid w:val="00807861"/>
    <w:rsid w:val="00814BB6"/>
    <w:rsid w:val="0081602B"/>
    <w:rsid w:val="00816086"/>
    <w:rsid w:val="0082044F"/>
    <w:rsid w:val="00820C91"/>
    <w:rsid w:val="008217E9"/>
    <w:rsid w:val="00821A74"/>
    <w:rsid w:val="00821C11"/>
    <w:rsid w:val="00821F4B"/>
    <w:rsid w:val="00822251"/>
    <w:rsid w:val="00822B7B"/>
    <w:rsid w:val="00822D19"/>
    <w:rsid w:val="00823B50"/>
    <w:rsid w:val="00823CAE"/>
    <w:rsid w:val="00824178"/>
    <w:rsid w:val="00824326"/>
    <w:rsid w:val="00825765"/>
    <w:rsid w:val="008274F3"/>
    <w:rsid w:val="00831935"/>
    <w:rsid w:val="008320F5"/>
    <w:rsid w:val="00832312"/>
    <w:rsid w:val="00832F84"/>
    <w:rsid w:val="00833443"/>
    <w:rsid w:val="008334DA"/>
    <w:rsid w:val="00833637"/>
    <w:rsid w:val="00833911"/>
    <w:rsid w:val="00834EC2"/>
    <w:rsid w:val="0083590E"/>
    <w:rsid w:val="00836051"/>
    <w:rsid w:val="00836178"/>
    <w:rsid w:val="00836449"/>
    <w:rsid w:val="00836984"/>
    <w:rsid w:val="0083777A"/>
    <w:rsid w:val="00841A88"/>
    <w:rsid w:val="0084206C"/>
    <w:rsid w:val="008436A0"/>
    <w:rsid w:val="00843776"/>
    <w:rsid w:val="00843B61"/>
    <w:rsid w:val="00843E2E"/>
    <w:rsid w:val="00844137"/>
    <w:rsid w:val="00844B1C"/>
    <w:rsid w:val="008450FD"/>
    <w:rsid w:val="008452AA"/>
    <w:rsid w:val="008456A4"/>
    <w:rsid w:val="00846154"/>
    <w:rsid w:val="00847167"/>
    <w:rsid w:val="0084719B"/>
    <w:rsid w:val="0085029B"/>
    <w:rsid w:val="0085185D"/>
    <w:rsid w:val="00852D51"/>
    <w:rsid w:val="00853FAE"/>
    <w:rsid w:val="008557FE"/>
    <w:rsid w:val="008566D6"/>
    <w:rsid w:val="00857601"/>
    <w:rsid w:val="00860339"/>
    <w:rsid w:val="00861645"/>
    <w:rsid w:val="0086178B"/>
    <w:rsid w:val="008619A0"/>
    <w:rsid w:val="00861A4A"/>
    <w:rsid w:val="00861DF1"/>
    <w:rsid w:val="00863D7F"/>
    <w:rsid w:val="00864F17"/>
    <w:rsid w:val="00866061"/>
    <w:rsid w:val="00866AA0"/>
    <w:rsid w:val="00866FE7"/>
    <w:rsid w:val="008670F7"/>
    <w:rsid w:val="008678BE"/>
    <w:rsid w:val="00871529"/>
    <w:rsid w:val="00872A62"/>
    <w:rsid w:val="008743FD"/>
    <w:rsid w:val="008760DA"/>
    <w:rsid w:val="008763DE"/>
    <w:rsid w:val="008767C5"/>
    <w:rsid w:val="00882C1A"/>
    <w:rsid w:val="00883B2E"/>
    <w:rsid w:val="00883E0E"/>
    <w:rsid w:val="00885345"/>
    <w:rsid w:val="008854A1"/>
    <w:rsid w:val="00886616"/>
    <w:rsid w:val="0088663A"/>
    <w:rsid w:val="00887A1B"/>
    <w:rsid w:val="00890B33"/>
    <w:rsid w:val="00891B6F"/>
    <w:rsid w:val="00891BCF"/>
    <w:rsid w:val="00891BFE"/>
    <w:rsid w:val="00892E68"/>
    <w:rsid w:val="00893AA7"/>
    <w:rsid w:val="008942A2"/>
    <w:rsid w:val="008965D5"/>
    <w:rsid w:val="00897812"/>
    <w:rsid w:val="008A044A"/>
    <w:rsid w:val="008A0BAB"/>
    <w:rsid w:val="008A0C2F"/>
    <w:rsid w:val="008A203D"/>
    <w:rsid w:val="008A2B10"/>
    <w:rsid w:val="008A5291"/>
    <w:rsid w:val="008A5346"/>
    <w:rsid w:val="008A5992"/>
    <w:rsid w:val="008A59FC"/>
    <w:rsid w:val="008A5DE6"/>
    <w:rsid w:val="008A6376"/>
    <w:rsid w:val="008A6565"/>
    <w:rsid w:val="008B057F"/>
    <w:rsid w:val="008B0699"/>
    <w:rsid w:val="008B3102"/>
    <w:rsid w:val="008B51CA"/>
    <w:rsid w:val="008B522C"/>
    <w:rsid w:val="008B60FD"/>
    <w:rsid w:val="008B721F"/>
    <w:rsid w:val="008B7BCF"/>
    <w:rsid w:val="008C0AF9"/>
    <w:rsid w:val="008C1EF3"/>
    <w:rsid w:val="008C254C"/>
    <w:rsid w:val="008C2C39"/>
    <w:rsid w:val="008C320A"/>
    <w:rsid w:val="008C49B3"/>
    <w:rsid w:val="008C4B60"/>
    <w:rsid w:val="008C4C19"/>
    <w:rsid w:val="008C521C"/>
    <w:rsid w:val="008C67F5"/>
    <w:rsid w:val="008D0129"/>
    <w:rsid w:val="008D0522"/>
    <w:rsid w:val="008D098A"/>
    <w:rsid w:val="008D21DE"/>
    <w:rsid w:val="008D2E0D"/>
    <w:rsid w:val="008D39C1"/>
    <w:rsid w:val="008D3D76"/>
    <w:rsid w:val="008D4D26"/>
    <w:rsid w:val="008D5105"/>
    <w:rsid w:val="008D54BF"/>
    <w:rsid w:val="008D5DD5"/>
    <w:rsid w:val="008D610E"/>
    <w:rsid w:val="008D616B"/>
    <w:rsid w:val="008D6D3E"/>
    <w:rsid w:val="008E223B"/>
    <w:rsid w:val="008E2340"/>
    <w:rsid w:val="008E302F"/>
    <w:rsid w:val="008E3914"/>
    <w:rsid w:val="008E6D69"/>
    <w:rsid w:val="008E7A87"/>
    <w:rsid w:val="008F3023"/>
    <w:rsid w:val="008F3816"/>
    <w:rsid w:val="008F3839"/>
    <w:rsid w:val="008F3F3E"/>
    <w:rsid w:val="008F4B5D"/>
    <w:rsid w:val="008F57D6"/>
    <w:rsid w:val="008F5D22"/>
    <w:rsid w:val="008F72F6"/>
    <w:rsid w:val="00901138"/>
    <w:rsid w:val="009019ED"/>
    <w:rsid w:val="00901AA0"/>
    <w:rsid w:val="00903070"/>
    <w:rsid w:val="00903093"/>
    <w:rsid w:val="00903108"/>
    <w:rsid w:val="009041D1"/>
    <w:rsid w:val="0090445D"/>
    <w:rsid w:val="0090529A"/>
    <w:rsid w:val="00905354"/>
    <w:rsid w:val="00906266"/>
    <w:rsid w:val="00907026"/>
    <w:rsid w:val="00910707"/>
    <w:rsid w:val="00910C9B"/>
    <w:rsid w:val="0091176E"/>
    <w:rsid w:val="0091194B"/>
    <w:rsid w:val="00911D5E"/>
    <w:rsid w:val="00912579"/>
    <w:rsid w:val="00912C53"/>
    <w:rsid w:val="00912D26"/>
    <w:rsid w:val="009144B0"/>
    <w:rsid w:val="00914575"/>
    <w:rsid w:val="00914A4F"/>
    <w:rsid w:val="00914BE8"/>
    <w:rsid w:val="0091539D"/>
    <w:rsid w:val="00917836"/>
    <w:rsid w:val="009222B5"/>
    <w:rsid w:val="00924134"/>
    <w:rsid w:val="00924504"/>
    <w:rsid w:val="00925425"/>
    <w:rsid w:val="009257AE"/>
    <w:rsid w:val="009302DC"/>
    <w:rsid w:val="00931DF9"/>
    <w:rsid w:val="0093335F"/>
    <w:rsid w:val="009333C7"/>
    <w:rsid w:val="009338AD"/>
    <w:rsid w:val="009339EB"/>
    <w:rsid w:val="00934122"/>
    <w:rsid w:val="009345FD"/>
    <w:rsid w:val="00935291"/>
    <w:rsid w:val="0093566D"/>
    <w:rsid w:val="00935E2B"/>
    <w:rsid w:val="00935F14"/>
    <w:rsid w:val="00935F2C"/>
    <w:rsid w:val="0093668C"/>
    <w:rsid w:val="009376B2"/>
    <w:rsid w:val="009407CF"/>
    <w:rsid w:val="009409D9"/>
    <w:rsid w:val="00940E2B"/>
    <w:rsid w:val="00941B66"/>
    <w:rsid w:val="00943114"/>
    <w:rsid w:val="009438A4"/>
    <w:rsid w:val="00944433"/>
    <w:rsid w:val="00944C41"/>
    <w:rsid w:val="009454A2"/>
    <w:rsid w:val="009457A5"/>
    <w:rsid w:val="009457B3"/>
    <w:rsid w:val="0094586C"/>
    <w:rsid w:val="00945992"/>
    <w:rsid w:val="009513DE"/>
    <w:rsid w:val="0095232C"/>
    <w:rsid w:val="00952362"/>
    <w:rsid w:val="00952373"/>
    <w:rsid w:val="00952586"/>
    <w:rsid w:val="00952805"/>
    <w:rsid w:val="009532F0"/>
    <w:rsid w:val="00953C56"/>
    <w:rsid w:val="00954468"/>
    <w:rsid w:val="0095466D"/>
    <w:rsid w:val="00955118"/>
    <w:rsid w:val="0095644B"/>
    <w:rsid w:val="00956D31"/>
    <w:rsid w:val="00956DA7"/>
    <w:rsid w:val="00956F8E"/>
    <w:rsid w:val="009577EC"/>
    <w:rsid w:val="00957A24"/>
    <w:rsid w:val="00957FC0"/>
    <w:rsid w:val="00961F2C"/>
    <w:rsid w:val="00962884"/>
    <w:rsid w:val="00963474"/>
    <w:rsid w:val="00964302"/>
    <w:rsid w:val="009649C1"/>
    <w:rsid w:val="00964CD6"/>
    <w:rsid w:val="00966B84"/>
    <w:rsid w:val="00966C39"/>
    <w:rsid w:val="00966E22"/>
    <w:rsid w:val="009702E7"/>
    <w:rsid w:val="00970D27"/>
    <w:rsid w:val="00970DE9"/>
    <w:rsid w:val="00971B47"/>
    <w:rsid w:val="00974A18"/>
    <w:rsid w:val="00975ACB"/>
    <w:rsid w:val="00976EFE"/>
    <w:rsid w:val="0098018D"/>
    <w:rsid w:val="00980312"/>
    <w:rsid w:val="00981FDF"/>
    <w:rsid w:val="0098305B"/>
    <w:rsid w:val="00983D50"/>
    <w:rsid w:val="009847A6"/>
    <w:rsid w:val="00985934"/>
    <w:rsid w:val="00986C2F"/>
    <w:rsid w:val="009901DB"/>
    <w:rsid w:val="0099050E"/>
    <w:rsid w:val="009921CA"/>
    <w:rsid w:val="00992362"/>
    <w:rsid w:val="00992EFB"/>
    <w:rsid w:val="0099428F"/>
    <w:rsid w:val="00995737"/>
    <w:rsid w:val="00997879"/>
    <w:rsid w:val="00997EB6"/>
    <w:rsid w:val="009A0085"/>
    <w:rsid w:val="009A14D8"/>
    <w:rsid w:val="009A1610"/>
    <w:rsid w:val="009A3939"/>
    <w:rsid w:val="009A3AE9"/>
    <w:rsid w:val="009A47A2"/>
    <w:rsid w:val="009A506F"/>
    <w:rsid w:val="009A5E6C"/>
    <w:rsid w:val="009A60D8"/>
    <w:rsid w:val="009A64DF"/>
    <w:rsid w:val="009A687A"/>
    <w:rsid w:val="009A6DE1"/>
    <w:rsid w:val="009A6E35"/>
    <w:rsid w:val="009A776B"/>
    <w:rsid w:val="009B0919"/>
    <w:rsid w:val="009B16B1"/>
    <w:rsid w:val="009B17DE"/>
    <w:rsid w:val="009B3FEF"/>
    <w:rsid w:val="009B4212"/>
    <w:rsid w:val="009B4EDF"/>
    <w:rsid w:val="009B5412"/>
    <w:rsid w:val="009B67E3"/>
    <w:rsid w:val="009B6B0D"/>
    <w:rsid w:val="009B6E0A"/>
    <w:rsid w:val="009C055C"/>
    <w:rsid w:val="009C0CCD"/>
    <w:rsid w:val="009C173E"/>
    <w:rsid w:val="009C1F05"/>
    <w:rsid w:val="009C2169"/>
    <w:rsid w:val="009C4052"/>
    <w:rsid w:val="009C416D"/>
    <w:rsid w:val="009C51CB"/>
    <w:rsid w:val="009C7255"/>
    <w:rsid w:val="009C7474"/>
    <w:rsid w:val="009C7478"/>
    <w:rsid w:val="009C76C2"/>
    <w:rsid w:val="009D0677"/>
    <w:rsid w:val="009D07CC"/>
    <w:rsid w:val="009D2A18"/>
    <w:rsid w:val="009D32AB"/>
    <w:rsid w:val="009D3A07"/>
    <w:rsid w:val="009D3D61"/>
    <w:rsid w:val="009D46BA"/>
    <w:rsid w:val="009D79A9"/>
    <w:rsid w:val="009E0DF8"/>
    <w:rsid w:val="009E1DEA"/>
    <w:rsid w:val="009E2570"/>
    <w:rsid w:val="009E3149"/>
    <w:rsid w:val="009E4807"/>
    <w:rsid w:val="009E638A"/>
    <w:rsid w:val="009E7712"/>
    <w:rsid w:val="009F047E"/>
    <w:rsid w:val="009F12D4"/>
    <w:rsid w:val="009F21F5"/>
    <w:rsid w:val="009F3A52"/>
    <w:rsid w:val="009F599C"/>
    <w:rsid w:val="009F6896"/>
    <w:rsid w:val="009F71DD"/>
    <w:rsid w:val="009F7287"/>
    <w:rsid w:val="00A018AE"/>
    <w:rsid w:val="00A01D15"/>
    <w:rsid w:val="00A027C5"/>
    <w:rsid w:val="00A02B5C"/>
    <w:rsid w:val="00A053DC"/>
    <w:rsid w:val="00A06807"/>
    <w:rsid w:val="00A102CF"/>
    <w:rsid w:val="00A106EC"/>
    <w:rsid w:val="00A10C54"/>
    <w:rsid w:val="00A11EF0"/>
    <w:rsid w:val="00A1352E"/>
    <w:rsid w:val="00A13EA6"/>
    <w:rsid w:val="00A14AA5"/>
    <w:rsid w:val="00A151FC"/>
    <w:rsid w:val="00A1549D"/>
    <w:rsid w:val="00A157B1"/>
    <w:rsid w:val="00A172A6"/>
    <w:rsid w:val="00A2102E"/>
    <w:rsid w:val="00A242AD"/>
    <w:rsid w:val="00A24420"/>
    <w:rsid w:val="00A25B4E"/>
    <w:rsid w:val="00A25EB1"/>
    <w:rsid w:val="00A26014"/>
    <w:rsid w:val="00A260DB"/>
    <w:rsid w:val="00A26BA0"/>
    <w:rsid w:val="00A27565"/>
    <w:rsid w:val="00A30171"/>
    <w:rsid w:val="00A320B1"/>
    <w:rsid w:val="00A32D03"/>
    <w:rsid w:val="00A3481D"/>
    <w:rsid w:val="00A34965"/>
    <w:rsid w:val="00A34AFB"/>
    <w:rsid w:val="00A35767"/>
    <w:rsid w:val="00A3704D"/>
    <w:rsid w:val="00A40980"/>
    <w:rsid w:val="00A4102F"/>
    <w:rsid w:val="00A41BDD"/>
    <w:rsid w:val="00A433B9"/>
    <w:rsid w:val="00A43B0C"/>
    <w:rsid w:val="00A4442D"/>
    <w:rsid w:val="00A447B0"/>
    <w:rsid w:val="00A4788D"/>
    <w:rsid w:val="00A501A9"/>
    <w:rsid w:val="00A50822"/>
    <w:rsid w:val="00A50E91"/>
    <w:rsid w:val="00A51619"/>
    <w:rsid w:val="00A529F0"/>
    <w:rsid w:val="00A53261"/>
    <w:rsid w:val="00A53868"/>
    <w:rsid w:val="00A5423D"/>
    <w:rsid w:val="00A54C9B"/>
    <w:rsid w:val="00A56475"/>
    <w:rsid w:val="00A564F2"/>
    <w:rsid w:val="00A56BD3"/>
    <w:rsid w:val="00A62252"/>
    <w:rsid w:val="00A62670"/>
    <w:rsid w:val="00A63497"/>
    <w:rsid w:val="00A63732"/>
    <w:rsid w:val="00A6413A"/>
    <w:rsid w:val="00A64C26"/>
    <w:rsid w:val="00A66CC2"/>
    <w:rsid w:val="00A708ED"/>
    <w:rsid w:val="00A7092B"/>
    <w:rsid w:val="00A716F3"/>
    <w:rsid w:val="00A72A52"/>
    <w:rsid w:val="00A72E61"/>
    <w:rsid w:val="00A74295"/>
    <w:rsid w:val="00A74597"/>
    <w:rsid w:val="00A74877"/>
    <w:rsid w:val="00A74996"/>
    <w:rsid w:val="00A74B9E"/>
    <w:rsid w:val="00A77531"/>
    <w:rsid w:val="00A80064"/>
    <w:rsid w:val="00A8046E"/>
    <w:rsid w:val="00A806EB"/>
    <w:rsid w:val="00A80AA5"/>
    <w:rsid w:val="00A81012"/>
    <w:rsid w:val="00A81188"/>
    <w:rsid w:val="00A81CE8"/>
    <w:rsid w:val="00A83B3E"/>
    <w:rsid w:val="00A8477D"/>
    <w:rsid w:val="00A84A21"/>
    <w:rsid w:val="00A84ACC"/>
    <w:rsid w:val="00A855D3"/>
    <w:rsid w:val="00A85A1B"/>
    <w:rsid w:val="00A86696"/>
    <w:rsid w:val="00A86986"/>
    <w:rsid w:val="00A87818"/>
    <w:rsid w:val="00A906A4"/>
    <w:rsid w:val="00A90A88"/>
    <w:rsid w:val="00A90D51"/>
    <w:rsid w:val="00A9166D"/>
    <w:rsid w:val="00A918BA"/>
    <w:rsid w:val="00A92087"/>
    <w:rsid w:val="00A92B6D"/>
    <w:rsid w:val="00A93C8E"/>
    <w:rsid w:val="00A96060"/>
    <w:rsid w:val="00A96294"/>
    <w:rsid w:val="00AA0BB4"/>
    <w:rsid w:val="00AA127B"/>
    <w:rsid w:val="00AA199B"/>
    <w:rsid w:val="00AA7323"/>
    <w:rsid w:val="00AB1469"/>
    <w:rsid w:val="00AB2FEB"/>
    <w:rsid w:val="00AB33C9"/>
    <w:rsid w:val="00AB3923"/>
    <w:rsid w:val="00AB4389"/>
    <w:rsid w:val="00AB51DD"/>
    <w:rsid w:val="00AB524C"/>
    <w:rsid w:val="00AC276F"/>
    <w:rsid w:val="00AC428A"/>
    <w:rsid w:val="00AC4948"/>
    <w:rsid w:val="00AC4D52"/>
    <w:rsid w:val="00AC52E4"/>
    <w:rsid w:val="00AC5648"/>
    <w:rsid w:val="00AC7A45"/>
    <w:rsid w:val="00AD0183"/>
    <w:rsid w:val="00AD1F5F"/>
    <w:rsid w:val="00AD2299"/>
    <w:rsid w:val="00AD2EDC"/>
    <w:rsid w:val="00AD3E94"/>
    <w:rsid w:val="00AD5449"/>
    <w:rsid w:val="00AD5BB2"/>
    <w:rsid w:val="00AD6688"/>
    <w:rsid w:val="00AD72B3"/>
    <w:rsid w:val="00AD7AED"/>
    <w:rsid w:val="00AD7E6F"/>
    <w:rsid w:val="00AE03CB"/>
    <w:rsid w:val="00AE18A4"/>
    <w:rsid w:val="00AE3104"/>
    <w:rsid w:val="00AE322C"/>
    <w:rsid w:val="00AE46E6"/>
    <w:rsid w:val="00AE4D5D"/>
    <w:rsid w:val="00AE4FF0"/>
    <w:rsid w:val="00AE63B5"/>
    <w:rsid w:val="00AE75A1"/>
    <w:rsid w:val="00AE7779"/>
    <w:rsid w:val="00AF216D"/>
    <w:rsid w:val="00AF2F85"/>
    <w:rsid w:val="00AF39F5"/>
    <w:rsid w:val="00AF4733"/>
    <w:rsid w:val="00AF4E22"/>
    <w:rsid w:val="00AF4E91"/>
    <w:rsid w:val="00AF555B"/>
    <w:rsid w:val="00AF58AA"/>
    <w:rsid w:val="00AF670C"/>
    <w:rsid w:val="00B009FA"/>
    <w:rsid w:val="00B015F1"/>
    <w:rsid w:val="00B01709"/>
    <w:rsid w:val="00B01CFD"/>
    <w:rsid w:val="00B020C0"/>
    <w:rsid w:val="00B03401"/>
    <w:rsid w:val="00B0410B"/>
    <w:rsid w:val="00B05D0E"/>
    <w:rsid w:val="00B10393"/>
    <w:rsid w:val="00B11E68"/>
    <w:rsid w:val="00B12286"/>
    <w:rsid w:val="00B13236"/>
    <w:rsid w:val="00B1363C"/>
    <w:rsid w:val="00B14825"/>
    <w:rsid w:val="00B16B8F"/>
    <w:rsid w:val="00B17157"/>
    <w:rsid w:val="00B1782E"/>
    <w:rsid w:val="00B17EE6"/>
    <w:rsid w:val="00B216D0"/>
    <w:rsid w:val="00B2359F"/>
    <w:rsid w:val="00B24650"/>
    <w:rsid w:val="00B2499A"/>
    <w:rsid w:val="00B24A08"/>
    <w:rsid w:val="00B25CE5"/>
    <w:rsid w:val="00B25EB1"/>
    <w:rsid w:val="00B269FC"/>
    <w:rsid w:val="00B2741B"/>
    <w:rsid w:val="00B305E0"/>
    <w:rsid w:val="00B30A6E"/>
    <w:rsid w:val="00B311F8"/>
    <w:rsid w:val="00B31CAC"/>
    <w:rsid w:val="00B327CE"/>
    <w:rsid w:val="00B32803"/>
    <w:rsid w:val="00B32B29"/>
    <w:rsid w:val="00B32BB7"/>
    <w:rsid w:val="00B355FA"/>
    <w:rsid w:val="00B35727"/>
    <w:rsid w:val="00B371CD"/>
    <w:rsid w:val="00B3727A"/>
    <w:rsid w:val="00B37BCC"/>
    <w:rsid w:val="00B40768"/>
    <w:rsid w:val="00B430FB"/>
    <w:rsid w:val="00B44615"/>
    <w:rsid w:val="00B446DE"/>
    <w:rsid w:val="00B46B28"/>
    <w:rsid w:val="00B474F8"/>
    <w:rsid w:val="00B51FEE"/>
    <w:rsid w:val="00B522F7"/>
    <w:rsid w:val="00B52E83"/>
    <w:rsid w:val="00B5358B"/>
    <w:rsid w:val="00B53AE9"/>
    <w:rsid w:val="00B544A4"/>
    <w:rsid w:val="00B549C1"/>
    <w:rsid w:val="00B54A1D"/>
    <w:rsid w:val="00B54C0C"/>
    <w:rsid w:val="00B55BB4"/>
    <w:rsid w:val="00B55FCC"/>
    <w:rsid w:val="00B561B2"/>
    <w:rsid w:val="00B5676F"/>
    <w:rsid w:val="00B601A8"/>
    <w:rsid w:val="00B60728"/>
    <w:rsid w:val="00B60A3E"/>
    <w:rsid w:val="00B60DC3"/>
    <w:rsid w:val="00B611CF"/>
    <w:rsid w:val="00B6475C"/>
    <w:rsid w:val="00B66F18"/>
    <w:rsid w:val="00B67126"/>
    <w:rsid w:val="00B6715A"/>
    <w:rsid w:val="00B67804"/>
    <w:rsid w:val="00B7099C"/>
    <w:rsid w:val="00B70A57"/>
    <w:rsid w:val="00B70B7F"/>
    <w:rsid w:val="00B718B8"/>
    <w:rsid w:val="00B71FA2"/>
    <w:rsid w:val="00B7285A"/>
    <w:rsid w:val="00B7339B"/>
    <w:rsid w:val="00B73983"/>
    <w:rsid w:val="00B73BD2"/>
    <w:rsid w:val="00B740DD"/>
    <w:rsid w:val="00B75CAE"/>
    <w:rsid w:val="00B763DA"/>
    <w:rsid w:val="00B76484"/>
    <w:rsid w:val="00B76743"/>
    <w:rsid w:val="00B77B3F"/>
    <w:rsid w:val="00B806F6"/>
    <w:rsid w:val="00B809AF"/>
    <w:rsid w:val="00B81368"/>
    <w:rsid w:val="00B825CE"/>
    <w:rsid w:val="00B828FD"/>
    <w:rsid w:val="00B848D0"/>
    <w:rsid w:val="00B849ED"/>
    <w:rsid w:val="00B856CF"/>
    <w:rsid w:val="00B85D2D"/>
    <w:rsid w:val="00B864F9"/>
    <w:rsid w:val="00B876E3"/>
    <w:rsid w:val="00B9270F"/>
    <w:rsid w:val="00B93666"/>
    <w:rsid w:val="00B9367E"/>
    <w:rsid w:val="00B94253"/>
    <w:rsid w:val="00B94BB6"/>
    <w:rsid w:val="00B9508E"/>
    <w:rsid w:val="00B955EC"/>
    <w:rsid w:val="00B95CC8"/>
    <w:rsid w:val="00B95F2B"/>
    <w:rsid w:val="00B97F05"/>
    <w:rsid w:val="00BA12CF"/>
    <w:rsid w:val="00BA1938"/>
    <w:rsid w:val="00BA195D"/>
    <w:rsid w:val="00BA30C9"/>
    <w:rsid w:val="00BA43B9"/>
    <w:rsid w:val="00BA5F4A"/>
    <w:rsid w:val="00BA7A75"/>
    <w:rsid w:val="00BB0B7A"/>
    <w:rsid w:val="00BB324D"/>
    <w:rsid w:val="00BB4833"/>
    <w:rsid w:val="00BB4BB6"/>
    <w:rsid w:val="00BB5DD6"/>
    <w:rsid w:val="00BB6F83"/>
    <w:rsid w:val="00BC0128"/>
    <w:rsid w:val="00BC0462"/>
    <w:rsid w:val="00BC0670"/>
    <w:rsid w:val="00BC0EF3"/>
    <w:rsid w:val="00BC1075"/>
    <w:rsid w:val="00BC3C2B"/>
    <w:rsid w:val="00BC4D76"/>
    <w:rsid w:val="00BC5EC1"/>
    <w:rsid w:val="00BC733B"/>
    <w:rsid w:val="00BD1AEE"/>
    <w:rsid w:val="00BD47D5"/>
    <w:rsid w:val="00BD4CD2"/>
    <w:rsid w:val="00BD4E65"/>
    <w:rsid w:val="00BD683B"/>
    <w:rsid w:val="00BD7486"/>
    <w:rsid w:val="00BD7FBD"/>
    <w:rsid w:val="00BE104B"/>
    <w:rsid w:val="00BE1E6D"/>
    <w:rsid w:val="00BE2ACF"/>
    <w:rsid w:val="00BE552B"/>
    <w:rsid w:val="00BE57A6"/>
    <w:rsid w:val="00BE6203"/>
    <w:rsid w:val="00BE640F"/>
    <w:rsid w:val="00BF0412"/>
    <w:rsid w:val="00BF05A8"/>
    <w:rsid w:val="00BF0A7F"/>
    <w:rsid w:val="00BF1428"/>
    <w:rsid w:val="00BF1814"/>
    <w:rsid w:val="00BF1A94"/>
    <w:rsid w:val="00BF2855"/>
    <w:rsid w:val="00BF408A"/>
    <w:rsid w:val="00BF4926"/>
    <w:rsid w:val="00BF5630"/>
    <w:rsid w:val="00BF5DE7"/>
    <w:rsid w:val="00BF7A2F"/>
    <w:rsid w:val="00C00033"/>
    <w:rsid w:val="00C00D81"/>
    <w:rsid w:val="00C0367E"/>
    <w:rsid w:val="00C03F0B"/>
    <w:rsid w:val="00C07FCF"/>
    <w:rsid w:val="00C1043E"/>
    <w:rsid w:val="00C104C1"/>
    <w:rsid w:val="00C11438"/>
    <w:rsid w:val="00C120D1"/>
    <w:rsid w:val="00C1338A"/>
    <w:rsid w:val="00C13779"/>
    <w:rsid w:val="00C13CB9"/>
    <w:rsid w:val="00C142EB"/>
    <w:rsid w:val="00C149A1"/>
    <w:rsid w:val="00C15986"/>
    <w:rsid w:val="00C15EB7"/>
    <w:rsid w:val="00C1604F"/>
    <w:rsid w:val="00C1631C"/>
    <w:rsid w:val="00C16332"/>
    <w:rsid w:val="00C16627"/>
    <w:rsid w:val="00C209A7"/>
    <w:rsid w:val="00C20FFA"/>
    <w:rsid w:val="00C235DD"/>
    <w:rsid w:val="00C247FE"/>
    <w:rsid w:val="00C25243"/>
    <w:rsid w:val="00C254E1"/>
    <w:rsid w:val="00C25B00"/>
    <w:rsid w:val="00C27FA8"/>
    <w:rsid w:val="00C30392"/>
    <w:rsid w:val="00C32AA5"/>
    <w:rsid w:val="00C34BF5"/>
    <w:rsid w:val="00C359B6"/>
    <w:rsid w:val="00C363BC"/>
    <w:rsid w:val="00C36668"/>
    <w:rsid w:val="00C408FA"/>
    <w:rsid w:val="00C40DEE"/>
    <w:rsid w:val="00C41267"/>
    <w:rsid w:val="00C4154A"/>
    <w:rsid w:val="00C426DF"/>
    <w:rsid w:val="00C43275"/>
    <w:rsid w:val="00C44393"/>
    <w:rsid w:val="00C44A5A"/>
    <w:rsid w:val="00C454AA"/>
    <w:rsid w:val="00C45963"/>
    <w:rsid w:val="00C46D4B"/>
    <w:rsid w:val="00C46E80"/>
    <w:rsid w:val="00C5008C"/>
    <w:rsid w:val="00C51AEF"/>
    <w:rsid w:val="00C53116"/>
    <w:rsid w:val="00C546B5"/>
    <w:rsid w:val="00C54E46"/>
    <w:rsid w:val="00C55B66"/>
    <w:rsid w:val="00C57468"/>
    <w:rsid w:val="00C5767F"/>
    <w:rsid w:val="00C600DF"/>
    <w:rsid w:val="00C6097E"/>
    <w:rsid w:val="00C6105F"/>
    <w:rsid w:val="00C612FA"/>
    <w:rsid w:val="00C621CA"/>
    <w:rsid w:val="00C62E7F"/>
    <w:rsid w:val="00C64FB8"/>
    <w:rsid w:val="00C66CFC"/>
    <w:rsid w:val="00C6792F"/>
    <w:rsid w:val="00C706F9"/>
    <w:rsid w:val="00C70BFF"/>
    <w:rsid w:val="00C71B6E"/>
    <w:rsid w:val="00C72277"/>
    <w:rsid w:val="00C724A0"/>
    <w:rsid w:val="00C72626"/>
    <w:rsid w:val="00C72B02"/>
    <w:rsid w:val="00C744B7"/>
    <w:rsid w:val="00C74748"/>
    <w:rsid w:val="00C750C9"/>
    <w:rsid w:val="00C76401"/>
    <w:rsid w:val="00C766C4"/>
    <w:rsid w:val="00C7785A"/>
    <w:rsid w:val="00C80C79"/>
    <w:rsid w:val="00C811AD"/>
    <w:rsid w:val="00C813B7"/>
    <w:rsid w:val="00C82043"/>
    <w:rsid w:val="00C82A23"/>
    <w:rsid w:val="00C8464A"/>
    <w:rsid w:val="00C85407"/>
    <w:rsid w:val="00C86DFA"/>
    <w:rsid w:val="00C871DF"/>
    <w:rsid w:val="00C87513"/>
    <w:rsid w:val="00C87AB0"/>
    <w:rsid w:val="00C87B6F"/>
    <w:rsid w:val="00C90AF6"/>
    <w:rsid w:val="00C90D43"/>
    <w:rsid w:val="00C90FF7"/>
    <w:rsid w:val="00C913CA"/>
    <w:rsid w:val="00C91B36"/>
    <w:rsid w:val="00C92521"/>
    <w:rsid w:val="00C93BFF"/>
    <w:rsid w:val="00C93CCA"/>
    <w:rsid w:val="00C95193"/>
    <w:rsid w:val="00C95505"/>
    <w:rsid w:val="00C95C36"/>
    <w:rsid w:val="00CA0071"/>
    <w:rsid w:val="00CA2003"/>
    <w:rsid w:val="00CA3456"/>
    <w:rsid w:val="00CA37E9"/>
    <w:rsid w:val="00CA583B"/>
    <w:rsid w:val="00CA5B18"/>
    <w:rsid w:val="00CA6505"/>
    <w:rsid w:val="00CB01D3"/>
    <w:rsid w:val="00CB03FE"/>
    <w:rsid w:val="00CB0C5F"/>
    <w:rsid w:val="00CB1CBF"/>
    <w:rsid w:val="00CB2166"/>
    <w:rsid w:val="00CB2960"/>
    <w:rsid w:val="00CB2DF7"/>
    <w:rsid w:val="00CB30F3"/>
    <w:rsid w:val="00CB68B8"/>
    <w:rsid w:val="00CB770C"/>
    <w:rsid w:val="00CB7C51"/>
    <w:rsid w:val="00CC0546"/>
    <w:rsid w:val="00CC09A5"/>
    <w:rsid w:val="00CC3DFD"/>
    <w:rsid w:val="00CC3FB5"/>
    <w:rsid w:val="00CC550F"/>
    <w:rsid w:val="00CC5D59"/>
    <w:rsid w:val="00CC6AD7"/>
    <w:rsid w:val="00CC7181"/>
    <w:rsid w:val="00CC78AC"/>
    <w:rsid w:val="00CD01DB"/>
    <w:rsid w:val="00CD043C"/>
    <w:rsid w:val="00CD1694"/>
    <w:rsid w:val="00CD183B"/>
    <w:rsid w:val="00CD1865"/>
    <w:rsid w:val="00CD18C8"/>
    <w:rsid w:val="00CD3BEA"/>
    <w:rsid w:val="00CD4BC2"/>
    <w:rsid w:val="00CD4DEF"/>
    <w:rsid w:val="00CD5175"/>
    <w:rsid w:val="00CD5CA6"/>
    <w:rsid w:val="00CD7A16"/>
    <w:rsid w:val="00CD7FCD"/>
    <w:rsid w:val="00CE0734"/>
    <w:rsid w:val="00CE0BE6"/>
    <w:rsid w:val="00CE11D3"/>
    <w:rsid w:val="00CE15B2"/>
    <w:rsid w:val="00CE3711"/>
    <w:rsid w:val="00CE49F8"/>
    <w:rsid w:val="00CE4BFE"/>
    <w:rsid w:val="00CE7C62"/>
    <w:rsid w:val="00CE7D22"/>
    <w:rsid w:val="00CF0FD1"/>
    <w:rsid w:val="00CF2370"/>
    <w:rsid w:val="00CF398B"/>
    <w:rsid w:val="00CF41C6"/>
    <w:rsid w:val="00CF490F"/>
    <w:rsid w:val="00CF4F69"/>
    <w:rsid w:val="00CF736C"/>
    <w:rsid w:val="00CF7535"/>
    <w:rsid w:val="00D00055"/>
    <w:rsid w:val="00D00C68"/>
    <w:rsid w:val="00D01FC5"/>
    <w:rsid w:val="00D02312"/>
    <w:rsid w:val="00D0439B"/>
    <w:rsid w:val="00D047D9"/>
    <w:rsid w:val="00D07A70"/>
    <w:rsid w:val="00D07E39"/>
    <w:rsid w:val="00D110B5"/>
    <w:rsid w:val="00D11944"/>
    <w:rsid w:val="00D127FC"/>
    <w:rsid w:val="00D12CCF"/>
    <w:rsid w:val="00D14FF5"/>
    <w:rsid w:val="00D156C1"/>
    <w:rsid w:val="00D15B67"/>
    <w:rsid w:val="00D16451"/>
    <w:rsid w:val="00D2034D"/>
    <w:rsid w:val="00D20DE7"/>
    <w:rsid w:val="00D21E32"/>
    <w:rsid w:val="00D242C5"/>
    <w:rsid w:val="00D243B1"/>
    <w:rsid w:val="00D24D43"/>
    <w:rsid w:val="00D25809"/>
    <w:rsid w:val="00D25B8A"/>
    <w:rsid w:val="00D2685C"/>
    <w:rsid w:val="00D26A10"/>
    <w:rsid w:val="00D26CF4"/>
    <w:rsid w:val="00D278C5"/>
    <w:rsid w:val="00D30829"/>
    <w:rsid w:val="00D311EF"/>
    <w:rsid w:val="00D31A22"/>
    <w:rsid w:val="00D324DF"/>
    <w:rsid w:val="00D326E0"/>
    <w:rsid w:val="00D32BD8"/>
    <w:rsid w:val="00D33263"/>
    <w:rsid w:val="00D3330D"/>
    <w:rsid w:val="00D33B31"/>
    <w:rsid w:val="00D34112"/>
    <w:rsid w:val="00D3544F"/>
    <w:rsid w:val="00D35FD6"/>
    <w:rsid w:val="00D37045"/>
    <w:rsid w:val="00D402B1"/>
    <w:rsid w:val="00D40DD1"/>
    <w:rsid w:val="00D4268A"/>
    <w:rsid w:val="00D4335E"/>
    <w:rsid w:val="00D4346D"/>
    <w:rsid w:val="00D43DE9"/>
    <w:rsid w:val="00D44A48"/>
    <w:rsid w:val="00D4788E"/>
    <w:rsid w:val="00D501F5"/>
    <w:rsid w:val="00D5088A"/>
    <w:rsid w:val="00D5271E"/>
    <w:rsid w:val="00D52AC0"/>
    <w:rsid w:val="00D52CCB"/>
    <w:rsid w:val="00D53C96"/>
    <w:rsid w:val="00D5501B"/>
    <w:rsid w:val="00D555FA"/>
    <w:rsid w:val="00D55CBC"/>
    <w:rsid w:val="00D55F4B"/>
    <w:rsid w:val="00D561A0"/>
    <w:rsid w:val="00D5780A"/>
    <w:rsid w:val="00D578B3"/>
    <w:rsid w:val="00D57EA7"/>
    <w:rsid w:val="00D6150A"/>
    <w:rsid w:val="00D61710"/>
    <w:rsid w:val="00D62EBE"/>
    <w:rsid w:val="00D64E42"/>
    <w:rsid w:val="00D64FB9"/>
    <w:rsid w:val="00D651BD"/>
    <w:rsid w:val="00D65426"/>
    <w:rsid w:val="00D657E1"/>
    <w:rsid w:val="00D658C4"/>
    <w:rsid w:val="00D659BA"/>
    <w:rsid w:val="00D659E9"/>
    <w:rsid w:val="00D65A25"/>
    <w:rsid w:val="00D66A7F"/>
    <w:rsid w:val="00D66DDE"/>
    <w:rsid w:val="00D66F6F"/>
    <w:rsid w:val="00D710A4"/>
    <w:rsid w:val="00D71658"/>
    <w:rsid w:val="00D71768"/>
    <w:rsid w:val="00D73AF2"/>
    <w:rsid w:val="00D74249"/>
    <w:rsid w:val="00D75386"/>
    <w:rsid w:val="00D753C7"/>
    <w:rsid w:val="00D80AF9"/>
    <w:rsid w:val="00D8145A"/>
    <w:rsid w:val="00D8153E"/>
    <w:rsid w:val="00D81E31"/>
    <w:rsid w:val="00D83708"/>
    <w:rsid w:val="00D83722"/>
    <w:rsid w:val="00D8471B"/>
    <w:rsid w:val="00D903CE"/>
    <w:rsid w:val="00D90466"/>
    <w:rsid w:val="00D909D1"/>
    <w:rsid w:val="00D90F7E"/>
    <w:rsid w:val="00D90FF5"/>
    <w:rsid w:val="00D9133C"/>
    <w:rsid w:val="00D915BA"/>
    <w:rsid w:val="00D91FC8"/>
    <w:rsid w:val="00D92F18"/>
    <w:rsid w:val="00D94900"/>
    <w:rsid w:val="00D9580D"/>
    <w:rsid w:val="00D95A97"/>
    <w:rsid w:val="00D96E6C"/>
    <w:rsid w:val="00D97737"/>
    <w:rsid w:val="00DA0C15"/>
    <w:rsid w:val="00DA1C85"/>
    <w:rsid w:val="00DA21CF"/>
    <w:rsid w:val="00DA351C"/>
    <w:rsid w:val="00DA460E"/>
    <w:rsid w:val="00DA5DD1"/>
    <w:rsid w:val="00DA6641"/>
    <w:rsid w:val="00DA7400"/>
    <w:rsid w:val="00DB04A6"/>
    <w:rsid w:val="00DB0FC3"/>
    <w:rsid w:val="00DB4F1A"/>
    <w:rsid w:val="00DB50B6"/>
    <w:rsid w:val="00DB71DE"/>
    <w:rsid w:val="00DB779B"/>
    <w:rsid w:val="00DB77E4"/>
    <w:rsid w:val="00DC0C45"/>
    <w:rsid w:val="00DC101A"/>
    <w:rsid w:val="00DC10A5"/>
    <w:rsid w:val="00DC4D38"/>
    <w:rsid w:val="00DC50DD"/>
    <w:rsid w:val="00DC71CA"/>
    <w:rsid w:val="00DC75B2"/>
    <w:rsid w:val="00DC7DC4"/>
    <w:rsid w:val="00DD00C6"/>
    <w:rsid w:val="00DD06DE"/>
    <w:rsid w:val="00DD0800"/>
    <w:rsid w:val="00DD14E9"/>
    <w:rsid w:val="00DD1A3A"/>
    <w:rsid w:val="00DD1D27"/>
    <w:rsid w:val="00DD6177"/>
    <w:rsid w:val="00DD66A0"/>
    <w:rsid w:val="00DE03A4"/>
    <w:rsid w:val="00DE04EF"/>
    <w:rsid w:val="00DE095F"/>
    <w:rsid w:val="00DE0C3D"/>
    <w:rsid w:val="00DE0C92"/>
    <w:rsid w:val="00DE178A"/>
    <w:rsid w:val="00DE17C1"/>
    <w:rsid w:val="00DE365B"/>
    <w:rsid w:val="00DE422F"/>
    <w:rsid w:val="00DE4F8C"/>
    <w:rsid w:val="00DE5E64"/>
    <w:rsid w:val="00DE67B0"/>
    <w:rsid w:val="00DF2408"/>
    <w:rsid w:val="00DF2891"/>
    <w:rsid w:val="00DF2A61"/>
    <w:rsid w:val="00DF390A"/>
    <w:rsid w:val="00DF4304"/>
    <w:rsid w:val="00DF4AF5"/>
    <w:rsid w:val="00DF4EDC"/>
    <w:rsid w:val="00DF57DC"/>
    <w:rsid w:val="00DF6563"/>
    <w:rsid w:val="00DF68C0"/>
    <w:rsid w:val="00E00A73"/>
    <w:rsid w:val="00E016A8"/>
    <w:rsid w:val="00E017CF"/>
    <w:rsid w:val="00E02BAC"/>
    <w:rsid w:val="00E03153"/>
    <w:rsid w:val="00E03BFC"/>
    <w:rsid w:val="00E04B89"/>
    <w:rsid w:val="00E05467"/>
    <w:rsid w:val="00E059A0"/>
    <w:rsid w:val="00E059D9"/>
    <w:rsid w:val="00E05EA7"/>
    <w:rsid w:val="00E05EE5"/>
    <w:rsid w:val="00E06151"/>
    <w:rsid w:val="00E06D9A"/>
    <w:rsid w:val="00E07D04"/>
    <w:rsid w:val="00E07DB7"/>
    <w:rsid w:val="00E07E9F"/>
    <w:rsid w:val="00E10191"/>
    <w:rsid w:val="00E119D3"/>
    <w:rsid w:val="00E11A2B"/>
    <w:rsid w:val="00E12223"/>
    <w:rsid w:val="00E122D9"/>
    <w:rsid w:val="00E124A7"/>
    <w:rsid w:val="00E1348C"/>
    <w:rsid w:val="00E14243"/>
    <w:rsid w:val="00E1467E"/>
    <w:rsid w:val="00E14D96"/>
    <w:rsid w:val="00E1501F"/>
    <w:rsid w:val="00E161DE"/>
    <w:rsid w:val="00E20051"/>
    <w:rsid w:val="00E20B10"/>
    <w:rsid w:val="00E20BF6"/>
    <w:rsid w:val="00E20DD0"/>
    <w:rsid w:val="00E2108E"/>
    <w:rsid w:val="00E23189"/>
    <w:rsid w:val="00E2426B"/>
    <w:rsid w:val="00E25CB5"/>
    <w:rsid w:val="00E274EA"/>
    <w:rsid w:val="00E32090"/>
    <w:rsid w:val="00E32515"/>
    <w:rsid w:val="00E32B87"/>
    <w:rsid w:val="00E3328D"/>
    <w:rsid w:val="00E333F5"/>
    <w:rsid w:val="00E34108"/>
    <w:rsid w:val="00E34AAD"/>
    <w:rsid w:val="00E35144"/>
    <w:rsid w:val="00E37023"/>
    <w:rsid w:val="00E3794B"/>
    <w:rsid w:val="00E37BEF"/>
    <w:rsid w:val="00E40ADF"/>
    <w:rsid w:val="00E40EE5"/>
    <w:rsid w:val="00E40F89"/>
    <w:rsid w:val="00E415C1"/>
    <w:rsid w:val="00E43371"/>
    <w:rsid w:val="00E4346C"/>
    <w:rsid w:val="00E4460B"/>
    <w:rsid w:val="00E456D5"/>
    <w:rsid w:val="00E45B06"/>
    <w:rsid w:val="00E45FFD"/>
    <w:rsid w:val="00E46C63"/>
    <w:rsid w:val="00E46CDC"/>
    <w:rsid w:val="00E46EFB"/>
    <w:rsid w:val="00E47A2F"/>
    <w:rsid w:val="00E50544"/>
    <w:rsid w:val="00E50581"/>
    <w:rsid w:val="00E516DB"/>
    <w:rsid w:val="00E540A9"/>
    <w:rsid w:val="00E5437E"/>
    <w:rsid w:val="00E544C1"/>
    <w:rsid w:val="00E54CCC"/>
    <w:rsid w:val="00E55A6B"/>
    <w:rsid w:val="00E568F3"/>
    <w:rsid w:val="00E578C5"/>
    <w:rsid w:val="00E6025A"/>
    <w:rsid w:val="00E60546"/>
    <w:rsid w:val="00E62537"/>
    <w:rsid w:val="00E64BAF"/>
    <w:rsid w:val="00E64CD4"/>
    <w:rsid w:val="00E64F5D"/>
    <w:rsid w:val="00E661FB"/>
    <w:rsid w:val="00E66FA3"/>
    <w:rsid w:val="00E6770D"/>
    <w:rsid w:val="00E67AF1"/>
    <w:rsid w:val="00E67E1C"/>
    <w:rsid w:val="00E701E0"/>
    <w:rsid w:val="00E71152"/>
    <w:rsid w:val="00E721D5"/>
    <w:rsid w:val="00E7285A"/>
    <w:rsid w:val="00E73248"/>
    <w:rsid w:val="00E7599F"/>
    <w:rsid w:val="00E75D0B"/>
    <w:rsid w:val="00E76092"/>
    <w:rsid w:val="00E760BA"/>
    <w:rsid w:val="00E763A9"/>
    <w:rsid w:val="00E76FE9"/>
    <w:rsid w:val="00E77425"/>
    <w:rsid w:val="00E81D33"/>
    <w:rsid w:val="00E82306"/>
    <w:rsid w:val="00E82505"/>
    <w:rsid w:val="00E82545"/>
    <w:rsid w:val="00E82EFD"/>
    <w:rsid w:val="00E83408"/>
    <w:rsid w:val="00E839FC"/>
    <w:rsid w:val="00E84EED"/>
    <w:rsid w:val="00E8503C"/>
    <w:rsid w:val="00E85AA0"/>
    <w:rsid w:val="00E877AB"/>
    <w:rsid w:val="00E90092"/>
    <w:rsid w:val="00E902BC"/>
    <w:rsid w:val="00E904B0"/>
    <w:rsid w:val="00E910D5"/>
    <w:rsid w:val="00E91FB8"/>
    <w:rsid w:val="00E93351"/>
    <w:rsid w:val="00E94998"/>
    <w:rsid w:val="00E956EB"/>
    <w:rsid w:val="00E95713"/>
    <w:rsid w:val="00E95B1E"/>
    <w:rsid w:val="00E96BE5"/>
    <w:rsid w:val="00E96F64"/>
    <w:rsid w:val="00E97B35"/>
    <w:rsid w:val="00E97F64"/>
    <w:rsid w:val="00EA05F0"/>
    <w:rsid w:val="00EA169F"/>
    <w:rsid w:val="00EA1C40"/>
    <w:rsid w:val="00EA251B"/>
    <w:rsid w:val="00EB0886"/>
    <w:rsid w:val="00EB0D7F"/>
    <w:rsid w:val="00EB1246"/>
    <w:rsid w:val="00EB1E88"/>
    <w:rsid w:val="00EB2993"/>
    <w:rsid w:val="00EB2C73"/>
    <w:rsid w:val="00EB2E8F"/>
    <w:rsid w:val="00EB4412"/>
    <w:rsid w:val="00EC0238"/>
    <w:rsid w:val="00EC084A"/>
    <w:rsid w:val="00EC099D"/>
    <w:rsid w:val="00EC0E87"/>
    <w:rsid w:val="00EC10B6"/>
    <w:rsid w:val="00EC12DB"/>
    <w:rsid w:val="00EC1645"/>
    <w:rsid w:val="00EC17CA"/>
    <w:rsid w:val="00EC2698"/>
    <w:rsid w:val="00EC2964"/>
    <w:rsid w:val="00EC2CFB"/>
    <w:rsid w:val="00EC3428"/>
    <w:rsid w:val="00EC51D2"/>
    <w:rsid w:val="00EC56EB"/>
    <w:rsid w:val="00EC5F35"/>
    <w:rsid w:val="00EC68A8"/>
    <w:rsid w:val="00EC769E"/>
    <w:rsid w:val="00ED10E3"/>
    <w:rsid w:val="00ED143E"/>
    <w:rsid w:val="00ED2918"/>
    <w:rsid w:val="00ED47F9"/>
    <w:rsid w:val="00ED5D48"/>
    <w:rsid w:val="00ED676B"/>
    <w:rsid w:val="00ED6D75"/>
    <w:rsid w:val="00ED6E60"/>
    <w:rsid w:val="00EE25D8"/>
    <w:rsid w:val="00EE2EAA"/>
    <w:rsid w:val="00EE3CE4"/>
    <w:rsid w:val="00EE44E4"/>
    <w:rsid w:val="00EE4BF6"/>
    <w:rsid w:val="00EE4D57"/>
    <w:rsid w:val="00EE562A"/>
    <w:rsid w:val="00EE5CE6"/>
    <w:rsid w:val="00EE69DB"/>
    <w:rsid w:val="00EE7653"/>
    <w:rsid w:val="00EE7731"/>
    <w:rsid w:val="00EF15B2"/>
    <w:rsid w:val="00EF1EA1"/>
    <w:rsid w:val="00EF22D1"/>
    <w:rsid w:val="00EF2C48"/>
    <w:rsid w:val="00EF2D64"/>
    <w:rsid w:val="00EF5606"/>
    <w:rsid w:val="00EF5D41"/>
    <w:rsid w:val="00EF62FD"/>
    <w:rsid w:val="00EF63FC"/>
    <w:rsid w:val="00EF7136"/>
    <w:rsid w:val="00EF748C"/>
    <w:rsid w:val="00EF7A47"/>
    <w:rsid w:val="00F00329"/>
    <w:rsid w:val="00F02504"/>
    <w:rsid w:val="00F035E8"/>
    <w:rsid w:val="00F03BD8"/>
    <w:rsid w:val="00F03CE1"/>
    <w:rsid w:val="00F04BDF"/>
    <w:rsid w:val="00F06839"/>
    <w:rsid w:val="00F0730D"/>
    <w:rsid w:val="00F0742C"/>
    <w:rsid w:val="00F07A0E"/>
    <w:rsid w:val="00F07F23"/>
    <w:rsid w:val="00F117C3"/>
    <w:rsid w:val="00F11B46"/>
    <w:rsid w:val="00F129C2"/>
    <w:rsid w:val="00F1307E"/>
    <w:rsid w:val="00F13542"/>
    <w:rsid w:val="00F145D7"/>
    <w:rsid w:val="00F15312"/>
    <w:rsid w:val="00F15DBB"/>
    <w:rsid w:val="00F16B35"/>
    <w:rsid w:val="00F16D86"/>
    <w:rsid w:val="00F171F0"/>
    <w:rsid w:val="00F172A3"/>
    <w:rsid w:val="00F178D1"/>
    <w:rsid w:val="00F20200"/>
    <w:rsid w:val="00F20C8C"/>
    <w:rsid w:val="00F21254"/>
    <w:rsid w:val="00F2197D"/>
    <w:rsid w:val="00F221B2"/>
    <w:rsid w:val="00F22210"/>
    <w:rsid w:val="00F229A2"/>
    <w:rsid w:val="00F24241"/>
    <w:rsid w:val="00F262C8"/>
    <w:rsid w:val="00F27AE7"/>
    <w:rsid w:val="00F307FA"/>
    <w:rsid w:val="00F30BF5"/>
    <w:rsid w:val="00F30ED1"/>
    <w:rsid w:val="00F3115A"/>
    <w:rsid w:val="00F3130C"/>
    <w:rsid w:val="00F31324"/>
    <w:rsid w:val="00F31F1F"/>
    <w:rsid w:val="00F36014"/>
    <w:rsid w:val="00F36DDB"/>
    <w:rsid w:val="00F36ED0"/>
    <w:rsid w:val="00F40199"/>
    <w:rsid w:val="00F40F9E"/>
    <w:rsid w:val="00F411C8"/>
    <w:rsid w:val="00F42096"/>
    <w:rsid w:val="00F42743"/>
    <w:rsid w:val="00F42811"/>
    <w:rsid w:val="00F42CFA"/>
    <w:rsid w:val="00F433AB"/>
    <w:rsid w:val="00F43739"/>
    <w:rsid w:val="00F463AA"/>
    <w:rsid w:val="00F465ED"/>
    <w:rsid w:val="00F47F04"/>
    <w:rsid w:val="00F50001"/>
    <w:rsid w:val="00F503C5"/>
    <w:rsid w:val="00F515B7"/>
    <w:rsid w:val="00F532D7"/>
    <w:rsid w:val="00F56866"/>
    <w:rsid w:val="00F568A6"/>
    <w:rsid w:val="00F56AF5"/>
    <w:rsid w:val="00F57A0B"/>
    <w:rsid w:val="00F62544"/>
    <w:rsid w:val="00F640F1"/>
    <w:rsid w:val="00F64421"/>
    <w:rsid w:val="00F6481D"/>
    <w:rsid w:val="00F64B0B"/>
    <w:rsid w:val="00F65C4D"/>
    <w:rsid w:val="00F65C79"/>
    <w:rsid w:val="00F7070B"/>
    <w:rsid w:val="00F70D0B"/>
    <w:rsid w:val="00F70DC0"/>
    <w:rsid w:val="00F70F22"/>
    <w:rsid w:val="00F73D0B"/>
    <w:rsid w:val="00F73D1A"/>
    <w:rsid w:val="00F74397"/>
    <w:rsid w:val="00F74900"/>
    <w:rsid w:val="00F761C4"/>
    <w:rsid w:val="00F76686"/>
    <w:rsid w:val="00F779CF"/>
    <w:rsid w:val="00F805D5"/>
    <w:rsid w:val="00F80F2A"/>
    <w:rsid w:val="00F814A4"/>
    <w:rsid w:val="00F83D70"/>
    <w:rsid w:val="00F85169"/>
    <w:rsid w:val="00F8563D"/>
    <w:rsid w:val="00F85894"/>
    <w:rsid w:val="00F85BF9"/>
    <w:rsid w:val="00F86506"/>
    <w:rsid w:val="00F8698C"/>
    <w:rsid w:val="00F86F17"/>
    <w:rsid w:val="00F905CB"/>
    <w:rsid w:val="00F90BDC"/>
    <w:rsid w:val="00F9193E"/>
    <w:rsid w:val="00F92B17"/>
    <w:rsid w:val="00F94155"/>
    <w:rsid w:val="00F9478B"/>
    <w:rsid w:val="00F95B02"/>
    <w:rsid w:val="00F95CAD"/>
    <w:rsid w:val="00F973A0"/>
    <w:rsid w:val="00FA1B6F"/>
    <w:rsid w:val="00FA492B"/>
    <w:rsid w:val="00FA511A"/>
    <w:rsid w:val="00FA556A"/>
    <w:rsid w:val="00FA77A2"/>
    <w:rsid w:val="00FB0256"/>
    <w:rsid w:val="00FB19AC"/>
    <w:rsid w:val="00FB296A"/>
    <w:rsid w:val="00FB32A9"/>
    <w:rsid w:val="00FB420A"/>
    <w:rsid w:val="00FB4408"/>
    <w:rsid w:val="00FB4C18"/>
    <w:rsid w:val="00FB7F3F"/>
    <w:rsid w:val="00FC1205"/>
    <w:rsid w:val="00FC1BCD"/>
    <w:rsid w:val="00FC237B"/>
    <w:rsid w:val="00FC40F8"/>
    <w:rsid w:val="00FC54AB"/>
    <w:rsid w:val="00FC54F4"/>
    <w:rsid w:val="00FC54F7"/>
    <w:rsid w:val="00FC55FE"/>
    <w:rsid w:val="00FC58B4"/>
    <w:rsid w:val="00FC5BCD"/>
    <w:rsid w:val="00FC5DC1"/>
    <w:rsid w:val="00FC7DEF"/>
    <w:rsid w:val="00FD1C68"/>
    <w:rsid w:val="00FD2B80"/>
    <w:rsid w:val="00FD3523"/>
    <w:rsid w:val="00FD3AC7"/>
    <w:rsid w:val="00FD4062"/>
    <w:rsid w:val="00FD41F7"/>
    <w:rsid w:val="00FD7B0C"/>
    <w:rsid w:val="00FE0B8B"/>
    <w:rsid w:val="00FE3D0E"/>
    <w:rsid w:val="00FE5375"/>
    <w:rsid w:val="00FE565A"/>
    <w:rsid w:val="00FE69C1"/>
    <w:rsid w:val="00FE7937"/>
    <w:rsid w:val="00FE7D2C"/>
    <w:rsid w:val="00FF057B"/>
    <w:rsid w:val="00FF079F"/>
    <w:rsid w:val="00FF0DBB"/>
    <w:rsid w:val="00FF1F04"/>
    <w:rsid w:val="00FF3794"/>
    <w:rsid w:val="00FF447A"/>
    <w:rsid w:val="00FF522F"/>
    <w:rsid w:val="00FF570E"/>
    <w:rsid w:val="00FF63EE"/>
    <w:rsid w:val="00FF79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537B"/>
  <w14:defaultImageDpi w14:val="32767"/>
  <w15:chartTrackingRefBased/>
  <w15:docId w15:val="{9519C331-A481-234D-9692-B0393803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4766"/>
  </w:style>
  <w:style w:type="paragraph" w:styleId="Heading1">
    <w:name w:val="heading 1"/>
    <w:basedOn w:val="Normal"/>
    <w:next w:val="Normal"/>
    <w:link w:val="Heading1Char"/>
    <w:uiPriority w:val="9"/>
    <w:qFormat/>
    <w:rsid w:val="009A6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2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32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4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401"/>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6A7FE8"/>
  </w:style>
  <w:style w:type="character" w:styleId="CommentReference">
    <w:name w:val="annotation reference"/>
    <w:basedOn w:val="DefaultParagraphFont"/>
    <w:uiPriority w:val="99"/>
    <w:semiHidden/>
    <w:unhideWhenUsed/>
    <w:rsid w:val="00744B96"/>
    <w:rPr>
      <w:sz w:val="16"/>
      <w:szCs w:val="16"/>
    </w:rPr>
  </w:style>
  <w:style w:type="paragraph" w:styleId="CommentText">
    <w:name w:val="annotation text"/>
    <w:basedOn w:val="Normal"/>
    <w:link w:val="CommentTextChar"/>
    <w:uiPriority w:val="99"/>
    <w:unhideWhenUsed/>
    <w:rsid w:val="00744B96"/>
    <w:rPr>
      <w:sz w:val="20"/>
      <w:szCs w:val="20"/>
    </w:rPr>
  </w:style>
  <w:style w:type="character" w:customStyle="1" w:styleId="CommentTextChar">
    <w:name w:val="Comment Text Char"/>
    <w:basedOn w:val="DefaultParagraphFont"/>
    <w:link w:val="CommentText"/>
    <w:uiPriority w:val="99"/>
    <w:semiHidden/>
    <w:rsid w:val="00744B96"/>
    <w:rPr>
      <w:sz w:val="20"/>
      <w:szCs w:val="20"/>
    </w:rPr>
  </w:style>
  <w:style w:type="paragraph" w:styleId="CommentSubject">
    <w:name w:val="annotation subject"/>
    <w:basedOn w:val="CommentText"/>
    <w:next w:val="CommentText"/>
    <w:link w:val="CommentSubjectChar"/>
    <w:uiPriority w:val="99"/>
    <w:semiHidden/>
    <w:unhideWhenUsed/>
    <w:rsid w:val="00744B96"/>
    <w:rPr>
      <w:b/>
      <w:bCs/>
    </w:rPr>
  </w:style>
  <w:style w:type="character" w:customStyle="1" w:styleId="CommentSubjectChar">
    <w:name w:val="Comment Subject Char"/>
    <w:basedOn w:val="CommentTextChar"/>
    <w:link w:val="CommentSubject"/>
    <w:uiPriority w:val="99"/>
    <w:semiHidden/>
    <w:rsid w:val="00744B96"/>
    <w:rPr>
      <w:b/>
      <w:bCs/>
      <w:sz w:val="20"/>
      <w:szCs w:val="20"/>
    </w:rPr>
  </w:style>
  <w:style w:type="paragraph" w:styleId="BalloonText">
    <w:name w:val="Balloon Text"/>
    <w:basedOn w:val="Normal"/>
    <w:link w:val="BalloonTextChar"/>
    <w:uiPriority w:val="99"/>
    <w:semiHidden/>
    <w:unhideWhenUsed/>
    <w:rsid w:val="00744B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B96"/>
    <w:rPr>
      <w:rFonts w:ascii="Times New Roman" w:hAnsi="Times New Roman" w:cs="Times New Roman"/>
      <w:sz w:val="18"/>
      <w:szCs w:val="18"/>
    </w:rPr>
  </w:style>
  <w:style w:type="character" w:styleId="Hyperlink">
    <w:name w:val="Hyperlink"/>
    <w:basedOn w:val="DefaultParagraphFont"/>
    <w:uiPriority w:val="99"/>
    <w:unhideWhenUsed/>
    <w:rsid w:val="00C62E7F"/>
    <w:rPr>
      <w:color w:val="0563C1" w:themeColor="hyperlink"/>
      <w:u w:val="single"/>
    </w:rPr>
  </w:style>
  <w:style w:type="character" w:styleId="UnresolvedMention">
    <w:name w:val="Unresolved Mention"/>
    <w:basedOn w:val="DefaultParagraphFont"/>
    <w:uiPriority w:val="99"/>
    <w:rsid w:val="00C62E7F"/>
    <w:rPr>
      <w:color w:val="605E5C"/>
      <w:shd w:val="clear" w:color="auto" w:fill="E1DFDD"/>
    </w:rPr>
  </w:style>
  <w:style w:type="character" w:styleId="FollowedHyperlink">
    <w:name w:val="FollowedHyperlink"/>
    <w:basedOn w:val="DefaultParagraphFont"/>
    <w:uiPriority w:val="99"/>
    <w:semiHidden/>
    <w:unhideWhenUsed/>
    <w:rsid w:val="00BD47D5"/>
    <w:rPr>
      <w:color w:val="954F72" w:themeColor="followedHyperlink"/>
      <w:u w:val="single"/>
    </w:rPr>
  </w:style>
  <w:style w:type="character" w:customStyle="1" w:styleId="Heading2Char">
    <w:name w:val="Heading 2 Char"/>
    <w:basedOn w:val="DefaultParagraphFont"/>
    <w:link w:val="Heading2"/>
    <w:uiPriority w:val="9"/>
    <w:rsid w:val="00A532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3261"/>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A53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5C6"/>
    <w:pPr>
      <w:ind w:left="720"/>
      <w:contextualSpacing/>
    </w:pPr>
  </w:style>
  <w:style w:type="character" w:customStyle="1" w:styleId="Heading1Char">
    <w:name w:val="Heading 1 Char"/>
    <w:basedOn w:val="DefaultParagraphFont"/>
    <w:link w:val="Heading1"/>
    <w:uiPriority w:val="9"/>
    <w:rsid w:val="009A687A"/>
    <w:rPr>
      <w:rFonts w:asciiTheme="majorHAnsi" w:eastAsiaTheme="majorEastAsia" w:hAnsiTheme="majorHAnsi" w:cstheme="majorBidi"/>
      <w:color w:val="2F5496" w:themeColor="accent1" w:themeShade="BF"/>
      <w:sz w:val="32"/>
      <w:szCs w:val="32"/>
    </w:rPr>
  </w:style>
  <w:style w:type="table" w:styleId="GridTable4-Accent1">
    <w:name w:val="Grid Table 4 Accent 1"/>
    <w:basedOn w:val="TableNormal"/>
    <w:uiPriority w:val="49"/>
    <w:rsid w:val="004036B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4036B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C254E1"/>
  </w:style>
  <w:style w:type="paragraph" w:styleId="NormalWeb">
    <w:name w:val="Normal (Web)"/>
    <w:basedOn w:val="Normal"/>
    <w:uiPriority w:val="99"/>
    <w:unhideWhenUsed/>
    <w:rsid w:val="009C747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0529A"/>
  </w:style>
  <w:style w:type="paragraph" w:styleId="Header">
    <w:name w:val="header"/>
    <w:basedOn w:val="Normal"/>
    <w:link w:val="HeaderChar"/>
    <w:uiPriority w:val="99"/>
    <w:semiHidden/>
    <w:unhideWhenUsed/>
    <w:rsid w:val="00531406"/>
    <w:pPr>
      <w:tabs>
        <w:tab w:val="center" w:pos="4680"/>
        <w:tab w:val="right" w:pos="9360"/>
      </w:tabs>
    </w:pPr>
  </w:style>
  <w:style w:type="character" w:customStyle="1" w:styleId="HeaderChar">
    <w:name w:val="Header Char"/>
    <w:basedOn w:val="DefaultParagraphFont"/>
    <w:link w:val="Header"/>
    <w:uiPriority w:val="99"/>
    <w:semiHidden/>
    <w:rsid w:val="00531406"/>
  </w:style>
  <w:style w:type="paragraph" w:styleId="Footer">
    <w:name w:val="footer"/>
    <w:basedOn w:val="Normal"/>
    <w:link w:val="FooterChar"/>
    <w:uiPriority w:val="99"/>
    <w:unhideWhenUsed/>
    <w:rsid w:val="00531406"/>
    <w:pPr>
      <w:tabs>
        <w:tab w:val="center" w:pos="4680"/>
        <w:tab w:val="right" w:pos="9360"/>
      </w:tabs>
    </w:pPr>
  </w:style>
  <w:style w:type="character" w:customStyle="1" w:styleId="FooterChar">
    <w:name w:val="Footer Char"/>
    <w:basedOn w:val="DefaultParagraphFont"/>
    <w:link w:val="Footer"/>
    <w:uiPriority w:val="99"/>
    <w:rsid w:val="00531406"/>
  </w:style>
  <w:style w:type="character" w:styleId="PageNumber">
    <w:name w:val="page number"/>
    <w:basedOn w:val="DefaultParagraphFont"/>
    <w:uiPriority w:val="99"/>
    <w:semiHidden/>
    <w:unhideWhenUsed/>
    <w:rsid w:val="0053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067">
      <w:bodyDiv w:val="1"/>
      <w:marLeft w:val="0"/>
      <w:marRight w:val="0"/>
      <w:marTop w:val="0"/>
      <w:marBottom w:val="0"/>
      <w:divBdr>
        <w:top w:val="none" w:sz="0" w:space="0" w:color="auto"/>
        <w:left w:val="none" w:sz="0" w:space="0" w:color="auto"/>
        <w:bottom w:val="none" w:sz="0" w:space="0" w:color="auto"/>
        <w:right w:val="none" w:sz="0" w:space="0" w:color="auto"/>
      </w:divBdr>
    </w:div>
    <w:div w:id="47149196">
      <w:bodyDiv w:val="1"/>
      <w:marLeft w:val="0"/>
      <w:marRight w:val="0"/>
      <w:marTop w:val="0"/>
      <w:marBottom w:val="0"/>
      <w:divBdr>
        <w:top w:val="none" w:sz="0" w:space="0" w:color="auto"/>
        <w:left w:val="none" w:sz="0" w:space="0" w:color="auto"/>
        <w:bottom w:val="none" w:sz="0" w:space="0" w:color="auto"/>
        <w:right w:val="none" w:sz="0" w:space="0" w:color="auto"/>
      </w:divBdr>
    </w:div>
    <w:div w:id="56638299">
      <w:bodyDiv w:val="1"/>
      <w:marLeft w:val="0"/>
      <w:marRight w:val="0"/>
      <w:marTop w:val="0"/>
      <w:marBottom w:val="0"/>
      <w:divBdr>
        <w:top w:val="none" w:sz="0" w:space="0" w:color="auto"/>
        <w:left w:val="none" w:sz="0" w:space="0" w:color="auto"/>
        <w:bottom w:val="none" w:sz="0" w:space="0" w:color="auto"/>
        <w:right w:val="none" w:sz="0" w:space="0" w:color="auto"/>
      </w:divBdr>
    </w:div>
    <w:div w:id="90400783">
      <w:bodyDiv w:val="1"/>
      <w:marLeft w:val="0"/>
      <w:marRight w:val="0"/>
      <w:marTop w:val="0"/>
      <w:marBottom w:val="0"/>
      <w:divBdr>
        <w:top w:val="none" w:sz="0" w:space="0" w:color="auto"/>
        <w:left w:val="none" w:sz="0" w:space="0" w:color="auto"/>
        <w:bottom w:val="none" w:sz="0" w:space="0" w:color="auto"/>
        <w:right w:val="none" w:sz="0" w:space="0" w:color="auto"/>
      </w:divBdr>
    </w:div>
    <w:div w:id="118299548">
      <w:bodyDiv w:val="1"/>
      <w:marLeft w:val="0"/>
      <w:marRight w:val="0"/>
      <w:marTop w:val="0"/>
      <w:marBottom w:val="0"/>
      <w:divBdr>
        <w:top w:val="none" w:sz="0" w:space="0" w:color="auto"/>
        <w:left w:val="none" w:sz="0" w:space="0" w:color="auto"/>
        <w:bottom w:val="none" w:sz="0" w:space="0" w:color="auto"/>
        <w:right w:val="none" w:sz="0" w:space="0" w:color="auto"/>
      </w:divBdr>
      <w:divsChild>
        <w:div w:id="213586775">
          <w:marLeft w:val="0"/>
          <w:marRight w:val="0"/>
          <w:marTop w:val="0"/>
          <w:marBottom w:val="0"/>
          <w:divBdr>
            <w:top w:val="none" w:sz="0" w:space="0" w:color="auto"/>
            <w:left w:val="none" w:sz="0" w:space="0" w:color="auto"/>
            <w:bottom w:val="none" w:sz="0" w:space="0" w:color="auto"/>
            <w:right w:val="none" w:sz="0" w:space="0" w:color="auto"/>
          </w:divBdr>
          <w:divsChild>
            <w:div w:id="1576935947">
              <w:marLeft w:val="0"/>
              <w:marRight w:val="0"/>
              <w:marTop w:val="0"/>
              <w:marBottom w:val="0"/>
              <w:divBdr>
                <w:top w:val="none" w:sz="0" w:space="0" w:color="auto"/>
                <w:left w:val="none" w:sz="0" w:space="0" w:color="auto"/>
                <w:bottom w:val="none" w:sz="0" w:space="0" w:color="auto"/>
                <w:right w:val="none" w:sz="0" w:space="0" w:color="auto"/>
              </w:divBdr>
              <w:divsChild>
                <w:div w:id="16763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91498609">
      <w:bodyDiv w:val="1"/>
      <w:marLeft w:val="0"/>
      <w:marRight w:val="0"/>
      <w:marTop w:val="0"/>
      <w:marBottom w:val="0"/>
      <w:divBdr>
        <w:top w:val="none" w:sz="0" w:space="0" w:color="auto"/>
        <w:left w:val="none" w:sz="0" w:space="0" w:color="auto"/>
        <w:bottom w:val="none" w:sz="0" w:space="0" w:color="auto"/>
        <w:right w:val="none" w:sz="0" w:space="0" w:color="auto"/>
      </w:divBdr>
    </w:div>
    <w:div w:id="252905584">
      <w:bodyDiv w:val="1"/>
      <w:marLeft w:val="0"/>
      <w:marRight w:val="0"/>
      <w:marTop w:val="0"/>
      <w:marBottom w:val="0"/>
      <w:divBdr>
        <w:top w:val="none" w:sz="0" w:space="0" w:color="auto"/>
        <w:left w:val="none" w:sz="0" w:space="0" w:color="auto"/>
        <w:bottom w:val="none" w:sz="0" w:space="0" w:color="auto"/>
        <w:right w:val="none" w:sz="0" w:space="0" w:color="auto"/>
      </w:divBdr>
      <w:divsChild>
        <w:div w:id="734359790">
          <w:marLeft w:val="0"/>
          <w:marRight w:val="0"/>
          <w:marTop w:val="0"/>
          <w:marBottom w:val="0"/>
          <w:divBdr>
            <w:top w:val="none" w:sz="0" w:space="0" w:color="auto"/>
            <w:left w:val="none" w:sz="0" w:space="0" w:color="auto"/>
            <w:bottom w:val="none" w:sz="0" w:space="0" w:color="auto"/>
            <w:right w:val="none" w:sz="0" w:space="0" w:color="auto"/>
          </w:divBdr>
          <w:divsChild>
            <w:div w:id="190535997">
              <w:marLeft w:val="0"/>
              <w:marRight w:val="0"/>
              <w:marTop w:val="0"/>
              <w:marBottom w:val="0"/>
              <w:divBdr>
                <w:top w:val="none" w:sz="0" w:space="0" w:color="auto"/>
                <w:left w:val="none" w:sz="0" w:space="0" w:color="auto"/>
                <w:bottom w:val="none" w:sz="0" w:space="0" w:color="auto"/>
                <w:right w:val="none" w:sz="0" w:space="0" w:color="auto"/>
              </w:divBdr>
              <w:divsChild>
                <w:div w:id="915355509">
                  <w:marLeft w:val="0"/>
                  <w:marRight w:val="0"/>
                  <w:marTop w:val="0"/>
                  <w:marBottom w:val="0"/>
                  <w:divBdr>
                    <w:top w:val="none" w:sz="0" w:space="0" w:color="auto"/>
                    <w:left w:val="none" w:sz="0" w:space="0" w:color="auto"/>
                    <w:bottom w:val="none" w:sz="0" w:space="0" w:color="auto"/>
                    <w:right w:val="none" w:sz="0" w:space="0" w:color="auto"/>
                  </w:divBdr>
                  <w:divsChild>
                    <w:div w:id="17124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77302">
      <w:bodyDiv w:val="1"/>
      <w:marLeft w:val="0"/>
      <w:marRight w:val="0"/>
      <w:marTop w:val="0"/>
      <w:marBottom w:val="0"/>
      <w:divBdr>
        <w:top w:val="none" w:sz="0" w:space="0" w:color="auto"/>
        <w:left w:val="none" w:sz="0" w:space="0" w:color="auto"/>
        <w:bottom w:val="none" w:sz="0" w:space="0" w:color="auto"/>
        <w:right w:val="none" w:sz="0" w:space="0" w:color="auto"/>
      </w:divBdr>
    </w:div>
    <w:div w:id="294262218">
      <w:bodyDiv w:val="1"/>
      <w:marLeft w:val="0"/>
      <w:marRight w:val="0"/>
      <w:marTop w:val="0"/>
      <w:marBottom w:val="0"/>
      <w:divBdr>
        <w:top w:val="none" w:sz="0" w:space="0" w:color="auto"/>
        <w:left w:val="none" w:sz="0" w:space="0" w:color="auto"/>
        <w:bottom w:val="none" w:sz="0" w:space="0" w:color="auto"/>
        <w:right w:val="none" w:sz="0" w:space="0" w:color="auto"/>
      </w:divBdr>
    </w:div>
    <w:div w:id="302658520">
      <w:bodyDiv w:val="1"/>
      <w:marLeft w:val="0"/>
      <w:marRight w:val="0"/>
      <w:marTop w:val="0"/>
      <w:marBottom w:val="0"/>
      <w:divBdr>
        <w:top w:val="none" w:sz="0" w:space="0" w:color="auto"/>
        <w:left w:val="none" w:sz="0" w:space="0" w:color="auto"/>
        <w:bottom w:val="none" w:sz="0" w:space="0" w:color="auto"/>
        <w:right w:val="none" w:sz="0" w:space="0" w:color="auto"/>
      </w:divBdr>
    </w:div>
    <w:div w:id="357633067">
      <w:bodyDiv w:val="1"/>
      <w:marLeft w:val="0"/>
      <w:marRight w:val="0"/>
      <w:marTop w:val="0"/>
      <w:marBottom w:val="0"/>
      <w:divBdr>
        <w:top w:val="none" w:sz="0" w:space="0" w:color="auto"/>
        <w:left w:val="none" w:sz="0" w:space="0" w:color="auto"/>
        <w:bottom w:val="none" w:sz="0" w:space="0" w:color="auto"/>
        <w:right w:val="none" w:sz="0" w:space="0" w:color="auto"/>
      </w:divBdr>
    </w:div>
    <w:div w:id="405154515">
      <w:bodyDiv w:val="1"/>
      <w:marLeft w:val="0"/>
      <w:marRight w:val="0"/>
      <w:marTop w:val="0"/>
      <w:marBottom w:val="0"/>
      <w:divBdr>
        <w:top w:val="none" w:sz="0" w:space="0" w:color="auto"/>
        <w:left w:val="none" w:sz="0" w:space="0" w:color="auto"/>
        <w:bottom w:val="none" w:sz="0" w:space="0" w:color="auto"/>
        <w:right w:val="none" w:sz="0" w:space="0" w:color="auto"/>
      </w:divBdr>
    </w:div>
    <w:div w:id="471289053">
      <w:bodyDiv w:val="1"/>
      <w:marLeft w:val="0"/>
      <w:marRight w:val="0"/>
      <w:marTop w:val="0"/>
      <w:marBottom w:val="0"/>
      <w:divBdr>
        <w:top w:val="none" w:sz="0" w:space="0" w:color="auto"/>
        <w:left w:val="none" w:sz="0" w:space="0" w:color="auto"/>
        <w:bottom w:val="none" w:sz="0" w:space="0" w:color="auto"/>
        <w:right w:val="none" w:sz="0" w:space="0" w:color="auto"/>
      </w:divBdr>
    </w:div>
    <w:div w:id="489490187">
      <w:bodyDiv w:val="1"/>
      <w:marLeft w:val="0"/>
      <w:marRight w:val="0"/>
      <w:marTop w:val="0"/>
      <w:marBottom w:val="0"/>
      <w:divBdr>
        <w:top w:val="none" w:sz="0" w:space="0" w:color="auto"/>
        <w:left w:val="none" w:sz="0" w:space="0" w:color="auto"/>
        <w:bottom w:val="none" w:sz="0" w:space="0" w:color="auto"/>
        <w:right w:val="none" w:sz="0" w:space="0" w:color="auto"/>
      </w:divBdr>
    </w:div>
    <w:div w:id="517545272">
      <w:bodyDiv w:val="1"/>
      <w:marLeft w:val="0"/>
      <w:marRight w:val="0"/>
      <w:marTop w:val="0"/>
      <w:marBottom w:val="0"/>
      <w:divBdr>
        <w:top w:val="none" w:sz="0" w:space="0" w:color="auto"/>
        <w:left w:val="none" w:sz="0" w:space="0" w:color="auto"/>
        <w:bottom w:val="none" w:sz="0" w:space="0" w:color="auto"/>
        <w:right w:val="none" w:sz="0" w:space="0" w:color="auto"/>
      </w:divBdr>
      <w:divsChild>
        <w:div w:id="425152695">
          <w:marLeft w:val="0"/>
          <w:marRight w:val="0"/>
          <w:marTop w:val="0"/>
          <w:marBottom w:val="0"/>
          <w:divBdr>
            <w:top w:val="none" w:sz="0" w:space="0" w:color="auto"/>
            <w:left w:val="none" w:sz="0" w:space="0" w:color="auto"/>
            <w:bottom w:val="none" w:sz="0" w:space="0" w:color="auto"/>
            <w:right w:val="none" w:sz="0" w:space="0" w:color="auto"/>
          </w:divBdr>
          <w:divsChild>
            <w:div w:id="596981354">
              <w:marLeft w:val="0"/>
              <w:marRight w:val="0"/>
              <w:marTop w:val="0"/>
              <w:marBottom w:val="0"/>
              <w:divBdr>
                <w:top w:val="none" w:sz="0" w:space="0" w:color="auto"/>
                <w:left w:val="none" w:sz="0" w:space="0" w:color="auto"/>
                <w:bottom w:val="none" w:sz="0" w:space="0" w:color="auto"/>
                <w:right w:val="none" w:sz="0" w:space="0" w:color="auto"/>
              </w:divBdr>
              <w:divsChild>
                <w:div w:id="20008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5258">
      <w:bodyDiv w:val="1"/>
      <w:marLeft w:val="0"/>
      <w:marRight w:val="0"/>
      <w:marTop w:val="0"/>
      <w:marBottom w:val="0"/>
      <w:divBdr>
        <w:top w:val="none" w:sz="0" w:space="0" w:color="auto"/>
        <w:left w:val="none" w:sz="0" w:space="0" w:color="auto"/>
        <w:bottom w:val="none" w:sz="0" w:space="0" w:color="auto"/>
        <w:right w:val="none" w:sz="0" w:space="0" w:color="auto"/>
      </w:divBdr>
    </w:div>
    <w:div w:id="548303335">
      <w:bodyDiv w:val="1"/>
      <w:marLeft w:val="0"/>
      <w:marRight w:val="0"/>
      <w:marTop w:val="0"/>
      <w:marBottom w:val="0"/>
      <w:divBdr>
        <w:top w:val="none" w:sz="0" w:space="0" w:color="auto"/>
        <w:left w:val="none" w:sz="0" w:space="0" w:color="auto"/>
        <w:bottom w:val="none" w:sz="0" w:space="0" w:color="auto"/>
        <w:right w:val="none" w:sz="0" w:space="0" w:color="auto"/>
      </w:divBdr>
    </w:div>
    <w:div w:id="556018365">
      <w:bodyDiv w:val="1"/>
      <w:marLeft w:val="0"/>
      <w:marRight w:val="0"/>
      <w:marTop w:val="0"/>
      <w:marBottom w:val="0"/>
      <w:divBdr>
        <w:top w:val="none" w:sz="0" w:space="0" w:color="auto"/>
        <w:left w:val="none" w:sz="0" w:space="0" w:color="auto"/>
        <w:bottom w:val="none" w:sz="0" w:space="0" w:color="auto"/>
        <w:right w:val="none" w:sz="0" w:space="0" w:color="auto"/>
      </w:divBdr>
      <w:divsChild>
        <w:div w:id="187259261">
          <w:marLeft w:val="0"/>
          <w:marRight w:val="0"/>
          <w:marTop w:val="0"/>
          <w:marBottom w:val="0"/>
          <w:divBdr>
            <w:top w:val="none" w:sz="0" w:space="0" w:color="auto"/>
            <w:left w:val="none" w:sz="0" w:space="0" w:color="auto"/>
            <w:bottom w:val="none" w:sz="0" w:space="0" w:color="auto"/>
            <w:right w:val="none" w:sz="0" w:space="0" w:color="auto"/>
          </w:divBdr>
          <w:divsChild>
            <w:div w:id="376515984">
              <w:marLeft w:val="0"/>
              <w:marRight w:val="0"/>
              <w:marTop w:val="0"/>
              <w:marBottom w:val="0"/>
              <w:divBdr>
                <w:top w:val="none" w:sz="0" w:space="0" w:color="auto"/>
                <w:left w:val="none" w:sz="0" w:space="0" w:color="auto"/>
                <w:bottom w:val="none" w:sz="0" w:space="0" w:color="auto"/>
                <w:right w:val="none" w:sz="0" w:space="0" w:color="auto"/>
              </w:divBdr>
              <w:divsChild>
                <w:div w:id="6990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7063">
      <w:bodyDiv w:val="1"/>
      <w:marLeft w:val="0"/>
      <w:marRight w:val="0"/>
      <w:marTop w:val="0"/>
      <w:marBottom w:val="0"/>
      <w:divBdr>
        <w:top w:val="none" w:sz="0" w:space="0" w:color="auto"/>
        <w:left w:val="none" w:sz="0" w:space="0" w:color="auto"/>
        <w:bottom w:val="none" w:sz="0" w:space="0" w:color="auto"/>
        <w:right w:val="none" w:sz="0" w:space="0" w:color="auto"/>
      </w:divBdr>
    </w:div>
    <w:div w:id="627862675">
      <w:bodyDiv w:val="1"/>
      <w:marLeft w:val="0"/>
      <w:marRight w:val="0"/>
      <w:marTop w:val="0"/>
      <w:marBottom w:val="0"/>
      <w:divBdr>
        <w:top w:val="none" w:sz="0" w:space="0" w:color="auto"/>
        <w:left w:val="none" w:sz="0" w:space="0" w:color="auto"/>
        <w:bottom w:val="none" w:sz="0" w:space="0" w:color="auto"/>
        <w:right w:val="none" w:sz="0" w:space="0" w:color="auto"/>
      </w:divBdr>
    </w:div>
    <w:div w:id="679428549">
      <w:bodyDiv w:val="1"/>
      <w:marLeft w:val="0"/>
      <w:marRight w:val="0"/>
      <w:marTop w:val="0"/>
      <w:marBottom w:val="0"/>
      <w:divBdr>
        <w:top w:val="none" w:sz="0" w:space="0" w:color="auto"/>
        <w:left w:val="none" w:sz="0" w:space="0" w:color="auto"/>
        <w:bottom w:val="none" w:sz="0" w:space="0" w:color="auto"/>
        <w:right w:val="none" w:sz="0" w:space="0" w:color="auto"/>
      </w:divBdr>
    </w:div>
    <w:div w:id="679544317">
      <w:bodyDiv w:val="1"/>
      <w:marLeft w:val="0"/>
      <w:marRight w:val="0"/>
      <w:marTop w:val="0"/>
      <w:marBottom w:val="0"/>
      <w:divBdr>
        <w:top w:val="none" w:sz="0" w:space="0" w:color="auto"/>
        <w:left w:val="none" w:sz="0" w:space="0" w:color="auto"/>
        <w:bottom w:val="none" w:sz="0" w:space="0" w:color="auto"/>
        <w:right w:val="none" w:sz="0" w:space="0" w:color="auto"/>
      </w:divBdr>
      <w:divsChild>
        <w:div w:id="699280662">
          <w:marLeft w:val="0"/>
          <w:marRight w:val="0"/>
          <w:marTop w:val="0"/>
          <w:marBottom w:val="0"/>
          <w:divBdr>
            <w:top w:val="none" w:sz="0" w:space="0" w:color="auto"/>
            <w:left w:val="none" w:sz="0" w:space="0" w:color="auto"/>
            <w:bottom w:val="none" w:sz="0" w:space="0" w:color="auto"/>
            <w:right w:val="none" w:sz="0" w:space="0" w:color="auto"/>
          </w:divBdr>
          <w:divsChild>
            <w:div w:id="89990">
              <w:marLeft w:val="0"/>
              <w:marRight w:val="0"/>
              <w:marTop w:val="0"/>
              <w:marBottom w:val="0"/>
              <w:divBdr>
                <w:top w:val="none" w:sz="0" w:space="0" w:color="auto"/>
                <w:left w:val="none" w:sz="0" w:space="0" w:color="auto"/>
                <w:bottom w:val="none" w:sz="0" w:space="0" w:color="auto"/>
                <w:right w:val="none" w:sz="0" w:space="0" w:color="auto"/>
              </w:divBdr>
              <w:divsChild>
                <w:div w:id="11930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2847">
      <w:bodyDiv w:val="1"/>
      <w:marLeft w:val="0"/>
      <w:marRight w:val="0"/>
      <w:marTop w:val="0"/>
      <w:marBottom w:val="0"/>
      <w:divBdr>
        <w:top w:val="none" w:sz="0" w:space="0" w:color="auto"/>
        <w:left w:val="none" w:sz="0" w:space="0" w:color="auto"/>
        <w:bottom w:val="none" w:sz="0" w:space="0" w:color="auto"/>
        <w:right w:val="none" w:sz="0" w:space="0" w:color="auto"/>
      </w:divBdr>
    </w:div>
    <w:div w:id="754935658">
      <w:bodyDiv w:val="1"/>
      <w:marLeft w:val="0"/>
      <w:marRight w:val="0"/>
      <w:marTop w:val="0"/>
      <w:marBottom w:val="0"/>
      <w:divBdr>
        <w:top w:val="none" w:sz="0" w:space="0" w:color="auto"/>
        <w:left w:val="none" w:sz="0" w:space="0" w:color="auto"/>
        <w:bottom w:val="none" w:sz="0" w:space="0" w:color="auto"/>
        <w:right w:val="none" w:sz="0" w:space="0" w:color="auto"/>
      </w:divBdr>
    </w:div>
    <w:div w:id="790048475">
      <w:bodyDiv w:val="1"/>
      <w:marLeft w:val="0"/>
      <w:marRight w:val="0"/>
      <w:marTop w:val="0"/>
      <w:marBottom w:val="0"/>
      <w:divBdr>
        <w:top w:val="none" w:sz="0" w:space="0" w:color="auto"/>
        <w:left w:val="none" w:sz="0" w:space="0" w:color="auto"/>
        <w:bottom w:val="none" w:sz="0" w:space="0" w:color="auto"/>
        <w:right w:val="none" w:sz="0" w:space="0" w:color="auto"/>
      </w:divBdr>
    </w:div>
    <w:div w:id="792403947">
      <w:bodyDiv w:val="1"/>
      <w:marLeft w:val="0"/>
      <w:marRight w:val="0"/>
      <w:marTop w:val="0"/>
      <w:marBottom w:val="0"/>
      <w:divBdr>
        <w:top w:val="none" w:sz="0" w:space="0" w:color="auto"/>
        <w:left w:val="none" w:sz="0" w:space="0" w:color="auto"/>
        <w:bottom w:val="none" w:sz="0" w:space="0" w:color="auto"/>
        <w:right w:val="none" w:sz="0" w:space="0" w:color="auto"/>
      </w:divBdr>
    </w:div>
    <w:div w:id="863785921">
      <w:bodyDiv w:val="1"/>
      <w:marLeft w:val="0"/>
      <w:marRight w:val="0"/>
      <w:marTop w:val="0"/>
      <w:marBottom w:val="0"/>
      <w:divBdr>
        <w:top w:val="none" w:sz="0" w:space="0" w:color="auto"/>
        <w:left w:val="none" w:sz="0" w:space="0" w:color="auto"/>
        <w:bottom w:val="none" w:sz="0" w:space="0" w:color="auto"/>
        <w:right w:val="none" w:sz="0" w:space="0" w:color="auto"/>
      </w:divBdr>
    </w:div>
    <w:div w:id="877280645">
      <w:bodyDiv w:val="1"/>
      <w:marLeft w:val="0"/>
      <w:marRight w:val="0"/>
      <w:marTop w:val="0"/>
      <w:marBottom w:val="0"/>
      <w:divBdr>
        <w:top w:val="none" w:sz="0" w:space="0" w:color="auto"/>
        <w:left w:val="none" w:sz="0" w:space="0" w:color="auto"/>
        <w:bottom w:val="none" w:sz="0" w:space="0" w:color="auto"/>
        <w:right w:val="none" w:sz="0" w:space="0" w:color="auto"/>
      </w:divBdr>
    </w:div>
    <w:div w:id="958031546">
      <w:bodyDiv w:val="1"/>
      <w:marLeft w:val="0"/>
      <w:marRight w:val="0"/>
      <w:marTop w:val="0"/>
      <w:marBottom w:val="0"/>
      <w:divBdr>
        <w:top w:val="none" w:sz="0" w:space="0" w:color="auto"/>
        <w:left w:val="none" w:sz="0" w:space="0" w:color="auto"/>
        <w:bottom w:val="none" w:sz="0" w:space="0" w:color="auto"/>
        <w:right w:val="none" w:sz="0" w:space="0" w:color="auto"/>
      </w:divBdr>
    </w:div>
    <w:div w:id="966086156">
      <w:bodyDiv w:val="1"/>
      <w:marLeft w:val="0"/>
      <w:marRight w:val="0"/>
      <w:marTop w:val="0"/>
      <w:marBottom w:val="0"/>
      <w:divBdr>
        <w:top w:val="none" w:sz="0" w:space="0" w:color="auto"/>
        <w:left w:val="none" w:sz="0" w:space="0" w:color="auto"/>
        <w:bottom w:val="none" w:sz="0" w:space="0" w:color="auto"/>
        <w:right w:val="none" w:sz="0" w:space="0" w:color="auto"/>
      </w:divBdr>
    </w:div>
    <w:div w:id="1070351147">
      <w:bodyDiv w:val="1"/>
      <w:marLeft w:val="0"/>
      <w:marRight w:val="0"/>
      <w:marTop w:val="0"/>
      <w:marBottom w:val="0"/>
      <w:divBdr>
        <w:top w:val="none" w:sz="0" w:space="0" w:color="auto"/>
        <w:left w:val="none" w:sz="0" w:space="0" w:color="auto"/>
        <w:bottom w:val="none" w:sz="0" w:space="0" w:color="auto"/>
        <w:right w:val="none" w:sz="0" w:space="0" w:color="auto"/>
      </w:divBdr>
      <w:divsChild>
        <w:div w:id="1914578578">
          <w:marLeft w:val="0"/>
          <w:marRight w:val="0"/>
          <w:marTop w:val="0"/>
          <w:marBottom w:val="0"/>
          <w:divBdr>
            <w:top w:val="none" w:sz="0" w:space="0" w:color="auto"/>
            <w:left w:val="none" w:sz="0" w:space="0" w:color="auto"/>
            <w:bottom w:val="none" w:sz="0" w:space="0" w:color="auto"/>
            <w:right w:val="none" w:sz="0" w:space="0" w:color="auto"/>
          </w:divBdr>
          <w:divsChild>
            <w:div w:id="623388554">
              <w:marLeft w:val="0"/>
              <w:marRight w:val="0"/>
              <w:marTop w:val="0"/>
              <w:marBottom w:val="0"/>
              <w:divBdr>
                <w:top w:val="none" w:sz="0" w:space="0" w:color="auto"/>
                <w:left w:val="none" w:sz="0" w:space="0" w:color="auto"/>
                <w:bottom w:val="none" w:sz="0" w:space="0" w:color="auto"/>
                <w:right w:val="none" w:sz="0" w:space="0" w:color="auto"/>
              </w:divBdr>
              <w:divsChild>
                <w:div w:id="742290905">
                  <w:marLeft w:val="0"/>
                  <w:marRight w:val="0"/>
                  <w:marTop w:val="0"/>
                  <w:marBottom w:val="0"/>
                  <w:divBdr>
                    <w:top w:val="none" w:sz="0" w:space="0" w:color="auto"/>
                    <w:left w:val="none" w:sz="0" w:space="0" w:color="auto"/>
                    <w:bottom w:val="none" w:sz="0" w:space="0" w:color="auto"/>
                    <w:right w:val="none" w:sz="0" w:space="0" w:color="auto"/>
                  </w:divBdr>
                  <w:divsChild>
                    <w:div w:id="15822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4650">
      <w:bodyDiv w:val="1"/>
      <w:marLeft w:val="0"/>
      <w:marRight w:val="0"/>
      <w:marTop w:val="0"/>
      <w:marBottom w:val="0"/>
      <w:divBdr>
        <w:top w:val="none" w:sz="0" w:space="0" w:color="auto"/>
        <w:left w:val="none" w:sz="0" w:space="0" w:color="auto"/>
        <w:bottom w:val="none" w:sz="0" w:space="0" w:color="auto"/>
        <w:right w:val="none" w:sz="0" w:space="0" w:color="auto"/>
      </w:divBdr>
    </w:div>
    <w:div w:id="1210338824">
      <w:bodyDiv w:val="1"/>
      <w:marLeft w:val="0"/>
      <w:marRight w:val="0"/>
      <w:marTop w:val="0"/>
      <w:marBottom w:val="0"/>
      <w:divBdr>
        <w:top w:val="none" w:sz="0" w:space="0" w:color="auto"/>
        <w:left w:val="none" w:sz="0" w:space="0" w:color="auto"/>
        <w:bottom w:val="none" w:sz="0" w:space="0" w:color="auto"/>
        <w:right w:val="none" w:sz="0" w:space="0" w:color="auto"/>
      </w:divBdr>
    </w:div>
    <w:div w:id="1273516549">
      <w:bodyDiv w:val="1"/>
      <w:marLeft w:val="0"/>
      <w:marRight w:val="0"/>
      <w:marTop w:val="0"/>
      <w:marBottom w:val="0"/>
      <w:divBdr>
        <w:top w:val="none" w:sz="0" w:space="0" w:color="auto"/>
        <w:left w:val="none" w:sz="0" w:space="0" w:color="auto"/>
        <w:bottom w:val="none" w:sz="0" w:space="0" w:color="auto"/>
        <w:right w:val="none" w:sz="0" w:space="0" w:color="auto"/>
      </w:divBdr>
      <w:divsChild>
        <w:div w:id="699549286">
          <w:marLeft w:val="0"/>
          <w:marRight w:val="0"/>
          <w:marTop w:val="0"/>
          <w:marBottom w:val="0"/>
          <w:divBdr>
            <w:top w:val="none" w:sz="0" w:space="0" w:color="auto"/>
            <w:left w:val="none" w:sz="0" w:space="0" w:color="auto"/>
            <w:bottom w:val="none" w:sz="0" w:space="0" w:color="auto"/>
            <w:right w:val="none" w:sz="0" w:space="0" w:color="auto"/>
          </w:divBdr>
          <w:divsChild>
            <w:div w:id="2019237811">
              <w:marLeft w:val="0"/>
              <w:marRight w:val="0"/>
              <w:marTop w:val="0"/>
              <w:marBottom w:val="0"/>
              <w:divBdr>
                <w:top w:val="none" w:sz="0" w:space="0" w:color="auto"/>
                <w:left w:val="none" w:sz="0" w:space="0" w:color="auto"/>
                <w:bottom w:val="none" w:sz="0" w:space="0" w:color="auto"/>
                <w:right w:val="none" w:sz="0" w:space="0" w:color="auto"/>
              </w:divBdr>
              <w:divsChild>
                <w:div w:id="1477915298">
                  <w:marLeft w:val="0"/>
                  <w:marRight w:val="0"/>
                  <w:marTop w:val="0"/>
                  <w:marBottom w:val="0"/>
                  <w:divBdr>
                    <w:top w:val="none" w:sz="0" w:space="0" w:color="auto"/>
                    <w:left w:val="none" w:sz="0" w:space="0" w:color="auto"/>
                    <w:bottom w:val="none" w:sz="0" w:space="0" w:color="auto"/>
                    <w:right w:val="none" w:sz="0" w:space="0" w:color="auto"/>
                  </w:divBdr>
                  <w:divsChild>
                    <w:div w:id="20671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054515">
      <w:bodyDiv w:val="1"/>
      <w:marLeft w:val="0"/>
      <w:marRight w:val="0"/>
      <w:marTop w:val="0"/>
      <w:marBottom w:val="0"/>
      <w:divBdr>
        <w:top w:val="none" w:sz="0" w:space="0" w:color="auto"/>
        <w:left w:val="none" w:sz="0" w:space="0" w:color="auto"/>
        <w:bottom w:val="none" w:sz="0" w:space="0" w:color="auto"/>
        <w:right w:val="none" w:sz="0" w:space="0" w:color="auto"/>
      </w:divBdr>
    </w:div>
    <w:div w:id="1304846817">
      <w:bodyDiv w:val="1"/>
      <w:marLeft w:val="0"/>
      <w:marRight w:val="0"/>
      <w:marTop w:val="0"/>
      <w:marBottom w:val="0"/>
      <w:divBdr>
        <w:top w:val="none" w:sz="0" w:space="0" w:color="auto"/>
        <w:left w:val="none" w:sz="0" w:space="0" w:color="auto"/>
        <w:bottom w:val="none" w:sz="0" w:space="0" w:color="auto"/>
        <w:right w:val="none" w:sz="0" w:space="0" w:color="auto"/>
      </w:divBdr>
      <w:divsChild>
        <w:div w:id="25716378">
          <w:marLeft w:val="0"/>
          <w:marRight w:val="0"/>
          <w:marTop w:val="0"/>
          <w:marBottom w:val="0"/>
          <w:divBdr>
            <w:top w:val="none" w:sz="0" w:space="0" w:color="auto"/>
            <w:left w:val="none" w:sz="0" w:space="0" w:color="auto"/>
            <w:bottom w:val="none" w:sz="0" w:space="0" w:color="auto"/>
            <w:right w:val="none" w:sz="0" w:space="0" w:color="auto"/>
          </w:divBdr>
          <w:divsChild>
            <w:div w:id="1249997445">
              <w:marLeft w:val="0"/>
              <w:marRight w:val="0"/>
              <w:marTop w:val="0"/>
              <w:marBottom w:val="0"/>
              <w:divBdr>
                <w:top w:val="none" w:sz="0" w:space="0" w:color="auto"/>
                <w:left w:val="none" w:sz="0" w:space="0" w:color="auto"/>
                <w:bottom w:val="none" w:sz="0" w:space="0" w:color="auto"/>
                <w:right w:val="none" w:sz="0" w:space="0" w:color="auto"/>
              </w:divBdr>
              <w:divsChild>
                <w:div w:id="360521422">
                  <w:marLeft w:val="0"/>
                  <w:marRight w:val="0"/>
                  <w:marTop w:val="0"/>
                  <w:marBottom w:val="0"/>
                  <w:divBdr>
                    <w:top w:val="none" w:sz="0" w:space="0" w:color="auto"/>
                    <w:left w:val="none" w:sz="0" w:space="0" w:color="auto"/>
                    <w:bottom w:val="none" w:sz="0" w:space="0" w:color="auto"/>
                    <w:right w:val="none" w:sz="0" w:space="0" w:color="auto"/>
                  </w:divBdr>
                  <w:divsChild>
                    <w:div w:id="14192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4549">
      <w:bodyDiv w:val="1"/>
      <w:marLeft w:val="0"/>
      <w:marRight w:val="0"/>
      <w:marTop w:val="0"/>
      <w:marBottom w:val="0"/>
      <w:divBdr>
        <w:top w:val="none" w:sz="0" w:space="0" w:color="auto"/>
        <w:left w:val="none" w:sz="0" w:space="0" w:color="auto"/>
        <w:bottom w:val="none" w:sz="0" w:space="0" w:color="auto"/>
        <w:right w:val="none" w:sz="0" w:space="0" w:color="auto"/>
      </w:divBdr>
      <w:divsChild>
        <w:div w:id="1938248031">
          <w:marLeft w:val="0"/>
          <w:marRight w:val="0"/>
          <w:marTop w:val="0"/>
          <w:marBottom w:val="0"/>
          <w:divBdr>
            <w:top w:val="none" w:sz="0" w:space="0" w:color="auto"/>
            <w:left w:val="none" w:sz="0" w:space="0" w:color="auto"/>
            <w:bottom w:val="none" w:sz="0" w:space="0" w:color="auto"/>
            <w:right w:val="none" w:sz="0" w:space="0" w:color="auto"/>
          </w:divBdr>
          <w:divsChild>
            <w:div w:id="2007318922">
              <w:marLeft w:val="0"/>
              <w:marRight w:val="0"/>
              <w:marTop w:val="0"/>
              <w:marBottom w:val="0"/>
              <w:divBdr>
                <w:top w:val="none" w:sz="0" w:space="0" w:color="auto"/>
                <w:left w:val="none" w:sz="0" w:space="0" w:color="auto"/>
                <w:bottom w:val="none" w:sz="0" w:space="0" w:color="auto"/>
                <w:right w:val="none" w:sz="0" w:space="0" w:color="auto"/>
              </w:divBdr>
              <w:divsChild>
                <w:div w:id="124543333">
                  <w:marLeft w:val="0"/>
                  <w:marRight w:val="0"/>
                  <w:marTop w:val="0"/>
                  <w:marBottom w:val="0"/>
                  <w:divBdr>
                    <w:top w:val="none" w:sz="0" w:space="0" w:color="auto"/>
                    <w:left w:val="none" w:sz="0" w:space="0" w:color="auto"/>
                    <w:bottom w:val="none" w:sz="0" w:space="0" w:color="auto"/>
                    <w:right w:val="none" w:sz="0" w:space="0" w:color="auto"/>
                  </w:divBdr>
                  <w:divsChild>
                    <w:div w:id="5679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7133">
      <w:bodyDiv w:val="1"/>
      <w:marLeft w:val="0"/>
      <w:marRight w:val="0"/>
      <w:marTop w:val="0"/>
      <w:marBottom w:val="0"/>
      <w:divBdr>
        <w:top w:val="none" w:sz="0" w:space="0" w:color="auto"/>
        <w:left w:val="none" w:sz="0" w:space="0" w:color="auto"/>
        <w:bottom w:val="none" w:sz="0" w:space="0" w:color="auto"/>
        <w:right w:val="none" w:sz="0" w:space="0" w:color="auto"/>
      </w:divBdr>
    </w:div>
    <w:div w:id="1449203325">
      <w:bodyDiv w:val="1"/>
      <w:marLeft w:val="0"/>
      <w:marRight w:val="0"/>
      <w:marTop w:val="0"/>
      <w:marBottom w:val="0"/>
      <w:divBdr>
        <w:top w:val="none" w:sz="0" w:space="0" w:color="auto"/>
        <w:left w:val="none" w:sz="0" w:space="0" w:color="auto"/>
        <w:bottom w:val="none" w:sz="0" w:space="0" w:color="auto"/>
        <w:right w:val="none" w:sz="0" w:space="0" w:color="auto"/>
      </w:divBdr>
      <w:divsChild>
        <w:div w:id="770199646">
          <w:marLeft w:val="0"/>
          <w:marRight w:val="0"/>
          <w:marTop w:val="0"/>
          <w:marBottom w:val="0"/>
          <w:divBdr>
            <w:top w:val="none" w:sz="0" w:space="0" w:color="auto"/>
            <w:left w:val="none" w:sz="0" w:space="0" w:color="auto"/>
            <w:bottom w:val="none" w:sz="0" w:space="0" w:color="auto"/>
            <w:right w:val="none" w:sz="0" w:space="0" w:color="auto"/>
          </w:divBdr>
          <w:divsChild>
            <w:div w:id="1072310563">
              <w:marLeft w:val="0"/>
              <w:marRight w:val="0"/>
              <w:marTop w:val="0"/>
              <w:marBottom w:val="0"/>
              <w:divBdr>
                <w:top w:val="none" w:sz="0" w:space="0" w:color="auto"/>
                <w:left w:val="none" w:sz="0" w:space="0" w:color="auto"/>
                <w:bottom w:val="none" w:sz="0" w:space="0" w:color="auto"/>
                <w:right w:val="none" w:sz="0" w:space="0" w:color="auto"/>
              </w:divBdr>
              <w:divsChild>
                <w:div w:id="16637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7901">
      <w:bodyDiv w:val="1"/>
      <w:marLeft w:val="0"/>
      <w:marRight w:val="0"/>
      <w:marTop w:val="0"/>
      <w:marBottom w:val="0"/>
      <w:divBdr>
        <w:top w:val="none" w:sz="0" w:space="0" w:color="auto"/>
        <w:left w:val="none" w:sz="0" w:space="0" w:color="auto"/>
        <w:bottom w:val="none" w:sz="0" w:space="0" w:color="auto"/>
        <w:right w:val="none" w:sz="0" w:space="0" w:color="auto"/>
      </w:divBdr>
    </w:div>
    <w:div w:id="1609240062">
      <w:bodyDiv w:val="1"/>
      <w:marLeft w:val="0"/>
      <w:marRight w:val="0"/>
      <w:marTop w:val="0"/>
      <w:marBottom w:val="0"/>
      <w:divBdr>
        <w:top w:val="none" w:sz="0" w:space="0" w:color="auto"/>
        <w:left w:val="none" w:sz="0" w:space="0" w:color="auto"/>
        <w:bottom w:val="none" w:sz="0" w:space="0" w:color="auto"/>
        <w:right w:val="none" w:sz="0" w:space="0" w:color="auto"/>
      </w:divBdr>
    </w:div>
    <w:div w:id="1619949875">
      <w:bodyDiv w:val="1"/>
      <w:marLeft w:val="0"/>
      <w:marRight w:val="0"/>
      <w:marTop w:val="0"/>
      <w:marBottom w:val="0"/>
      <w:divBdr>
        <w:top w:val="none" w:sz="0" w:space="0" w:color="auto"/>
        <w:left w:val="none" w:sz="0" w:space="0" w:color="auto"/>
        <w:bottom w:val="none" w:sz="0" w:space="0" w:color="auto"/>
        <w:right w:val="none" w:sz="0" w:space="0" w:color="auto"/>
      </w:divBdr>
      <w:divsChild>
        <w:div w:id="1905067591">
          <w:marLeft w:val="0"/>
          <w:marRight w:val="0"/>
          <w:marTop w:val="0"/>
          <w:marBottom w:val="0"/>
          <w:divBdr>
            <w:top w:val="none" w:sz="0" w:space="0" w:color="auto"/>
            <w:left w:val="none" w:sz="0" w:space="0" w:color="auto"/>
            <w:bottom w:val="none" w:sz="0" w:space="0" w:color="auto"/>
            <w:right w:val="none" w:sz="0" w:space="0" w:color="auto"/>
          </w:divBdr>
          <w:divsChild>
            <w:div w:id="509951163">
              <w:marLeft w:val="0"/>
              <w:marRight w:val="0"/>
              <w:marTop w:val="0"/>
              <w:marBottom w:val="0"/>
              <w:divBdr>
                <w:top w:val="none" w:sz="0" w:space="0" w:color="auto"/>
                <w:left w:val="none" w:sz="0" w:space="0" w:color="auto"/>
                <w:bottom w:val="none" w:sz="0" w:space="0" w:color="auto"/>
                <w:right w:val="none" w:sz="0" w:space="0" w:color="auto"/>
              </w:divBdr>
              <w:divsChild>
                <w:div w:id="1264921474">
                  <w:marLeft w:val="0"/>
                  <w:marRight w:val="0"/>
                  <w:marTop w:val="0"/>
                  <w:marBottom w:val="0"/>
                  <w:divBdr>
                    <w:top w:val="none" w:sz="0" w:space="0" w:color="auto"/>
                    <w:left w:val="none" w:sz="0" w:space="0" w:color="auto"/>
                    <w:bottom w:val="none" w:sz="0" w:space="0" w:color="auto"/>
                    <w:right w:val="none" w:sz="0" w:space="0" w:color="auto"/>
                  </w:divBdr>
                  <w:divsChild>
                    <w:div w:id="16103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05151">
      <w:bodyDiv w:val="1"/>
      <w:marLeft w:val="0"/>
      <w:marRight w:val="0"/>
      <w:marTop w:val="0"/>
      <w:marBottom w:val="0"/>
      <w:divBdr>
        <w:top w:val="none" w:sz="0" w:space="0" w:color="auto"/>
        <w:left w:val="none" w:sz="0" w:space="0" w:color="auto"/>
        <w:bottom w:val="none" w:sz="0" w:space="0" w:color="auto"/>
        <w:right w:val="none" w:sz="0" w:space="0" w:color="auto"/>
      </w:divBdr>
    </w:div>
    <w:div w:id="1641181353">
      <w:bodyDiv w:val="1"/>
      <w:marLeft w:val="0"/>
      <w:marRight w:val="0"/>
      <w:marTop w:val="0"/>
      <w:marBottom w:val="0"/>
      <w:divBdr>
        <w:top w:val="none" w:sz="0" w:space="0" w:color="auto"/>
        <w:left w:val="none" w:sz="0" w:space="0" w:color="auto"/>
        <w:bottom w:val="none" w:sz="0" w:space="0" w:color="auto"/>
        <w:right w:val="none" w:sz="0" w:space="0" w:color="auto"/>
      </w:divBdr>
    </w:div>
    <w:div w:id="1761290434">
      <w:bodyDiv w:val="1"/>
      <w:marLeft w:val="0"/>
      <w:marRight w:val="0"/>
      <w:marTop w:val="0"/>
      <w:marBottom w:val="0"/>
      <w:divBdr>
        <w:top w:val="none" w:sz="0" w:space="0" w:color="auto"/>
        <w:left w:val="none" w:sz="0" w:space="0" w:color="auto"/>
        <w:bottom w:val="none" w:sz="0" w:space="0" w:color="auto"/>
        <w:right w:val="none" w:sz="0" w:space="0" w:color="auto"/>
      </w:divBdr>
      <w:divsChild>
        <w:div w:id="1167944774">
          <w:marLeft w:val="0"/>
          <w:marRight w:val="0"/>
          <w:marTop w:val="0"/>
          <w:marBottom w:val="0"/>
          <w:divBdr>
            <w:top w:val="none" w:sz="0" w:space="0" w:color="auto"/>
            <w:left w:val="none" w:sz="0" w:space="0" w:color="auto"/>
            <w:bottom w:val="none" w:sz="0" w:space="0" w:color="auto"/>
            <w:right w:val="none" w:sz="0" w:space="0" w:color="auto"/>
          </w:divBdr>
          <w:divsChild>
            <w:div w:id="770122412">
              <w:marLeft w:val="0"/>
              <w:marRight w:val="0"/>
              <w:marTop w:val="0"/>
              <w:marBottom w:val="0"/>
              <w:divBdr>
                <w:top w:val="none" w:sz="0" w:space="0" w:color="auto"/>
                <w:left w:val="none" w:sz="0" w:space="0" w:color="auto"/>
                <w:bottom w:val="none" w:sz="0" w:space="0" w:color="auto"/>
                <w:right w:val="none" w:sz="0" w:space="0" w:color="auto"/>
              </w:divBdr>
              <w:divsChild>
                <w:div w:id="209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6836">
      <w:bodyDiv w:val="1"/>
      <w:marLeft w:val="0"/>
      <w:marRight w:val="0"/>
      <w:marTop w:val="0"/>
      <w:marBottom w:val="0"/>
      <w:divBdr>
        <w:top w:val="none" w:sz="0" w:space="0" w:color="auto"/>
        <w:left w:val="none" w:sz="0" w:space="0" w:color="auto"/>
        <w:bottom w:val="none" w:sz="0" w:space="0" w:color="auto"/>
        <w:right w:val="none" w:sz="0" w:space="0" w:color="auto"/>
      </w:divBdr>
    </w:div>
    <w:div w:id="1903178125">
      <w:bodyDiv w:val="1"/>
      <w:marLeft w:val="0"/>
      <w:marRight w:val="0"/>
      <w:marTop w:val="0"/>
      <w:marBottom w:val="0"/>
      <w:divBdr>
        <w:top w:val="none" w:sz="0" w:space="0" w:color="auto"/>
        <w:left w:val="none" w:sz="0" w:space="0" w:color="auto"/>
        <w:bottom w:val="none" w:sz="0" w:space="0" w:color="auto"/>
        <w:right w:val="none" w:sz="0" w:space="0" w:color="auto"/>
      </w:divBdr>
    </w:div>
    <w:div w:id="1909487746">
      <w:bodyDiv w:val="1"/>
      <w:marLeft w:val="0"/>
      <w:marRight w:val="0"/>
      <w:marTop w:val="0"/>
      <w:marBottom w:val="0"/>
      <w:divBdr>
        <w:top w:val="none" w:sz="0" w:space="0" w:color="auto"/>
        <w:left w:val="none" w:sz="0" w:space="0" w:color="auto"/>
        <w:bottom w:val="none" w:sz="0" w:space="0" w:color="auto"/>
        <w:right w:val="none" w:sz="0" w:space="0" w:color="auto"/>
      </w:divBdr>
    </w:div>
    <w:div w:id="1959331027">
      <w:bodyDiv w:val="1"/>
      <w:marLeft w:val="0"/>
      <w:marRight w:val="0"/>
      <w:marTop w:val="0"/>
      <w:marBottom w:val="0"/>
      <w:divBdr>
        <w:top w:val="none" w:sz="0" w:space="0" w:color="auto"/>
        <w:left w:val="none" w:sz="0" w:space="0" w:color="auto"/>
        <w:bottom w:val="none" w:sz="0" w:space="0" w:color="auto"/>
        <w:right w:val="none" w:sz="0" w:space="0" w:color="auto"/>
      </w:divBdr>
    </w:div>
    <w:div w:id="1984381993">
      <w:bodyDiv w:val="1"/>
      <w:marLeft w:val="0"/>
      <w:marRight w:val="0"/>
      <w:marTop w:val="0"/>
      <w:marBottom w:val="0"/>
      <w:divBdr>
        <w:top w:val="none" w:sz="0" w:space="0" w:color="auto"/>
        <w:left w:val="none" w:sz="0" w:space="0" w:color="auto"/>
        <w:bottom w:val="none" w:sz="0" w:space="0" w:color="auto"/>
        <w:right w:val="none" w:sz="0" w:space="0" w:color="auto"/>
      </w:divBdr>
      <w:divsChild>
        <w:div w:id="1052313934">
          <w:marLeft w:val="0"/>
          <w:marRight w:val="0"/>
          <w:marTop w:val="0"/>
          <w:marBottom w:val="0"/>
          <w:divBdr>
            <w:top w:val="none" w:sz="0" w:space="0" w:color="auto"/>
            <w:left w:val="none" w:sz="0" w:space="0" w:color="auto"/>
            <w:bottom w:val="none" w:sz="0" w:space="0" w:color="auto"/>
            <w:right w:val="none" w:sz="0" w:space="0" w:color="auto"/>
          </w:divBdr>
          <w:divsChild>
            <w:div w:id="821239174">
              <w:marLeft w:val="0"/>
              <w:marRight w:val="0"/>
              <w:marTop w:val="0"/>
              <w:marBottom w:val="0"/>
              <w:divBdr>
                <w:top w:val="none" w:sz="0" w:space="0" w:color="auto"/>
                <w:left w:val="none" w:sz="0" w:space="0" w:color="auto"/>
                <w:bottom w:val="none" w:sz="0" w:space="0" w:color="auto"/>
                <w:right w:val="none" w:sz="0" w:space="0" w:color="auto"/>
              </w:divBdr>
              <w:divsChild>
                <w:div w:id="1803109632">
                  <w:marLeft w:val="0"/>
                  <w:marRight w:val="0"/>
                  <w:marTop w:val="0"/>
                  <w:marBottom w:val="0"/>
                  <w:divBdr>
                    <w:top w:val="none" w:sz="0" w:space="0" w:color="auto"/>
                    <w:left w:val="none" w:sz="0" w:space="0" w:color="auto"/>
                    <w:bottom w:val="none" w:sz="0" w:space="0" w:color="auto"/>
                    <w:right w:val="none" w:sz="0" w:space="0" w:color="auto"/>
                  </w:divBdr>
                  <w:divsChild>
                    <w:div w:id="8770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ons.gov.uk/aboutus/whatwedo/statistics/requestingstatistics/approvedresearcherscheme" TargetMode="External"/><Relationship Id="rId13" Type="http://schemas.openxmlformats.org/officeDocument/2006/relationships/hyperlink" Target="https://doi.org/10.1101/2021.06.28.212590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peoplepopulationandcommunity/healthandsocialcare/conditionsanddiseases/bulletins/covid19schoolsinfectionsurveyround4england/march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healthandsocialcare/conditionsanddiseases/bulletins/covid19schoolsinfectionsurveyround4england/march20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4" Type="http://schemas.openxmlformats.org/officeDocument/2006/relationships/settings" Target="settings.xml"/><Relationship Id="rId9" Type="http://schemas.openxmlformats.org/officeDocument/2006/relationships/hyperlink" Target="https://www.gov.uk/government/publications/actions-for-schools-during-the-coronavirus-outbreak/schools-covid-19-operational-guid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498D-C324-5048-92F5-5D42A852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9391</Words>
  <Characters>53532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62798</CharactersWithSpaces>
  <SharedDoc>false</SharedDoc>
  <HLinks>
    <vt:vector size="36" baseType="variant">
      <vt:variant>
        <vt:i4>4128874</vt:i4>
      </vt:variant>
      <vt:variant>
        <vt:i4>129</vt:i4>
      </vt:variant>
      <vt:variant>
        <vt:i4>0</vt:i4>
      </vt:variant>
      <vt:variant>
        <vt:i4>5</vt:i4>
      </vt:variant>
      <vt:variant>
        <vt:lpwstr>https://doi.org/10.1101/2021.06.28.21259028</vt:lpwstr>
      </vt:variant>
      <vt:variant>
        <vt:lpwstr/>
      </vt:variant>
      <vt:variant>
        <vt:i4>2031710</vt:i4>
      </vt:variant>
      <vt:variant>
        <vt:i4>126</vt:i4>
      </vt:variant>
      <vt:variant>
        <vt:i4>0</vt:i4>
      </vt:variant>
      <vt:variant>
        <vt:i4>5</vt:i4>
      </vt:variant>
      <vt:variant>
        <vt:lpwstr>https://www.ons.gov.uk/peoplepopulationandcommunity/healthandsocialcare/conditionsanddiseases/bulletins/covid19schoolsinfectionsurveyround4england/march2021</vt:lpwstr>
      </vt:variant>
      <vt:variant>
        <vt:lpwstr/>
      </vt:variant>
      <vt:variant>
        <vt:i4>2031710</vt:i4>
      </vt:variant>
      <vt:variant>
        <vt:i4>123</vt:i4>
      </vt:variant>
      <vt:variant>
        <vt:i4>0</vt:i4>
      </vt:variant>
      <vt:variant>
        <vt:i4>5</vt:i4>
      </vt:variant>
      <vt:variant>
        <vt:lpwstr>https://www.ons.gov.uk/peoplepopulationandcommunity/healthandsocialcare/conditionsanddiseases/bulletins/covid19schoolsinfectionsurveyround4england/march2021</vt:lpwstr>
      </vt:variant>
      <vt:variant>
        <vt:lpwstr/>
      </vt:variant>
      <vt:variant>
        <vt:i4>3342388</vt:i4>
      </vt:variant>
      <vt:variant>
        <vt:i4>120</vt:i4>
      </vt:variant>
      <vt:variant>
        <vt:i4>0</vt:i4>
      </vt:variant>
      <vt:variant>
        <vt:i4>5</vt:i4>
      </vt:variant>
      <vt:variant>
        <vt:lpwstr>https://www.gov.uk/government/publications/guidance-for-contacts-of-people-with-possible-or-confirmed-coronavirus-covid-19-infection-who-do-not-live-with-the-person/guidance-for-contacts-of-people-with-possible-or-confirmed-coronavirus-covid-19-infection-who-do-not-live-with-the-person</vt:lpwstr>
      </vt:variant>
      <vt:variant>
        <vt:lpwstr/>
      </vt:variant>
      <vt:variant>
        <vt:i4>5832732</vt:i4>
      </vt:variant>
      <vt:variant>
        <vt:i4>117</vt:i4>
      </vt:variant>
      <vt:variant>
        <vt:i4>0</vt:i4>
      </vt:variant>
      <vt:variant>
        <vt:i4>5</vt:i4>
      </vt:variant>
      <vt:variant>
        <vt:lpwstr>https://www.gov.uk/government/publications/actions-for-schools-during-the-coronavirus-outbreak/schools-covid-19-operational-guidance</vt:lpwstr>
      </vt:variant>
      <vt:variant>
        <vt:lpwstr/>
      </vt:variant>
      <vt:variant>
        <vt:i4>2621548</vt:i4>
      </vt:variant>
      <vt:variant>
        <vt:i4>114</vt:i4>
      </vt:variant>
      <vt:variant>
        <vt:i4>0</vt:i4>
      </vt:variant>
      <vt:variant>
        <vt:i4>5</vt:i4>
      </vt:variant>
      <vt:variant>
        <vt:lpwstr>https://cy.ons.gov.uk/aboutus/whatwedo/statistics/requestingstatistics/approvedresearcherscheme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Young</dc:creator>
  <cp:keywords/>
  <dc:description/>
  <cp:lastModifiedBy>Bernadette Young</cp:lastModifiedBy>
  <cp:revision>3</cp:revision>
  <cp:lastPrinted>2021-07-22T15:03:00Z</cp:lastPrinted>
  <dcterms:created xsi:type="dcterms:W3CDTF">2021-08-17T08:26:00Z</dcterms:created>
  <dcterms:modified xsi:type="dcterms:W3CDTF">2021-08-17T08:27:00Z</dcterms:modified>
</cp:coreProperties>
</file>