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37E75" w14:textId="26E4B8D9" w:rsidR="00D866F3" w:rsidRDefault="00641F0D" w:rsidP="007C0327">
      <w:pPr>
        <w:spacing w:after="0" w:line="360" w:lineRule="auto"/>
        <w:rPr>
          <w:rFonts w:cstheme="minorHAnsi"/>
          <w:b/>
        </w:rPr>
      </w:pPr>
      <w:r w:rsidRPr="005D3DCF">
        <w:rPr>
          <w:rFonts w:cstheme="minorHAnsi"/>
          <w:b/>
          <w:bCs/>
        </w:rPr>
        <w:t>Change in treatment burden among people with multimorbidity</w:t>
      </w:r>
      <w:r w:rsidR="00D866F3" w:rsidRPr="005D3DCF">
        <w:rPr>
          <w:rFonts w:cstheme="minorHAnsi"/>
          <w:b/>
          <w:bCs/>
        </w:rPr>
        <w:t>:</w:t>
      </w:r>
      <w:r w:rsidRPr="005D3DCF">
        <w:rPr>
          <w:rFonts w:cstheme="minorHAnsi"/>
          <w:b/>
          <w:bCs/>
        </w:rPr>
        <w:t xml:space="preserve"> protocol of</w:t>
      </w:r>
      <w:r w:rsidR="00D866F3" w:rsidRPr="005D3DCF">
        <w:rPr>
          <w:rFonts w:cstheme="minorHAnsi"/>
          <w:b/>
          <w:bCs/>
        </w:rPr>
        <w:t xml:space="preserve"> </w:t>
      </w:r>
      <w:r w:rsidR="00D866F3" w:rsidRPr="005D3DCF">
        <w:rPr>
          <w:rFonts w:cstheme="minorHAnsi"/>
          <w:b/>
        </w:rPr>
        <w:t>a follow up survey and development of efficient measurement tools for primary care.</w:t>
      </w:r>
    </w:p>
    <w:p w14:paraId="17512015" w14:textId="1E4870A4" w:rsidR="00682B32" w:rsidRDefault="00682B32" w:rsidP="007C0327">
      <w:pPr>
        <w:spacing w:after="0" w:line="360" w:lineRule="auto"/>
        <w:rPr>
          <w:rFonts w:cstheme="minorHAnsi"/>
          <w:b/>
        </w:rPr>
      </w:pPr>
    </w:p>
    <w:p w14:paraId="7091AF61" w14:textId="376C1F5C" w:rsidR="00785736" w:rsidRPr="000F3441" w:rsidRDefault="00DA78E2" w:rsidP="00785736">
      <w:pPr>
        <w:spacing w:after="0" w:line="360" w:lineRule="auto"/>
        <w:rPr>
          <w:rFonts w:cstheme="minorHAnsi"/>
          <w:sz w:val="21"/>
          <w:szCs w:val="21"/>
        </w:rPr>
      </w:pPr>
      <w:r w:rsidRPr="00B10D89">
        <w:rPr>
          <w:rFonts w:cstheme="minorHAnsi"/>
          <w:sz w:val="21"/>
          <w:szCs w:val="21"/>
        </w:rPr>
        <w:t xml:space="preserve">Hilda </w:t>
      </w:r>
      <w:r w:rsidR="00785736">
        <w:rPr>
          <w:rFonts w:cstheme="minorHAnsi"/>
          <w:sz w:val="21"/>
          <w:szCs w:val="21"/>
        </w:rPr>
        <w:t xml:space="preserve">O </w:t>
      </w:r>
      <w:r w:rsidRPr="00B10D89">
        <w:rPr>
          <w:rFonts w:cstheme="minorHAnsi"/>
          <w:sz w:val="21"/>
          <w:szCs w:val="21"/>
        </w:rPr>
        <w:t>Hounkpatin</w:t>
      </w:r>
      <w:r w:rsidR="00785736" w:rsidRPr="00705E03">
        <w:rPr>
          <w:rFonts w:cstheme="minorHAnsi"/>
          <w:sz w:val="21"/>
          <w:szCs w:val="21"/>
          <w:vertAlign w:val="superscript"/>
        </w:rPr>
        <w:t>1</w:t>
      </w:r>
      <w:r w:rsidR="00785736">
        <w:rPr>
          <w:rFonts w:cstheme="minorHAnsi"/>
          <w:sz w:val="21"/>
          <w:szCs w:val="21"/>
        </w:rPr>
        <w:t>*, Paul Roderick</w:t>
      </w:r>
      <w:r w:rsidR="00785736" w:rsidRPr="00705E03">
        <w:rPr>
          <w:rFonts w:cstheme="minorHAnsi"/>
          <w:sz w:val="21"/>
          <w:szCs w:val="21"/>
          <w:vertAlign w:val="superscript"/>
        </w:rPr>
        <w:t>1</w:t>
      </w:r>
      <w:r w:rsidR="00785736">
        <w:rPr>
          <w:rFonts w:cstheme="minorHAnsi"/>
          <w:sz w:val="21"/>
          <w:szCs w:val="21"/>
        </w:rPr>
        <w:t>, James E Morris</w:t>
      </w:r>
      <w:r w:rsidR="00785736" w:rsidRPr="00705E03">
        <w:rPr>
          <w:rFonts w:cstheme="minorHAnsi"/>
          <w:sz w:val="21"/>
          <w:szCs w:val="21"/>
          <w:vertAlign w:val="superscript"/>
        </w:rPr>
        <w:t>1</w:t>
      </w:r>
      <w:r w:rsidR="00785736">
        <w:rPr>
          <w:rFonts w:cstheme="minorHAnsi"/>
          <w:sz w:val="21"/>
          <w:szCs w:val="21"/>
        </w:rPr>
        <w:t xml:space="preserve">, Scott </w:t>
      </w:r>
      <w:r w:rsidR="00785736" w:rsidRPr="000F3441">
        <w:rPr>
          <w:rFonts w:cstheme="minorHAnsi"/>
          <w:sz w:val="21"/>
          <w:szCs w:val="21"/>
        </w:rPr>
        <w:t>Harris</w:t>
      </w:r>
      <w:r w:rsidR="00785736" w:rsidRPr="000F3441">
        <w:rPr>
          <w:rFonts w:cstheme="minorHAnsi"/>
          <w:sz w:val="21"/>
          <w:szCs w:val="21"/>
          <w:vertAlign w:val="superscript"/>
        </w:rPr>
        <w:t>1</w:t>
      </w:r>
      <w:r w:rsidR="000F3441">
        <w:rPr>
          <w:rFonts w:cstheme="minorHAnsi"/>
          <w:sz w:val="21"/>
          <w:szCs w:val="21"/>
        </w:rPr>
        <w:t xml:space="preserve">, </w:t>
      </w:r>
      <w:r w:rsidR="00785736" w:rsidRPr="000F3441">
        <w:rPr>
          <w:rFonts w:cstheme="minorHAnsi"/>
          <w:sz w:val="21"/>
          <w:szCs w:val="21"/>
        </w:rPr>
        <w:t>Forbes</w:t>
      </w:r>
      <w:r w:rsidR="00785736">
        <w:rPr>
          <w:rFonts w:cstheme="minorHAnsi"/>
          <w:sz w:val="21"/>
          <w:szCs w:val="21"/>
        </w:rPr>
        <w:t xml:space="preserve"> Watson</w:t>
      </w:r>
      <w:r w:rsidR="00785736" w:rsidRPr="00705E03">
        <w:rPr>
          <w:rFonts w:cstheme="minorHAnsi"/>
          <w:sz w:val="21"/>
          <w:szCs w:val="21"/>
          <w:vertAlign w:val="superscript"/>
        </w:rPr>
        <w:t>2</w:t>
      </w:r>
      <w:r w:rsidR="00785736">
        <w:rPr>
          <w:sz w:val="21"/>
          <w:szCs w:val="21"/>
        </w:rPr>
        <w:t xml:space="preserve">, </w:t>
      </w:r>
      <w:r w:rsidR="00785736" w:rsidRPr="00D3302A">
        <w:rPr>
          <w:sz w:val="21"/>
          <w:szCs w:val="21"/>
        </w:rPr>
        <w:t>Hajira Dambha-Miller</w:t>
      </w:r>
      <w:r w:rsidR="00785736" w:rsidRPr="00705E03">
        <w:rPr>
          <w:sz w:val="21"/>
          <w:szCs w:val="21"/>
          <w:vertAlign w:val="superscript"/>
        </w:rPr>
        <w:t>1</w:t>
      </w:r>
      <w:r w:rsidR="00785736">
        <w:rPr>
          <w:rFonts w:cstheme="minorHAnsi"/>
          <w:sz w:val="21"/>
          <w:szCs w:val="21"/>
        </w:rPr>
        <w:t>, Helen Roberts</w:t>
      </w:r>
      <w:r w:rsidR="00785736" w:rsidRPr="00705E03">
        <w:rPr>
          <w:rFonts w:cstheme="minorHAnsi"/>
          <w:sz w:val="21"/>
          <w:szCs w:val="21"/>
          <w:vertAlign w:val="superscript"/>
        </w:rPr>
        <w:t>3</w:t>
      </w:r>
      <w:r w:rsidR="00785736">
        <w:rPr>
          <w:rFonts w:cstheme="minorHAnsi"/>
          <w:sz w:val="21"/>
          <w:szCs w:val="21"/>
        </w:rPr>
        <w:t>,</w:t>
      </w:r>
      <w:r w:rsidR="00785736" w:rsidRPr="00705E03">
        <w:rPr>
          <w:rFonts w:cstheme="minorHAnsi"/>
          <w:sz w:val="21"/>
          <w:szCs w:val="21"/>
          <w:vertAlign w:val="superscript"/>
        </w:rPr>
        <w:t>4</w:t>
      </w:r>
      <w:r w:rsidR="00785736">
        <w:rPr>
          <w:rFonts w:cstheme="minorHAnsi"/>
          <w:sz w:val="21"/>
          <w:szCs w:val="21"/>
        </w:rPr>
        <w:t>,</w:t>
      </w:r>
      <w:r w:rsidR="000F3441">
        <w:rPr>
          <w:rFonts w:cstheme="minorHAnsi"/>
          <w:sz w:val="21"/>
          <w:szCs w:val="21"/>
        </w:rPr>
        <w:t xml:space="preserve"> </w:t>
      </w:r>
      <w:r w:rsidR="00785736">
        <w:rPr>
          <w:rFonts w:cstheme="minorHAnsi"/>
          <w:sz w:val="21"/>
          <w:szCs w:val="21"/>
        </w:rPr>
        <w:t>Bronagh Walsh</w:t>
      </w:r>
      <w:r w:rsidR="00785736" w:rsidRPr="00705E03">
        <w:rPr>
          <w:rFonts w:cstheme="minorHAnsi"/>
          <w:sz w:val="21"/>
          <w:szCs w:val="21"/>
          <w:vertAlign w:val="superscript"/>
        </w:rPr>
        <w:t>5</w:t>
      </w:r>
      <w:r w:rsidR="00785736">
        <w:rPr>
          <w:rFonts w:cstheme="minorHAnsi"/>
          <w:sz w:val="21"/>
          <w:szCs w:val="21"/>
        </w:rPr>
        <w:t>, Dianna Smith</w:t>
      </w:r>
      <w:r w:rsidR="00785736" w:rsidRPr="00705E03">
        <w:rPr>
          <w:rFonts w:cstheme="minorHAnsi"/>
          <w:sz w:val="21"/>
          <w:szCs w:val="21"/>
          <w:vertAlign w:val="superscript"/>
        </w:rPr>
        <w:t>6</w:t>
      </w:r>
      <w:r w:rsidR="00785736">
        <w:rPr>
          <w:rFonts w:cstheme="minorHAnsi"/>
          <w:sz w:val="21"/>
          <w:szCs w:val="21"/>
        </w:rPr>
        <w:t xml:space="preserve">, Simon DS </w:t>
      </w:r>
      <w:r w:rsidR="00785736" w:rsidRPr="00785736">
        <w:rPr>
          <w:rFonts w:cstheme="minorHAnsi"/>
          <w:sz w:val="21"/>
          <w:szCs w:val="21"/>
        </w:rPr>
        <w:t>Fraser</w:t>
      </w:r>
      <w:r w:rsidR="00785736" w:rsidRPr="00705E03">
        <w:rPr>
          <w:rFonts w:cstheme="minorHAnsi"/>
          <w:sz w:val="21"/>
          <w:szCs w:val="21"/>
          <w:vertAlign w:val="superscript"/>
        </w:rPr>
        <w:t>1</w:t>
      </w:r>
      <w:r w:rsidR="00785736">
        <w:rPr>
          <w:rFonts w:cstheme="minorHAnsi"/>
          <w:sz w:val="21"/>
          <w:szCs w:val="21"/>
        </w:rPr>
        <w:t xml:space="preserve">, </w:t>
      </w:r>
      <w:r w:rsidR="00785736" w:rsidRPr="00B34120">
        <w:rPr>
          <w:sz w:val="21"/>
          <w:szCs w:val="21"/>
        </w:rPr>
        <w:t xml:space="preserve">on behalf of </w:t>
      </w:r>
      <w:r w:rsidR="00362A04">
        <w:rPr>
          <w:sz w:val="21"/>
          <w:szCs w:val="21"/>
        </w:rPr>
        <w:t>t</w:t>
      </w:r>
      <w:r w:rsidR="00785736" w:rsidRPr="00F62BEF">
        <w:rPr>
          <w:sz w:val="21"/>
          <w:szCs w:val="21"/>
        </w:rPr>
        <w:t>he ARC Wessex Treatment Burden Group</w:t>
      </w:r>
      <w:r w:rsidR="00362A04" w:rsidRPr="00362A04">
        <w:t xml:space="preserve"> </w:t>
      </w:r>
      <w:r w:rsidR="00362A04">
        <w:t>^</w:t>
      </w:r>
    </w:p>
    <w:p w14:paraId="3D63304A" w14:textId="242C9FEA" w:rsidR="00DA78E2" w:rsidRPr="00B10D89" w:rsidRDefault="00DA78E2" w:rsidP="007C0327">
      <w:pPr>
        <w:spacing w:after="0" w:line="360" w:lineRule="auto"/>
        <w:rPr>
          <w:rFonts w:cstheme="minorHAnsi"/>
          <w:sz w:val="21"/>
          <w:szCs w:val="21"/>
        </w:rPr>
      </w:pPr>
    </w:p>
    <w:p w14:paraId="1F979743" w14:textId="5E2C9A96" w:rsidR="00DA78E2" w:rsidRPr="00D3302A" w:rsidRDefault="00DA78E2" w:rsidP="00785736">
      <w:pPr>
        <w:spacing w:after="0" w:line="360" w:lineRule="auto"/>
        <w:rPr>
          <w:sz w:val="21"/>
          <w:szCs w:val="21"/>
        </w:rPr>
      </w:pPr>
    </w:p>
    <w:p w14:paraId="03A99527" w14:textId="18FCF511" w:rsidR="00D3302A" w:rsidRPr="00B34120" w:rsidRDefault="00071AD8" w:rsidP="007C0327">
      <w:pPr>
        <w:spacing w:after="0" w:line="360" w:lineRule="auto"/>
        <w:rPr>
          <w:sz w:val="21"/>
          <w:szCs w:val="21"/>
        </w:rPr>
      </w:pPr>
      <w:r w:rsidRPr="00B34120">
        <w:rPr>
          <w:sz w:val="21"/>
          <w:szCs w:val="21"/>
        </w:rPr>
        <w:t xml:space="preserve"> </w:t>
      </w:r>
    </w:p>
    <w:p w14:paraId="67536682" w14:textId="77777777" w:rsidR="00F163E2" w:rsidRDefault="00F163E2" w:rsidP="007C0327">
      <w:pPr>
        <w:spacing w:after="0" w:line="360" w:lineRule="auto"/>
        <w:rPr>
          <w:sz w:val="21"/>
          <w:szCs w:val="21"/>
        </w:rPr>
      </w:pPr>
    </w:p>
    <w:p w14:paraId="51410997" w14:textId="333A441A" w:rsidR="00785736" w:rsidRPr="00B10D89" w:rsidRDefault="00785736" w:rsidP="00785736">
      <w:pPr>
        <w:spacing w:after="0" w:line="360" w:lineRule="auto"/>
        <w:rPr>
          <w:rFonts w:cstheme="minorHAnsi"/>
          <w:sz w:val="21"/>
          <w:szCs w:val="21"/>
        </w:rPr>
      </w:pPr>
      <w:r w:rsidRPr="00705E03">
        <w:rPr>
          <w:rFonts w:cstheme="minorHAnsi"/>
          <w:sz w:val="21"/>
          <w:szCs w:val="21"/>
          <w:vertAlign w:val="superscript"/>
        </w:rPr>
        <w:t xml:space="preserve">1 </w:t>
      </w:r>
      <w:r>
        <w:rPr>
          <w:rFonts w:cstheme="minorHAnsi"/>
          <w:sz w:val="21"/>
          <w:szCs w:val="21"/>
        </w:rPr>
        <w:t>School of Primary Care, Population Sciences, and Medical Education</w:t>
      </w:r>
      <w:r w:rsidRPr="00B10D89">
        <w:rPr>
          <w:rFonts w:cstheme="minorHAnsi"/>
          <w:sz w:val="21"/>
          <w:szCs w:val="21"/>
        </w:rPr>
        <w:t>, University of Southampton</w:t>
      </w:r>
      <w:r>
        <w:rPr>
          <w:rFonts w:cstheme="minorHAnsi"/>
          <w:sz w:val="21"/>
          <w:szCs w:val="21"/>
        </w:rPr>
        <w:t>, Southampton UK</w:t>
      </w:r>
    </w:p>
    <w:p w14:paraId="7E7E8B2F" w14:textId="48462FCC" w:rsidR="00785736" w:rsidRDefault="00785736" w:rsidP="00785736">
      <w:pPr>
        <w:spacing w:after="0" w:line="360" w:lineRule="auto"/>
        <w:rPr>
          <w:sz w:val="21"/>
          <w:szCs w:val="21"/>
        </w:rPr>
      </w:pPr>
      <w:r w:rsidRPr="00705E03">
        <w:rPr>
          <w:sz w:val="21"/>
          <w:szCs w:val="21"/>
          <w:vertAlign w:val="superscript"/>
        </w:rPr>
        <w:t>2</w:t>
      </w:r>
      <w:r>
        <w:rPr>
          <w:sz w:val="21"/>
          <w:szCs w:val="21"/>
        </w:rPr>
        <w:t xml:space="preserve">NHS Dorset Clinical Commissioning Group, </w:t>
      </w:r>
      <w:r w:rsidRPr="00D3302A">
        <w:rPr>
          <w:sz w:val="21"/>
          <w:szCs w:val="21"/>
        </w:rPr>
        <w:t>Dorset</w:t>
      </w:r>
      <w:r>
        <w:rPr>
          <w:sz w:val="21"/>
          <w:szCs w:val="21"/>
        </w:rPr>
        <w:t>, UK</w:t>
      </w:r>
    </w:p>
    <w:p w14:paraId="5658A11F" w14:textId="6220E9F8" w:rsidR="00785736" w:rsidRDefault="00785736" w:rsidP="00785736">
      <w:pPr>
        <w:spacing w:after="0" w:line="360" w:lineRule="auto"/>
        <w:rPr>
          <w:sz w:val="21"/>
          <w:szCs w:val="21"/>
        </w:rPr>
      </w:pPr>
      <w:r w:rsidRPr="00705E03">
        <w:rPr>
          <w:sz w:val="21"/>
          <w:szCs w:val="21"/>
          <w:vertAlign w:val="superscript"/>
        </w:rPr>
        <w:t>3</w:t>
      </w:r>
      <w:r>
        <w:rPr>
          <w:sz w:val="21"/>
          <w:szCs w:val="21"/>
        </w:rPr>
        <w:t>Human Development and Health, University of Southampton, Southampton, UK</w:t>
      </w:r>
      <w:r w:rsidRPr="00D3302A">
        <w:rPr>
          <w:sz w:val="21"/>
          <w:szCs w:val="21"/>
        </w:rPr>
        <w:t xml:space="preserve"> </w:t>
      </w:r>
    </w:p>
    <w:p w14:paraId="0E928BD6" w14:textId="57C00910" w:rsidR="00785736" w:rsidRDefault="00785736" w:rsidP="00785736">
      <w:pPr>
        <w:spacing w:after="0" w:line="360" w:lineRule="auto"/>
        <w:rPr>
          <w:sz w:val="21"/>
          <w:szCs w:val="21"/>
        </w:rPr>
      </w:pPr>
      <w:r w:rsidRPr="00705E03">
        <w:rPr>
          <w:sz w:val="21"/>
          <w:szCs w:val="21"/>
          <w:vertAlign w:val="superscript"/>
        </w:rPr>
        <w:t>4</w:t>
      </w:r>
      <w:r w:rsidRPr="00D3302A">
        <w:rPr>
          <w:sz w:val="21"/>
          <w:szCs w:val="21"/>
        </w:rPr>
        <w:t xml:space="preserve">Geriatric Medicine, University Hospitals Southampton, </w:t>
      </w:r>
      <w:r>
        <w:rPr>
          <w:sz w:val="21"/>
          <w:szCs w:val="21"/>
        </w:rPr>
        <w:t>Southampton, UK</w:t>
      </w:r>
    </w:p>
    <w:p w14:paraId="173F034A" w14:textId="676DF357" w:rsidR="00785736" w:rsidRPr="00D3302A" w:rsidRDefault="00785736" w:rsidP="00785736">
      <w:pPr>
        <w:spacing w:after="0" w:line="360" w:lineRule="auto"/>
        <w:rPr>
          <w:sz w:val="21"/>
          <w:szCs w:val="21"/>
        </w:rPr>
      </w:pPr>
      <w:r w:rsidRPr="00705E03">
        <w:rPr>
          <w:sz w:val="21"/>
          <w:szCs w:val="21"/>
          <w:vertAlign w:val="superscript"/>
        </w:rPr>
        <w:t>5</w:t>
      </w:r>
      <w:r w:rsidRPr="00D3302A">
        <w:rPr>
          <w:sz w:val="21"/>
          <w:szCs w:val="21"/>
        </w:rPr>
        <w:t xml:space="preserve">Health Sciences, University of Southampton, </w:t>
      </w:r>
      <w:r>
        <w:rPr>
          <w:sz w:val="21"/>
          <w:szCs w:val="21"/>
        </w:rPr>
        <w:t>Southampton, UK</w:t>
      </w:r>
    </w:p>
    <w:p w14:paraId="76FF45C0" w14:textId="3A23C7E4" w:rsidR="00785736" w:rsidRPr="00D3302A" w:rsidRDefault="00785736" w:rsidP="00785736">
      <w:pPr>
        <w:spacing w:after="0" w:line="360" w:lineRule="auto"/>
        <w:rPr>
          <w:sz w:val="21"/>
          <w:szCs w:val="21"/>
        </w:rPr>
      </w:pPr>
      <w:r w:rsidRPr="00705E03">
        <w:rPr>
          <w:sz w:val="21"/>
          <w:szCs w:val="21"/>
          <w:vertAlign w:val="superscript"/>
        </w:rPr>
        <w:t>6</w:t>
      </w:r>
      <w:r w:rsidRPr="00F62BEF">
        <w:rPr>
          <w:sz w:val="21"/>
          <w:szCs w:val="21"/>
        </w:rPr>
        <w:t xml:space="preserve">Geography and Environmental Science, University of Southampton, </w:t>
      </w:r>
      <w:r>
        <w:rPr>
          <w:sz w:val="21"/>
          <w:szCs w:val="21"/>
        </w:rPr>
        <w:t>Southampton, UK</w:t>
      </w:r>
    </w:p>
    <w:p w14:paraId="7D2889E5" w14:textId="77777777" w:rsidR="00785736" w:rsidRPr="00D3302A" w:rsidRDefault="00785736" w:rsidP="00785736">
      <w:pPr>
        <w:spacing w:after="0" w:line="360" w:lineRule="auto"/>
        <w:rPr>
          <w:sz w:val="21"/>
          <w:szCs w:val="21"/>
        </w:rPr>
      </w:pPr>
    </w:p>
    <w:p w14:paraId="47A48BC3" w14:textId="77777777" w:rsidR="00785736" w:rsidRPr="00D3302A" w:rsidRDefault="00785736" w:rsidP="00785736">
      <w:pPr>
        <w:spacing w:after="0" w:line="360" w:lineRule="auto"/>
        <w:rPr>
          <w:sz w:val="21"/>
          <w:szCs w:val="21"/>
        </w:rPr>
      </w:pPr>
    </w:p>
    <w:p w14:paraId="3C1C1370" w14:textId="1DEEB2E0" w:rsidR="00DA78E2" w:rsidRDefault="00362A04" w:rsidP="00362A04">
      <w:pPr>
        <w:spacing w:after="0" w:line="360" w:lineRule="auto"/>
        <w:rPr>
          <w:rFonts w:eastAsia="Calibri"/>
          <w:noProof/>
        </w:rPr>
      </w:pPr>
      <w:r>
        <w:rPr>
          <w:rFonts w:cstheme="minorHAnsi"/>
          <w:b/>
          <w:bCs/>
        </w:rPr>
        <w:t>*</w:t>
      </w:r>
      <w:r w:rsidR="00B10D89">
        <w:rPr>
          <w:rFonts w:cstheme="minorHAnsi"/>
          <w:b/>
          <w:bCs/>
        </w:rPr>
        <w:t xml:space="preserve">Corresponding author: </w:t>
      </w:r>
      <w:r w:rsidR="00B10D89">
        <w:rPr>
          <w:rFonts w:eastAsia="Calibri"/>
          <w:noProof/>
        </w:rPr>
        <w:t xml:space="preserve">Email: </w:t>
      </w:r>
      <w:hyperlink r:id="rId8" w:history="1">
        <w:r w:rsidRPr="003406BB">
          <w:rPr>
            <w:rStyle w:val="Hyperlink"/>
            <w:rFonts w:eastAsia="Calibri"/>
            <w:noProof/>
          </w:rPr>
          <w:t>H.O.Hounkpatin@soton.ac.uk</w:t>
        </w:r>
      </w:hyperlink>
    </w:p>
    <w:p w14:paraId="581B0FAB" w14:textId="337922CC" w:rsidR="00362A04" w:rsidRDefault="00362A04" w:rsidP="00362A04">
      <w:pPr>
        <w:spacing w:after="0" w:line="360" w:lineRule="auto"/>
        <w:rPr>
          <w:rFonts w:cstheme="minorHAnsi"/>
          <w:b/>
          <w:bCs/>
        </w:rPr>
      </w:pPr>
      <w:r>
        <w:t>^Membership of the ARC Wessex Treatment Burden Group is provided in the Acknowledgements.</w:t>
      </w:r>
    </w:p>
    <w:p w14:paraId="7513E56D" w14:textId="77777777" w:rsidR="00DA78E2" w:rsidRDefault="00DA78E2" w:rsidP="007C0327">
      <w:pPr>
        <w:spacing w:after="0" w:line="360" w:lineRule="auto"/>
        <w:rPr>
          <w:rFonts w:cstheme="minorHAnsi"/>
          <w:b/>
          <w:bCs/>
        </w:rPr>
      </w:pPr>
    </w:p>
    <w:p w14:paraId="45E22680" w14:textId="77777777" w:rsidR="00DA78E2" w:rsidRDefault="00DA78E2" w:rsidP="007C0327">
      <w:pPr>
        <w:spacing w:after="0" w:line="360" w:lineRule="auto"/>
        <w:rPr>
          <w:rFonts w:cstheme="minorHAnsi"/>
          <w:b/>
          <w:bCs/>
        </w:rPr>
      </w:pPr>
    </w:p>
    <w:p w14:paraId="4DAD768C" w14:textId="6A49CED0" w:rsidR="00CE0D36" w:rsidRDefault="00CE0D36" w:rsidP="00CE0D36">
      <w:pPr>
        <w:rPr>
          <w:rFonts w:cstheme="minorHAnsi"/>
        </w:rPr>
      </w:pPr>
      <w:r>
        <w:rPr>
          <w:rFonts w:cstheme="minorHAnsi"/>
          <w:b/>
          <w:bCs/>
        </w:rPr>
        <w:t xml:space="preserve">Funding: </w:t>
      </w:r>
      <w:bookmarkStart w:id="0" w:name="_Hlk78985987"/>
      <w:bookmarkStart w:id="1" w:name="_Hlk79483013"/>
      <w:r>
        <w:rPr>
          <w:rFonts w:cstheme="minorHAnsi"/>
        </w:rPr>
        <w:t xml:space="preserve">The study has been funded by the National Institute for Health Research Applied Research Collaboration for Wessex </w:t>
      </w:r>
      <w:bookmarkEnd w:id="0"/>
      <w:r>
        <w:rPr>
          <w:rFonts w:cstheme="minorHAnsi"/>
        </w:rPr>
        <w:t>(</w:t>
      </w:r>
      <w:r w:rsidRPr="00CF5234">
        <w:rPr>
          <w:rFonts w:cstheme="minorHAnsi"/>
        </w:rPr>
        <w:t>https://www.arc-wx.nihr.ac.uk/</w:t>
      </w:r>
      <w:r>
        <w:rPr>
          <w:rFonts w:cstheme="minorHAnsi"/>
        </w:rPr>
        <w:t xml:space="preserve">), awarded to SF. The funders had and will not have a role in study design, data collection and analysis, decision to publish, or preparation of the manuscript. </w:t>
      </w:r>
      <w:r w:rsidR="009A26DB">
        <w:t xml:space="preserve">As part of the NIHR ARC Wessex there are no individual grant numbers for individual studies funded by the wider grant. </w:t>
      </w:r>
      <w:hyperlink r:id="rId9" w:history="1">
        <w:r w:rsidR="009A26DB" w:rsidRPr="00213F50">
          <w:rPr>
            <w:rStyle w:val="Hyperlink"/>
          </w:rPr>
          <w:t>https://www.arc-wx.nihr.ac.uk</w:t>
        </w:r>
      </w:hyperlink>
      <w:bookmarkEnd w:id="1"/>
    </w:p>
    <w:p w14:paraId="12A9C56F" w14:textId="77777777" w:rsidR="00CE0D36" w:rsidRDefault="00CE0D36" w:rsidP="00CE0D36">
      <w:pPr>
        <w:rPr>
          <w:rFonts w:cstheme="minorHAnsi"/>
        </w:rPr>
      </w:pPr>
      <w:r w:rsidRPr="008302F2">
        <w:rPr>
          <w:rFonts w:cstheme="minorHAnsi"/>
          <w:b/>
          <w:bCs/>
        </w:rPr>
        <w:t>Competing interest</w:t>
      </w:r>
      <w:r>
        <w:rPr>
          <w:rFonts w:cstheme="minorHAnsi"/>
        </w:rPr>
        <w:t>: The authors have declared that no competing interests exist.</w:t>
      </w:r>
    </w:p>
    <w:p w14:paraId="1607EE5F" w14:textId="77777777" w:rsidR="00CE0D36" w:rsidRPr="00CF5234" w:rsidRDefault="00CE0D36" w:rsidP="00CE0D36">
      <w:pPr>
        <w:rPr>
          <w:rFonts w:cstheme="minorHAnsi"/>
          <w:i/>
          <w:iCs/>
        </w:rPr>
      </w:pPr>
      <w:r w:rsidRPr="00CF5234">
        <w:rPr>
          <w:rFonts w:cstheme="minorHAnsi"/>
          <w:b/>
          <w:bCs/>
        </w:rPr>
        <w:t>Data availability:</w:t>
      </w:r>
      <w:r>
        <w:rPr>
          <w:rFonts w:cstheme="minorHAnsi"/>
        </w:rPr>
        <w:t xml:space="preserve"> </w:t>
      </w:r>
      <w:r w:rsidRPr="00CF5234">
        <w:rPr>
          <w:rFonts w:cstheme="minorHAnsi"/>
        </w:rPr>
        <w:t>This protocol does not report results.</w:t>
      </w:r>
      <w:r w:rsidRPr="00CF5234">
        <w:rPr>
          <w:rFonts w:cstheme="minorHAnsi"/>
          <w:i/>
          <w:iCs/>
        </w:rPr>
        <w:t xml:space="preserve"> </w:t>
      </w:r>
      <w:r w:rsidRPr="00CF5234">
        <w:rPr>
          <w:rStyle w:val="Emphasis"/>
          <w:rFonts w:cstheme="minorHAnsi"/>
          <w:i w:val="0"/>
          <w:iCs w:val="0"/>
          <w:color w:val="222222"/>
          <w:shd w:val="clear" w:color="auto" w:fill="FFFFFF"/>
        </w:rPr>
        <w:t>No datasets were analysed during the current study. All relevant data from this study may be made available upon study completion.</w:t>
      </w:r>
    </w:p>
    <w:p w14:paraId="4A4F206D" w14:textId="77777777" w:rsidR="00B10D89" w:rsidRDefault="00B10D89" w:rsidP="007C0327">
      <w:pPr>
        <w:spacing w:after="0" w:line="360" w:lineRule="auto"/>
        <w:rPr>
          <w:rFonts w:cstheme="minorHAnsi"/>
          <w:b/>
          <w:bCs/>
        </w:rPr>
      </w:pPr>
      <w:r>
        <w:rPr>
          <w:rFonts w:cstheme="minorHAnsi"/>
          <w:b/>
          <w:bCs/>
        </w:rPr>
        <w:br w:type="page"/>
      </w:r>
    </w:p>
    <w:p w14:paraId="23DC4F6F" w14:textId="405CFC7D" w:rsidR="00C0674A" w:rsidRPr="00705E03" w:rsidRDefault="00B312B3" w:rsidP="007C0327">
      <w:pPr>
        <w:spacing w:after="0" w:line="360" w:lineRule="auto"/>
        <w:rPr>
          <w:rFonts w:cstheme="minorHAnsi"/>
          <w:b/>
          <w:bCs/>
          <w:sz w:val="36"/>
          <w:szCs w:val="36"/>
        </w:rPr>
      </w:pPr>
      <w:r w:rsidRPr="00705E03">
        <w:rPr>
          <w:rFonts w:cstheme="minorHAnsi"/>
          <w:b/>
          <w:bCs/>
          <w:sz w:val="36"/>
          <w:szCs w:val="36"/>
        </w:rPr>
        <w:lastRenderedPageBreak/>
        <w:t>Abstract</w:t>
      </w:r>
    </w:p>
    <w:p w14:paraId="7A6DD122" w14:textId="52DCA5AD" w:rsidR="00B312B3" w:rsidRPr="00705E03" w:rsidRDefault="00B312B3" w:rsidP="007C0327">
      <w:pPr>
        <w:spacing w:after="0" w:line="360" w:lineRule="auto"/>
        <w:rPr>
          <w:rFonts w:cstheme="minorHAnsi"/>
          <w:b/>
          <w:bCs/>
          <w:sz w:val="32"/>
          <w:szCs w:val="32"/>
        </w:rPr>
      </w:pPr>
      <w:r w:rsidRPr="00705E03">
        <w:rPr>
          <w:rFonts w:cstheme="minorHAnsi"/>
          <w:b/>
          <w:bCs/>
          <w:sz w:val="32"/>
          <w:szCs w:val="32"/>
        </w:rPr>
        <w:t>Background</w:t>
      </w:r>
    </w:p>
    <w:p w14:paraId="75CCB570" w14:textId="77777777" w:rsidR="007C0327" w:rsidRPr="005D3DCF" w:rsidRDefault="007C0327" w:rsidP="007C0327">
      <w:pPr>
        <w:spacing w:after="0" w:line="360" w:lineRule="auto"/>
        <w:rPr>
          <w:rFonts w:cstheme="minorHAnsi"/>
          <w:i/>
          <w:iCs/>
        </w:rPr>
      </w:pPr>
    </w:p>
    <w:p w14:paraId="2324E9D7" w14:textId="6D40CDFB" w:rsidR="00822A5A" w:rsidRDefault="00822A5A" w:rsidP="007C0327">
      <w:pPr>
        <w:spacing w:after="0" w:line="360" w:lineRule="auto"/>
        <w:rPr>
          <w:rFonts w:cstheme="minorHAnsi"/>
        </w:rPr>
      </w:pPr>
      <w:r w:rsidRPr="005D3DCF">
        <w:rPr>
          <w:rFonts w:cstheme="minorHAnsi"/>
        </w:rPr>
        <w:t xml:space="preserve">Treatment burden is the </w:t>
      </w:r>
      <w:r w:rsidR="0026304B">
        <w:rPr>
          <w:rFonts w:cstheme="minorHAnsi"/>
        </w:rPr>
        <w:t>effort required of patients to look after their health and the impact this has on their functioning and wellbeing.</w:t>
      </w:r>
      <w:r w:rsidRPr="005D3DCF">
        <w:rPr>
          <w:rFonts w:cstheme="minorHAnsi"/>
        </w:rPr>
        <w:t xml:space="preserve"> </w:t>
      </w:r>
      <w:r w:rsidR="00C525F8">
        <w:rPr>
          <w:rFonts w:cstheme="minorHAnsi"/>
        </w:rPr>
        <w:t>It is likely treatment burden changes over time</w:t>
      </w:r>
      <w:r w:rsidR="00A50BE7">
        <w:rPr>
          <w:rFonts w:cstheme="minorHAnsi"/>
        </w:rPr>
        <w:t xml:space="preserve"> as circumstances change for patients and health services</w:t>
      </w:r>
      <w:r w:rsidR="00C525F8">
        <w:rPr>
          <w:rFonts w:cstheme="minorHAnsi"/>
        </w:rPr>
        <w:t>. However, t</w:t>
      </w:r>
      <w:r w:rsidR="00005636" w:rsidRPr="005D3DCF">
        <w:rPr>
          <w:rFonts w:cstheme="minorHAnsi"/>
        </w:rPr>
        <w:t xml:space="preserve">here </w:t>
      </w:r>
      <w:r w:rsidR="00A50BE7">
        <w:rPr>
          <w:rFonts w:cstheme="minorHAnsi"/>
        </w:rPr>
        <w:t>are</w:t>
      </w:r>
      <w:r w:rsidR="00005636" w:rsidRPr="005D3DCF">
        <w:rPr>
          <w:rFonts w:cstheme="minorHAnsi"/>
        </w:rPr>
        <w:t xml:space="preserve"> a lack of population-level studies of treatment burden change and factors associated with this change over time. Furthermore, there are currently no practical </w:t>
      </w:r>
      <w:r w:rsidR="00B34120">
        <w:rPr>
          <w:rFonts w:cstheme="minorHAnsi"/>
        </w:rPr>
        <w:t>screening tools for</w:t>
      </w:r>
      <w:r w:rsidR="00847C0B" w:rsidRPr="005D3DCF">
        <w:rPr>
          <w:rFonts w:cstheme="minorHAnsi"/>
        </w:rPr>
        <w:t xml:space="preserve"> treatment burden</w:t>
      </w:r>
      <w:r w:rsidR="00005636" w:rsidRPr="005D3DCF">
        <w:rPr>
          <w:rFonts w:cstheme="minorHAnsi"/>
        </w:rPr>
        <w:t xml:space="preserve"> in </w:t>
      </w:r>
      <w:r w:rsidR="00A50BE7">
        <w:rPr>
          <w:rFonts w:cstheme="minorHAnsi"/>
        </w:rPr>
        <w:t xml:space="preserve">time-pressured </w:t>
      </w:r>
      <w:r w:rsidR="00005636" w:rsidRPr="005D3DCF">
        <w:rPr>
          <w:rFonts w:cstheme="minorHAnsi"/>
        </w:rPr>
        <w:t>clinical settings</w:t>
      </w:r>
      <w:r w:rsidR="007A3BC8">
        <w:rPr>
          <w:rFonts w:cstheme="minorHAnsi"/>
        </w:rPr>
        <w:t xml:space="preserve"> or at population level</w:t>
      </w:r>
      <w:r w:rsidR="00005636" w:rsidRPr="005D3DCF">
        <w:rPr>
          <w:rFonts w:cstheme="minorHAnsi"/>
        </w:rPr>
        <w:t>.</w:t>
      </w:r>
    </w:p>
    <w:p w14:paraId="7E4FD802" w14:textId="77777777" w:rsidR="007C0327" w:rsidRPr="005D3DCF" w:rsidRDefault="007C0327" w:rsidP="007C0327">
      <w:pPr>
        <w:spacing w:after="0" w:line="360" w:lineRule="auto"/>
        <w:rPr>
          <w:rFonts w:cstheme="minorHAnsi"/>
        </w:rPr>
      </w:pPr>
    </w:p>
    <w:p w14:paraId="0DC1D72F" w14:textId="581EC7A0" w:rsidR="00B312B3" w:rsidRPr="00705E03" w:rsidRDefault="00B312B3" w:rsidP="007C0327">
      <w:pPr>
        <w:spacing w:after="0" w:line="360" w:lineRule="auto"/>
        <w:rPr>
          <w:rFonts w:cstheme="minorHAnsi"/>
          <w:b/>
          <w:bCs/>
          <w:sz w:val="32"/>
          <w:szCs w:val="32"/>
        </w:rPr>
      </w:pPr>
      <w:r w:rsidRPr="00705E03">
        <w:rPr>
          <w:rFonts w:cstheme="minorHAnsi"/>
          <w:b/>
          <w:bCs/>
          <w:sz w:val="32"/>
          <w:szCs w:val="32"/>
        </w:rPr>
        <w:t>Methods and analysis</w:t>
      </w:r>
    </w:p>
    <w:p w14:paraId="2FDD2B8E" w14:textId="77777777" w:rsidR="007C0327" w:rsidRPr="005D3DCF" w:rsidRDefault="007C0327" w:rsidP="007C0327">
      <w:pPr>
        <w:spacing w:after="0" w:line="360" w:lineRule="auto"/>
        <w:rPr>
          <w:rFonts w:cstheme="minorHAnsi"/>
          <w:i/>
          <w:iCs/>
        </w:rPr>
      </w:pPr>
    </w:p>
    <w:p w14:paraId="6C654D54" w14:textId="642F4D1A" w:rsidR="00A86C1F" w:rsidRDefault="00847C0B" w:rsidP="007C0327">
      <w:pPr>
        <w:spacing w:after="0" w:line="360" w:lineRule="auto"/>
        <w:rPr>
          <w:rFonts w:cstheme="minorHAnsi"/>
        </w:rPr>
      </w:pPr>
      <w:r w:rsidRPr="005D3DCF">
        <w:rPr>
          <w:rFonts w:cstheme="minorHAnsi"/>
        </w:rPr>
        <w:t>This</w:t>
      </w:r>
      <w:r w:rsidR="00A86C1F" w:rsidRPr="005D3DCF">
        <w:rPr>
          <w:rFonts w:cstheme="minorHAnsi"/>
        </w:rPr>
        <w:t xml:space="preserve"> is a</w:t>
      </w:r>
      <w:r w:rsidRPr="005D3DCF">
        <w:rPr>
          <w:rFonts w:cstheme="minorHAnsi"/>
        </w:rPr>
        <w:t xml:space="preserve"> </w:t>
      </w:r>
      <w:r w:rsidR="00A51229">
        <w:rPr>
          <w:rFonts w:cstheme="minorHAnsi"/>
        </w:rPr>
        <w:t xml:space="preserve">three-year </w:t>
      </w:r>
      <w:r w:rsidRPr="005D3DCF">
        <w:rPr>
          <w:rFonts w:cstheme="minorHAnsi"/>
        </w:rPr>
        <w:t xml:space="preserve">follow-up </w:t>
      </w:r>
      <w:r w:rsidR="0026304B">
        <w:rPr>
          <w:rFonts w:cstheme="minorHAnsi"/>
        </w:rPr>
        <w:t xml:space="preserve">of a </w:t>
      </w:r>
      <w:r w:rsidRPr="005D3DCF">
        <w:rPr>
          <w:rFonts w:cstheme="minorHAnsi"/>
        </w:rPr>
        <w:t>cross-sectional survey of 7</w:t>
      </w:r>
      <w:r w:rsidR="00CE72DF">
        <w:rPr>
          <w:rFonts w:cstheme="minorHAnsi"/>
        </w:rPr>
        <w:t>23</w:t>
      </w:r>
      <w:r w:rsidRPr="005D3DCF">
        <w:rPr>
          <w:rFonts w:cstheme="minorHAnsi"/>
        </w:rPr>
        <w:t xml:space="preserve"> people with multimorbidity </w:t>
      </w:r>
      <w:r w:rsidR="00077A14">
        <w:rPr>
          <w:rFonts w:cstheme="minorHAnsi"/>
        </w:rPr>
        <w:t>(defined as three or more long-term conditions</w:t>
      </w:r>
      <w:r w:rsidR="0026304B">
        <w:rPr>
          <w:rFonts w:cstheme="minorHAnsi"/>
        </w:rPr>
        <w:t>; LTCs</w:t>
      </w:r>
      <w:r w:rsidR="00077A14">
        <w:rPr>
          <w:rFonts w:cstheme="minorHAnsi"/>
        </w:rPr>
        <w:t xml:space="preserve">) </w:t>
      </w:r>
      <w:r w:rsidR="00523A9A">
        <w:rPr>
          <w:rFonts w:cstheme="minorHAnsi"/>
        </w:rPr>
        <w:t xml:space="preserve">registered at GP practices in </w:t>
      </w:r>
      <w:r w:rsidRPr="005D3DCF">
        <w:rPr>
          <w:rFonts w:cstheme="minorHAnsi"/>
        </w:rPr>
        <w:t>in Dorset, England</w:t>
      </w:r>
      <w:r w:rsidR="00A5240F" w:rsidRPr="005D3DCF">
        <w:rPr>
          <w:rFonts w:cstheme="minorHAnsi"/>
        </w:rPr>
        <w:t xml:space="preserve">. The survey will </w:t>
      </w:r>
      <w:r w:rsidR="009F2ED5">
        <w:rPr>
          <w:rFonts w:cstheme="minorHAnsi"/>
        </w:rPr>
        <w:t xml:space="preserve">repeat </w:t>
      </w:r>
      <w:r w:rsidR="00A5240F" w:rsidRPr="005D3DCF">
        <w:rPr>
          <w:rFonts w:cstheme="minorHAnsi"/>
        </w:rPr>
        <w:t>collect</w:t>
      </w:r>
      <w:r w:rsidR="009F2ED5">
        <w:rPr>
          <w:rFonts w:cstheme="minorHAnsi"/>
        </w:rPr>
        <w:t>ion of</w:t>
      </w:r>
      <w:r w:rsidR="00A5240F" w:rsidRPr="005D3DCF">
        <w:rPr>
          <w:rFonts w:cstheme="minorHAnsi"/>
        </w:rPr>
        <w:t xml:space="preserve"> information on treatment burden</w:t>
      </w:r>
      <w:r w:rsidR="00C525F8">
        <w:rPr>
          <w:rFonts w:cstheme="minorHAnsi"/>
        </w:rPr>
        <w:t xml:space="preserve"> (using the</w:t>
      </w:r>
      <w:r w:rsidR="00C525F8" w:rsidRPr="005D3DCF">
        <w:rPr>
          <w:rFonts w:cstheme="minorHAnsi"/>
          <w:iCs/>
        </w:rPr>
        <w:t xml:space="preserve"> 10-item Multimorbidity Treatment Burden Questionnaire (MTBQ)</w:t>
      </w:r>
      <w:r w:rsidR="00C525F8">
        <w:rPr>
          <w:rFonts w:cstheme="minorHAnsi"/>
          <w:iCs/>
        </w:rPr>
        <w:t xml:space="preserve"> </w:t>
      </w:r>
      <w:r w:rsidR="00C525F8">
        <w:rPr>
          <w:rFonts w:cstheme="minorHAnsi"/>
        </w:rPr>
        <w:t>and a novel single-item</w:t>
      </w:r>
      <w:r w:rsidR="000D2B6E">
        <w:rPr>
          <w:rFonts w:cstheme="minorHAnsi"/>
        </w:rPr>
        <w:t xml:space="preserve"> screening tool</w:t>
      </w:r>
      <w:r w:rsidR="00C525F8">
        <w:rPr>
          <w:rFonts w:cstheme="minorHAnsi"/>
        </w:rPr>
        <w:t>)</w:t>
      </w:r>
      <w:r w:rsidR="00A86C1F" w:rsidRPr="005D3DCF">
        <w:rPr>
          <w:rFonts w:cstheme="minorHAnsi"/>
        </w:rPr>
        <w:t xml:space="preserve">, </w:t>
      </w:r>
      <w:proofErr w:type="spellStart"/>
      <w:r w:rsidR="00A86C1F" w:rsidRPr="005D3DCF">
        <w:rPr>
          <w:rFonts w:cstheme="minorHAnsi"/>
        </w:rPr>
        <w:t>sociodemographics</w:t>
      </w:r>
      <w:proofErr w:type="spellEnd"/>
      <w:r w:rsidR="00A86C1F" w:rsidRPr="005D3DCF">
        <w:rPr>
          <w:rFonts w:cstheme="minorHAnsi"/>
        </w:rPr>
        <w:t xml:space="preserve">, medications, </w:t>
      </w:r>
      <w:r w:rsidR="0026304B">
        <w:rPr>
          <w:rFonts w:cstheme="minorHAnsi"/>
        </w:rPr>
        <w:t>LTC</w:t>
      </w:r>
      <w:r w:rsidR="00A86C1F" w:rsidRPr="005D3DCF">
        <w:rPr>
          <w:rFonts w:cstheme="minorHAnsi"/>
        </w:rPr>
        <w:t>s, health literacy and financial resource</w:t>
      </w:r>
      <w:r w:rsidR="00A53384">
        <w:rPr>
          <w:rFonts w:cstheme="minorHAnsi"/>
        </w:rPr>
        <w:t>, as at baseline</w:t>
      </w:r>
      <w:r w:rsidR="00A86C1F" w:rsidRPr="005D3DCF">
        <w:rPr>
          <w:rFonts w:cstheme="minorHAnsi"/>
        </w:rPr>
        <w:t xml:space="preserve">. </w:t>
      </w:r>
      <w:r w:rsidRPr="005D3DCF">
        <w:rPr>
          <w:rFonts w:cstheme="minorHAnsi"/>
        </w:rPr>
        <w:t>Descriptive statistics</w:t>
      </w:r>
      <w:r w:rsidR="00A86C1F" w:rsidRPr="005D3DCF">
        <w:rPr>
          <w:rFonts w:cstheme="minorHAnsi"/>
        </w:rPr>
        <w:t xml:space="preserve"> will be used to compare change in treatment burden </w:t>
      </w:r>
      <w:r w:rsidR="00C525F8">
        <w:rPr>
          <w:rFonts w:cstheme="minorHAnsi"/>
        </w:rPr>
        <w:t>since</w:t>
      </w:r>
      <w:r w:rsidR="00A86C1F" w:rsidRPr="005D3DCF">
        <w:rPr>
          <w:rFonts w:cstheme="minorHAnsi"/>
        </w:rPr>
        <w:t xml:space="preserve"> the baseline survey</w:t>
      </w:r>
      <w:r w:rsidR="00C525F8">
        <w:rPr>
          <w:rFonts w:cstheme="minorHAnsi"/>
        </w:rPr>
        <w:t xml:space="preserve"> in 2019</w:t>
      </w:r>
      <w:r w:rsidR="00A86C1F" w:rsidRPr="005D3DCF">
        <w:rPr>
          <w:rFonts w:cstheme="minorHAnsi"/>
        </w:rPr>
        <w:t xml:space="preserve"> and associations of treatment burden change will be assessed using regression methods. </w:t>
      </w:r>
      <w:r w:rsidR="00C525F8" w:rsidRPr="005D3DCF">
        <w:rPr>
          <w:rFonts w:cstheme="minorHAnsi"/>
        </w:rPr>
        <w:t>Diagnostic test</w:t>
      </w:r>
      <w:r w:rsidR="006E20D4">
        <w:rPr>
          <w:rFonts w:cstheme="minorHAnsi"/>
        </w:rPr>
        <w:t xml:space="preserve"> accuracy metrics</w:t>
      </w:r>
      <w:r w:rsidR="00C525F8" w:rsidRPr="005D3DCF">
        <w:rPr>
          <w:rFonts w:cstheme="minorHAnsi"/>
        </w:rPr>
        <w:t xml:space="preserve"> will be used to evaluate </w:t>
      </w:r>
      <w:r w:rsidR="00C525F8">
        <w:rPr>
          <w:rFonts w:cstheme="minorHAnsi"/>
        </w:rPr>
        <w:t>the</w:t>
      </w:r>
      <w:r w:rsidR="00C525F8" w:rsidRPr="005D3DCF">
        <w:rPr>
          <w:rFonts w:cstheme="minorHAnsi"/>
        </w:rPr>
        <w:t xml:space="preserve"> single-item treatment burden </w:t>
      </w:r>
      <w:r w:rsidR="000D2B6E">
        <w:rPr>
          <w:rFonts w:cstheme="minorHAnsi"/>
        </w:rPr>
        <w:t>screening tool</w:t>
      </w:r>
      <w:r w:rsidR="00413F01">
        <w:rPr>
          <w:rFonts w:cstheme="minorHAnsi"/>
        </w:rPr>
        <w:t xml:space="preserve"> using the MTBQ as the gold-standard</w:t>
      </w:r>
      <w:r w:rsidR="00C525F8" w:rsidRPr="005D3DCF">
        <w:rPr>
          <w:rFonts w:cstheme="minorHAnsi"/>
        </w:rPr>
        <w:t>.</w:t>
      </w:r>
      <w:r w:rsidR="00C525F8">
        <w:rPr>
          <w:rFonts w:cstheme="minorHAnsi"/>
        </w:rPr>
        <w:t xml:space="preserve"> Routine primary care data (including demographics, medications, </w:t>
      </w:r>
      <w:r w:rsidR="0026304B">
        <w:rPr>
          <w:rFonts w:cstheme="minorHAnsi"/>
        </w:rPr>
        <w:t>LTC</w:t>
      </w:r>
      <w:r w:rsidR="00C525F8">
        <w:rPr>
          <w:rFonts w:cstheme="minorHAnsi"/>
        </w:rPr>
        <w:t xml:space="preserve">s, and healthcare usage data) will be extracted </w:t>
      </w:r>
      <w:r w:rsidR="00413F01">
        <w:rPr>
          <w:rFonts w:cstheme="minorHAnsi"/>
        </w:rPr>
        <w:t xml:space="preserve">from medical records </w:t>
      </w:r>
      <w:r w:rsidR="00C525F8">
        <w:rPr>
          <w:rFonts w:cstheme="minorHAnsi"/>
        </w:rPr>
        <w:t>for consenting participants.</w:t>
      </w:r>
      <w:r w:rsidR="00A86C1F" w:rsidRPr="005D3DCF">
        <w:rPr>
          <w:rFonts w:cstheme="minorHAnsi"/>
        </w:rPr>
        <w:t xml:space="preserve"> A forward-stepwise, likelihood-ratio logistic regression model building approach will be employed </w:t>
      </w:r>
      <w:proofErr w:type="gramStart"/>
      <w:r w:rsidR="006E20D4">
        <w:rPr>
          <w:rFonts w:cstheme="minorHAnsi"/>
        </w:rPr>
        <w:t>in order to</w:t>
      </w:r>
      <w:proofErr w:type="gramEnd"/>
      <w:r w:rsidR="006E20D4">
        <w:rPr>
          <w:rFonts w:cstheme="minorHAnsi"/>
        </w:rPr>
        <w:t xml:space="preserve"> assess the utility of routine data metrics in quantifying treatment burden in comparison to self-reported treatment burden</w:t>
      </w:r>
      <w:r w:rsidR="000D585C">
        <w:rPr>
          <w:rFonts w:cstheme="minorHAnsi"/>
        </w:rPr>
        <w:t xml:space="preserve"> using the MTBQ</w:t>
      </w:r>
      <w:r w:rsidR="00A86C1F" w:rsidRPr="005D3DCF">
        <w:rPr>
          <w:rFonts w:cstheme="minorHAnsi"/>
        </w:rPr>
        <w:t>.</w:t>
      </w:r>
    </w:p>
    <w:p w14:paraId="073D4D58" w14:textId="77777777" w:rsidR="007C0327" w:rsidRPr="005D3DCF" w:rsidRDefault="007C0327" w:rsidP="007C0327">
      <w:pPr>
        <w:spacing w:after="0" w:line="360" w:lineRule="auto"/>
        <w:rPr>
          <w:rFonts w:cstheme="minorHAnsi"/>
          <w:highlight w:val="yellow"/>
        </w:rPr>
      </w:pPr>
    </w:p>
    <w:p w14:paraId="6C944B26" w14:textId="77777777" w:rsidR="007C0327" w:rsidRPr="00705E03" w:rsidRDefault="004F126D" w:rsidP="007C0327">
      <w:pPr>
        <w:spacing w:after="0" w:line="360" w:lineRule="auto"/>
        <w:rPr>
          <w:rFonts w:cstheme="minorHAnsi"/>
          <w:b/>
          <w:bCs/>
          <w:sz w:val="32"/>
          <w:szCs w:val="32"/>
        </w:rPr>
      </w:pPr>
      <w:r w:rsidRPr="00705E03">
        <w:rPr>
          <w:rFonts w:cstheme="minorHAnsi"/>
          <w:b/>
          <w:bCs/>
          <w:sz w:val="32"/>
          <w:szCs w:val="32"/>
        </w:rPr>
        <w:t>Impact</w:t>
      </w:r>
    </w:p>
    <w:p w14:paraId="57ADDC6D" w14:textId="441173CD" w:rsidR="00B312B3" w:rsidRPr="005D3DCF" w:rsidRDefault="004F126D" w:rsidP="007C0327">
      <w:pPr>
        <w:spacing w:after="0" w:line="360" w:lineRule="auto"/>
        <w:rPr>
          <w:rFonts w:cstheme="minorHAnsi"/>
          <w:i/>
          <w:iCs/>
        </w:rPr>
      </w:pPr>
      <w:r w:rsidRPr="005D3DCF">
        <w:rPr>
          <w:rFonts w:cstheme="minorHAnsi"/>
          <w:i/>
          <w:iCs/>
        </w:rPr>
        <w:t xml:space="preserve"> </w:t>
      </w:r>
    </w:p>
    <w:p w14:paraId="268E61D9" w14:textId="39660CF7" w:rsidR="004F126D" w:rsidRDefault="00523A9A" w:rsidP="007C0327">
      <w:pPr>
        <w:spacing w:after="0" w:line="360" w:lineRule="auto"/>
        <w:rPr>
          <w:rFonts w:cstheme="minorHAnsi"/>
        </w:rPr>
      </w:pPr>
      <w:r>
        <w:rPr>
          <w:rFonts w:cstheme="minorHAnsi"/>
        </w:rPr>
        <w:t>To the authors’ knowledge, t</w:t>
      </w:r>
      <w:r w:rsidR="004F126D" w:rsidRPr="005D3DCF">
        <w:rPr>
          <w:rFonts w:cstheme="minorHAnsi"/>
        </w:rPr>
        <w:t xml:space="preserve">his will be the first study </w:t>
      </w:r>
      <w:r>
        <w:rPr>
          <w:rFonts w:cstheme="minorHAnsi"/>
        </w:rPr>
        <w:t>investigating</w:t>
      </w:r>
      <w:r w:rsidR="004F126D" w:rsidRPr="005D3DCF">
        <w:rPr>
          <w:rFonts w:cstheme="minorHAnsi"/>
        </w:rPr>
        <w:t xml:space="preserve"> longitudinal aspects of treatment burden. </w:t>
      </w:r>
      <w:r w:rsidR="008709BA">
        <w:rPr>
          <w:rFonts w:cstheme="minorHAnsi"/>
        </w:rPr>
        <w:t>F</w:t>
      </w:r>
      <w:r w:rsidR="004F126D" w:rsidRPr="005D3DCF">
        <w:rPr>
          <w:rFonts w:cstheme="minorHAnsi"/>
        </w:rPr>
        <w:t xml:space="preserve">indings will improve understanding of the extent to which treatment burden changes over time </w:t>
      </w:r>
      <w:r w:rsidR="00336BC7">
        <w:rPr>
          <w:rFonts w:cstheme="minorHAnsi"/>
        </w:rPr>
        <w:t xml:space="preserve">for people with multimorbidity </w:t>
      </w:r>
      <w:r w:rsidR="004F126D" w:rsidRPr="005D3DCF">
        <w:rPr>
          <w:rFonts w:cstheme="minorHAnsi"/>
        </w:rPr>
        <w:t>and factors contributing to this change, as well as allow</w:t>
      </w:r>
      <w:r w:rsidR="00336BC7">
        <w:rPr>
          <w:rFonts w:cstheme="minorHAnsi"/>
        </w:rPr>
        <w:t>ing better</w:t>
      </w:r>
      <w:r w:rsidR="004F126D" w:rsidRPr="005D3DCF">
        <w:rPr>
          <w:rFonts w:cstheme="minorHAnsi"/>
        </w:rPr>
        <w:t xml:space="preserve"> identification of people at risk of high treatment burden. </w:t>
      </w:r>
    </w:p>
    <w:p w14:paraId="56BD08FA" w14:textId="77777777" w:rsidR="00736C63" w:rsidRDefault="00736C63" w:rsidP="007C0327">
      <w:pPr>
        <w:spacing w:after="0" w:line="360" w:lineRule="auto"/>
        <w:rPr>
          <w:rFonts w:cstheme="minorHAnsi"/>
        </w:rPr>
      </w:pPr>
    </w:p>
    <w:p w14:paraId="1B0C1FCC" w14:textId="17654911" w:rsidR="007C0327" w:rsidRDefault="00736C63" w:rsidP="007C0327">
      <w:pPr>
        <w:spacing w:after="0" w:line="360" w:lineRule="auto"/>
        <w:rPr>
          <w:rFonts w:cstheme="minorHAnsi"/>
        </w:rPr>
      </w:pPr>
      <w:r>
        <w:rPr>
          <w:rFonts w:cstheme="minorHAnsi"/>
        </w:rPr>
        <w:t xml:space="preserve">Keywords: </w:t>
      </w:r>
      <w:r w:rsidRPr="00736C63">
        <w:rPr>
          <w:rFonts w:cstheme="minorHAnsi"/>
        </w:rPr>
        <w:t>Multimorbidity; healthcare; health systems; public health; longitudinal observational studies</w:t>
      </w:r>
    </w:p>
    <w:p w14:paraId="23B0C09C" w14:textId="77777777" w:rsidR="00736C63" w:rsidRPr="005D3DCF" w:rsidRDefault="00736C63" w:rsidP="007C0327">
      <w:pPr>
        <w:spacing w:after="0" w:line="360" w:lineRule="auto"/>
        <w:rPr>
          <w:rFonts w:cstheme="minorHAnsi"/>
        </w:rPr>
      </w:pPr>
    </w:p>
    <w:p w14:paraId="21490D32" w14:textId="467D6A2E" w:rsidR="00B312B3" w:rsidRPr="00705E03" w:rsidRDefault="00B312B3" w:rsidP="007C0327">
      <w:pPr>
        <w:spacing w:after="0" w:line="360" w:lineRule="auto"/>
        <w:rPr>
          <w:rFonts w:cstheme="minorHAnsi"/>
          <w:b/>
          <w:bCs/>
          <w:sz w:val="36"/>
          <w:szCs w:val="36"/>
        </w:rPr>
      </w:pPr>
      <w:r w:rsidRPr="00705E03">
        <w:rPr>
          <w:rFonts w:cstheme="minorHAnsi"/>
          <w:b/>
          <w:bCs/>
          <w:sz w:val="36"/>
          <w:szCs w:val="36"/>
        </w:rPr>
        <w:t xml:space="preserve">Introduction </w:t>
      </w:r>
    </w:p>
    <w:p w14:paraId="545F52C2" w14:textId="77777777" w:rsidR="007C0327" w:rsidRPr="005D3DCF" w:rsidRDefault="007C0327" w:rsidP="007C0327">
      <w:pPr>
        <w:spacing w:after="0" w:line="360" w:lineRule="auto"/>
        <w:rPr>
          <w:rFonts w:cstheme="minorHAnsi"/>
          <w:b/>
          <w:bCs/>
        </w:rPr>
      </w:pPr>
    </w:p>
    <w:p w14:paraId="3E81CF6C" w14:textId="7336AC6B" w:rsidR="003956C2" w:rsidRDefault="003956C2" w:rsidP="007C0327">
      <w:pPr>
        <w:spacing w:after="0" w:line="360" w:lineRule="auto"/>
        <w:rPr>
          <w:rFonts w:cstheme="minorHAnsi"/>
        </w:rPr>
      </w:pPr>
      <w:r w:rsidRPr="005D3DCF">
        <w:rPr>
          <w:rFonts w:cstheme="minorHAnsi"/>
        </w:rPr>
        <w:t xml:space="preserve">Treatment burden is the </w:t>
      </w:r>
      <w:r w:rsidR="00EA5286">
        <w:rPr>
          <w:rFonts w:cstheme="minorHAnsi"/>
        </w:rPr>
        <w:t>effort required of patients to look after their health and the impact this has on their functioning and wellbeing</w:t>
      </w:r>
      <w:r w:rsidR="00102109">
        <w:rPr>
          <w:rFonts w:cstheme="minorHAnsi"/>
        </w:rPr>
        <w:t>.</w:t>
      </w:r>
      <w:r w:rsidRPr="005D3DCF">
        <w:rPr>
          <w:rFonts w:cstheme="minorHAnsi"/>
        </w:rPr>
        <w:t xml:space="preserve"> (1-4) Taking and managing multiple medications, </w:t>
      </w:r>
      <w:proofErr w:type="gramStart"/>
      <w:r w:rsidRPr="005D3DCF">
        <w:rPr>
          <w:rFonts w:cstheme="minorHAnsi"/>
        </w:rPr>
        <w:t>organising</w:t>
      </w:r>
      <w:proofErr w:type="gramEnd"/>
      <w:r w:rsidRPr="005D3DCF">
        <w:rPr>
          <w:rFonts w:cstheme="minorHAnsi"/>
        </w:rPr>
        <w:t xml:space="preserve"> and attending healthcare appointments, monitoring health, performing self-care, and modifying lifestyle behaviours all contribute to this workload</w:t>
      </w:r>
      <w:r w:rsidR="00102109">
        <w:rPr>
          <w:rFonts w:cstheme="minorHAnsi"/>
        </w:rPr>
        <w:t>.</w:t>
      </w:r>
      <w:r w:rsidRPr="005D3DCF">
        <w:rPr>
          <w:rFonts w:cstheme="minorHAnsi"/>
        </w:rPr>
        <w:t xml:space="preserve"> (3) </w:t>
      </w:r>
      <w:r w:rsidR="00213077">
        <w:rPr>
          <w:rFonts w:cstheme="minorHAnsi"/>
        </w:rPr>
        <w:t xml:space="preserve">In addition, patients may experience adverse effects of medications, drug-drug </w:t>
      </w:r>
      <w:proofErr w:type="gramStart"/>
      <w:r w:rsidR="00213077">
        <w:rPr>
          <w:rFonts w:cstheme="minorHAnsi"/>
        </w:rPr>
        <w:t>interactions</w:t>
      </w:r>
      <w:proofErr w:type="gramEnd"/>
      <w:r w:rsidR="00213077">
        <w:rPr>
          <w:rFonts w:cstheme="minorHAnsi"/>
        </w:rPr>
        <w:t xml:space="preserve"> and drug-comorbidity interactions. (5)  </w:t>
      </w:r>
      <w:r w:rsidR="009C7CFF" w:rsidRPr="005D3DCF">
        <w:rPr>
          <w:rFonts w:cstheme="minorHAnsi"/>
        </w:rPr>
        <w:t xml:space="preserve">The need to assess treatment burden in the context of multimorbidity </w:t>
      </w:r>
      <w:r w:rsidR="009F03A3" w:rsidRPr="005D3DCF">
        <w:rPr>
          <w:rFonts w:cstheme="minorHAnsi"/>
        </w:rPr>
        <w:t>(</w:t>
      </w:r>
      <w:r w:rsidR="00213077">
        <w:rPr>
          <w:rFonts w:cstheme="minorHAnsi"/>
        </w:rPr>
        <w:t xml:space="preserve">defined in this study as the </w:t>
      </w:r>
      <w:r w:rsidR="009F03A3" w:rsidRPr="005D3DCF">
        <w:rPr>
          <w:rFonts w:cstheme="minorHAnsi"/>
        </w:rPr>
        <w:t xml:space="preserve">presence of </w:t>
      </w:r>
      <w:r w:rsidR="00213077">
        <w:rPr>
          <w:rFonts w:cstheme="minorHAnsi"/>
        </w:rPr>
        <w:t>three or more</w:t>
      </w:r>
      <w:r w:rsidR="009F03A3" w:rsidRPr="005D3DCF">
        <w:rPr>
          <w:rFonts w:cstheme="minorHAnsi"/>
        </w:rPr>
        <w:t xml:space="preserve"> long-term conditions) </w:t>
      </w:r>
      <w:r w:rsidR="009C7CFF" w:rsidRPr="005D3DCF">
        <w:rPr>
          <w:rFonts w:cstheme="minorHAnsi"/>
        </w:rPr>
        <w:t>was recognised in the National Institute for Health and Care Excellence (NICE) 2016 guidance for</w:t>
      </w:r>
      <w:r w:rsidR="00523A9A">
        <w:rPr>
          <w:rFonts w:cstheme="minorHAnsi"/>
        </w:rPr>
        <w:t xml:space="preserve"> the assessment and management of</w:t>
      </w:r>
      <w:r w:rsidR="009C7CFF" w:rsidRPr="005D3DCF">
        <w:rPr>
          <w:rFonts w:cstheme="minorHAnsi"/>
        </w:rPr>
        <w:t xml:space="preserve"> </w:t>
      </w:r>
      <w:proofErr w:type="gramStart"/>
      <w:r w:rsidR="009C7CFF" w:rsidRPr="005D3DCF">
        <w:rPr>
          <w:rFonts w:cstheme="minorHAnsi"/>
        </w:rPr>
        <w:t>multimorbidity.(</w:t>
      </w:r>
      <w:proofErr w:type="gramEnd"/>
      <w:r w:rsidR="00987DE0">
        <w:rPr>
          <w:rFonts w:cstheme="minorHAnsi"/>
        </w:rPr>
        <w:t>6</w:t>
      </w:r>
      <w:r w:rsidR="009C7CFF" w:rsidRPr="005D3DCF">
        <w:rPr>
          <w:rFonts w:cstheme="minorHAnsi"/>
        </w:rPr>
        <w:t xml:space="preserve">) People with few chronic conditions, whose treatment is straightforward, may have a treatment workload that is justifiable and well tolerated. For those with greater clinical complexity and fewer available resources, total workload of a treatment regimen might represent a substantial burden, outweighing patient ‘capacity’ (ability to manage workload conferred by both treatment and the demands of everyday life) and risk treatment </w:t>
      </w:r>
      <w:proofErr w:type="gramStart"/>
      <w:r w:rsidR="009C7CFF" w:rsidRPr="005D3DCF">
        <w:rPr>
          <w:rFonts w:cstheme="minorHAnsi"/>
        </w:rPr>
        <w:t>failure.(</w:t>
      </w:r>
      <w:proofErr w:type="gramEnd"/>
      <w:r w:rsidR="00987DE0">
        <w:rPr>
          <w:rFonts w:cstheme="minorHAnsi"/>
        </w:rPr>
        <w:t>7</w:t>
      </w:r>
      <w:r w:rsidR="009C7CFF" w:rsidRPr="005D3DCF">
        <w:rPr>
          <w:rFonts w:cstheme="minorHAnsi"/>
        </w:rPr>
        <w:t xml:space="preserve">) </w:t>
      </w:r>
    </w:p>
    <w:p w14:paraId="2A7786DC" w14:textId="77777777" w:rsidR="007C0327" w:rsidRPr="005D3DCF" w:rsidRDefault="007C0327" w:rsidP="007C0327">
      <w:pPr>
        <w:spacing w:after="0" w:line="360" w:lineRule="auto"/>
        <w:rPr>
          <w:rFonts w:cstheme="minorHAnsi"/>
        </w:rPr>
      </w:pPr>
    </w:p>
    <w:p w14:paraId="5DEBF0BD" w14:textId="2EB6978C" w:rsidR="009F03A3" w:rsidRDefault="003956C2" w:rsidP="007C0327">
      <w:pPr>
        <w:spacing w:after="0" w:line="360" w:lineRule="auto"/>
        <w:rPr>
          <w:rFonts w:cstheme="minorHAnsi"/>
        </w:rPr>
      </w:pPr>
      <w:r w:rsidRPr="00C57648">
        <w:rPr>
          <w:rFonts w:cstheme="minorHAnsi"/>
        </w:rPr>
        <w:t>Treatment burden may be exacerbated by the predominance of single-disease-focused clinical guidelines, with patients often asked to follow multiple treatment plans in parallel</w:t>
      </w:r>
      <w:r w:rsidR="00A6511B">
        <w:rPr>
          <w:rFonts w:cstheme="minorHAnsi"/>
        </w:rPr>
        <w:t>.</w:t>
      </w:r>
      <w:r w:rsidRPr="00C57648">
        <w:rPr>
          <w:rFonts w:cstheme="minorHAnsi"/>
        </w:rPr>
        <w:t xml:space="preserve"> (</w:t>
      </w:r>
      <w:r w:rsidR="00987DE0">
        <w:rPr>
          <w:rFonts w:cstheme="minorHAnsi"/>
        </w:rPr>
        <w:t>8</w:t>
      </w:r>
      <w:r w:rsidRPr="00C57648">
        <w:rPr>
          <w:rFonts w:cstheme="minorHAnsi"/>
        </w:rPr>
        <w:t xml:space="preserve">) </w:t>
      </w:r>
      <w:r w:rsidR="00336BC7">
        <w:rPr>
          <w:rFonts w:cstheme="minorHAnsi"/>
        </w:rPr>
        <w:t>P</w:t>
      </w:r>
      <w:r w:rsidRPr="00C57648">
        <w:rPr>
          <w:rFonts w:cstheme="minorHAnsi"/>
        </w:rPr>
        <w:t>atients</w:t>
      </w:r>
      <w:r w:rsidR="00336BC7">
        <w:rPr>
          <w:rFonts w:cstheme="minorHAnsi"/>
        </w:rPr>
        <w:t xml:space="preserve"> with complex disease and/or multimorbidity</w:t>
      </w:r>
      <w:r w:rsidRPr="00C57648">
        <w:rPr>
          <w:rFonts w:cstheme="minorHAnsi"/>
        </w:rPr>
        <w:t xml:space="preserve"> may feel overburdened, resulting in low treatment adherence, worse health outcomes and poor quality of life</w:t>
      </w:r>
      <w:r w:rsidR="00A6511B">
        <w:rPr>
          <w:rFonts w:cstheme="minorHAnsi"/>
        </w:rPr>
        <w:t>.</w:t>
      </w:r>
      <w:r w:rsidRPr="00C57648">
        <w:rPr>
          <w:rFonts w:cstheme="minorHAnsi"/>
        </w:rPr>
        <w:t xml:space="preserve"> (</w:t>
      </w:r>
      <w:r w:rsidR="00987DE0">
        <w:rPr>
          <w:rFonts w:cstheme="minorHAnsi"/>
        </w:rPr>
        <w:t>9</w:t>
      </w:r>
      <w:r w:rsidR="008035F0" w:rsidRPr="00C57648">
        <w:rPr>
          <w:rFonts w:cstheme="minorHAnsi"/>
        </w:rPr>
        <w:t>,</w:t>
      </w:r>
      <w:r w:rsidR="00987DE0">
        <w:rPr>
          <w:rFonts w:cstheme="minorHAnsi"/>
        </w:rPr>
        <w:t>10</w:t>
      </w:r>
      <w:r w:rsidRPr="00C57648">
        <w:rPr>
          <w:rFonts w:cstheme="minorHAnsi"/>
        </w:rPr>
        <w:t>-1</w:t>
      </w:r>
      <w:r w:rsidR="00987DE0">
        <w:rPr>
          <w:rFonts w:cstheme="minorHAnsi"/>
        </w:rPr>
        <w:t>3</w:t>
      </w:r>
      <w:r w:rsidRPr="00C57648">
        <w:rPr>
          <w:rFonts w:cstheme="minorHAnsi"/>
        </w:rPr>
        <w:t>) This, in turn, may</w:t>
      </w:r>
      <w:r w:rsidRPr="005D3DCF">
        <w:rPr>
          <w:rFonts w:cstheme="minorHAnsi"/>
        </w:rPr>
        <w:t xml:space="preserve"> contribute to health service inefficiency and ineffectiveness, health</w:t>
      </w:r>
      <w:r w:rsidR="00E84329" w:rsidRPr="005D3DCF">
        <w:rPr>
          <w:rFonts w:cstheme="minorHAnsi"/>
        </w:rPr>
        <w:t>care inequity</w:t>
      </w:r>
      <w:r w:rsidRPr="005D3DCF">
        <w:rPr>
          <w:rFonts w:cstheme="minorHAnsi"/>
        </w:rPr>
        <w:t>, and has led to calls for health services to be organised in ways that are as straightforward and holistic as possible for patients and carers</w:t>
      </w:r>
      <w:r w:rsidR="002D181B">
        <w:rPr>
          <w:rFonts w:cstheme="minorHAnsi"/>
        </w:rPr>
        <w:t>, such that care is prioritised from the patient perspective</w:t>
      </w:r>
      <w:r w:rsidR="00A6511B">
        <w:rPr>
          <w:rFonts w:cstheme="minorHAnsi"/>
        </w:rPr>
        <w:t>.</w:t>
      </w:r>
      <w:r w:rsidRPr="005D3DCF">
        <w:rPr>
          <w:rFonts w:cstheme="minorHAnsi"/>
        </w:rPr>
        <w:t xml:space="preserve"> (1</w:t>
      </w:r>
      <w:r w:rsidR="00987DE0">
        <w:rPr>
          <w:rFonts w:cstheme="minorHAnsi"/>
        </w:rPr>
        <w:t>4</w:t>
      </w:r>
      <w:r w:rsidRPr="005D3DCF">
        <w:rPr>
          <w:rFonts w:cstheme="minorHAnsi"/>
        </w:rPr>
        <w:t>,1</w:t>
      </w:r>
      <w:r w:rsidR="00987DE0">
        <w:rPr>
          <w:rFonts w:cstheme="minorHAnsi"/>
        </w:rPr>
        <w:t>5</w:t>
      </w:r>
      <w:r w:rsidRPr="005D3DCF">
        <w:rPr>
          <w:rFonts w:cstheme="minorHAnsi"/>
        </w:rPr>
        <w:t xml:space="preserve">) </w:t>
      </w:r>
      <w:r w:rsidR="009C7CFF" w:rsidRPr="005D3DCF">
        <w:rPr>
          <w:rFonts w:cstheme="minorHAnsi"/>
        </w:rPr>
        <w:t>This is important given the ageing and</w:t>
      </w:r>
      <w:r w:rsidR="009F03A3" w:rsidRPr="005D3DCF">
        <w:rPr>
          <w:rFonts w:cstheme="minorHAnsi"/>
        </w:rPr>
        <w:t xml:space="preserve"> increasingly</w:t>
      </w:r>
      <w:r w:rsidR="009C7CFF" w:rsidRPr="005D3DCF">
        <w:rPr>
          <w:rFonts w:cstheme="minorHAnsi"/>
        </w:rPr>
        <w:t xml:space="preserve"> multimorbid UK population.</w:t>
      </w:r>
      <w:r w:rsidR="009D117B" w:rsidRPr="005D3DCF">
        <w:rPr>
          <w:rFonts w:cstheme="minorHAnsi"/>
        </w:rPr>
        <w:t xml:space="preserve"> </w:t>
      </w:r>
      <w:r w:rsidR="009C7CFF" w:rsidRPr="005D3DCF">
        <w:rPr>
          <w:rFonts w:cstheme="minorHAnsi"/>
        </w:rPr>
        <w:t>(1</w:t>
      </w:r>
      <w:r w:rsidR="00987DE0">
        <w:rPr>
          <w:rFonts w:cstheme="minorHAnsi"/>
        </w:rPr>
        <w:t>6</w:t>
      </w:r>
      <w:r w:rsidR="009C7CFF" w:rsidRPr="005D3DCF">
        <w:rPr>
          <w:rFonts w:cstheme="minorHAnsi"/>
        </w:rPr>
        <w:t xml:space="preserve">) </w:t>
      </w:r>
      <w:r w:rsidR="00336BC7">
        <w:rPr>
          <w:rFonts w:cstheme="minorHAnsi"/>
        </w:rPr>
        <w:t>Our previous</w:t>
      </w:r>
      <w:r w:rsidR="00B36C05" w:rsidRPr="005D3DCF">
        <w:rPr>
          <w:rFonts w:cstheme="minorHAnsi"/>
        </w:rPr>
        <w:t xml:space="preserve"> </w:t>
      </w:r>
      <w:proofErr w:type="gramStart"/>
      <w:r w:rsidR="00B36C05" w:rsidRPr="005D3DCF">
        <w:rPr>
          <w:rFonts w:cstheme="minorHAnsi"/>
        </w:rPr>
        <w:t>cross</w:t>
      </w:r>
      <w:r w:rsidR="00336BC7">
        <w:rPr>
          <w:rFonts w:cstheme="minorHAnsi"/>
        </w:rPr>
        <w:t xml:space="preserve"> </w:t>
      </w:r>
      <w:r w:rsidR="00B36C05" w:rsidRPr="005D3DCF">
        <w:rPr>
          <w:rFonts w:cstheme="minorHAnsi"/>
        </w:rPr>
        <w:t>sectional</w:t>
      </w:r>
      <w:proofErr w:type="gramEnd"/>
      <w:r w:rsidR="00B36C05" w:rsidRPr="005D3DCF">
        <w:rPr>
          <w:rFonts w:cstheme="minorHAnsi"/>
        </w:rPr>
        <w:t xml:space="preserve"> study of treatment burden </w:t>
      </w:r>
      <w:r w:rsidR="00336BC7">
        <w:rPr>
          <w:rFonts w:cstheme="minorHAnsi"/>
        </w:rPr>
        <w:t xml:space="preserve">among older people </w:t>
      </w:r>
      <w:r w:rsidR="00D0787F">
        <w:rPr>
          <w:rFonts w:cstheme="minorHAnsi"/>
        </w:rPr>
        <w:t>(</w:t>
      </w:r>
      <w:r w:rsidR="00D0787F">
        <w:rPr>
          <w:rFonts w:ascii="Calibri" w:hAnsi="Calibri" w:cstheme="minorHAnsi"/>
        </w:rPr>
        <w:t>≥</w:t>
      </w:r>
      <w:r w:rsidR="00D0787F">
        <w:rPr>
          <w:rFonts w:cstheme="minorHAnsi"/>
        </w:rPr>
        <w:t xml:space="preserve">55years) </w:t>
      </w:r>
      <w:r w:rsidR="00336BC7">
        <w:rPr>
          <w:rFonts w:cstheme="minorHAnsi"/>
        </w:rPr>
        <w:t>with multimorbidity (defined as having three or more long-term conditions</w:t>
      </w:r>
      <w:r w:rsidR="00523A9A">
        <w:rPr>
          <w:rFonts w:cstheme="minorHAnsi"/>
        </w:rPr>
        <w:t xml:space="preserve"> from a specified list</w:t>
      </w:r>
      <w:r w:rsidR="00336BC7">
        <w:rPr>
          <w:rFonts w:cstheme="minorHAnsi"/>
        </w:rPr>
        <w:t>)</w:t>
      </w:r>
      <w:r w:rsidR="0039294D">
        <w:rPr>
          <w:rFonts w:cstheme="minorHAnsi"/>
        </w:rPr>
        <w:t xml:space="preserve"> (1</w:t>
      </w:r>
      <w:r w:rsidR="00987DE0">
        <w:rPr>
          <w:rFonts w:cstheme="minorHAnsi"/>
        </w:rPr>
        <w:t>7</w:t>
      </w:r>
      <w:r w:rsidR="0039294D">
        <w:rPr>
          <w:rFonts w:cstheme="minorHAnsi"/>
        </w:rPr>
        <w:t>)</w:t>
      </w:r>
      <w:r w:rsidR="00336BC7">
        <w:rPr>
          <w:rFonts w:cstheme="minorHAnsi"/>
        </w:rPr>
        <w:t xml:space="preserve"> </w:t>
      </w:r>
      <w:r w:rsidR="00B36C05" w:rsidRPr="005D3DCF">
        <w:rPr>
          <w:rFonts w:cstheme="minorHAnsi"/>
        </w:rPr>
        <w:t xml:space="preserve">in </w:t>
      </w:r>
      <w:r w:rsidR="0039294D">
        <w:rPr>
          <w:rFonts w:cstheme="minorHAnsi"/>
        </w:rPr>
        <w:t xml:space="preserve">the county of </w:t>
      </w:r>
      <w:r w:rsidR="00B36C05" w:rsidRPr="005D3DCF">
        <w:rPr>
          <w:rFonts w:cstheme="minorHAnsi"/>
        </w:rPr>
        <w:t xml:space="preserve">Dorset, England found that </w:t>
      </w:r>
      <w:r w:rsidR="00523A9A">
        <w:rPr>
          <w:rFonts w:cstheme="minorHAnsi"/>
        </w:rPr>
        <w:t>a</w:t>
      </w:r>
      <w:r w:rsidR="00B73695">
        <w:rPr>
          <w:rFonts w:cstheme="minorHAnsi"/>
        </w:rPr>
        <w:t>pproximately</w:t>
      </w:r>
      <w:r w:rsidR="00523A9A">
        <w:rPr>
          <w:rFonts w:cstheme="minorHAnsi"/>
        </w:rPr>
        <w:t xml:space="preserve"> </w:t>
      </w:r>
      <w:r w:rsidR="00B36C05" w:rsidRPr="005D3DCF">
        <w:rPr>
          <w:rFonts w:cstheme="minorHAnsi"/>
        </w:rPr>
        <w:t>one in five people experience high treatment burde</w:t>
      </w:r>
      <w:r w:rsidR="00220690" w:rsidRPr="005D3DCF">
        <w:rPr>
          <w:rFonts w:cstheme="minorHAnsi"/>
        </w:rPr>
        <w:t>n</w:t>
      </w:r>
      <w:r w:rsidR="00B502EC">
        <w:rPr>
          <w:rFonts w:cstheme="minorHAnsi"/>
        </w:rPr>
        <w:t xml:space="preserve"> and that high treatment burden was associated with </w:t>
      </w:r>
      <w:r w:rsidR="00B502EC" w:rsidRPr="00B502EC">
        <w:rPr>
          <w:rFonts w:cstheme="minorHAnsi"/>
        </w:rPr>
        <w:t>limited health literacy</w:t>
      </w:r>
      <w:r w:rsidR="00B502EC">
        <w:rPr>
          <w:rFonts w:cstheme="minorHAnsi"/>
        </w:rPr>
        <w:t>,</w:t>
      </w:r>
      <w:r w:rsidR="00B502EC" w:rsidRPr="00B502EC">
        <w:rPr>
          <w:rFonts w:cstheme="minorHAnsi"/>
        </w:rPr>
        <w:t xml:space="preserve"> financial difficulty</w:t>
      </w:r>
      <w:r w:rsidR="00B502EC">
        <w:rPr>
          <w:rFonts w:cstheme="minorHAnsi"/>
        </w:rPr>
        <w:t>, having</w:t>
      </w:r>
      <w:r w:rsidR="00B502EC" w:rsidRPr="00B502EC">
        <w:rPr>
          <w:rFonts w:cstheme="minorHAnsi"/>
        </w:rPr>
        <w:t xml:space="preserve"> more </w:t>
      </w:r>
      <w:r w:rsidR="00B502EC">
        <w:rPr>
          <w:rFonts w:cstheme="minorHAnsi"/>
        </w:rPr>
        <w:t xml:space="preserve">long-term conditions </w:t>
      </w:r>
      <w:r w:rsidR="00B502EC" w:rsidRPr="00B502EC">
        <w:rPr>
          <w:rFonts w:cstheme="minorHAnsi"/>
        </w:rPr>
        <w:t xml:space="preserve">and </w:t>
      </w:r>
      <w:r w:rsidR="00B502EC">
        <w:rPr>
          <w:rFonts w:cstheme="minorHAnsi"/>
        </w:rPr>
        <w:t>greater number of</w:t>
      </w:r>
      <w:r w:rsidR="00B502EC" w:rsidRPr="00B502EC">
        <w:rPr>
          <w:rFonts w:cstheme="minorHAnsi"/>
        </w:rPr>
        <w:t xml:space="preserve"> prescribed regular medications</w:t>
      </w:r>
      <w:r w:rsidR="00B36C05" w:rsidRPr="005D3DCF">
        <w:rPr>
          <w:rFonts w:cstheme="minorHAnsi"/>
        </w:rPr>
        <w:t xml:space="preserve">. </w:t>
      </w:r>
      <w:r w:rsidR="001C64E2">
        <w:rPr>
          <w:rFonts w:cstheme="minorHAnsi"/>
        </w:rPr>
        <w:t>(1</w:t>
      </w:r>
      <w:r w:rsidR="00987DE0">
        <w:rPr>
          <w:rFonts w:cstheme="minorHAnsi"/>
        </w:rPr>
        <w:t>8</w:t>
      </w:r>
      <w:r w:rsidR="001C64E2">
        <w:rPr>
          <w:rFonts w:cstheme="minorHAnsi"/>
        </w:rPr>
        <w:t>)</w:t>
      </w:r>
      <w:r w:rsidR="00220690" w:rsidRPr="005D3DCF">
        <w:rPr>
          <w:rFonts w:cstheme="minorHAnsi"/>
        </w:rPr>
        <w:t xml:space="preserve"> However, for commissioners and those planning service delivery for people with complex needs, no population-level longitudinal studies exist that give an indication of the extent to which treatment burden changes over time. In addition, little is known about the factors (both individual and system-driven) associated with change in treatment burden over time. </w:t>
      </w:r>
      <w:r w:rsidR="00D27FA3" w:rsidRPr="005D3DCF">
        <w:rPr>
          <w:rFonts w:cstheme="minorHAnsi"/>
        </w:rPr>
        <w:t xml:space="preserve">At health system level, </w:t>
      </w:r>
      <w:r w:rsidR="00D27FA3">
        <w:rPr>
          <w:rFonts w:cstheme="minorHAnsi"/>
        </w:rPr>
        <w:t xml:space="preserve">interventions that </w:t>
      </w:r>
      <w:r w:rsidR="00D27FA3" w:rsidRPr="005D3DCF">
        <w:rPr>
          <w:rFonts w:cstheme="minorHAnsi"/>
        </w:rPr>
        <w:t>reduc</w:t>
      </w:r>
      <w:r w:rsidR="00D27FA3">
        <w:rPr>
          <w:rFonts w:cstheme="minorHAnsi"/>
        </w:rPr>
        <w:t>e</w:t>
      </w:r>
      <w:r w:rsidR="00D27FA3" w:rsidRPr="005D3DCF">
        <w:rPr>
          <w:rFonts w:cstheme="minorHAnsi"/>
        </w:rPr>
        <w:t xml:space="preserve"> treatment burden and </w:t>
      </w:r>
      <w:r w:rsidR="00523A9A">
        <w:rPr>
          <w:rFonts w:cstheme="minorHAnsi"/>
        </w:rPr>
        <w:t>foster</w:t>
      </w:r>
      <w:r w:rsidR="00D27FA3" w:rsidRPr="005D3DCF">
        <w:rPr>
          <w:rFonts w:cstheme="minorHAnsi"/>
        </w:rPr>
        <w:t xml:space="preserve"> ‘minimally disruptive medicine’ may lead to efficiencies and improve quality of care</w:t>
      </w:r>
      <w:r w:rsidR="00D27FA3">
        <w:rPr>
          <w:rFonts w:cstheme="minorHAnsi"/>
        </w:rPr>
        <w:t xml:space="preserve"> as well as improving patients’ quality of life</w:t>
      </w:r>
      <w:r w:rsidR="00D27FA3" w:rsidRPr="005D3DCF">
        <w:rPr>
          <w:rFonts w:cstheme="minorHAnsi"/>
        </w:rPr>
        <w:t>.</w:t>
      </w:r>
      <w:r w:rsidR="00A6511B">
        <w:rPr>
          <w:rFonts w:cstheme="minorHAnsi"/>
        </w:rPr>
        <w:t xml:space="preserve"> </w:t>
      </w:r>
      <w:r w:rsidR="00D27FA3" w:rsidRPr="005D3DCF">
        <w:rPr>
          <w:rFonts w:cstheme="minorHAnsi"/>
        </w:rPr>
        <w:t>(</w:t>
      </w:r>
      <w:r w:rsidR="00D27FA3">
        <w:rPr>
          <w:rFonts w:cstheme="minorHAnsi"/>
        </w:rPr>
        <w:t>1</w:t>
      </w:r>
      <w:r w:rsidR="00987DE0">
        <w:rPr>
          <w:rFonts w:cstheme="minorHAnsi"/>
        </w:rPr>
        <w:t>9</w:t>
      </w:r>
      <w:r w:rsidR="00D27FA3">
        <w:rPr>
          <w:rFonts w:cstheme="minorHAnsi"/>
        </w:rPr>
        <w:t xml:space="preserve">) </w:t>
      </w:r>
      <w:r w:rsidR="00220690" w:rsidRPr="005D3DCF">
        <w:rPr>
          <w:rFonts w:cstheme="minorHAnsi"/>
        </w:rPr>
        <w:t xml:space="preserve">Healthcare systems will </w:t>
      </w:r>
      <w:r w:rsidR="00C525F8">
        <w:rPr>
          <w:rFonts w:cstheme="minorHAnsi"/>
        </w:rPr>
        <w:t xml:space="preserve">also </w:t>
      </w:r>
      <w:r w:rsidR="00220690" w:rsidRPr="005D3DCF">
        <w:rPr>
          <w:rFonts w:cstheme="minorHAnsi"/>
        </w:rPr>
        <w:t xml:space="preserve">need to consider how to identify people at risk of being </w:t>
      </w:r>
      <w:r w:rsidR="00220690" w:rsidRPr="005D3DCF">
        <w:rPr>
          <w:rFonts w:cstheme="minorHAnsi"/>
        </w:rPr>
        <w:lastRenderedPageBreak/>
        <w:t>overburdened.</w:t>
      </w:r>
      <w:r w:rsidR="00A6511B">
        <w:rPr>
          <w:rFonts w:cstheme="minorHAnsi"/>
        </w:rPr>
        <w:t xml:space="preserve"> </w:t>
      </w:r>
      <w:r w:rsidR="00220690" w:rsidRPr="005D3DCF">
        <w:rPr>
          <w:rFonts w:cstheme="minorHAnsi"/>
        </w:rPr>
        <w:t>(</w:t>
      </w:r>
      <w:r w:rsidR="00987DE0">
        <w:rPr>
          <w:rFonts w:cstheme="minorHAnsi"/>
        </w:rPr>
        <w:t>20</w:t>
      </w:r>
      <w:r w:rsidR="00220690" w:rsidRPr="005D3DCF">
        <w:rPr>
          <w:rFonts w:cstheme="minorHAnsi"/>
        </w:rPr>
        <w:t xml:space="preserve">) At the individual patient-clinician level, assessing the degree of treatment burden allows for discussion with patients about optimising treatments and </w:t>
      </w:r>
      <w:r w:rsidR="00302DF9" w:rsidRPr="005D3DCF">
        <w:rPr>
          <w:rFonts w:cstheme="minorHAnsi"/>
        </w:rPr>
        <w:t>care</w:t>
      </w:r>
      <w:r w:rsidR="00302DF9">
        <w:rPr>
          <w:rFonts w:cstheme="minorHAnsi"/>
        </w:rPr>
        <w:t>,</w:t>
      </w:r>
      <w:r w:rsidR="00302DF9" w:rsidRPr="005D3DCF">
        <w:rPr>
          <w:rFonts w:cstheme="minorHAnsi"/>
        </w:rPr>
        <w:t xml:space="preserve"> </w:t>
      </w:r>
      <w:r w:rsidR="00302DF9">
        <w:rPr>
          <w:rFonts w:cstheme="minorHAnsi"/>
        </w:rPr>
        <w:t>–</w:t>
      </w:r>
      <w:r w:rsidR="00857DAB">
        <w:rPr>
          <w:rFonts w:cstheme="minorHAnsi"/>
        </w:rPr>
        <w:t xml:space="preserve"> </w:t>
      </w:r>
      <w:r w:rsidR="00220690" w:rsidRPr="005D3DCF">
        <w:rPr>
          <w:rFonts w:cstheme="minorHAnsi"/>
        </w:rPr>
        <w:t>balancing the management priorities of different conditions</w:t>
      </w:r>
      <w:r w:rsidR="00A15539">
        <w:rPr>
          <w:rFonts w:cstheme="minorHAnsi"/>
        </w:rPr>
        <w:t>, a</w:t>
      </w:r>
      <w:r w:rsidR="00857DAB">
        <w:rPr>
          <w:rFonts w:cstheme="minorHAnsi"/>
        </w:rPr>
        <w:t xml:space="preserve">nd exploring </w:t>
      </w:r>
      <w:r w:rsidR="002D181B">
        <w:rPr>
          <w:rFonts w:cstheme="minorHAnsi"/>
        </w:rPr>
        <w:t xml:space="preserve">if </w:t>
      </w:r>
      <w:r w:rsidR="00857DAB">
        <w:rPr>
          <w:rFonts w:cstheme="minorHAnsi"/>
        </w:rPr>
        <w:t xml:space="preserve">total healthcare workload </w:t>
      </w:r>
      <w:r w:rsidR="002D181B">
        <w:rPr>
          <w:rFonts w:cstheme="minorHAnsi"/>
        </w:rPr>
        <w:t>is compatible</w:t>
      </w:r>
      <w:r w:rsidR="00857DAB">
        <w:rPr>
          <w:rFonts w:cstheme="minorHAnsi"/>
        </w:rPr>
        <w:t xml:space="preserve"> with pat</w:t>
      </w:r>
      <w:r w:rsidR="002D181B">
        <w:rPr>
          <w:rFonts w:cstheme="minorHAnsi"/>
        </w:rPr>
        <w:t>i</w:t>
      </w:r>
      <w:r w:rsidR="00857DAB">
        <w:rPr>
          <w:rFonts w:cstheme="minorHAnsi"/>
        </w:rPr>
        <w:t>ents’ daily lives</w:t>
      </w:r>
      <w:r w:rsidR="00220690" w:rsidRPr="005D3DCF">
        <w:rPr>
          <w:rFonts w:cstheme="minorHAnsi"/>
        </w:rPr>
        <w:t>. Several quantitative measures of treatment burden have been developed and validated</w:t>
      </w:r>
      <w:r w:rsidR="00A6511B">
        <w:rPr>
          <w:rFonts w:cstheme="minorHAnsi"/>
        </w:rPr>
        <w:t>.</w:t>
      </w:r>
      <w:r w:rsidR="00220690" w:rsidRPr="005D3DCF">
        <w:rPr>
          <w:rFonts w:cstheme="minorHAnsi"/>
        </w:rPr>
        <w:t xml:space="preserve"> (</w:t>
      </w:r>
      <w:r w:rsidR="00A06E5A">
        <w:rPr>
          <w:rFonts w:cstheme="minorHAnsi"/>
        </w:rPr>
        <w:t>2</w:t>
      </w:r>
      <w:r w:rsidR="00987DE0">
        <w:rPr>
          <w:rFonts w:cstheme="minorHAnsi"/>
        </w:rPr>
        <w:t>1</w:t>
      </w:r>
      <w:r w:rsidR="00220690" w:rsidRPr="005D3DCF">
        <w:rPr>
          <w:rFonts w:cstheme="minorHAnsi"/>
        </w:rPr>
        <w:t>-2</w:t>
      </w:r>
      <w:r w:rsidR="00987DE0">
        <w:rPr>
          <w:rFonts w:cstheme="minorHAnsi"/>
        </w:rPr>
        <w:t>8</w:t>
      </w:r>
      <w:r w:rsidR="00AD625E">
        <w:rPr>
          <w:rFonts w:cstheme="minorHAnsi"/>
        </w:rPr>
        <w:t>)</w:t>
      </w:r>
      <w:r w:rsidR="00220690" w:rsidRPr="005D3DCF">
        <w:rPr>
          <w:rFonts w:cstheme="minorHAnsi"/>
        </w:rPr>
        <w:t xml:space="preserve"> However, routinely measuring treatment burden using current questionnaire measures is not practical in most clinical settings, even employing those tools with fewer items</w:t>
      </w:r>
      <w:r w:rsidR="00A6511B">
        <w:rPr>
          <w:rFonts w:cstheme="minorHAnsi"/>
        </w:rPr>
        <w:t>.</w:t>
      </w:r>
      <w:r w:rsidR="00220690" w:rsidRPr="005D3DCF">
        <w:rPr>
          <w:rFonts w:cstheme="minorHAnsi"/>
        </w:rPr>
        <w:t xml:space="preserve"> (</w:t>
      </w:r>
      <w:r w:rsidR="001C64E2">
        <w:rPr>
          <w:rFonts w:cstheme="minorHAnsi"/>
        </w:rPr>
        <w:t>2</w:t>
      </w:r>
      <w:r w:rsidR="00987DE0">
        <w:rPr>
          <w:rFonts w:cstheme="minorHAnsi"/>
        </w:rPr>
        <w:t>2</w:t>
      </w:r>
      <w:r w:rsidR="00220690" w:rsidRPr="005D3DCF">
        <w:rPr>
          <w:rFonts w:cstheme="minorHAnsi"/>
        </w:rPr>
        <w:t>)</w:t>
      </w:r>
      <w:r w:rsidR="00D27FA3">
        <w:rPr>
          <w:rFonts w:cstheme="minorHAnsi"/>
        </w:rPr>
        <w:t xml:space="preserve"> At system level, being able to identify those at risk of being overburdened </w:t>
      </w:r>
      <w:r w:rsidR="0039294D">
        <w:rPr>
          <w:rFonts w:cstheme="minorHAnsi"/>
        </w:rPr>
        <w:t>via</w:t>
      </w:r>
      <w:r w:rsidR="00D27FA3">
        <w:rPr>
          <w:rFonts w:cstheme="minorHAnsi"/>
        </w:rPr>
        <w:t xml:space="preserve"> </w:t>
      </w:r>
      <w:r w:rsidR="00302DF9">
        <w:rPr>
          <w:rFonts w:cstheme="minorHAnsi"/>
        </w:rPr>
        <w:t>routinely collected</w:t>
      </w:r>
      <w:r w:rsidR="00D27FA3">
        <w:rPr>
          <w:rFonts w:cstheme="minorHAnsi"/>
        </w:rPr>
        <w:t xml:space="preserve"> data would assist with care planning.</w:t>
      </w:r>
      <w:r w:rsidR="00A15539">
        <w:rPr>
          <w:rFonts w:cstheme="minorHAnsi"/>
        </w:rPr>
        <w:t xml:space="preserve"> </w:t>
      </w:r>
    </w:p>
    <w:p w14:paraId="383E401F" w14:textId="77777777" w:rsidR="007C0327" w:rsidRPr="005D3DCF" w:rsidRDefault="007C0327" w:rsidP="007C0327">
      <w:pPr>
        <w:spacing w:after="0" w:line="360" w:lineRule="auto"/>
        <w:rPr>
          <w:rFonts w:cstheme="minorHAnsi"/>
        </w:rPr>
      </w:pPr>
    </w:p>
    <w:p w14:paraId="40F7DD68" w14:textId="1F203EF2" w:rsidR="00220690" w:rsidRDefault="008A3A05" w:rsidP="007C0327">
      <w:pPr>
        <w:spacing w:after="0" w:line="360" w:lineRule="auto"/>
        <w:rPr>
          <w:rFonts w:cstheme="minorHAnsi"/>
        </w:rPr>
      </w:pPr>
      <w:r w:rsidRPr="005D3DCF">
        <w:rPr>
          <w:rFonts w:cstheme="minorHAnsi"/>
        </w:rPr>
        <w:t>Th</w:t>
      </w:r>
      <w:r w:rsidR="00BD2512" w:rsidRPr="005D3DCF">
        <w:rPr>
          <w:rFonts w:cstheme="minorHAnsi"/>
        </w:rPr>
        <w:t>is</w:t>
      </w:r>
      <w:r w:rsidRPr="005D3DCF">
        <w:rPr>
          <w:rFonts w:cstheme="minorHAnsi"/>
        </w:rPr>
        <w:t xml:space="preserve"> protocol describes a follow-up </w:t>
      </w:r>
      <w:r w:rsidR="003812FB" w:rsidRPr="005D3DCF">
        <w:rPr>
          <w:rFonts w:cstheme="minorHAnsi"/>
        </w:rPr>
        <w:t>survey study of 7</w:t>
      </w:r>
      <w:r w:rsidR="00481F04" w:rsidRPr="005D3DCF">
        <w:rPr>
          <w:rFonts w:cstheme="minorHAnsi"/>
        </w:rPr>
        <w:t>23</w:t>
      </w:r>
      <w:r w:rsidR="003812FB" w:rsidRPr="005D3DCF">
        <w:rPr>
          <w:rFonts w:cstheme="minorHAnsi"/>
        </w:rPr>
        <w:t xml:space="preserve"> people aged 55+ years with multimorbidity in Dorset, England</w:t>
      </w:r>
      <w:r w:rsidR="00481F04" w:rsidRPr="005D3DCF">
        <w:rPr>
          <w:rFonts w:cstheme="minorHAnsi"/>
        </w:rPr>
        <w:t>, who took part in the baseline survey and consented to complete a follow</w:t>
      </w:r>
      <w:r w:rsidR="00566203">
        <w:rPr>
          <w:rFonts w:cstheme="minorHAnsi"/>
        </w:rPr>
        <w:t>-</w:t>
      </w:r>
      <w:r w:rsidR="00481F04" w:rsidRPr="005D3DCF">
        <w:rPr>
          <w:rFonts w:cstheme="minorHAnsi"/>
        </w:rPr>
        <w:t>up survey within three years</w:t>
      </w:r>
      <w:r w:rsidR="003812FB" w:rsidRPr="005D3DCF">
        <w:rPr>
          <w:rFonts w:cstheme="minorHAnsi"/>
        </w:rPr>
        <w:t>.</w:t>
      </w:r>
      <w:r w:rsidR="00BD2512" w:rsidRPr="005D3DCF">
        <w:rPr>
          <w:rFonts w:cstheme="minorHAnsi"/>
        </w:rPr>
        <w:t xml:space="preserve"> </w:t>
      </w:r>
      <w:bookmarkStart w:id="2" w:name="_Hlk79049240"/>
      <w:r w:rsidR="00BD2512" w:rsidRPr="005D3DCF">
        <w:rPr>
          <w:rFonts w:cstheme="minorHAnsi"/>
        </w:rPr>
        <w:t>The baseline survey was conducted between February</w:t>
      </w:r>
      <w:r w:rsidR="00F622C9">
        <w:rPr>
          <w:rFonts w:cstheme="minorHAnsi"/>
        </w:rPr>
        <w:t xml:space="preserve"> and </w:t>
      </w:r>
      <w:r w:rsidR="00BD2512" w:rsidRPr="005D3DCF">
        <w:rPr>
          <w:rFonts w:cstheme="minorHAnsi"/>
        </w:rPr>
        <w:t>July 2019</w:t>
      </w:r>
      <w:bookmarkEnd w:id="2"/>
      <w:r w:rsidR="00107061">
        <w:rPr>
          <w:rFonts w:cstheme="minorHAnsi"/>
        </w:rPr>
        <w:t>, prior to the COVID-19 pandemic</w:t>
      </w:r>
      <w:r w:rsidR="00BD2512" w:rsidRPr="005D3DCF">
        <w:rPr>
          <w:rFonts w:cstheme="minorHAnsi"/>
        </w:rPr>
        <w:t xml:space="preserve">. </w:t>
      </w:r>
      <w:r w:rsidR="001C64E2">
        <w:rPr>
          <w:rFonts w:cstheme="minorHAnsi"/>
        </w:rPr>
        <w:t>(1</w:t>
      </w:r>
      <w:r w:rsidR="00987DE0">
        <w:rPr>
          <w:rFonts w:cstheme="minorHAnsi"/>
        </w:rPr>
        <w:t>8</w:t>
      </w:r>
      <w:r w:rsidR="001C64E2">
        <w:rPr>
          <w:rFonts w:cstheme="minorHAnsi"/>
        </w:rPr>
        <w:t xml:space="preserve">) </w:t>
      </w:r>
      <w:r w:rsidR="003812FB" w:rsidRPr="005D3DCF">
        <w:rPr>
          <w:rFonts w:cstheme="minorHAnsi"/>
        </w:rPr>
        <w:t xml:space="preserve">Dorset health and social care provision </w:t>
      </w:r>
      <w:r w:rsidR="00107061">
        <w:rPr>
          <w:rFonts w:cstheme="minorHAnsi"/>
        </w:rPr>
        <w:t>underwent a</w:t>
      </w:r>
      <w:r w:rsidR="003812FB" w:rsidRPr="005D3DCF">
        <w:rPr>
          <w:rFonts w:cstheme="minorHAnsi"/>
        </w:rPr>
        <w:t xml:space="preserve"> large-scale Clinical Services Review</w:t>
      </w:r>
      <w:r w:rsidR="00AD738E">
        <w:rPr>
          <w:rFonts w:cstheme="minorHAnsi"/>
        </w:rPr>
        <w:t xml:space="preserve"> </w:t>
      </w:r>
      <w:r w:rsidR="00107061">
        <w:rPr>
          <w:rFonts w:cstheme="minorHAnsi"/>
        </w:rPr>
        <w:t xml:space="preserve">prior to 2019 </w:t>
      </w:r>
      <w:r w:rsidR="00AD738E">
        <w:rPr>
          <w:rFonts w:cstheme="minorHAnsi"/>
        </w:rPr>
        <w:t>and reconfiguration of services</w:t>
      </w:r>
      <w:r w:rsidR="005F3D02" w:rsidRPr="005D3DCF">
        <w:rPr>
          <w:rFonts w:cstheme="minorHAnsi"/>
        </w:rPr>
        <w:t xml:space="preserve"> delivering care to people with </w:t>
      </w:r>
      <w:r w:rsidR="00302DF9">
        <w:rPr>
          <w:rFonts w:cstheme="minorHAnsi"/>
        </w:rPr>
        <w:t>LTC</w:t>
      </w:r>
      <w:r w:rsidR="00302DF9" w:rsidRPr="005D3DCF">
        <w:rPr>
          <w:rFonts w:cstheme="minorHAnsi"/>
        </w:rPr>
        <w:t>s</w:t>
      </w:r>
      <w:r w:rsidR="00107061">
        <w:rPr>
          <w:rFonts w:cstheme="minorHAnsi"/>
        </w:rPr>
        <w:t xml:space="preserve"> ha</w:t>
      </w:r>
      <w:r w:rsidR="00F62BEF">
        <w:rPr>
          <w:rFonts w:cstheme="minorHAnsi"/>
        </w:rPr>
        <w:t>s</w:t>
      </w:r>
      <w:r w:rsidR="00107061">
        <w:rPr>
          <w:rFonts w:cstheme="minorHAnsi"/>
        </w:rPr>
        <w:t xml:space="preserve"> been implemented since the baseline survey</w:t>
      </w:r>
      <w:r w:rsidR="00302DF9">
        <w:rPr>
          <w:rFonts w:cstheme="minorHAnsi"/>
        </w:rPr>
        <w:t>.</w:t>
      </w:r>
      <w:r w:rsidR="00C525F8">
        <w:rPr>
          <w:rFonts w:cstheme="minorHAnsi"/>
        </w:rPr>
        <w:t xml:space="preserve"> </w:t>
      </w:r>
      <w:r w:rsidR="003812FB" w:rsidRPr="005D3DCF">
        <w:rPr>
          <w:rFonts w:cstheme="minorHAnsi"/>
        </w:rPr>
        <w:t>(2</w:t>
      </w:r>
      <w:r w:rsidR="00987DE0">
        <w:rPr>
          <w:rFonts w:cstheme="minorHAnsi"/>
        </w:rPr>
        <w:t>9</w:t>
      </w:r>
      <w:r w:rsidR="003812FB" w:rsidRPr="005D3DCF">
        <w:rPr>
          <w:rFonts w:cstheme="minorHAnsi"/>
        </w:rPr>
        <w:t xml:space="preserve">) </w:t>
      </w:r>
      <w:bookmarkStart w:id="3" w:name="_Hlk79049260"/>
      <w:r w:rsidR="00DF73C7">
        <w:rPr>
          <w:rFonts w:cstheme="minorHAnsi"/>
        </w:rPr>
        <w:t>This follow-up survey is</w:t>
      </w:r>
      <w:r w:rsidR="0067792F">
        <w:rPr>
          <w:rFonts w:cstheme="minorHAnsi"/>
        </w:rPr>
        <w:t xml:space="preserve"> expected to be</w:t>
      </w:r>
      <w:r w:rsidR="00DF73C7">
        <w:rPr>
          <w:rFonts w:cstheme="minorHAnsi"/>
        </w:rPr>
        <w:t xml:space="preserve"> conducted between August and October 2021</w:t>
      </w:r>
      <w:r w:rsidR="0067792F">
        <w:rPr>
          <w:rFonts w:cstheme="minorHAnsi"/>
        </w:rPr>
        <w:t>.</w:t>
      </w:r>
      <w:bookmarkEnd w:id="3"/>
    </w:p>
    <w:p w14:paraId="6397A5F5" w14:textId="77777777" w:rsidR="007C0327" w:rsidRPr="005D3DCF" w:rsidRDefault="007C0327" w:rsidP="007C0327">
      <w:pPr>
        <w:spacing w:after="0" w:line="360" w:lineRule="auto"/>
        <w:rPr>
          <w:rFonts w:cstheme="minorHAnsi"/>
        </w:rPr>
      </w:pPr>
    </w:p>
    <w:p w14:paraId="7AD5305A" w14:textId="331B7D8A" w:rsidR="00B312B3" w:rsidRPr="00705E03" w:rsidRDefault="00B312B3" w:rsidP="007C0327">
      <w:pPr>
        <w:spacing w:after="0" w:line="360" w:lineRule="auto"/>
        <w:rPr>
          <w:rFonts w:cstheme="minorHAnsi"/>
          <w:b/>
          <w:bCs/>
          <w:sz w:val="36"/>
          <w:szCs w:val="36"/>
        </w:rPr>
      </w:pPr>
      <w:r w:rsidRPr="00705E03">
        <w:rPr>
          <w:rFonts w:cstheme="minorHAnsi"/>
          <w:b/>
          <w:bCs/>
          <w:sz w:val="36"/>
          <w:szCs w:val="36"/>
        </w:rPr>
        <w:t xml:space="preserve">Materials and </w:t>
      </w:r>
      <w:r w:rsidR="006D4AEF">
        <w:rPr>
          <w:rFonts w:cstheme="minorHAnsi"/>
          <w:b/>
          <w:bCs/>
          <w:sz w:val="36"/>
          <w:szCs w:val="36"/>
        </w:rPr>
        <w:t>m</w:t>
      </w:r>
      <w:r w:rsidRPr="00705E03">
        <w:rPr>
          <w:rFonts w:cstheme="minorHAnsi"/>
          <w:b/>
          <w:bCs/>
          <w:sz w:val="36"/>
          <w:szCs w:val="36"/>
        </w:rPr>
        <w:t>ethods</w:t>
      </w:r>
    </w:p>
    <w:p w14:paraId="1BC3125F" w14:textId="77777777" w:rsidR="007C0327" w:rsidRPr="005D3DCF" w:rsidRDefault="007C0327" w:rsidP="007C0327">
      <w:pPr>
        <w:spacing w:after="0" w:line="360" w:lineRule="auto"/>
        <w:rPr>
          <w:rFonts w:cstheme="minorHAnsi"/>
          <w:b/>
          <w:bCs/>
        </w:rPr>
      </w:pPr>
    </w:p>
    <w:p w14:paraId="7D8A2B68" w14:textId="40ABF6BE" w:rsidR="00E83C9E" w:rsidRPr="00705E03" w:rsidRDefault="00E83C9E" w:rsidP="007C0327">
      <w:pPr>
        <w:spacing w:after="0" w:line="360" w:lineRule="auto"/>
        <w:rPr>
          <w:rFonts w:cstheme="minorHAnsi"/>
          <w:b/>
          <w:bCs/>
          <w:sz w:val="32"/>
          <w:szCs w:val="32"/>
        </w:rPr>
      </w:pPr>
      <w:r w:rsidRPr="00705E03">
        <w:rPr>
          <w:rFonts w:cstheme="minorHAnsi"/>
          <w:b/>
          <w:bCs/>
          <w:sz w:val="32"/>
          <w:szCs w:val="32"/>
        </w:rPr>
        <w:t xml:space="preserve">Aims and </w:t>
      </w:r>
      <w:r w:rsidR="006D4AEF">
        <w:rPr>
          <w:rFonts w:cstheme="minorHAnsi"/>
          <w:b/>
          <w:bCs/>
          <w:sz w:val="32"/>
          <w:szCs w:val="32"/>
        </w:rPr>
        <w:t>o</w:t>
      </w:r>
      <w:r w:rsidRPr="00705E03">
        <w:rPr>
          <w:rFonts w:cstheme="minorHAnsi"/>
          <w:b/>
          <w:bCs/>
          <w:sz w:val="32"/>
          <w:szCs w:val="32"/>
        </w:rPr>
        <w:t>bjectives</w:t>
      </w:r>
    </w:p>
    <w:p w14:paraId="5D8AC0BD" w14:textId="0825A441" w:rsidR="00C63EC4" w:rsidRPr="00964C48" w:rsidRDefault="00C63EC4" w:rsidP="007C0327">
      <w:pPr>
        <w:spacing w:after="0" w:line="360" w:lineRule="auto"/>
        <w:rPr>
          <w:rFonts w:cstheme="minorHAnsi"/>
        </w:rPr>
      </w:pPr>
      <w:r w:rsidRPr="005D3DCF">
        <w:rPr>
          <w:rFonts w:cstheme="minorHAnsi"/>
        </w:rPr>
        <w:t xml:space="preserve">This </w:t>
      </w:r>
      <w:proofErr w:type="gramStart"/>
      <w:r w:rsidRPr="005D3DCF">
        <w:rPr>
          <w:rFonts w:cstheme="minorHAnsi"/>
        </w:rPr>
        <w:t>follow</w:t>
      </w:r>
      <w:proofErr w:type="gramEnd"/>
      <w:r w:rsidRPr="005D3DCF">
        <w:rPr>
          <w:rFonts w:cstheme="minorHAnsi"/>
        </w:rPr>
        <w:t xml:space="preserve"> up</w:t>
      </w:r>
      <w:r w:rsidR="00B66879" w:rsidRPr="005D3DCF">
        <w:rPr>
          <w:rFonts w:cstheme="minorHAnsi"/>
        </w:rPr>
        <w:t xml:space="preserve"> cross-sectional</w:t>
      </w:r>
      <w:r w:rsidRPr="005D3DCF">
        <w:rPr>
          <w:rFonts w:cstheme="minorHAnsi"/>
        </w:rPr>
        <w:t xml:space="preserve"> survey of people with multimorbidity will quantify change in treatment burden over </w:t>
      </w:r>
      <w:r w:rsidR="006C5416" w:rsidRPr="005D3DCF">
        <w:rPr>
          <w:rFonts w:cstheme="minorHAnsi"/>
        </w:rPr>
        <w:t>time</w:t>
      </w:r>
      <w:r w:rsidRPr="005D3DCF">
        <w:rPr>
          <w:rFonts w:cstheme="minorHAnsi"/>
        </w:rPr>
        <w:t xml:space="preserve"> and evaluate factors associated with treatment burden change. </w:t>
      </w:r>
      <w:r w:rsidR="008709BA" w:rsidRPr="001C64E2">
        <w:rPr>
          <w:rFonts w:cstheme="minorHAnsi"/>
        </w:rPr>
        <w:t xml:space="preserve">The survey will </w:t>
      </w:r>
      <w:r w:rsidR="00067F53">
        <w:rPr>
          <w:rFonts w:cstheme="minorHAnsi"/>
        </w:rPr>
        <w:t>also</w:t>
      </w:r>
      <w:r w:rsidR="008709BA" w:rsidRPr="001C64E2">
        <w:rPr>
          <w:rFonts w:cstheme="minorHAnsi"/>
        </w:rPr>
        <w:t xml:space="preserve"> </w:t>
      </w:r>
      <w:r w:rsidR="00374633">
        <w:rPr>
          <w:rFonts w:cstheme="minorHAnsi"/>
        </w:rPr>
        <w:t>facilitate</w:t>
      </w:r>
      <w:r w:rsidR="008709BA" w:rsidRPr="001C64E2">
        <w:rPr>
          <w:rFonts w:cstheme="minorHAnsi"/>
        </w:rPr>
        <w:t xml:space="preserve"> evaluation of the validity of a single</w:t>
      </w:r>
      <w:r w:rsidR="00374633">
        <w:rPr>
          <w:rFonts w:cstheme="minorHAnsi"/>
        </w:rPr>
        <w:t>-</w:t>
      </w:r>
      <w:r w:rsidR="008709BA" w:rsidRPr="001C64E2">
        <w:rPr>
          <w:rFonts w:cstheme="minorHAnsi"/>
        </w:rPr>
        <w:t>item treatment burden question</w:t>
      </w:r>
      <w:r w:rsidR="00566203">
        <w:rPr>
          <w:rFonts w:cstheme="minorHAnsi"/>
        </w:rPr>
        <w:t xml:space="preserve">, </w:t>
      </w:r>
      <w:r w:rsidR="00374633">
        <w:rPr>
          <w:rFonts w:cstheme="minorHAnsi"/>
        </w:rPr>
        <w:t>modified</w:t>
      </w:r>
      <w:r w:rsidR="00566203">
        <w:rPr>
          <w:rFonts w:cstheme="minorHAnsi"/>
        </w:rPr>
        <w:t xml:space="preserve"> from an item originally trialled in the </w:t>
      </w:r>
      <w:r w:rsidR="00374633">
        <w:rPr>
          <w:rFonts w:cstheme="minorHAnsi"/>
        </w:rPr>
        <w:t>baseline survey</w:t>
      </w:r>
      <w:r w:rsidR="008709BA">
        <w:rPr>
          <w:rFonts w:cstheme="minorHAnsi"/>
        </w:rPr>
        <w:t>.</w:t>
      </w:r>
      <w:r w:rsidR="008709BA" w:rsidRPr="005D3DCF">
        <w:rPr>
          <w:rFonts w:cstheme="minorHAnsi"/>
        </w:rPr>
        <w:t xml:space="preserve"> </w:t>
      </w:r>
      <w:r w:rsidR="00067F53">
        <w:rPr>
          <w:rFonts w:cstheme="minorHAnsi"/>
        </w:rPr>
        <w:t>S</w:t>
      </w:r>
      <w:r w:rsidR="00067F53" w:rsidRPr="005D3DCF">
        <w:rPr>
          <w:rFonts w:cstheme="minorHAnsi"/>
        </w:rPr>
        <w:t xml:space="preserve">urvey-measured, self-reported treatment burden </w:t>
      </w:r>
      <w:r w:rsidR="00067F53">
        <w:rPr>
          <w:rFonts w:cstheme="minorHAnsi"/>
        </w:rPr>
        <w:t xml:space="preserve">will be compared to routine primary care metrics and the feasibility of developing a risk tool for </w:t>
      </w:r>
      <w:r w:rsidRPr="005D3DCF">
        <w:rPr>
          <w:rFonts w:cstheme="minorHAnsi"/>
        </w:rPr>
        <w:t>high treatment burden</w:t>
      </w:r>
      <w:r w:rsidR="003D2E67">
        <w:rPr>
          <w:rFonts w:cstheme="minorHAnsi"/>
        </w:rPr>
        <w:t xml:space="preserve"> based on routine data</w:t>
      </w:r>
      <w:r w:rsidRPr="005D3DCF">
        <w:rPr>
          <w:rFonts w:cstheme="minorHAnsi"/>
        </w:rPr>
        <w:t xml:space="preserve"> will be </w:t>
      </w:r>
      <w:r w:rsidR="00067F53">
        <w:rPr>
          <w:rFonts w:cstheme="minorHAnsi"/>
        </w:rPr>
        <w:t>explored</w:t>
      </w:r>
      <w:r w:rsidR="00067F53" w:rsidRPr="009A26DB">
        <w:rPr>
          <w:rFonts w:cstheme="minorHAnsi"/>
        </w:rPr>
        <w:t xml:space="preserve">. </w:t>
      </w:r>
      <w:r w:rsidR="002B3FB3" w:rsidRPr="009A26DB">
        <w:rPr>
          <w:rFonts w:cstheme="minorHAnsi"/>
        </w:rPr>
        <w:t xml:space="preserve">The protocol described in this peer-reviewed article is published on protocols.io, </w:t>
      </w:r>
      <w:hyperlink r:id="rId10" w:history="1">
        <w:r w:rsidR="002B3FB3" w:rsidRPr="009A26DB">
          <w:rPr>
            <w:rStyle w:val="Hyperlink"/>
            <w:rFonts w:cstheme="minorHAnsi"/>
          </w:rPr>
          <w:t>https://</w:t>
        </w:r>
        <w:r w:rsidR="002B3FB3" w:rsidRPr="00705E03">
          <w:rPr>
            <w:rStyle w:val="Hyperlink"/>
            <w:rFonts w:cstheme="minorHAnsi"/>
            <w:shd w:val="clear" w:color="auto" w:fill="FFFFFF"/>
          </w:rPr>
          <w:t>dx.doi.org/10.17504/protocols.io.bw5fpg3n</w:t>
        </w:r>
      </w:hyperlink>
      <w:r w:rsidR="002B3FB3" w:rsidRPr="00705E03">
        <w:rPr>
          <w:rFonts w:cstheme="minorHAnsi"/>
          <w:color w:val="333333"/>
          <w:shd w:val="clear" w:color="auto" w:fill="FFFFFF"/>
        </w:rPr>
        <w:t xml:space="preserve"> </w:t>
      </w:r>
      <w:r w:rsidR="002B3FB3" w:rsidRPr="00964C48">
        <w:rPr>
          <w:rFonts w:cstheme="minorHAnsi"/>
          <w:shd w:val="clear" w:color="auto" w:fill="FFFFFF"/>
        </w:rPr>
        <w:t xml:space="preserve">and is included for printing as supporting information file 1 with this article. </w:t>
      </w:r>
    </w:p>
    <w:p w14:paraId="363B5ECB" w14:textId="77777777" w:rsidR="007C0327" w:rsidRPr="00964C48" w:rsidRDefault="007C0327" w:rsidP="007C0327">
      <w:pPr>
        <w:spacing w:after="0" w:line="360" w:lineRule="auto"/>
        <w:rPr>
          <w:rFonts w:cstheme="minorHAnsi"/>
        </w:rPr>
      </w:pPr>
    </w:p>
    <w:p w14:paraId="4B379AF0" w14:textId="60AA43EA" w:rsidR="009D25F2" w:rsidRPr="005D3DCF" w:rsidRDefault="009D25F2" w:rsidP="007C0327">
      <w:pPr>
        <w:spacing w:after="0" w:line="360" w:lineRule="auto"/>
        <w:rPr>
          <w:rFonts w:cstheme="minorHAnsi"/>
        </w:rPr>
      </w:pPr>
      <w:r w:rsidRPr="005D3DCF">
        <w:rPr>
          <w:rFonts w:cstheme="minorHAnsi"/>
        </w:rPr>
        <w:t>The objectives of the study are to:</w:t>
      </w:r>
    </w:p>
    <w:p w14:paraId="277B8EBE" w14:textId="0B8B10F9" w:rsidR="009D25F2" w:rsidRPr="005D3DCF" w:rsidRDefault="009D25F2" w:rsidP="007C0327">
      <w:pPr>
        <w:pStyle w:val="ListParagraph"/>
        <w:numPr>
          <w:ilvl w:val="0"/>
          <w:numId w:val="1"/>
        </w:numPr>
        <w:spacing w:line="360" w:lineRule="auto"/>
        <w:rPr>
          <w:rFonts w:asciiTheme="minorHAnsi" w:hAnsiTheme="minorHAnsi" w:cstheme="minorHAnsi"/>
          <w:sz w:val="22"/>
          <w:szCs w:val="22"/>
        </w:rPr>
      </w:pPr>
      <w:r w:rsidRPr="005D3DCF">
        <w:rPr>
          <w:rFonts w:asciiTheme="minorHAnsi" w:hAnsiTheme="minorHAnsi" w:cstheme="minorHAnsi"/>
          <w:sz w:val="22"/>
          <w:szCs w:val="22"/>
        </w:rPr>
        <w:t xml:space="preserve">Explore the degree to which treatment burden changes over time and the factors associated with </w:t>
      </w:r>
      <w:r w:rsidR="00A51229">
        <w:rPr>
          <w:rFonts w:asciiTheme="minorHAnsi" w:hAnsiTheme="minorHAnsi" w:cstheme="minorHAnsi"/>
          <w:sz w:val="22"/>
          <w:szCs w:val="22"/>
        </w:rPr>
        <w:t>such</w:t>
      </w:r>
      <w:r w:rsidRPr="005D3DCF">
        <w:rPr>
          <w:rFonts w:asciiTheme="minorHAnsi" w:hAnsiTheme="minorHAnsi" w:cstheme="minorHAnsi"/>
          <w:sz w:val="22"/>
          <w:szCs w:val="22"/>
        </w:rPr>
        <w:t xml:space="preserve"> change.</w:t>
      </w:r>
    </w:p>
    <w:p w14:paraId="4A1FCA84" w14:textId="123D4355" w:rsidR="009D25F2" w:rsidRPr="005D3DCF" w:rsidRDefault="00EB7D3B" w:rsidP="007C0327">
      <w:pPr>
        <w:pStyle w:val="ListParagraph"/>
        <w:numPr>
          <w:ilvl w:val="0"/>
          <w:numId w:val="1"/>
        </w:numPr>
        <w:spacing w:line="360" w:lineRule="auto"/>
        <w:rPr>
          <w:rFonts w:asciiTheme="minorHAnsi" w:hAnsiTheme="minorHAnsi" w:cstheme="minorHAnsi"/>
          <w:sz w:val="22"/>
          <w:szCs w:val="22"/>
        </w:rPr>
      </w:pPr>
      <w:r w:rsidRPr="005D3DCF">
        <w:rPr>
          <w:rFonts w:asciiTheme="minorHAnsi" w:hAnsiTheme="minorHAnsi" w:cstheme="minorHAnsi"/>
          <w:sz w:val="22"/>
          <w:szCs w:val="22"/>
        </w:rPr>
        <w:t>Evaluate the validity of</w:t>
      </w:r>
      <w:r w:rsidR="009D25F2" w:rsidRPr="005D3DCF">
        <w:rPr>
          <w:rFonts w:asciiTheme="minorHAnsi" w:hAnsiTheme="minorHAnsi" w:cstheme="minorHAnsi"/>
          <w:sz w:val="22"/>
          <w:szCs w:val="22"/>
        </w:rPr>
        <w:t xml:space="preserve"> </w:t>
      </w:r>
      <w:r w:rsidRPr="005D3DCF">
        <w:rPr>
          <w:rFonts w:asciiTheme="minorHAnsi" w:hAnsiTheme="minorHAnsi" w:cstheme="minorHAnsi"/>
          <w:sz w:val="22"/>
          <w:szCs w:val="22"/>
        </w:rPr>
        <w:t xml:space="preserve">a </w:t>
      </w:r>
      <w:r w:rsidR="009D25F2" w:rsidRPr="005D3DCF">
        <w:rPr>
          <w:rFonts w:asciiTheme="minorHAnsi" w:hAnsiTheme="minorHAnsi" w:cstheme="minorHAnsi"/>
          <w:sz w:val="22"/>
          <w:szCs w:val="22"/>
        </w:rPr>
        <w:t>single</w:t>
      </w:r>
      <w:r w:rsidRPr="005D3DCF">
        <w:rPr>
          <w:rFonts w:asciiTheme="minorHAnsi" w:hAnsiTheme="minorHAnsi" w:cstheme="minorHAnsi"/>
          <w:sz w:val="22"/>
          <w:szCs w:val="22"/>
        </w:rPr>
        <w:t>-</w:t>
      </w:r>
      <w:r w:rsidR="009D25F2" w:rsidRPr="005D3DCF">
        <w:rPr>
          <w:rFonts w:asciiTheme="minorHAnsi" w:hAnsiTheme="minorHAnsi" w:cstheme="minorHAnsi"/>
          <w:sz w:val="22"/>
          <w:szCs w:val="22"/>
        </w:rPr>
        <w:t>item treatment burden</w:t>
      </w:r>
      <w:r w:rsidR="00107061">
        <w:rPr>
          <w:rFonts w:asciiTheme="minorHAnsi" w:hAnsiTheme="minorHAnsi" w:cstheme="minorHAnsi"/>
          <w:sz w:val="22"/>
          <w:szCs w:val="22"/>
        </w:rPr>
        <w:t xml:space="preserve"> screening tool</w:t>
      </w:r>
      <w:r w:rsidR="00A51229">
        <w:rPr>
          <w:rFonts w:asciiTheme="minorHAnsi" w:hAnsiTheme="minorHAnsi" w:cstheme="minorHAnsi"/>
          <w:sz w:val="22"/>
          <w:szCs w:val="22"/>
        </w:rPr>
        <w:t xml:space="preserve"> versus </w:t>
      </w:r>
      <w:r w:rsidR="00012F53">
        <w:rPr>
          <w:rFonts w:asciiTheme="minorHAnsi" w:hAnsiTheme="minorHAnsi" w:cstheme="minorHAnsi"/>
          <w:sz w:val="22"/>
          <w:szCs w:val="22"/>
        </w:rPr>
        <w:t xml:space="preserve">high </w:t>
      </w:r>
      <w:r w:rsidR="00A51229">
        <w:rPr>
          <w:rFonts w:asciiTheme="minorHAnsi" w:hAnsiTheme="minorHAnsi" w:cstheme="minorHAnsi"/>
          <w:sz w:val="22"/>
          <w:szCs w:val="22"/>
        </w:rPr>
        <w:t>treatment burden at follow-up</w:t>
      </w:r>
      <w:r w:rsidR="009D25F2" w:rsidRPr="005D3DCF">
        <w:rPr>
          <w:rFonts w:asciiTheme="minorHAnsi" w:hAnsiTheme="minorHAnsi" w:cstheme="minorHAnsi"/>
          <w:sz w:val="22"/>
          <w:szCs w:val="22"/>
        </w:rPr>
        <w:t>.</w:t>
      </w:r>
    </w:p>
    <w:p w14:paraId="4E56C68C" w14:textId="2DF457F1" w:rsidR="00A51229" w:rsidRPr="005D3DCF" w:rsidRDefault="00A51229" w:rsidP="007C0327">
      <w:pPr>
        <w:pStyle w:val="ListParagraph"/>
        <w:numPr>
          <w:ilvl w:val="0"/>
          <w:numId w:val="1"/>
        </w:numPr>
        <w:spacing w:line="360" w:lineRule="auto"/>
        <w:rPr>
          <w:rFonts w:asciiTheme="minorHAnsi" w:hAnsiTheme="minorHAnsi" w:cstheme="minorHAnsi"/>
          <w:sz w:val="22"/>
          <w:szCs w:val="22"/>
        </w:rPr>
      </w:pPr>
      <w:r w:rsidRPr="005D3DCF">
        <w:rPr>
          <w:rFonts w:asciiTheme="minorHAnsi" w:hAnsiTheme="minorHAnsi" w:cstheme="minorHAnsi"/>
          <w:sz w:val="22"/>
          <w:szCs w:val="22"/>
        </w:rPr>
        <w:t xml:space="preserve">Undertake descriptive comparison of survey-measured, self-reported treatment burden with </w:t>
      </w:r>
      <w:r w:rsidRPr="005D3DCF">
        <w:rPr>
          <w:rFonts w:asciiTheme="minorHAnsi" w:hAnsiTheme="minorHAnsi" w:cstheme="minorHAnsi"/>
          <w:sz w:val="22"/>
          <w:szCs w:val="22"/>
        </w:rPr>
        <w:lastRenderedPageBreak/>
        <w:t>relevant metrics extracted from the primary care records of surveyed patients who provide consent for this aspect</w:t>
      </w:r>
      <w:r>
        <w:rPr>
          <w:rFonts w:asciiTheme="minorHAnsi" w:hAnsiTheme="minorHAnsi" w:cstheme="minorHAnsi"/>
          <w:sz w:val="22"/>
          <w:szCs w:val="22"/>
        </w:rPr>
        <w:t>.</w:t>
      </w:r>
    </w:p>
    <w:p w14:paraId="3955F073" w14:textId="0BB0EEB8" w:rsidR="007C0327" w:rsidRDefault="00481F04" w:rsidP="007C0327">
      <w:pPr>
        <w:pStyle w:val="ListParagraph"/>
        <w:numPr>
          <w:ilvl w:val="0"/>
          <w:numId w:val="1"/>
        </w:numPr>
        <w:spacing w:line="360" w:lineRule="auto"/>
        <w:rPr>
          <w:rFonts w:asciiTheme="minorHAnsi" w:hAnsiTheme="minorHAnsi" w:cstheme="minorHAnsi"/>
          <w:sz w:val="22"/>
          <w:szCs w:val="22"/>
        </w:rPr>
      </w:pPr>
      <w:r w:rsidRPr="005D3DCF">
        <w:rPr>
          <w:rFonts w:asciiTheme="minorHAnsi" w:hAnsiTheme="minorHAnsi" w:cstheme="minorHAnsi"/>
          <w:sz w:val="22"/>
          <w:szCs w:val="22"/>
        </w:rPr>
        <w:t xml:space="preserve">Develop </w:t>
      </w:r>
      <w:r w:rsidR="00A51229">
        <w:rPr>
          <w:rFonts w:asciiTheme="minorHAnsi" w:hAnsiTheme="minorHAnsi" w:cstheme="minorHAnsi"/>
          <w:sz w:val="22"/>
          <w:szCs w:val="22"/>
        </w:rPr>
        <w:t xml:space="preserve">and test the internal validity of </w:t>
      </w:r>
      <w:r w:rsidRPr="005D3DCF">
        <w:rPr>
          <w:rFonts w:asciiTheme="minorHAnsi" w:hAnsiTheme="minorHAnsi" w:cstheme="minorHAnsi"/>
          <w:sz w:val="22"/>
          <w:szCs w:val="22"/>
        </w:rPr>
        <w:t>a high treatment burden predictive risk tool for use in primary care/commissioning settings to identify those at risk of high treatment burden using metrics from routine clinical data of those surveyed, in comparison with survey-measured</w:t>
      </w:r>
      <w:r w:rsidR="00A51229">
        <w:rPr>
          <w:rFonts w:asciiTheme="minorHAnsi" w:hAnsiTheme="minorHAnsi" w:cstheme="minorHAnsi"/>
          <w:sz w:val="22"/>
          <w:szCs w:val="22"/>
        </w:rPr>
        <w:t xml:space="preserve"> self-reported</w:t>
      </w:r>
      <w:r w:rsidRPr="005D3DCF">
        <w:rPr>
          <w:rFonts w:asciiTheme="minorHAnsi" w:hAnsiTheme="minorHAnsi" w:cstheme="minorHAnsi"/>
          <w:sz w:val="22"/>
          <w:szCs w:val="22"/>
        </w:rPr>
        <w:t xml:space="preserve"> treatment burden. If secondary care data are available, then use this to further enhance the risk tool.</w:t>
      </w:r>
    </w:p>
    <w:p w14:paraId="514F7804" w14:textId="77777777" w:rsidR="00C341BD" w:rsidRPr="005D3DCF" w:rsidRDefault="00C341BD" w:rsidP="00C341BD">
      <w:pPr>
        <w:pStyle w:val="ListParagraph"/>
        <w:numPr>
          <w:ilvl w:val="0"/>
          <w:numId w:val="1"/>
        </w:numPr>
        <w:spacing w:line="360" w:lineRule="auto"/>
        <w:rPr>
          <w:rFonts w:asciiTheme="minorHAnsi" w:hAnsiTheme="minorHAnsi" w:cstheme="minorHAnsi"/>
          <w:sz w:val="22"/>
          <w:szCs w:val="22"/>
        </w:rPr>
      </w:pPr>
      <w:r w:rsidRPr="005D3DCF">
        <w:rPr>
          <w:rFonts w:asciiTheme="minorHAnsi" w:hAnsiTheme="minorHAnsi" w:cstheme="minorHAnsi"/>
          <w:sz w:val="22"/>
          <w:szCs w:val="22"/>
        </w:rPr>
        <w:t xml:space="preserve">Explore whether there is any relationship between our measured </w:t>
      </w:r>
      <w:r>
        <w:rPr>
          <w:rFonts w:asciiTheme="minorHAnsi" w:hAnsiTheme="minorHAnsi" w:cstheme="minorHAnsi"/>
          <w:sz w:val="22"/>
          <w:szCs w:val="22"/>
        </w:rPr>
        <w:t xml:space="preserve">change in </w:t>
      </w:r>
      <w:r w:rsidRPr="005D3DCF">
        <w:rPr>
          <w:rFonts w:asciiTheme="minorHAnsi" w:hAnsiTheme="minorHAnsi" w:cstheme="minorHAnsi"/>
          <w:sz w:val="22"/>
          <w:szCs w:val="22"/>
        </w:rPr>
        <w:t>treatment burden and the reconfiguration of services in</w:t>
      </w:r>
      <w:r>
        <w:rPr>
          <w:rFonts w:asciiTheme="minorHAnsi" w:hAnsiTheme="minorHAnsi" w:cstheme="minorHAnsi"/>
          <w:sz w:val="22"/>
          <w:szCs w:val="22"/>
        </w:rPr>
        <w:t xml:space="preserve"> </w:t>
      </w:r>
      <w:r w:rsidRPr="005D3DCF">
        <w:rPr>
          <w:rFonts w:asciiTheme="minorHAnsi" w:hAnsiTheme="minorHAnsi" w:cstheme="minorHAnsi"/>
          <w:sz w:val="22"/>
          <w:szCs w:val="22"/>
        </w:rPr>
        <w:t xml:space="preserve">Dorset. </w:t>
      </w:r>
    </w:p>
    <w:p w14:paraId="1DC2B2BB" w14:textId="77777777" w:rsidR="00C341BD" w:rsidRPr="007C0327" w:rsidRDefault="00C341BD" w:rsidP="00705E03">
      <w:pPr>
        <w:pStyle w:val="ListParagraph"/>
        <w:spacing w:line="360" w:lineRule="auto"/>
        <w:rPr>
          <w:rFonts w:asciiTheme="minorHAnsi" w:hAnsiTheme="minorHAnsi" w:cstheme="minorHAnsi"/>
          <w:sz w:val="22"/>
          <w:szCs w:val="22"/>
        </w:rPr>
      </w:pPr>
    </w:p>
    <w:p w14:paraId="3BAC401B" w14:textId="77777777" w:rsidR="007C0327" w:rsidRDefault="007C0327" w:rsidP="007C0327">
      <w:pPr>
        <w:spacing w:after="0" w:line="360" w:lineRule="auto"/>
        <w:rPr>
          <w:rFonts w:cstheme="minorHAnsi"/>
          <w:i/>
          <w:iCs/>
        </w:rPr>
      </w:pPr>
    </w:p>
    <w:p w14:paraId="57E96B98" w14:textId="63688467" w:rsidR="00481F04" w:rsidRPr="00705E03" w:rsidRDefault="00E83C9E" w:rsidP="007C0327">
      <w:pPr>
        <w:spacing w:after="0" w:line="360" w:lineRule="auto"/>
        <w:rPr>
          <w:rFonts w:cstheme="minorHAnsi"/>
          <w:b/>
          <w:bCs/>
          <w:sz w:val="32"/>
          <w:szCs w:val="32"/>
        </w:rPr>
      </w:pPr>
      <w:r w:rsidRPr="00705E03">
        <w:rPr>
          <w:rFonts w:cstheme="minorHAnsi"/>
          <w:b/>
          <w:bCs/>
          <w:sz w:val="32"/>
          <w:szCs w:val="32"/>
        </w:rPr>
        <w:t>Ethics</w:t>
      </w:r>
    </w:p>
    <w:p w14:paraId="637D1488" w14:textId="6AEE5239" w:rsidR="00822A5A" w:rsidRDefault="00822A5A" w:rsidP="007C0327">
      <w:pPr>
        <w:spacing w:after="0" w:line="360" w:lineRule="auto"/>
        <w:rPr>
          <w:rFonts w:cstheme="minorHAnsi"/>
        </w:rPr>
      </w:pPr>
      <w:r w:rsidRPr="005D3DCF">
        <w:rPr>
          <w:rFonts w:cstheme="minorHAnsi"/>
        </w:rPr>
        <w:t xml:space="preserve">This study </w:t>
      </w:r>
      <w:r w:rsidR="00E04D5D">
        <w:rPr>
          <w:rFonts w:cstheme="minorHAnsi"/>
        </w:rPr>
        <w:t xml:space="preserve">protocol </w:t>
      </w:r>
      <w:r w:rsidRPr="005D3DCF">
        <w:rPr>
          <w:rFonts w:cstheme="minorHAnsi"/>
        </w:rPr>
        <w:t xml:space="preserve">has received Research Ethics Committee approval (reference: 21/EM/0021) and </w:t>
      </w:r>
      <w:r w:rsidR="004A2D0D">
        <w:rPr>
          <w:rFonts w:cstheme="minorHAnsi"/>
        </w:rPr>
        <w:t>Health Research Authority (</w:t>
      </w:r>
      <w:r w:rsidRPr="005D3DCF">
        <w:rPr>
          <w:rFonts w:cstheme="minorHAnsi"/>
        </w:rPr>
        <w:t>HRA</w:t>
      </w:r>
      <w:r w:rsidR="004A2D0D">
        <w:rPr>
          <w:rFonts w:cstheme="minorHAnsi"/>
        </w:rPr>
        <w:t>)</w:t>
      </w:r>
      <w:r w:rsidRPr="005D3DCF">
        <w:rPr>
          <w:rFonts w:cstheme="minorHAnsi"/>
        </w:rPr>
        <w:t xml:space="preserve"> approval </w:t>
      </w:r>
      <w:r w:rsidR="00E04D5D">
        <w:rPr>
          <w:rFonts w:cstheme="minorHAnsi"/>
        </w:rPr>
        <w:t>(IRAS project ID: 292906) o</w:t>
      </w:r>
      <w:r w:rsidRPr="005D3DCF">
        <w:rPr>
          <w:rFonts w:cstheme="minorHAnsi"/>
        </w:rPr>
        <w:t>n</w:t>
      </w:r>
      <w:r w:rsidR="00E04D5D">
        <w:rPr>
          <w:rFonts w:cstheme="minorHAnsi"/>
        </w:rPr>
        <w:t xml:space="preserve"> 27</w:t>
      </w:r>
      <w:r w:rsidRPr="005D3DCF">
        <w:rPr>
          <w:rFonts w:cstheme="minorHAnsi"/>
        </w:rPr>
        <w:t xml:space="preserve"> January 2021.</w:t>
      </w:r>
    </w:p>
    <w:p w14:paraId="35FC178A" w14:textId="77777777" w:rsidR="007C0327" w:rsidRPr="005D3DCF" w:rsidRDefault="007C0327" w:rsidP="007C0327">
      <w:pPr>
        <w:spacing w:after="0" w:line="360" w:lineRule="auto"/>
        <w:rPr>
          <w:rFonts w:cstheme="minorHAnsi"/>
          <w:color w:val="FF0000"/>
        </w:rPr>
      </w:pPr>
    </w:p>
    <w:p w14:paraId="5AA36168" w14:textId="231FE599" w:rsidR="00804E15" w:rsidRPr="00705E03" w:rsidRDefault="00E83C9E" w:rsidP="007C0327">
      <w:pPr>
        <w:spacing w:after="0" w:line="360" w:lineRule="auto"/>
        <w:rPr>
          <w:rFonts w:cstheme="minorHAnsi"/>
          <w:b/>
          <w:bCs/>
          <w:sz w:val="32"/>
          <w:szCs w:val="32"/>
        </w:rPr>
      </w:pPr>
      <w:r w:rsidRPr="00705E03">
        <w:rPr>
          <w:rFonts w:cstheme="minorHAnsi"/>
          <w:b/>
          <w:bCs/>
          <w:sz w:val="32"/>
          <w:szCs w:val="32"/>
        </w:rPr>
        <w:t>Study sites</w:t>
      </w:r>
      <w:r w:rsidR="00804E15" w:rsidRPr="00705E03">
        <w:rPr>
          <w:rFonts w:cstheme="minorHAnsi"/>
          <w:b/>
          <w:bCs/>
          <w:sz w:val="32"/>
          <w:szCs w:val="32"/>
        </w:rPr>
        <w:t xml:space="preserve"> and participants</w:t>
      </w:r>
    </w:p>
    <w:p w14:paraId="19B7D79B" w14:textId="77777777" w:rsidR="007C0327" w:rsidRPr="005D3DCF" w:rsidRDefault="007C0327" w:rsidP="007C0327">
      <w:pPr>
        <w:spacing w:after="0" w:line="360" w:lineRule="auto"/>
        <w:rPr>
          <w:rFonts w:cstheme="minorHAnsi"/>
          <w:i/>
          <w:iCs/>
        </w:rPr>
      </w:pPr>
    </w:p>
    <w:p w14:paraId="21C92990" w14:textId="397E6572" w:rsidR="007C0327" w:rsidRDefault="007F4D7D" w:rsidP="007C0327">
      <w:pPr>
        <w:spacing w:after="0" w:line="360" w:lineRule="auto"/>
        <w:rPr>
          <w:rFonts w:cstheme="minorHAnsi"/>
        </w:rPr>
      </w:pPr>
      <w:r>
        <w:rPr>
          <w:rFonts w:cstheme="minorHAnsi"/>
        </w:rPr>
        <w:t>All e</w:t>
      </w:r>
      <w:r w:rsidR="00B7110B" w:rsidRPr="005D3DCF">
        <w:rPr>
          <w:rFonts w:cstheme="minorHAnsi"/>
        </w:rPr>
        <w:t xml:space="preserve">ight </w:t>
      </w:r>
      <w:r w:rsidR="00481F04" w:rsidRPr="005D3DCF">
        <w:rPr>
          <w:rFonts w:cstheme="minorHAnsi"/>
        </w:rPr>
        <w:t xml:space="preserve">GP </w:t>
      </w:r>
      <w:r w:rsidR="00B7110B" w:rsidRPr="005D3DCF">
        <w:rPr>
          <w:rFonts w:cstheme="minorHAnsi"/>
        </w:rPr>
        <w:t xml:space="preserve">practices </w:t>
      </w:r>
      <w:r w:rsidR="00483C41" w:rsidRPr="005D3DCF">
        <w:rPr>
          <w:rFonts w:cstheme="minorHAnsi"/>
        </w:rPr>
        <w:t>who took part in the baseline study will be approached to assist with this follow-up study. These practices</w:t>
      </w:r>
      <w:r w:rsidR="00CE72DF">
        <w:rPr>
          <w:rFonts w:cstheme="minorHAnsi"/>
        </w:rPr>
        <w:t xml:space="preserve"> were selected to</w:t>
      </w:r>
      <w:r w:rsidR="00483C41" w:rsidRPr="005D3DCF">
        <w:rPr>
          <w:rFonts w:cstheme="minorHAnsi"/>
        </w:rPr>
        <w:t xml:space="preserve"> </w:t>
      </w:r>
      <w:r w:rsidR="00B7110B" w:rsidRPr="005D3DCF">
        <w:rPr>
          <w:rFonts w:cstheme="minorHAnsi"/>
        </w:rPr>
        <w:t xml:space="preserve">represent a mixture of urban and rural, </w:t>
      </w:r>
      <w:proofErr w:type="gramStart"/>
      <w:r w:rsidR="00B7110B" w:rsidRPr="005D3DCF">
        <w:rPr>
          <w:rFonts w:cstheme="minorHAnsi"/>
        </w:rPr>
        <w:t>affluent</w:t>
      </w:r>
      <w:proofErr w:type="gramEnd"/>
      <w:r w:rsidR="00B7110B" w:rsidRPr="005D3DCF">
        <w:rPr>
          <w:rFonts w:cstheme="minorHAnsi"/>
        </w:rPr>
        <w:t xml:space="preserve"> and more deprived locations</w:t>
      </w:r>
      <w:r w:rsidR="00483C41" w:rsidRPr="005D3DCF">
        <w:rPr>
          <w:rFonts w:cstheme="minorHAnsi"/>
        </w:rPr>
        <w:t xml:space="preserve"> across Dorset.</w:t>
      </w:r>
      <w:r w:rsidR="00C15DAD">
        <w:rPr>
          <w:rFonts w:cstheme="minorHAnsi"/>
        </w:rPr>
        <w:t xml:space="preserve"> The list of participating practices can be found in S</w:t>
      </w:r>
      <w:r w:rsidR="00ED54E8">
        <w:rPr>
          <w:rFonts w:cstheme="minorHAnsi"/>
        </w:rPr>
        <w:t>2</w:t>
      </w:r>
      <w:r w:rsidR="00C15DAD">
        <w:rPr>
          <w:rFonts w:cstheme="minorHAnsi"/>
        </w:rPr>
        <w:t xml:space="preserve"> Table.</w:t>
      </w:r>
      <w:r w:rsidR="00483C41" w:rsidRPr="005D3DCF">
        <w:rPr>
          <w:rFonts w:cstheme="minorHAnsi"/>
        </w:rPr>
        <w:t xml:space="preserve"> </w:t>
      </w:r>
      <w:r w:rsidR="00ED54E8">
        <w:rPr>
          <w:rFonts w:cstheme="minorHAnsi"/>
        </w:rPr>
        <w:t>A flowchart of the methods and analysis is presented in S3 Fig.</w:t>
      </w:r>
    </w:p>
    <w:p w14:paraId="5B5BF9AE" w14:textId="77777777" w:rsidR="007C0327" w:rsidRPr="005D3DCF" w:rsidRDefault="007C0327" w:rsidP="007C0327">
      <w:pPr>
        <w:spacing w:after="0" w:line="360" w:lineRule="auto"/>
        <w:rPr>
          <w:rFonts w:cstheme="minorHAnsi"/>
        </w:rPr>
      </w:pPr>
    </w:p>
    <w:p w14:paraId="2A1F6AC0" w14:textId="73DBAAE3" w:rsidR="00DF73C7" w:rsidRDefault="00C72F4B" w:rsidP="007C0327">
      <w:pPr>
        <w:spacing w:after="0" w:line="360" w:lineRule="auto"/>
        <w:rPr>
          <w:rFonts w:cstheme="minorHAnsi"/>
        </w:rPr>
      </w:pPr>
      <w:r w:rsidRPr="005D3DCF">
        <w:rPr>
          <w:rFonts w:cstheme="minorHAnsi"/>
        </w:rPr>
        <w:t>Study participants will be patients within these practices who took</w:t>
      </w:r>
      <w:r w:rsidRPr="005D3DCF">
        <w:rPr>
          <w:rFonts w:cstheme="minorHAnsi"/>
          <w:bCs/>
        </w:rPr>
        <w:t xml:space="preserve"> part in the baseline survey and </w:t>
      </w:r>
      <w:r w:rsidR="00170A3F" w:rsidRPr="005D3DCF">
        <w:rPr>
          <w:rFonts w:cstheme="minorHAnsi"/>
          <w:bCs/>
        </w:rPr>
        <w:t>c</w:t>
      </w:r>
      <w:r w:rsidRPr="005D3DCF">
        <w:rPr>
          <w:rFonts w:cstheme="minorHAnsi"/>
          <w:bCs/>
        </w:rPr>
        <w:t>onsent</w:t>
      </w:r>
      <w:r w:rsidR="00170A3F" w:rsidRPr="005D3DCF">
        <w:rPr>
          <w:rFonts w:cstheme="minorHAnsi"/>
          <w:bCs/>
        </w:rPr>
        <w:t xml:space="preserve">ed to receiving </w:t>
      </w:r>
      <w:r w:rsidRPr="005D3DCF">
        <w:rPr>
          <w:rFonts w:cstheme="minorHAnsi"/>
          <w:bCs/>
        </w:rPr>
        <w:t>the follow up survey</w:t>
      </w:r>
      <w:r w:rsidR="00A51229">
        <w:rPr>
          <w:rFonts w:cstheme="minorHAnsi"/>
          <w:bCs/>
        </w:rPr>
        <w:t xml:space="preserve"> (n=723)</w:t>
      </w:r>
      <w:r w:rsidRPr="005D3DCF">
        <w:rPr>
          <w:rFonts w:cstheme="minorHAnsi"/>
          <w:bCs/>
        </w:rPr>
        <w:t xml:space="preserve">. The original inclusion criteria of the baseline survey were those aged 55 years or over and living with at least three of the following </w:t>
      </w:r>
      <w:r w:rsidR="00A51229">
        <w:rPr>
          <w:rFonts w:cstheme="minorHAnsi"/>
          <w:bCs/>
        </w:rPr>
        <w:t>LTC</w:t>
      </w:r>
      <w:r w:rsidRPr="005D3DCF">
        <w:rPr>
          <w:rFonts w:cstheme="minorHAnsi"/>
          <w:bCs/>
        </w:rPr>
        <w:t xml:space="preserve">s: atrial fibrillation, coronary heart disease, heart failure, hypertension, peripheral arterial disease, stroke or transient ischaemic attack, diabetes, asthma, chronic obstructive pulmonary disease, depression, chronic kidney disease, epilepsy, osteoporosis, rheumatoid arthritis, Parkinson's disease, multiple sclerosis, inflammatory bowel disease, coeliac disease, osteoarthritis. </w:t>
      </w:r>
      <w:bookmarkStart w:id="4" w:name="_Hlk79049441"/>
      <w:bookmarkStart w:id="5" w:name="_Hlk78988378"/>
      <w:r w:rsidR="00010850">
        <w:rPr>
          <w:rFonts w:cstheme="minorHAnsi"/>
          <w:bCs/>
        </w:rPr>
        <w:t xml:space="preserve">We defined multimorbidity as three or more chronic conditions </w:t>
      </w:r>
      <w:r w:rsidR="00F3510E">
        <w:rPr>
          <w:rFonts w:cstheme="minorHAnsi"/>
          <w:bCs/>
        </w:rPr>
        <w:t xml:space="preserve">for the following reasons: (i) to be consistent with the baseline study, (ii) the sample size calculation was based on the prevalence of a previous study which used this definition, and (iii) </w:t>
      </w:r>
      <w:r w:rsidR="00010850">
        <w:rPr>
          <w:rFonts w:cstheme="minorHAnsi"/>
          <w:bCs/>
        </w:rPr>
        <w:t xml:space="preserve">this has </w:t>
      </w:r>
      <w:proofErr w:type="gramStart"/>
      <w:r w:rsidR="00010850">
        <w:rPr>
          <w:rFonts w:cstheme="minorHAnsi"/>
          <w:bCs/>
        </w:rPr>
        <w:t>been considered to be</w:t>
      </w:r>
      <w:proofErr w:type="gramEnd"/>
      <w:r w:rsidR="00010850">
        <w:rPr>
          <w:rFonts w:cstheme="minorHAnsi"/>
          <w:bCs/>
        </w:rPr>
        <w:t xml:space="preserve"> a more valid cut-off score</w:t>
      </w:r>
      <w:r w:rsidR="00F3510E">
        <w:rPr>
          <w:rFonts w:cstheme="minorHAnsi"/>
          <w:bCs/>
        </w:rPr>
        <w:t xml:space="preserve"> than the criterion of two chronic conditions</w:t>
      </w:r>
      <w:r w:rsidR="00010850">
        <w:rPr>
          <w:rFonts w:cstheme="minorHAnsi"/>
          <w:bCs/>
        </w:rPr>
        <w:t xml:space="preserve"> for multimorbidity in elderly patients. (</w:t>
      </w:r>
      <w:r w:rsidR="00987DE0">
        <w:rPr>
          <w:rFonts w:cstheme="minorHAnsi"/>
          <w:bCs/>
        </w:rPr>
        <w:t>30</w:t>
      </w:r>
      <w:r w:rsidR="00010850">
        <w:rPr>
          <w:rFonts w:cstheme="minorHAnsi"/>
          <w:bCs/>
        </w:rPr>
        <w:t>)</w:t>
      </w:r>
      <w:r w:rsidR="009A26DB">
        <w:rPr>
          <w:rFonts w:cstheme="minorHAnsi"/>
          <w:bCs/>
        </w:rPr>
        <w:t xml:space="preserve"> </w:t>
      </w:r>
      <w:r w:rsidR="00F343F0">
        <w:rPr>
          <w:rFonts w:cstheme="minorHAnsi"/>
          <w:bCs/>
        </w:rPr>
        <w:t>The</w:t>
      </w:r>
      <w:r w:rsidR="00010850">
        <w:rPr>
          <w:rFonts w:cstheme="minorHAnsi"/>
          <w:bCs/>
        </w:rPr>
        <w:t xml:space="preserve"> specified </w:t>
      </w:r>
      <w:r w:rsidR="00F343F0">
        <w:rPr>
          <w:rFonts w:cstheme="minorHAnsi"/>
          <w:bCs/>
        </w:rPr>
        <w:t>diseases were selected as they are common, readily identified from GP records, and represented a range of body systems. Diseases were defined using the Quality and Outcome Framework (</w:t>
      </w:r>
      <w:proofErr w:type="spellStart"/>
      <w:r w:rsidR="00F343F0">
        <w:rPr>
          <w:rFonts w:cstheme="minorHAnsi"/>
          <w:bCs/>
        </w:rPr>
        <w:t>QoF</w:t>
      </w:r>
      <w:proofErr w:type="spellEnd"/>
      <w:r w:rsidR="00F343F0">
        <w:rPr>
          <w:rFonts w:cstheme="minorHAnsi"/>
          <w:bCs/>
        </w:rPr>
        <w:t xml:space="preserve">) clinical code </w:t>
      </w:r>
      <w:r w:rsidR="00F343F0">
        <w:rPr>
          <w:rFonts w:cstheme="minorHAnsi"/>
          <w:bCs/>
        </w:rPr>
        <w:lastRenderedPageBreak/>
        <w:t>and Read codes</w:t>
      </w:r>
      <w:bookmarkEnd w:id="4"/>
      <w:r w:rsidR="00F343F0">
        <w:rPr>
          <w:rFonts w:cstheme="minorHAnsi"/>
          <w:bCs/>
        </w:rPr>
        <w:t xml:space="preserve">. </w:t>
      </w:r>
      <w:bookmarkEnd w:id="5"/>
      <w:r w:rsidR="00F343F0">
        <w:rPr>
          <w:rFonts w:cstheme="minorHAnsi"/>
          <w:bCs/>
        </w:rPr>
        <w:t>(2</w:t>
      </w:r>
      <w:r w:rsidR="00987DE0">
        <w:rPr>
          <w:rFonts w:cstheme="minorHAnsi"/>
          <w:bCs/>
        </w:rPr>
        <w:t>2-23, 31-32</w:t>
      </w:r>
      <w:r w:rsidR="00F343F0">
        <w:rPr>
          <w:rFonts w:cstheme="minorHAnsi"/>
          <w:bCs/>
        </w:rPr>
        <w:t xml:space="preserve">) </w:t>
      </w:r>
      <w:r w:rsidR="00AD625E">
        <w:rPr>
          <w:rFonts w:cstheme="minorHAnsi"/>
          <w:bCs/>
        </w:rPr>
        <w:t>Only one person from a given household was eligible to participate. (1</w:t>
      </w:r>
      <w:r w:rsidR="00987DE0">
        <w:rPr>
          <w:rFonts w:cstheme="minorHAnsi"/>
          <w:bCs/>
        </w:rPr>
        <w:t>8</w:t>
      </w:r>
      <w:r w:rsidR="00AD625E">
        <w:rPr>
          <w:rFonts w:cstheme="minorHAnsi"/>
          <w:bCs/>
        </w:rPr>
        <w:t>)</w:t>
      </w:r>
      <w:r w:rsidR="00457138">
        <w:rPr>
          <w:rFonts w:cstheme="minorHAnsi"/>
          <w:bCs/>
        </w:rPr>
        <w:t xml:space="preserve"> </w:t>
      </w:r>
      <w:r w:rsidRPr="005D3DCF">
        <w:rPr>
          <w:rFonts w:cstheme="minorHAnsi"/>
        </w:rPr>
        <w:t>Exclusion criteria were</w:t>
      </w:r>
      <w:r w:rsidR="007F4D7D">
        <w:rPr>
          <w:rFonts w:cstheme="minorHAnsi"/>
        </w:rPr>
        <w:t>:</w:t>
      </w:r>
      <w:r w:rsidRPr="005D3DCF">
        <w:rPr>
          <w:rFonts w:cstheme="minorHAnsi"/>
        </w:rPr>
        <w:t xml:space="preserve"> those living in a care home, receiving palliative care, </w:t>
      </w:r>
      <w:r w:rsidR="007F4D7D">
        <w:rPr>
          <w:rFonts w:cstheme="minorHAnsi"/>
        </w:rPr>
        <w:t xml:space="preserve">presence of a </w:t>
      </w:r>
      <w:r w:rsidRPr="005D3DCF">
        <w:rPr>
          <w:rFonts w:cstheme="minorHAnsi"/>
        </w:rPr>
        <w:t>mental health diagnosis (</w:t>
      </w:r>
      <w:r w:rsidRPr="005D3DCF">
        <w:rPr>
          <w:rFonts w:cstheme="minorHAnsi"/>
          <w:bCs/>
        </w:rPr>
        <w:t xml:space="preserve">psychosis, schizophrenia, bipolar disorder) </w:t>
      </w:r>
      <w:r w:rsidRPr="005D3DCF">
        <w:rPr>
          <w:rFonts w:cstheme="minorHAnsi"/>
        </w:rPr>
        <w:t xml:space="preserve">or dementia, active cancer </w:t>
      </w:r>
      <w:r w:rsidR="007F4D7D">
        <w:rPr>
          <w:rFonts w:cstheme="minorHAnsi"/>
        </w:rPr>
        <w:t>(</w:t>
      </w:r>
      <w:r w:rsidRPr="005D3DCF">
        <w:rPr>
          <w:rFonts w:cstheme="minorHAnsi"/>
        </w:rPr>
        <w:t>recorded in the last three years</w:t>
      </w:r>
      <w:r w:rsidR="007F4D7D">
        <w:rPr>
          <w:rFonts w:cstheme="minorHAnsi"/>
        </w:rPr>
        <w:t>)</w:t>
      </w:r>
      <w:r w:rsidRPr="005D3DCF">
        <w:rPr>
          <w:rFonts w:cstheme="minorHAnsi"/>
        </w:rPr>
        <w:t xml:space="preserve">,  </w:t>
      </w:r>
      <w:r w:rsidR="007F4D7D">
        <w:rPr>
          <w:rFonts w:cstheme="minorHAnsi"/>
        </w:rPr>
        <w:t xml:space="preserve">an </w:t>
      </w:r>
      <w:r w:rsidRPr="005D3DCF">
        <w:rPr>
          <w:rFonts w:cstheme="minorHAnsi"/>
        </w:rPr>
        <w:t xml:space="preserve">expressed wish not </w:t>
      </w:r>
      <w:r w:rsidR="007F4D7D">
        <w:rPr>
          <w:rFonts w:cstheme="minorHAnsi"/>
        </w:rPr>
        <w:t xml:space="preserve">to </w:t>
      </w:r>
      <w:r w:rsidRPr="005D3DCF">
        <w:rPr>
          <w:rFonts w:cstheme="minorHAnsi"/>
        </w:rPr>
        <w:t>participate in research, lack</w:t>
      </w:r>
      <w:r w:rsidR="007F4D7D">
        <w:rPr>
          <w:rFonts w:cstheme="minorHAnsi"/>
        </w:rPr>
        <w:t xml:space="preserve"> of</w:t>
      </w:r>
      <w:r w:rsidRPr="005D3DCF">
        <w:rPr>
          <w:rFonts w:cstheme="minorHAnsi"/>
        </w:rPr>
        <w:t xml:space="preserve"> capacity to participate in the study</w:t>
      </w:r>
      <w:r w:rsidR="007F4D7D">
        <w:rPr>
          <w:rFonts w:cstheme="minorHAnsi"/>
        </w:rPr>
        <w:t>,</w:t>
      </w:r>
      <w:r w:rsidRPr="005D3DCF">
        <w:rPr>
          <w:rFonts w:cstheme="minorHAnsi"/>
        </w:rPr>
        <w:t xml:space="preserve"> or any other reason at the discretion of </w:t>
      </w:r>
      <w:bookmarkStart w:id="6" w:name="_Hlk79049018"/>
      <w:r w:rsidR="007F4D7D">
        <w:rPr>
          <w:rFonts w:cstheme="minorHAnsi"/>
        </w:rPr>
        <w:t xml:space="preserve">healthcare professionals at </w:t>
      </w:r>
      <w:r w:rsidRPr="005D3DCF">
        <w:rPr>
          <w:rFonts w:cstheme="minorHAnsi"/>
        </w:rPr>
        <w:t>the GP</w:t>
      </w:r>
      <w:r w:rsidR="007F4D7D">
        <w:rPr>
          <w:rFonts w:cstheme="minorHAnsi"/>
        </w:rPr>
        <w:t xml:space="preserve"> practice</w:t>
      </w:r>
      <w:r w:rsidR="00DF73C7">
        <w:rPr>
          <w:rFonts w:cstheme="minorHAnsi"/>
        </w:rPr>
        <w:t xml:space="preserve"> with sufficient knowledge of the patient which renders the patient unsuitable to receive the survey (for example if they were very frail</w:t>
      </w:r>
      <w:r w:rsidR="0075718A">
        <w:rPr>
          <w:rFonts w:cstheme="minorHAnsi"/>
        </w:rPr>
        <w:t xml:space="preserve">, </w:t>
      </w:r>
      <w:r w:rsidR="005D32C2">
        <w:rPr>
          <w:rFonts w:cstheme="minorHAnsi"/>
        </w:rPr>
        <w:t>having cancer investigations</w:t>
      </w:r>
      <w:r w:rsidR="0075718A">
        <w:rPr>
          <w:rFonts w:cstheme="minorHAnsi"/>
        </w:rPr>
        <w:t>, had a very recent bereavement</w:t>
      </w:r>
      <w:r w:rsidR="00F3510E">
        <w:rPr>
          <w:rFonts w:cstheme="minorHAnsi"/>
        </w:rPr>
        <w:t xml:space="preserve"> It was not considered ethically appropriate or acceptable to send the survey out to patients who met the exclusion criteria</w:t>
      </w:r>
      <w:r w:rsidR="0075718A">
        <w:rPr>
          <w:rFonts w:cstheme="minorHAnsi"/>
        </w:rPr>
        <w:t xml:space="preserve"> as they might find it particularly distressing</w:t>
      </w:r>
      <w:r w:rsidR="00F3510E">
        <w:rPr>
          <w:rFonts w:cstheme="minorHAnsi"/>
        </w:rPr>
        <w:t xml:space="preserve">. </w:t>
      </w:r>
      <w:r w:rsidR="00CE72DF" w:rsidRPr="00705E03">
        <w:t xml:space="preserve">Each participating site applied the same algorithm to electronically search and identify potential participants. Manual screening was performed by a health professional to exclude patients that met the exclusion criteria. A maximum of 250 patients </w:t>
      </w:r>
      <w:r w:rsidR="00307BBC">
        <w:t xml:space="preserve">(randomly selected from all potentially eligible participants) </w:t>
      </w:r>
      <w:r w:rsidR="00CE72DF" w:rsidRPr="00705E03">
        <w:t>from each practice were invited to participate</w:t>
      </w:r>
      <w:r w:rsidR="00CE72DF">
        <w:t xml:space="preserve"> in the baseline survey</w:t>
      </w:r>
      <w:r w:rsidR="00CE72DF" w:rsidRPr="00705E03">
        <w:t>.</w:t>
      </w:r>
      <w:r w:rsidR="00CE72DF" w:rsidRPr="00705E03">
        <w:br/>
      </w:r>
    </w:p>
    <w:bookmarkEnd w:id="6"/>
    <w:p w14:paraId="2D8DC7F8" w14:textId="77777777" w:rsidR="007C0327" w:rsidRPr="005D3DCF" w:rsidRDefault="007C0327" w:rsidP="007C0327">
      <w:pPr>
        <w:spacing w:after="0" w:line="360" w:lineRule="auto"/>
        <w:rPr>
          <w:rFonts w:cstheme="minorHAnsi"/>
        </w:rPr>
      </w:pPr>
    </w:p>
    <w:p w14:paraId="5124EE92" w14:textId="333D4724" w:rsidR="00C23322" w:rsidRPr="00705E03" w:rsidRDefault="006C0514" w:rsidP="007C0327">
      <w:pPr>
        <w:autoSpaceDE w:val="0"/>
        <w:autoSpaceDN w:val="0"/>
        <w:adjustRightInd w:val="0"/>
        <w:spacing w:after="0" w:line="360" w:lineRule="auto"/>
        <w:rPr>
          <w:rFonts w:cstheme="minorHAnsi"/>
          <w:b/>
          <w:sz w:val="32"/>
          <w:szCs w:val="32"/>
        </w:rPr>
      </w:pPr>
      <w:r w:rsidRPr="00705E03">
        <w:rPr>
          <w:rFonts w:cstheme="minorHAnsi"/>
          <w:b/>
          <w:sz w:val="32"/>
          <w:szCs w:val="32"/>
        </w:rPr>
        <w:t>Participant r</w:t>
      </w:r>
      <w:r w:rsidR="00B7110B" w:rsidRPr="00705E03">
        <w:rPr>
          <w:rFonts w:cstheme="minorHAnsi"/>
          <w:b/>
          <w:sz w:val="32"/>
          <w:szCs w:val="32"/>
        </w:rPr>
        <w:t>ecruitment and invitation</w:t>
      </w:r>
    </w:p>
    <w:p w14:paraId="50DF05F2" w14:textId="77777777" w:rsidR="007C0327" w:rsidRPr="005D3DCF" w:rsidRDefault="007C0327" w:rsidP="007C0327">
      <w:pPr>
        <w:autoSpaceDE w:val="0"/>
        <w:autoSpaceDN w:val="0"/>
        <w:adjustRightInd w:val="0"/>
        <w:spacing w:after="0" w:line="360" w:lineRule="auto"/>
        <w:rPr>
          <w:rFonts w:cstheme="minorHAnsi"/>
          <w:bCs/>
          <w:i/>
          <w:iCs/>
        </w:rPr>
      </w:pPr>
    </w:p>
    <w:p w14:paraId="5494C2C0" w14:textId="16F3F4E6" w:rsidR="00C72F4B" w:rsidRDefault="00C72F4B" w:rsidP="007C0327">
      <w:pPr>
        <w:spacing w:after="0" w:line="360" w:lineRule="auto"/>
        <w:rPr>
          <w:rFonts w:cstheme="minorHAnsi"/>
        </w:rPr>
      </w:pPr>
      <w:r w:rsidRPr="005D3DCF">
        <w:rPr>
          <w:rFonts w:cstheme="minorHAnsi"/>
        </w:rPr>
        <w:t>Participating practices will be asked to identify the patients who were participants in the baseline survey and consented to</w:t>
      </w:r>
      <w:r w:rsidR="00170A3F" w:rsidRPr="005D3DCF">
        <w:rPr>
          <w:rFonts w:cstheme="minorHAnsi"/>
        </w:rPr>
        <w:t xml:space="preserve"> receiving</w:t>
      </w:r>
      <w:r w:rsidRPr="005D3DCF">
        <w:rPr>
          <w:rFonts w:cstheme="minorHAnsi"/>
        </w:rPr>
        <w:t xml:space="preserve"> the follow</w:t>
      </w:r>
      <w:r w:rsidR="00DA0622">
        <w:rPr>
          <w:rFonts w:cstheme="minorHAnsi"/>
        </w:rPr>
        <w:t>-</w:t>
      </w:r>
      <w:r w:rsidRPr="005D3DCF">
        <w:rPr>
          <w:rFonts w:cstheme="minorHAnsi"/>
        </w:rPr>
        <w:t xml:space="preserve">up survey, using a list of </w:t>
      </w:r>
      <w:r w:rsidR="003C4AF4" w:rsidRPr="005D3DCF">
        <w:rPr>
          <w:rFonts w:cstheme="minorHAnsi"/>
        </w:rPr>
        <w:t xml:space="preserve">unique </w:t>
      </w:r>
      <w:r w:rsidRPr="005D3DCF">
        <w:rPr>
          <w:rFonts w:cstheme="minorHAnsi"/>
        </w:rPr>
        <w:t>study IDs. Lists of these potentially eligible patients will be manually screened by GPs (or another suitable healthcare professional with sufficient patient knowledge from the GP practice</w:t>
      </w:r>
      <w:r w:rsidR="00E51EB0">
        <w:rPr>
          <w:rFonts w:cstheme="minorHAnsi"/>
        </w:rPr>
        <w:t>)</w:t>
      </w:r>
      <w:r w:rsidRPr="005D3DCF">
        <w:rPr>
          <w:rFonts w:cstheme="minorHAnsi"/>
        </w:rPr>
        <w:t xml:space="preserve"> for exclusion criteria</w:t>
      </w:r>
      <w:r w:rsidR="00AD738E">
        <w:rPr>
          <w:rFonts w:cstheme="minorHAnsi"/>
        </w:rPr>
        <w:t xml:space="preserve"> (as some participants may now meet the exclusion criteria)</w:t>
      </w:r>
      <w:r w:rsidRPr="005D3DCF">
        <w:rPr>
          <w:rFonts w:cstheme="minorHAnsi"/>
        </w:rPr>
        <w:t xml:space="preserve">. </w:t>
      </w:r>
      <w:r w:rsidR="006C0514" w:rsidRPr="005D3DCF">
        <w:rPr>
          <w:rFonts w:cstheme="minorHAnsi"/>
        </w:rPr>
        <w:t>P</w:t>
      </w:r>
      <w:r w:rsidRPr="005D3DCF">
        <w:rPr>
          <w:rFonts w:cstheme="minorHAnsi"/>
        </w:rPr>
        <w:t xml:space="preserve">ractices will be encouraged to only exclude people if they feel it is </w:t>
      </w:r>
      <w:proofErr w:type="gramStart"/>
      <w:r w:rsidRPr="005D3DCF">
        <w:rPr>
          <w:rFonts w:cstheme="minorHAnsi"/>
        </w:rPr>
        <w:t>absolutely necessary</w:t>
      </w:r>
      <w:proofErr w:type="gramEnd"/>
      <w:r w:rsidRPr="005D3DCF">
        <w:rPr>
          <w:rFonts w:cstheme="minorHAnsi"/>
        </w:rPr>
        <w:t>, while acknowledging that in some circumstances, sending the follow</w:t>
      </w:r>
      <w:r w:rsidR="00DA0622">
        <w:rPr>
          <w:rFonts w:cstheme="minorHAnsi"/>
        </w:rPr>
        <w:t>-</w:t>
      </w:r>
      <w:r w:rsidRPr="005D3DCF">
        <w:rPr>
          <w:rFonts w:cstheme="minorHAnsi"/>
        </w:rPr>
        <w:t>up survey may be inappropriate.</w:t>
      </w:r>
      <w:r w:rsidR="006C0514" w:rsidRPr="005D3DCF">
        <w:rPr>
          <w:rFonts w:cstheme="minorHAnsi"/>
        </w:rPr>
        <w:t xml:space="preserve"> </w:t>
      </w:r>
    </w:p>
    <w:p w14:paraId="2806E92F" w14:textId="77777777" w:rsidR="007C0327" w:rsidRPr="005D3DCF" w:rsidRDefault="007C0327" w:rsidP="007C0327">
      <w:pPr>
        <w:spacing w:after="0" w:line="360" w:lineRule="auto"/>
        <w:rPr>
          <w:rFonts w:cstheme="minorHAnsi"/>
        </w:rPr>
      </w:pPr>
    </w:p>
    <w:p w14:paraId="2F11A9BC" w14:textId="2C2C6A72" w:rsidR="00C72F4B" w:rsidRPr="00705E03" w:rsidRDefault="00C72F4B" w:rsidP="00705E03">
      <w:pPr>
        <w:spacing w:after="0" w:line="360" w:lineRule="auto"/>
        <w:rPr>
          <w:rFonts w:cstheme="minorHAnsi"/>
          <w:b/>
          <w:bCs/>
          <w:sz w:val="28"/>
          <w:szCs w:val="28"/>
        </w:rPr>
      </w:pPr>
      <w:r w:rsidRPr="00705E03">
        <w:rPr>
          <w:rFonts w:cstheme="minorHAnsi"/>
          <w:b/>
          <w:bCs/>
          <w:sz w:val="28"/>
          <w:szCs w:val="28"/>
        </w:rPr>
        <w:t>Survey</w:t>
      </w:r>
      <w:r w:rsidR="00170A3F" w:rsidRPr="00705E03">
        <w:rPr>
          <w:rFonts w:cstheme="minorHAnsi"/>
          <w:b/>
          <w:bCs/>
          <w:sz w:val="28"/>
          <w:szCs w:val="28"/>
        </w:rPr>
        <w:t xml:space="preserve"> pack</w:t>
      </w:r>
      <w:r w:rsidRPr="00705E03">
        <w:rPr>
          <w:rFonts w:cstheme="minorHAnsi"/>
          <w:b/>
          <w:bCs/>
          <w:sz w:val="28"/>
          <w:szCs w:val="28"/>
        </w:rPr>
        <w:t xml:space="preserve"> mail out</w:t>
      </w:r>
    </w:p>
    <w:p w14:paraId="3EFC5DFF" w14:textId="77777777" w:rsidR="007C0327" w:rsidRPr="005D3DCF" w:rsidRDefault="007C0327" w:rsidP="007C0327">
      <w:pPr>
        <w:spacing w:after="0" w:line="360" w:lineRule="auto"/>
        <w:ind w:left="720"/>
        <w:rPr>
          <w:rFonts w:cstheme="minorHAnsi"/>
          <w:i/>
          <w:iCs/>
        </w:rPr>
      </w:pPr>
    </w:p>
    <w:p w14:paraId="6C1C289D" w14:textId="72AEDD85" w:rsidR="00D156A7" w:rsidRDefault="003C4AF4" w:rsidP="007C0327">
      <w:pPr>
        <w:spacing w:after="0" w:line="360" w:lineRule="auto"/>
        <w:rPr>
          <w:rFonts w:cstheme="minorHAnsi"/>
        </w:rPr>
      </w:pPr>
      <w:r w:rsidRPr="005D3DCF">
        <w:rPr>
          <w:rFonts w:cstheme="minorHAnsi"/>
        </w:rPr>
        <w:t xml:space="preserve">The research team will prepare survey packs (containing a </w:t>
      </w:r>
      <w:r w:rsidR="004D5A34">
        <w:rPr>
          <w:rFonts w:cstheme="minorHAnsi"/>
        </w:rPr>
        <w:t>participant</w:t>
      </w:r>
      <w:r w:rsidRPr="005D3DCF">
        <w:rPr>
          <w:rFonts w:cstheme="minorHAnsi"/>
        </w:rPr>
        <w:t xml:space="preserve"> information sheet, carbon</w:t>
      </w:r>
      <w:r w:rsidR="00262856" w:rsidRPr="005D3DCF">
        <w:rPr>
          <w:rFonts w:cstheme="minorHAnsi"/>
        </w:rPr>
        <w:t xml:space="preserve"> </w:t>
      </w:r>
      <w:r w:rsidRPr="005D3DCF">
        <w:rPr>
          <w:rFonts w:cstheme="minorHAnsi"/>
        </w:rPr>
        <w:t>duplicate consent form, survey booklet, two pre-addressed</w:t>
      </w:r>
      <w:r w:rsidR="00170A3F" w:rsidRPr="005D3DCF">
        <w:rPr>
          <w:rFonts w:cstheme="minorHAnsi"/>
        </w:rPr>
        <w:t xml:space="preserve"> freepost</w:t>
      </w:r>
      <w:r w:rsidRPr="005D3DCF">
        <w:rPr>
          <w:rFonts w:cstheme="minorHAnsi"/>
        </w:rPr>
        <w:t xml:space="preserve"> return envelopes</w:t>
      </w:r>
      <w:r w:rsidR="00B467DC" w:rsidRPr="005D3DCF">
        <w:rPr>
          <w:rFonts w:cstheme="minorHAnsi"/>
        </w:rPr>
        <w:t>, and a £5 gift voucher</w:t>
      </w:r>
      <w:r w:rsidR="00DE2FE5">
        <w:rPr>
          <w:rFonts w:cstheme="minorHAnsi"/>
        </w:rPr>
        <w:t xml:space="preserve"> as an incentive</w:t>
      </w:r>
      <w:r w:rsidRPr="005D3DCF">
        <w:rPr>
          <w:rFonts w:cstheme="minorHAnsi"/>
        </w:rPr>
        <w:t>), having affixed study ID</w:t>
      </w:r>
      <w:r w:rsidR="00262856" w:rsidRPr="005D3DCF">
        <w:rPr>
          <w:rFonts w:cstheme="minorHAnsi"/>
        </w:rPr>
        <w:t xml:space="preserve"> </w:t>
      </w:r>
      <w:r w:rsidRPr="005D3DCF">
        <w:rPr>
          <w:rFonts w:cstheme="minorHAnsi"/>
        </w:rPr>
        <w:t>labels to survey and consent forms. These prepared survey packs will be supplied to GP practices, who</w:t>
      </w:r>
      <w:r w:rsidR="00262856" w:rsidRPr="005D3DCF">
        <w:rPr>
          <w:rFonts w:cstheme="minorHAnsi"/>
        </w:rPr>
        <w:t xml:space="preserve"> </w:t>
      </w:r>
      <w:r w:rsidRPr="005D3DCF">
        <w:rPr>
          <w:rFonts w:cstheme="minorHAnsi"/>
        </w:rPr>
        <w:t xml:space="preserve">at the point of invitation will: (i) add </w:t>
      </w:r>
      <w:r w:rsidR="009E60D8">
        <w:rPr>
          <w:rFonts w:cstheme="minorHAnsi"/>
        </w:rPr>
        <w:t>a</w:t>
      </w:r>
      <w:r w:rsidRPr="005D3DCF">
        <w:rPr>
          <w:rFonts w:cstheme="minorHAnsi"/>
        </w:rPr>
        <w:t xml:space="preserve"> prepared covering letter to the pack (headed up and signed by the GP</w:t>
      </w:r>
      <w:r w:rsidR="00262856" w:rsidRPr="005D3DCF">
        <w:rPr>
          <w:rFonts w:cstheme="minorHAnsi"/>
        </w:rPr>
        <w:t xml:space="preserve"> </w:t>
      </w:r>
      <w:r w:rsidRPr="005D3DCF">
        <w:rPr>
          <w:rFonts w:cstheme="minorHAnsi"/>
        </w:rPr>
        <w:t>practice), personalising the letter with the invitee’s name and address; (ii) add the invitee</w:t>
      </w:r>
      <w:r w:rsidR="009E60D8">
        <w:rPr>
          <w:rFonts w:cstheme="minorHAnsi"/>
        </w:rPr>
        <w:t>’</w:t>
      </w:r>
      <w:r w:rsidRPr="005D3DCF">
        <w:rPr>
          <w:rFonts w:cstheme="minorHAnsi"/>
        </w:rPr>
        <w:t>s name and address</w:t>
      </w:r>
      <w:r w:rsidR="00262856" w:rsidRPr="005D3DCF">
        <w:rPr>
          <w:rFonts w:cstheme="minorHAnsi"/>
        </w:rPr>
        <w:t xml:space="preserve"> </w:t>
      </w:r>
      <w:r w:rsidRPr="005D3DCF">
        <w:rPr>
          <w:rFonts w:cstheme="minorHAnsi"/>
        </w:rPr>
        <w:t>to the outer envelope of the survey pack. Patient details and study IDs will be matched in accordance with practices</w:t>
      </w:r>
      <w:r w:rsidR="00457138">
        <w:rPr>
          <w:rFonts w:cstheme="minorHAnsi"/>
        </w:rPr>
        <w:t>’</w:t>
      </w:r>
      <w:r w:rsidRPr="005D3DCF">
        <w:rPr>
          <w:rFonts w:cstheme="minorHAnsi"/>
        </w:rPr>
        <w:t xml:space="preserve"> </w:t>
      </w:r>
      <w:r w:rsidR="00457138">
        <w:rPr>
          <w:rFonts w:cstheme="minorHAnsi"/>
        </w:rPr>
        <w:t xml:space="preserve">research records. </w:t>
      </w:r>
      <w:r w:rsidRPr="005D3DCF">
        <w:rPr>
          <w:rFonts w:cstheme="minorHAnsi"/>
        </w:rPr>
        <w:t xml:space="preserve">Practices will post out survey packs on behalf of the research team. </w:t>
      </w:r>
      <w:r w:rsidR="004C0EB2">
        <w:rPr>
          <w:rFonts w:cstheme="minorHAnsi"/>
        </w:rPr>
        <w:t>Recipients</w:t>
      </w:r>
      <w:r w:rsidR="00262856" w:rsidRPr="001C64E2">
        <w:rPr>
          <w:rFonts w:cstheme="minorHAnsi"/>
        </w:rPr>
        <w:t xml:space="preserve"> will be asked to</w:t>
      </w:r>
      <w:r w:rsidRPr="001C64E2">
        <w:rPr>
          <w:rFonts w:cstheme="minorHAnsi"/>
        </w:rPr>
        <w:t xml:space="preserve"> complete the paper consent form and paper survey </w:t>
      </w:r>
      <w:r w:rsidR="00B467DC" w:rsidRPr="001C64E2">
        <w:rPr>
          <w:rFonts w:cstheme="minorHAnsi"/>
        </w:rPr>
        <w:t>booklet and</w:t>
      </w:r>
      <w:r w:rsidRPr="001C64E2">
        <w:rPr>
          <w:rFonts w:cstheme="minorHAnsi"/>
        </w:rPr>
        <w:t xml:space="preserve"> return both by post in the</w:t>
      </w:r>
      <w:r w:rsidR="00262856" w:rsidRPr="001C64E2">
        <w:rPr>
          <w:rFonts w:cstheme="minorHAnsi"/>
        </w:rPr>
        <w:t xml:space="preserve"> </w:t>
      </w:r>
      <w:r w:rsidRPr="001C64E2">
        <w:rPr>
          <w:rFonts w:cstheme="minorHAnsi"/>
        </w:rPr>
        <w:t>separate envelopes provided</w:t>
      </w:r>
      <w:r w:rsidR="00B467DC" w:rsidRPr="001C64E2">
        <w:rPr>
          <w:rFonts w:cstheme="minorHAnsi"/>
        </w:rPr>
        <w:t xml:space="preserve"> within one month of receiving the </w:t>
      </w:r>
      <w:r w:rsidR="00B467DC" w:rsidRPr="001C64E2">
        <w:rPr>
          <w:rFonts w:cstheme="minorHAnsi"/>
        </w:rPr>
        <w:lastRenderedPageBreak/>
        <w:t>survey pack</w:t>
      </w:r>
      <w:r w:rsidRPr="001C64E2">
        <w:rPr>
          <w:rFonts w:cstheme="minorHAnsi"/>
        </w:rPr>
        <w:t xml:space="preserve">. </w:t>
      </w:r>
      <w:r w:rsidR="00457138">
        <w:rPr>
          <w:rFonts w:cstheme="minorHAnsi"/>
        </w:rPr>
        <w:t xml:space="preserve">An online response platform is not being provided for this follow-up survey </w:t>
      </w:r>
      <w:proofErr w:type="gramStart"/>
      <w:r w:rsidR="00457138">
        <w:rPr>
          <w:rFonts w:cstheme="minorHAnsi"/>
        </w:rPr>
        <w:t>as a result of</w:t>
      </w:r>
      <w:proofErr w:type="gramEnd"/>
      <w:r w:rsidR="00457138">
        <w:rPr>
          <w:rFonts w:cstheme="minorHAnsi"/>
        </w:rPr>
        <w:t xml:space="preserve"> the very low uptake of this response option (3.2%) observed in the baseline survey.</w:t>
      </w:r>
    </w:p>
    <w:p w14:paraId="39752802" w14:textId="77777777" w:rsidR="007C0327" w:rsidRPr="005D3DCF" w:rsidRDefault="007C0327" w:rsidP="007C0327">
      <w:pPr>
        <w:spacing w:after="0" w:line="360" w:lineRule="auto"/>
        <w:rPr>
          <w:rFonts w:cstheme="minorHAnsi"/>
        </w:rPr>
      </w:pPr>
    </w:p>
    <w:p w14:paraId="042391ED" w14:textId="5E8CB5C2" w:rsidR="00B467DC" w:rsidRPr="00705E03" w:rsidRDefault="00B467DC" w:rsidP="007C0327">
      <w:pPr>
        <w:spacing w:after="0" w:line="360" w:lineRule="auto"/>
        <w:jc w:val="both"/>
        <w:rPr>
          <w:rFonts w:cstheme="minorHAnsi"/>
          <w:b/>
          <w:bCs/>
          <w:iCs/>
          <w:sz w:val="32"/>
          <w:szCs w:val="32"/>
        </w:rPr>
      </w:pPr>
      <w:r w:rsidRPr="00705E03">
        <w:rPr>
          <w:rFonts w:cstheme="minorHAnsi"/>
          <w:b/>
          <w:bCs/>
          <w:iCs/>
          <w:sz w:val="32"/>
          <w:szCs w:val="32"/>
        </w:rPr>
        <w:t>Survey items</w:t>
      </w:r>
    </w:p>
    <w:p w14:paraId="5725B5EE" w14:textId="77777777" w:rsidR="007C0327" w:rsidRPr="005D3DCF" w:rsidRDefault="007C0327" w:rsidP="007C0327">
      <w:pPr>
        <w:spacing w:after="0" w:line="360" w:lineRule="auto"/>
        <w:jc w:val="both"/>
        <w:rPr>
          <w:rFonts w:cstheme="minorHAnsi"/>
          <w:i/>
        </w:rPr>
      </w:pPr>
    </w:p>
    <w:p w14:paraId="5888F80A" w14:textId="6C2CE990" w:rsidR="0079364B" w:rsidRDefault="004C0EB2" w:rsidP="0079364B">
      <w:pPr>
        <w:spacing w:after="0" w:line="360" w:lineRule="auto"/>
        <w:jc w:val="both"/>
        <w:rPr>
          <w:rFonts w:cstheme="minorHAnsi"/>
        </w:rPr>
      </w:pPr>
      <w:r>
        <w:rPr>
          <w:rFonts w:cstheme="minorHAnsi"/>
        </w:rPr>
        <w:t>For this follow-up survey, c</w:t>
      </w:r>
      <w:r w:rsidR="00C902C2" w:rsidRPr="005D3DCF">
        <w:rPr>
          <w:rFonts w:cstheme="minorHAnsi"/>
        </w:rPr>
        <w:t xml:space="preserve">hanges </w:t>
      </w:r>
      <w:r>
        <w:rPr>
          <w:rFonts w:cstheme="minorHAnsi"/>
        </w:rPr>
        <w:t>from</w:t>
      </w:r>
      <w:r w:rsidR="00C902C2" w:rsidRPr="005D3DCF">
        <w:rPr>
          <w:rFonts w:cstheme="minorHAnsi"/>
        </w:rPr>
        <w:t xml:space="preserve"> the </w:t>
      </w:r>
      <w:r>
        <w:rPr>
          <w:rFonts w:cstheme="minorHAnsi"/>
        </w:rPr>
        <w:t>baseline</w:t>
      </w:r>
      <w:r w:rsidR="00C902C2" w:rsidRPr="005D3DCF">
        <w:rPr>
          <w:rFonts w:cstheme="minorHAnsi"/>
        </w:rPr>
        <w:t xml:space="preserve"> survey </w:t>
      </w:r>
      <w:r>
        <w:rPr>
          <w:rFonts w:cstheme="minorHAnsi"/>
        </w:rPr>
        <w:t>design are</w:t>
      </w:r>
      <w:r w:rsidR="00C902C2" w:rsidRPr="005D3DCF">
        <w:rPr>
          <w:rFonts w:cstheme="minorHAnsi"/>
        </w:rPr>
        <w:t xml:space="preserve"> minimal </w:t>
      </w:r>
      <w:proofErr w:type="gramStart"/>
      <w:r w:rsidR="00C902C2" w:rsidRPr="005D3DCF">
        <w:rPr>
          <w:rFonts w:cstheme="minorHAnsi"/>
        </w:rPr>
        <w:t>in order to</w:t>
      </w:r>
      <w:proofErr w:type="gramEnd"/>
      <w:r w:rsidR="00C902C2" w:rsidRPr="005D3DCF">
        <w:rPr>
          <w:rFonts w:cstheme="minorHAnsi"/>
        </w:rPr>
        <w:t xml:space="preserve"> provide </w:t>
      </w:r>
      <w:r>
        <w:rPr>
          <w:rFonts w:cstheme="minorHAnsi"/>
        </w:rPr>
        <w:t xml:space="preserve">maximally comparable </w:t>
      </w:r>
      <w:r w:rsidR="00C902C2" w:rsidRPr="005D3DCF">
        <w:rPr>
          <w:rFonts w:cstheme="minorHAnsi"/>
        </w:rPr>
        <w:t>follow</w:t>
      </w:r>
      <w:r>
        <w:rPr>
          <w:rFonts w:cstheme="minorHAnsi"/>
        </w:rPr>
        <w:t>-</w:t>
      </w:r>
      <w:r w:rsidR="00C902C2" w:rsidRPr="005D3DCF">
        <w:rPr>
          <w:rFonts w:cstheme="minorHAnsi"/>
        </w:rPr>
        <w:t xml:space="preserve">up data </w:t>
      </w:r>
      <w:r>
        <w:rPr>
          <w:rFonts w:cstheme="minorHAnsi"/>
        </w:rPr>
        <w:t>from that</w:t>
      </w:r>
      <w:r w:rsidR="00457138">
        <w:rPr>
          <w:rFonts w:cstheme="minorHAnsi"/>
        </w:rPr>
        <w:t xml:space="preserve"> </w:t>
      </w:r>
      <w:r w:rsidR="00C902C2" w:rsidRPr="005D3DCF">
        <w:rPr>
          <w:rFonts w:cstheme="minorHAnsi"/>
        </w:rPr>
        <w:t xml:space="preserve">acquired at baseline. </w:t>
      </w:r>
      <w:r w:rsidR="0079364B" w:rsidRPr="001C64E2">
        <w:rPr>
          <w:rFonts w:cstheme="minorHAnsi"/>
          <w:iCs/>
        </w:rPr>
        <w:t>S</w:t>
      </w:r>
      <w:r w:rsidR="0079364B" w:rsidRPr="001C64E2">
        <w:rPr>
          <w:rFonts w:cstheme="minorHAnsi"/>
        </w:rPr>
        <w:t xml:space="preserve">urvey questions and response options </w:t>
      </w:r>
      <w:r w:rsidR="0079364B">
        <w:rPr>
          <w:rFonts w:cstheme="minorHAnsi"/>
        </w:rPr>
        <w:t xml:space="preserve">of the baseline survey are </w:t>
      </w:r>
      <w:r w:rsidR="0079364B" w:rsidRPr="001C64E2">
        <w:rPr>
          <w:rFonts w:cstheme="minorHAnsi"/>
        </w:rPr>
        <w:t>available elsewhere.</w:t>
      </w:r>
      <w:r w:rsidR="0079364B">
        <w:rPr>
          <w:rFonts w:cstheme="minorHAnsi"/>
        </w:rPr>
        <w:t xml:space="preserve"> (1</w:t>
      </w:r>
      <w:r w:rsidR="00987DE0">
        <w:rPr>
          <w:rFonts w:cstheme="minorHAnsi"/>
        </w:rPr>
        <w:t>8</w:t>
      </w:r>
      <w:r w:rsidR="0079364B">
        <w:rPr>
          <w:rFonts w:cstheme="minorHAnsi"/>
        </w:rPr>
        <w:t>)</w:t>
      </w:r>
    </w:p>
    <w:p w14:paraId="080C85EF" w14:textId="19A0869B" w:rsidR="00E9638C" w:rsidRDefault="00E9638C" w:rsidP="007C0327">
      <w:pPr>
        <w:spacing w:after="0" w:line="360" w:lineRule="auto"/>
        <w:jc w:val="both"/>
        <w:rPr>
          <w:rFonts w:cstheme="minorHAnsi"/>
        </w:rPr>
      </w:pPr>
    </w:p>
    <w:p w14:paraId="78FCCC29" w14:textId="15313C74" w:rsidR="00E9638C" w:rsidRDefault="00E9638C" w:rsidP="007C0327">
      <w:pPr>
        <w:spacing w:after="0" w:line="360" w:lineRule="auto"/>
        <w:jc w:val="both"/>
        <w:rPr>
          <w:rFonts w:cstheme="minorHAnsi"/>
        </w:rPr>
      </w:pPr>
    </w:p>
    <w:p w14:paraId="1CE8F5D9" w14:textId="682C6113" w:rsidR="00E9638C" w:rsidRPr="00705E03" w:rsidRDefault="00E9638C" w:rsidP="007C0327">
      <w:pPr>
        <w:spacing w:after="0" w:line="360" w:lineRule="auto"/>
        <w:jc w:val="both"/>
        <w:rPr>
          <w:rFonts w:cstheme="minorHAnsi"/>
          <w:b/>
          <w:bCs/>
          <w:sz w:val="28"/>
          <w:szCs w:val="28"/>
        </w:rPr>
      </w:pPr>
      <w:r w:rsidRPr="00705E03">
        <w:rPr>
          <w:rFonts w:cstheme="minorHAnsi"/>
          <w:b/>
          <w:bCs/>
          <w:sz w:val="28"/>
          <w:szCs w:val="28"/>
        </w:rPr>
        <w:t xml:space="preserve">Outcomes </w:t>
      </w:r>
    </w:p>
    <w:p w14:paraId="6FE7C804" w14:textId="7964B800" w:rsidR="00E9638C" w:rsidRDefault="00E05937" w:rsidP="007C0327">
      <w:pPr>
        <w:spacing w:after="0" w:line="360" w:lineRule="auto"/>
        <w:jc w:val="both"/>
        <w:rPr>
          <w:rFonts w:cstheme="minorHAnsi"/>
        </w:rPr>
      </w:pPr>
      <w:r w:rsidRPr="005D3DCF">
        <w:rPr>
          <w:rFonts w:cstheme="minorHAnsi"/>
          <w:iCs/>
        </w:rPr>
        <w:t>The survey will measure</w:t>
      </w:r>
      <w:r w:rsidR="0075718A">
        <w:rPr>
          <w:rFonts w:cstheme="minorHAnsi"/>
          <w:iCs/>
        </w:rPr>
        <w:t xml:space="preserve"> self-reported</w:t>
      </w:r>
      <w:r w:rsidRPr="005D3DCF">
        <w:rPr>
          <w:rFonts w:cstheme="minorHAnsi"/>
          <w:iCs/>
        </w:rPr>
        <w:t xml:space="preserve"> t</w:t>
      </w:r>
      <w:r w:rsidR="00B467DC" w:rsidRPr="005D3DCF">
        <w:rPr>
          <w:rFonts w:cstheme="minorHAnsi"/>
          <w:iCs/>
        </w:rPr>
        <w:t xml:space="preserve">reatment burden using the 10-item </w:t>
      </w:r>
      <w:r w:rsidR="003F3431" w:rsidRPr="005D3DCF">
        <w:rPr>
          <w:rFonts w:cstheme="minorHAnsi"/>
          <w:iCs/>
        </w:rPr>
        <w:t>Multimorbidity</w:t>
      </w:r>
      <w:r w:rsidR="00B467DC" w:rsidRPr="005D3DCF">
        <w:rPr>
          <w:rFonts w:cstheme="minorHAnsi"/>
          <w:iCs/>
        </w:rPr>
        <w:t xml:space="preserve"> Treatment Burden Questionnaire (M</w:t>
      </w:r>
      <w:r w:rsidR="003F3431" w:rsidRPr="005D3DCF">
        <w:rPr>
          <w:rFonts w:cstheme="minorHAnsi"/>
          <w:iCs/>
        </w:rPr>
        <w:t xml:space="preserve">TBQ. </w:t>
      </w:r>
      <w:r w:rsidR="00A53384">
        <w:rPr>
          <w:rFonts w:cstheme="minorHAnsi"/>
          <w:iCs/>
        </w:rPr>
        <w:t>(2</w:t>
      </w:r>
      <w:r w:rsidR="00987DE0">
        <w:rPr>
          <w:rFonts w:cstheme="minorHAnsi"/>
          <w:iCs/>
        </w:rPr>
        <w:t>2</w:t>
      </w:r>
      <w:r w:rsidR="00A53384">
        <w:rPr>
          <w:rFonts w:cstheme="minorHAnsi"/>
          <w:iCs/>
        </w:rPr>
        <w:t xml:space="preserve">) </w:t>
      </w:r>
      <w:r w:rsidR="003F3431" w:rsidRPr="005D3DCF">
        <w:rPr>
          <w:rFonts w:cstheme="minorHAnsi"/>
          <w:iCs/>
        </w:rPr>
        <w:t xml:space="preserve">The MTBQ is short, simple, and easy to use and has been </w:t>
      </w:r>
      <w:r w:rsidR="003F3431" w:rsidRPr="005D3DCF">
        <w:rPr>
          <w:rFonts w:cstheme="minorHAnsi"/>
        </w:rPr>
        <w:t xml:space="preserve">validated in a multimorbid population </w:t>
      </w:r>
      <w:proofErr w:type="gramStart"/>
      <w:r w:rsidR="003F3431" w:rsidRPr="005D3DCF">
        <w:rPr>
          <w:rFonts w:cstheme="minorHAnsi"/>
        </w:rPr>
        <w:t>similar to</w:t>
      </w:r>
      <w:proofErr w:type="gramEnd"/>
      <w:r w:rsidR="003F3431" w:rsidRPr="005D3DCF">
        <w:rPr>
          <w:rFonts w:cstheme="minorHAnsi"/>
        </w:rPr>
        <w:t xml:space="preserve"> that in the current study</w:t>
      </w:r>
      <w:r w:rsidR="003F3431" w:rsidRPr="005D3DCF">
        <w:rPr>
          <w:rFonts w:cstheme="minorHAnsi"/>
          <w:iCs/>
        </w:rPr>
        <w:t>.</w:t>
      </w:r>
      <w:r w:rsidR="002D1DCB">
        <w:rPr>
          <w:rFonts w:cstheme="minorHAnsi"/>
          <w:iCs/>
        </w:rPr>
        <w:t xml:space="preserve"> It has demonstrated good validity, </w:t>
      </w:r>
      <w:proofErr w:type="gramStart"/>
      <w:r w:rsidR="002D1DCB">
        <w:rPr>
          <w:rFonts w:cstheme="minorHAnsi"/>
          <w:iCs/>
        </w:rPr>
        <w:t>reliability</w:t>
      </w:r>
      <w:proofErr w:type="gramEnd"/>
      <w:r w:rsidR="002D1DCB">
        <w:rPr>
          <w:rFonts w:cstheme="minorHAnsi"/>
          <w:iCs/>
        </w:rPr>
        <w:t xml:space="preserve"> and responsiveness.</w:t>
      </w:r>
      <w:r w:rsidR="003F3431" w:rsidRPr="005D3DCF">
        <w:rPr>
          <w:rFonts w:cstheme="minorHAnsi"/>
          <w:iCs/>
        </w:rPr>
        <w:t xml:space="preserve"> </w:t>
      </w:r>
      <w:r w:rsidR="002D1DCB">
        <w:rPr>
          <w:rFonts w:cstheme="minorHAnsi"/>
          <w:iCs/>
        </w:rPr>
        <w:t xml:space="preserve">Scores for each MTBQ item range from 0 (not difficult/does not apply) to 4 (extremely difficult). The average score is multiplied by 25 to yield a score ranging from 0 to 100 and then categorised to non (global score of 0), low (&gt;0 and &lt;10), medium (≥10 and &lt;22), or high (≥22). </w:t>
      </w:r>
      <w:r w:rsidRPr="005D3DCF">
        <w:rPr>
          <w:rFonts w:cstheme="minorHAnsi"/>
        </w:rPr>
        <w:t xml:space="preserve">A </w:t>
      </w:r>
      <w:r w:rsidR="00C902C2" w:rsidRPr="005D3DCF">
        <w:rPr>
          <w:rFonts w:cstheme="minorHAnsi"/>
        </w:rPr>
        <w:t xml:space="preserve">novel </w:t>
      </w:r>
      <w:r w:rsidRPr="005D3DCF">
        <w:rPr>
          <w:rFonts w:cstheme="minorHAnsi"/>
        </w:rPr>
        <w:t>single</w:t>
      </w:r>
      <w:r w:rsidR="004C0EB2">
        <w:rPr>
          <w:rFonts w:cstheme="minorHAnsi"/>
        </w:rPr>
        <w:t>-</w:t>
      </w:r>
      <w:r w:rsidRPr="005D3DCF">
        <w:rPr>
          <w:rFonts w:cstheme="minorHAnsi"/>
        </w:rPr>
        <w:t>item</w:t>
      </w:r>
      <w:r w:rsidR="00F62BEF">
        <w:rPr>
          <w:rFonts w:cstheme="minorHAnsi"/>
        </w:rPr>
        <w:t xml:space="preserve"> screening tool</w:t>
      </w:r>
      <w:r w:rsidR="00E267DC">
        <w:rPr>
          <w:rFonts w:cstheme="minorHAnsi"/>
        </w:rPr>
        <w:t xml:space="preserve"> </w:t>
      </w:r>
      <w:r w:rsidR="00F62BEF">
        <w:rPr>
          <w:rFonts w:cstheme="minorHAnsi"/>
        </w:rPr>
        <w:t>for</w:t>
      </w:r>
      <w:r w:rsidRPr="005D3DCF">
        <w:rPr>
          <w:rFonts w:cstheme="minorHAnsi"/>
        </w:rPr>
        <w:t xml:space="preserve"> treatment burden </w:t>
      </w:r>
      <w:r w:rsidR="00067F53">
        <w:rPr>
          <w:rFonts w:cstheme="minorHAnsi"/>
        </w:rPr>
        <w:t xml:space="preserve">that was developed together with our public contributors </w:t>
      </w:r>
      <w:r w:rsidRPr="005D3DCF">
        <w:rPr>
          <w:rFonts w:cstheme="minorHAnsi"/>
        </w:rPr>
        <w:t>will also</w:t>
      </w:r>
      <w:r w:rsidR="00067F53">
        <w:rPr>
          <w:rFonts w:cstheme="minorHAnsi"/>
        </w:rPr>
        <w:t xml:space="preserve"> be</w:t>
      </w:r>
      <w:r w:rsidRPr="005D3DCF">
        <w:rPr>
          <w:rFonts w:cstheme="minorHAnsi"/>
        </w:rPr>
        <w:t xml:space="preserve"> included in the survey</w:t>
      </w:r>
      <w:r w:rsidR="004C0EB2">
        <w:rPr>
          <w:rFonts w:cstheme="minorHAnsi"/>
        </w:rPr>
        <w:t xml:space="preserve">, </w:t>
      </w:r>
      <w:r w:rsidR="00F40ABF">
        <w:rPr>
          <w:rFonts w:cstheme="minorHAnsi"/>
        </w:rPr>
        <w:t xml:space="preserve">in place of the original </w:t>
      </w:r>
      <w:r w:rsidR="004C0EB2">
        <w:rPr>
          <w:rFonts w:cstheme="minorHAnsi"/>
        </w:rPr>
        <w:t>exploratory single-item measure included in the baseline survey</w:t>
      </w:r>
      <w:r w:rsidRPr="005D3DCF">
        <w:rPr>
          <w:rFonts w:cstheme="minorHAnsi"/>
        </w:rPr>
        <w:t>.</w:t>
      </w:r>
      <w:r w:rsidR="0025578F">
        <w:rPr>
          <w:rFonts w:cstheme="minorHAnsi"/>
        </w:rPr>
        <w:t xml:space="preserve"> This novel single-item tool asked: “Have you felt overstretched by everything you’ve had to do to manage your health in the last month (</w:t>
      </w:r>
      <w:r w:rsidR="00964C48">
        <w:rPr>
          <w:rFonts w:cstheme="minorHAnsi"/>
        </w:rPr>
        <w:t>e.g.,</w:t>
      </w:r>
      <w:r w:rsidR="0025578F">
        <w:rPr>
          <w:rFonts w:cstheme="minorHAnsi"/>
        </w:rPr>
        <w:t xml:space="preserve"> taking medicines, getting prescriptions, attending appointments)?” to which participants could respond ‘yes’ or ‘no’.</w:t>
      </w:r>
      <w:r w:rsidRPr="005D3DCF">
        <w:rPr>
          <w:rFonts w:cstheme="minorHAnsi"/>
        </w:rPr>
        <w:t xml:space="preserve"> </w:t>
      </w:r>
    </w:p>
    <w:p w14:paraId="25EF6D1C" w14:textId="77777777" w:rsidR="00E9638C" w:rsidRDefault="00E9638C" w:rsidP="007C0327">
      <w:pPr>
        <w:spacing w:after="0" w:line="360" w:lineRule="auto"/>
        <w:jc w:val="both"/>
        <w:rPr>
          <w:rFonts w:cstheme="minorHAnsi"/>
        </w:rPr>
      </w:pPr>
    </w:p>
    <w:p w14:paraId="54FB329A" w14:textId="72570F5D" w:rsidR="00E9638C" w:rsidRPr="00705E03" w:rsidRDefault="00E9638C" w:rsidP="007C0327">
      <w:pPr>
        <w:spacing w:after="0" w:line="360" w:lineRule="auto"/>
        <w:jc w:val="both"/>
        <w:rPr>
          <w:rFonts w:cstheme="minorHAnsi"/>
          <w:b/>
          <w:bCs/>
          <w:sz w:val="28"/>
          <w:szCs w:val="28"/>
        </w:rPr>
      </w:pPr>
      <w:r w:rsidRPr="00705E03">
        <w:rPr>
          <w:rFonts w:cstheme="minorHAnsi"/>
          <w:b/>
          <w:bCs/>
          <w:sz w:val="28"/>
          <w:szCs w:val="28"/>
        </w:rPr>
        <w:t>Exposures</w:t>
      </w:r>
    </w:p>
    <w:p w14:paraId="557CE50E" w14:textId="7291C3B9" w:rsidR="00B467DC" w:rsidRDefault="0079364B" w:rsidP="007C0327">
      <w:pPr>
        <w:spacing w:after="0" w:line="360" w:lineRule="auto"/>
        <w:jc w:val="both"/>
        <w:rPr>
          <w:rFonts w:cstheme="minorHAnsi"/>
        </w:rPr>
      </w:pPr>
      <w:r>
        <w:rPr>
          <w:rFonts w:cstheme="minorHAnsi"/>
          <w:iCs/>
        </w:rPr>
        <w:t>P</w:t>
      </w:r>
      <w:r w:rsidR="00EB7D3B" w:rsidRPr="005D3DCF">
        <w:rPr>
          <w:rFonts w:cstheme="minorHAnsi"/>
          <w:iCs/>
        </w:rPr>
        <w:t xml:space="preserve">rescribed regular medication, </w:t>
      </w:r>
      <w:r w:rsidR="00E9638C">
        <w:rPr>
          <w:rFonts w:cstheme="minorHAnsi"/>
          <w:iCs/>
        </w:rPr>
        <w:t>number of (and specific)</w:t>
      </w:r>
      <w:r w:rsidR="00EB7D3B" w:rsidRPr="005D3DCF">
        <w:rPr>
          <w:rFonts w:cstheme="minorHAnsi"/>
          <w:iCs/>
        </w:rPr>
        <w:t xml:space="preserve"> </w:t>
      </w:r>
      <w:r w:rsidR="0063116E">
        <w:rPr>
          <w:rFonts w:cstheme="minorHAnsi"/>
          <w:iCs/>
        </w:rPr>
        <w:t>LTC</w:t>
      </w:r>
      <w:r w:rsidR="00EB7D3B" w:rsidRPr="005D3DCF">
        <w:rPr>
          <w:rFonts w:cstheme="minorHAnsi"/>
          <w:iCs/>
        </w:rPr>
        <w:t>s</w:t>
      </w:r>
      <w:r w:rsidR="00E9638C">
        <w:rPr>
          <w:rFonts w:cstheme="minorHAnsi"/>
          <w:iCs/>
        </w:rPr>
        <w:t xml:space="preserve"> based on survey inclusion criteria</w:t>
      </w:r>
      <w:r w:rsidR="00EB7D3B" w:rsidRPr="005D3DCF">
        <w:rPr>
          <w:rFonts w:cstheme="minorHAnsi"/>
          <w:iCs/>
        </w:rPr>
        <w:t>, travel for healthcare, recent healthcare resource use, and health status/quality of life</w:t>
      </w:r>
      <w:r w:rsidR="00457138">
        <w:rPr>
          <w:rFonts w:cstheme="minorHAnsi"/>
          <w:iCs/>
        </w:rPr>
        <w:t xml:space="preserve"> (measured using the Short form-12 Health Survey (SF-12))</w:t>
      </w:r>
      <w:r w:rsidR="00EB7D3B" w:rsidRPr="005D3DCF">
        <w:rPr>
          <w:rFonts w:cstheme="minorHAnsi"/>
          <w:iCs/>
        </w:rPr>
        <w:t xml:space="preserve"> will also be collected. </w:t>
      </w:r>
    </w:p>
    <w:p w14:paraId="575AB151" w14:textId="4D516683" w:rsidR="00E9638C" w:rsidRDefault="00E9638C" w:rsidP="007C0327">
      <w:pPr>
        <w:spacing w:after="0" w:line="360" w:lineRule="auto"/>
        <w:jc w:val="both"/>
        <w:rPr>
          <w:rFonts w:cstheme="minorHAnsi"/>
        </w:rPr>
      </w:pPr>
    </w:p>
    <w:p w14:paraId="397CF79F" w14:textId="77777777" w:rsidR="00F02667" w:rsidRDefault="00E9638C" w:rsidP="00F02667">
      <w:pPr>
        <w:spacing w:after="0" w:line="360" w:lineRule="auto"/>
        <w:jc w:val="both"/>
        <w:rPr>
          <w:rFonts w:cstheme="minorHAnsi"/>
          <w:b/>
          <w:bCs/>
          <w:sz w:val="28"/>
          <w:szCs w:val="28"/>
        </w:rPr>
      </w:pPr>
      <w:r w:rsidRPr="00705E03">
        <w:rPr>
          <w:rFonts w:cstheme="minorHAnsi"/>
          <w:b/>
          <w:bCs/>
          <w:sz w:val="28"/>
          <w:szCs w:val="28"/>
        </w:rPr>
        <w:t>Potential confounders</w:t>
      </w:r>
    </w:p>
    <w:p w14:paraId="10AE0FA8" w14:textId="6454F793" w:rsidR="00F02667" w:rsidRDefault="00E9638C" w:rsidP="00F02667">
      <w:pPr>
        <w:spacing w:after="0" w:line="360" w:lineRule="auto"/>
        <w:jc w:val="both"/>
        <w:rPr>
          <w:rFonts w:cstheme="minorHAnsi"/>
          <w:iCs/>
        </w:rPr>
      </w:pPr>
      <w:r w:rsidRPr="005D3DCF">
        <w:rPr>
          <w:rFonts w:cstheme="minorHAnsi"/>
          <w:iCs/>
        </w:rPr>
        <w:t>Sociodemographic</w:t>
      </w:r>
      <w:r w:rsidR="00F02667">
        <w:rPr>
          <w:rFonts w:cstheme="minorHAnsi"/>
          <w:iCs/>
        </w:rPr>
        <w:t xml:space="preserve"> </w:t>
      </w:r>
      <w:r w:rsidRPr="005D3DCF">
        <w:rPr>
          <w:rFonts w:cstheme="minorHAnsi"/>
          <w:iCs/>
        </w:rPr>
        <w:t>information including age</w:t>
      </w:r>
      <w:r w:rsidR="00F02667">
        <w:rPr>
          <w:rFonts w:cstheme="minorHAnsi"/>
          <w:iCs/>
        </w:rPr>
        <w:t xml:space="preserve"> (as a continuous variable)</w:t>
      </w:r>
      <w:r w:rsidRPr="005D3DCF">
        <w:rPr>
          <w:rFonts w:cstheme="minorHAnsi"/>
          <w:iCs/>
        </w:rPr>
        <w:t>, sex</w:t>
      </w:r>
      <w:r w:rsidR="00F02667">
        <w:rPr>
          <w:rFonts w:cstheme="minorHAnsi"/>
          <w:iCs/>
        </w:rPr>
        <w:t xml:space="preserve"> (male/female)</w:t>
      </w:r>
      <w:r w:rsidRPr="005D3DCF">
        <w:rPr>
          <w:rFonts w:cstheme="minorHAnsi"/>
          <w:iCs/>
        </w:rPr>
        <w:t xml:space="preserve">, </w:t>
      </w:r>
      <w:r w:rsidR="00F02667">
        <w:rPr>
          <w:rFonts w:cstheme="minorHAnsi"/>
          <w:iCs/>
        </w:rPr>
        <w:t>marital status (married or in a civil partnership, single (never married or in a civil partnership), divorced or dissolved civil partnership, widowed) were collected in the survey.</w:t>
      </w:r>
    </w:p>
    <w:p w14:paraId="2AAAAE01" w14:textId="70E21502" w:rsidR="00F02667" w:rsidRDefault="00F02667" w:rsidP="00F02667">
      <w:pPr>
        <w:spacing w:after="0" w:line="360" w:lineRule="auto"/>
        <w:jc w:val="both"/>
        <w:rPr>
          <w:rFonts w:cstheme="minorHAnsi"/>
          <w:iCs/>
        </w:rPr>
      </w:pPr>
    </w:p>
    <w:p w14:paraId="2C4CD3DB" w14:textId="7A57B730" w:rsidR="00F02667" w:rsidRPr="00705E03" w:rsidRDefault="00F02667" w:rsidP="00F02667">
      <w:pPr>
        <w:spacing w:after="0" w:line="360" w:lineRule="auto"/>
        <w:jc w:val="both"/>
        <w:rPr>
          <w:rFonts w:cstheme="minorHAnsi"/>
          <w:b/>
          <w:bCs/>
          <w:iCs/>
          <w:sz w:val="28"/>
          <w:szCs w:val="28"/>
        </w:rPr>
      </w:pPr>
      <w:r w:rsidRPr="00705E03">
        <w:rPr>
          <w:rFonts w:cstheme="minorHAnsi"/>
          <w:b/>
          <w:bCs/>
          <w:iCs/>
          <w:sz w:val="28"/>
          <w:szCs w:val="28"/>
        </w:rPr>
        <w:lastRenderedPageBreak/>
        <w:t>Potential effect modifiers</w:t>
      </w:r>
    </w:p>
    <w:p w14:paraId="337408B0" w14:textId="68AA9D41" w:rsidR="00E9638C" w:rsidRPr="00705E03" w:rsidRDefault="00F02667" w:rsidP="007C0327">
      <w:pPr>
        <w:spacing w:after="0" w:line="360" w:lineRule="auto"/>
        <w:jc w:val="both"/>
        <w:rPr>
          <w:rFonts w:cstheme="minorHAnsi"/>
          <w:b/>
          <w:bCs/>
          <w:sz w:val="28"/>
          <w:szCs w:val="28"/>
        </w:rPr>
      </w:pPr>
      <w:r>
        <w:rPr>
          <w:rFonts w:cstheme="minorHAnsi"/>
          <w:iCs/>
        </w:rPr>
        <w:t>L</w:t>
      </w:r>
      <w:r w:rsidR="00E9638C">
        <w:rPr>
          <w:rFonts w:cstheme="minorHAnsi"/>
          <w:iCs/>
        </w:rPr>
        <w:t xml:space="preserve">evel of </w:t>
      </w:r>
      <w:r w:rsidR="00E9638C" w:rsidRPr="005D3DCF">
        <w:rPr>
          <w:rFonts w:cstheme="minorHAnsi"/>
          <w:iCs/>
        </w:rPr>
        <w:t>education</w:t>
      </w:r>
      <w:r w:rsidR="00E9638C">
        <w:rPr>
          <w:rFonts w:cstheme="minorHAnsi"/>
          <w:iCs/>
        </w:rPr>
        <w:t xml:space="preserve"> (not asked at baseline</w:t>
      </w:r>
      <w:r>
        <w:rPr>
          <w:rFonts w:cstheme="minorHAnsi"/>
          <w:iCs/>
        </w:rPr>
        <w:t xml:space="preserve">) based on the following categories: </w:t>
      </w:r>
      <w:r>
        <w:rPr>
          <w:rFonts w:eastAsia="Times New Roman"/>
          <w:sz w:val="23"/>
          <w:szCs w:val="23"/>
        </w:rPr>
        <w:t xml:space="preserve">NVQ4/NVQ5/Degree or equivalent, </w:t>
      </w:r>
      <w:r>
        <w:rPr>
          <w:rFonts w:eastAsia="Times New Roman"/>
        </w:rPr>
        <w:t xml:space="preserve">NVQ3/GCE A Level equivalent/4 NVQ2/GCE O Level equivalent/5NVQ1/CSE other grade equivalent, or no qualification; </w:t>
      </w:r>
      <w:r w:rsidR="00E9638C" w:rsidRPr="005D3DCF">
        <w:rPr>
          <w:rFonts w:cstheme="minorHAnsi"/>
          <w:iCs/>
        </w:rPr>
        <w:t>home ownership</w:t>
      </w:r>
      <w:r>
        <w:rPr>
          <w:rFonts w:cstheme="minorHAnsi"/>
          <w:iCs/>
        </w:rPr>
        <w:t xml:space="preserve"> (home owner/non-home owner)</w:t>
      </w:r>
      <w:r w:rsidR="0079364B">
        <w:rPr>
          <w:rFonts w:cstheme="minorHAnsi"/>
          <w:iCs/>
        </w:rPr>
        <w:t xml:space="preserve">; </w:t>
      </w:r>
      <w:r w:rsidR="0079364B" w:rsidRPr="005D3DCF">
        <w:rPr>
          <w:rFonts w:cstheme="minorHAnsi"/>
          <w:iCs/>
        </w:rPr>
        <w:t xml:space="preserve">capacity to manage health </w:t>
      </w:r>
      <w:r w:rsidR="0079364B">
        <w:rPr>
          <w:rFonts w:cstheme="minorHAnsi"/>
          <w:iCs/>
        </w:rPr>
        <w:t xml:space="preserve">such as </w:t>
      </w:r>
      <w:r w:rsidR="0079364B" w:rsidRPr="005D3DCF">
        <w:rPr>
          <w:rFonts w:cstheme="minorHAnsi"/>
          <w:iCs/>
        </w:rPr>
        <w:t xml:space="preserve"> financial resources </w:t>
      </w:r>
      <w:r w:rsidR="0079364B">
        <w:rPr>
          <w:rFonts w:cstheme="minorHAnsi"/>
          <w:iCs/>
        </w:rPr>
        <w:t>[p</w:t>
      </w:r>
      <w:r w:rsidR="0079364B">
        <w:t xml:space="preserve">erceived level of difficulty in meeting financial costs of healthcare (on a 5-point Likert scale from ‘no’ to ‘extreme’ difficulty)] </w:t>
      </w:r>
      <w:r w:rsidR="0079364B" w:rsidRPr="005D3DCF">
        <w:rPr>
          <w:rFonts w:cstheme="minorHAnsi"/>
          <w:iCs/>
        </w:rPr>
        <w:t>and health literacy</w:t>
      </w:r>
      <w:r w:rsidR="0079364B">
        <w:rPr>
          <w:rFonts w:cstheme="minorHAnsi"/>
          <w:iCs/>
        </w:rPr>
        <w:t xml:space="preserve"> [assessed using </w:t>
      </w:r>
      <w:r w:rsidR="0079364B">
        <w:t>the Single Item Literacy Screener (SILS) which measures perceived frequency of needing help to read health-related written material (on a 5-point Likert scale, where ‘sometimes’, ‘often’ and ‘always’ indicate limited health literacy</w:t>
      </w:r>
      <w:r w:rsidR="0079364B">
        <w:rPr>
          <w:rFonts w:cstheme="minorHAnsi"/>
          <w:iCs/>
        </w:rPr>
        <w:t xml:space="preserve"> ]</w:t>
      </w:r>
      <w:r>
        <w:rPr>
          <w:rFonts w:cstheme="minorHAnsi"/>
          <w:iCs/>
        </w:rPr>
        <w:t xml:space="preserve"> were also asked in the survey as they may be expected to modify the </w:t>
      </w:r>
      <w:r w:rsidR="0079364B">
        <w:rPr>
          <w:rFonts w:cstheme="minorHAnsi"/>
          <w:iCs/>
        </w:rPr>
        <w:t xml:space="preserve">relationship between exposures and treatment burden. </w:t>
      </w:r>
    </w:p>
    <w:p w14:paraId="016EFFE7" w14:textId="77777777" w:rsidR="007C0327" w:rsidRPr="005D3DCF" w:rsidRDefault="007C0327" w:rsidP="007C0327">
      <w:pPr>
        <w:spacing w:after="0" w:line="360" w:lineRule="auto"/>
        <w:jc w:val="both"/>
        <w:rPr>
          <w:rFonts w:cstheme="minorHAnsi"/>
          <w:iCs/>
        </w:rPr>
      </w:pPr>
    </w:p>
    <w:p w14:paraId="631F4EB2" w14:textId="1A5BED81" w:rsidR="00F1032D" w:rsidRPr="00705E03" w:rsidRDefault="007F54F5" w:rsidP="007C0327">
      <w:pPr>
        <w:spacing w:after="0" w:line="360" w:lineRule="auto"/>
        <w:jc w:val="both"/>
        <w:rPr>
          <w:rFonts w:cstheme="minorHAnsi"/>
          <w:b/>
          <w:bCs/>
          <w:iCs/>
          <w:sz w:val="32"/>
          <w:szCs w:val="32"/>
        </w:rPr>
      </w:pPr>
      <w:r w:rsidRPr="00705E03">
        <w:rPr>
          <w:rFonts w:cstheme="minorHAnsi"/>
          <w:b/>
          <w:bCs/>
          <w:iCs/>
          <w:sz w:val="32"/>
          <w:szCs w:val="32"/>
        </w:rPr>
        <w:t>D</w:t>
      </w:r>
      <w:r w:rsidR="00F1032D" w:rsidRPr="00705E03">
        <w:rPr>
          <w:rFonts w:cstheme="minorHAnsi"/>
          <w:b/>
          <w:bCs/>
          <w:iCs/>
          <w:sz w:val="32"/>
          <w:szCs w:val="32"/>
        </w:rPr>
        <w:t xml:space="preserve">ata </w:t>
      </w:r>
      <w:r w:rsidR="000B1009" w:rsidRPr="00705E03">
        <w:rPr>
          <w:rFonts w:cstheme="minorHAnsi"/>
          <w:b/>
          <w:bCs/>
          <w:iCs/>
          <w:sz w:val="32"/>
          <w:szCs w:val="32"/>
        </w:rPr>
        <w:t xml:space="preserve">extraction </w:t>
      </w:r>
      <w:r w:rsidR="00F1032D" w:rsidRPr="00705E03">
        <w:rPr>
          <w:rFonts w:cstheme="minorHAnsi"/>
          <w:b/>
          <w:bCs/>
          <w:iCs/>
          <w:sz w:val="32"/>
          <w:szCs w:val="32"/>
        </w:rPr>
        <w:t>from primary care records</w:t>
      </w:r>
    </w:p>
    <w:p w14:paraId="53B32443" w14:textId="77777777" w:rsidR="007C0327" w:rsidRPr="005D3DCF" w:rsidRDefault="007C0327" w:rsidP="007C0327">
      <w:pPr>
        <w:spacing w:after="0" w:line="360" w:lineRule="auto"/>
        <w:jc w:val="both"/>
        <w:rPr>
          <w:rFonts w:cstheme="minorHAnsi"/>
          <w:i/>
        </w:rPr>
      </w:pPr>
    </w:p>
    <w:p w14:paraId="6BA8DF4A" w14:textId="782D28BF" w:rsidR="005848C6" w:rsidRDefault="007F54F5" w:rsidP="007C0327">
      <w:pPr>
        <w:spacing w:after="0" w:line="360" w:lineRule="auto"/>
        <w:jc w:val="both"/>
        <w:rPr>
          <w:rFonts w:cstheme="minorHAnsi"/>
        </w:rPr>
      </w:pPr>
      <w:r>
        <w:rPr>
          <w:rFonts w:cstheme="minorHAnsi"/>
        </w:rPr>
        <w:t>D</w:t>
      </w:r>
      <w:r w:rsidR="00F1032D" w:rsidRPr="005D3DCF">
        <w:rPr>
          <w:rFonts w:cstheme="minorHAnsi"/>
        </w:rPr>
        <w:t xml:space="preserve">ata </w:t>
      </w:r>
      <w:r w:rsidR="00506D63">
        <w:rPr>
          <w:rFonts w:cstheme="minorHAnsi"/>
        </w:rPr>
        <w:t xml:space="preserve">from primary care records </w:t>
      </w:r>
      <w:r w:rsidR="00F1032D" w:rsidRPr="005D3DCF">
        <w:rPr>
          <w:rFonts w:cstheme="minorHAnsi"/>
        </w:rPr>
        <w:t>will be extracted for respondents who consent to data from their GP record being shared with the research team. Extracted data will include: demographic details (</w:t>
      </w:r>
      <w:r w:rsidR="00EE0D66">
        <w:rPr>
          <w:rFonts w:cstheme="minorHAnsi"/>
        </w:rPr>
        <w:t xml:space="preserve"> current </w:t>
      </w:r>
      <w:r w:rsidR="00F1032D" w:rsidRPr="005D3DCF">
        <w:rPr>
          <w:rFonts w:cstheme="minorHAnsi"/>
        </w:rPr>
        <w:t>age, sex, full postcode)</w:t>
      </w:r>
      <w:r w:rsidR="0079364B">
        <w:rPr>
          <w:rFonts w:cstheme="minorHAnsi"/>
        </w:rPr>
        <w:t xml:space="preserve"> as recorded in primary care records</w:t>
      </w:r>
      <w:r w:rsidR="00F1032D" w:rsidRPr="005D3DCF">
        <w:rPr>
          <w:rFonts w:cstheme="minorHAnsi"/>
        </w:rPr>
        <w:t>, frailty score (electronic Frailty Index and/or Rockwood score where available), main diagnosed health conditions</w:t>
      </w:r>
      <w:r w:rsidR="00EE0D66">
        <w:rPr>
          <w:rFonts w:cstheme="minorHAnsi"/>
        </w:rPr>
        <w:t xml:space="preserve"> as defined by Read codes</w:t>
      </w:r>
      <w:r w:rsidR="00F1032D" w:rsidRPr="005D3DCF">
        <w:rPr>
          <w:rFonts w:cstheme="minorHAnsi"/>
        </w:rPr>
        <w:t>, medications on repeat prescription (including details of dose, frequency, and route of administration), recent healthcare usage data (including number of GP practice appointments by type -surgery appointment, telephone consultation, home visit- and role (GP</w:t>
      </w:r>
      <w:r w:rsidR="00051408">
        <w:rPr>
          <w:rFonts w:cstheme="minorHAnsi"/>
        </w:rPr>
        <w:t xml:space="preserve">, </w:t>
      </w:r>
      <w:r w:rsidR="00F1032D" w:rsidRPr="005D3DCF">
        <w:rPr>
          <w:rFonts w:cstheme="minorHAnsi"/>
        </w:rPr>
        <w:t>practice nurse</w:t>
      </w:r>
      <w:r w:rsidR="00051408">
        <w:rPr>
          <w:rFonts w:cstheme="minorHAnsi"/>
        </w:rPr>
        <w:t>, or other team member</w:t>
      </w:r>
      <w:r w:rsidR="00F1032D" w:rsidRPr="005D3DCF">
        <w:rPr>
          <w:rFonts w:cstheme="minorHAnsi"/>
        </w:rPr>
        <w:t>), number of outpatient appointments</w:t>
      </w:r>
      <w:r w:rsidR="00506D63">
        <w:rPr>
          <w:rFonts w:cstheme="minorHAnsi"/>
        </w:rPr>
        <w:t>/referrals to secondary care</w:t>
      </w:r>
      <w:r w:rsidR="00F1032D" w:rsidRPr="005D3DCF">
        <w:rPr>
          <w:rFonts w:cstheme="minorHAnsi"/>
        </w:rPr>
        <w:t xml:space="preserve">, </w:t>
      </w:r>
      <w:r w:rsidR="00506D63">
        <w:rPr>
          <w:rFonts w:cstheme="minorHAnsi"/>
        </w:rPr>
        <w:t xml:space="preserve">accident and emergency attendance (if available) </w:t>
      </w:r>
      <w:r w:rsidR="00F1032D" w:rsidRPr="005D3DCF">
        <w:rPr>
          <w:rFonts w:cstheme="minorHAnsi"/>
        </w:rPr>
        <w:t>and hospital admission data (a count of discharge summaries)</w:t>
      </w:r>
      <w:r w:rsidR="00EE0D66">
        <w:rPr>
          <w:rFonts w:cstheme="minorHAnsi"/>
        </w:rPr>
        <w:t>, as available in the primary care record</w:t>
      </w:r>
      <w:r w:rsidR="00F1032D" w:rsidRPr="005D3DCF">
        <w:rPr>
          <w:rFonts w:cstheme="minorHAnsi"/>
        </w:rPr>
        <w:t xml:space="preserve">. </w:t>
      </w:r>
      <w:r w:rsidR="00F62BEF">
        <w:t xml:space="preserve">We will discuss with colleagues in the CCG about the potential for enhancing </w:t>
      </w:r>
      <w:r w:rsidR="00B877D8">
        <w:t>primary care</w:t>
      </w:r>
      <w:r w:rsidR="00F62BEF">
        <w:t xml:space="preserve"> data with data from secondary care.</w:t>
      </w:r>
      <w:r w:rsidR="00F62BEF" w:rsidRPr="005D3DCF">
        <w:rPr>
          <w:rFonts w:cstheme="minorHAnsi"/>
        </w:rPr>
        <w:t xml:space="preserve"> </w:t>
      </w:r>
      <w:r w:rsidR="00F1032D" w:rsidRPr="005D3DCF">
        <w:rPr>
          <w:rFonts w:cstheme="minorHAnsi"/>
        </w:rPr>
        <w:t xml:space="preserve">These variables have been selected as they may be expected to be associated with high treatment burden. </w:t>
      </w:r>
    </w:p>
    <w:p w14:paraId="778132C0" w14:textId="4079A373" w:rsidR="00D13BFC" w:rsidRDefault="00D13BFC" w:rsidP="007C0327">
      <w:pPr>
        <w:spacing w:after="0" w:line="360" w:lineRule="auto"/>
        <w:jc w:val="both"/>
        <w:rPr>
          <w:rFonts w:cstheme="minorHAnsi"/>
        </w:rPr>
      </w:pPr>
    </w:p>
    <w:p w14:paraId="09D43627" w14:textId="77777777" w:rsidR="00D13BFC" w:rsidRPr="00416812" w:rsidRDefault="00D13BFC" w:rsidP="00D13BFC">
      <w:pPr>
        <w:spacing w:after="0" w:line="360" w:lineRule="auto"/>
        <w:rPr>
          <w:rFonts w:cstheme="minorHAnsi"/>
          <w:b/>
          <w:bCs/>
          <w:sz w:val="28"/>
          <w:szCs w:val="28"/>
        </w:rPr>
      </w:pPr>
      <w:r w:rsidRPr="00416812">
        <w:rPr>
          <w:rFonts w:cstheme="minorHAnsi"/>
          <w:b/>
          <w:bCs/>
          <w:sz w:val="28"/>
          <w:szCs w:val="28"/>
        </w:rPr>
        <w:t>Minimising potential bias</w:t>
      </w:r>
    </w:p>
    <w:p w14:paraId="2D2E1F01" w14:textId="25804E20" w:rsidR="00D13BFC" w:rsidRPr="00997E9A" w:rsidRDefault="00D13BFC" w:rsidP="00D13BFC">
      <w:pPr>
        <w:spacing w:after="0" w:line="360" w:lineRule="auto"/>
        <w:rPr>
          <w:rFonts w:cstheme="minorHAnsi"/>
          <w:sz w:val="18"/>
          <w:szCs w:val="18"/>
        </w:rPr>
      </w:pPr>
      <w:r w:rsidRPr="00997E9A">
        <w:t>To reduce selection bias, we invited all patients who took part in the baseline survey and consented to receiving a follow-up survey to take part in the current study. This sample includes participants from a range of practices (urban vs rural) socioeconomic background, geographical location. Furthermore, all participants will be treated the same way (</w:t>
      </w:r>
      <w:r w:rsidR="00997E9A" w:rsidRPr="00997E9A">
        <w:t>i.e.,</w:t>
      </w:r>
      <w:r w:rsidRPr="00997E9A">
        <w:t xml:space="preserve"> they will receive the same survey asking same questions/measures and be asked to be returned the survey in same way). The same algorithm will also be used across all practices to extract routine data </w:t>
      </w:r>
      <w:proofErr w:type="gramStart"/>
      <w:r w:rsidRPr="00997E9A">
        <w:t>in order to</w:t>
      </w:r>
      <w:proofErr w:type="gramEnd"/>
      <w:r w:rsidRPr="00997E9A">
        <w:t xml:space="preserve"> reduce measurement bias.</w:t>
      </w:r>
    </w:p>
    <w:p w14:paraId="2E73531B" w14:textId="77777777" w:rsidR="007C0327" w:rsidRPr="005D3DCF" w:rsidRDefault="007C0327" w:rsidP="007C0327">
      <w:pPr>
        <w:spacing w:after="0" w:line="360" w:lineRule="auto"/>
        <w:jc w:val="both"/>
        <w:rPr>
          <w:rFonts w:cstheme="minorHAnsi"/>
          <w:i/>
        </w:rPr>
      </w:pPr>
    </w:p>
    <w:p w14:paraId="49547762" w14:textId="1948005D" w:rsidR="00170A3F" w:rsidRPr="00705E03" w:rsidRDefault="00481F04" w:rsidP="007C0327">
      <w:pPr>
        <w:spacing w:after="0" w:line="360" w:lineRule="auto"/>
        <w:jc w:val="both"/>
        <w:rPr>
          <w:rFonts w:cstheme="minorHAnsi"/>
          <w:b/>
          <w:bCs/>
          <w:iCs/>
          <w:sz w:val="32"/>
          <w:szCs w:val="32"/>
        </w:rPr>
      </w:pPr>
      <w:r w:rsidRPr="00705E03">
        <w:rPr>
          <w:rFonts w:cstheme="minorHAnsi"/>
          <w:b/>
          <w:bCs/>
          <w:iCs/>
          <w:sz w:val="32"/>
          <w:szCs w:val="32"/>
        </w:rPr>
        <w:t>Sample size</w:t>
      </w:r>
    </w:p>
    <w:p w14:paraId="7A42A32F" w14:textId="77777777" w:rsidR="007C0327" w:rsidRPr="005D3DCF" w:rsidRDefault="007C0327" w:rsidP="007C0327">
      <w:pPr>
        <w:spacing w:after="0" w:line="360" w:lineRule="auto"/>
        <w:jc w:val="both"/>
        <w:rPr>
          <w:rFonts w:cstheme="minorHAnsi"/>
          <w:i/>
        </w:rPr>
      </w:pPr>
    </w:p>
    <w:p w14:paraId="7AE3030E" w14:textId="067BF353" w:rsidR="00481F04" w:rsidRDefault="00481F04" w:rsidP="007C0327">
      <w:pPr>
        <w:spacing w:after="0" w:line="360" w:lineRule="auto"/>
        <w:rPr>
          <w:rFonts w:cstheme="minorHAnsi"/>
        </w:rPr>
      </w:pPr>
      <w:r w:rsidRPr="005D3DCF">
        <w:rPr>
          <w:rFonts w:cstheme="minorHAnsi"/>
        </w:rPr>
        <w:t>The pool of participants is limited to the 723 individuals who consent</w:t>
      </w:r>
      <w:r w:rsidR="00E2276B">
        <w:rPr>
          <w:rFonts w:cstheme="minorHAnsi"/>
        </w:rPr>
        <w:t>ed</w:t>
      </w:r>
      <w:r w:rsidR="00F1032D" w:rsidRPr="005D3DCF">
        <w:rPr>
          <w:rFonts w:cstheme="minorHAnsi"/>
        </w:rPr>
        <w:t xml:space="preserve"> to </w:t>
      </w:r>
      <w:r w:rsidR="00B73695">
        <w:rPr>
          <w:rFonts w:cstheme="minorHAnsi"/>
        </w:rPr>
        <w:t xml:space="preserve">receiving </w:t>
      </w:r>
      <w:r w:rsidR="00F1032D" w:rsidRPr="005D3DCF">
        <w:rPr>
          <w:rFonts w:cstheme="minorHAnsi"/>
        </w:rPr>
        <w:t>the follow-up survey</w:t>
      </w:r>
      <w:r w:rsidRPr="005D3DCF">
        <w:rPr>
          <w:rFonts w:cstheme="minorHAnsi"/>
        </w:rPr>
        <w:t>.</w:t>
      </w:r>
      <w:r w:rsidR="00D13BFC">
        <w:rPr>
          <w:rFonts w:cstheme="minorHAnsi"/>
        </w:rPr>
        <w:t xml:space="preserve"> </w:t>
      </w:r>
      <w:r w:rsidR="00D13BFC">
        <w:t>The sample size of the baseline survey was determined</w:t>
      </w:r>
      <w:r w:rsidR="00307BBC">
        <w:t xml:space="preserve"> using </w:t>
      </w:r>
      <w:proofErr w:type="spellStart"/>
      <w:r w:rsidR="00307BBC">
        <w:t>nQuery</w:t>
      </w:r>
      <w:proofErr w:type="spellEnd"/>
      <w:r w:rsidR="00D13BFC">
        <w:t xml:space="preserve"> based on prevalence of high treatment burden (26.6%) from the validation study of the MTBQ together with estimates of likely response rate of approximately 50% (based on the literature) and distribution of the MTBQ score.  (1</w:t>
      </w:r>
      <w:r w:rsidR="00987DE0">
        <w:t>8</w:t>
      </w:r>
      <w:r w:rsidR="00D13BFC">
        <w:t>)</w:t>
      </w:r>
      <w:r w:rsidRPr="005D3DCF">
        <w:rPr>
          <w:rFonts w:cstheme="minorHAnsi"/>
        </w:rPr>
        <w:t xml:space="preserve"> </w:t>
      </w:r>
      <w:r w:rsidR="00B40ED2">
        <w:rPr>
          <w:rFonts w:cstheme="minorHAnsi"/>
        </w:rPr>
        <w:t xml:space="preserve">It was estimated that a minimal sample size of 150 participants would be needed to detect </w:t>
      </w:r>
      <w:r w:rsidR="00B40ED2" w:rsidRPr="005D3DCF">
        <w:rPr>
          <w:rFonts w:cstheme="minorHAnsi"/>
        </w:rPr>
        <w:t>the minimum possible change in treatment burden score (1 point in the 40-point MTBQ raw score) over time. A follow-up sample of 3</w:t>
      </w:r>
      <w:r w:rsidR="00B40ED2">
        <w:rPr>
          <w:rFonts w:cstheme="minorHAnsi"/>
        </w:rPr>
        <w:t>61</w:t>
      </w:r>
      <w:r w:rsidR="00B40ED2" w:rsidRPr="005D3DCF">
        <w:rPr>
          <w:rFonts w:cstheme="minorHAnsi"/>
        </w:rPr>
        <w:t xml:space="preserve"> participants is anticipated, assuming a </w:t>
      </w:r>
      <w:r w:rsidR="00B40ED2">
        <w:rPr>
          <w:rFonts w:cstheme="minorHAnsi"/>
        </w:rPr>
        <w:t>likely follow-up survey response rate</w:t>
      </w:r>
      <w:r w:rsidR="00B40ED2" w:rsidRPr="005D3DCF">
        <w:rPr>
          <w:rFonts w:cstheme="minorHAnsi"/>
        </w:rPr>
        <w:t xml:space="preserve"> response rate </w:t>
      </w:r>
      <w:r w:rsidR="00B40ED2">
        <w:rPr>
          <w:rFonts w:cstheme="minorHAnsi"/>
        </w:rPr>
        <w:t>of</w:t>
      </w:r>
      <w:r w:rsidR="00B40ED2" w:rsidRPr="005D3DCF">
        <w:rPr>
          <w:rFonts w:cstheme="minorHAnsi"/>
        </w:rPr>
        <w:t xml:space="preserve"> </w:t>
      </w:r>
      <w:r w:rsidR="00B40ED2">
        <w:rPr>
          <w:rFonts w:cstheme="minorHAnsi"/>
        </w:rPr>
        <w:t>50</w:t>
      </w:r>
      <w:r w:rsidR="00B40ED2" w:rsidRPr="005D3DCF">
        <w:rPr>
          <w:rFonts w:cstheme="minorHAnsi"/>
        </w:rPr>
        <w:t>%</w:t>
      </w:r>
      <w:r w:rsidR="00B40ED2">
        <w:rPr>
          <w:rFonts w:cstheme="minorHAnsi"/>
        </w:rPr>
        <w:t xml:space="preserve">. </w:t>
      </w:r>
      <w:r w:rsidR="00B40ED2" w:rsidRPr="005D3DCF">
        <w:rPr>
          <w:rFonts w:cstheme="minorHAnsi"/>
        </w:rPr>
        <w:t xml:space="preserve"> </w:t>
      </w:r>
      <w:r w:rsidR="00B40ED2" w:rsidRPr="005D3DCF" w:rsidDel="00B40ED2">
        <w:rPr>
          <w:rFonts w:cstheme="minorHAnsi"/>
        </w:rPr>
        <w:t xml:space="preserve"> </w:t>
      </w:r>
    </w:p>
    <w:p w14:paraId="342F207D" w14:textId="0DC7FD6E" w:rsidR="00D13BFC" w:rsidRDefault="00D13BFC" w:rsidP="007C0327">
      <w:pPr>
        <w:spacing w:after="0" w:line="360" w:lineRule="auto"/>
        <w:rPr>
          <w:rFonts w:cstheme="minorHAnsi"/>
        </w:rPr>
      </w:pPr>
    </w:p>
    <w:p w14:paraId="4C521AFC" w14:textId="282BC4F0" w:rsidR="00D13BFC" w:rsidRPr="00705E03" w:rsidRDefault="00D13BFC" w:rsidP="007C0327">
      <w:pPr>
        <w:spacing w:after="0" w:line="360" w:lineRule="auto"/>
        <w:rPr>
          <w:rFonts w:cstheme="minorHAnsi"/>
          <w:b/>
          <w:bCs/>
          <w:sz w:val="28"/>
          <w:szCs w:val="28"/>
        </w:rPr>
      </w:pPr>
      <w:r w:rsidRPr="00705E03">
        <w:rPr>
          <w:rFonts w:cstheme="minorHAnsi"/>
          <w:b/>
          <w:bCs/>
          <w:sz w:val="28"/>
          <w:szCs w:val="28"/>
        </w:rPr>
        <w:t xml:space="preserve">Missing data </w:t>
      </w:r>
    </w:p>
    <w:p w14:paraId="3665C9AA" w14:textId="5CE17433" w:rsidR="007C0327" w:rsidRDefault="00D13BFC" w:rsidP="007C0327">
      <w:pPr>
        <w:spacing w:after="0" w:line="360" w:lineRule="auto"/>
        <w:rPr>
          <w:rFonts w:cstheme="minorHAnsi"/>
        </w:rPr>
      </w:pPr>
      <w:bookmarkStart w:id="7" w:name="_Hlk79416187"/>
      <w:r>
        <w:rPr>
          <w:rFonts w:cstheme="minorHAnsi"/>
        </w:rPr>
        <w:t xml:space="preserve">We will provide data on the numbers of people who are lost to follow-up and reasons for loss to follow-up.  We will produce a descriptive table of characteristics of participants who took part in the follow-up survey and those who didn’t (based on baseline survey data) and assess if any differences are statistically significant. We will explore the extent of missing data </w:t>
      </w:r>
      <w:r w:rsidR="009A36DB">
        <w:rPr>
          <w:rFonts w:cstheme="minorHAnsi"/>
        </w:rPr>
        <w:t xml:space="preserve">on variables of interest and consider imputation techniques where possible. </w:t>
      </w:r>
      <w:bookmarkEnd w:id="7"/>
      <w:r w:rsidR="009A36DB">
        <w:rPr>
          <w:rFonts w:cstheme="minorHAnsi"/>
        </w:rPr>
        <w:t>(</w:t>
      </w:r>
      <w:r w:rsidR="00987DE0">
        <w:rPr>
          <w:rFonts w:cstheme="minorHAnsi"/>
        </w:rPr>
        <w:t>33</w:t>
      </w:r>
      <w:r w:rsidR="009A36DB">
        <w:rPr>
          <w:rFonts w:cstheme="minorHAnsi"/>
        </w:rPr>
        <w:t xml:space="preserve">) </w:t>
      </w:r>
    </w:p>
    <w:p w14:paraId="4C0986B9" w14:textId="77777777" w:rsidR="009A36DB" w:rsidRPr="005D3DCF" w:rsidRDefault="009A36DB" w:rsidP="007C0327">
      <w:pPr>
        <w:spacing w:after="0" w:line="360" w:lineRule="auto"/>
        <w:rPr>
          <w:rFonts w:cstheme="minorHAnsi"/>
        </w:rPr>
      </w:pPr>
    </w:p>
    <w:p w14:paraId="417D387F" w14:textId="79F65393" w:rsidR="006F4E46" w:rsidRPr="00705E03" w:rsidRDefault="00481F04" w:rsidP="007C0327">
      <w:pPr>
        <w:spacing w:after="0" w:line="360" w:lineRule="auto"/>
        <w:jc w:val="both"/>
        <w:rPr>
          <w:rFonts w:cstheme="minorHAnsi"/>
          <w:b/>
          <w:bCs/>
          <w:sz w:val="32"/>
          <w:szCs w:val="32"/>
        </w:rPr>
      </w:pPr>
      <w:r w:rsidRPr="00705E03">
        <w:rPr>
          <w:rFonts w:cstheme="minorHAnsi"/>
          <w:b/>
          <w:bCs/>
          <w:sz w:val="32"/>
          <w:szCs w:val="32"/>
        </w:rPr>
        <w:t>Statistical analyses</w:t>
      </w:r>
    </w:p>
    <w:p w14:paraId="79F11FEA" w14:textId="77777777" w:rsidR="007C0327" w:rsidRPr="005D3DCF" w:rsidRDefault="007C0327" w:rsidP="007C0327">
      <w:pPr>
        <w:spacing w:after="0" w:line="360" w:lineRule="auto"/>
        <w:jc w:val="both"/>
        <w:rPr>
          <w:rFonts w:cstheme="minorHAnsi"/>
          <w:i/>
          <w:iCs/>
        </w:rPr>
      </w:pPr>
    </w:p>
    <w:p w14:paraId="75B36A9E" w14:textId="03ED108D" w:rsidR="004510CC" w:rsidRDefault="004510CC" w:rsidP="007C0327">
      <w:pPr>
        <w:spacing w:after="0" w:line="360" w:lineRule="auto"/>
        <w:jc w:val="both"/>
        <w:rPr>
          <w:rFonts w:cstheme="minorHAnsi"/>
        </w:rPr>
      </w:pPr>
      <w:r w:rsidRPr="005D3DCF">
        <w:rPr>
          <w:rFonts w:cstheme="minorHAnsi"/>
        </w:rPr>
        <w:t>Descriptive statistics will be used to compare the numbers and proportions of participants reporting ‘none’, ‘low’, ‘medium’ and ‘high’ levels of treatment burden based on the global MTBQ score</w:t>
      </w:r>
      <w:r w:rsidR="00B40ED2">
        <w:rPr>
          <w:rFonts w:cstheme="minorHAnsi"/>
        </w:rPr>
        <w:t xml:space="preserve"> (score of </w:t>
      </w:r>
      <w:r w:rsidR="00B40ED2">
        <w:t xml:space="preserve">0, &lt;10, </w:t>
      </w:r>
      <w:r w:rsidR="00B40ED2">
        <w:rPr>
          <w:rFonts w:cstheme="minorHAnsi"/>
        </w:rPr>
        <w:t>≥</w:t>
      </w:r>
      <w:r w:rsidR="00B40ED2">
        <w:t xml:space="preserve">10, </w:t>
      </w:r>
      <w:r w:rsidR="00B40ED2">
        <w:rPr>
          <w:rFonts w:cstheme="minorHAnsi"/>
        </w:rPr>
        <w:t>≥</w:t>
      </w:r>
      <w:r w:rsidR="00B40ED2">
        <w:t>22, respectively)</w:t>
      </w:r>
      <w:r w:rsidRPr="005D3DCF">
        <w:rPr>
          <w:rFonts w:cstheme="minorHAnsi"/>
        </w:rPr>
        <w:t xml:space="preserve">. </w:t>
      </w:r>
      <w:bookmarkStart w:id="8" w:name="_Hlk79047531"/>
      <w:r w:rsidR="00997E9A">
        <w:rPr>
          <w:rFonts w:cstheme="minorHAnsi"/>
        </w:rPr>
        <w:t xml:space="preserve">We will consider those who report a ≥1 point change in the 40-point MTBQ raw score as having experienced a change in treatment burden, though </w:t>
      </w:r>
      <w:r w:rsidR="00A11F56">
        <w:rPr>
          <w:rFonts w:cstheme="minorHAnsi"/>
        </w:rPr>
        <w:t xml:space="preserve">we recognise </w:t>
      </w:r>
      <w:r w:rsidR="00997E9A">
        <w:rPr>
          <w:rFonts w:cstheme="minorHAnsi"/>
        </w:rPr>
        <w:t xml:space="preserve">this change may not be clinically meaningful. </w:t>
      </w:r>
      <w:r w:rsidRPr="005D3DCF">
        <w:rPr>
          <w:rFonts w:cstheme="minorHAnsi"/>
        </w:rPr>
        <w:t>Change in global score</w:t>
      </w:r>
      <w:r w:rsidR="0086400A">
        <w:rPr>
          <w:rFonts w:cstheme="minorHAnsi"/>
        </w:rPr>
        <w:t xml:space="preserve"> </w:t>
      </w:r>
      <w:bookmarkEnd w:id="8"/>
      <w:r w:rsidRPr="005D3DCF">
        <w:rPr>
          <w:rFonts w:cstheme="minorHAnsi"/>
        </w:rPr>
        <w:t>and change in these categories between baseline and follow</w:t>
      </w:r>
      <w:r w:rsidR="004E0750">
        <w:rPr>
          <w:rFonts w:cstheme="minorHAnsi"/>
        </w:rPr>
        <w:t>-</w:t>
      </w:r>
      <w:r w:rsidRPr="005D3DCF">
        <w:rPr>
          <w:rFonts w:cstheme="minorHAnsi"/>
        </w:rPr>
        <w:t>up will be compared.</w:t>
      </w:r>
      <w:r w:rsidR="001F25C1">
        <w:rPr>
          <w:rFonts w:cstheme="minorHAnsi"/>
        </w:rPr>
        <w:t xml:space="preserve"> C</w:t>
      </w:r>
      <w:r w:rsidRPr="005D3DCF">
        <w:rPr>
          <w:rFonts w:cstheme="minorHAnsi"/>
        </w:rPr>
        <w:t>haracteristics (such as age, sex, education status, and comorbidities) of participants who experience change in treatment burden</w:t>
      </w:r>
      <w:r w:rsidR="009A4BBB">
        <w:rPr>
          <w:rFonts w:cstheme="minorHAnsi"/>
        </w:rPr>
        <w:t>, those who experience an increase in treatment burden, those who experience a decrease in treatment burden</w:t>
      </w:r>
      <w:r w:rsidR="001F25C1">
        <w:rPr>
          <w:rFonts w:cstheme="minorHAnsi"/>
        </w:rPr>
        <w:t xml:space="preserve"> and those who don’t </w:t>
      </w:r>
      <w:r w:rsidRPr="005D3DCF">
        <w:rPr>
          <w:rFonts w:cstheme="minorHAnsi"/>
        </w:rPr>
        <w:t>will be described</w:t>
      </w:r>
      <w:r w:rsidR="00D05248">
        <w:rPr>
          <w:rFonts w:cstheme="minorHAnsi"/>
        </w:rPr>
        <w:t>.</w:t>
      </w:r>
      <w:bookmarkStart w:id="9" w:name="_Hlk79067367"/>
      <w:r w:rsidR="00997E9A">
        <w:rPr>
          <w:rFonts w:cstheme="minorHAnsi"/>
        </w:rPr>
        <w:t xml:space="preserve"> </w:t>
      </w:r>
      <w:r w:rsidR="00E9638C">
        <w:rPr>
          <w:rFonts w:cstheme="minorHAnsi"/>
        </w:rPr>
        <w:t xml:space="preserve">We will also describe and compare characteristics of </w:t>
      </w:r>
      <w:r w:rsidR="009A4BBB">
        <w:t xml:space="preserve">those who have experienced an increase in treatment burden to those who have not and those who have experienced a decrease in treatment burden to those who have not. </w:t>
      </w:r>
      <w:bookmarkEnd w:id="9"/>
      <w:r w:rsidR="00AD1F7D">
        <w:t xml:space="preserve">Normally distributed variables will be compared using t-test and categorical variables will be compared using chi-squared tests. </w:t>
      </w:r>
      <w:r w:rsidR="00D05248">
        <w:rPr>
          <w:rFonts w:cstheme="minorHAnsi"/>
        </w:rPr>
        <w:t>A</w:t>
      </w:r>
      <w:r w:rsidR="00D05248" w:rsidRPr="005D3DCF">
        <w:rPr>
          <w:rFonts w:cstheme="minorHAnsi"/>
        </w:rPr>
        <w:t>ssociations</w:t>
      </w:r>
      <w:r w:rsidR="00D05248">
        <w:rPr>
          <w:rFonts w:cstheme="minorHAnsi"/>
        </w:rPr>
        <w:t xml:space="preserve"> with change in </w:t>
      </w:r>
      <w:r w:rsidR="00705E03">
        <w:rPr>
          <w:rFonts w:cstheme="minorHAnsi"/>
        </w:rPr>
        <w:t xml:space="preserve">categories of </w:t>
      </w:r>
      <w:r w:rsidR="00D05248">
        <w:rPr>
          <w:rFonts w:cstheme="minorHAnsi"/>
        </w:rPr>
        <w:t>treatment burden (</w:t>
      </w:r>
      <w:r w:rsidR="00964C48">
        <w:rPr>
          <w:rFonts w:cstheme="minorHAnsi"/>
        </w:rPr>
        <w:t>i.e.,</w:t>
      </w:r>
      <w:r w:rsidR="00D05248">
        <w:rPr>
          <w:rFonts w:cstheme="minorHAnsi"/>
        </w:rPr>
        <w:t xml:space="preserve"> overall change vs no change; decrease vs no change or increase; increase vs no change or decrease) will be examined </w:t>
      </w:r>
      <w:r w:rsidR="00705E03">
        <w:rPr>
          <w:rFonts w:cstheme="minorHAnsi"/>
        </w:rPr>
        <w:t xml:space="preserve">using a linear mixed </w:t>
      </w:r>
      <w:r w:rsidR="00705E03">
        <w:rPr>
          <w:rFonts w:cstheme="minorHAnsi"/>
        </w:rPr>
        <w:lastRenderedPageBreak/>
        <w:t xml:space="preserve">model </w:t>
      </w:r>
      <w:r w:rsidR="000B1408">
        <w:rPr>
          <w:rFonts w:cstheme="minorHAnsi"/>
        </w:rPr>
        <w:t>that additionally adjust</w:t>
      </w:r>
      <w:r w:rsidR="00A11F56">
        <w:rPr>
          <w:rFonts w:cstheme="minorHAnsi"/>
        </w:rPr>
        <w:t>s</w:t>
      </w:r>
      <w:r w:rsidR="000B1408">
        <w:rPr>
          <w:rFonts w:cstheme="minorHAnsi"/>
        </w:rPr>
        <w:t xml:space="preserve"> for potential confounders.</w:t>
      </w:r>
      <w:r w:rsidR="00ED6444">
        <w:t xml:space="preserve"> </w:t>
      </w:r>
      <w:r w:rsidR="000B1408">
        <w:t xml:space="preserve">We will also examine effect modification using interaction terms. </w:t>
      </w:r>
      <w:r w:rsidR="00F62BEF">
        <w:t>We will also explore geographical access aspects of treatment burden, considering issues such as distance and travel time to GP and hospital services and distance /time</w:t>
      </w:r>
      <w:r w:rsidR="00F62BEF" w:rsidRPr="00706333">
        <w:t xml:space="preserve"> from pharmacies</w:t>
      </w:r>
      <w:r w:rsidR="00F62BEF">
        <w:t xml:space="preserve"> (and/or whether individuals are registered with dispensing practices). Further consideration will be given to availability of public transportation for any of these services. Distance to services for this population may be contrasted with access to treatment for similar age/sex populations in other areas of Dorset to assess whether there is significantly better/worse service provision for the study population. </w:t>
      </w:r>
      <w:r w:rsidR="00AD738E">
        <w:rPr>
          <w:rFonts w:cstheme="minorHAnsi"/>
        </w:rPr>
        <w:t xml:space="preserve">Regressions will adjust for time (year) to account for (and explore impact of) changes to services in Dorset. </w:t>
      </w:r>
    </w:p>
    <w:p w14:paraId="025960F4" w14:textId="77777777" w:rsidR="007C0327" w:rsidRPr="005D3DCF" w:rsidRDefault="007C0327" w:rsidP="007C0327">
      <w:pPr>
        <w:spacing w:after="0" w:line="360" w:lineRule="auto"/>
        <w:jc w:val="both"/>
        <w:rPr>
          <w:rFonts w:cstheme="minorHAnsi"/>
        </w:rPr>
      </w:pPr>
    </w:p>
    <w:p w14:paraId="290C530D" w14:textId="03069721" w:rsidR="00C902C2" w:rsidRDefault="00C902C2" w:rsidP="007C0327">
      <w:pPr>
        <w:spacing w:after="0" w:line="360" w:lineRule="auto"/>
        <w:jc w:val="both"/>
        <w:rPr>
          <w:rFonts w:cstheme="minorHAnsi"/>
        </w:rPr>
      </w:pPr>
      <w:r w:rsidRPr="005D3DCF">
        <w:rPr>
          <w:rFonts w:cstheme="minorHAnsi"/>
        </w:rPr>
        <w:t>The single</w:t>
      </w:r>
      <w:r w:rsidR="00532AEC">
        <w:rPr>
          <w:rFonts w:cstheme="minorHAnsi"/>
        </w:rPr>
        <w:t>-</w:t>
      </w:r>
      <w:r w:rsidRPr="005D3DCF">
        <w:rPr>
          <w:rFonts w:cstheme="minorHAnsi"/>
        </w:rPr>
        <w:t>item</w:t>
      </w:r>
      <w:r w:rsidR="005848C6">
        <w:rPr>
          <w:rFonts w:cstheme="minorHAnsi"/>
        </w:rPr>
        <w:t xml:space="preserve"> screening tool</w:t>
      </w:r>
      <w:r w:rsidRPr="005D3DCF">
        <w:rPr>
          <w:rFonts w:cstheme="minorHAnsi"/>
        </w:rPr>
        <w:t xml:space="preserve"> </w:t>
      </w:r>
      <w:r w:rsidR="00773469">
        <w:rPr>
          <w:rFonts w:cstheme="minorHAnsi"/>
        </w:rPr>
        <w:t xml:space="preserve">(at follow-up) </w:t>
      </w:r>
      <w:r w:rsidR="00532AEC">
        <w:rPr>
          <w:rFonts w:cstheme="minorHAnsi"/>
        </w:rPr>
        <w:t>will be evaluated relative to</w:t>
      </w:r>
      <w:r w:rsidR="005848C6">
        <w:rPr>
          <w:rFonts w:cstheme="minorHAnsi"/>
        </w:rPr>
        <w:t xml:space="preserve"> high treatment burden as indicated by the </w:t>
      </w:r>
      <w:r w:rsidRPr="005D3DCF">
        <w:rPr>
          <w:rFonts w:cstheme="minorHAnsi"/>
        </w:rPr>
        <w:t>MTBQ</w:t>
      </w:r>
      <w:r w:rsidR="00532AEC">
        <w:rPr>
          <w:rFonts w:cstheme="minorHAnsi"/>
        </w:rPr>
        <w:t xml:space="preserve"> </w:t>
      </w:r>
      <w:r w:rsidR="00773469">
        <w:rPr>
          <w:rFonts w:cstheme="minorHAnsi"/>
        </w:rPr>
        <w:t>(at follow-up)</w:t>
      </w:r>
      <w:r w:rsidR="007C0327">
        <w:rPr>
          <w:rFonts w:cstheme="minorHAnsi"/>
        </w:rPr>
        <w:t xml:space="preserve"> </w:t>
      </w:r>
      <w:r w:rsidRPr="005D3DCF">
        <w:rPr>
          <w:rFonts w:cstheme="minorHAnsi"/>
        </w:rPr>
        <w:t xml:space="preserve">using sensitivity, specificity, positive and negative predictive values, </w:t>
      </w:r>
      <w:r w:rsidR="00532AEC">
        <w:rPr>
          <w:rFonts w:cstheme="minorHAnsi"/>
        </w:rPr>
        <w:t xml:space="preserve">and </w:t>
      </w:r>
      <w:r w:rsidRPr="005D3DCF">
        <w:rPr>
          <w:rFonts w:cstheme="minorHAnsi"/>
        </w:rPr>
        <w:t>positive and negative likelihood ratios</w:t>
      </w:r>
      <w:r w:rsidR="00D87DEC">
        <w:rPr>
          <w:rFonts w:cstheme="minorHAnsi"/>
        </w:rPr>
        <w:t>.</w:t>
      </w:r>
      <w:r w:rsidRPr="005D3DCF">
        <w:rPr>
          <w:rFonts w:cstheme="minorHAnsi"/>
        </w:rPr>
        <w:t xml:space="preserve"> </w:t>
      </w:r>
      <w:r w:rsidR="00D87DEC">
        <w:rPr>
          <w:rFonts w:cstheme="minorHAnsi"/>
        </w:rPr>
        <w:t>A</w:t>
      </w:r>
      <w:r w:rsidRPr="005D3DCF">
        <w:rPr>
          <w:rFonts w:cstheme="minorHAnsi"/>
        </w:rPr>
        <w:t xml:space="preserve">rea under the receiver operator characteristic curve will </w:t>
      </w:r>
      <w:r w:rsidR="00D87DEC">
        <w:rPr>
          <w:rFonts w:cstheme="minorHAnsi"/>
        </w:rPr>
        <w:t xml:space="preserve">also </w:t>
      </w:r>
      <w:r w:rsidRPr="005D3DCF">
        <w:rPr>
          <w:rFonts w:cstheme="minorHAnsi"/>
        </w:rPr>
        <w:t>be assessed.</w:t>
      </w:r>
    </w:p>
    <w:p w14:paraId="3F498E04" w14:textId="77777777" w:rsidR="007C0327" w:rsidRPr="005D3DCF" w:rsidRDefault="007C0327" w:rsidP="007C0327">
      <w:pPr>
        <w:spacing w:after="0" w:line="360" w:lineRule="auto"/>
        <w:jc w:val="both"/>
        <w:rPr>
          <w:rFonts w:cstheme="minorHAnsi"/>
        </w:rPr>
      </w:pPr>
    </w:p>
    <w:p w14:paraId="258DD5BA" w14:textId="052B541A" w:rsidR="009344B2" w:rsidRDefault="00C93575" w:rsidP="007C0327">
      <w:pPr>
        <w:spacing w:after="0" w:line="360" w:lineRule="auto"/>
        <w:rPr>
          <w:rFonts w:cstheme="minorHAnsi"/>
        </w:rPr>
      </w:pPr>
      <w:r w:rsidRPr="00C93575">
        <w:rPr>
          <w:rFonts w:cstheme="minorHAnsi"/>
        </w:rPr>
        <w:t>To develop a</w:t>
      </w:r>
      <w:r w:rsidR="006B076C">
        <w:rPr>
          <w:rFonts w:cstheme="minorHAnsi"/>
        </w:rPr>
        <w:t xml:space="preserve"> population-level</w:t>
      </w:r>
      <w:r w:rsidRPr="00C93575">
        <w:rPr>
          <w:rFonts w:cstheme="minorHAnsi"/>
        </w:rPr>
        <w:t xml:space="preserve"> </w:t>
      </w:r>
      <w:r w:rsidR="00532AEC">
        <w:rPr>
          <w:rFonts w:cstheme="minorHAnsi"/>
        </w:rPr>
        <w:t xml:space="preserve">high </w:t>
      </w:r>
      <w:r w:rsidRPr="00C93575">
        <w:rPr>
          <w:rFonts w:cstheme="minorHAnsi"/>
        </w:rPr>
        <w:t xml:space="preserve">treatment burden risk </w:t>
      </w:r>
      <w:r w:rsidR="00532AEC">
        <w:rPr>
          <w:rFonts w:cstheme="minorHAnsi"/>
        </w:rPr>
        <w:t xml:space="preserve">prediction </w:t>
      </w:r>
      <w:r w:rsidRPr="00C93575">
        <w:rPr>
          <w:rFonts w:cstheme="minorHAnsi"/>
        </w:rPr>
        <w:t xml:space="preserve">tool, </w:t>
      </w:r>
      <w:r w:rsidRPr="005442A5">
        <w:t>variables</w:t>
      </w:r>
      <w:r w:rsidR="0063116E">
        <w:t xml:space="preserve"> available in routine </w:t>
      </w:r>
      <w:r w:rsidR="00964C48">
        <w:t xml:space="preserve">data </w:t>
      </w:r>
      <w:r w:rsidR="00964C48" w:rsidRPr="005442A5">
        <w:t>(</w:t>
      </w:r>
      <w:r w:rsidRPr="005442A5">
        <w:t>such as number of prescri</w:t>
      </w:r>
      <w:r w:rsidR="00532AEC">
        <w:t>bed medications</w:t>
      </w:r>
      <w:r w:rsidRPr="005442A5">
        <w:t xml:space="preserve">, number of appointments, number of hospital admissions (if available), number of </w:t>
      </w:r>
      <w:r w:rsidR="0063116E">
        <w:t>LTC</w:t>
      </w:r>
      <w:r w:rsidRPr="005442A5">
        <w:t>s</w:t>
      </w:r>
      <w:r w:rsidR="0063116E">
        <w:t>)</w:t>
      </w:r>
      <w:r w:rsidRPr="005442A5">
        <w:t xml:space="preserve"> will be included in a first stage of a binary logistic regression model predicting risk of high treatment burden based on the MTBQ measure (a score ≥22 indicating high treatment burden versus a score &lt;22 indicating </w:t>
      </w:r>
      <w:r w:rsidR="000872D9">
        <w:t>non-high</w:t>
      </w:r>
      <w:r w:rsidR="0063116E">
        <w:t xml:space="preserve"> </w:t>
      </w:r>
      <w:r w:rsidRPr="005442A5">
        <w:t>treatment burden). After assessing extent of missing data, a forward-stepwise, likelihood-ratio model building approach will be employed</w:t>
      </w:r>
      <w:r w:rsidR="000872D9">
        <w:t>,</w:t>
      </w:r>
      <w:r w:rsidRPr="005442A5">
        <w:t xml:space="preserve"> </w:t>
      </w:r>
      <w:r w:rsidR="000872D9">
        <w:t>with o</w:t>
      </w:r>
      <w:r w:rsidRPr="005442A5">
        <w:t xml:space="preserve">nly </w:t>
      </w:r>
      <w:r w:rsidR="000872D9">
        <w:t xml:space="preserve">those </w:t>
      </w:r>
      <w:r w:rsidRPr="005442A5">
        <w:t>variables having a statistically significant</w:t>
      </w:r>
      <w:r>
        <w:t xml:space="preserve"> (p&lt;0.05)</w:t>
      </w:r>
      <w:r w:rsidRPr="005442A5">
        <w:t xml:space="preserve"> </w:t>
      </w:r>
      <w:r w:rsidR="000872D9">
        <w:t xml:space="preserve">effect </w:t>
      </w:r>
      <w:r w:rsidRPr="005442A5">
        <w:t>on the final model equation remain</w:t>
      </w:r>
      <w:r w:rsidR="000872D9">
        <w:t>ing</w:t>
      </w:r>
      <w:r w:rsidRPr="005442A5">
        <w:t xml:space="preserve"> at the terminal step</w:t>
      </w:r>
      <w:r w:rsidR="00F62BEF">
        <w:t>.</w:t>
      </w:r>
      <w:r w:rsidR="00FE04D4">
        <w:t xml:space="preserve"> (</w:t>
      </w:r>
      <w:r w:rsidR="00987DE0">
        <w:t>34</w:t>
      </w:r>
      <w:r w:rsidR="00FE04D4">
        <w:t>)</w:t>
      </w:r>
      <w:r w:rsidR="00593A86">
        <w:t xml:space="preserve"> A </w:t>
      </w:r>
      <w:r w:rsidR="00593A86" w:rsidRPr="00F343F0">
        <w:rPr>
          <w:rFonts w:cstheme="minorHAnsi"/>
        </w:rPr>
        <w:t xml:space="preserve">binary logistic regression model containing only these variables will be fitted and weighted scores based on the beta coefficients derived. Model performance will be determined </w:t>
      </w:r>
      <w:r w:rsidR="00262D82" w:rsidRPr="00705E03">
        <w:rPr>
          <w:rFonts w:cstheme="minorHAnsi"/>
        </w:rPr>
        <w:t>using the area under the receiver operator characteristic curve</w:t>
      </w:r>
      <w:r w:rsidR="00593A86" w:rsidRPr="00705E03">
        <w:rPr>
          <w:rFonts w:cstheme="minorHAnsi"/>
        </w:rPr>
        <w:t xml:space="preserve"> (to assess discriminant capacity of the model) and calibration plots (to assess calibration)</w:t>
      </w:r>
      <w:r w:rsidR="00F62BEF" w:rsidRPr="00705E03">
        <w:rPr>
          <w:rFonts w:cstheme="minorHAnsi"/>
        </w:rPr>
        <w:t>.</w:t>
      </w:r>
      <w:r w:rsidR="00FE04D4" w:rsidRPr="00705E03">
        <w:rPr>
          <w:rFonts w:cstheme="minorHAnsi"/>
        </w:rPr>
        <w:t xml:space="preserve"> (</w:t>
      </w:r>
      <w:r w:rsidR="00987DE0">
        <w:rPr>
          <w:rFonts w:cstheme="minorHAnsi"/>
        </w:rPr>
        <w:t>34</w:t>
      </w:r>
      <w:r w:rsidR="00FE04D4" w:rsidRPr="00705E03">
        <w:rPr>
          <w:rFonts w:cstheme="minorHAnsi"/>
        </w:rPr>
        <w:t>)</w:t>
      </w:r>
    </w:p>
    <w:p w14:paraId="55F5D65C" w14:textId="428E41E6" w:rsidR="00F343F0" w:rsidRDefault="00F343F0" w:rsidP="007C0327">
      <w:pPr>
        <w:spacing w:after="0" w:line="360" w:lineRule="auto"/>
        <w:rPr>
          <w:rFonts w:cstheme="minorHAnsi"/>
        </w:rPr>
      </w:pPr>
      <w:bookmarkStart w:id="10" w:name="_Hlk78988780"/>
      <w:r>
        <w:rPr>
          <w:rFonts w:cstheme="minorHAnsi"/>
        </w:rPr>
        <w:t xml:space="preserve">Data analyses will be led by a public health researcher (HH) with input from a senior medical statistician (SH). All authors </w:t>
      </w:r>
      <w:r w:rsidR="0095757A">
        <w:rPr>
          <w:rFonts w:cstheme="minorHAnsi"/>
        </w:rPr>
        <w:t xml:space="preserve">(comprising senior academics, academic GPs, Director of Public Health, Chair of the Clinical Commissioning Group, specialist registrars in public health and elderly care, and public contributors) </w:t>
      </w:r>
      <w:r>
        <w:rPr>
          <w:rFonts w:cstheme="minorHAnsi"/>
        </w:rPr>
        <w:t xml:space="preserve">will be involved in interpretation of analyses and results. </w:t>
      </w:r>
    </w:p>
    <w:p w14:paraId="6682EBB2" w14:textId="4B9A1061" w:rsidR="00D05248" w:rsidRDefault="00D05248" w:rsidP="007C0327">
      <w:pPr>
        <w:spacing w:after="0" w:line="360" w:lineRule="auto"/>
        <w:rPr>
          <w:rFonts w:cstheme="minorHAnsi"/>
        </w:rPr>
      </w:pPr>
    </w:p>
    <w:bookmarkEnd w:id="10"/>
    <w:p w14:paraId="612F4EB6" w14:textId="3968741D" w:rsidR="005848C6" w:rsidRPr="00705E03" w:rsidRDefault="005848C6" w:rsidP="007C0327">
      <w:pPr>
        <w:spacing w:after="0" w:line="360" w:lineRule="auto"/>
        <w:rPr>
          <w:rFonts w:cstheme="minorHAnsi"/>
          <w:b/>
          <w:bCs/>
          <w:sz w:val="32"/>
          <w:szCs w:val="32"/>
        </w:rPr>
      </w:pPr>
      <w:r w:rsidRPr="00705E03">
        <w:rPr>
          <w:rFonts w:cstheme="minorHAnsi"/>
          <w:b/>
          <w:bCs/>
          <w:sz w:val="32"/>
          <w:szCs w:val="32"/>
        </w:rPr>
        <w:t xml:space="preserve">Mapping changes in primary and care services </w:t>
      </w:r>
    </w:p>
    <w:p w14:paraId="64F28F6D" w14:textId="558E82B2" w:rsidR="007C0327" w:rsidRPr="006D4AEF" w:rsidRDefault="007C0327" w:rsidP="007C0327">
      <w:pPr>
        <w:spacing w:after="0" w:line="360" w:lineRule="auto"/>
        <w:rPr>
          <w:rFonts w:cstheme="minorHAnsi"/>
        </w:rPr>
      </w:pPr>
    </w:p>
    <w:p w14:paraId="5738D6D5" w14:textId="5688D7C4" w:rsidR="005848C6" w:rsidRDefault="005848C6" w:rsidP="007C0327">
      <w:pPr>
        <w:spacing w:after="0" w:line="360" w:lineRule="auto"/>
      </w:pPr>
      <w:r>
        <w:t>Working</w:t>
      </w:r>
      <w:r w:rsidR="00F62BEF">
        <w:t xml:space="preserve"> with leaders of the Clinical Commissioning Group we will identify the key changes in primary and secondary care delivery that have occurred in the intervening period including structural issues (such as infrastructure change and location of services and workforce), process issues (such as change in care </w:t>
      </w:r>
      <w:r w:rsidR="00F62BEF">
        <w:lastRenderedPageBreak/>
        <w:t>pathways, virtual vs. in person clinical encounters) and outputs (such as changes in numbers of patients seen in different settings).</w:t>
      </w:r>
    </w:p>
    <w:p w14:paraId="5ACA4EF2" w14:textId="77777777" w:rsidR="00F62BEF" w:rsidRPr="007C0327" w:rsidRDefault="00F62BEF" w:rsidP="007C0327">
      <w:pPr>
        <w:spacing w:after="0" w:line="360" w:lineRule="auto"/>
      </w:pPr>
    </w:p>
    <w:p w14:paraId="21F49F32" w14:textId="487523B6" w:rsidR="00E83C9E" w:rsidRPr="00705E03" w:rsidRDefault="00E83C9E" w:rsidP="007C0327">
      <w:pPr>
        <w:spacing w:after="0" w:line="360" w:lineRule="auto"/>
        <w:rPr>
          <w:rFonts w:cstheme="minorHAnsi"/>
          <w:b/>
          <w:bCs/>
          <w:sz w:val="32"/>
          <w:szCs w:val="32"/>
        </w:rPr>
      </w:pPr>
      <w:r w:rsidRPr="00705E03">
        <w:rPr>
          <w:rFonts w:cstheme="minorHAnsi"/>
          <w:b/>
          <w:bCs/>
          <w:sz w:val="32"/>
          <w:szCs w:val="32"/>
        </w:rPr>
        <w:t>Patient and public involvement</w:t>
      </w:r>
    </w:p>
    <w:p w14:paraId="50E7D229" w14:textId="77777777" w:rsidR="007C0327" w:rsidRPr="005D3DCF" w:rsidRDefault="007C0327" w:rsidP="007C0327">
      <w:pPr>
        <w:spacing w:after="0" w:line="360" w:lineRule="auto"/>
        <w:rPr>
          <w:rFonts w:cstheme="minorHAnsi"/>
          <w:b/>
          <w:bCs/>
        </w:rPr>
      </w:pPr>
    </w:p>
    <w:p w14:paraId="26C91229" w14:textId="68764EF3" w:rsidR="00C902C2" w:rsidRDefault="007B3420" w:rsidP="007C0327">
      <w:pPr>
        <w:spacing w:after="0" w:line="360" w:lineRule="auto"/>
        <w:rPr>
          <w:rFonts w:cstheme="minorHAnsi"/>
        </w:rPr>
      </w:pPr>
      <w:r w:rsidRPr="005D3DCF">
        <w:rPr>
          <w:rFonts w:cstheme="minorHAnsi"/>
        </w:rPr>
        <w:t>Two public contributors,</w:t>
      </w:r>
      <w:r w:rsidR="004A2D0D">
        <w:rPr>
          <w:rFonts w:cstheme="minorHAnsi"/>
        </w:rPr>
        <w:t xml:space="preserve"> both</w:t>
      </w:r>
      <w:r w:rsidRPr="005D3DCF">
        <w:rPr>
          <w:rFonts w:cstheme="minorHAnsi"/>
        </w:rPr>
        <w:t xml:space="preserve"> living with </w:t>
      </w:r>
      <w:r w:rsidR="004A2D0D">
        <w:rPr>
          <w:rFonts w:cstheme="minorHAnsi"/>
        </w:rPr>
        <w:t xml:space="preserve">multiple </w:t>
      </w:r>
      <w:r w:rsidR="0063116E">
        <w:rPr>
          <w:rFonts w:cstheme="minorHAnsi"/>
        </w:rPr>
        <w:t>LTC</w:t>
      </w:r>
      <w:r w:rsidRPr="005D3DCF">
        <w:rPr>
          <w:rFonts w:cstheme="minorHAnsi"/>
        </w:rPr>
        <w:t>s, have been involved in the design of the study and are co-</w:t>
      </w:r>
      <w:r w:rsidR="00E44B02" w:rsidRPr="005D3DCF">
        <w:rPr>
          <w:rFonts w:cstheme="minorHAnsi"/>
        </w:rPr>
        <w:t>investigator</w:t>
      </w:r>
      <w:r w:rsidRPr="005D3DCF">
        <w:rPr>
          <w:rFonts w:cstheme="minorHAnsi"/>
        </w:rPr>
        <w:t xml:space="preserve">s. They have reviewed the lay summary and provided valuable insights into the challenges of living with multiple conditions, including the impact of treatment </w:t>
      </w:r>
      <w:r w:rsidR="0063116E">
        <w:rPr>
          <w:rFonts w:cstheme="minorHAnsi"/>
        </w:rPr>
        <w:t>workload</w:t>
      </w:r>
      <w:r w:rsidRPr="005D3DCF">
        <w:rPr>
          <w:rFonts w:cstheme="minorHAnsi"/>
        </w:rPr>
        <w:t xml:space="preserve"> on social care</w:t>
      </w:r>
      <w:r w:rsidR="0063116E">
        <w:rPr>
          <w:rFonts w:cstheme="minorHAnsi"/>
        </w:rPr>
        <w:t>.</w:t>
      </w:r>
      <w:r w:rsidRPr="005D3DCF">
        <w:rPr>
          <w:rFonts w:cstheme="minorHAnsi"/>
        </w:rPr>
        <w:t xml:space="preserve"> B</w:t>
      </w:r>
      <w:r w:rsidR="00C902C2" w:rsidRPr="005D3DCF">
        <w:rPr>
          <w:rFonts w:cstheme="minorHAnsi"/>
        </w:rPr>
        <w:t xml:space="preserve">oth </w:t>
      </w:r>
      <w:r w:rsidRPr="005D3DCF">
        <w:rPr>
          <w:rFonts w:cstheme="minorHAnsi"/>
        </w:rPr>
        <w:t xml:space="preserve">will </w:t>
      </w:r>
      <w:r w:rsidR="00C902C2" w:rsidRPr="005D3DCF">
        <w:rPr>
          <w:rFonts w:cstheme="minorHAnsi"/>
        </w:rPr>
        <w:t xml:space="preserve">continue engagement with the project throughout its duration and will contribute to outputs and dissemination. </w:t>
      </w:r>
    </w:p>
    <w:p w14:paraId="1DBFBB3D" w14:textId="77777777" w:rsidR="007C0327" w:rsidRPr="005D3DCF" w:rsidRDefault="007C0327" w:rsidP="007C0327">
      <w:pPr>
        <w:spacing w:after="0" w:line="360" w:lineRule="auto"/>
        <w:rPr>
          <w:rFonts w:cstheme="minorHAnsi"/>
        </w:rPr>
      </w:pPr>
    </w:p>
    <w:p w14:paraId="7F29CE30" w14:textId="5F7EC968" w:rsidR="00E83C9E" w:rsidRPr="00705E03" w:rsidRDefault="00E83C9E" w:rsidP="007C0327">
      <w:pPr>
        <w:spacing w:after="0" w:line="360" w:lineRule="auto"/>
        <w:rPr>
          <w:rFonts w:cstheme="minorHAnsi"/>
          <w:b/>
          <w:bCs/>
          <w:sz w:val="32"/>
          <w:szCs w:val="32"/>
        </w:rPr>
      </w:pPr>
      <w:r w:rsidRPr="00705E03">
        <w:rPr>
          <w:rFonts w:cstheme="minorHAnsi"/>
          <w:b/>
          <w:bCs/>
          <w:sz w:val="32"/>
          <w:szCs w:val="32"/>
        </w:rPr>
        <w:t>Dissemination</w:t>
      </w:r>
    </w:p>
    <w:p w14:paraId="1E01881B" w14:textId="77777777" w:rsidR="007C0327" w:rsidRPr="005D3DCF" w:rsidRDefault="007C0327" w:rsidP="007C0327">
      <w:pPr>
        <w:spacing w:after="0" w:line="360" w:lineRule="auto"/>
        <w:rPr>
          <w:rFonts w:cstheme="minorHAnsi"/>
          <w:i/>
          <w:iCs/>
        </w:rPr>
      </w:pPr>
    </w:p>
    <w:p w14:paraId="39854CC5" w14:textId="3BCF27CF" w:rsidR="00933508" w:rsidRDefault="00933508" w:rsidP="007C0327">
      <w:pPr>
        <w:spacing w:after="0" w:line="360" w:lineRule="auto"/>
        <w:rPr>
          <w:rFonts w:cstheme="minorHAnsi"/>
        </w:rPr>
      </w:pPr>
      <w:r w:rsidRPr="005D3DCF">
        <w:rPr>
          <w:rFonts w:cstheme="minorHAnsi"/>
        </w:rPr>
        <w:t>Study findings will be published in peer-reviewed academic journals</w:t>
      </w:r>
      <w:r w:rsidR="00E44B02" w:rsidRPr="005D3DCF">
        <w:rPr>
          <w:rFonts w:cstheme="minorHAnsi"/>
        </w:rPr>
        <w:t xml:space="preserve"> and </w:t>
      </w:r>
      <w:r w:rsidR="004F61AB">
        <w:rPr>
          <w:rFonts w:cstheme="minorHAnsi"/>
        </w:rPr>
        <w:t xml:space="preserve">presented at </w:t>
      </w:r>
      <w:r w:rsidR="00E44B02" w:rsidRPr="005D3DCF">
        <w:rPr>
          <w:rFonts w:cstheme="minorHAnsi"/>
        </w:rPr>
        <w:t xml:space="preserve">relevant national and international conferences. We will engage </w:t>
      </w:r>
      <w:r w:rsidR="005442A5" w:rsidRPr="00620FD4">
        <w:rPr>
          <w:rFonts w:cstheme="minorHAnsi"/>
        </w:rPr>
        <w:t xml:space="preserve">with </w:t>
      </w:r>
      <w:r w:rsidR="005442A5" w:rsidRPr="005D3DCF">
        <w:rPr>
          <w:rFonts w:cstheme="minorHAnsi"/>
        </w:rPr>
        <w:t>relevant</w:t>
      </w:r>
      <w:r w:rsidR="00E44B02" w:rsidRPr="005D3DCF">
        <w:rPr>
          <w:rFonts w:cstheme="minorHAnsi"/>
        </w:rPr>
        <w:t xml:space="preserve"> stakeholders to disseminate</w:t>
      </w:r>
      <w:r w:rsidR="00D15BD2">
        <w:rPr>
          <w:rFonts w:cstheme="minorHAnsi"/>
        </w:rPr>
        <w:t xml:space="preserve"> findings</w:t>
      </w:r>
      <w:r w:rsidR="00E44B02" w:rsidRPr="005D3DCF">
        <w:rPr>
          <w:rFonts w:cstheme="minorHAnsi"/>
        </w:rPr>
        <w:t xml:space="preserve"> throughout Dorset. Opportunities to implement a high treatment burden risk </w:t>
      </w:r>
      <w:r w:rsidR="00F21861">
        <w:rPr>
          <w:rFonts w:cstheme="minorHAnsi"/>
        </w:rPr>
        <w:t xml:space="preserve">tool </w:t>
      </w:r>
      <w:r w:rsidR="00E44B02" w:rsidRPr="005D3DCF">
        <w:rPr>
          <w:rFonts w:cstheme="minorHAnsi"/>
        </w:rPr>
        <w:t>in practice will be</w:t>
      </w:r>
      <w:r w:rsidR="00067F53">
        <w:rPr>
          <w:rFonts w:cstheme="minorHAnsi"/>
        </w:rPr>
        <w:t xml:space="preserve"> explored</w:t>
      </w:r>
      <w:r w:rsidR="00E44B02" w:rsidRPr="005D3DCF">
        <w:rPr>
          <w:rFonts w:cstheme="minorHAnsi"/>
        </w:rPr>
        <w:t xml:space="preserve">. </w:t>
      </w:r>
    </w:p>
    <w:p w14:paraId="15370C4A" w14:textId="77777777" w:rsidR="007C0327" w:rsidRPr="005D3DCF" w:rsidRDefault="007C0327" w:rsidP="007C0327">
      <w:pPr>
        <w:spacing w:after="0" w:line="360" w:lineRule="auto"/>
        <w:rPr>
          <w:rFonts w:cstheme="minorHAnsi"/>
        </w:rPr>
      </w:pPr>
    </w:p>
    <w:p w14:paraId="44CA1D27" w14:textId="7BDF2F6C" w:rsidR="001C64E2" w:rsidRPr="00705E03" w:rsidRDefault="00E83C9E" w:rsidP="007C0327">
      <w:pPr>
        <w:spacing w:after="0" w:line="360" w:lineRule="auto"/>
        <w:rPr>
          <w:rFonts w:cstheme="minorHAnsi"/>
          <w:b/>
          <w:bCs/>
          <w:sz w:val="36"/>
          <w:szCs w:val="36"/>
        </w:rPr>
      </w:pPr>
      <w:r w:rsidRPr="00705E03">
        <w:rPr>
          <w:rFonts w:cstheme="minorHAnsi"/>
          <w:b/>
          <w:bCs/>
          <w:sz w:val="36"/>
          <w:szCs w:val="36"/>
        </w:rPr>
        <w:t>Discussion</w:t>
      </w:r>
      <w:bookmarkStart w:id="11" w:name="_Hlk71198949"/>
    </w:p>
    <w:p w14:paraId="3C2B3972" w14:textId="77777777" w:rsidR="007C0327" w:rsidRDefault="007C0327" w:rsidP="007C0327">
      <w:pPr>
        <w:spacing w:after="0" w:line="360" w:lineRule="auto"/>
        <w:rPr>
          <w:rFonts w:cstheme="minorHAnsi"/>
          <w:b/>
          <w:bCs/>
        </w:rPr>
      </w:pPr>
    </w:p>
    <w:p w14:paraId="31DB0D43" w14:textId="4AB80B39" w:rsidR="005F3D02" w:rsidRDefault="00122C16" w:rsidP="007C0327">
      <w:pPr>
        <w:spacing w:after="0" w:line="360" w:lineRule="auto"/>
        <w:rPr>
          <w:rFonts w:cstheme="minorHAnsi"/>
        </w:rPr>
      </w:pPr>
      <w:r w:rsidRPr="005D3DCF">
        <w:rPr>
          <w:rFonts w:cstheme="minorHAnsi"/>
        </w:rPr>
        <w:t xml:space="preserve">This </w:t>
      </w:r>
      <w:r w:rsidR="0029627A" w:rsidRPr="005D3DCF">
        <w:rPr>
          <w:rFonts w:cstheme="minorHAnsi"/>
        </w:rPr>
        <w:t>study will provide the first longitudinal data on</w:t>
      </w:r>
      <w:r w:rsidRPr="005D3DCF">
        <w:rPr>
          <w:rFonts w:cstheme="minorHAnsi"/>
        </w:rPr>
        <w:t xml:space="preserve"> treatment</w:t>
      </w:r>
      <w:r w:rsidR="0029627A" w:rsidRPr="005D3DCF">
        <w:rPr>
          <w:rFonts w:cstheme="minorHAnsi"/>
        </w:rPr>
        <w:t xml:space="preserve"> burden</w:t>
      </w:r>
      <w:r w:rsidRPr="005D3DCF">
        <w:rPr>
          <w:rFonts w:cstheme="minorHAnsi"/>
        </w:rPr>
        <w:t xml:space="preserve"> in those with multimorbidity.</w:t>
      </w:r>
      <w:r w:rsidR="00AA1F42" w:rsidRPr="005D3DCF">
        <w:rPr>
          <w:rFonts w:cstheme="minorHAnsi"/>
        </w:rPr>
        <w:t xml:space="preserve"> </w:t>
      </w:r>
      <w:r w:rsidRPr="005D3DCF">
        <w:rPr>
          <w:rFonts w:cstheme="minorHAnsi"/>
        </w:rPr>
        <w:t>Th</w:t>
      </w:r>
      <w:r w:rsidR="0029627A" w:rsidRPr="005D3DCF">
        <w:rPr>
          <w:rFonts w:cstheme="minorHAnsi"/>
        </w:rPr>
        <w:t xml:space="preserve">is </w:t>
      </w:r>
      <w:r w:rsidRPr="005D3DCF">
        <w:rPr>
          <w:rFonts w:cstheme="minorHAnsi"/>
        </w:rPr>
        <w:t>valuable information on the extent and patterning of treatment burden at scale</w:t>
      </w:r>
      <w:r w:rsidR="00F53BDE">
        <w:rPr>
          <w:rFonts w:cstheme="minorHAnsi"/>
        </w:rPr>
        <w:t xml:space="preserve"> </w:t>
      </w:r>
      <w:bookmarkStart w:id="12" w:name="_Hlk79048097"/>
      <w:r w:rsidR="00F53BDE">
        <w:rPr>
          <w:rFonts w:cstheme="minorHAnsi"/>
        </w:rPr>
        <w:t>(</w:t>
      </w:r>
      <w:proofErr w:type="gramStart"/>
      <w:r w:rsidR="00F53BDE">
        <w:rPr>
          <w:rFonts w:cstheme="minorHAnsi"/>
        </w:rPr>
        <w:t>i.e.</w:t>
      </w:r>
      <w:proofErr w:type="gramEnd"/>
      <w:r w:rsidR="00F53BDE">
        <w:rPr>
          <w:rFonts w:cstheme="minorHAnsi"/>
        </w:rPr>
        <w:t xml:space="preserve"> the proportion of people that experience ‘no’, ‘low’, ‘medium’, high’ levels of treatment burden</w:t>
      </w:r>
      <w:bookmarkEnd w:id="12"/>
      <w:r w:rsidR="00F53BDE">
        <w:rPr>
          <w:rFonts w:cstheme="minorHAnsi"/>
        </w:rPr>
        <w:t>)</w:t>
      </w:r>
      <w:r w:rsidR="0029627A" w:rsidRPr="005D3DCF">
        <w:rPr>
          <w:rFonts w:cstheme="minorHAnsi"/>
        </w:rPr>
        <w:t xml:space="preserve"> and</w:t>
      </w:r>
      <w:r w:rsidRPr="005D3DCF">
        <w:rPr>
          <w:rFonts w:cstheme="minorHAnsi"/>
        </w:rPr>
        <w:t xml:space="preserve"> how </w:t>
      </w:r>
      <w:r w:rsidR="00431568" w:rsidRPr="005D3DCF">
        <w:rPr>
          <w:rFonts w:cstheme="minorHAnsi"/>
        </w:rPr>
        <w:t>these change</w:t>
      </w:r>
      <w:r w:rsidRPr="005D3DCF">
        <w:rPr>
          <w:rFonts w:cstheme="minorHAnsi"/>
        </w:rPr>
        <w:t xml:space="preserve"> over time</w:t>
      </w:r>
      <w:r w:rsidR="00A92B96" w:rsidRPr="005D3DCF">
        <w:rPr>
          <w:rFonts w:cstheme="minorHAnsi"/>
        </w:rPr>
        <w:t xml:space="preserve"> </w:t>
      </w:r>
      <w:r w:rsidR="0029627A" w:rsidRPr="005D3DCF">
        <w:rPr>
          <w:rFonts w:cstheme="minorHAnsi"/>
        </w:rPr>
        <w:t xml:space="preserve">will </w:t>
      </w:r>
      <w:r w:rsidR="00805D30">
        <w:rPr>
          <w:rFonts w:cstheme="minorHAnsi"/>
        </w:rPr>
        <w:t>support</w:t>
      </w:r>
      <w:r w:rsidR="00805D30" w:rsidRPr="005D3DCF">
        <w:rPr>
          <w:rFonts w:cstheme="minorHAnsi"/>
        </w:rPr>
        <w:t xml:space="preserve"> </w:t>
      </w:r>
      <w:r w:rsidR="000001F0">
        <w:rPr>
          <w:rFonts w:cstheme="minorHAnsi"/>
        </w:rPr>
        <w:t xml:space="preserve">planning and </w:t>
      </w:r>
      <w:r w:rsidR="0029627A" w:rsidRPr="005D3DCF">
        <w:rPr>
          <w:rFonts w:cstheme="minorHAnsi"/>
        </w:rPr>
        <w:t xml:space="preserve">evaluation of system-level interventions aimed at optimising treatment burden. This is particularly pertinent to </w:t>
      </w:r>
      <w:r w:rsidR="000001F0">
        <w:rPr>
          <w:rFonts w:cstheme="minorHAnsi"/>
        </w:rPr>
        <w:t xml:space="preserve">areas </w:t>
      </w:r>
      <w:r w:rsidR="00A27EA0">
        <w:rPr>
          <w:rFonts w:cstheme="minorHAnsi"/>
        </w:rPr>
        <w:t>such as</w:t>
      </w:r>
      <w:r w:rsidR="000001F0">
        <w:rPr>
          <w:rFonts w:cstheme="minorHAnsi"/>
        </w:rPr>
        <w:t xml:space="preserve"> </w:t>
      </w:r>
      <w:r w:rsidR="0029627A" w:rsidRPr="005D3DCF">
        <w:rPr>
          <w:rFonts w:cstheme="minorHAnsi"/>
        </w:rPr>
        <w:t xml:space="preserve">Dorset given the </w:t>
      </w:r>
      <w:r w:rsidR="00805D30">
        <w:rPr>
          <w:rFonts w:cstheme="minorHAnsi"/>
        </w:rPr>
        <w:t xml:space="preserve">high proportion of older people in the population as well as the </w:t>
      </w:r>
      <w:r w:rsidR="000001F0">
        <w:rPr>
          <w:rFonts w:cstheme="minorHAnsi"/>
        </w:rPr>
        <w:t xml:space="preserve">recent </w:t>
      </w:r>
      <w:r w:rsidR="0029627A" w:rsidRPr="005D3DCF">
        <w:rPr>
          <w:rFonts w:cstheme="minorHAnsi"/>
        </w:rPr>
        <w:t xml:space="preserve">changes </w:t>
      </w:r>
      <w:r w:rsidR="00805D30">
        <w:rPr>
          <w:rFonts w:cstheme="minorHAnsi"/>
        </w:rPr>
        <w:t>implemented in</w:t>
      </w:r>
      <w:r w:rsidR="0029627A" w:rsidRPr="005D3DCF">
        <w:rPr>
          <w:rFonts w:cstheme="minorHAnsi"/>
        </w:rPr>
        <w:t xml:space="preserve"> the healthcare system, which seek to improve integration of care in the region. </w:t>
      </w:r>
      <w:r w:rsidR="005F3D02" w:rsidRPr="005D3DCF">
        <w:rPr>
          <w:rFonts w:cstheme="minorHAnsi"/>
        </w:rPr>
        <w:t>This included the expansion of ‘community hubs’ throughout Dorset which bring together primary and secondary care services, improving convenience for patients in terms of access to healthcare.</w:t>
      </w:r>
      <w:r w:rsidR="005F3D02">
        <w:rPr>
          <w:rFonts w:cstheme="minorHAnsi"/>
        </w:rPr>
        <w:t xml:space="preserve"> Changes in treatment burden may therefore be due to either patient-level or system-level factors, or both. Furthermore, the occurrence of the Covid-19 pandemic since 2019 has potentially altered several aspects of access to, and use of, health services for people with multimorbidity.  </w:t>
      </w:r>
    </w:p>
    <w:p w14:paraId="0504314B" w14:textId="77777777" w:rsidR="007C0327" w:rsidRPr="005D3DCF" w:rsidRDefault="007C0327" w:rsidP="007C0327">
      <w:pPr>
        <w:spacing w:after="0" w:line="360" w:lineRule="auto"/>
        <w:rPr>
          <w:rFonts w:cstheme="minorHAnsi"/>
        </w:rPr>
      </w:pPr>
    </w:p>
    <w:p w14:paraId="793784F5" w14:textId="49AB9661" w:rsidR="001C64E2" w:rsidRDefault="0029627A" w:rsidP="007C0327">
      <w:pPr>
        <w:spacing w:after="0" w:line="360" w:lineRule="auto"/>
        <w:rPr>
          <w:rFonts w:cstheme="minorHAnsi"/>
        </w:rPr>
      </w:pPr>
      <w:r w:rsidRPr="005D3DCF">
        <w:rPr>
          <w:rFonts w:cstheme="minorHAnsi"/>
        </w:rPr>
        <w:t>The study will also</w:t>
      </w:r>
      <w:r w:rsidR="00122C16" w:rsidRPr="005D3DCF">
        <w:rPr>
          <w:rFonts w:cstheme="minorHAnsi"/>
        </w:rPr>
        <w:t xml:space="preserve"> enable exploration of factors associated with change in treatment burden. There </w:t>
      </w:r>
      <w:r w:rsidRPr="005D3DCF">
        <w:rPr>
          <w:rFonts w:cstheme="minorHAnsi"/>
        </w:rPr>
        <w:t xml:space="preserve">are no </w:t>
      </w:r>
      <w:r w:rsidR="00122C16" w:rsidRPr="005D3DCF">
        <w:rPr>
          <w:rFonts w:cstheme="minorHAnsi"/>
        </w:rPr>
        <w:t xml:space="preserve">studies that have evaluated factors associated with </w:t>
      </w:r>
      <w:r w:rsidRPr="005D3DCF">
        <w:rPr>
          <w:rFonts w:cstheme="minorHAnsi"/>
        </w:rPr>
        <w:t>change</w:t>
      </w:r>
      <w:r w:rsidR="00A27EA0">
        <w:rPr>
          <w:rFonts w:cstheme="minorHAnsi"/>
        </w:rPr>
        <w:t xml:space="preserve"> in</w:t>
      </w:r>
      <w:r w:rsidRPr="005D3DCF">
        <w:rPr>
          <w:rFonts w:cstheme="minorHAnsi"/>
        </w:rPr>
        <w:t xml:space="preserve"> </w:t>
      </w:r>
      <w:r w:rsidR="00122C16" w:rsidRPr="005D3DCF">
        <w:rPr>
          <w:rFonts w:cstheme="minorHAnsi"/>
        </w:rPr>
        <w:t>treatment burden as a core research objective;</w:t>
      </w:r>
      <w:r w:rsidR="009F2ED5">
        <w:rPr>
          <w:rFonts w:cstheme="minorHAnsi"/>
        </w:rPr>
        <w:t xml:space="preserve"> </w:t>
      </w:r>
      <w:r w:rsidR="009F2ED5">
        <w:rPr>
          <w:rFonts w:cstheme="minorHAnsi"/>
        </w:rPr>
        <w:lastRenderedPageBreak/>
        <w:t xml:space="preserve">one study has briefly assessed change in treatment burden over a </w:t>
      </w:r>
      <w:r w:rsidR="00964C48">
        <w:rPr>
          <w:rFonts w:cstheme="minorHAnsi"/>
        </w:rPr>
        <w:t>9-month</w:t>
      </w:r>
      <w:r w:rsidR="009F2ED5">
        <w:rPr>
          <w:rFonts w:cstheme="minorHAnsi"/>
        </w:rPr>
        <w:t xml:space="preserve"> follow-up period and found that change in treatment burden was associated with changes in quality of life. However, further exploration using longer follow-up periods is needed.</w:t>
      </w:r>
      <w:r w:rsidR="00122C16" w:rsidRPr="005D3DCF">
        <w:rPr>
          <w:rFonts w:cstheme="minorHAnsi"/>
        </w:rPr>
        <w:t xml:space="preserve"> (</w:t>
      </w:r>
      <w:r w:rsidR="001C64E2">
        <w:rPr>
          <w:rFonts w:cstheme="minorHAnsi"/>
        </w:rPr>
        <w:t>2</w:t>
      </w:r>
      <w:r w:rsidR="00987DE0">
        <w:rPr>
          <w:rFonts w:cstheme="minorHAnsi"/>
        </w:rPr>
        <w:t>1</w:t>
      </w:r>
      <w:r w:rsidR="00122C16" w:rsidRPr="005D3DCF">
        <w:rPr>
          <w:rFonts w:cstheme="minorHAnsi"/>
        </w:rPr>
        <w:t xml:space="preserve">) </w:t>
      </w:r>
      <w:r w:rsidRPr="005D3DCF">
        <w:rPr>
          <w:rFonts w:cstheme="minorHAnsi"/>
        </w:rPr>
        <w:t xml:space="preserve">Understanding which factors are associated with change in treatment burden is needed to </w:t>
      </w:r>
      <w:r w:rsidR="0063116E">
        <w:rPr>
          <w:rFonts w:cstheme="minorHAnsi"/>
        </w:rPr>
        <w:t xml:space="preserve">help anticipate patient trajectories and </w:t>
      </w:r>
      <w:r w:rsidRPr="005D3DCF">
        <w:rPr>
          <w:rFonts w:cstheme="minorHAnsi"/>
        </w:rPr>
        <w:t>inform future interventions</w:t>
      </w:r>
      <w:r w:rsidR="006C5416" w:rsidRPr="005D3DCF">
        <w:rPr>
          <w:rFonts w:cstheme="minorHAnsi"/>
        </w:rPr>
        <w:t xml:space="preserve"> and healthcare delivery</w:t>
      </w:r>
      <w:r w:rsidRPr="005D3DCF">
        <w:rPr>
          <w:rFonts w:cstheme="minorHAnsi"/>
        </w:rPr>
        <w:t xml:space="preserve">, both at the individual and health system level. </w:t>
      </w:r>
    </w:p>
    <w:p w14:paraId="26D5521D" w14:textId="77777777" w:rsidR="007C0327" w:rsidRDefault="007C0327" w:rsidP="007C0327">
      <w:pPr>
        <w:spacing w:after="0" w:line="360" w:lineRule="auto"/>
        <w:rPr>
          <w:rFonts w:cstheme="minorHAnsi"/>
        </w:rPr>
      </w:pPr>
    </w:p>
    <w:p w14:paraId="4A96F9D2" w14:textId="24EEED2F" w:rsidR="00122C16" w:rsidRDefault="000A5838" w:rsidP="007C0327">
      <w:pPr>
        <w:spacing w:after="0" w:line="360" w:lineRule="auto"/>
        <w:rPr>
          <w:rFonts w:cstheme="minorHAnsi"/>
        </w:rPr>
      </w:pPr>
      <w:r>
        <w:rPr>
          <w:rFonts w:cstheme="minorHAnsi"/>
        </w:rPr>
        <w:t>A</w:t>
      </w:r>
      <w:r w:rsidRPr="005D3DCF">
        <w:rPr>
          <w:rFonts w:cstheme="minorHAnsi"/>
        </w:rPr>
        <w:t xml:space="preserve"> single-item treatment burden </w:t>
      </w:r>
      <w:r w:rsidR="000D2B6E">
        <w:rPr>
          <w:rFonts w:cstheme="minorHAnsi"/>
        </w:rPr>
        <w:t>screening tool</w:t>
      </w:r>
      <w:r w:rsidRPr="005D3DCF">
        <w:rPr>
          <w:rFonts w:cstheme="minorHAnsi"/>
        </w:rPr>
        <w:t xml:space="preserve"> that performs well can help clinicians quickly identify those who may feel overburdened. </w:t>
      </w:r>
      <w:r>
        <w:rPr>
          <w:rFonts w:cstheme="minorHAnsi"/>
        </w:rPr>
        <w:t>Similarly, a</w:t>
      </w:r>
      <w:r w:rsidR="00122C16" w:rsidRPr="005D3DCF">
        <w:rPr>
          <w:rFonts w:cstheme="minorHAnsi"/>
        </w:rPr>
        <w:t xml:space="preserve"> predictive model of high treatment burden could find direct utility in primary care. </w:t>
      </w:r>
      <w:r w:rsidR="00B75DB8">
        <w:rPr>
          <w:rFonts w:cstheme="minorHAnsi"/>
        </w:rPr>
        <w:t xml:space="preserve">For example, this would allow comparison between treatment burden across different populations and systems. </w:t>
      </w:r>
      <w:r w:rsidR="00122C16" w:rsidRPr="005D3DCF">
        <w:rPr>
          <w:rFonts w:cstheme="minorHAnsi"/>
        </w:rPr>
        <w:t>This would enable ready identification of those at risk of high treatment burden and</w:t>
      </w:r>
      <w:r w:rsidR="0029627A" w:rsidRPr="005D3DCF">
        <w:rPr>
          <w:rFonts w:cstheme="minorHAnsi"/>
        </w:rPr>
        <w:t xml:space="preserve"> </w:t>
      </w:r>
      <w:r w:rsidR="00122C16" w:rsidRPr="005D3DCF">
        <w:rPr>
          <w:rFonts w:cstheme="minorHAnsi"/>
        </w:rPr>
        <w:t>targeted efforts aimed at its reduction. Increased recognition of treatment burden through its measurement at scale would also sharpen the focus of doctor-patient interactions to place greater emphasis on the priorities of patients. This can help prevent over-medicalisation and assist clinicians in delivering optimal patient-centred care.</w:t>
      </w:r>
      <w:r w:rsidR="00602597" w:rsidRPr="005D3DCF">
        <w:rPr>
          <w:rFonts w:cstheme="minorHAnsi"/>
        </w:rPr>
        <w:t xml:space="preserve"> </w:t>
      </w:r>
      <w:bookmarkEnd w:id="11"/>
    </w:p>
    <w:p w14:paraId="24B9F879" w14:textId="77777777" w:rsidR="007C0327" w:rsidRPr="00C57648" w:rsidRDefault="007C0327" w:rsidP="007C0327">
      <w:pPr>
        <w:spacing w:after="0" w:line="360" w:lineRule="auto"/>
        <w:rPr>
          <w:rFonts w:cstheme="minorHAnsi"/>
          <w:b/>
          <w:bCs/>
        </w:rPr>
      </w:pPr>
    </w:p>
    <w:p w14:paraId="66C37015" w14:textId="6ADB4198" w:rsidR="00E83C9E" w:rsidRPr="00705E03" w:rsidRDefault="00E83C9E" w:rsidP="007C0327">
      <w:pPr>
        <w:spacing w:after="0" w:line="360" w:lineRule="auto"/>
        <w:rPr>
          <w:rFonts w:cstheme="minorHAnsi"/>
          <w:b/>
          <w:bCs/>
          <w:sz w:val="32"/>
          <w:szCs w:val="32"/>
        </w:rPr>
      </w:pPr>
      <w:r w:rsidRPr="00705E03">
        <w:rPr>
          <w:rFonts w:cstheme="minorHAnsi"/>
          <w:b/>
          <w:bCs/>
          <w:sz w:val="32"/>
          <w:szCs w:val="32"/>
        </w:rPr>
        <w:t xml:space="preserve">Strengths and </w:t>
      </w:r>
      <w:r w:rsidR="006D4AEF">
        <w:rPr>
          <w:rFonts w:cstheme="minorHAnsi"/>
          <w:b/>
          <w:bCs/>
          <w:sz w:val="32"/>
          <w:szCs w:val="32"/>
        </w:rPr>
        <w:t>l</w:t>
      </w:r>
      <w:r w:rsidRPr="00705E03">
        <w:rPr>
          <w:rFonts w:cstheme="minorHAnsi"/>
          <w:b/>
          <w:bCs/>
          <w:sz w:val="32"/>
          <w:szCs w:val="32"/>
        </w:rPr>
        <w:t>imitations</w:t>
      </w:r>
    </w:p>
    <w:p w14:paraId="37FE33F7" w14:textId="77777777" w:rsidR="007C0327" w:rsidRPr="005D3DCF" w:rsidRDefault="007C0327" w:rsidP="007C0327">
      <w:pPr>
        <w:spacing w:after="0" w:line="360" w:lineRule="auto"/>
        <w:rPr>
          <w:rFonts w:cstheme="minorHAnsi"/>
          <w:i/>
          <w:iCs/>
        </w:rPr>
      </w:pPr>
    </w:p>
    <w:p w14:paraId="15569247" w14:textId="78705CDA" w:rsidR="006F7F92" w:rsidRPr="00F7460F" w:rsidRDefault="00A92B96" w:rsidP="007C0327">
      <w:pPr>
        <w:pStyle w:val="CommentText"/>
        <w:spacing w:after="0" w:line="360" w:lineRule="auto"/>
        <w:rPr>
          <w:sz w:val="22"/>
          <w:szCs w:val="22"/>
        </w:rPr>
      </w:pPr>
      <w:r w:rsidRPr="00F7460F">
        <w:rPr>
          <w:rFonts w:cstheme="minorHAnsi"/>
          <w:sz w:val="22"/>
          <w:szCs w:val="22"/>
        </w:rPr>
        <w:t xml:space="preserve">Strengths of the study include a </w:t>
      </w:r>
      <w:r w:rsidR="00617B60" w:rsidRPr="00F7460F">
        <w:rPr>
          <w:rFonts w:cstheme="minorHAnsi"/>
          <w:sz w:val="22"/>
          <w:szCs w:val="22"/>
        </w:rPr>
        <w:t>reasonable likelihood of a</w:t>
      </w:r>
      <w:r w:rsidR="00642487" w:rsidRPr="00F7460F">
        <w:rPr>
          <w:rFonts w:cstheme="minorHAnsi"/>
          <w:sz w:val="22"/>
          <w:szCs w:val="22"/>
        </w:rPr>
        <w:t xml:space="preserve"> high</w:t>
      </w:r>
      <w:r w:rsidR="0000667C" w:rsidRPr="00F7460F">
        <w:rPr>
          <w:rFonts w:cstheme="minorHAnsi"/>
          <w:sz w:val="22"/>
          <w:szCs w:val="22"/>
        </w:rPr>
        <w:t xml:space="preserve"> response rate </w:t>
      </w:r>
      <w:r w:rsidR="00617B60" w:rsidRPr="00F7460F">
        <w:rPr>
          <w:rFonts w:cstheme="minorHAnsi"/>
          <w:sz w:val="22"/>
          <w:szCs w:val="22"/>
        </w:rPr>
        <w:t>given that</w:t>
      </w:r>
      <w:r w:rsidR="0000667C" w:rsidRPr="00F7460F">
        <w:rPr>
          <w:rFonts w:cstheme="minorHAnsi"/>
          <w:sz w:val="22"/>
          <w:szCs w:val="22"/>
        </w:rPr>
        <w:t xml:space="preserve"> participants are those who responded to a similar baseline survey, the inclusion </w:t>
      </w:r>
      <w:r w:rsidR="00617B60" w:rsidRPr="00F7460F">
        <w:rPr>
          <w:rFonts w:cstheme="minorHAnsi"/>
          <w:sz w:val="22"/>
          <w:szCs w:val="22"/>
        </w:rPr>
        <w:t xml:space="preserve">of </w:t>
      </w:r>
      <w:r w:rsidR="0000667C" w:rsidRPr="00F7460F">
        <w:rPr>
          <w:rFonts w:cstheme="minorHAnsi"/>
          <w:sz w:val="22"/>
          <w:szCs w:val="22"/>
        </w:rPr>
        <w:t>participants from diverse socioeconomic backgrounds and the use of a validated measure of treatment burden in the survey. However, there are important limitations that should be considered. The first is the</w:t>
      </w:r>
      <w:r w:rsidR="00DE2FE5" w:rsidRPr="00F7460F">
        <w:rPr>
          <w:rFonts w:cstheme="minorHAnsi"/>
          <w:sz w:val="22"/>
          <w:szCs w:val="22"/>
        </w:rPr>
        <w:t xml:space="preserve"> potential</w:t>
      </w:r>
      <w:r w:rsidR="0000667C" w:rsidRPr="00F7460F">
        <w:rPr>
          <w:rFonts w:cstheme="minorHAnsi"/>
          <w:sz w:val="22"/>
          <w:szCs w:val="22"/>
        </w:rPr>
        <w:t xml:space="preserve"> i</w:t>
      </w:r>
      <w:r w:rsidR="001414A7" w:rsidRPr="00F7460F">
        <w:rPr>
          <w:rFonts w:cstheme="minorHAnsi"/>
          <w:sz w:val="22"/>
          <w:szCs w:val="22"/>
        </w:rPr>
        <w:t>mpact</w:t>
      </w:r>
      <w:r w:rsidR="0000667C" w:rsidRPr="00F7460F">
        <w:rPr>
          <w:rFonts w:cstheme="minorHAnsi"/>
          <w:sz w:val="22"/>
          <w:szCs w:val="22"/>
        </w:rPr>
        <w:t xml:space="preserve"> of the COVID-19 pandemic on the follow-up survey. </w:t>
      </w:r>
      <w:r w:rsidR="00C0674A" w:rsidRPr="00F7460F">
        <w:rPr>
          <w:rFonts w:cstheme="minorHAnsi"/>
          <w:sz w:val="22"/>
          <w:szCs w:val="22"/>
        </w:rPr>
        <w:t xml:space="preserve">In view of the pandemic, </w:t>
      </w:r>
      <w:r w:rsidR="001414A7" w:rsidRPr="00F7460F">
        <w:rPr>
          <w:rFonts w:cstheme="minorHAnsi"/>
          <w:sz w:val="22"/>
          <w:szCs w:val="22"/>
        </w:rPr>
        <w:t xml:space="preserve">the </w:t>
      </w:r>
      <w:r w:rsidR="00C0674A" w:rsidRPr="00F7460F">
        <w:rPr>
          <w:rFonts w:cstheme="minorHAnsi"/>
          <w:sz w:val="22"/>
          <w:szCs w:val="22"/>
        </w:rPr>
        <w:t xml:space="preserve">timing of distribution of the </w:t>
      </w:r>
      <w:r w:rsidR="001414A7" w:rsidRPr="00F7460F">
        <w:rPr>
          <w:rFonts w:cstheme="minorHAnsi"/>
          <w:sz w:val="22"/>
          <w:szCs w:val="22"/>
        </w:rPr>
        <w:t>follow</w:t>
      </w:r>
      <w:r w:rsidR="00617B60" w:rsidRPr="00F7460F">
        <w:rPr>
          <w:rFonts w:cstheme="minorHAnsi"/>
          <w:sz w:val="22"/>
          <w:szCs w:val="22"/>
        </w:rPr>
        <w:t>-</w:t>
      </w:r>
      <w:r w:rsidR="001414A7" w:rsidRPr="00F7460F">
        <w:rPr>
          <w:rFonts w:cstheme="minorHAnsi"/>
          <w:sz w:val="22"/>
          <w:szCs w:val="22"/>
        </w:rPr>
        <w:t xml:space="preserve">up survey </w:t>
      </w:r>
      <w:r w:rsidR="00C0674A" w:rsidRPr="00F7460F">
        <w:rPr>
          <w:rFonts w:cstheme="minorHAnsi"/>
          <w:sz w:val="22"/>
          <w:szCs w:val="22"/>
        </w:rPr>
        <w:t>has been delayed until</w:t>
      </w:r>
      <w:r w:rsidR="001414A7" w:rsidRPr="00F7460F">
        <w:rPr>
          <w:rFonts w:cstheme="minorHAnsi"/>
          <w:sz w:val="22"/>
          <w:szCs w:val="22"/>
        </w:rPr>
        <w:t xml:space="preserve"> late summer 2021</w:t>
      </w:r>
      <w:r w:rsidR="00C0674A" w:rsidRPr="00F7460F">
        <w:rPr>
          <w:rFonts w:cstheme="minorHAnsi"/>
          <w:sz w:val="22"/>
          <w:szCs w:val="22"/>
        </w:rPr>
        <w:t xml:space="preserve"> to minimise </w:t>
      </w:r>
      <w:r w:rsidR="00312B43" w:rsidRPr="00F7460F">
        <w:rPr>
          <w:rFonts w:cstheme="minorHAnsi"/>
          <w:sz w:val="22"/>
          <w:szCs w:val="22"/>
        </w:rPr>
        <w:t xml:space="preserve">any potential </w:t>
      </w:r>
      <w:r w:rsidR="00C0674A" w:rsidRPr="00F7460F">
        <w:rPr>
          <w:rFonts w:cstheme="minorHAnsi"/>
          <w:sz w:val="22"/>
          <w:szCs w:val="22"/>
        </w:rPr>
        <w:t>impact as well as to allow GP practices more time to engage with the study</w:t>
      </w:r>
      <w:r w:rsidR="001414A7" w:rsidRPr="00F7460F">
        <w:rPr>
          <w:rFonts w:cstheme="minorHAnsi"/>
          <w:sz w:val="22"/>
          <w:szCs w:val="22"/>
        </w:rPr>
        <w:t>.</w:t>
      </w:r>
      <w:r w:rsidR="00C0674A" w:rsidRPr="00F7460F">
        <w:rPr>
          <w:rFonts w:cstheme="minorHAnsi"/>
          <w:sz w:val="22"/>
          <w:szCs w:val="22"/>
        </w:rPr>
        <w:t xml:space="preserve"> Despite this, t</w:t>
      </w:r>
      <w:r w:rsidR="00DE2FE5" w:rsidRPr="00F7460F">
        <w:rPr>
          <w:rFonts w:cstheme="minorHAnsi"/>
          <w:sz w:val="22"/>
          <w:szCs w:val="22"/>
        </w:rPr>
        <w:t xml:space="preserve">he pandemic has the potential to influence the survey in </w:t>
      </w:r>
      <w:proofErr w:type="gramStart"/>
      <w:r w:rsidR="00DE2FE5" w:rsidRPr="00F7460F">
        <w:rPr>
          <w:rFonts w:cstheme="minorHAnsi"/>
          <w:sz w:val="22"/>
          <w:szCs w:val="22"/>
        </w:rPr>
        <w:t>a number of</w:t>
      </w:r>
      <w:proofErr w:type="gramEnd"/>
      <w:r w:rsidR="00DE2FE5" w:rsidRPr="00F7460F">
        <w:rPr>
          <w:rFonts w:cstheme="minorHAnsi"/>
          <w:sz w:val="22"/>
          <w:szCs w:val="22"/>
        </w:rPr>
        <w:t xml:space="preserve"> ways. </w:t>
      </w:r>
      <w:r w:rsidR="006F7F92" w:rsidRPr="00F7460F">
        <w:rPr>
          <w:rFonts w:cstheme="minorHAnsi"/>
          <w:sz w:val="22"/>
          <w:szCs w:val="22"/>
        </w:rPr>
        <w:t>Firstly,</w:t>
      </w:r>
      <w:r w:rsidR="00DE2FE5" w:rsidRPr="00F7460F">
        <w:rPr>
          <w:rFonts w:cstheme="minorHAnsi"/>
          <w:sz w:val="22"/>
          <w:szCs w:val="22"/>
        </w:rPr>
        <w:t xml:space="preserve"> participants may themselves have had COVID, which might have increased their recent </w:t>
      </w:r>
      <w:r w:rsidR="00617B60" w:rsidRPr="00F7460F">
        <w:rPr>
          <w:rFonts w:cstheme="minorHAnsi"/>
          <w:sz w:val="22"/>
          <w:szCs w:val="22"/>
        </w:rPr>
        <w:t>experience of ill-health</w:t>
      </w:r>
      <w:r w:rsidR="00DE2FE5" w:rsidRPr="00F7460F">
        <w:rPr>
          <w:rFonts w:cstheme="minorHAnsi"/>
          <w:sz w:val="22"/>
          <w:szCs w:val="22"/>
        </w:rPr>
        <w:t xml:space="preserve"> and treatment burden. Secondly, c</w:t>
      </w:r>
      <w:r w:rsidR="001414A7" w:rsidRPr="00F7460F">
        <w:rPr>
          <w:rFonts w:cstheme="minorHAnsi"/>
          <w:sz w:val="22"/>
          <w:szCs w:val="22"/>
        </w:rPr>
        <w:t xml:space="preserve">hanges to healthcare delivery </w:t>
      </w:r>
      <w:proofErr w:type="gramStart"/>
      <w:r w:rsidR="001414A7" w:rsidRPr="00F7460F">
        <w:rPr>
          <w:rFonts w:cstheme="minorHAnsi"/>
          <w:sz w:val="22"/>
          <w:szCs w:val="22"/>
        </w:rPr>
        <w:t>as a result of</w:t>
      </w:r>
      <w:proofErr w:type="gramEnd"/>
      <w:r w:rsidR="001414A7" w:rsidRPr="00F7460F">
        <w:rPr>
          <w:rFonts w:cstheme="minorHAnsi"/>
          <w:sz w:val="22"/>
          <w:szCs w:val="22"/>
        </w:rPr>
        <w:t xml:space="preserve"> the pandemic </w:t>
      </w:r>
      <w:r w:rsidR="00DE2FE5" w:rsidRPr="00F7460F">
        <w:rPr>
          <w:rFonts w:cstheme="minorHAnsi"/>
          <w:sz w:val="22"/>
          <w:szCs w:val="22"/>
        </w:rPr>
        <w:t>may</w:t>
      </w:r>
      <w:r w:rsidR="001414A7" w:rsidRPr="00F7460F">
        <w:rPr>
          <w:rFonts w:cstheme="minorHAnsi"/>
          <w:sz w:val="22"/>
          <w:szCs w:val="22"/>
        </w:rPr>
        <w:t xml:space="preserve"> mean that most </w:t>
      </w:r>
      <w:r w:rsidR="00617B60" w:rsidRPr="00F7460F">
        <w:rPr>
          <w:rFonts w:cstheme="minorHAnsi"/>
          <w:sz w:val="22"/>
          <w:szCs w:val="22"/>
        </w:rPr>
        <w:t>participants</w:t>
      </w:r>
      <w:r w:rsidR="009F2ED5" w:rsidRPr="00F7460F">
        <w:rPr>
          <w:rFonts w:cstheme="minorHAnsi"/>
          <w:sz w:val="22"/>
          <w:szCs w:val="22"/>
        </w:rPr>
        <w:t xml:space="preserve"> </w:t>
      </w:r>
      <w:r w:rsidR="001414A7" w:rsidRPr="00F7460F">
        <w:rPr>
          <w:rFonts w:cstheme="minorHAnsi"/>
          <w:sz w:val="22"/>
          <w:szCs w:val="22"/>
        </w:rPr>
        <w:t xml:space="preserve">will have had reduced </w:t>
      </w:r>
      <w:r w:rsidR="00DE2FE5" w:rsidRPr="00F7460F">
        <w:rPr>
          <w:rFonts w:cstheme="minorHAnsi"/>
          <w:sz w:val="22"/>
          <w:szCs w:val="22"/>
        </w:rPr>
        <w:t xml:space="preserve">or altered healthcare </w:t>
      </w:r>
      <w:r w:rsidR="001414A7" w:rsidRPr="00F7460F">
        <w:rPr>
          <w:rFonts w:cstheme="minorHAnsi"/>
          <w:sz w:val="22"/>
          <w:szCs w:val="22"/>
        </w:rPr>
        <w:t xml:space="preserve">appointments and </w:t>
      </w:r>
      <w:r w:rsidR="00312B43" w:rsidRPr="00F7460F">
        <w:rPr>
          <w:rFonts w:cstheme="minorHAnsi"/>
          <w:sz w:val="22"/>
          <w:szCs w:val="22"/>
        </w:rPr>
        <w:t>use of</w:t>
      </w:r>
      <w:r w:rsidR="001414A7" w:rsidRPr="00F7460F">
        <w:rPr>
          <w:rFonts w:cstheme="minorHAnsi"/>
          <w:sz w:val="22"/>
          <w:szCs w:val="22"/>
        </w:rPr>
        <w:t xml:space="preserve"> </w:t>
      </w:r>
      <w:r w:rsidR="00DE2FE5" w:rsidRPr="00F7460F">
        <w:rPr>
          <w:rFonts w:cstheme="minorHAnsi"/>
          <w:sz w:val="22"/>
          <w:szCs w:val="22"/>
        </w:rPr>
        <w:t xml:space="preserve">other </w:t>
      </w:r>
      <w:r w:rsidR="001414A7" w:rsidRPr="00F7460F">
        <w:rPr>
          <w:rFonts w:cstheme="minorHAnsi"/>
          <w:sz w:val="22"/>
          <w:szCs w:val="22"/>
        </w:rPr>
        <w:t xml:space="preserve">healthcare resources, which may </w:t>
      </w:r>
      <w:r w:rsidR="002730D4" w:rsidRPr="00F7460F">
        <w:rPr>
          <w:rFonts w:cstheme="minorHAnsi"/>
          <w:sz w:val="22"/>
          <w:szCs w:val="22"/>
        </w:rPr>
        <w:t xml:space="preserve">influence their </w:t>
      </w:r>
      <w:r w:rsidR="005442A5" w:rsidRPr="00F7460F">
        <w:rPr>
          <w:rFonts w:cstheme="minorHAnsi"/>
          <w:sz w:val="22"/>
          <w:szCs w:val="22"/>
        </w:rPr>
        <w:t>responses.</w:t>
      </w:r>
      <w:r w:rsidR="002730D4" w:rsidRPr="00F7460F">
        <w:rPr>
          <w:rFonts w:cstheme="minorHAnsi"/>
          <w:sz w:val="22"/>
          <w:szCs w:val="22"/>
        </w:rPr>
        <w:t xml:space="preserve"> This will </w:t>
      </w:r>
      <w:r w:rsidR="00DE2FE5" w:rsidRPr="00F7460F">
        <w:rPr>
          <w:rFonts w:cstheme="minorHAnsi"/>
          <w:sz w:val="22"/>
          <w:szCs w:val="22"/>
        </w:rPr>
        <w:t xml:space="preserve">potentially </w:t>
      </w:r>
      <w:r w:rsidR="002730D4" w:rsidRPr="00F7460F">
        <w:rPr>
          <w:rFonts w:cstheme="minorHAnsi"/>
          <w:sz w:val="22"/>
          <w:szCs w:val="22"/>
        </w:rPr>
        <w:t xml:space="preserve">make comparison to baseline survey </w:t>
      </w:r>
      <w:r w:rsidR="00617B60" w:rsidRPr="00F7460F">
        <w:rPr>
          <w:rFonts w:cstheme="minorHAnsi"/>
          <w:sz w:val="22"/>
          <w:szCs w:val="22"/>
        </w:rPr>
        <w:t>responses challenging</w:t>
      </w:r>
      <w:r w:rsidR="00C0674A" w:rsidRPr="00F7460F">
        <w:rPr>
          <w:rFonts w:cstheme="minorHAnsi"/>
          <w:sz w:val="22"/>
          <w:szCs w:val="22"/>
        </w:rPr>
        <w:t>, particularly for the survey section about healthcare usage</w:t>
      </w:r>
      <w:r w:rsidR="00312B43" w:rsidRPr="00F7460F">
        <w:rPr>
          <w:rFonts w:cstheme="minorHAnsi"/>
          <w:sz w:val="22"/>
          <w:szCs w:val="22"/>
        </w:rPr>
        <w:t xml:space="preserve"> but also potentially to the treatment burden and quality of life questions</w:t>
      </w:r>
      <w:r w:rsidR="002730D4" w:rsidRPr="00F7460F">
        <w:rPr>
          <w:rFonts w:cstheme="minorHAnsi"/>
          <w:sz w:val="22"/>
          <w:szCs w:val="22"/>
        </w:rPr>
        <w:t xml:space="preserve">. </w:t>
      </w:r>
      <w:r w:rsidR="00617B60" w:rsidRPr="00F7460F">
        <w:rPr>
          <w:rFonts w:cstheme="minorHAnsi"/>
          <w:sz w:val="22"/>
          <w:szCs w:val="22"/>
        </w:rPr>
        <w:t>However,</w:t>
      </w:r>
      <w:r w:rsidR="00EE3488" w:rsidRPr="00F7460F">
        <w:rPr>
          <w:rFonts w:cstheme="minorHAnsi"/>
          <w:sz w:val="22"/>
          <w:szCs w:val="22"/>
        </w:rPr>
        <w:t xml:space="preserve"> the</w:t>
      </w:r>
      <w:r w:rsidR="00617B60" w:rsidRPr="00F7460F">
        <w:rPr>
          <w:rFonts w:cstheme="minorHAnsi"/>
          <w:sz w:val="22"/>
          <w:szCs w:val="22"/>
        </w:rPr>
        <w:t xml:space="preserve"> e</w:t>
      </w:r>
      <w:r w:rsidR="00312B43" w:rsidRPr="00F7460F">
        <w:rPr>
          <w:rFonts w:cstheme="minorHAnsi"/>
          <w:sz w:val="22"/>
          <w:szCs w:val="22"/>
        </w:rPr>
        <w:t xml:space="preserve">ffect on responses to the MTBQ </w:t>
      </w:r>
      <w:r w:rsidR="00EE3488" w:rsidRPr="00F7460F">
        <w:rPr>
          <w:rFonts w:cstheme="minorHAnsi"/>
          <w:sz w:val="22"/>
          <w:szCs w:val="22"/>
        </w:rPr>
        <w:t>is</w:t>
      </w:r>
      <w:r w:rsidR="00312B43" w:rsidRPr="00F7460F">
        <w:rPr>
          <w:rFonts w:cstheme="minorHAnsi"/>
          <w:sz w:val="22"/>
          <w:szCs w:val="22"/>
        </w:rPr>
        <w:t xml:space="preserve"> </w:t>
      </w:r>
      <w:r w:rsidR="00617B60" w:rsidRPr="00F7460F">
        <w:rPr>
          <w:rFonts w:cstheme="minorHAnsi"/>
          <w:sz w:val="22"/>
          <w:szCs w:val="22"/>
        </w:rPr>
        <w:t>likely</w:t>
      </w:r>
      <w:r w:rsidR="00312B43" w:rsidRPr="00F7460F">
        <w:rPr>
          <w:rFonts w:cstheme="minorHAnsi"/>
          <w:sz w:val="22"/>
          <w:szCs w:val="22"/>
        </w:rPr>
        <w:t xml:space="preserve"> to be </w:t>
      </w:r>
      <w:r w:rsidR="00EE3488" w:rsidRPr="00F7460F">
        <w:rPr>
          <w:rFonts w:cstheme="minorHAnsi"/>
          <w:sz w:val="22"/>
          <w:szCs w:val="22"/>
        </w:rPr>
        <w:t>small</w:t>
      </w:r>
      <w:r w:rsidR="00312B43" w:rsidRPr="00F7460F">
        <w:rPr>
          <w:rFonts w:cstheme="minorHAnsi"/>
          <w:sz w:val="22"/>
          <w:szCs w:val="22"/>
        </w:rPr>
        <w:t xml:space="preserve"> due to the nature of the MTBQ questions</w:t>
      </w:r>
      <w:r w:rsidR="006F7F92" w:rsidRPr="00F7460F">
        <w:rPr>
          <w:rFonts w:cstheme="minorHAnsi"/>
          <w:sz w:val="22"/>
          <w:szCs w:val="22"/>
        </w:rPr>
        <w:t>, which ask about current rather than past experiences</w:t>
      </w:r>
      <w:r w:rsidR="00312B43" w:rsidRPr="00F7460F">
        <w:rPr>
          <w:rFonts w:cstheme="minorHAnsi"/>
          <w:sz w:val="22"/>
          <w:szCs w:val="22"/>
        </w:rPr>
        <w:t xml:space="preserve">. </w:t>
      </w:r>
      <w:r w:rsidR="002730D4" w:rsidRPr="00F7460F">
        <w:rPr>
          <w:rFonts w:cstheme="minorHAnsi"/>
          <w:sz w:val="22"/>
          <w:szCs w:val="22"/>
        </w:rPr>
        <w:t xml:space="preserve">Other limitations include </w:t>
      </w:r>
      <w:r w:rsidR="009F2ED5" w:rsidRPr="00F7460F">
        <w:rPr>
          <w:rFonts w:cstheme="minorHAnsi"/>
          <w:sz w:val="22"/>
          <w:szCs w:val="22"/>
        </w:rPr>
        <w:t xml:space="preserve">the </w:t>
      </w:r>
      <w:r w:rsidR="002730D4" w:rsidRPr="00F7460F">
        <w:rPr>
          <w:rFonts w:cstheme="minorHAnsi"/>
          <w:sz w:val="22"/>
          <w:szCs w:val="22"/>
        </w:rPr>
        <w:t>inability to infer causality from any observed associations.</w:t>
      </w:r>
      <w:r w:rsidR="00642487" w:rsidRPr="00F7460F">
        <w:rPr>
          <w:rFonts w:cstheme="minorHAnsi"/>
          <w:sz w:val="22"/>
          <w:szCs w:val="22"/>
        </w:rPr>
        <w:t xml:space="preserve"> </w:t>
      </w:r>
      <w:r w:rsidR="005F3D02" w:rsidRPr="00F7460F">
        <w:rPr>
          <w:rFonts w:cstheme="minorHAnsi"/>
          <w:sz w:val="22"/>
          <w:szCs w:val="22"/>
        </w:rPr>
        <w:t xml:space="preserve">It is also possible </w:t>
      </w:r>
      <w:r w:rsidR="005F3D02" w:rsidRPr="00F7460F">
        <w:rPr>
          <w:sz w:val="22"/>
          <w:szCs w:val="22"/>
        </w:rPr>
        <w:t xml:space="preserve">the screening of consented patients for participation could lead to a sample that is skewed towards the lower end of the treatment burden scale. </w:t>
      </w:r>
      <w:r w:rsidR="00642487" w:rsidRPr="00F7460F">
        <w:rPr>
          <w:rFonts w:cstheme="minorHAnsi"/>
          <w:sz w:val="22"/>
          <w:szCs w:val="22"/>
        </w:rPr>
        <w:t xml:space="preserve">Finally, a </w:t>
      </w:r>
      <w:r w:rsidR="006F7F92" w:rsidRPr="00F7460F">
        <w:rPr>
          <w:rFonts w:cstheme="minorHAnsi"/>
          <w:sz w:val="22"/>
          <w:szCs w:val="22"/>
        </w:rPr>
        <w:t xml:space="preserve">possible </w:t>
      </w:r>
      <w:r w:rsidR="00642487" w:rsidRPr="00F7460F">
        <w:rPr>
          <w:rFonts w:cstheme="minorHAnsi"/>
          <w:sz w:val="22"/>
          <w:szCs w:val="22"/>
        </w:rPr>
        <w:t>limitation is</w:t>
      </w:r>
      <w:r w:rsidR="006F7F92" w:rsidRPr="00F7460F">
        <w:rPr>
          <w:rFonts w:cstheme="minorHAnsi"/>
          <w:sz w:val="22"/>
          <w:szCs w:val="22"/>
        </w:rPr>
        <w:t xml:space="preserve"> </w:t>
      </w:r>
      <w:r w:rsidR="006F7F92" w:rsidRPr="00F7460F">
        <w:rPr>
          <w:rFonts w:cstheme="minorHAnsi"/>
          <w:sz w:val="22"/>
          <w:szCs w:val="22"/>
        </w:rPr>
        <w:lastRenderedPageBreak/>
        <w:t xml:space="preserve">that </w:t>
      </w:r>
      <w:r w:rsidR="00EE3488" w:rsidRPr="00F7460F">
        <w:rPr>
          <w:rFonts w:cstheme="minorHAnsi"/>
          <w:sz w:val="22"/>
          <w:szCs w:val="22"/>
        </w:rPr>
        <w:t xml:space="preserve">metrics </w:t>
      </w:r>
      <w:r w:rsidR="006F7F92" w:rsidRPr="00F7460F">
        <w:rPr>
          <w:rFonts w:cstheme="minorHAnsi"/>
          <w:sz w:val="22"/>
          <w:szCs w:val="22"/>
        </w:rPr>
        <w:t xml:space="preserve">available in routine data may not sufficiently reflect experiences of treatment burden. </w:t>
      </w:r>
      <w:r w:rsidR="009F2ED5" w:rsidRPr="00F7460F">
        <w:rPr>
          <w:rFonts w:cstheme="minorHAnsi"/>
          <w:sz w:val="22"/>
          <w:szCs w:val="22"/>
        </w:rPr>
        <w:t>This may be particularly true given high treatment burden was associated with markers of capacity (health literacy, financial resource) (1</w:t>
      </w:r>
      <w:r w:rsidR="00987DE0">
        <w:rPr>
          <w:rFonts w:cstheme="minorHAnsi"/>
          <w:sz w:val="22"/>
          <w:szCs w:val="22"/>
        </w:rPr>
        <w:t>7</w:t>
      </w:r>
      <w:r w:rsidR="009F2ED5" w:rsidRPr="00F7460F">
        <w:rPr>
          <w:rFonts w:cstheme="minorHAnsi"/>
          <w:sz w:val="22"/>
          <w:szCs w:val="22"/>
        </w:rPr>
        <w:t xml:space="preserve">), which are not routinely collected. </w:t>
      </w:r>
      <w:r w:rsidR="006F7F92" w:rsidRPr="00F7460F">
        <w:rPr>
          <w:rFonts w:cstheme="minorHAnsi"/>
          <w:sz w:val="22"/>
          <w:szCs w:val="22"/>
        </w:rPr>
        <w:t xml:space="preserve">However, this will be an important part of the exploration of the feasibility of developing a </w:t>
      </w:r>
      <w:r w:rsidR="00EE3488" w:rsidRPr="00F7460F">
        <w:rPr>
          <w:rFonts w:cstheme="minorHAnsi"/>
          <w:sz w:val="22"/>
          <w:szCs w:val="22"/>
        </w:rPr>
        <w:t xml:space="preserve">high </w:t>
      </w:r>
      <w:r w:rsidR="006F7F92" w:rsidRPr="00F7460F">
        <w:rPr>
          <w:rFonts w:cstheme="minorHAnsi"/>
          <w:sz w:val="22"/>
          <w:szCs w:val="22"/>
        </w:rPr>
        <w:t>treatment burden risk tool.</w:t>
      </w:r>
    </w:p>
    <w:p w14:paraId="36CB34AC" w14:textId="3F59282E" w:rsidR="002730D4" w:rsidRPr="005D3DCF" w:rsidRDefault="00642487" w:rsidP="007C0327">
      <w:pPr>
        <w:spacing w:after="0" w:line="360" w:lineRule="auto"/>
        <w:rPr>
          <w:rFonts w:cstheme="minorHAnsi"/>
        </w:rPr>
      </w:pPr>
      <w:r w:rsidRPr="005D3DCF">
        <w:rPr>
          <w:rFonts w:cstheme="minorHAnsi"/>
        </w:rPr>
        <w:t xml:space="preserve"> </w:t>
      </w:r>
    </w:p>
    <w:p w14:paraId="0C7EC727" w14:textId="77777777" w:rsidR="00307BBC" w:rsidRDefault="0025578F" w:rsidP="0025578F">
      <w:pPr>
        <w:rPr>
          <w:rFonts w:cstheme="minorHAnsi"/>
          <w:b/>
          <w:bCs/>
          <w:sz w:val="32"/>
          <w:szCs w:val="32"/>
        </w:rPr>
      </w:pPr>
      <w:r w:rsidRPr="00705E03">
        <w:rPr>
          <w:rFonts w:cstheme="minorHAnsi"/>
          <w:b/>
          <w:bCs/>
          <w:sz w:val="32"/>
          <w:szCs w:val="32"/>
        </w:rPr>
        <w:t>Acknowledgements</w:t>
      </w:r>
    </w:p>
    <w:p w14:paraId="4CA024D9" w14:textId="77FB7789" w:rsidR="0025578F" w:rsidRPr="00705E03" w:rsidRDefault="0025578F" w:rsidP="0025578F">
      <w:pPr>
        <w:rPr>
          <w:rFonts w:cstheme="minorHAnsi"/>
          <w:b/>
          <w:bCs/>
          <w:sz w:val="32"/>
          <w:szCs w:val="32"/>
        </w:rPr>
      </w:pPr>
      <w:r>
        <w:rPr>
          <w:rFonts w:cstheme="minorHAnsi"/>
        </w:rPr>
        <w:t xml:space="preserve">The authors wish to thank the following members of the ARC Wessex Treatment Burden Group: </w:t>
      </w:r>
      <w:r w:rsidRPr="003B6C23">
        <w:rPr>
          <w:b/>
          <w:bCs/>
        </w:rPr>
        <w:t>Mr Sam Crowe</w:t>
      </w:r>
      <w:r>
        <w:rPr>
          <w:bCs/>
        </w:rPr>
        <w:t xml:space="preserve"> –Public Health Dorset; </w:t>
      </w:r>
      <w:r w:rsidRPr="003B6C23">
        <w:rPr>
          <w:b/>
          <w:bCs/>
        </w:rPr>
        <w:t>Mr Eric Compton</w:t>
      </w:r>
      <w:r w:rsidRPr="00747BFD">
        <w:rPr>
          <w:bCs/>
        </w:rPr>
        <w:t xml:space="preserve"> – PPI contributor, Portsmouth</w:t>
      </w:r>
      <w:r>
        <w:rPr>
          <w:bCs/>
        </w:rPr>
        <w:t xml:space="preserve">; </w:t>
      </w:r>
      <w:r w:rsidRPr="003B6C23">
        <w:rPr>
          <w:b/>
          <w:bCs/>
        </w:rPr>
        <w:t>Mrs Jean Hughes</w:t>
      </w:r>
      <w:r>
        <w:rPr>
          <w:bCs/>
        </w:rPr>
        <w:t xml:space="preserve"> – PPI contributor, Southampton; </w:t>
      </w:r>
      <w:r w:rsidRPr="003B6C23">
        <w:rPr>
          <w:b/>
          <w:bCs/>
        </w:rPr>
        <w:t>Dr Qian Tan</w:t>
      </w:r>
      <w:r>
        <w:rPr>
          <w:bCs/>
        </w:rPr>
        <w:t xml:space="preserve"> -Elderly Care, University Hospitals Southampton, HEI and NHS; </w:t>
      </w:r>
      <w:r w:rsidRPr="003B6C23">
        <w:rPr>
          <w:b/>
          <w:bCs/>
        </w:rPr>
        <w:t>Dr Mark Kelsey</w:t>
      </w:r>
      <w:r>
        <w:rPr>
          <w:bCs/>
        </w:rPr>
        <w:t xml:space="preserve">, Clinical Chair of Southampton City CCG and Clinical Lead for the Hampshire and Isle of Wight Digital Transformation Programme. The </w:t>
      </w:r>
      <w:r w:rsidR="00BD4CD3">
        <w:rPr>
          <w:bCs/>
        </w:rPr>
        <w:t xml:space="preserve">named authors of </w:t>
      </w:r>
      <w:proofErr w:type="spellStart"/>
      <w:r w:rsidR="00BD4CD3">
        <w:rPr>
          <w:bCs/>
        </w:rPr>
        <w:t>thispaper</w:t>
      </w:r>
      <w:proofErr w:type="spellEnd"/>
      <w:r w:rsidR="00BD4CD3">
        <w:rPr>
          <w:bCs/>
        </w:rPr>
        <w:t xml:space="preserve"> are also members of the ARC Wessex Treatment Burden Group. Lead authors for this group: </w:t>
      </w:r>
      <w:hyperlink r:id="rId11" w:history="1">
        <w:r w:rsidR="00BD4CD3" w:rsidRPr="003406BB">
          <w:rPr>
            <w:rStyle w:val="Hyperlink"/>
            <w:bCs/>
          </w:rPr>
          <w:t>S.Fraser@soton.ac.uk</w:t>
        </w:r>
      </w:hyperlink>
      <w:r w:rsidR="00BD4CD3">
        <w:rPr>
          <w:bCs/>
        </w:rPr>
        <w:t xml:space="preserve"> and </w:t>
      </w:r>
      <w:hyperlink r:id="rId12" w:history="1">
        <w:r w:rsidR="00BD4CD3" w:rsidRPr="003406BB">
          <w:rPr>
            <w:rStyle w:val="Hyperlink"/>
            <w:bCs/>
          </w:rPr>
          <w:t>H.O.Hounkpatin@soton.ac.uk</w:t>
        </w:r>
      </w:hyperlink>
      <w:r w:rsidR="00BD4CD3">
        <w:rPr>
          <w:bCs/>
        </w:rPr>
        <w:t>.</w:t>
      </w:r>
    </w:p>
    <w:p w14:paraId="24F544B9" w14:textId="77777777" w:rsidR="00BD4CD3" w:rsidRDefault="00BD4CD3" w:rsidP="0025578F">
      <w:pPr>
        <w:rPr>
          <w:bCs/>
        </w:rPr>
      </w:pPr>
    </w:p>
    <w:p w14:paraId="67B4038D" w14:textId="36B2778B" w:rsidR="0025578F" w:rsidRPr="00747BFD" w:rsidRDefault="0025578F" w:rsidP="0025578F">
      <w:pPr>
        <w:rPr>
          <w:bCs/>
        </w:rPr>
      </w:pPr>
    </w:p>
    <w:p w14:paraId="37D82527" w14:textId="7FF91641" w:rsidR="0025578F" w:rsidRDefault="0025578F" w:rsidP="0025578F">
      <w:pPr>
        <w:rPr>
          <w:bCs/>
        </w:rPr>
      </w:pPr>
    </w:p>
    <w:p w14:paraId="61CC8017" w14:textId="7A160FBF" w:rsidR="00CE0D36" w:rsidRDefault="00CE0D36">
      <w:pPr>
        <w:rPr>
          <w:rFonts w:cstheme="minorHAnsi"/>
        </w:rPr>
      </w:pPr>
      <w:r>
        <w:rPr>
          <w:rFonts w:cstheme="minorHAnsi"/>
        </w:rPr>
        <w:br w:type="page"/>
      </w:r>
    </w:p>
    <w:p w14:paraId="279C1B02" w14:textId="506585D8" w:rsidR="00C63EC4" w:rsidRPr="00A572B6" w:rsidRDefault="00C63EC4" w:rsidP="007C0327">
      <w:pPr>
        <w:spacing w:after="0" w:line="360" w:lineRule="auto"/>
        <w:rPr>
          <w:rFonts w:cstheme="minorHAnsi"/>
          <w:b/>
          <w:bCs/>
        </w:rPr>
      </w:pPr>
      <w:r w:rsidRPr="00A572B6">
        <w:rPr>
          <w:rFonts w:cstheme="minorHAnsi"/>
          <w:b/>
          <w:bCs/>
        </w:rPr>
        <w:lastRenderedPageBreak/>
        <w:t xml:space="preserve">References </w:t>
      </w:r>
    </w:p>
    <w:p w14:paraId="329D218F" w14:textId="5832BC84" w:rsidR="00C63EC4" w:rsidRPr="00A572B6" w:rsidRDefault="00C63EC4" w:rsidP="007C0327">
      <w:pPr>
        <w:pStyle w:val="ListParagraph"/>
        <w:numPr>
          <w:ilvl w:val="0"/>
          <w:numId w:val="6"/>
        </w:numPr>
        <w:spacing w:line="360" w:lineRule="auto"/>
        <w:rPr>
          <w:rFonts w:asciiTheme="minorHAnsi" w:hAnsiTheme="minorHAnsi" w:cstheme="minorHAnsi"/>
          <w:sz w:val="22"/>
          <w:szCs w:val="22"/>
        </w:rPr>
      </w:pPr>
      <w:r w:rsidRPr="00A572B6">
        <w:rPr>
          <w:rFonts w:asciiTheme="minorHAnsi" w:hAnsiTheme="minorHAnsi" w:cstheme="minorHAnsi"/>
          <w:sz w:val="22"/>
          <w:szCs w:val="22"/>
        </w:rPr>
        <w:t xml:space="preserve">Mair FS, May CR. Thinking about the burden of treatment. </w:t>
      </w:r>
      <w:r w:rsidRPr="00A572B6">
        <w:rPr>
          <w:rFonts w:asciiTheme="minorHAnsi" w:hAnsiTheme="minorHAnsi" w:cstheme="minorHAnsi"/>
          <w:iCs/>
          <w:sz w:val="22"/>
          <w:szCs w:val="22"/>
        </w:rPr>
        <w:t>BMJ</w:t>
      </w:r>
      <w:r w:rsidR="00A572B6" w:rsidRPr="00A572B6">
        <w:rPr>
          <w:rFonts w:asciiTheme="minorHAnsi" w:hAnsiTheme="minorHAnsi" w:cstheme="minorHAnsi"/>
          <w:iCs/>
          <w:sz w:val="22"/>
          <w:szCs w:val="22"/>
        </w:rPr>
        <w:t>.</w:t>
      </w:r>
      <w:r w:rsidRPr="00A572B6">
        <w:rPr>
          <w:rFonts w:asciiTheme="minorHAnsi" w:hAnsiTheme="minorHAnsi" w:cstheme="minorHAnsi"/>
          <w:iCs/>
          <w:sz w:val="22"/>
          <w:szCs w:val="22"/>
        </w:rPr>
        <w:t xml:space="preserve"> </w:t>
      </w:r>
      <w:r w:rsidRPr="00A572B6">
        <w:rPr>
          <w:rFonts w:asciiTheme="minorHAnsi" w:hAnsiTheme="minorHAnsi" w:cstheme="minorHAnsi"/>
          <w:sz w:val="22"/>
          <w:szCs w:val="22"/>
        </w:rPr>
        <w:t xml:space="preserve">2014;349 </w:t>
      </w:r>
    </w:p>
    <w:p w14:paraId="511D4A2F" w14:textId="65DE9388" w:rsidR="00C63EC4" w:rsidRPr="00A572B6" w:rsidRDefault="00C63EC4" w:rsidP="007C0327">
      <w:pPr>
        <w:pStyle w:val="ListParagraph"/>
        <w:numPr>
          <w:ilvl w:val="0"/>
          <w:numId w:val="6"/>
        </w:numPr>
        <w:spacing w:line="360" w:lineRule="auto"/>
        <w:rPr>
          <w:rFonts w:asciiTheme="minorHAnsi" w:hAnsiTheme="minorHAnsi" w:cstheme="minorHAnsi"/>
          <w:iCs/>
          <w:sz w:val="22"/>
          <w:szCs w:val="22"/>
        </w:rPr>
      </w:pPr>
      <w:r w:rsidRPr="00A572B6">
        <w:rPr>
          <w:rFonts w:asciiTheme="minorHAnsi" w:hAnsiTheme="minorHAnsi" w:cstheme="minorHAnsi"/>
          <w:sz w:val="22"/>
          <w:szCs w:val="22"/>
        </w:rPr>
        <w:t>Sav A, King MA, Whitty JA</w:t>
      </w:r>
      <w:r w:rsidRPr="006D4AEF">
        <w:rPr>
          <w:rFonts w:asciiTheme="minorHAnsi" w:hAnsiTheme="minorHAnsi" w:cstheme="minorHAnsi"/>
          <w:sz w:val="22"/>
          <w:szCs w:val="22"/>
        </w:rPr>
        <w:t xml:space="preserve">, </w:t>
      </w:r>
      <w:r w:rsidR="006D4AEF" w:rsidRPr="00705E03">
        <w:rPr>
          <w:rFonts w:asciiTheme="minorHAnsi" w:hAnsiTheme="minorHAnsi" w:cstheme="minorHAnsi"/>
          <w:color w:val="212121"/>
          <w:sz w:val="22"/>
          <w:szCs w:val="22"/>
          <w:shd w:val="clear" w:color="auto" w:fill="FFFFFF"/>
        </w:rPr>
        <w:t>Kendall E, McMillan SS, Kelly F,</w:t>
      </w:r>
      <w:r w:rsidR="006D4AEF">
        <w:rPr>
          <w:rFonts w:ascii="Segoe UI" w:hAnsi="Segoe UI" w:cs="Segoe UI"/>
          <w:color w:val="212121"/>
          <w:shd w:val="clear" w:color="auto" w:fill="FFFFFF"/>
        </w:rPr>
        <w:t xml:space="preserve"> </w:t>
      </w:r>
      <w:r w:rsidRPr="00A572B6">
        <w:rPr>
          <w:rFonts w:asciiTheme="minorHAnsi" w:hAnsiTheme="minorHAnsi" w:cstheme="minorHAnsi"/>
          <w:sz w:val="22"/>
          <w:szCs w:val="22"/>
        </w:rPr>
        <w:t xml:space="preserve">et al. Burden of treatment for chronic illness: a concept analysis and review of the literature. </w:t>
      </w:r>
      <w:r w:rsidRPr="00A572B6">
        <w:rPr>
          <w:rFonts w:asciiTheme="minorHAnsi" w:hAnsiTheme="minorHAnsi" w:cstheme="minorHAnsi"/>
          <w:iCs/>
          <w:sz w:val="22"/>
          <w:szCs w:val="22"/>
        </w:rPr>
        <w:t>Health Expect. 2015;18(3):312-24.</w:t>
      </w:r>
    </w:p>
    <w:p w14:paraId="6BB3C1BE" w14:textId="3DF02CC8" w:rsidR="00C63EC4" w:rsidRPr="00A572B6" w:rsidRDefault="00C63EC4" w:rsidP="007C0327">
      <w:pPr>
        <w:pStyle w:val="ListParagraph"/>
        <w:numPr>
          <w:ilvl w:val="0"/>
          <w:numId w:val="6"/>
        </w:numPr>
        <w:spacing w:line="360" w:lineRule="auto"/>
        <w:rPr>
          <w:rFonts w:asciiTheme="minorHAnsi" w:hAnsiTheme="minorHAnsi" w:cstheme="minorHAnsi"/>
          <w:sz w:val="22"/>
          <w:szCs w:val="22"/>
        </w:rPr>
      </w:pPr>
      <w:proofErr w:type="spellStart"/>
      <w:r w:rsidRPr="00A572B6">
        <w:rPr>
          <w:rFonts w:asciiTheme="minorHAnsi" w:hAnsiTheme="minorHAnsi" w:cstheme="minorHAnsi"/>
          <w:sz w:val="22"/>
          <w:szCs w:val="22"/>
        </w:rPr>
        <w:t>Shippee</w:t>
      </w:r>
      <w:proofErr w:type="spellEnd"/>
      <w:r w:rsidRPr="00A572B6">
        <w:rPr>
          <w:rFonts w:asciiTheme="minorHAnsi" w:hAnsiTheme="minorHAnsi" w:cstheme="minorHAnsi"/>
          <w:sz w:val="22"/>
          <w:szCs w:val="22"/>
        </w:rPr>
        <w:t xml:space="preserve"> ND, Shah ND, May CR, Mair FS, </w:t>
      </w:r>
      <w:proofErr w:type="spellStart"/>
      <w:r w:rsidRPr="00A572B6">
        <w:rPr>
          <w:rFonts w:asciiTheme="minorHAnsi" w:hAnsiTheme="minorHAnsi" w:cstheme="minorHAnsi"/>
          <w:sz w:val="22"/>
          <w:szCs w:val="22"/>
        </w:rPr>
        <w:t>Montori</w:t>
      </w:r>
      <w:proofErr w:type="spellEnd"/>
      <w:r w:rsidRPr="00A572B6">
        <w:rPr>
          <w:rFonts w:asciiTheme="minorHAnsi" w:hAnsiTheme="minorHAnsi" w:cstheme="minorHAnsi"/>
          <w:sz w:val="22"/>
          <w:szCs w:val="22"/>
        </w:rPr>
        <w:t xml:space="preserve"> VM. Cumulative complexity: a functional, patient-</w:t>
      </w:r>
      <w:proofErr w:type="spellStart"/>
      <w:r w:rsidRPr="00A572B6">
        <w:rPr>
          <w:rFonts w:asciiTheme="minorHAnsi" w:hAnsiTheme="minorHAnsi" w:cstheme="minorHAnsi"/>
          <w:sz w:val="22"/>
          <w:szCs w:val="22"/>
        </w:rPr>
        <w:t>centered</w:t>
      </w:r>
      <w:proofErr w:type="spellEnd"/>
      <w:r w:rsidRPr="00A572B6">
        <w:rPr>
          <w:rFonts w:asciiTheme="minorHAnsi" w:hAnsiTheme="minorHAnsi" w:cstheme="minorHAnsi"/>
          <w:sz w:val="22"/>
          <w:szCs w:val="22"/>
        </w:rPr>
        <w:t xml:space="preserve"> model of patient complexity can improve research and practice. J Clin </w:t>
      </w:r>
      <w:proofErr w:type="spellStart"/>
      <w:r w:rsidRPr="00A572B6">
        <w:rPr>
          <w:rFonts w:asciiTheme="minorHAnsi" w:hAnsiTheme="minorHAnsi" w:cstheme="minorHAnsi"/>
          <w:sz w:val="22"/>
          <w:szCs w:val="22"/>
        </w:rPr>
        <w:t>Epidemiol</w:t>
      </w:r>
      <w:proofErr w:type="spellEnd"/>
      <w:r w:rsidRPr="00A572B6">
        <w:rPr>
          <w:rFonts w:asciiTheme="minorHAnsi" w:hAnsiTheme="minorHAnsi" w:cstheme="minorHAnsi"/>
          <w:sz w:val="22"/>
          <w:szCs w:val="22"/>
        </w:rPr>
        <w:t xml:space="preserve">. 2012;65(10):1041-51. </w:t>
      </w:r>
    </w:p>
    <w:p w14:paraId="6838E2FD" w14:textId="77777777" w:rsidR="002911FB" w:rsidRDefault="00C63EC4" w:rsidP="002911FB">
      <w:pPr>
        <w:pStyle w:val="ListParagraph"/>
        <w:numPr>
          <w:ilvl w:val="0"/>
          <w:numId w:val="6"/>
        </w:numPr>
        <w:spacing w:line="360" w:lineRule="auto"/>
        <w:rPr>
          <w:rFonts w:asciiTheme="minorHAnsi" w:hAnsiTheme="minorHAnsi" w:cstheme="minorHAnsi"/>
          <w:iCs/>
          <w:sz w:val="22"/>
          <w:szCs w:val="22"/>
        </w:rPr>
      </w:pPr>
      <w:r w:rsidRPr="00A572B6">
        <w:rPr>
          <w:rFonts w:asciiTheme="minorHAnsi" w:hAnsiTheme="minorHAnsi" w:cstheme="minorHAnsi"/>
          <w:sz w:val="22"/>
          <w:szCs w:val="22"/>
        </w:rPr>
        <w:t xml:space="preserve">Eton DT, </w:t>
      </w:r>
      <w:proofErr w:type="spellStart"/>
      <w:r w:rsidRPr="00A572B6">
        <w:rPr>
          <w:rFonts w:asciiTheme="minorHAnsi" w:hAnsiTheme="minorHAnsi" w:cstheme="minorHAnsi"/>
          <w:sz w:val="22"/>
          <w:szCs w:val="22"/>
        </w:rPr>
        <w:t>Ramalho</w:t>
      </w:r>
      <w:proofErr w:type="spellEnd"/>
      <w:r w:rsidRPr="00A572B6">
        <w:rPr>
          <w:rFonts w:asciiTheme="minorHAnsi" w:hAnsiTheme="minorHAnsi" w:cstheme="minorHAnsi"/>
          <w:sz w:val="22"/>
          <w:szCs w:val="22"/>
        </w:rPr>
        <w:t xml:space="preserve"> de Oliveira D, </w:t>
      </w:r>
      <w:proofErr w:type="spellStart"/>
      <w:r w:rsidRPr="00A572B6">
        <w:rPr>
          <w:rFonts w:asciiTheme="minorHAnsi" w:hAnsiTheme="minorHAnsi" w:cstheme="minorHAnsi"/>
          <w:sz w:val="22"/>
          <w:szCs w:val="22"/>
        </w:rPr>
        <w:t>Egginton</w:t>
      </w:r>
      <w:proofErr w:type="spellEnd"/>
      <w:r w:rsidRPr="00A572B6">
        <w:rPr>
          <w:rFonts w:asciiTheme="minorHAnsi" w:hAnsiTheme="minorHAnsi" w:cstheme="minorHAnsi"/>
          <w:sz w:val="22"/>
          <w:szCs w:val="22"/>
        </w:rPr>
        <w:t xml:space="preserve"> JS,</w:t>
      </w:r>
      <w:r w:rsidR="006D4AEF">
        <w:rPr>
          <w:rFonts w:asciiTheme="minorHAnsi" w:hAnsiTheme="minorHAnsi" w:cstheme="minorHAnsi"/>
          <w:sz w:val="22"/>
          <w:szCs w:val="22"/>
        </w:rPr>
        <w:t xml:space="preserve"> </w:t>
      </w:r>
      <w:r w:rsidR="006D4AEF" w:rsidRPr="00705E03">
        <w:rPr>
          <w:rFonts w:asciiTheme="minorHAnsi" w:hAnsiTheme="minorHAnsi" w:cstheme="minorHAnsi"/>
          <w:color w:val="212121"/>
          <w:sz w:val="22"/>
          <w:szCs w:val="22"/>
          <w:shd w:val="clear" w:color="auto" w:fill="FFFFFF"/>
        </w:rPr>
        <w:t>Ridgeway JL, Odell L, May CR,</w:t>
      </w:r>
      <w:r w:rsidRPr="006D4AEF">
        <w:rPr>
          <w:rFonts w:asciiTheme="minorHAnsi" w:hAnsiTheme="minorHAnsi" w:cstheme="minorHAnsi"/>
          <w:sz w:val="22"/>
          <w:szCs w:val="22"/>
        </w:rPr>
        <w:t xml:space="preserve"> et</w:t>
      </w:r>
      <w:r w:rsidRPr="00A572B6">
        <w:rPr>
          <w:rFonts w:asciiTheme="minorHAnsi" w:hAnsiTheme="minorHAnsi" w:cstheme="minorHAnsi"/>
          <w:sz w:val="22"/>
          <w:szCs w:val="22"/>
        </w:rPr>
        <w:t xml:space="preserve"> al. Building a measurement framework of burden of treatment in complex patients with chronic conditions: a qualitative study. </w:t>
      </w:r>
      <w:r w:rsidRPr="00A572B6">
        <w:rPr>
          <w:rFonts w:asciiTheme="minorHAnsi" w:hAnsiTheme="minorHAnsi" w:cstheme="minorHAnsi"/>
          <w:iCs/>
          <w:sz w:val="22"/>
          <w:szCs w:val="22"/>
        </w:rPr>
        <w:t xml:space="preserve">Patient </w:t>
      </w:r>
      <w:proofErr w:type="spellStart"/>
      <w:r w:rsidRPr="00A572B6">
        <w:rPr>
          <w:rFonts w:asciiTheme="minorHAnsi" w:hAnsiTheme="minorHAnsi" w:cstheme="minorHAnsi"/>
          <w:iCs/>
          <w:sz w:val="22"/>
          <w:szCs w:val="22"/>
        </w:rPr>
        <w:t>Relat</w:t>
      </w:r>
      <w:proofErr w:type="spellEnd"/>
      <w:r w:rsidRPr="00A572B6">
        <w:rPr>
          <w:rFonts w:asciiTheme="minorHAnsi" w:hAnsiTheme="minorHAnsi" w:cstheme="minorHAnsi"/>
          <w:iCs/>
          <w:sz w:val="22"/>
          <w:szCs w:val="22"/>
        </w:rPr>
        <w:t xml:space="preserve"> Outcome Meas. </w:t>
      </w:r>
      <w:proofErr w:type="gramStart"/>
      <w:r w:rsidRPr="00A572B6">
        <w:rPr>
          <w:rFonts w:asciiTheme="minorHAnsi" w:hAnsiTheme="minorHAnsi" w:cstheme="minorHAnsi"/>
          <w:iCs/>
          <w:sz w:val="22"/>
          <w:szCs w:val="22"/>
        </w:rPr>
        <w:t>2012;3:39</w:t>
      </w:r>
      <w:proofErr w:type="gramEnd"/>
      <w:r w:rsidRPr="00A572B6">
        <w:rPr>
          <w:rFonts w:asciiTheme="minorHAnsi" w:hAnsiTheme="minorHAnsi" w:cstheme="minorHAnsi"/>
          <w:iCs/>
          <w:sz w:val="22"/>
          <w:szCs w:val="22"/>
        </w:rPr>
        <w:t>-49</w:t>
      </w:r>
      <w:r w:rsidR="00066FE2">
        <w:rPr>
          <w:rFonts w:asciiTheme="minorHAnsi" w:hAnsiTheme="minorHAnsi" w:cstheme="minorHAnsi"/>
          <w:iCs/>
          <w:sz w:val="22"/>
          <w:szCs w:val="22"/>
        </w:rPr>
        <w:t>.</w:t>
      </w:r>
    </w:p>
    <w:p w14:paraId="6E7B9BAE" w14:textId="4F56E7A2" w:rsidR="00987DE0" w:rsidRPr="00705E03" w:rsidRDefault="002911FB" w:rsidP="002911FB">
      <w:pPr>
        <w:pStyle w:val="ListParagraph"/>
        <w:numPr>
          <w:ilvl w:val="0"/>
          <w:numId w:val="6"/>
        </w:numPr>
        <w:spacing w:line="360" w:lineRule="auto"/>
        <w:rPr>
          <w:rFonts w:asciiTheme="minorHAnsi" w:eastAsia="Times New Roman" w:hAnsiTheme="minorHAnsi" w:cstheme="minorHAnsi"/>
          <w:color w:val="333333"/>
          <w:sz w:val="22"/>
          <w:szCs w:val="22"/>
        </w:rPr>
      </w:pPr>
      <w:r w:rsidRPr="00705E03">
        <w:rPr>
          <w:rFonts w:asciiTheme="minorHAnsi" w:eastAsia="Times New Roman" w:hAnsiTheme="minorHAnsi" w:cstheme="minorHAnsi"/>
          <w:color w:val="333333"/>
          <w:sz w:val="22"/>
          <w:szCs w:val="22"/>
        </w:rPr>
        <w:t>Hounkpatin HO, Harris S, Fraser SDS, Day J, Mindell J</w:t>
      </w:r>
      <w:r>
        <w:rPr>
          <w:rFonts w:asciiTheme="minorHAnsi" w:eastAsia="Times New Roman" w:hAnsiTheme="minorHAnsi" w:cstheme="minorHAnsi"/>
          <w:color w:val="333333"/>
          <w:sz w:val="22"/>
          <w:szCs w:val="22"/>
        </w:rPr>
        <w:t>S</w:t>
      </w:r>
      <w:r w:rsidRPr="00705E03">
        <w:rPr>
          <w:rFonts w:asciiTheme="minorHAnsi" w:eastAsia="Times New Roman" w:hAnsiTheme="minorHAnsi" w:cstheme="minorHAnsi"/>
          <w:color w:val="333333"/>
          <w:sz w:val="22"/>
          <w:szCs w:val="22"/>
        </w:rPr>
        <w:t>, Taal MW, et al.</w:t>
      </w:r>
      <w:r w:rsidRPr="00705E03">
        <w:rPr>
          <w:rFonts w:asciiTheme="minorHAnsi" w:eastAsia="Times New Roman" w:hAnsiTheme="minorHAnsi" w:cstheme="minorHAnsi"/>
          <w:i/>
          <w:iCs/>
          <w:color w:val="333333"/>
          <w:sz w:val="22"/>
          <w:szCs w:val="22"/>
        </w:rPr>
        <w:t xml:space="preserve"> </w:t>
      </w:r>
      <w:r w:rsidRPr="00705E03">
        <w:rPr>
          <w:rFonts w:asciiTheme="minorHAnsi" w:eastAsia="Times New Roman" w:hAnsiTheme="minorHAnsi" w:cstheme="minorHAnsi"/>
          <w:color w:val="333333"/>
          <w:sz w:val="22"/>
          <w:szCs w:val="22"/>
        </w:rPr>
        <w:t xml:space="preserve">Prevalence of chronic kidney disease in adults in England: comparison of nationally representative cross-sectional surveys from 2003 to 2016. </w:t>
      </w:r>
      <w:r w:rsidRPr="00705E03">
        <w:rPr>
          <w:rFonts w:asciiTheme="minorHAnsi" w:eastAsia="Times New Roman" w:hAnsiTheme="minorHAnsi" w:cstheme="minorHAnsi"/>
          <w:i/>
          <w:iCs/>
          <w:color w:val="333333"/>
          <w:sz w:val="22"/>
          <w:szCs w:val="22"/>
        </w:rPr>
        <w:t>BMJ Open </w:t>
      </w:r>
      <w:r w:rsidRPr="00705E03">
        <w:rPr>
          <w:rFonts w:asciiTheme="minorHAnsi" w:eastAsia="Times New Roman" w:hAnsiTheme="minorHAnsi" w:cstheme="minorHAnsi"/>
          <w:color w:val="333333"/>
          <w:sz w:val="22"/>
          <w:szCs w:val="22"/>
        </w:rPr>
        <w:t>2020;</w:t>
      </w:r>
      <w:proofErr w:type="gramStart"/>
      <w:r w:rsidRPr="00705E03">
        <w:rPr>
          <w:rFonts w:asciiTheme="minorHAnsi" w:eastAsia="Times New Roman" w:hAnsiTheme="minorHAnsi" w:cstheme="minorHAnsi"/>
          <w:b/>
          <w:bCs/>
          <w:color w:val="333333"/>
          <w:sz w:val="22"/>
          <w:szCs w:val="22"/>
        </w:rPr>
        <w:t>10:</w:t>
      </w:r>
      <w:r w:rsidRPr="00705E03">
        <w:rPr>
          <w:rFonts w:asciiTheme="minorHAnsi" w:eastAsia="Times New Roman" w:hAnsiTheme="minorHAnsi" w:cstheme="minorHAnsi"/>
          <w:color w:val="333333"/>
          <w:sz w:val="22"/>
          <w:szCs w:val="22"/>
        </w:rPr>
        <w:t>e</w:t>
      </w:r>
      <w:proofErr w:type="gramEnd"/>
      <w:r w:rsidRPr="00705E03">
        <w:rPr>
          <w:rFonts w:asciiTheme="minorHAnsi" w:eastAsia="Times New Roman" w:hAnsiTheme="minorHAnsi" w:cstheme="minorHAnsi"/>
          <w:color w:val="333333"/>
          <w:sz w:val="22"/>
          <w:szCs w:val="22"/>
        </w:rPr>
        <w:t>038423</w:t>
      </w:r>
    </w:p>
    <w:p w14:paraId="6171F238" w14:textId="4B03DE7F" w:rsidR="00C63EC4" w:rsidRPr="00A572B6" w:rsidRDefault="00C63EC4" w:rsidP="007C0327">
      <w:pPr>
        <w:pStyle w:val="ListParagraph"/>
        <w:numPr>
          <w:ilvl w:val="0"/>
          <w:numId w:val="6"/>
        </w:numPr>
        <w:spacing w:line="360" w:lineRule="auto"/>
        <w:rPr>
          <w:rFonts w:asciiTheme="minorHAnsi" w:hAnsiTheme="minorHAnsi" w:cstheme="minorHAnsi"/>
          <w:sz w:val="22"/>
          <w:szCs w:val="22"/>
        </w:rPr>
      </w:pPr>
      <w:r w:rsidRPr="00A572B6">
        <w:rPr>
          <w:rFonts w:asciiTheme="minorHAnsi" w:hAnsiTheme="minorHAnsi" w:cstheme="minorHAnsi"/>
          <w:sz w:val="22"/>
          <w:szCs w:val="22"/>
        </w:rPr>
        <w:t xml:space="preserve">National Institute for Health and Care Excellence (NICE). </w:t>
      </w:r>
      <w:r w:rsidRPr="00A572B6">
        <w:rPr>
          <w:rFonts w:asciiTheme="minorHAnsi" w:hAnsiTheme="minorHAnsi" w:cstheme="minorHAnsi"/>
          <w:iCs/>
          <w:sz w:val="22"/>
          <w:szCs w:val="22"/>
        </w:rPr>
        <w:t xml:space="preserve">Multimorbidity: clinical assessment and management </w:t>
      </w:r>
      <w:r w:rsidRPr="00A572B6">
        <w:rPr>
          <w:rFonts w:asciiTheme="minorHAnsi" w:hAnsiTheme="minorHAnsi" w:cstheme="minorHAnsi"/>
          <w:sz w:val="22"/>
          <w:szCs w:val="22"/>
        </w:rPr>
        <w:t xml:space="preserve">(NG56). Sept 2016. </w:t>
      </w:r>
    </w:p>
    <w:p w14:paraId="00AB421D" w14:textId="30DB06D4" w:rsidR="00071AD8" w:rsidRPr="00071AD8" w:rsidRDefault="00071AD8" w:rsidP="007C0327">
      <w:pPr>
        <w:pStyle w:val="ListParagraph"/>
        <w:numPr>
          <w:ilvl w:val="0"/>
          <w:numId w:val="6"/>
        </w:numPr>
        <w:spacing w:line="360" w:lineRule="auto"/>
        <w:jc w:val="both"/>
        <w:rPr>
          <w:rFonts w:asciiTheme="minorHAnsi" w:hAnsiTheme="minorHAnsi" w:cstheme="minorHAnsi"/>
          <w:sz w:val="22"/>
          <w:szCs w:val="22"/>
        </w:rPr>
      </w:pPr>
      <w:r w:rsidRPr="00F7460F">
        <w:rPr>
          <w:rFonts w:asciiTheme="minorHAnsi" w:hAnsiTheme="minorHAnsi" w:cstheme="minorHAnsi"/>
          <w:color w:val="000000"/>
          <w:sz w:val="22"/>
          <w:szCs w:val="22"/>
          <w:shd w:val="clear" w:color="auto" w:fill="FFFFFF"/>
        </w:rPr>
        <w:t xml:space="preserve">May CR, Eton DT, Boehmer K, </w:t>
      </w:r>
      <w:r w:rsidR="006D4AEF">
        <w:rPr>
          <w:rFonts w:asciiTheme="minorHAnsi" w:hAnsiTheme="minorHAnsi" w:cstheme="minorHAnsi"/>
          <w:color w:val="000000"/>
          <w:sz w:val="22"/>
          <w:szCs w:val="22"/>
          <w:shd w:val="clear" w:color="auto" w:fill="FFFFFF"/>
        </w:rPr>
        <w:t xml:space="preserve">Gallacher K, Hunt K, MacDonald S, </w:t>
      </w:r>
      <w:r w:rsidRPr="00F7460F">
        <w:rPr>
          <w:rFonts w:asciiTheme="minorHAnsi" w:hAnsiTheme="minorHAnsi" w:cstheme="minorHAnsi"/>
          <w:color w:val="000000"/>
          <w:sz w:val="22"/>
          <w:szCs w:val="22"/>
          <w:shd w:val="clear" w:color="auto" w:fill="FFFFFF"/>
        </w:rPr>
        <w:t>et al. </w:t>
      </w:r>
      <w:r w:rsidRPr="00F7460F">
        <w:rPr>
          <w:rStyle w:val="ref-title"/>
          <w:rFonts w:asciiTheme="minorHAnsi" w:hAnsiTheme="minorHAnsi" w:cstheme="minorHAnsi"/>
          <w:color w:val="000000"/>
          <w:sz w:val="22"/>
          <w:szCs w:val="22"/>
          <w:shd w:val="clear" w:color="auto" w:fill="FFFFFF"/>
        </w:rPr>
        <w:t>Rethinking the patient: using burden of treatment theory to understand the changing dynamics of illness</w:t>
      </w:r>
      <w:r w:rsidRPr="00F7460F">
        <w:rPr>
          <w:rFonts w:asciiTheme="minorHAnsi" w:hAnsiTheme="minorHAnsi" w:cstheme="minorHAnsi"/>
          <w:color w:val="000000"/>
          <w:sz w:val="22"/>
          <w:szCs w:val="22"/>
          <w:shd w:val="clear" w:color="auto" w:fill="FFFFFF"/>
        </w:rPr>
        <w:t>. </w:t>
      </w:r>
      <w:r w:rsidRPr="00F7460F">
        <w:rPr>
          <w:rStyle w:val="ref-journal"/>
          <w:rFonts w:asciiTheme="minorHAnsi" w:hAnsiTheme="minorHAnsi" w:cstheme="minorHAnsi"/>
          <w:color w:val="000000"/>
          <w:sz w:val="22"/>
          <w:szCs w:val="22"/>
          <w:shd w:val="clear" w:color="auto" w:fill="FFFFFF"/>
        </w:rPr>
        <w:t xml:space="preserve">BMC Health </w:t>
      </w:r>
      <w:proofErr w:type="spellStart"/>
      <w:r w:rsidRPr="00F7460F">
        <w:rPr>
          <w:rStyle w:val="ref-journal"/>
          <w:rFonts w:asciiTheme="minorHAnsi" w:hAnsiTheme="minorHAnsi" w:cstheme="minorHAnsi"/>
          <w:color w:val="000000"/>
          <w:sz w:val="22"/>
          <w:szCs w:val="22"/>
          <w:shd w:val="clear" w:color="auto" w:fill="FFFFFF"/>
        </w:rPr>
        <w:t>Serv</w:t>
      </w:r>
      <w:proofErr w:type="spellEnd"/>
      <w:r w:rsidRPr="00F7460F">
        <w:rPr>
          <w:rStyle w:val="ref-journal"/>
          <w:rFonts w:asciiTheme="minorHAnsi" w:hAnsiTheme="minorHAnsi" w:cstheme="minorHAnsi"/>
          <w:color w:val="000000"/>
          <w:sz w:val="22"/>
          <w:szCs w:val="22"/>
          <w:shd w:val="clear" w:color="auto" w:fill="FFFFFF"/>
        </w:rPr>
        <w:t xml:space="preserve"> Res</w:t>
      </w:r>
      <w:r w:rsidR="00F62BEF">
        <w:rPr>
          <w:rStyle w:val="ref-journal"/>
          <w:rFonts w:asciiTheme="minorHAnsi" w:hAnsiTheme="minorHAnsi" w:cstheme="minorHAnsi"/>
          <w:color w:val="000000"/>
          <w:sz w:val="22"/>
          <w:szCs w:val="22"/>
          <w:shd w:val="clear" w:color="auto" w:fill="FFFFFF"/>
        </w:rPr>
        <w:t>.</w:t>
      </w:r>
      <w:r w:rsidRPr="00F7460F">
        <w:rPr>
          <w:rFonts w:asciiTheme="minorHAnsi" w:hAnsiTheme="minorHAnsi" w:cstheme="minorHAnsi"/>
          <w:color w:val="000000"/>
          <w:sz w:val="22"/>
          <w:szCs w:val="22"/>
          <w:shd w:val="clear" w:color="auto" w:fill="FFFFFF"/>
        </w:rPr>
        <w:t> </w:t>
      </w:r>
      <w:proofErr w:type="gramStart"/>
      <w:r w:rsidRPr="00F7460F">
        <w:rPr>
          <w:rFonts w:asciiTheme="minorHAnsi" w:hAnsiTheme="minorHAnsi" w:cstheme="minorHAnsi"/>
          <w:color w:val="000000"/>
          <w:sz w:val="22"/>
          <w:szCs w:val="22"/>
          <w:shd w:val="clear" w:color="auto" w:fill="FFFFFF"/>
        </w:rPr>
        <w:t>2014;</w:t>
      </w:r>
      <w:r w:rsidRPr="00F7460F">
        <w:rPr>
          <w:rStyle w:val="ref-vol"/>
          <w:rFonts w:asciiTheme="minorHAnsi" w:hAnsiTheme="minorHAnsi" w:cstheme="minorHAnsi"/>
          <w:color w:val="000000"/>
          <w:sz w:val="22"/>
          <w:szCs w:val="22"/>
          <w:shd w:val="clear" w:color="auto" w:fill="FFFFFF"/>
        </w:rPr>
        <w:t>14</w:t>
      </w:r>
      <w:r w:rsidRPr="00F7460F">
        <w:rPr>
          <w:rFonts w:asciiTheme="minorHAnsi" w:hAnsiTheme="minorHAnsi" w:cstheme="minorHAnsi"/>
          <w:color w:val="000000"/>
          <w:sz w:val="22"/>
          <w:szCs w:val="22"/>
          <w:shd w:val="clear" w:color="auto" w:fill="FFFFFF"/>
        </w:rPr>
        <w:t>:281</w:t>
      </w:r>
      <w:proofErr w:type="gramEnd"/>
      <w:r w:rsidR="00066FE2">
        <w:rPr>
          <w:rFonts w:asciiTheme="minorHAnsi" w:hAnsiTheme="minorHAnsi" w:cstheme="minorHAnsi"/>
          <w:color w:val="000000"/>
          <w:sz w:val="22"/>
          <w:szCs w:val="22"/>
          <w:shd w:val="clear" w:color="auto" w:fill="FFFFFF"/>
        </w:rPr>
        <w:t>.</w:t>
      </w:r>
      <w:r w:rsidRPr="00F7460F">
        <w:rPr>
          <w:rFonts w:asciiTheme="minorHAnsi" w:hAnsiTheme="minorHAnsi" w:cstheme="minorHAnsi"/>
          <w:color w:val="000000"/>
          <w:sz w:val="22"/>
          <w:szCs w:val="22"/>
          <w:shd w:val="clear" w:color="auto" w:fill="FFFFFF"/>
        </w:rPr>
        <w:t xml:space="preserve"> </w:t>
      </w:r>
    </w:p>
    <w:p w14:paraId="4A4E372B" w14:textId="56F7EF7C"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rPr>
        <w:t xml:space="preserve">Hughes LD, McMurdo ME, Guthrie B. Guidelines for people not for diseases: the challenges of applying UK clinical guidelines to people with multimorbidity. </w:t>
      </w:r>
      <w:r w:rsidRPr="00A572B6">
        <w:rPr>
          <w:rFonts w:asciiTheme="minorHAnsi" w:hAnsiTheme="minorHAnsi" w:cstheme="minorHAnsi"/>
          <w:iCs/>
          <w:sz w:val="22"/>
          <w:szCs w:val="22"/>
        </w:rPr>
        <w:t>Age Ageing</w:t>
      </w:r>
      <w:r w:rsidR="00A572B6" w:rsidRPr="00A572B6">
        <w:rPr>
          <w:rFonts w:asciiTheme="minorHAnsi" w:hAnsiTheme="minorHAnsi" w:cstheme="minorHAnsi"/>
          <w:iCs/>
          <w:sz w:val="22"/>
          <w:szCs w:val="22"/>
        </w:rPr>
        <w:t>.</w:t>
      </w:r>
      <w:r w:rsidRPr="00A572B6">
        <w:rPr>
          <w:rFonts w:asciiTheme="minorHAnsi" w:hAnsiTheme="minorHAnsi" w:cstheme="minorHAnsi"/>
          <w:iCs/>
          <w:sz w:val="22"/>
          <w:szCs w:val="22"/>
        </w:rPr>
        <w:t xml:space="preserve"> </w:t>
      </w:r>
      <w:r w:rsidRPr="00A572B6">
        <w:rPr>
          <w:rFonts w:asciiTheme="minorHAnsi" w:hAnsiTheme="minorHAnsi" w:cstheme="minorHAnsi"/>
          <w:sz w:val="22"/>
          <w:szCs w:val="22"/>
        </w:rPr>
        <w:t xml:space="preserve">2013;42(1):62-9. </w:t>
      </w:r>
    </w:p>
    <w:p w14:paraId="35A73B5F" w14:textId="6E6ED7AE"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proofErr w:type="spellStart"/>
      <w:r w:rsidRPr="00A572B6">
        <w:rPr>
          <w:rFonts w:asciiTheme="minorHAnsi" w:hAnsiTheme="minorHAnsi" w:cstheme="minorHAnsi"/>
          <w:sz w:val="22"/>
          <w:szCs w:val="22"/>
        </w:rPr>
        <w:t>Pifferi</w:t>
      </w:r>
      <w:proofErr w:type="spellEnd"/>
      <w:r w:rsidRPr="00A572B6">
        <w:rPr>
          <w:rFonts w:asciiTheme="minorHAnsi" w:hAnsiTheme="minorHAnsi" w:cstheme="minorHAnsi"/>
          <w:sz w:val="22"/>
          <w:szCs w:val="22"/>
        </w:rPr>
        <w:t xml:space="preserve"> M, Bush A, Di </w:t>
      </w:r>
      <w:proofErr w:type="spellStart"/>
      <w:r w:rsidRPr="00A572B6">
        <w:rPr>
          <w:rFonts w:asciiTheme="minorHAnsi" w:hAnsiTheme="minorHAnsi" w:cstheme="minorHAnsi"/>
          <w:sz w:val="22"/>
          <w:szCs w:val="22"/>
        </w:rPr>
        <w:t>Cicco</w:t>
      </w:r>
      <w:proofErr w:type="spellEnd"/>
      <w:r w:rsidRPr="00A572B6">
        <w:rPr>
          <w:rFonts w:asciiTheme="minorHAnsi" w:hAnsiTheme="minorHAnsi" w:cstheme="minorHAnsi"/>
          <w:sz w:val="22"/>
          <w:szCs w:val="22"/>
        </w:rPr>
        <w:t xml:space="preserve"> M, </w:t>
      </w:r>
      <w:proofErr w:type="spellStart"/>
      <w:r w:rsidR="006D4AEF">
        <w:rPr>
          <w:rFonts w:asciiTheme="minorHAnsi" w:hAnsiTheme="minorHAnsi" w:cstheme="minorHAnsi"/>
          <w:sz w:val="22"/>
          <w:szCs w:val="22"/>
        </w:rPr>
        <w:t>Pradal</w:t>
      </w:r>
      <w:proofErr w:type="spellEnd"/>
      <w:r w:rsidR="006D4AEF">
        <w:rPr>
          <w:rFonts w:asciiTheme="minorHAnsi" w:hAnsiTheme="minorHAnsi" w:cstheme="minorHAnsi"/>
          <w:sz w:val="22"/>
          <w:szCs w:val="22"/>
        </w:rPr>
        <w:t xml:space="preserve"> U, </w:t>
      </w:r>
      <w:proofErr w:type="spellStart"/>
      <w:r w:rsidR="006D4AEF">
        <w:rPr>
          <w:rFonts w:asciiTheme="minorHAnsi" w:hAnsiTheme="minorHAnsi" w:cstheme="minorHAnsi"/>
          <w:sz w:val="22"/>
          <w:szCs w:val="22"/>
        </w:rPr>
        <w:t>Ragazzo</w:t>
      </w:r>
      <w:proofErr w:type="spellEnd"/>
      <w:r w:rsidR="006D4AEF">
        <w:rPr>
          <w:rFonts w:asciiTheme="minorHAnsi" w:hAnsiTheme="minorHAnsi" w:cstheme="minorHAnsi"/>
          <w:sz w:val="22"/>
          <w:szCs w:val="22"/>
        </w:rPr>
        <w:t xml:space="preserve"> V, Macchia P, </w:t>
      </w:r>
      <w:r w:rsidRPr="00A572B6">
        <w:rPr>
          <w:rFonts w:asciiTheme="minorHAnsi" w:hAnsiTheme="minorHAnsi" w:cstheme="minorHAnsi"/>
          <w:sz w:val="22"/>
          <w:szCs w:val="22"/>
        </w:rPr>
        <w:t xml:space="preserve">et al. Health-related quality of life and unmet needs in patients with primary ciliary dyskinesia. </w:t>
      </w:r>
      <w:r w:rsidRPr="00A572B6">
        <w:rPr>
          <w:rFonts w:asciiTheme="minorHAnsi" w:hAnsiTheme="minorHAnsi" w:cstheme="minorHAnsi"/>
          <w:iCs/>
          <w:sz w:val="22"/>
          <w:szCs w:val="22"/>
        </w:rPr>
        <w:t>Eur Respir J. 2010;35(4):787-94</w:t>
      </w:r>
      <w:r w:rsidR="00066FE2">
        <w:rPr>
          <w:rFonts w:asciiTheme="minorHAnsi" w:hAnsiTheme="minorHAnsi" w:cstheme="minorHAnsi"/>
          <w:iCs/>
          <w:sz w:val="22"/>
          <w:szCs w:val="22"/>
        </w:rPr>
        <w:t>.</w:t>
      </w:r>
    </w:p>
    <w:p w14:paraId="6B9D81AD" w14:textId="634BA0E1"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proofErr w:type="spellStart"/>
      <w:r w:rsidRPr="00A572B6">
        <w:rPr>
          <w:rFonts w:asciiTheme="minorHAnsi" w:hAnsiTheme="minorHAnsi" w:cstheme="minorHAnsi"/>
          <w:sz w:val="22"/>
          <w:szCs w:val="22"/>
        </w:rPr>
        <w:t>Vijan</w:t>
      </w:r>
      <w:proofErr w:type="spellEnd"/>
      <w:r w:rsidRPr="00A572B6">
        <w:rPr>
          <w:rFonts w:asciiTheme="minorHAnsi" w:hAnsiTheme="minorHAnsi" w:cstheme="minorHAnsi"/>
          <w:sz w:val="22"/>
          <w:szCs w:val="22"/>
        </w:rPr>
        <w:t xml:space="preserve"> S, Hayward RA, </w:t>
      </w:r>
      <w:proofErr w:type="spellStart"/>
      <w:r w:rsidRPr="00A572B6">
        <w:rPr>
          <w:rFonts w:asciiTheme="minorHAnsi" w:hAnsiTheme="minorHAnsi" w:cstheme="minorHAnsi"/>
          <w:sz w:val="22"/>
          <w:szCs w:val="22"/>
        </w:rPr>
        <w:t>Ronis</w:t>
      </w:r>
      <w:proofErr w:type="spellEnd"/>
      <w:r w:rsidRPr="00A572B6">
        <w:rPr>
          <w:rFonts w:asciiTheme="minorHAnsi" w:hAnsiTheme="minorHAnsi" w:cstheme="minorHAnsi"/>
          <w:sz w:val="22"/>
          <w:szCs w:val="22"/>
        </w:rPr>
        <w:t xml:space="preserve"> DL</w:t>
      </w:r>
      <w:r w:rsidRPr="006D4AEF">
        <w:rPr>
          <w:rFonts w:asciiTheme="minorHAnsi" w:hAnsiTheme="minorHAnsi" w:cstheme="minorHAnsi"/>
          <w:sz w:val="22"/>
          <w:szCs w:val="22"/>
        </w:rPr>
        <w:t xml:space="preserve">, </w:t>
      </w:r>
      <w:r w:rsidR="006D4AEF" w:rsidRPr="00705E03">
        <w:rPr>
          <w:rFonts w:asciiTheme="minorHAnsi" w:hAnsiTheme="minorHAnsi" w:cstheme="minorHAnsi"/>
          <w:color w:val="212121"/>
          <w:sz w:val="22"/>
          <w:szCs w:val="22"/>
          <w:shd w:val="clear" w:color="auto" w:fill="FFFFFF"/>
        </w:rPr>
        <w:t>Hofer TP</w:t>
      </w:r>
      <w:r w:rsidRPr="00A572B6">
        <w:rPr>
          <w:rFonts w:asciiTheme="minorHAnsi" w:hAnsiTheme="minorHAnsi" w:cstheme="minorHAnsi"/>
          <w:sz w:val="22"/>
          <w:szCs w:val="22"/>
        </w:rPr>
        <w:t>. Brief report: the burden of diabetes therapy: implications for the design of effective patient-</w:t>
      </w:r>
      <w:proofErr w:type="spellStart"/>
      <w:r w:rsidRPr="00A572B6">
        <w:rPr>
          <w:rFonts w:asciiTheme="minorHAnsi" w:hAnsiTheme="minorHAnsi" w:cstheme="minorHAnsi"/>
          <w:sz w:val="22"/>
          <w:szCs w:val="22"/>
        </w:rPr>
        <w:t>centered</w:t>
      </w:r>
      <w:proofErr w:type="spellEnd"/>
      <w:r w:rsidRPr="00A572B6">
        <w:rPr>
          <w:rFonts w:asciiTheme="minorHAnsi" w:hAnsiTheme="minorHAnsi" w:cstheme="minorHAnsi"/>
          <w:sz w:val="22"/>
          <w:szCs w:val="22"/>
        </w:rPr>
        <w:t xml:space="preserve"> treatment regimens. </w:t>
      </w:r>
      <w:r w:rsidRPr="00A572B6">
        <w:rPr>
          <w:rFonts w:asciiTheme="minorHAnsi" w:hAnsiTheme="minorHAnsi" w:cstheme="minorHAnsi"/>
          <w:iCs/>
          <w:sz w:val="22"/>
          <w:szCs w:val="22"/>
        </w:rPr>
        <w:t>J Gen Intern Med. 2005;20(5):479-82.</w:t>
      </w:r>
    </w:p>
    <w:p w14:paraId="1484C5B5" w14:textId="14F3E45D"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rPr>
        <w:t xml:space="preserve">Ho PM, Rumsfeld JS, </w:t>
      </w:r>
      <w:proofErr w:type="spellStart"/>
      <w:r w:rsidRPr="00A572B6">
        <w:rPr>
          <w:rFonts w:asciiTheme="minorHAnsi" w:hAnsiTheme="minorHAnsi" w:cstheme="minorHAnsi"/>
          <w:sz w:val="22"/>
          <w:szCs w:val="22"/>
        </w:rPr>
        <w:t>Masoudi</w:t>
      </w:r>
      <w:proofErr w:type="spellEnd"/>
      <w:r w:rsidRPr="00A572B6">
        <w:rPr>
          <w:rFonts w:asciiTheme="minorHAnsi" w:hAnsiTheme="minorHAnsi" w:cstheme="minorHAnsi"/>
          <w:sz w:val="22"/>
          <w:szCs w:val="22"/>
        </w:rPr>
        <w:t xml:space="preserve"> FA, </w:t>
      </w:r>
      <w:r w:rsidR="00B92202" w:rsidRPr="00705E03">
        <w:rPr>
          <w:rFonts w:asciiTheme="minorHAnsi" w:hAnsiTheme="minorHAnsi" w:cstheme="minorHAnsi"/>
          <w:color w:val="212121"/>
          <w:sz w:val="22"/>
          <w:szCs w:val="22"/>
          <w:shd w:val="clear" w:color="auto" w:fill="FFFFFF"/>
        </w:rPr>
        <w:t xml:space="preserve">McClure DL, </w:t>
      </w:r>
      <w:proofErr w:type="spellStart"/>
      <w:r w:rsidR="00B92202" w:rsidRPr="00705E03">
        <w:rPr>
          <w:rFonts w:asciiTheme="minorHAnsi" w:hAnsiTheme="minorHAnsi" w:cstheme="minorHAnsi"/>
          <w:color w:val="212121"/>
          <w:sz w:val="22"/>
          <w:szCs w:val="22"/>
          <w:shd w:val="clear" w:color="auto" w:fill="FFFFFF"/>
        </w:rPr>
        <w:t>Plomondon</w:t>
      </w:r>
      <w:proofErr w:type="spellEnd"/>
      <w:r w:rsidR="00B92202" w:rsidRPr="00705E03">
        <w:rPr>
          <w:rFonts w:asciiTheme="minorHAnsi" w:hAnsiTheme="minorHAnsi" w:cstheme="minorHAnsi"/>
          <w:color w:val="212121"/>
          <w:sz w:val="22"/>
          <w:szCs w:val="22"/>
          <w:shd w:val="clear" w:color="auto" w:fill="FFFFFF"/>
        </w:rPr>
        <w:t xml:space="preserve"> ME, Steiner JF,</w:t>
      </w:r>
      <w:r w:rsidR="00B92202">
        <w:rPr>
          <w:rFonts w:ascii="Segoe UI" w:hAnsi="Segoe UI" w:cs="Segoe UI"/>
          <w:color w:val="212121"/>
          <w:shd w:val="clear" w:color="auto" w:fill="FFFFFF"/>
        </w:rPr>
        <w:t> </w:t>
      </w:r>
      <w:r w:rsidRPr="00A572B6">
        <w:rPr>
          <w:rFonts w:asciiTheme="minorHAnsi" w:hAnsiTheme="minorHAnsi" w:cstheme="minorHAnsi"/>
          <w:sz w:val="22"/>
          <w:szCs w:val="22"/>
        </w:rPr>
        <w:t xml:space="preserve">et al. Effect of medication nonadherence on hospitalization and mortality among patients with diabetes mellitus. </w:t>
      </w:r>
      <w:r w:rsidRPr="00A572B6">
        <w:rPr>
          <w:rFonts w:asciiTheme="minorHAnsi" w:hAnsiTheme="minorHAnsi" w:cstheme="minorHAnsi"/>
          <w:iCs/>
          <w:sz w:val="22"/>
          <w:szCs w:val="22"/>
        </w:rPr>
        <w:t>Arch Intern Med. 2006;166(17):1836-41.</w:t>
      </w:r>
      <w:r w:rsidRPr="00A572B6">
        <w:rPr>
          <w:rFonts w:asciiTheme="minorHAnsi" w:hAnsiTheme="minorHAnsi" w:cstheme="minorHAnsi"/>
          <w:sz w:val="22"/>
          <w:szCs w:val="22"/>
        </w:rPr>
        <w:t xml:space="preserve"> </w:t>
      </w:r>
    </w:p>
    <w:p w14:paraId="44A16DF8" w14:textId="5E7506D8" w:rsidR="00C63EC4" w:rsidRPr="00A572B6" w:rsidRDefault="00C63EC4" w:rsidP="007C0327">
      <w:pPr>
        <w:pStyle w:val="ListParagraph"/>
        <w:numPr>
          <w:ilvl w:val="0"/>
          <w:numId w:val="6"/>
        </w:numPr>
        <w:spacing w:line="360" w:lineRule="auto"/>
        <w:jc w:val="both"/>
        <w:rPr>
          <w:rFonts w:asciiTheme="minorHAnsi" w:hAnsiTheme="minorHAnsi" w:cstheme="minorHAnsi"/>
          <w:iCs/>
          <w:sz w:val="22"/>
          <w:szCs w:val="22"/>
        </w:rPr>
      </w:pPr>
      <w:r w:rsidRPr="00A572B6">
        <w:rPr>
          <w:rFonts w:asciiTheme="minorHAnsi" w:hAnsiTheme="minorHAnsi" w:cstheme="minorHAnsi"/>
          <w:sz w:val="22"/>
          <w:szCs w:val="22"/>
        </w:rPr>
        <w:t xml:space="preserve">Rasmussen JN, Chong A, Alter DA. Relationship between adherence to evidence-based pharmacotherapy and long-term mortality after acute myocardial infarction. </w:t>
      </w:r>
      <w:r w:rsidRPr="00A572B6">
        <w:rPr>
          <w:rFonts w:asciiTheme="minorHAnsi" w:hAnsiTheme="minorHAnsi" w:cstheme="minorHAnsi"/>
          <w:iCs/>
          <w:sz w:val="22"/>
          <w:szCs w:val="22"/>
        </w:rPr>
        <w:t xml:space="preserve">JAMA. 2007;297(2):177-86. </w:t>
      </w:r>
    </w:p>
    <w:p w14:paraId="0004AC4C" w14:textId="77565BE4"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proofErr w:type="spellStart"/>
      <w:r w:rsidRPr="00A572B6">
        <w:rPr>
          <w:rFonts w:asciiTheme="minorHAnsi" w:hAnsiTheme="minorHAnsi" w:cstheme="minorHAnsi"/>
          <w:sz w:val="22"/>
          <w:szCs w:val="22"/>
        </w:rPr>
        <w:t>Demain</w:t>
      </w:r>
      <w:proofErr w:type="spellEnd"/>
      <w:r w:rsidRPr="00A572B6">
        <w:rPr>
          <w:rFonts w:asciiTheme="minorHAnsi" w:hAnsiTheme="minorHAnsi" w:cstheme="minorHAnsi"/>
          <w:sz w:val="22"/>
          <w:szCs w:val="22"/>
        </w:rPr>
        <w:t xml:space="preserve"> S, Gonçalves A-C, </w:t>
      </w:r>
      <w:proofErr w:type="spellStart"/>
      <w:r w:rsidRPr="00A572B6">
        <w:rPr>
          <w:rFonts w:asciiTheme="minorHAnsi" w:hAnsiTheme="minorHAnsi" w:cstheme="minorHAnsi"/>
          <w:sz w:val="22"/>
          <w:szCs w:val="22"/>
        </w:rPr>
        <w:t>Areia</w:t>
      </w:r>
      <w:proofErr w:type="spellEnd"/>
      <w:r w:rsidRPr="00A572B6">
        <w:rPr>
          <w:rFonts w:asciiTheme="minorHAnsi" w:hAnsiTheme="minorHAnsi" w:cstheme="minorHAnsi"/>
          <w:sz w:val="22"/>
          <w:szCs w:val="22"/>
        </w:rPr>
        <w:t xml:space="preserve"> C</w:t>
      </w:r>
      <w:r w:rsidRPr="00B92202">
        <w:rPr>
          <w:rFonts w:asciiTheme="minorHAnsi" w:hAnsiTheme="minorHAnsi" w:cstheme="minorHAnsi"/>
          <w:sz w:val="22"/>
          <w:szCs w:val="22"/>
        </w:rPr>
        <w:t xml:space="preserve">, </w:t>
      </w:r>
      <w:r w:rsidR="00B92202" w:rsidRPr="00705E03">
        <w:rPr>
          <w:rFonts w:asciiTheme="minorHAnsi" w:hAnsiTheme="minorHAnsi" w:cstheme="minorHAnsi"/>
          <w:color w:val="202020"/>
          <w:sz w:val="22"/>
          <w:szCs w:val="22"/>
          <w:shd w:val="clear" w:color="auto" w:fill="FFFFFF"/>
        </w:rPr>
        <w:t>Oliveira R, Marcos AJ, Marques A,</w:t>
      </w:r>
      <w:r w:rsidR="00B92202">
        <w:rPr>
          <w:rFonts w:ascii="Helvetica" w:hAnsi="Helvetica"/>
          <w:color w:val="202020"/>
          <w:sz w:val="20"/>
          <w:szCs w:val="20"/>
          <w:shd w:val="clear" w:color="auto" w:fill="FFFFFF"/>
        </w:rPr>
        <w:t xml:space="preserve"> </w:t>
      </w:r>
      <w:r w:rsidRPr="00A572B6">
        <w:rPr>
          <w:rFonts w:asciiTheme="minorHAnsi" w:hAnsiTheme="minorHAnsi" w:cstheme="minorHAnsi"/>
          <w:sz w:val="22"/>
          <w:szCs w:val="22"/>
        </w:rPr>
        <w:t xml:space="preserve">et al. Living </w:t>
      </w:r>
      <w:r w:rsidR="005442A5">
        <w:rPr>
          <w:rFonts w:asciiTheme="minorHAnsi" w:hAnsiTheme="minorHAnsi" w:cstheme="minorHAnsi"/>
          <w:sz w:val="22"/>
          <w:szCs w:val="22"/>
        </w:rPr>
        <w:t>w</w:t>
      </w:r>
      <w:r w:rsidRPr="00A572B6">
        <w:rPr>
          <w:rFonts w:asciiTheme="minorHAnsi" w:hAnsiTheme="minorHAnsi" w:cstheme="minorHAnsi"/>
          <w:sz w:val="22"/>
          <w:szCs w:val="22"/>
        </w:rPr>
        <w:t xml:space="preserve">ith, </w:t>
      </w:r>
      <w:r w:rsidR="005442A5">
        <w:rPr>
          <w:rFonts w:asciiTheme="minorHAnsi" w:hAnsiTheme="minorHAnsi" w:cstheme="minorHAnsi"/>
          <w:sz w:val="22"/>
          <w:szCs w:val="22"/>
        </w:rPr>
        <w:t>m</w:t>
      </w:r>
      <w:r w:rsidRPr="00A572B6">
        <w:rPr>
          <w:rFonts w:asciiTheme="minorHAnsi" w:hAnsiTheme="minorHAnsi" w:cstheme="minorHAnsi"/>
          <w:sz w:val="22"/>
          <w:szCs w:val="22"/>
        </w:rPr>
        <w:t xml:space="preserve">anaging and </w:t>
      </w:r>
      <w:r w:rsidR="005442A5">
        <w:rPr>
          <w:rFonts w:asciiTheme="minorHAnsi" w:hAnsiTheme="minorHAnsi" w:cstheme="minorHAnsi"/>
          <w:sz w:val="22"/>
          <w:szCs w:val="22"/>
        </w:rPr>
        <w:t>m</w:t>
      </w:r>
      <w:r w:rsidRPr="00A572B6">
        <w:rPr>
          <w:rFonts w:asciiTheme="minorHAnsi" w:hAnsiTheme="minorHAnsi" w:cstheme="minorHAnsi"/>
          <w:sz w:val="22"/>
          <w:szCs w:val="22"/>
        </w:rPr>
        <w:t xml:space="preserve">inimising </w:t>
      </w:r>
      <w:r w:rsidR="005442A5">
        <w:rPr>
          <w:rFonts w:asciiTheme="minorHAnsi" w:hAnsiTheme="minorHAnsi" w:cstheme="minorHAnsi"/>
          <w:sz w:val="22"/>
          <w:szCs w:val="22"/>
        </w:rPr>
        <w:t>t</w:t>
      </w:r>
      <w:r w:rsidRPr="00A572B6">
        <w:rPr>
          <w:rFonts w:asciiTheme="minorHAnsi" w:hAnsiTheme="minorHAnsi" w:cstheme="minorHAnsi"/>
          <w:sz w:val="22"/>
          <w:szCs w:val="22"/>
        </w:rPr>
        <w:t xml:space="preserve">reatment </w:t>
      </w:r>
      <w:r w:rsidR="005442A5">
        <w:rPr>
          <w:rFonts w:asciiTheme="minorHAnsi" w:hAnsiTheme="minorHAnsi" w:cstheme="minorHAnsi"/>
          <w:sz w:val="22"/>
          <w:szCs w:val="22"/>
        </w:rPr>
        <w:t>b</w:t>
      </w:r>
      <w:r w:rsidRPr="00A572B6">
        <w:rPr>
          <w:rFonts w:asciiTheme="minorHAnsi" w:hAnsiTheme="minorHAnsi" w:cstheme="minorHAnsi"/>
          <w:sz w:val="22"/>
          <w:szCs w:val="22"/>
        </w:rPr>
        <w:t xml:space="preserve">urden in </w:t>
      </w:r>
      <w:r w:rsidR="005442A5">
        <w:rPr>
          <w:rFonts w:asciiTheme="minorHAnsi" w:hAnsiTheme="minorHAnsi" w:cstheme="minorHAnsi"/>
          <w:sz w:val="22"/>
          <w:szCs w:val="22"/>
        </w:rPr>
        <w:t>l</w:t>
      </w:r>
      <w:r w:rsidRPr="00A572B6">
        <w:rPr>
          <w:rFonts w:asciiTheme="minorHAnsi" w:hAnsiTheme="minorHAnsi" w:cstheme="minorHAnsi"/>
          <w:sz w:val="22"/>
          <w:szCs w:val="22"/>
        </w:rPr>
        <w:t xml:space="preserve">ong </w:t>
      </w:r>
      <w:r w:rsidR="005442A5">
        <w:rPr>
          <w:rFonts w:asciiTheme="minorHAnsi" w:hAnsiTheme="minorHAnsi" w:cstheme="minorHAnsi"/>
          <w:sz w:val="22"/>
          <w:szCs w:val="22"/>
        </w:rPr>
        <w:t>t</w:t>
      </w:r>
      <w:r w:rsidRPr="00A572B6">
        <w:rPr>
          <w:rFonts w:asciiTheme="minorHAnsi" w:hAnsiTheme="minorHAnsi" w:cstheme="minorHAnsi"/>
          <w:sz w:val="22"/>
          <w:szCs w:val="22"/>
        </w:rPr>
        <w:t xml:space="preserve">erm </w:t>
      </w:r>
      <w:r w:rsidR="005442A5">
        <w:rPr>
          <w:rFonts w:asciiTheme="minorHAnsi" w:hAnsiTheme="minorHAnsi" w:cstheme="minorHAnsi"/>
          <w:sz w:val="22"/>
          <w:szCs w:val="22"/>
        </w:rPr>
        <w:t>c</w:t>
      </w:r>
      <w:r w:rsidRPr="00A572B6">
        <w:rPr>
          <w:rFonts w:asciiTheme="minorHAnsi" w:hAnsiTheme="minorHAnsi" w:cstheme="minorHAnsi"/>
          <w:sz w:val="22"/>
          <w:szCs w:val="22"/>
        </w:rPr>
        <w:t xml:space="preserve">onditions: A </w:t>
      </w:r>
      <w:r w:rsidR="005442A5">
        <w:rPr>
          <w:rFonts w:asciiTheme="minorHAnsi" w:hAnsiTheme="minorHAnsi" w:cstheme="minorHAnsi"/>
          <w:sz w:val="22"/>
          <w:szCs w:val="22"/>
        </w:rPr>
        <w:t>s</w:t>
      </w:r>
      <w:r w:rsidRPr="00A572B6">
        <w:rPr>
          <w:rFonts w:asciiTheme="minorHAnsi" w:hAnsiTheme="minorHAnsi" w:cstheme="minorHAnsi"/>
          <w:sz w:val="22"/>
          <w:szCs w:val="22"/>
        </w:rPr>
        <w:t xml:space="preserve">ystematic </w:t>
      </w:r>
      <w:r w:rsidR="005442A5">
        <w:rPr>
          <w:rFonts w:asciiTheme="minorHAnsi" w:hAnsiTheme="minorHAnsi" w:cstheme="minorHAnsi"/>
          <w:sz w:val="22"/>
          <w:szCs w:val="22"/>
        </w:rPr>
        <w:t>r</w:t>
      </w:r>
      <w:r w:rsidRPr="00A572B6">
        <w:rPr>
          <w:rFonts w:asciiTheme="minorHAnsi" w:hAnsiTheme="minorHAnsi" w:cstheme="minorHAnsi"/>
          <w:sz w:val="22"/>
          <w:szCs w:val="22"/>
        </w:rPr>
        <w:t xml:space="preserve">eview of </w:t>
      </w:r>
      <w:r w:rsidR="005442A5">
        <w:rPr>
          <w:rFonts w:asciiTheme="minorHAnsi" w:hAnsiTheme="minorHAnsi" w:cstheme="minorHAnsi"/>
          <w:sz w:val="22"/>
          <w:szCs w:val="22"/>
        </w:rPr>
        <w:t>q</w:t>
      </w:r>
      <w:r w:rsidRPr="00A572B6">
        <w:rPr>
          <w:rFonts w:asciiTheme="minorHAnsi" w:hAnsiTheme="minorHAnsi" w:cstheme="minorHAnsi"/>
          <w:sz w:val="22"/>
          <w:szCs w:val="22"/>
        </w:rPr>
        <w:t xml:space="preserve">ualitative </w:t>
      </w:r>
      <w:r w:rsidR="005442A5">
        <w:rPr>
          <w:rFonts w:asciiTheme="minorHAnsi" w:hAnsiTheme="minorHAnsi" w:cstheme="minorHAnsi"/>
          <w:sz w:val="22"/>
          <w:szCs w:val="22"/>
        </w:rPr>
        <w:t>r</w:t>
      </w:r>
      <w:r w:rsidRPr="00A572B6">
        <w:rPr>
          <w:rFonts w:asciiTheme="minorHAnsi" w:hAnsiTheme="minorHAnsi" w:cstheme="minorHAnsi"/>
          <w:sz w:val="22"/>
          <w:szCs w:val="22"/>
        </w:rPr>
        <w:t xml:space="preserve">esearch. </w:t>
      </w:r>
      <w:proofErr w:type="spellStart"/>
      <w:r w:rsidRPr="00A572B6">
        <w:rPr>
          <w:rFonts w:asciiTheme="minorHAnsi" w:hAnsiTheme="minorHAnsi" w:cstheme="minorHAnsi"/>
          <w:i/>
          <w:iCs/>
          <w:sz w:val="22"/>
          <w:szCs w:val="22"/>
        </w:rPr>
        <w:t>PLoS</w:t>
      </w:r>
      <w:proofErr w:type="spellEnd"/>
      <w:r w:rsidRPr="00A572B6">
        <w:rPr>
          <w:rFonts w:asciiTheme="minorHAnsi" w:hAnsiTheme="minorHAnsi" w:cstheme="minorHAnsi"/>
          <w:i/>
          <w:iCs/>
          <w:sz w:val="22"/>
          <w:szCs w:val="22"/>
        </w:rPr>
        <w:t xml:space="preserve"> ONE</w:t>
      </w:r>
      <w:r w:rsidR="00A572B6" w:rsidRPr="00A572B6">
        <w:rPr>
          <w:rFonts w:asciiTheme="minorHAnsi" w:hAnsiTheme="minorHAnsi" w:cstheme="minorHAnsi"/>
          <w:i/>
          <w:iCs/>
          <w:sz w:val="22"/>
          <w:szCs w:val="22"/>
        </w:rPr>
        <w:t>.</w:t>
      </w:r>
      <w:r w:rsidRPr="00A572B6">
        <w:rPr>
          <w:rFonts w:asciiTheme="minorHAnsi" w:hAnsiTheme="minorHAnsi" w:cstheme="minorHAnsi"/>
          <w:i/>
          <w:iCs/>
          <w:sz w:val="22"/>
          <w:szCs w:val="22"/>
        </w:rPr>
        <w:t xml:space="preserve"> </w:t>
      </w:r>
      <w:r w:rsidRPr="00A572B6">
        <w:rPr>
          <w:rFonts w:asciiTheme="minorHAnsi" w:hAnsiTheme="minorHAnsi" w:cstheme="minorHAnsi"/>
          <w:sz w:val="22"/>
          <w:szCs w:val="22"/>
        </w:rPr>
        <w:t>2015;10(5</w:t>
      </w:r>
      <w:proofErr w:type="gramStart"/>
      <w:r w:rsidRPr="00A572B6">
        <w:rPr>
          <w:rFonts w:asciiTheme="minorHAnsi" w:hAnsiTheme="minorHAnsi" w:cstheme="minorHAnsi"/>
          <w:sz w:val="22"/>
          <w:szCs w:val="22"/>
        </w:rPr>
        <w:t>):e</w:t>
      </w:r>
      <w:proofErr w:type="gramEnd"/>
      <w:r w:rsidRPr="00A572B6">
        <w:rPr>
          <w:rFonts w:asciiTheme="minorHAnsi" w:hAnsiTheme="minorHAnsi" w:cstheme="minorHAnsi"/>
          <w:sz w:val="22"/>
          <w:szCs w:val="22"/>
        </w:rPr>
        <w:t xml:space="preserve">0125457. </w:t>
      </w:r>
    </w:p>
    <w:p w14:paraId="5104031D" w14:textId="10A8C113"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rPr>
        <w:lastRenderedPageBreak/>
        <w:t xml:space="preserve">May C, </w:t>
      </w:r>
      <w:proofErr w:type="spellStart"/>
      <w:r w:rsidRPr="00A572B6">
        <w:rPr>
          <w:rFonts w:asciiTheme="minorHAnsi" w:hAnsiTheme="minorHAnsi" w:cstheme="minorHAnsi"/>
          <w:sz w:val="22"/>
          <w:szCs w:val="22"/>
        </w:rPr>
        <w:t>Montori</w:t>
      </w:r>
      <w:proofErr w:type="spellEnd"/>
      <w:r w:rsidRPr="00A572B6">
        <w:rPr>
          <w:rFonts w:asciiTheme="minorHAnsi" w:hAnsiTheme="minorHAnsi" w:cstheme="minorHAnsi"/>
          <w:sz w:val="22"/>
          <w:szCs w:val="22"/>
        </w:rPr>
        <w:t xml:space="preserve"> VM, Mair FS. We need minimally disruptive medicine. BMJ. 2009 Aug 11;</w:t>
      </w:r>
      <w:proofErr w:type="gramStart"/>
      <w:r w:rsidRPr="00A572B6">
        <w:rPr>
          <w:rFonts w:asciiTheme="minorHAnsi" w:hAnsiTheme="minorHAnsi" w:cstheme="minorHAnsi"/>
          <w:sz w:val="22"/>
          <w:szCs w:val="22"/>
        </w:rPr>
        <w:t>339:b</w:t>
      </w:r>
      <w:proofErr w:type="gramEnd"/>
      <w:r w:rsidRPr="00A572B6">
        <w:rPr>
          <w:rFonts w:asciiTheme="minorHAnsi" w:hAnsiTheme="minorHAnsi" w:cstheme="minorHAnsi"/>
          <w:sz w:val="22"/>
          <w:szCs w:val="22"/>
        </w:rPr>
        <w:t xml:space="preserve">2803. </w:t>
      </w:r>
    </w:p>
    <w:p w14:paraId="21F84BB3" w14:textId="6C911697" w:rsidR="00C63EC4" w:rsidRPr="00A572B6" w:rsidRDefault="00A572B6"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rPr>
        <w:t xml:space="preserve">Abu </w:t>
      </w:r>
      <w:proofErr w:type="spellStart"/>
      <w:r w:rsidRPr="00A572B6">
        <w:rPr>
          <w:rFonts w:asciiTheme="minorHAnsi" w:hAnsiTheme="minorHAnsi" w:cstheme="minorHAnsi"/>
          <w:sz w:val="22"/>
          <w:szCs w:val="22"/>
        </w:rPr>
        <w:t>Dabrh</w:t>
      </w:r>
      <w:proofErr w:type="spellEnd"/>
      <w:r w:rsidRPr="00A572B6">
        <w:rPr>
          <w:rFonts w:asciiTheme="minorHAnsi" w:hAnsiTheme="minorHAnsi" w:cstheme="minorHAnsi"/>
          <w:sz w:val="22"/>
          <w:szCs w:val="22"/>
        </w:rPr>
        <w:t xml:space="preserve"> AM, Gallacher K, Boehmer KR, Hargraves IG, Mair FS. </w:t>
      </w:r>
      <w:r w:rsidR="00C63EC4" w:rsidRPr="00A572B6">
        <w:rPr>
          <w:rFonts w:asciiTheme="minorHAnsi" w:hAnsiTheme="minorHAnsi" w:cstheme="minorHAnsi"/>
          <w:sz w:val="22"/>
          <w:szCs w:val="22"/>
        </w:rPr>
        <w:t xml:space="preserve">Minimally disruptive medicine: the evidence and conceptual progress supporting a new era of healthcare. J R Coll Physicians </w:t>
      </w:r>
      <w:proofErr w:type="spellStart"/>
      <w:r w:rsidR="00C63EC4" w:rsidRPr="00A572B6">
        <w:rPr>
          <w:rFonts w:asciiTheme="minorHAnsi" w:hAnsiTheme="minorHAnsi" w:cstheme="minorHAnsi"/>
          <w:sz w:val="22"/>
          <w:szCs w:val="22"/>
        </w:rPr>
        <w:t>Edinb</w:t>
      </w:r>
      <w:proofErr w:type="spellEnd"/>
      <w:r w:rsidR="00C63EC4" w:rsidRPr="00A572B6">
        <w:rPr>
          <w:rFonts w:asciiTheme="minorHAnsi" w:hAnsiTheme="minorHAnsi" w:cstheme="minorHAnsi"/>
          <w:sz w:val="22"/>
          <w:szCs w:val="22"/>
        </w:rPr>
        <w:t xml:space="preserve">. 2015;45(2):114-7. </w:t>
      </w:r>
    </w:p>
    <w:p w14:paraId="4D7CD58A" w14:textId="6767D0E5" w:rsidR="00C63EC4" w:rsidRPr="00A572B6" w:rsidRDefault="00C63EC4"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rPr>
        <w:t xml:space="preserve">Barnett K, Mercer SW, Norbury M, </w:t>
      </w:r>
      <w:r w:rsidR="00B92202">
        <w:rPr>
          <w:rFonts w:asciiTheme="minorHAnsi" w:hAnsiTheme="minorHAnsi" w:cstheme="minorHAnsi"/>
          <w:sz w:val="22"/>
          <w:szCs w:val="22"/>
        </w:rPr>
        <w:t>Watt G, Wyke S, Guthrie B</w:t>
      </w:r>
      <w:r w:rsidRPr="00A572B6">
        <w:rPr>
          <w:rFonts w:asciiTheme="minorHAnsi" w:hAnsiTheme="minorHAnsi" w:cstheme="minorHAnsi"/>
          <w:sz w:val="22"/>
          <w:szCs w:val="22"/>
        </w:rPr>
        <w:t xml:space="preserve">. Epidemiology of multimorbidity and implications for health care, research, and medical education: a cross-sectional study. </w:t>
      </w:r>
      <w:r w:rsidRPr="00A572B6">
        <w:rPr>
          <w:rFonts w:asciiTheme="minorHAnsi" w:hAnsiTheme="minorHAnsi" w:cstheme="minorHAnsi"/>
          <w:iCs/>
          <w:sz w:val="22"/>
          <w:szCs w:val="22"/>
        </w:rPr>
        <w:t>Lancet</w:t>
      </w:r>
      <w:r w:rsidR="00A572B6" w:rsidRPr="00A572B6">
        <w:rPr>
          <w:rFonts w:asciiTheme="minorHAnsi" w:hAnsiTheme="minorHAnsi" w:cstheme="minorHAnsi"/>
          <w:iCs/>
          <w:sz w:val="22"/>
          <w:szCs w:val="22"/>
        </w:rPr>
        <w:t>.</w:t>
      </w:r>
      <w:r w:rsidRPr="00A572B6">
        <w:rPr>
          <w:rFonts w:asciiTheme="minorHAnsi" w:hAnsiTheme="minorHAnsi" w:cstheme="minorHAnsi"/>
          <w:iCs/>
          <w:sz w:val="22"/>
          <w:szCs w:val="22"/>
        </w:rPr>
        <w:t xml:space="preserve"> </w:t>
      </w:r>
      <w:r w:rsidRPr="00A572B6">
        <w:rPr>
          <w:rFonts w:asciiTheme="minorHAnsi" w:hAnsiTheme="minorHAnsi" w:cstheme="minorHAnsi"/>
          <w:sz w:val="22"/>
          <w:szCs w:val="22"/>
        </w:rPr>
        <w:t>2012;380(9836):37-43.</w:t>
      </w:r>
    </w:p>
    <w:p w14:paraId="1B224744" w14:textId="689A4CF0" w:rsidR="00A06E5A" w:rsidRPr="007C0327" w:rsidRDefault="00A06E5A" w:rsidP="007C0327">
      <w:pPr>
        <w:pStyle w:val="CommentText"/>
        <w:numPr>
          <w:ilvl w:val="0"/>
          <w:numId w:val="6"/>
        </w:numPr>
        <w:spacing w:after="0" w:line="360" w:lineRule="auto"/>
        <w:rPr>
          <w:rFonts w:cstheme="minorHAnsi"/>
          <w:sz w:val="22"/>
          <w:szCs w:val="22"/>
        </w:rPr>
      </w:pPr>
      <w:r w:rsidRPr="007C0327">
        <w:rPr>
          <w:rFonts w:cstheme="minorHAnsi"/>
          <w:sz w:val="22"/>
          <w:szCs w:val="22"/>
          <w:shd w:val="clear" w:color="auto" w:fill="FFFFFF"/>
        </w:rPr>
        <w:t>Harrison C, Britt H, Miller G, Henderson J. Examining different measures of multimorbidity, using a large prospective cross-sectional study in Australian general practice. BMJ Open. 2014;4(7</w:t>
      </w:r>
      <w:proofErr w:type="gramStart"/>
      <w:r w:rsidRPr="007C0327">
        <w:rPr>
          <w:rFonts w:cstheme="minorHAnsi"/>
          <w:sz w:val="22"/>
          <w:szCs w:val="22"/>
          <w:shd w:val="clear" w:color="auto" w:fill="FFFFFF"/>
        </w:rPr>
        <w:t>):e</w:t>
      </w:r>
      <w:proofErr w:type="gramEnd"/>
      <w:r w:rsidRPr="007C0327">
        <w:rPr>
          <w:rFonts w:cstheme="minorHAnsi"/>
          <w:sz w:val="22"/>
          <w:szCs w:val="22"/>
          <w:shd w:val="clear" w:color="auto" w:fill="FFFFFF"/>
        </w:rPr>
        <w:t>004694.</w:t>
      </w:r>
    </w:p>
    <w:p w14:paraId="5C499D5E" w14:textId="14C5D662" w:rsidR="00D15BD2" w:rsidRPr="00D15BD2" w:rsidRDefault="001C64E2" w:rsidP="007C0327">
      <w:pPr>
        <w:pStyle w:val="ListParagraph"/>
        <w:numPr>
          <w:ilvl w:val="0"/>
          <w:numId w:val="6"/>
        </w:numPr>
        <w:spacing w:line="360" w:lineRule="auto"/>
        <w:jc w:val="both"/>
        <w:rPr>
          <w:rFonts w:asciiTheme="minorHAnsi" w:hAnsiTheme="minorHAnsi" w:cstheme="minorHAnsi"/>
          <w:sz w:val="22"/>
          <w:szCs w:val="22"/>
        </w:rPr>
      </w:pPr>
      <w:r w:rsidRPr="00A572B6">
        <w:rPr>
          <w:rFonts w:asciiTheme="minorHAnsi" w:hAnsiTheme="minorHAnsi" w:cstheme="minorHAnsi"/>
          <w:sz w:val="22"/>
          <w:szCs w:val="22"/>
          <w:shd w:val="clear" w:color="auto" w:fill="FFFFFF"/>
        </w:rPr>
        <w:t xml:space="preserve">Morris JE, Roderick PJ, Harris S, Yao G, Crowe S, Phillips D, </w:t>
      </w:r>
      <w:r w:rsidR="00B92202">
        <w:rPr>
          <w:rFonts w:asciiTheme="minorHAnsi" w:hAnsiTheme="minorHAnsi" w:cstheme="minorHAnsi"/>
          <w:sz w:val="22"/>
          <w:szCs w:val="22"/>
          <w:shd w:val="clear" w:color="auto" w:fill="FFFFFF"/>
        </w:rPr>
        <w:t>et al</w:t>
      </w:r>
      <w:r w:rsidRPr="00A572B6">
        <w:rPr>
          <w:rFonts w:asciiTheme="minorHAnsi" w:hAnsiTheme="minorHAnsi" w:cstheme="minorHAnsi"/>
          <w:sz w:val="22"/>
          <w:szCs w:val="22"/>
          <w:shd w:val="clear" w:color="auto" w:fill="FFFFFF"/>
        </w:rPr>
        <w:t xml:space="preserve">. Treatment burden for patients with multimorbidity: cross-sectional study with exploration of a single-item measure. Br J Gen </w:t>
      </w:r>
      <w:proofErr w:type="spellStart"/>
      <w:r w:rsidRPr="00A572B6">
        <w:rPr>
          <w:rFonts w:asciiTheme="minorHAnsi" w:hAnsiTheme="minorHAnsi" w:cstheme="minorHAnsi"/>
          <w:sz w:val="22"/>
          <w:szCs w:val="22"/>
          <w:shd w:val="clear" w:color="auto" w:fill="FFFFFF"/>
        </w:rPr>
        <w:t>Pract</w:t>
      </w:r>
      <w:proofErr w:type="spellEnd"/>
      <w:r w:rsidRPr="00A572B6">
        <w:rPr>
          <w:rFonts w:asciiTheme="minorHAnsi" w:hAnsiTheme="minorHAnsi" w:cstheme="minorHAnsi"/>
          <w:sz w:val="22"/>
          <w:szCs w:val="22"/>
          <w:shd w:val="clear" w:color="auto" w:fill="FFFFFF"/>
        </w:rPr>
        <w:t>. 2021;71(706</w:t>
      </w:r>
      <w:proofErr w:type="gramStart"/>
      <w:r w:rsidRPr="00A572B6">
        <w:rPr>
          <w:rFonts w:asciiTheme="minorHAnsi" w:hAnsiTheme="minorHAnsi" w:cstheme="minorHAnsi"/>
          <w:sz w:val="22"/>
          <w:szCs w:val="22"/>
          <w:shd w:val="clear" w:color="auto" w:fill="FFFFFF"/>
        </w:rPr>
        <w:t>):e</w:t>
      </w:r>
      <w:proofErr w:type="gramEnd"/>
      <w:r w:rsidRPr="00A572B6">
        <w:rPr>
          <w:rFonts w:asciiTheme="minorHAnsi" w:hAnsiTheme="minorHAnsi" w:cstheme="minorHAnsi"/>
          <w:sz w:val="22"/>
          <w:szCs w:val="22"/>
          <w:shd w:val="clear" w:color="auto" w:fill="FFFFFF"/>
        </w:rPr>
        <w:t>381-e390.</w:t>
      </w:r>
    </w:p>
    <w:p w14:paraId="3D28DE09" w14:textId="3B3B805C" w:rsidR="001C64E2" w:rsidRPr="00D15BD2" w:rsidRDefault="001C64E2" w:rsidP="007C0327">
      <w:pPr>
        <w:pStyle w:val="ListParagraph"/>
        <w:numPr>
          <w:ilvl w:val="0"/>
          <w:numId w:val="6"/>
        </w:numPr>
        <w:spacing w:line="360" w:lineRule="auto"/>
        <w:jc w:val="both"/>
        <w:rPr>
          <w:rFonts w:asciiTheme="minorHAnsi" w:hAnsiTheme="minorHAnsi" w:cstheme="minorHAnsi"/>
          <w:iCs/>
          <w:sz w:val="22"/>
          <w:szCs w:val="22"/>
        </w:rPr>
      </w:pPr>
      <w:r w:rsidRPr="00D15BD2">
        <w:rPr>
          <w:rFonts w:asciiTheme="minorHAnsi" w:hAnsiTheme="minorHAnsi" w:cstheme="minorHAnsi"/>
          <w:iCs/>
          <w:sz w:val="22"/>
          <w:szCs w:val="22"/>
        </w:rPr>
        <w:t xml:space="preserve">Browne S, Macdonald S, May C, Macleod U, Mair F. Patient, carer and professional perspectives on barriers and facilitators to quality care in advanced heart failure. </w:t>
      </w:r>
      <w:proofErr w:type="spellStart"/>
      <w:r w:rsidRPr="00D15BD2">
        <w:rPr>
          <w:rFonts w:asciiTheme="minorHAnsi" w:hAnsiTheme="minorHAnsi" w:cstheme="minorHAnsi"/>
          <w:iCs/>
          <w:sz w:val="22"/>
          <w:szCs w:val="22"/>
        </w:rPr>
        <w:t>PLoS</w:t>
      </w:r>
      <w:proofErr w:type="spellEnd"/>
      <w:r w:rsidRPr="00D15BD2">
        <w:rPr>
          <w:rFonts w:asciiTheme="minorHAnsi" w:hAnsiTheme="minorHAnsi" w:cstheme="minorHAnsi"/>
          <w:iCs/>
          <w:sz w:val="22"/>
          <w:szCs w:val="22"/>
        </w:rPr>
        <w:t xml:space="preserve"> ONE</w:t>
      </w:r>
      <w:r w:rsidR="00A572B6" w:rsidRPr="00D15BD2">
        <w:rPr>
          <w:rFonts w:asciiTheme="minorHAnsi" w:hAnsiTheme="minorHAnsi" w:cstheme="minorHAnsi"/>
          <w:iCs/>
          <w:sz w:val="22"/>
          <w:szCs w:val="22"/>
        </w:rPr>
        <w:t>.</w:t>
      </w:r>
      <w:r w:rsidRPr="00D15BD2">
        <w:rPr>
          <w:rFonts w:asciiTheme="minorHAnsi" w:hAnsiTheme="minorHAnsi" w:cstheme="minorHAnsi"/>
          <w:iCs/>
          <w:sz w:val="22"/>
          <w:szCs w:val="22"/>
        </w:rPr>
        <w:t xml:space="preserve"> 2014:9(3</w:t>
      </w:r>
      <w:proofErr w:type="gramStart"/>
      <w:r w:rsidRPr="00D15BD2">
        <w:rPr>
          <w:rFonts w:asciiTheme="minorHAnsi" w:hAnsiTheme="minorHAnsi" w:cstheme="minorHAnsi"/>
          <w:iCs/>
          <w:sz w:val="22"/>
          <w:szCs w:val="22"/>
        </w:rPr>
        <w:t>):e</w:t>
      </w:r>
      <w:proofErr w:type="gramEnd"/>
      <w:r w:rsidRPr="00D15BD2">
        <w:rPr>
          <w:rFonts w:asciiTheme="minorHAnsi" w:hAnsiTheme="minorHAnsi" w:cstheme="minorHAnsi"/>
          <w:iCs/>
          <w:sz w:val="22"/>
          <w:szCs w:val="22"/>
        </w:rPr>
        <w:t>93288</w:t>
      </w:r>
    </w:p>
    <w:p w14:paraId="6058790D" w14:textId="52305D4F" w:rsidR="001C64E2" w:rsidRPr="00A572B6" w:rsidRDefault="001C64E2" w:rsidP="007C0327">
      <w:pPr>
        <w:pStyle w:val="ListParagraph"/>
        <w:numPr>
          <w:ilvl w:val="0"/>
          <w:numId w:val="6"/>
        </w:numPr>
        <w:spacing w:line="360" w:lineRule="auto"/>
        <w:rPr>
          <w:rFonts w:asciiTheme="minorHAnsi" w:hAnsiTheme="minorHAnsi" w:cstheme="minorHAnsi"/>
          <w:iCs/>
          <w:sz w:val="22"/>
          <w:szCs w:val="22"/>
        </w:rPr>
      </w:pPr>
      <w:proofErr w:type="spellStart"/>
      <w:r w:rsidRPr="00A572B6">
        <w:rPr>
          <w:rFonts w:asciiTheme="minorHAnsi" w:hAnsiTheme="minorHAnsi" w:cstheme="minorHAnsi"/>
          <w:iCs/>
          <w:sz w:val="22"/>
          <w:szCs w:val="22"/>
        </w:rPr>
        <w:t>Shippee</w:t>
      </w:r>
      <w:proofErr w:type="spellEnd"/>
      <w:r w:rsidRPr="00A572B6">
        <w:rPr>
          <w:rFonts w:asciiTheme="minorHAnsi" w:hAnsiTheme="minorHAnsi" w:cstheme="minorHAnsi"/>
          <w:iCs/>
          <w:sz w:val="22"/>
          <w:szCs w:val="22"/>
        </w:rPr>
        <w:t xml:space="preserve"> ND, Allen SV, </w:t>
      </w:r>
      <w:proofErr w:type="spellStart"/>
      <w:r w:rsidRPr="00A572B6">
        <w:rPr>
          <w:rFonts w:asciiTheme="minorHAnsi" w:hAnsiTheme="minorHAnsi" w:cstheme="minorHAnsi"/>
          <w:iCs/>
          <w:sz w:val="22"/>
          <w:szCs w:val="22"/>
        </w:rPr>
        <w:t>Leppin</w:t>
      </w:r>
      <w:proofErr w:type="spellEnd"/>
      <w:r w:rsidRPr="00A572B6">
        <w:rPr>
          <w:rFonts w:asciiTheme="minorHAnsi" w:hAnsiTheme="minorHAnsi" w:cstheme="minorHAnsi"/>
          <w:iCs/>
          <w:sz w:val="22"/>
          <w:szCs w:val="22"/>
        </w:rPr>
        <w:t xml:space="preserve"> AL, May CR, </w:t>
      </w:r>
      <w:proofErr w:type="spellStart"/>
      <w:r w:rsidRPr="00A572B6">
        <w:rPr>
          <w:rFonts w:asciiTheme="minorHAnsi" w:hAnsiTheme="minorHAnsi" w:cstheme="minorHAnsi"/>
          <w:iCs/>
          <w:sz w:val="22"/>
          <w:szCs w:val="22"/>
        </w:rPr>
        <w:t>Montori</w:t>
      </w:r>
      <w:proofErr w:type="spellEnd"/>
      <w:r w:rsidRPr="00A572B6">
        <w:rPr>
          <w:rFonts w:asciiTheme="minorHAnsi" w:hAnsiTheme="minorHAnsi" w:cstheme="minorHAnsi"/>
          <w:iCs/>
          <w:sz w:val="22"/>
          <w:szCs w:val="22"/>
        </w:rPr>
        <w:t xml:space="preserve"> VM. Attaining minimally disruptive medicine: context, </w:t>
      </w:r>
      <w:proofErr w:type="gramStart"/>
      <w:r w:rsidRPr="00A572B6">
        <w:rPr>
          <w:rFonts w:asciiTheme="minorHAnsi" w:hAnsiTheme="minorHAnsi" w:cstheme="minorHAnsi"/>
          <w:iCs/>
          <w:sz w:val="22"/>
          <w:szCs w:val="22"/>
        </w:rPr>
        <w:t>challenges</w:t>
      </w:r>
      <w:proofErr w:type="gramEnd"/>
      <w:r w:rsidRPr="00A572B6">
        <w:rPr>
          <w:rFonts w:asciiTheme="minorHAnsi" w:hAnsiTheme="minorHAnsi" w:cstheme="minorHAnsi"/>
          <w:iCs/>
          <w:sz w:val="22"/>
          <w:szCs w:val="22"/>
        </w:rPr>
        <w:t xml:space="preserve"> and a roadmap for implementation. J R Coll Physicians </w:t>
      </w:r>
      <w:proofErr w:type="spellStart"/>
      <w:r w:rsidRPr="00A572B6">
        <w:rPr>
          <w:rFonts w:asciiTheme="minorHAnsi" w:hAnsiTheme="minorHAnsi" w:cstheme="minorHAnsi"/>
          <w:iCs/>
          <w:sz w:val="22"/>
          <w:szCs w:val="22"/>
        </w:rPr>
        <w:t>Edinb</w:t>
      </w:r>
      <w:proofErr w:type="spellEnd"/>
      <w:r w:rsidR="00A572B6" w:rsidRPr="00A572B6">
        <w:rPr>
          <w:rFonts w:asciiTheme="minorHAnsi" w:hAnsiTheme="minorHAnsi" w:cstheme="minorHAnsi"/>
          <w:iCs/>
          <w:sz w:val="22"/>
          <w:szCs w:val="22"/>
        </w:rPr>
        <w:t>.</w:t>
      </w:r>
      <w:r w:rsidRPr="00A572B6">
        <w:rPr>
          <w:rFonts w:asciiTheme="minorHAnsi" w:hAnsiTheme="minorHAnsi" w:cstheme="minorHAnsi"/>
          <w:iCs/>
          <w:sz w:val="22"/>
          <w:szCs w:val="22"/>
        </w:rPr>
        <w:t xml:space="preserve"> </w:t>
      </w:r>
      <w:proofErr w:type="gramStart"/>
      <w:r w:rsidRPr="00A572B6">
        <w:rPr>
          <w:rFonts w:asciiTheme="minorHAnsi" w:hAnsiTheme="minorHAnsi" w:cstheme="minorHAnsi"/>
          <w:iCs/>
          <w:sz w:val="22"/>
          <w:szCs w:val="22"/>
        </w:rPr>
        <w:t>2015;45:18</w:t>
      </w:r>
      <w:proofErr w:type="gramEnd"/>
      <w:r w:rsidRPr="00A572B6">
        <w:rPr>
          <w:rFonts w:asciiTheme="minorHAnsi" w:hAnsiTheme="minorHAnsi" w:cstheme="minorHAnsi"/>
          <w:iCs/>
          <w:sz w:val="22"/>
          <w:szCs w:val="22"/>
        </w:rPr>
        <w:t>-22.</w:t>
      </w:r>
    </w:p>
    <w:p w14:paraId="74A64C1E" w14:textId="21664B11" w:rsidR="001C64E2" w:rsidRPr="00AD625E" w:rsidRDefault="001C64E2" w:rsidP="007C0327">
      <w:pPr>
        <w:pStyle w:val="ListParagraph"/>
        <w:numPr>
          <w:ilvl w:val="0"/>
          <w:numId w:val="6"/>
        </w:numPr>
        <w:spacing w:line="360" w:lineRule="auto"/>
        <w:jc w:val="both"/>
        <w:rPr>
          <w:rFonts w:asciiTheme="minorHAnsi" w:hAnsiTheme="minorHAnsi" w:cstheme="minorHAnsi"/>
          <w:sz w:val="22"/>
          <w:szCs w:val="22"/>
        </w:rPr>
      </w:pPr>
      <w:r w:rsidRPr="00AD625E">
        <w:rPr>
          <w:rFonts w:asciiTheme="minorHAnsi" w:hAnsiTheme="minorHAnsi" w:cstheme="minorHAnsi"/>
          <w:sz w:val="22"/>
          <w:szCs w:val="22"/>
        </w:rPr>
        <w:t xml:space="preserve">Tran VT, </w:t>
      </w:r>
      <w:proofErr w:type="spellStart"/>
      <w:r w:rsidRPr="00AD625E">
        <w:rPr>
          <w:rFonts w:asciiTheme="minorHAnsi" w:hAnsiTheme="minorHAnsi" w:cstheme="minorHAnsi"/>
          <w:sz w:val="22"/>
          <w:szCs w:val="22"/>
        </w:rPr>
        <w:t>Montori</w:t>
      </w:r>
      <w:proofErr w:type="spellEnd"/>
      <w:r w:rsidRPr="00AD625E">
        <w:rPr>
          <w:rFonts w:asciiTheme="minorHAnsi" w:hAnsiTheme="minorHAnsi" w:cstheme="minorHAnsi"/>
          <w:sz w:val="22"/>
          <w:szCs w:val="22"/>
        </w:rPr>
        <w:t xml:space="preserve"> VM, Eton DT, Baruch D, </w:t>
      </w:r>
      <w:proofErr w:type="spellStart"/>
      <w:r w:rsidRPr="00AD625E">
        <w:rPr>
          <w:rFonts w:asciiTheme="minorHAnsi" w:hAnsiTheme="minorHAnsi" w:cstheme="minorHAnsi"/>
          <w:sz w:val="22"/>
          <w:szCs w:val="22"/>
        </w:rPr>
        <w:t>Falissard</w:t>
      </w:r>
      <w:proofErr w:type="spellEnd"/>
      <w:r w:rsidRPr="00AD625E">
        <w:rPr>
          <w:rFonts w:asciiTheme="minorHAnsi" w:hAnsiTheme="minorHAnsi" w:cstheme="minorHAnsi"/>
          <w:sz w:val="22"/>
          <w:szCs w:val="22"/>
        </w:rPr>
        <w:t xml:space="preserve"> B, </w:t>
      </w:r>
      <w:proofErr w:type="spellStart"/>
      <w:r w:rsidRPr="00AD625E">
        <w:rPr>
          <w:rFonts w:asciiTheme="minorHAnsi" w:hAnsiTheme="minorHAnsi" w:cstheme="minorHAnsi"/>
          <w:sz w:val="22"/>
          <w:szCs w:val="22"/>
        </w:rPr>
        <w:t>Ravaud</w:t>
      </w:r>
      <w:proofErr w:type="spellEnd"/>
      <w:r w:rsidRPr="00AD625E">
        <w:rPr>
          <w:rFonts w:asciiTheme="minorHAnsi" w:hAnsiTheme="minorHAnsi" w:cstheme="minorHAnsi"/>
          <w:sz w:val="22"/>
          <w:szCs w:val="22"/>
        </w:rPr>
        <w:t xml:space="preserve"> P. </w:t>
      </w:r>
      <w:proofErr w:type="gramStart"/>
      <w:r w:rsidRPr="00AD625E">
        <w:rPr>
          <w:rFonts w:asciiTheme="minorHAnsi" w:hAnsiTheme="minorHAnsi" w:cstheme="minorHAnsi"/>
          <w:sz w:val="22"/>
          <w:szCs w:val="22"/>
        </w:rPr>
        <w:t>Development</w:t>
      </w:r>
      <w:proofErr w:type="gramEnd"/>
      <w:r w:rsidRPr="00AD625E">
        <w:rPr>
          <w:rFonts w:asciiTheme="minorHAnsi" w:hAnsiTheme="minorHAnsi" w:cstheme="minorHAnsi"/>
          <w:sz w:val="22"/>
          <w:szCs w:val="22"/>
        </w:rPr>
        <w:t xml:space="preserve"> and description of measurement properties of an instrument to assess treatment burden among patients with multiple chronic conditions. BMC Med. </w:t>
      </w:r>
      <w:proofErr w:type="gramStart"/>
      <w:r w:rsidRPr="00AD625E">
        <w:rPr>
          <w:rFonts w:asciiTheme="minorHAnsi" w:hAnsiTheme="minorHAnsi" w:cstheme="minorHAnsi"/>
          <w:sz w:val="22"/>
          <w:szCs w:val="22"/>
        </w:rPr>
        <w:t>2012;10:68</w:t>
      </w:r>
      <w:proofErr w:type="gramEnd"/>
      <w:r w:rsidRPr="00AD625E">
        <w:rPr>
          <w:rFonts w:asciiTheme="minorHAnsi" w:hAnsiTheme="minorHAnsi" w:cstheme="minorHAnsi"/>
          <w:sz w:val="22"/>
          <w:szCs w:val="22"/>
        </w:rPr>
        <w:t xml:space="preserve">. </w:t>
      </w:r>
    </w:p>
    <w:p w14:paraId="59B760C2" w14:textId="575B90F1" w:rsidR="00C63EC4" w:rsidRDefault="00C63EC4" w:rsidP="007C0327">
      <w:pPr>
        <w:pStyle w:val="ListParagraph"/>
        <w:numPr>
          <w:ilvl w:val="0"/>
          <w:numId w:val="6"/>
        </w:numPr>
        <w:spacing w:line="360" w:lineRule="auto"/>
        <w:jc w:val="both"/>
        <w:rPr>
          <w:rFonts w:asciiTheme="minorHAnsi" w:hAnsiTheme="minorHAnsi" w:cstheme="minorHAnsi"/>
          <w:sz w:val="22"/>
          <w:szCs w:val="22"/>
        </w:rPr>
      </w:pPr>
      <w:r w:rsidRPr="00457138">
        <w:rPr>
          <w:rFonts w:asciiTheme="minorHAnsi" w:hAnsiTheme="minorHAnsi" w:cstheme="minorHAnsi"/>
          <w:sz w:val="22"/>
          <w:szCs w:val="22"/>
        </w:rPr>
        <w:t>Duncan P, Murphy M, Man MS</w:t>
      </w:r>
      <w:r w:rsidRPr="00B92202">
        <w:rPr>
          <w:rFonts w:asciiTheme="minorHAnsi" w:hAnsiTheme="minorHAnsi" w:cstheme="minorHAnsi"/>
          <w:sz w:val="22"/>
          <w:szCs w:val="22"/>
        </w:rPr>
        <w:t xml:space="preserve">, </w:t>
      </w:r>
      <w:r w:rsidR="00B92202" w:rsidRPr="00705E03">
        <w:rPr>
          <w:rFonts w:asciiTheme="minorHAnsi" w:hAnsiTheme="minorHAnsi" w:cstheme="minorHAnsi"/>
          <w:color w:val="212121"/>
          <w:sz w:val="22"/>
          <w:szCs w:val="22"/>
          <w:shd w:val="clear" w:color="auto" w:fill="FFFFFF"/>
        </w:rPr>
        <w:t xml:space="preserve">Chaplin K, Gaunt D, Salisbury </w:t>
      </w:r>
      <w:proofErr w:type="gramStart"/>
      <w:r w:rsidR="00B92202" w:rsidRPr="00705E03">
        <w:rPr>
          <w:rFonts w:asciiTheme="minorHAnsi" w:hAnsiTheme="minorHAnsi" w:cstheme="minorHAnsi"/>
          <w:color w:val="212121"/>
          <w:sz w:val="22"/>
          <w:szCs w:val="22"/>
          <w:shd w:val="clear" w:color="auto" w:fill="FFFFFF"/>
        </w:rPr>
        <w:t>C.</w:t>
      </w:r>
      <w:r w:rsidRPr="00457138">
        <w:rPr>
          <w:rFonts w:asciiTheme="minorHAnsi" w:hAnsiTheme="minorHAnsi" w:cstheme="minorHAnsi"/>
          <w:sz w:val="22"/>
          <w:szCs w:val="22"/>
        </w:rPr>
        <w:t>.</w:t>
      </w:r>
      <w:proofErr w:type="gramEnd"/>
      <w:r w:rsidRPr="00457138">
        <w:rPr>
          <w:rFonts w:asciiTheme="minorHAnsi" w:hAnsiTheme="minorHAnsi" w:cstheme="minorHAnsi"/>
          <w:sz w:val="22"/>
          <w:szCs w:val="22"/>
        </w:rPr>
        <w:t xml:space="preserve"> Development and validation of the Multimorbidity Treatment Burden Questionnaire</w:t>
      </w:r>
      <w:r w:rsidRPr="00A572B6">
        <w:rPr>
          <w:rFonts w:asciiTheme="minorHAnsi" w:hAnsiTheme="minorHAnsi" w:cstheme="minorHAnsi"/>
          <w:sz w:val="22"/>
          <w:szCs w:val="22"/>
        </w:rPr>
        <w:t xml:space="preserve"> (MTBQ). </w:t>
      </w:r>
      <w:r w:rsidRPr="00A572B6">
        <w:rPr>
          <w:rFonts w:asciiTheme="minorHAnsi" w:hAnsiTheme="minorHAnsi" w:cstheme="minorHAnsi"/>
          <w:iCs/>
          <w:sz w:val="22"/>
          <w:szCs w:val="22"/>
        </w:rPr>
        <w:t>BMJ Open</w:t>
      </w:r>
      <w:r w:rsidR="00A572B6" w:rsidRPr="00A572B6">
        <w:rPr>
          <w:rFonts w:asciiTheme="minorHAnsi" w:hAnsiTheme="minorHAnsi" w:cstheme="minorHAnsi"/>
          <w:iCs/>
          <w:sz w:val="22"/>
          <w:szCs w:val="22"/>
        </w:rPr>
        <w:t>.</w:t>
      </w:r>
      <w:r w:rsidRPr="00A572B6">
        <w:rPr>
          <w:rFonts w:asciiTheme="minorHAnsi" w:hAnsiTheme="minorHAnsi" w:cstheme="minorHAnsi"/>
          <w:iCs/>
          <w:sz w:val="22"/>
          <w:szCs w:val="22"/>
        </w:rPr>
        <w:t xml:space="preserve"> </w:t>
      </w:r>
      <w:r w:rsidRPr="00A572B6">
        <w:rPr>
          <w:rFonts w:asciiTheme="minorHAnsi" w:hAnsiTheme="minorHAnsi" w:cstheme="minorHAnsi"/>
          <w:sz w:val="22"/>
          <w:szCs w:val="22"/>
        </w:rPr>
        <w:t>2018;8(4</w:t>
      </w:r>
      <w:proofErr w:type="gramStart"/>
      <w:r w:rsidRPr="00A572B6">
        <w:rPr>
          <w:rFonts w:asciiTheme="minorHAnsi" w:hAnsiTheme="minorHAnsi" w:cstheme="minorHAnsi"/>
          <w:sz w:val="22"/>
          <w:szCs w:val="22"/>
        </w:rPr>
        <w:t>):e</w:t>
      </w:r>
      <w:proofErr w:type="gramEnd"/>
      <w:r w:rsidRPr="00A572B6">
        <w:rPr>
          <w:rFonts w:asciiTheme="minorHAnsi" w:hAnsiTheme="minorHAnsi" w:cstheme="minorHAnsi"/>
          <w:sz w:val="22"/>
          <w:szCs w:val="22"/>
        </w:rPr>
        <w:t xml:space="preserve">019413. </w:t>
      </w:r>
    </w:p>
    <w:p w14:paraId="77EC6889" w14:textId="1E5F7294" w:rsidR="00AD625E" w:rsidRPr="00F7460F" w:rsidRDefault="00AD625E" w:rsidP="007C0327">
      <w:pPr>
        <w:pStyle w:val="ListParagraph"/>
        <w:numPr>
          <w:ilvl w:val="0"/>
          <w:numId w:val="6"/>
        </w:numPr>
        <w:spacing w:line="360" w:lineRule="auto"/>
        <w:jc w:val="both"/>
        <w:rPr>
          <w:rFonts w:asciiTheme="minorHAnsi" w:hAnsiTheme="minorHAnsi" w:cstheme="minorHAnsi"/>
          <w:sz w:val="22"/>
          <w:szCs w:val="22"/>
        </w:rPr>
      </w:pPr>
      <w:r w:rsidRPr="00F7460F">
        <w:rPr>
          <w:rFonts w:asciiTheme="minorHAnsi" w:hAnsiTheme="minorHAnsi" w:cstheme="minorHAnsi"/>
          <w:sz w:val="22"/>
          <w:szCs w:val="22"/>
        </w:rPr>
        <w:t xml:space="preserve">Boyd CM, Wolff JL, Giovannetti E, </w:t>
      </w:r>
      <w:proofErr w:type="spellStart"/>
      <w:r w:rsidR="00B92202" w:rsidRPr="00705E03">
        <w:rPr>
          <w:rFonts w:asciiTheme="minorHAnsi" w:hAnsiTheme="minorHAnsi" w:cstheme="minorHAnsi"/>
          <w:color w:val="212121"/>
          <w:sz w:val="22"/>
          <w:szCs w:val="22"/>
          <w:shd w:val="clear" w:color="auto" w:fill="FFFFFF"/>
        </w:rPr>
        <w:t>Reider</w:t>
      </w:r>
      <w:proofErr w:type="spellEnd"/>
      <w:r w:rsidR="00B92202" w:rsidRPr="00705E03">
        <w:rPr>
          <w:rFonts w:asciiTheme="minorHAnsi" w:hAnsiTheme="minorHAnsi" w:cstheme="minorHAnsi"/>
          <w:color w:val="212121"/>
          <w:sz w:val="22"/>
          <w:szCs w:val="22"/>
          <w:shd w:val="clear" w:color="auto" w:fill="FFFFFF"/>
        </w:rPr>
        <w:t xml:space="preserve"> L, Weiss C, </w:t>
      </w:r>
      <w:proofErr w:type="spellStart"/>
      <w:r w:rsidR="00B92202" w:rsidRPr="00705E03">
        <w:rPr>
          <w:rFonts w:asciiTheme="minorHAnsi" w:hAnsiTheme="minorHAnsi" w:cstheme="minorHAnsi"/>
          <w:color w:val="212121"/>
          <w:sz w:val="22"/>
          <w:szCs w:val="22"/>
          <w:shd w:val="clear" w:color="auto" w:fill="FFFFFF"/>
        </w:rPr>
        <w:t>Xue</w:t>
      </w:r>
      <w:proofErr w:type="spellEnd"/>
      <w:r w:rsidR="00B92202" w:rsidRPr="00705E03">
        <w:rPr>
          <w:rFonts w:asciiTheme="minorHAnsi" w:hAnsiTheme="minorHAnsi" w:cstheme="minorHAnsi"/>
          <w:color w:val="212121"/>
          <w:sz w:val="22"/>
          <w:szCs w:val="22"/>
          <w:shd w:val="clear" w:color="auto" w:fill="FFFFFF"/>
        </w:rPr>
        <w:t xml:space="preserve"> QL,</w:t>
      </w:r>
      <w:r w:rsidR="00B92202" w:rsidRPr="00F7460F">
        <w:rPr>
          <w:rFonts w:asciiTheme="minorHAnsi" w:hAnsiTheme="minorHAnsi" w:cstheme="minorHAnsi"/>
          <w:sz w:val="22"/>
          <w:szCs w:val="22"/>
        </w:rPr>
        <w:t xml:space="preserve"> </w:t>
      </w:r>
      <w:r w:rsidRPr="00F7460F">
        <w:rPr>
          <w:rFonts w:asciiTheme="minorHAnsi" w:hAnsiTheme="minorHAnsi" w:cstheme="minorHAnsi"/>
          <w:sz w:val="22"/>
          <w:szCs w:val="22"/>
        </w:rPr>
        <w:t>et al. Health care task difficulty among older adults with multimorbidity. Med Care</w:t>
      </w:r>
      <w:r w:rsidR="00F62BEF">
        <w:rPr>
          <w:rFonts w:asciiTheme="minorHAnsi" w:hAnsiTheme="minorHAnsi" w:cstheme="minorHAnsi"/>
          <w:sz w:val="22"/>
          <w:szCs w:val="22"/>
        </w:rPr>
        <w:t>.</w:t>
      </w:r>
      <w:r w:rsidRPr="00F7460F">
        <w:rPr>
          <w:rFonts w:asciiTheme="minorHAnsi" w:hAnsiTheme="minorHAnsi" w:cstheme="minorHAnsi"/>
          <w:sz w:val="22"/>
          <w:szCs w:val="22"/>
        </w:rPr>
        <w:t xml:space="preserve"> 2014; 52: S118-S125.</w:t>
      </w:r>
    </w:p>
    <w:p w14:paraId="4F49A48D" w14:textId="625606E5" w:rsidR="00AD625E" w:rsidRPr="00AD625E" w:rsidRDefault="00AD625E" w:rsidP="007C0327">
      <w:pPr>
        <w:pStyle w:val="ListParagraph"/>
        <w:numPr>
          <w:ilvl w:val="0"/>
          <w:numId w:val="6"/>
        </w:numPr>
        <w:spacing w:line="360" w:lineRule="auto"/>
        <w:jc w:val="both"/>
        <w:rPr>
          <w:rFonts w:asciiTheme="minorHAnsi" w:hAnsiTheme="minorHAnsi" w:cstheme="minorHAnsi"/>
          <w:sz w:val="22"/>
          <w:szCs w:val="22"/>
        </w:rPr>
      </w:pPr>
      <w:r w:rsidRPr="00F7460F">
        <w:rPr>
          <w:rFonts w:asciiTheme="minorHAnsi" w:hAnsiTheme="minorHAnsi" w:cstheme="minorHAnsi"/>
          <w:sz w:val="22"/>
          <w:szCs w:val="22"/>
        </w:rPr>
        <w:t xml:space="preserve">Gibbons CJ, Kenning C, Coventry PA, </w:t>
      </w:r>
      <w:r w:rsidR="00B92202" w:rsidRPr="00705E03">
        <w:rPr>
          <w:rFonts w:asciiTheme="minorHAnsi" w:hAnsiTheme="minorHAnsi" w:cstheme="minorHAnsi"/>
          <w:color w:val="212121"/>
          <w:sz w:val="22"/>
          <w:szCs w:val="22"/>
          <w:shd w:val="clear" w:color="auto" w:fill="FFFFFF"/>
        </w:rPr>
        <w:t>Bee P, Bundy C, Fisher L, et al</w:t>
      </w:r>
      <w:r w:rsidRPr="00F7460F">
        <w:rPr>
          <w:rFonts w:asciiTheme="minorHAnsi" w:hAnsiTheme="minorHAnsi" w:cstheme="minorHAnsi"/>
          <w:sz w:val="22"/>
          <w:szCs w:val="22"/>
        </w:rPr>
        <w:t>. Development of a Multimorbidity Illness Perceptions Scale (</w:t>
      </w:r>
      <w:proofErr w:type="spellStart"/>
      <w:r w:rsidRPr="00F7460F">
        <w:rPr>
          <w:rFonts w:asciiTheme="minorHAnsi" w:hAnsiTheme="minorHAnsi" w:cstheme="minorHAnsi"/>
          <w:sz w:val="22"/>
          <w:szCs w:val="22"/>
        </w:rPr>
        <w:t>MULTIPleS</w:t>
      </w:r>
      <w:proofErr w:type="spellEnd"/>
      <w:r w:rsidRPr="00F7460F">
        <w:rPr>
          <w:rFonts w:asciiTheme="minorHAnsi" w:hAnsiTheme="minorHAnsi" w:cstheme="minorHAnsi"/>
          <w:sz w:val="22"/>
          <w:szCs w:val="22"/>
        </w:rPr>
        <w:t xml:space="preserve">). </w:t>
      </w:r>
      <w:proofErr w:type="spellStart"/>
      <w:r w:rsidRPr="00F7460F">
        <w:rPr>
          <w:rFonts w:asciiTheme="minorHAnsi" w:hAnsiTheme="minorHAnsi" w:cstheme="minorHAnsi"/>
          <w:sz w:val="22"/>
          <w:szCs w:val="22"/>
        </w:rPr>
        <w:t>PLoS</w:t>
      </w:r>
      <w:proofErr w:type="spellEnd"/>
      <w:r w:rsidRPr="00F7460F">
        <w:rPr>
          <w:rFonts w:asciiTheme="minorHAnsi" w:hAnsiTheme="minorHAnsi" w:cstheme="minorHAnsi"/>
          <w:sz w:val="22"/>
          <w:szCs w:val="22"/>
        </w:rPr>
        <w:t xml:space="preserve"> One</w:t>
      </w:r>
      <w:r w:rsidR="00F62BEF">
        <w:rPr>
          <w:rFonts w:asciiTheme="minorHAnsi" w:hAnsiTheme="minorHAnsi" w:cstheme="minorHAnsi"/>
          <w:sz w:val="22"/>
          <w:szCs w:val="22"/>
        </w:rPr>
        <w:t>.</w:t>
      </w:r>
      <w:r w:rsidRPr="00F7460F">
        <w:rPr>
          <w:rFonts w:asciiTheme="minorHAnsi" w:hAnsiTheme="minorHAnsi" w:cstheme="minorHAnsi"/>
          <w:sz w:val="22"/>
          <w:szCs w:val="22"/>
        </w:rPr>
        <w:t xml:space="preserve"> 2013; 8(12): e81852.</w:t>
      </w:r>
    </w:p>
    <w:p w14:paraId="29BC7CFB" w14:textId="22C9B10D" w:rsidR="00C63EC4" w:rsidRPr="00A572B6" w:rsidRDefault="00C63EC4" w:rsidP="007C0327">
      <w:pPr>
        <w:pStyle w:val="ListParagraph"/>
        <w:numPr>
          <w:ilvl w:val="0"/>
          <w:numId w:val="6"/>
        </w:numPr>
        <w:spacing w:line="360" w:lineRule="auto"/>
        <w:jc w:val="both"/>
        <w:rPr>
          <w:rFonts w:asciiTheme="minorHAnsi" w:hAnsiTheme="minorHAnsi" w:cstheme="minorHAnsi"/>
          <w:iCs/>
          <w:sz w:val="22"/>
          <w:szCs w:val="22"/>
        </w:rPr>
      </w:pPr>
      <w:r w:rsidRPr="00A572B6">
        <w:rPr>
          <w:rFonts w:asciiTheme="minorHAnsi" w:hAnsiTheme="minorHAnsi" w:cstheme="minorHAnsi"/>
          <w:iCs/>
          <w:sz w:val="22"/>
          <w:szCs w:val="22"/>
        </w:rPr>
        <w:t xml:space="preserve">Eton DT, </w:t>
      </w:r>
      <w:proofErr w:type="spellStart"/>
      <w:r w:rsidRPr="00A572B6">
        <w:rPr>
          <w:rFonts w:asciiTheme="minorHAnsi" w:hAnsiTheme="minorHAnsi" w:cstheme="minorHAnsi"/>
          <w:iCs/>
          <w:sz w:val="22"/>
          <w:szCs w:val="22"/>
        </w:rPr>
        <w:t>Elraiyah</w:t>
      </w:r>
      <w:proofErr w:type="spellEnd"/>
      <w:r w:rsidRPr="00A572B6">
        <w:rPr>
          <w:rFonts w:asciiTheme="minorHAnsi" w:hAnsiTheme="minorHAnsi" w:cstheme="minorHAnsi"/>
          <w:iCs/>
          <w:sz w:val="22"/>
          <w:szCs w:val="22"/>
        </w:rPr>
        <w:t xml:space="preserve"> TA, Yost KJ, </w:t>
      </w:r>
      <w:r w:rsidR="00B92202" w:rsidRPr="00B92202">
        <w:rPr>
          <w:rFonts w:asciiTheme="minorHAnsi" w:hAnsiTheme="minorHAnsi" w:cstheme="minorHAnsi"/>
          <w:iCs/>
          <w:sz w:val="22"/>
          <w:szCs w:val="22"/>
        </w:rPr>
        <w:t>R</w:t>
      </w:r>
      <w:r w:rsidR="00B92202" w:rsidRPr="00705E03">
        <w:rPr>
          <w:rFonts w:asciiTheme="minorHAnsi" w:hAnsiTheme="minorHAnsi" w:cstheme="minorHAnsi"/>
          <w:color w:val="212121"/>
          <w:sz w:val="22"/>
          <w:szCs w:val="22"/>
          <w:shd w:val="clear" w:color="auto" w:fill="FFFFFF"/>
        </w:rPr>
        <w:t xml:space="preserve">idgeway JL, Johnson A, </w:t>
      </w:r>
      <w:proofErr w:type="spellStart"/>
      <w:r w:rsidR="00B92202" w:rsidRPr="00705E03">
        <w:rPr>
          <w:rFonts w:asciiTheme="minorHAnsi" w:hAnsiTheme="minorHAnsi" w:cstheme="minorHAnsi"/>
          <w:color w:val="212121"/>
          <w:sz w:val="22"/>
          <w:szCs w:val="22"/>
          <w:shd w:val="clear" w:color="auto" w:fill="FFFFFF"/>
        </w:rPr>
        <w:t>Egginton</w:t>
      </w:r>
      <w:proofErr w:type="spellEnd"/>
      <w:r w:rsidR="00B92202" w:rsidRPr="00705E03">
        <w:rPr>
          <w:rFonts w:asciiTheme="minorHAnsi" w:hAnsiTheme="minorHAnsi" w:cstheme="minorHAnsi"/>
          <w:color w:val="212121"/>
          <w:sz w:val="22"/>
          <w:szCs w:val="22"/>
          <w:shd w:val="clear" w:color="auto" w:fill="FFFFFF"/>
        </w:rPr>
        <w:t xml:space="preserve"> JS, </w:t>
      </w:r>
      <w:r w:rsidRPr="00B92202">
        <w:rPr>
          <w:rFonts w:asciiTheme="minorHAnsi" w:hAnsiTheme="minorHAnsi" w:cstheme="minorHAnsi"/>
          <w:iCs/>
          <w:sz w:val="22"/>
          <w:szCs w:val="22"/>
        </w:rPr>
        <w:t>et</w:t>
      </w:r>
      <w:r w:rsidRPr="00A572B6">
        <w:rPr>
          <w:rFonts w:asciiTheme="minorHAnsi" w:hAnsiTheme="minorHAnsi" w:cstheme="minorHAnsi"/>
          <w:iCs/>
          <w:sz w:val="22"/>
          <w:szCs w:val="22"/>
        </w:rPr>
        <w:t xml:space="preserve"> al. A systematic review of patient-reported measures of burden of treatment in three chronic diseases. Patient </w:t>
      </w:r>
      <w:proofErr w:type="spellStart"/>
      <w:r w:rsidRPr="00A572B6">
        <w:rPr>
          <w:rFonts w:asciiTheme="minorHAnsi" w:hAnsiTheme="minorHAnsi" w:cstheme="minorHAnsi"/>
          <w:iCs/>
          <w:sz w:val="22"/>
          <w:szCs w:val="22"/>
        </w:rPr>
        <w:t>Relat</w:t>
      </w:r>
      <w:proofErr w:type="spellEnd"/>
      <w:r w:rsidRPr="00A572B6">
        <w:rPr>
          <w:rFonts w:asciiTheme="minorHAnsi" w:hAnsiTheme="minorHAnsi" w:cstheme="minorHAnsi"/>
          <w:iCs/>
          <w:sz w:val="22"/>
          <w:szCs w:val="22"/>
        </w:rPr>
        <w:t xml:space="preserve"> Outcome Meas. 2013</w:t>
      </w:r>
      <w:r w:rsidR="00A572B6" w:rsidRPr="00A572B6">
        <w:rPr>
          <w:rFonts w:asciiTheme="minorHAnsi" w:hAnsiTheme="minorHAnsi" w:cstheme="minorHAnsi"/>
          <w:iCs/>
          <w:sz w:val="22"/>
          <w:szCs w:val="22"/>
        </w:rPr>
        <w:t xml:space="preserve">; </w:t>
      </w:r>
      <w:proofErr w:type="gramStart"/>
      <w:r w:rsidRPr="00A572B6">
        <w:rPr>
          <w:rFonts w:asciiTheme="minorHAnsi" w:hAnsiTheme="minorHAnsi" w:cstheme="minorHAnsi"/>
          <w:iCs/>
          <w:sz w:val="22"/>
          <w:szCs w:val="22"/>
        </w:rPr>
        <w:t>5;4:7</w:t>
      </w:r>
      <w:proofErr w:type="gramEnd"/>
      <w:r w:rsidRPr="00A572B6">
        <w:rPr>
          <w:rFonts w:asciiTheme="minorHAnsi" w:hAnsiTheme="minorHAnsi" w:cstheme="minorHAnsi"/>
          <w:iCs/>
          <w:sz w:val="22"/>
          <w:szCs w:val="22"/>
        </w:rPr>
        <w:t>-20.</w:t>
      </w:r>
    </w:p>
    <w:p w14:paraId="3F13777C" w14:textId="10EDF05D" w:rsidR="00C63EC4" w:rsidRPr="00A572B6" w:rsidRDefault="00C63EC4" w:rsidP="007C0327">
      <w:pPr>
        <w:pStyle w:val="ListParagraph"/>
        <w:numPr>
          <w:ilvl w:val="0"/>
          <w:numId w:val="6"/>
        </w:numPr>
        <w:spacing w:line="360" w:lineRule="auto"/>
        <w:jc w:val="both"/>
        <w:rPr>
          <w:rFonts w:asciiTheme="minorHAnsi" w:hAnsiTheme="minorHAnsi" w:cstheme="minorHAnsi"/>
          <w:iCs/>
          <w:sz w:val="22"/>
          <w:szCs w:val="22"/>
        </w:rPr>
      </w:pPr>
      <w:r w:rsidRPr="00A572B6">
        <w:rPr>
          <w:rFonts w:asciiTheme="minorHAnsi" w:hAnsiTheme="minorHAnsi" w:cstheme="minorHAnsi"/>
          <w:iCs/>
          <w:sz w:val="22"/>
          <w:szCs w:val="22"/>
        </w:rPr>
        <w:t xml:space="preserve">Eton DT, Ridgeway JL, </w:t>
      </w:r>
      <w:proofErr w:type="spellStart"/>
      <w:r w:rsidRPr="00A572B6">
        <w:rPr>
          <w:rFonts w:asciiTheme="minorHAnsi" w:hAnsiTheme="minorHAnsi" w:cstheme="minorHAnsi"/>
          <w:iCs/>
          <w:sz w:val="22"/>
          <w:szCs w:val="22"/>
        </w:rPr>
        <w:t>Egginton</w:t>
      </w:r>
      <w:proofErr w:type="spellEnd"/>
      <w:r w:rsidRPr="00A572B6">
        <w:rPr>
          <w:rFonts w:asciiTheme="minorHAnsi" w:hAnsiTheme="minorHAnsi" w:cstheme="minorHAnsi"/>
          <w:iCs/>
          <w:sz w:val="22"/>
          <w:szCs w:val="22"/>
        </w:rPr>
        <w:t xml:space="preserve"> JS, </w:t>
      </w:r>
      <w:proofErr w:type="spellStart"/>
      <w:r w:rsidR="00B92202" w:rsidRPr="00705E03">
        <w:rPr>
          <w:rFonts w:asciiTheme="minorHAnsi" w:hAnsiTheme="minorHAnsi" w:cstheme="minorHAnsi"/>
          <w:color w:val="212121"/>
          <w:sz w:val="22"/>
          <w:szCs w:val="22"/>
          <w:shd w:val="clear" w:color="auto" w:fill="FFFFFF"/>
        </w:rPr>
        <w:t>Tiedje</w:t>
      </w:r>
      <w:proofErr w:type="spellEnd"/>
      <w:r w:rsidR="00B92202" w:rsidRPr="00705E03">
        <w:rPr>
          <w:rFonts w:asciiTheme="minorHAnsi" w:hAnsiTheme="minorHAnsi" w:cstheme="minorHAnsi"/>
          <w:color w:val="212121"/>
          <w:sz w:val="22"/>
          <w:szCs w:val="22"/>
          <w:shd w:val="clear" w:color="auto" w:fill="FFFFFF"/>
        </w:rPr>
        <w:t xml:space="preserve"> K, Linzer M, Boehm DH,</w:t>
      </w:r>
      <w:r w:rsidR="00B92202">
        <w:rPr>
          <w:rFonts w:ascii="Segoe UI" w:hAnsi="Segoe UI" w:cs="Segoe UI"/>
          <w:color w:val="212121"/>
          <w:shd w:val="clear" w:color="auto" w:fill="FFFFFF"/>
        </w:rPr>
        <w:t xml:space="preserve"> </w:t>
      </w:r>
      <w:r w:rsidRPr="00A572B6">
        <w:rPr>
          <w:rFonts w:asciiTheme="minorHAnsi" w:hAnsiTheme="minorHAnsi" w:cstheme="minorHAnsi"/>
          <w:iCs/>
          <w:sz w:val="22"/>
          <w:szCs w:val="22"/>
        </w:rPr>
        <w:t xml:space="preserve">et al. Finalizing a measurement framework for the burden of treatment in complex patients with chronic conditions. Patient </w:t>
      </w:r>
      <w:proofErr w:type="spellStart"/>
      <w:r w:rsidRPr="00A572B6">
        <w:rPr>
          <w:rFonts w:asciiTheme="minorHAnsi" w:hAnsiTheme="minorHAnsi" w:cstheme="minorHAnsi"/>
          <w:iCs/>
          <w:sz w:val="22"/>
          <w:szCs w:val="22"/>
        </w:rPr>
        <w:t>Relat</w:t>
      </w:r>
      <w:proofErr w:type="spellEnd"/>
      <w:r w:rsidRPr="00A572B6">
        <w:rPr>
          <w:rFonts w:asciiTheme="minorHAnsi" w:hAnsiTheme="minorHAnsi" w:cstheme="minorHAnsi"/>
          <w:iCs/>
          <w:sz w:val="22"/>
          <w:szCs w:val="22"/>
        </w:rPr>
        <w:t xml:space="preserve"> Outcome Meas. </w:t>
      </w:r>
      <w:proofErr w:type="gramStart"/>
      <w:r w:rsidRPr="00A572B6">
        <w:rPr>
          <w:rFonts w:asciiTheme="minorHAnsi" w:hAnsiTheme="minorHAnsi" w:cstheme="minorHAnsi"/>
          <w:iCs/>
          <w:sz w:val="22"/>
          <w:szCs w:val="22"/>
        </w:rPr>
        <w:t>2015;6:117</w:t>
      </w:r>
      <w:proofErr w:type="gramEnd"/>
      <w:r w:rsidRPr="00A572B6">
        <w:rPr>
          <w:rFonts w:asciiTheme="minorHAnsi" w:hAnsiTheme="minorHAnsi" w:cstheme="minorHAnsi"/>
          <w:iCs/>
          <w:sz w:val="22"/>
          <w:szCs w:val="22"/>
        </w:rPr>
        <w:t>-26.</w:t>
      </w:r>
    </w:p>
    <w:p w14:paraId="68DBA2C4" w14:textId="2D465CAF" w:rsidR="00C63EC4" w:rsidRPr="00F7460F" w:rsidRDefault="00C63EC4" w:rsidP="007C0327">
      <w:pPr>
        <w:pStyle w:val="ListParagraph"/>
        <w:numPr>
          <w:ilvl w:val="0"/>
          <w:numId w:val="6"/>
        </w:numPr>
        <w:spacing w:line="360" w:lineRule="auto"/>
        <w:jc w:val="both"/>
        <w:rPr>
          <w:rFonts w:asciiTheme="minorHAnsi" w:hAnsiTheme="minorHAnsi" w:cstheme="minorHAnsi"/>
          <w:sz w:val="22"/>
          <w:szCs w:val="22"/>
        </w:rPr>
      </w:pPr>
      <w:r w:rsidRPr="00A06E5A">
        <w:rPr>
          <w:rFonts w:asciiTheme="minorHAnsi" w:hAnsiTheme="minorHAnsi" w:cstheme="minorHAnsi"/>
          <w:iCs/>
          <w:sz w:val="22"/>
          <w:szCs w:val="22"/>
        </w:rPr>
        <w:t>Eton DT, Yost KJ, Lai JS</w:t>
      </w:r>
      <w:r w:rsidR="00785736">
        <w:rPr>
          <w:rFonts w:asciiTheme="minorHAnsi" w:hAnsiTheme="minorHAnsi" w:cstheme="minorHAnsi"/>
          <w:iCs/>
          <w:sz w:val="22"/>
          <w:szCs w:val="22"/>
        </w:rPr>
        <w:t xml:space="preserve">, </w:t>
      </w:r>
      <w:r w:rsidR="00785736" w:rsidRPr="00705E03">
        <w:rPr>
          <w:rFonts w:asciiTheme="minorHAnsi" w:hAnsiTheme="minorHAnsi" w:cstheme="minorHAnsi"/>
          <w:color w:val="303030"/>
          <w:sz w:val="22"/>
          <w:szCs w:val="22"/>
          <w:shd w:val="clear" w:color="auto" w:fill="FFFFFF"/>
        </w:rPr>
        <w:t xml:space="preserve">Ridgeway JL, </w:t>
      </w:r>
      <w:proofErr w:type="spellStart"/>
      <w:r w:rsidR="00785736" w:rsidRPr="00705E03">
        <w:rPr>
          <w:rFonts w:asciiTheme="minorHAnsi" w:hAnsiTheme="minorHAnsi" w:cstheme="minorHAnsi"/>
          <w:color w:val="303030"/>
          <w:sz w:val="22"/>
          <w:szCs w:val="22"/>
          <w:shd w:val="clear" w:color="auto" w:fill="FFFFFF"/>
        </w:rPr>
        <w:t>Egginton</w:t>
      </w:r>
      <w:proofErr w:type="spellEnd"/>
      <w:r w:rsidR="00785736" w:rsidRPr="00705E03">
        <w:rPr>
          <w:rFonts w:asciiTheme="minorHAnsi" w:hAnsiTheme="minorHAnsi" w:cstheme="minorHAnsi"/>
          <w:color w:val="303030"/>
          <w:sz w:val="22"/>
          <w:szCs w:val="22"/>
          <w:shd w:val="clear" w:color="auto" w:fill="FFFFFF"/>
        </w:rPr>
        <w:t xml:space="preserve"> JS, </w:t>
      </w:r>
      <w:proofErr w:type="spellStart"/>
      <w:r w:rsidR="00785736" w:rsidRPr="00705E03">
        <w:rPr>
          <w:rFonts w:asciiTheme="minorHAnsi" w:hAnsiTheme="minorHAnsi" w:cstheme="minorHAnsi"/>
          <w:color w:val="303030"/>
          <w:sz w:val="22"/>
          <w:szCs w:val="22"/>
          <w:shd w:val="clear" w:color="auto" w:fill="FFFFFF"/>
        </w:rPr>
        <w:t>Rosedahl</w:t>
      </w:r>
      <w:proofErr w:type="spellEnd"/>
      <w:r w:rsidR="00785736" w:rsidRPr="00705E03">
        <w:rPr>
          <w:rFonts w:asciiTheme="minorHAnsi" w:hAnsiTheme="minorHAnsi" w:cstheme="minorHAnsi"/>
          <w:color w:val="303030"/>
          <w:sz w:val="22"/>
          <w:szCs w:val="22"/>
          <w:shd w:val="clear" w:color="auto" w:fill="FFFFFF"/>
        </w:rPr>
        <w:t xml:space="preserve"> JK, </w:t>
      </w:r>
      <w:r w:rsidRPr="00A06E5A">
        <w:rPr>
          <w:rFonts w:asciiTheme="minorHAnsi" w:hAnsiTheme="minorHAnsi" w:cstheme="minorHAnsi"/>
          <w:iCs/>
          <w:sz w:val="22"/>
          <w:szCs w:val="22"/>
        </w:rPr>
        <w:t>et al. Development and validation of the Patient Experience with Treatment and Self-management (PETS): a patient-report</w:t>
      </w:r>
      <w:r w:rsidRPr="00F7460F">
        <w:rPr>
          <w:rFonts w:asciiTheme="minorHAnsi" w:hAnsiTheme="minorHAnsi" w:cstheme="minorHAnsi"/>
          <w:iCs/>
          <w:sz w:val="22"/>
          <w:szCs w:val="22"/>
        </w:rPr>
        <w:t>ed measure of treatment burden. Qual Life Res. 2017;26(2):489-503.</w:t>
      </w:r>
    </w:p>
    <w:p w14:paraId="4D00276C" w14:textId="7CFA6FA7" w:rsidR="00C63EC4" w:rsidRPr="00A572B6" w:rsidRDefault="00C63EC4" w:rsidP="007C0327">
      <w:pPr>
        <w:pStyle w:val="ListParagraph"/>
        <w:numPr>
          <w:ilvl w:val="0"/>
          <w:numId w:val="6"/>
        </w:numPr>
        <w:spacing w:line="360" w:lineRule="auto"/>
        <w:jc w:val="both"/>
        <w:rPr>
          <w:rFonts w:asciiTheme="minorHAnsi" w:hAnsiTheme="minorHAnsi" w:cstheme="minorHAnsi"/>
          <w:iCs/>
          <w:sz w:val="22"/>
          <w:szCs w:val="22"/>
        </w:rPr>
      </w:pPr>
      <w:r w:rsidRPr="00A572B6">
        <w:rPr>
          <w:rFonts w:asciiTheme="minorHAnsi" w:hAnsiTheme="minorHAnsi" w:cstheme="minorHAnsi"/>
          <w:iCs/>
          <w:sz w:val="22"/>
          <w:szCs w:val="22"/>
        </w:rPr>
        <w:lastRenderedPageBreak/>
        <w:t xml:space="preserve">Rogers EA, Yost KJ, </w:t>
      </w:r>
      <w:proofErr w:type="spellStart"/>
      <w:r w:rsidRPr="00A572B6">
        <w:rPr>
          <w:rFonts w:asciiTheme="minorHAnsi" w:hAnsiTheme="minorHAnsi" w:cstheme="minorHAnsi"/>
          <w:iCs/>
          <w:sz w:val="22"/>
          <w:szCs w:val="22"/>
        </w:rPr>
        <w:t>Rosedahl</w:t>
      </w:r>
      <w:proofErr w:type="spellEnd"/>
      <w:r w:rsidRPr="00A572B6">
        <w:rPr>
          <w:rFonts w:asciiTheme="minorHAnsi" w:hAnsiTheme="minorHAnsi" w:cstheme="minorHAnsi"/>
          <w:iCs/>
          <w:sz w:val="22"/>
          <w:szCs w:val="22"/>
        </w:rPr>
        <w:t xml:space="preserve"> JK, </w:t>
      </w:r>
      <w:r w:rsidR="00785736" w:rsidRPr="00705E03">
        <w:rPr>
          <w:rFonts w:asciiTheme="minorHAnsi" w:hAnsiTheme="minorHAnsi" w:cstheme="minorHAnsi"/>
          <w:color w:val="212121"/>
          <w:sz w:val="22"/>
          <w:szCs w:val="22"/>
          <w:shd w:val="clear" w:color="auto" w:fill="FFFFFF"/>
        </w:rPr>
        <w:t xml:space="preserve">Linzer M, Boehm DH, Thakur A, </w:t>
      </w:r>
      <w:r w:rsidRPr="00A572B6">
        <w:rPr>
          <w:rFonts w:asciiTheme="minorHAnsi" w:hAnsiTheme="minorHAnsi" w:cstheme="minorHAnsi"/>
          <w:iCs/>
          <w:sz w:val="22"/>
          <w:szCs w:val="22"/>
        </w:rPr>
        <w:t xml:space="preserve">et al. Validating the Patient Experience with Treatment and Self-Management (PETS), a patient-reported measure of treatment burden, in people with diabetes. Patient </w:t>
      </w:r>
      <w:proofErr w:type="spellStart"/>
      <w:r w:rsidRPr="00A572B6">
        <w:rPr>
          <w:rFonts w:asciiTheme="minorHAnsi" w:hAnsiTheme="minorHAnsi" w:cstheme="minorHAnsi"/>
          <w:iCs/>
          <w:sz w:val="22"/>
          <w:szCs w:val="22"/>
        </w:rPr>
        <w:t>Relat</w:t>
      </w:r>
      <w:proofErr w:type="spellEnd"/>
      <w:r w:rsidRPr="00A572B6">
        <w:rPr>
          <w:rFonts w:asciiTheme="minorHAnsi" w:hAnsiTheme="minorHAnsi" w:cstheme="minorHAnsi"/>
          <w:iCs/>
          <w:sz w:val="22"/>
          <w:szCs w:val="22"/>
        </w:rPr>
        <w:t xml:space="preserve"> Outcome Meas. </w:t>
      </w:r>
      <w:proofErr w:type="gramStart"/>
      <w:r w:rsidRPr="00A572B6">
        <w:rPr>
          <w:rFonts w:asciiTheme="minorHAnsi" w:hAnsiTheme="minorHAnsi" w:cstheme="minorHAnsi"/>
          <w:iCs/>
          <w:sz w:val="22"/>
          <w:szCs w:val="22"/>
        </w:rPr>
        <w:t>2017;8:143</w:t>
      </w:r>
      <w:proofErr w:type="gramEnd"/>
      <w:r w:rsidRPr="00A572B6">
        <w:rPr>
          <w:rFonts w:asciiTheme="minorHAnsi" w:hAnsiTheme="minorHAnsi" w:cstheme="minorHAnsi"/>
          <w:iCs/>
          <w:sz w:val="22"/>
          <w:szCs w:val="22"/>
        </w:rPr>
        <w:t>-156.</w:t>
      </w:r>
    </w:p>
    <w:p w14:paraId="44395355" w14:textId="5F1E1466" w:rsidR="00066FE2" w:rsidRDefault="001C64E2" w:rsidP="00066FE2">
      <w:pPr>
        <w:pStyle w:val="ListParagraph"/>
        <w:numPr>
          <w:ilvl w:val="0"/>
          <w:numId w:val="6"/>
        </w:numPr>
        <w:spacing w:line="360" w:lineRule="auto"/>
        <w:rPr>
          <w:rFonts w:asciiTheme="minorHAnsi" w:hAnsiTheme="minorHAnsi" w:cstheme="minorHAnsi"/>
          <w:iCs/>
          <w:sz w:val="22"/>
          <w:szCs w:val="22"/>
        </w:rPr>
      </w:pPr>
      <w:r w:rsidRPr="00A572B6">
        <w:rPr>
          <w:rFonts w:asciiTheme="minorHAnsi" w:hAnsiTheme="minorHAnsi" w:cstheme="minorHAnsi"/>
          <w:iCs/>
          <w:sz w:val="22"/>
          <w:szCs w:val="22"/>
        </w:rPr>
        <w:t>NHS Dorset Clinical Commissioning Group. Clinical Services Review [Available from:</w:t>
      </w:r>
      <w:r w:rsidR="00A572B6" w:rsidRPr="00A572B6">
        <w:rPr>
          <w:rFonts w:asciiTheme="minorHAnsi" w:hAnsiTheme="minorHAnsi" w:cstheme="minorHAnsi"/>
          <w:iCs/>
          <w:sz w:val="22"/>
          <w:szCs w:val="22"/>
        </w:rPr>
        <w:t xml:space="preserve"> </w:t>
      </w:r>
      <w:hyperlink r:id="rId13" w:history="1">
        <w:r w:rsidR="00FE04D4" w:rsidRPr="00373CA2">
          <w:rPr>
            <w:rStyle w:val="Hyperlink"/>
            <w:rFonts w:asciiTheme="minorHAnsi" w:hAnsiTheme="minorHAnsi" w:cstheme="minorHAnsi"/>
            <w:iCs/>
            <w:sz w:val="22"/>
            <w:szCs w:val="22"/>
          </w:rPr>
          <w:t>https://www.dorsetsvision.nhs.uk/about/csr/</w:t>
        </w:r>
      </w:hyperlink>
      <w:r w:rsidR="00A572B6">
        <w:rPr>
          <w:rFonts w:asciiTheme="minorHAnsi" w:hAnsiTheme="minorHAnsi" w:cstheme="minorHAnsi"/>
          <w:iCs/>
          <w:sz w:val="22"/>
          <w:szCs w:val="22"/>
        </w:rPr>
        <w:t>].</w:t>
      </w:r>
    </w:p>
    <w:p w14:paraId="2001676C" w14:textId="7A2AF365" w:rsidR="002911FB" w:rsidRPr="00705E03" w:rsidRDefault="002911FB" w:rsidP="00066FE2">
      <w:pPr>
        <w:pStyle w:val="ListParagraph"/>
        <w:numPr>
          <w:ilvl w:val="0"/>
          <w:numId w:val="6"/>
        </w:numPr>
        <w:spacing w:line="360" w:lineRule="auto"/>
        <w:rPr>
          <w:rFonts w:asciiTheme="minorHAnsi" w:hAnsiTheme="minorHAnsi" w:cstheme="minorHAnsi"/>
          <w:iCs/>
          <w:sz w:val="22"/>
          <w:szCs w:val="22"/>
        </w:rPr>
      </w:pPr>
      <w:r w:rsidRPr="00705E03">
        <w:rPr>
          <w:rFonts w:asciiTheme="minorHAnsi" w:hAnsiTheme="minorHAnsi" w:cstheme="minorHAnsi"/>
          <w:color w:val="333333"/>
          <w:sz w:val="22"/>
          <w:szCs w:val="22"/>
          <w:shd w:val="clear" w:color="auto" w:fill="FFFFFF"/>
        </w:rPr>
        <w:t xml:space="preserve">Schram MT, </w:t>
      </w:r>
      <w:proofErr w:type="spellStart"/>
      <w:r w:rsidRPr="00705E03">
        <w:rPr>
          <w:rFonts w:asciiTheme="minorHAnsi" w:hAnsiTheme="minorHAnsi" w:cstheme="minorHAnsi"/>
          <w:color w:val="333333"/>
          <w:sz w:val="22"/>
          <w:szCs w:val="22"/>
          <w:shd w:val="clear" w:color="auto" w:fill="FFFFFF"/>
        </w:rPr>
        <w:t>Frijters</w:t>
      </w:r>
      <w:proofErr w:type="spellEnd"/>
      <w:r w:rsidRPr="00705E03">
        <w:rPr>
          <w:rFonts w:asciiTheme="minorHAnsi" w:hAnsiTheme="minorHAnsi" w:cstheme="minorHAnsi"/>
          <w:color w:val="333333"/>
          <w:sz w:val="22"/>
          <w:szCs w:val="22"/>
          <w:shd w:val="clear" w:color="auto" w:fill="FFFFFF"/>
        </w:rPr>
        <w:t xml:space="preserve"> D, van de </w:t>
      </w:r>
      <w:proofErr w:type="spellStart"/>
      <w:r w:rsidRPr="00705E03">
        <w:rPr>
          <w:rFonts w:asciiTheme="minorHAnsi" w:hAnsiTheme="minorHAnsi" w:cstheme="minorHAnsi"/>
          <w:color w:val="333333"/>
          <w:sz w:val="22"/>
          <w:szCs w:val="22"/>
          <w:shd w:val="clear" w:color="auto" w:fill="FFFFFF"/>
        </w:rPr>
        <w:t>Lisdonck</w:t>
      </w:r>
      <w:proofErr w:type="spellEnd"/>
      <w:r w:rsidRPr="00705E03">
        <w:rPr>
          <w:rFonts w:asciiTheme="minorHAnsi" w:hAnsiTheme="minorHAnsi" w:cstheme="minorHAnsi"/>
          <w:color w:val="333333"/>
          <w:sz w:val="22"/>
          <w:szCs w:val="22"/>
          <w:shd w:val="clear" w:color="auto" w:fill="FFFFFF"/>
        </w:rPr>
        <w:t xml:space="preserve"> EH, </w:t>
      </w:r>
      <w:proofErr w:type="spellStart"/>
      <w:r w:rsidRPr="00705E03">
        <w:rPr>
          <w:rFonts w:asciiTheme="minorHAnsi" w:hAnsiTheme="minorHAnsi" w:cstheme="minorHAnsi"/>
          <w:color w:val="333333"/>
          <w:sz w:val="22"/>
          <w:szCs w:val="22"/>
          <w:shd w:val="clear" w:color="auto" w:fill="FFFFFF"/>
        </w:rPr>
        <w:t>Ploemacher</w:t>
      </w:r>
      <w:proofErr w:type="spellEnd"/>
      <w:r w:rsidRPr="00705E03">
        <w:rPr>
          <w:rFonts w:asciiTheme="minorHAnsi" w:hAnsiTheme="minorHAnsi" w:cstheme="minorHAnsi"/>
          <w:color w:val="333333"/>
          <w:sz w:val="22"/>
          <w:szCs w:val="22"/>
          <w:shd w:val="clear" w:color="auto" w:fill="FFFFFF"/>
        </w:rPr>
        <w:t xml:space="preserve"> J, de </w:t>
      </w:r>
      <w:proofErr w:type="spellStart"/>
      <w:r w:rsidRPr="00705E03">
        <w:rPr>
          <w:rFonts w:asciiTheme="minorHAnsi" w:hAnsiTheme="minorHAnsi" w:cstheme="minorHAnsi"/>
          <w:color w:val="333333"/>
          <w:sz w:val="22"/>
          <w:szCs w:val="22"/>
          <w:shd w:val="clear" w:color="auto" w:fill="FFFFFF"/>
        </w:rPr>
        <w:t>Craen</w:t>
      </w:r>
      <w:proofErr w:type="spellEnd"/>
      <w:r w:rsidRPr="00705E03">
        <w:rPr>
          <w:rFonts w:asciiTheme="minorHAnsi" w:hAnsiTheme="minorHAnsi" w:cstheme="minorHAnsi"/>
          <w:color w:val="333333"/>
          <w:sz w:val="22"/>
          <w:szCs w:val="22"/>
          <w:shd w:val="clear" w:color="auto" w:fill="FFFFFF"/>
        </w:rPr>
        <w:t xml:space="preserve"> AJM, de Waal MWM, </w:t>
      </w:r>
      <w:r>
        <w:rPr>
          <w:rFonts w:asciiTheme="minorHAnsi" w:hAnsiTheme="minorHAnsi" w:cstheme="minorHAnsi"/>
          <w:color w:val="333333"/>
          <w:sz w:val="22"/>
          <w:szCs w:val="22"/>
          <w:shd w:val="clear" w:color="auto" w:fill="FFFFFF"/>
        </w:rPr>
        <w:t xml:space="preserve">et al. </w:t>
      </w:r>
      <w:r w:rsidRPr="00705E03">
        <w:rPr>
          <w:rFonts w:asciiTheme="minorHAnsi" w:hAnsiTheme="minorHAnsi" w:cstheme="minorHAnsi"/>
          <w:color w:val="333333"/>
          <w:sz w:val="22"/>
          <w:szCs w:val="22"/>
          <w:shd w:val="clear" w:color="auto" w:fill="FFFFFF"/>
        </w:rPr>
        <w:t xml:space="preserve">Setting and registry characteristics affect the prevalence and nature of </w:t>
      </w:r>
      <w:proofErr w:type="spellStart"/>
      <w:r w:rsidRPr="00705E03">
        <w:rPr>
          <w:rFonts w:asciiTheme="minorHAnsi" w:hAnsiTheme="minorHAnsi" w:cstheme="minorHAnsi"/>
          <w:color w:val="333333"/>
          <w:sz w:val="22"/>
          <w:szCs w:val="22"/>
          <w:shd w:val="clear" w:color="auto" w:fill="FFFFFF"/>
        </w:rPr>
        <w:t>multimotbidity</w:t>
      </w:r>
      <w:proofErr w:type="spellEnd"/>
      <w:r w:rsidRPr="00705E03">
        <w:rPr>
          <w:rFonts w:asciiTheme="minorHAnsi" w:hAnsiTheme="minorHAnsi" w:cstheme="minorHAnsi"/>
          <w:color w:val="333333"/>
          <w:sz w:val="22"/>
          <w:szCs w:val="22"/>
          <w:shd w:val="clear" w:color="auto" w:fill="FFFFFF"/>
        </w:rPr>
        <w:t xml:space="preserve"> in the elderly. J Clin </w:t>
      </w:r>
      <w:proofErr w:type="spellStart"/>
      <w:r w:rsidRPr="00705E03">
        <w:rPr>
          <w:rFonts w:asciiTheme="minorHAnsi" w:hAnsiTheme="minorHAnsi" w:cstheme="minorHAnsi"/>
          <w:color w:val="333333"/>
          <w:sz w:val="22"/>
          <w:szCs w:val="22"/>
          <w:shd w:val="clear" w:color="auto" w:fill="FFFFFF"/>
        </w:rPr>
        <w:t>Epidemiol</w:t>
      </w:r>
      <w:proofErr w:type="spellEnd"/>
      <w:r w:rsidRPr="00705E03">
        <w:rPr>
          <w:rFonts w:asciiTheme="minorHAnsi" w:hAnsiTheme="minorHAnsi" w:cstheme="minorHAnsi"/>
          <w:color w:val="333333"/>
          <w:sz w:val="22"/>
          <w:szCs w:val="22"/>
          <w:shd w:val="clear" w:color="auto" w:fill="FFFFFF"/>
        </w:rPr>
        <w:t xml:space="preserve">. 2008, 61: 1104-1112. </w:t>
      </w:r>
    </w:p>
    <w:p w14:paraId="1F0063B3" w14:textId="77777777" w:rsidR="002911FB" w:rsidRPr="00705E03" w:rsidRDefault="002911FB" w:rsidP="002911FB">
      <w:pPr>
        <w:pStyle w:val="CommentText"/>
        <w:numPr>
          <w:ilvl w:val="0"/>
          <w:numId w:val="6"/>
        </w:numPr>
        <w:rPr>
          <w:sz w:val="22"/>
          <w:szCs w:val="22"/>
        </w:rPr>
      </w:pPr>
      <w:r w:rsidRPr="00705E03">
        <w:rPr>
          <w:sz w:val="22"/>
          <w:szCs w:val="22"/>
        </w:rPr>
        <w:t xml:space="preserve">NHS Digital. Quality and Outcomes Framework (QOF) business rules v41/v42. https://digital.nhs.uk/data-and-information/data-collections-and-data-sets/data-collections/qualityand-outcomes-framework-qof (accessed 4 Aug 2021). </w:t>
      </w:r>
    </w:p>
    <w:p w14:paraId="192B08F7" w14:textId="75141898" w:rsidR="002911FB" w:rsidRPr="00705E03" w:rsidRDefault="002911FB" w:rsidP="002911FB">
      <w:pPr>
        <w:pStyle w:val="CommentText"/>
        <w:numPr>
          <w:ilvl w:val="0"/>
          <w:numId w:val="6"/>
        </w:numPr>
        <w:rPr>
          <w:sz w:val="22"/>
          <w:szCs w:val="22"/>
        </w:rPr>
      </w:pPr>
      <w:r w:rsidRPr="00705E03">
        <w:rPr>
          <w:sz w:val="22"/>
          <w:szCs w:val="22"/>
        </w:rPr>
        <w:t>NHS Digital. Technology Reference data Update Distribution [TRUD]: Read codes. https://isd.digital.nhs.uk/trud3/user/guest/group/0/pack/9 (accessed 4 Aug 2021).</w:t>
      </w:r>
    </w:p>
    <w:p w14:paraId="5CC86DF0" w14:textId="134196A2" w:rsidR="002911FB" w:rsidRPr="002911FB" w:rsidRDefault="002911FB" w:rsidP="00066FE2">
      <w:pPr>
        <w:pStyle w:val="ListParagraph"/>
        <w:numPr>
          <w:ilvl w:val="0"/>
          <w:numId w:val="6"/>
        </w:numPr>
        <w:spacing w:line="360" w:lineRule="auto"/>
        <w:rPr>
          <w:rFonts w:asciiTheme="minorHAnsi" w:hAnsiTheme="minorHAnsi" w:cstheme="minorHAnsi"/>
          <w:iCs/>
          <w:sz w:val="22"/>
          <w:szCs w:val="22"/>
        </w:rPr>
      </w:pPr>
      <w:r w:rsidRPr="00705E03">
        <w:rPr>
          <w:rStyle w:val="cit-name-surname"/>
          <w:rFonts w:asciiTheme="minorHAnsi" w:hAnsiTheme="minorHAnsi" w:cstheme="minorHAnsi"/>
          <w:color w:val="333333"/>
          <w:sz w:val="22"/>
          <w:szCs w:val="22"/>
        </w:rPr>
        <w:t>Jakobsen</w:t>
      </w:r>
      <w:r w:rsidRPr="00705E03">
        <w:rPr>
          <w:rStyle w:val="cit-auth"/>
          <w:rFonts w:asciiTheme="minorHAnsi" w:hAnsiTheme="minorHAnsi" w:cstheme="minorHAnsi"/>
          <w:color w:val="333333"/>
          <w:sz w:val="22"/>
          <w:szCs w:val="22"/>
        </w:rPr>
        <w:t> </w:t>
      </w:r>
      <w:r w:rsidRPr="00705E03">
        <w:rPr>
          <w:rStyle w:val="cit-name-given-names"/>
          <w:rFonts w:asciiTheme="minorHAnsi" w:hAnsiTheme="minorHAnsi" w:cstheme="minorHAnsi"/>
          <w:color w:val="333333"/>
          <w:sz w:val="22"/>
          <w:szCs w:val="22"/>
        </w:rPr>
        <w:t>JC</w:t>
      </w:r>
      <w:r w:rsidRPr="00705E03">
        <w:rPr>
          <w:rFonts w:asciiTheme="minorHAnsi" w:hAnsiTheme="minorHAnsi" w:cstheme="minorHAnsi"/>
          <w:color w:val="333333"/>
          <w:sz w:val="22"/>
          <w:szCs w:val="22"/>
        </w:rPr>
        <w:t>, </w:t>
      </w:r>
      <w:proofErr w:type="spellStart"/>
      <w:r w:rsidRPr="00705E03">
        <w:rPr>
          <w:rStyle w:val="cit-name-surname"/>
          <w:rFonts w:asciiTheme="minorHAnsi" w:hAnsiTheme="minorHAnsi" w:cstheme="minorHAnsi"/>
          <w:color w:val="333333"/>
          <w:sz w:val="22"/>
          <w:szCs w:val="22"/>
        </w:rPr>
        <w:t>Gluud</w:t>
      </w:r>
      <w:proofErr w:type="spellEnd"/>
      <w:r w:rsidRPr="00705E03">
        <w:rPr>
          <w:rStyle w:val="cit-auth"/>
          <w:rFonts w:asciiTheme="minorHAnsi" w:hAnsiTheme="minorHAnsi" w:cstheme="minorHAnsi"/>
          <w:color w:val="333333"/>
          <w:sz w:val="22"/>
          <w:szCs w:val="22"/>
        </w:rPr>
        <w:t> </w:t>
      </w:r>
      <w:r w:rsidRPr="00705E03">
        <w:rPr>
          <w:rStyle w:val="cit-name-given-names"/>
          <w:rFonts w:asciiTheme="minorHAnsi" w:hAnsiTheme="minorHAnsi" w:cstheme="minorHAnsi"/>
          <w:color w:val="333333"/>
          <w:sz w:val="22"/>
          <w:szCs w:val="22"/>
        </w:rPr>
        <w:t>C</w:t>
      </w:r>
      <w:r w:rsidRPr="00705E03">
        <w:rPr>
          <w:rFonts w:asciiTheme="minorHAnsi" w:hAnsiTheme="minorHAnsi" w:cstheme="minorHAnsi"/>
          <w:color w:val="333333"/>
          <w:sz w:val="22"/>
          <w:szCs w:val="22"/>
        </w:rPr>
        <w:t>, </w:t>
      </w:r>
      <w:proofErr w:type="spellStart"/>
      <w:r w:rsidRPr="00705E03">
        <w:rPr>
          <w:rStyle w:val="cit-name-surname"/>
          <w:rFonts w:asciiTheme="minorHAnsi" w:hAnsiTheme="minorHAnsi" w:cstheme="minorHAnsi"/>
          <w:color w:val="333333"/>
          <w:sz w:val="22"/>
          <w:szCs w:val="22"/>
        </w:rPr>
        <w:t>Wetterslev</w:t>
      </w:r>
      <w:proofErr w:type="spellEnd"/>
      <w:r w:rsidRPr="00705E03">
        <w:rPr>
          <w:rStyle w:val="cit-auth"/>
          <w:rFonts w:asciiTheme="minorHAnsi" w:hAnsiTheme="minorHAnsi" w:cstheme="minorHAnsi"/>
          <w:color w:val="333333"/>
          <w:sz w:val="22"/>
          <w:szCs w:val="22"/>
        </w:rPr>
        <w:t> </w:t>
      </w:r>
      <w:r w:rsidRPr="00705E03">
        <w:rPr>
          <w:rStyle w:val="cit-name-given-names"/>
          <w:rFonts w:asciiTheme="minorHAnsi" w:hAnsiTheme="minorHAnsi" w:cstheme="minorHAnsi"/>
          <w:color w:val="333333"/>
          <w:sz w:val="22"/>
          <w:szCs w:val="22"/>
        </w:rPr>
        <w:t>J</w:t>
      </w:r>
      <w:r w:rsidRPr="00705E03">
        <w:rPr>
          <w:rFonts w:asciiTheme="minorHAnsi" w:hAnsiTheme="minorHAnsi" w:cstheme="minorHAnsi"/>
          <w:color w:val="333333"/>
          <w:sz w:val="22"/>
          <w:szCs w:val="22"/>
        </w:rPr>
        <w:t>, Winkel P.</w:t>
      </w:r>
      <w:r w:rsidRPr="00705E03">
        <w:rPr>
          <w:rStyle w:val="HTMLCite"/>
          <w:rFonts w:asciiTheme="minorHAnsi" w:hAnsiTheme="minorHAnsi" w:cstheme="minorHAnsi"/>
          <w:i w:val="0"/>
          <w:iCs w:val="0"/>
          <w:color w:val="333333"/>
          <w:sz w:val="22"/>
          <w:szCs w:val="22"/>
          <w:shd w:val="clear" w:color="auto" w:fill="FFFFFF"/>
        </w:rPr>
        <w:t> </w:t>
      </w:r>
      <w:r w:rsidRPr="00705E03">
        <w:rPr>
          <w:rStyle w:val="cit-article-title"/>
          <w:rFonts w:asciiTheme="minorHAnsi" w:hAnsiTheme="minorHAnsi" w:cstheme="minorHAnsi"/>
          <w:color w:val="333333"/>
          <w:sz w:val="22"/>
          <w:szCs w:val="22"/>
          <w:shd w:val="clear" w:color="auto" w:fill="FFFFFF"/>
        </w:rPr>
        <w:t>When and how should multiple imputation be used for handling missing data in randomised clinical trials - a practical guide with flowcharts</w:t>
      </w:r>
      <w:r w:rsidRPr="00705E03">
        <w:rPr>
          <w:rStyle w:val="HTMLCite"/>
          <w:rFonts w:asciiTheme="minorHAnsi" w:hAnsiTheme="minorHAnsi" w:cstheme="minorHAnsi"/>
          <w:i w:val="0"/>
          <w:iCs w:val="0"/>
          <w:color w:val="333333"/>
          <w:sz w:val="22"/>
          <w:szCs w:val="22"/>
          <w:shd w:val="clear" w:color="auto" w:fill="FFFFFF"/>
        </w:rPr>
        <w:t>. BMC Med Res Methodol </w:t>
      </w:r>
      <w:proofErr w:type="gramStart"/>
      <w:r w:rsidRPr="00705E03">
        <w:rPr>
          <w:rStyle w:val="cit-pub-date"/>
          <w:rFonts w:asciiTheme="minorHAnsi" w:hAnsiTheme="minorHAnsi" w:cstheme="minorHAnsi"/>
          <w:color w:val="333333"/>
          <w:sz w:val="22"/>
          <w:szCs w:val="22"/>
          <w:shd w:val="clear" w:color="auto" w:fill="FFFFFF"/>
        </w:rPr>
        <w:t>2017</w:t>
      </w:r>
      <w:r w:rsidRPr="00705E03">
        <w:rPr>
          <w:rStyle w:val="HTMLCite"/>
          <w:rFonts w:asciiTheme="minorHAnsi" w:hAnsiTheme="minorHAnsi" w:cstheme="minorHAnsi"/>
          <w:i w:val="0"/>
          <w:iCs w:val="0"/>
          <w:color w:val="333333"/>
          <w:sz w:val="22"/>
          <w:szCs w:val="22"/>
          <w:shd w:val="clear" w:color="auto" w:fill="FFFFFF"/>
        </w:rPr>
        <w:t>;</w:t>
      </w:r>
      <w:r w:rsidRPr="00705E03">
        <w:rPr>
          <w:rStyle w:val="cit-vol"/>
          <w:rFonts w:asciiTheme="minorHAnsi" w:hAnsiTheme="minorHAnsi" w:cstheme="minorHAnsi"/>
          <w:b/>
          <w:bCs/>
          <w:color w:val="333333"/>
          <w:sz w:val="22"/>
          <w:szCs w:val="22"/>
          <w:shd w:val="clear" w:color="auto" w:fill="FFFFFF"/>
        </w:rPr>
        <w:t>17</w:t>
      </w:r>
      <w:r w:rsidRPr="00705E03">
        <w:rPr>
          <w:rStyle w:val="HTMLCite"/>
          <w:rFonts w:asciiTheme="minorHAnsi" w:hAnsiTheme="minorHAnsi" w:cstheme="minorHAnsi"/>
          <w:i w:val="0"/>
          <w:iCs w:val="0"/>
          <w:color w:val="333333"/>
          <w:sz w:val="22"/>
          <w:szCs w:val="22"/>
          <w:shd w:val="clear" w:color="auto" w:fill="FFFFFF"/>
        </w:rPr>
        <w:t>:</w:t>
      </w:r>
      <w:r w:rsidRPr="00705E03">
        <w:rPr>
          <w:rStyle w:val="cit-elocation-id"/>
          <w:rFonts w:asciiTheme="minorHAnsi" w:hAnsiTheme="minorHAnsi" w:cstheme="minorHAnsi"/>
          <w:color w:val="333333"/>
          <w:sz w:val="22"/>
          <w:szCs w:val="22"/>
          <w:shd w:val="clear" w:color="auto" w:fill="FFFFFF"/>
        </w:rPr>
        <w:t>162</w:t>
      </w:r>
      <w:proofErr w:type="gramEnd"/>
      <w:r w:rsidRPr="00705E03">
        <w:rPr>
          <w:rStyle w:val="HTMLCite"/>
          <w:rFonts w:asciiTheme="minorHAnsi" w:hAnsiTheme="minorHAnsi" w:cstheme="minorHAnsi"/>
          <w:i w:val="0"/>
          <w:iCs w:val="0"/>
          <w:color w:val="333333"/>
          <w:sz w:val="22"/>
          <w:szCs w:val="22"/>
          <w:shd w:val="clear" w:color="auto" w:fill="FFFFFF"/>
        </w:rPr>
        <w:t>. </w:t>
      </w:r>
      <w:hyperlink r:id="rId14" w:history="1">
        <w:r w:rsidRPr="00705E03">
          <w:rPr>
            <w:rStyle w:val="Hyperlink"/>
            <w:rFonts w:asciiTheme="minorHAnsi" w:hAnsiTheme="minorHAnsi" w:cstheme="minorHAnsi"/>
            <w:color w:val="2A6EBB"/>
            <w:sz w:val="22"/>
            <w:szCs w:val="22"/>
          </w:rPr>
          <w:t>doi:10.1186/s12874-017-0442-1</w:t>
        </w:r>
      </w:hyperlink>
      <w:proofErr w:type="gramStart"/>
      <w:r w:rsidRPr="00705E03">
        <w:rPr>
          <w:rStyle w:val="cit-pub-id-scheme-pmid"/>
          <w:rFonts w:asciiTheme="minorHAnsi" w:hAnsiTheme="minorHAnsi" w:cstheme="minorHAnsi"/>
          <w:color w:val="333333"/>
          <w:sz w:val="22"/>
          <w:szCs w:val="22"/>
          <w:shd w:val="clear" w:color="auto" w:fill="FFFFFF"/>
        </w:rPr>
        <w:t>pmid:</w:t>
      </w:r>
      <w:r w:rsidRPr="00705E03">
        <w:rPr>
          <w:rStyle w:val="cit-pub-id"/>
          <w:rFonts w:asciiTheme="minorHAnsi" w:hAnsiTheme="minorHAnsi" w:cstheme="minorHAnsi"/>
          <w:color w:val="333333"/>
          <w:sz w:val="22"/>
          <w:szCs w:val="22"/>
          <w:shd w:val="clear" w:color="auto" w:fill="FFFFFF"/>
        </w:rPr>
        <w:t>http://www.ncbi.nlm.nih.gov/pubmed/29207961</w:t>
      </w:r>
      <w:proofErr w:type="gramEnd"/>
    </w:p>
    <w:p w14:paraId="10C6DFC6" w14:textId="70B754B3" w:rsidR="001C64E2" w:rsidRPr="00066FE2" w:rsidRDefault="00FE04D4" w:rsidP="00066FE2">
      <w:pPr>
        <w:pStyle w:val="ListParagraph"/>
        <w:numPr>
          <w:ilvl w:val="0"/>
          <w:numId w:val="6"/>
        </w:numPr>
        <w:spacing w:line="360" w:lineRule="auto"/>
        <w:rPr>
          <w:rFonts w:asciiTheme="minorHAnsi" w:hAnsiTheme="minorHAnsi" w:cstheme="minorHAnsi"/>
          <w:iCs/>
          <w:sz w:val="22"/>
          <w:szCs w:val="22"/>
        </w:rPr>
      </w:pPr>
      <w:proofErr w:type="spellStart"/>
      <w:r w:rsidRPr="00066FE2">
        <w:rPr>
          <w:rFonts w:asciiTheme="minorHAnsi" w:hAnsiTheme="minorHAnsi" w:cstheme="minorHAnsi"/>
          <w:sz w:val="22"/>
          <w:szCs w:val="22"/>
          <w:shd w:val="clear" w:color="auto" w:fill="FFFFFF"/>
        </w:rPr>
        <w:t>Steyerberg</w:t>
      </w:r>
      <w:proofErr w:type="spellEnd"/>
      <w:r w:rsidRPr="00066FE2">
        <w:rPr>
          <w:rFonts w:asciiTheme="minorHAnsi" w:hAnsiTheme="minorHAnsi" w:cstheme="minorHAnsi"/>
          <w:sz w:val="22"/>
          <w:szCs w:val="22"/>
          <w:shd w:val="clear" w:color="auto" w:fill="FFFFFF"/>
        </w:rPr>
        <w:t xml:space="preserve"> EW. Clinical prediction models: a practical approach to development, validation, and updating. Springer, 2009.</w:t>
      </w:r>
    </w:p>
    <w:p w14:paraId="285DD410" w14:textId="77777777" w:rsidR="00C63EC4" w:rsidRPr="005D3DCF" w:rsidRDefault="00C63EC4" w:rsidP="007C0327">
      <w:pPr>
        <w:spacing w:after="0" w:line="360" w:lineRule="auto"/>
        <w:rPr>
          <w:rFonts w:cstheme="minorHAnsi"/>
        </w:rPr>
      </w:pPr>
    </w:p>
    <w:sectPr w:rsidR="00C63EC4" w:rsidRPr="005D3DCF" w:rsidSect="00705E03">
      <w:headerReference w:type="default" r:id="rId15"/>
      <w:pgSz w:w="11906" w:h="16838"/>
      <w:pgMar w:top="1440" w:right="1080" w:bottom="1440" w:left="108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578B4" w14:textId="77777777" w:rsidR="00D13BFC" w:rsidRDefault="00D13BFC" w:rsidP="00682B32">
      <w:pPr>
        <w:spacing w:after="0" w:line="240" w:lineRule="auto"/>
      </w:pPr>
      <w:r>
        <w:separator/>
      </w:r>
    </w:p>
  </w:endnote>
  <w:endnote w:type="continuationSeparator" w:id="0">
    <w:p w14:paraId="11BE8F5E" w14:textId="77777777" w:rsidR="00D13BFC" w:rsidRDefault="00D13BFC" w:rsidP="0068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97683" w14:textId="77777777" w:rsidR="00D13BFC" w:rsidRDefault="00D13BFC" w:rsidP="00682B32">
      <w:pPr>
        <w:spacing w:after="0" w:line="240" w:lineRule="auto"/>
      </w:pPr>
      <w:r>
        <w:separator/>
      </w:r>
    </w:p>
  </w:footnote>
  <w:footnote w:type="continuationSeparator" w:id="0">
    <w:p w14:paraId="4BED25D3" w14:textId="77777777" w:rsidR="00D13BFC" w:rsidRDefault="00D13BFC" w:rsidP="00682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19D03" w14:textId="2BDF6C9F" w:rsidR="00D13BFC" w:rsidRDefault="00D13BFC" w:rsidP="00682B32">
    <w:pPr>
      <w:pStyle w:val="Header"/>
      <w:jc w:val="right"/>
    </w:pPr>
    <w:r>
      <w:t>Change in treatment burden in multimorbidity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3BC6"/>
    <w:multiLevelType w:val="hybridMultilevel"/>
    <w:tmpl w:val="B11297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100F88"/>
    <w:multiLevelType w:val="multilevel"/>
    <w:tmpl w:val="FB1E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64872"/>
    <w:multiLevelType w:val="hybridMultilevel"/>
    <w:tmpl w:val="3E4E8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0353E2"/>
    <w:multiLevelType w:val="hybridMultilevel"/>
    <w:tmpl w:val="8864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364FC"/>
    <w:multiLevelType w:val="hybridMultilevel"/>
    <w:tmpl w:val="B1325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A4082"/>
    <w:multiLevelType w:val="hybridMultilevel"/>
    <w:tmpl w:val="E52C4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F5157A"/>
    <w:multiLevelType w:val="hybridMultilevel"/>
    <w:tmpl w:val="3652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34598"/>
    <w:multiLevelType w:val="hybridMultilevel"/>
    <w:tmpl w:val="462C7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2B3"/>
    <w:rsid w:val="000001F0"/>
    <w:rsid w:val="00005636"/>
    <w:rsid w:val="0000667C"/>
    <w:rsid w:val="00010850"/>
    <w:rsid w:val="00012F53"/>
    <w:rsid w:val="00026BAA"/>
    <w:rsid w:val="00051408"/>
    <w:rsid w:val="00066FE2"/>
    <w:rsid w:val="00067F53"/>
    <w:rsid w:val="00071AD8"/>
    <w:rsid w:val="00077A14"/>
    <w:rsid w:val="0008272C"/>
    <w:rsid w:val="00083856"/>
    <w:rsid w:val="000872D9"/>
    <w:rsid w:val="00095F11"/>
    <w:rsid w:val="000A5838"/>
    <w:rsid w:val="000B1009"/>
    <w:rsid w:val="000B1408"/>
    <w:rsid w:val="000B5496"/>
    <w:rsid w:val="000D2B6E"/>
    <w:rsid w:val="000D585C"/>
    <w:rsid w:val="000F3441"/>
    <w:rsid w:val="00102109"/>
    <w:rsid w:val="00107061"/>
    <w:rsid w:val="00122C16"/>
    <w:rsid w:val="00123200"/>
    <w:rsid w:val="00125714"/>
    <w:rsid w:val="00134013"/>
    <w:rsid w:val="001414A7"/>
    <w:rsid w:val="00170A3F"/>
    <w:rsid w:val="001822B1"/>
    <w:rsid w:val="001C64E2"/>
    <w:rsid w:val="001E625A"/>
    <w:rsid w:val="001F25C1"/>
    <w:rsid w:val="00213077"/>
    <w:rsid w:val="00220690"/>
    <w:rsid w:val="00226DC0"/>
    <w:rsid w:val="0025578F"/>
    <w:rsid w:val="00262856"/>
    <w:rsid w:val="00262D82"/>
    <w:rsid w:val="0026304B"/>
    <w:rsid w:val="002730D4"/>
    <w:rsid w:val="00282080"/>
    <w:rsid w:val="002911FB"/>
    <w:rsid w:val="00294C47"/>
    <w:rsid w:val="0029627A"/>
    <w:rsid w:val="002B3FB3"/>
    <w:rsid w:val="002D181B"/>
    <w:rsid w:val="002D1DCB"/>
    <w:rsid w:val="002D1E65"/>
    <w:rsid w:val="002E7436"/>
    <w:rsid w:val="00302DF9"/>
    <w:rsid w:val="00307BBC"/>
    <w:rsid w:val="00312B43"/>
    <w:rsid w:val="00336BC7"/>
    <w:rsid w:val="00346185"/>
    <w:rsid w:val="00357DA0"/>
    <w:rsid w:val="00362A04"/>
    <w:rsid w:val="00374633"/>
    <w:rsid w:val="003812FB"/>
    <w:rsid w:val="0039294D"/>
    <w:rsid w:val="003956C2"/>
    <w:rsid w:val="003A1FC2"/>
    <w:rsid w:val="003A42AC"/>
    <w:rsid w:val="003A4BA8"/>
    <w:rsid w:val="003C4AF4"/>
    <w:rsid w:val="003D2E67"/>
    <w:rsid w:val="003F3431"/>
    <w:rsid w:val="00413F01"/>
    <w:rsid w:val="00431568"/>
    <w:rsid w:val="004510CC"/>
    <w:rsid w:val="00457138"/>
    <w:rsid w:val="0046701B"/>
    <w:rsid w:val="00481F04"/>
    <w:rsid w:val="00482DA3"/>
    <w:rsid w:val="00483C41"/>
    <w:rsid w:val="00487BB1"/>
    <w:rsid w:val="00496591"/>
    <w:rsid w:val="004A2D0D"/>
    <w:rsid w:val="004B3B77"/>
    <w:rsid w:val="004C0EB2"/>
    <w:rsid w:val="004D5A34"/>
    <w:rsid w:val="004E0750"/>
    <w:rsid w:val="004E08FE"/>
    <w:rsid w:val="004F126D"/>
    <w:rsid w:val="004F61AB"/>
    <w:rsid w:val="00506D63"/>
    <w:rsid w:val="00523A9A"/>
    <w:rsid w:val="00532177"/>
    <w:rsid w:val="00532AEC"/>
    <w:rsid w:val="0053340A"/>
    <w:rsid w:val="005442A5"/>
    <w:rsid w:val="00563102"/>
    <w:rsid w:val="00566203"/>
    <w:rsid w:val="00576F04"/>
    <w:rsid w:val="005848C6"/>
    <w:rsid w:val="005868C6"/>
    <w:rsid w:val="00587CBF"/>
    <w:rsid w:val="00593A86"/>
    <w:rsid w:val="005D32C2"/>
    <w:rsid w:val="005D33F7"/>
    <w:rsid w:val="005D3DCF"/>
    <w:rsid w:val="005F3D02"/>
    <w:rsid w:val="00602597"/>
    <w:rsid w:val="00617B60"/>
    <w:rsid w:val="00620FD4"/>
    <w:rsid w:val="0063116E"/>
    <w:rsid w:val="00641F0D"/>
    <w:rsid w:val="00642487"/>
    <w:rsid w:val="00661A69"/>
    <w:rsid w:val="0066497A"/>
    <w:rsid w:val="0067792F"/>
    <w:rsid w:val="00682B32"/>
    <w:rsid w:val="00686C90"/>
    <w:rsid w:val="0069167E"/>
    <w:rsid w:val="006959D4"/>
    <w:rsid w:val="006B076C"/>
    <w:rsid w:val="006C0514"/>
    <w:rsid w:val="006C5416"/>
    <w:rsid w:val="006D4AEF"/>
    <w:rsid w:val="006E20D4"/>
    <w:rsid w:val="006E5AB8"/>
    <w:rsid w:val="006F4E46"/>
    <w:rsid w:val="006F6897"/>
    <w:rsid w:val="006F7F92"/>
    <w:rsid w:val="00705E03"/>
    <w:rsid w:val="00706C19"/>
    <w:rsid w:val="0072736B"/>
    <w:rsid w:val="00736C63"/>
    <w:rsid w:val="0074190F"/>
    <w:rsid w:val="0075718A"/>
    <w:rsid w:val="00773469"/>
    <w:rsid w:val="00785736"/>
    <w:rsid w:val="0079364B"/>
    <w:rsid w:val="007A3BC8"/>
    <w:rsid w:val="007B3420"/>
    <w:rsid w:val="007B6442"/>
    <w:rsid w:val="007C0327"/>
    <w:rsid w:val="007E05EE"/>
    <w:rsid w:val="007E63AE"/>
    <w:rsid w:val="007F4D7D"/>
    <w:rsid w:val="007F54F5"/>
    <w:rsid w:val="007F6927"/>
    <w:rsid w:val="008035F0"/>
    <w:rsid w:val="00804E15"/>
    <w:rsid w:val="00805D30"/>
    <w:rsid w:val="00822A5A"/>
    <w:rsid w:val="00827AC0"/>
    <w:rsid w:val="008302F2"/>
    <w:rsid w:val="00847C0B"/>
    <w:rsid w:val="00857DAB"/>
    <w:rsid w:val="0086400A"/>
    <w:rsid w:val="008709BA"/>
    <w:rsid w:val="008A3A05"/>
    <w:rsid w:val="008B4A9B"/>
    <w:rsid w:val="008C5A8F"/>
    <w:rsid w:val="009058FB"/>
    <w:rsid w:val="0093076D"/>
    <w:rsid w:val="00933508"/>
    <w:rsid w:val="009344B2"/>
    <w:rsid w:val="009461C7"/>
    <w:rsid w:val="00952030"/>
    <w:rsid w:val="0095757A"/>
    <w:rsid w:val="00964C48"/>
    <w:rsid w:val="009669F7"/>
    <w:rsid w:val="00987DE0"/>
    <w:rsid w:val="00997E9A"/>
    <w:rsid w:val="009A26DB"/>
    <w:rsid w:val="009A36DB"/>
    <w:rsid w:val="009A4BBB"/>
    <w:rsid w:val="009A62F3"/>
    <w:rsid w:val="009C7CFF"/>
    <w:rsid w:val="009D117B"/>
    <w:rsid w:val="009D25F2"/>
    <w:rsid w:val="009E60D8"/>
    <w:rsid w:val="009F03A3"/>
    <w:rsid w:val="009F1951"/>
    <w:rsid w:val="009F2ED5"/>
    <w:rsid w:val="00A06E5A"/>
    <w:rsid w:val="00A11F56"/>
    <w:rsid w:val="00A136DA"/>
    <w:rsid w:val="00A15539"/>
    <w:rsid w:val="00A27EA0"/>
    <w:rsid w:val="00A50BE7"/>
    <w:rsid w:val="00A51229"/>
    <w:rsid w:val="00A5240F"/>
    <w:rsid w:val="00A53384"/>
    <w:rsid w:val="00A572B6"/>
    <w:rsid w:val="00A6511B"/>
    <w:rsid w:val="00A86C1F"/>
    <w:rsid w:val="00A92B96"/>
    <w:rsid w:val="00AA1F42"/>
    <w:rsid w:val="00AB1B06"/>
    <w:rsid w:val="00AD1F7D"/>
    <w:rsid w:val="00AD625E"/>
    <w:rsid w:val="00AD738E"/>
    <w:rsid w:val="00AF7138"/>
    <w:rsid w:val="00B05899"/>
    <w:rsid w:val="00B05E5B"/>
    <w:rsid w:val="00B10D89"/>
    <w:rsid w:val="00B312B3"/>
    <w:rsid w:val="00B34120"/>
    <w:rsid w:val="00B36C05"/>
    <w:rsid w:val="00B40ED2"/>
    <w:rsid w:val="00B467DC"/>
    <w:rsid w:val="00B502EC"/>
    <w:rsid w:val="00B60AB1"/>
    <w:rsid w:val="00B66879"/>
    <w:rsid w:val="00B70714"/>
    <w:rsid w:val="00B7110B"/>
    <w:rsid w:val="00B73695"/>
    <w:rsid w:val="00B75DB8"/>
    <w:rsid w:val="00B877D8"/>
    <w:rsid w:val="00B90D1E"/>
    <w:rsid w:val="00B92202"/>
    <w:rsid w:val="00B92C78"/>
    <w:rsid w:val="00BD2512"/>
    <w:rsid w:val="00BD4CD3"/>
    <w:rsid w:val="00C0674A"/>
    <w:rsid w:val="00C15DAD"/>
    <w:rsid w:val="00C23322"/>
    <w:rsid w:val="00C341BD"/>
    <w:rsid w:val="00C525F8"/>
    <w:rsid w:val="00C57648"/>
    <w:rsid w:val="00C63EC4"/>
    <w:rsid w:val="00C72F4B"/>
    <w:rsid w:val="00C902C2"/>
    <w:rsid w:val="00C93575"/>
    <w:rsid w:val="00C96539"/>
    <w:rsid w:val="00CA0C32"/>
    <w:rsid w:val="00CB2F0D"/>
    <w:rsid w:val="00CE0D36"/>
    <w:rsid w:val="00CE72DF"/>
    <w:rsid w:val="00CF5234"/>
    <w:rsid w:val="00CF5D63"/>
    <w:rsid w:val="00D05248"/>
    <w:rsid w:val="00D0787F"/>
    <w:rsid w:val="00D10027"/>
    <w:rsid w:val="00D13BFC"/>
    <w:rsid w:val="00D156A7"/>
    <w:rsid w:val="00D15BD2"/>
    <w:rsid w:val="00D27FA3"/>
    <w:rsid w:val="00D3302A"/>
    <w:rsid w:val="00D42D92"/>
    <w:rsid w:val="00D45B98"/>
    <w:rsid w:val="00D72C13"/>
    <w:rsid w:val="00D866F3"/>
    <w:rsid w:val="00D87DEC"/>
    <w:rsid w:val="00DA0622"/>
    <w:rsid w:val="00DA78E2"/>
    <w:rsid w:val="00DC3273"/>
    <w:rsid w:val="00DD228C"/>
    <w:rsid w:val="00DE2FE5"/>
    <w:rsid w:val="00DF73C7"/>
    <w:rsid w:val="00E00910"/>
    <w:rsid w:val="00E0267C"/>
    <w:rsid w:val="00E04D5D"/>
    <w:rsid w:val="00E05937"/>
    <w:rsid w:val="00E2276B"/>
    <w:rsid w:val="00E267DC"/>
    <w:rsid w:val="00E44B02"/>
    <w:rsid w:val="00E51EB0"/>
    <w:rsid w:val="00E63B8B"/>
    <w:rsid w:val="00E83C9E"/>
    <w:rsid w:val="00E84329"/>
    <w:rsid w:val="00E9638C"/>
    <w:rsid w:val="00EA5286"/>
    <w:rsid w:val="00EB7D3B"/>
    <w:rsid w:val="00EC0692"/>
    <w:rsid w:val="00ED54E8"/>
    <w:rsid w:val="00ED6444"/>
    <w:rsid w:val="00ED7226"/>
    <w:rsid w:val="00EE0D66"/>
    <w:rsid w:val="00EE3488"/>
    <w:rsid w:val="00F02667"/>
    <w:rsid w:val="00F06A9E"/>
    <w:rsid w:val="00F1032D"/>
    <w:rsid w:val="00F163E2"/>
    <w:rsid w:val="00F21861"/>
    <w:rsid w:val="00F343F0"/>
    <w:rsid w:val="00F3510E"/>
    <w:rsid w:val="00F40ABF"/>
    <w:rsid w:val="00F53BDE"/>
    <w:rsid w:val="00F622C9"/>
    <w:rsid w:val="00F62BEF"/>
    <w:rsid w:val="00F7460F"/>
    <w:rsid w:val="00FA61FA"/>
    <w:rsid w:val="00FE04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43624"/>
  <w15:docId w15:val="{A8A01510-7412-41FE-8BAA-1C2C1418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B3"/>
    <w:rPr>
      <w:rFonts w:ascii="Segoe UI" w:hAnsi="Segoe UI" w:cs="Segoe UI"/>
      <w:sz w:val="18"/>
      <w:szCs w:val="18"/>
    </w:rPr>
  </w:style>
  <w:style w:type="character" w:styleId="CommentReference">
    <w:name w:val="annotation reference"/>
    <w:basedOn w:val="DefaultParagraphFont"/>
    <w:uiPriority w:val="99"/>
    <w:semiHidden/>
    <w:unhideWhenUsed/>
    <w:rsid w:val="009D117B"/>
    <w:rPr>
      <w:sz w:val="16"/>
      <w:szCs w:val="16"/>
    </w:rPr>
  </w:style>
  <w:style w:type="paragraph" w:styleId="CommentText">
    <w:name w:val="annotation text"/>
    <w:basedOn w:val="Normal"/>
    <w:link w:val="CommentTextChar"/>
    <w:uiPriority w:val="99"/>
    <w:unhideWhenUsed/>
    <w:rsid w:val="009D117B"/>
    <w:pPr>
      <w:spacing w:line="240" w:lineRule="auto"/>
    </w:pPr>
    <w:rPr>
      <w:sz w:val="20"/>
      <w:szCs w:val="20"/>
    </w:rPr>
  </w:style>
  <w:style w:type="character" w:customStyle="1" w:styleId="CommentTextChar">
    <w:name w:val="Comment Text Char"/>
    <w:basedOn w:val="DefaultParagraphFont"/>
    <w:link w:val="CommentText"/>
    <w:uiPriority w:val="99"/>
    <w:rsid w:val="009D117B"/>
    <w:rPr>
      <w:sz w:val="20"/>
      <w:szCs w:val="20"/>
    </w:rPr>
  </w:style>
  <w:style w:type="paragraph" w:styleId="CommentSubject">
    <w:name w:val="annotation subject"/>
    <w:basedOn w:val="CommentText"/>
    <w:next w:val="CommentText"/>
    <w:link w:val="CommentSubjectChar"/>
    <w:uiPriority w:val="99"/>
    <w:semiHidden/>
    <w:unhideWhenUsed/>
    <w:rsid w:val="009D117B"/>
    <w:rPr>
      <w:b/>
      <w:bCs/>
    </w:rPr>
  </w:style>
  <w:style w:type="character" w:customStyle="1" w:styleId="CommentSubjectChar">
    <w:name w:val="Comment Subject Char"/>
    <w:basedOn w:val="CommentTextChar"/>
    <w:link w:val="CommentSubject"/>
    <w:uiPriority w:val="99"/>
    <w:semiHidden/>
    <w:rsid w:val="009D117B"/>
    <w:rPr>
      <w:b/>
      <w:bCs/>
      <w:sz w:val="20"/>
      <w:szCs w:val="20"/>
    </w:rPr>
  </w:style>
  <w:style w:type="paragraph" w:customStyle="1" w:styleId="p">
    <w:name w:val="p"/>
    <w:basedOn w:val="Normal"/>
    <w:rsid w:val="00BD25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D2512"/>
    <w:rPr>
      <w:color w:val="0000FF"/>
      <w:u w:val="single"/>
    </w:rPr>
  </w:style>
  <w:style w:type="paragraph" w:styleId="NormalWeb">
    <w:name w:val="Normal (Web)"/>
    <w:basedOn w:val="Normal"/>
    <w:uiPriority w:val="99"/>
    <w:semiHidden/>
    <w:unhideWhenUsed/>
    <w:rsid w:val="00BD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D25F2"/>
    <w:pPr>
      <w:widowControl w:val="0"/>
      <w:spacing w:after="0" w:line="240" w:lineRule="auto"/>
      <w:ind w:left="720"/>
      <w:contextualSpacing/>
    </w:pPr>
    <w:rPr>
      <w:rFonts w:ascii="Arial" w:eastAsia="Arial" w:hAnsi="Arial" w:cs="Arial"/>
      <w:sz w:val="24"/>
      <w:szCs w:val="24"/>
      <w:lang w:eastAsia="en-GB"/>
    </w:rPr>
  </w:style>
  <w:style w:type="paragraph" w:styleId="BodyText">
    <w:name w:val="Body Text"/>
    <w:basedOn w:val="Normal"/>
    <w:link w:val="BodyTextChar"/>
    <w:uiPriority w:val="1"/>
    <w:semiHidden/>
    <w:unhideWhenUsed/>
    <w:qFormat/>
    <w:rsid w:val="00122C16"/>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22C16"/>
    <w:rPr>
      <w:rFonts w:ascii="Calibri" w:eastAsia="Calibri" w:hAnsi="Calibri" w:cs="Calibri"/>
      <w:lang w:eastAsia="en-GB" w:bidi="en-GB"/>
    </w:rPr>
  </w:style>
  <w:style w:type="table" w:styleId="TableGrid">
    <w:name w:val="Table Grid"/>
    <w:basedOn w:val="TableNormal"/>
    <w:uiPriority w:val="59"/>
    <w:rsid w:val="00DA78E2"/>
    <w:pPr>
      <w:widowControl w:val="0"/>
      <w:pBdr>
        <w:top w:val="nil"/>
        <w:left w:val="nil"/>
        <w:bottom w:val="nil"/>
        <w:right w:val="nil"/>
        <w:between w:val="nil"/>
      </w:pBdr>
      <w:spacing w:after="0" w:line="240" w:lineRule="auto"/>
    </w:pPr>
    <w:rPr>
      <w:rFonts w:ascii="Arial" w:eastAsia="Arial" w:hAnsi="Arial" w:cs="Arial"/>
      <w:color w:val="00000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3695"/>
    <w:rPr>
      <w:color w:val="605E5C"/>
      <w:shd w:val="clear" w:color="auto" w:fill="E1DFDD"/>
    </w:rPr>
  </w:style>
  <w:style w:type="character" w:customStyle="1" w:styleId="ref-title">
    <w:name w:val="ref-title"/>
    <w:basedOn w:val="DefaultParagraphFont"/>
    <w:rsid w:val="00071AD8"/>
  </w:style>
  <w:style w:type="character" w:customStyle="1" w:styleId="ref-journal">
    <w:name w:val="ref-journal"/>
    <w:basedOn w:val="DefaultParagraphFont"/>
    <w:rsid w:val="00071AD8"/>
  </w:style>
  <w:style w:type="character" w:customStyle="1" w:styleId="ref-vol">
    <w:name w:val="ref-vol"/>
    <w:basedOn w:val="DefaultParagraphFont"/>
    <w:rsid w:val="00071AD8"/>
  </w:style>
  <w:style w:type="paragraph" w:styleId="Header">
    <w:name w:val="header"/>
    <w:basedOn w:val="Normal"/>
    <w:link w:val="HeaderChar"/>
    <w:uiPriority w:val="99"/>
    <w:unhideWhenUsed/>
    <w:rsid w:val="00682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B32"/>
  </w:style>
  <w:style w:type="paragraph" w:styleId="Footer">
    <w:name w:val="footer"/>
    <w:basedOn w:val="Normal"/>
    <w:link w:val="FooterChar"/>
    <w:uiPriority w:val="99"/>
    <w:unhideWhenUsed/>
    <w:rsid w:val="00682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B32"/>
  </w:style>
  <w:style w:type="character" w:styleId="Emphasis">
    <w:name w:val="Emphasis"/>
    <w:basedOn w:val="DefaultParagraphFont"/>
    <w:uiPriority w:val="20"/>
    <w:qFormat/>
    <w:rsid w:val="00CF5234"/>
    <w:rPr>
      <w:i/>
      <w:iCs/>
    </w:rPr>
  </w:style>
  <w:style w:type="character" w:styleId="UnresolvedMention">
    <w:name w:val="Unresolved Mention"/>
    <w:basedOn w:val="DefaultParagraphFont"/>
    <w:uiPriority w:val="99"/>
    <w:semiHidden/>
    <w:unhideWhenUsed/>
    <w:rsid w:val="00362A04"/>
    <w:rPr>
      <w:color w:val="605E5C"/>
      <w:shd w:val="clear" w:color="auto" w:fill="E1DFDD"/>
    </w:rPr>
  </w:style>
  <w:style w:type="paragraph" w:styleId="NoSpacing">
    <w:name w:val="No Spacing"/>
    <w:uiPriority w:val="1"/>
    <w:qFormat/>
    <w:rsid w:val="00F02667"/>
    <w:pPr>
      <w:spacing w:after="0" w:line="240" w:lineRule="auto"/>
    </w:pPr>
  </w:style>
  <w:style w:type="character" w:styleId="LineNumber">
    <w:name w:val="line number"/>
    <w:basedOn w:val="DefaultParagraphFont"/>
    <w:uiPriority w:val="99"/>
    <w:semiHidden/>
    <w:unhideWhenUsed/>
    <w:rsid w:val="00D05248"/>
  </w:style>
  <w:style w:type="character" w:customStyle="1" w:styleId="cit-auth">
    <w:name w:val="cit-auth"/>
    <w:basedOn w:val="DefaultParagraphFont"/>
    <w:rsid w:val="009A36DB"/>
  </w:style>
  <w:style w:type="character" w:customStyle="1" w:styleId="cit-name-surname">
    <w:name w:val="cit-name-surname"/>
    <w:basedOn w:val="DefaultParagraphFont"/>
    <w:rsid w:val="009A36DB"/>
  </w:style>
  <w:style w:type="character" w:customStyle="1" w:styleId="cit-name-given-names">
    <w:name w:val="cit-name-given-names"/>
    <w:basedOn w:val="DefaultParagraphFont"/>
    <w:rsid w:val="009A36DB"/>
  </w:style>
  <w:style w:type="character" w:customStyle="1" w:styleId="cit-etal">
    <w:name w:val="cit-etal"/>
    <w:basedOn w:val="DefaultParagraphFont"/>
    <w:rsid w:val="009A36DB"/>
  </w:style>
  <w:style w:type="character" w:styleId="HTMLCite">
    <w:name w:val="HTML Cite"/>
    <w:basedOn w:val="DefaultParagraphFont"/>
    <w:uiPriority w:val="99"/>
    <w:semiHidden/>
    <w:unhideWhenUsed/>
    <w:rsid w:val="009A36DB"/>
    <w:rPr>
      <w:i/>
      <w:iCs/>
    </w:rPr>
  </w:style>
  <w:style w:type="character" w:customStyle="1" w:styleId="cit-article-title">
    <w:name w:val="cit-article-title"/>
    <w:basedOn w:val="DefaultParagraphFont"/>
    <w:rsid w:val="009A36DB"/>
  </w:style>
  <w:style w:type="character" w:customStyle="1" w:styleId="cit-pub-date">
    <w:name w:val="cit-pub-date"/>
    <w:basedOn w:val="DefaultParagraphFont"/>
    <w:rsid w:val="009A36DB"/>
  </w:style>
  <w:style w:type="character" w:customStyle="1" w:styleId="cit-vol">
    <w:name w:val="cit-vol"/>
    <w:basedOn w:val="DefaultParagraphFont"/>
    <w:rsid w:val="009A36DB"/>
  </w:style>
  <w:style w:type="character" w:customStyle="1" w:styleId="cit-elocation-id">
    <w:name w:val="cit-elocation-id"/>
    <w:basedOn w:val="DefaultParagraphFont"/>
    <w:rsid w:val="009A36DB"/>
  </w:style>
  <w:style w:type="character" w:customStyle="1" w:styleId="cit-pub-id">
    <w:name w:val="cit-pub-id"/>
    <w:basedOn w:val="DefaultParagraphFont"/>
    <w:rsid w:val="009A36DB"/>
  </w:style>
  <w:style w:type="character" w:customStyle="1" w:styleId="cit-pub-id-scheme-pmid">
    <w:name w:val="cit-pub-id-scheme-pmid"/>
    <w:basedOn w:val="DefaultParagraphFont"/>
    <w:rsid w:val="009A36DB"/>
  </w:style>
  <w:style w:type="character" w:customStyle="1" w:styleId="highwire-citation-authors">
    <w:name w:val="highwire-citation-authors"/>
    <w:basedOn w:val="DefaultParagraphFont"/>
    <w:rsid w:val="002911FB"/>
  </w:style>
  <w:style w:type="character" w:customStyle="1" w:styleId="highwire-citation-author">
    <w:name w:val="highwire-citation-author"/>
    <w:basedOn w:val="DefaultParagraphFont"/>
    <w:rsid w:val="002911FB"/>
  </w:style>
  <w:style w:type="character" w:customStyle="1" w:styleId="nlm-surname">
    <w:name w:val="nlm-surname"/>
    <w:basedOn w:val="DefaultParagraphFont"/>
    <w:rsid w:val="002911FB"/>
  </w:style>
  <w:style w:type="character" w:customStyle="1" w:styleId="citation-et">
    <w:name w:val="citation-et"/>
    <w:basedOn w:val="DefaultParagraphFont"/>
    <w:rsid w:val="002911FB"/>
  </w:style>
  <w:style w:type="character" w:customStyle="1" w:styleId="highwire-cite-metadata-journal">
    <w:name w:val="highwire-cite-metadata-journal"/>
    <w:basedOn w:val="DefaultParagraphFont"/>
    <w:rsid w:val="002911FB"/>
  </w:style>
  <w:style w:type="character" w:customStyle="1" w:styleId="highwire-cite-metadata-year">
    <w:name w:val="highwire-cite-metadata-year"/>
    <w:basedOn w:val="DefaultParagraphFont"/>
    <w:rsid w:val="002911FB"/>
  </w:style>
  <w:style w:type="character" w:customStyle="1" w:styleId="highwire-cite-metadata-volume">
    <w:name w:val="highwire-cite-metadata-volume"/>
    <w:basedOn w:val="DefaultParagraphFont"/>
    <w:rsid w:val="002911FB"/>
  </w:style>
  <w:style w:type="character" w:customStyle="1" w:styleId="highwire-cite-metadata-elocation-id">
    <w:name w:val="highwire-cite-metadata-elocation-id"/>
    <w:basedOn w:val="DefaultParagraphFont"/>
    <w:rsid w:val="00291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66935">
      <w:bodyDiv w:val="1"/>
      <w:marLeft w:val="0"/>
      <w:marRight w:val="0"/>
      <w:marTop w:val="0"/>
      <w:marBottom w:val="0"/>
      <w:divBdr>
        <w:top w:val="none" w:sz="0" w:space="0" w:color="auto"/>
        <w:left w:val="none" w:sz="0" w:space="0" w:color="auto"/>
        <w:bottom w:val="none" w:sz="0" w:space="0" w:color="auto"/>
        <w:right w:val="none" w:sz="0" w:space="0" w:color="auto"/>
      </w:divBdr>
    </w:div>
    <w:div w:id="702562351">
      <w:bodyDiv w:val="1"/>
      <w:marLeft w:val="0"/>
      <w:marRight w:val="0"/>
      <w:marTop w:val="0"/>
      <w:marBottom w:val="0"/>
      <w:divBdr>
        <w:top w:val="none" w:sz="0" w:space="0" w:color="auto"/>
        <w:left w:val="none" w:sz="0" w:space="0" w:color="auto"/>
        <w:bottom w:val="none" w:sz="0" w:space="0" w:color="auto"/>
        <w:right w:val="none" w:sz="0" w:space="0" w:color="auto"/>
      </w:divBdr>
    </w:div>
    <w:div w:id="1206411761">
      <w:bodyDiv w:val="1"/>
      <w:marLeft w:val="0"/>
      <w:marRight w:val="0"/>
      <w:marTop w:val="0"/>
      <w:marBottom w:val="0"/>
      <w:divBdr>
        <w:top w:val="none" w:sz="0" w:space="0" w:color="auto"/>
        <w:left w:val="none" w:sz="0" w:space="0" w:color="auto"/>
        <w:bottom w:val="none" w:sz="0" w:space="0" w:color="auto"/>
        <w:right w:val="none" w:sz="0" w:space="0" w:color="auto"/>
      </w:divBdr>
      <w:divsChild>
        <w:div w:id="1094089905">
          <w:marLeft w:val="0"/>
          <w:marRight w:val="0"/>
          <w:marTop w:val="0"/>
          <w:marBottom w:val="0"/>
          <w:divBdr>
            <w:top w:val="none" w:sz="0" w:space="0" w:color="auto"/>
            <w:left w:val="none" w:sz="0" w:space="0" w:color="auto"/>
            <w:bottom w:val="none" w:sz="0" w:space="0" w:color="auto"/>
            <w:right w:val="none" w:sz="0" w:space="0" w:color="auto"/>
          </w:divBdr>
          <w:divsChild>
            <w:div w:id="1526019484">
              <w:marLeft w:val="0"/>
              <w:marRight w:val="0"/>
              <w:marTop w:val="0"/>
              <w:marBottom w:val="0"/>
              <w:divBdr>
                <w:top w:val="none" w:sz="0" w:space="0" w:color="auto"/>
                <w:left w:val="none" w:sz="0" w:space="0" w:color="auto"/>
                <w:bottom w:val="none" w:sz="0" w:space="0" w:color="auto"/>
                <w:right w:val="none" w:sz="0" w:space="0" w:color="auto"/>
              </w:divBdr>
            </w:div>
            <w:div w:id="923145442">
              <w:marLeft w:val="0"/>
              <w:marRight w:val="0"/>
              <w:marTop w:val="0"/>
              <w:marBottom w:val="0"/>
              <w:divBdr>
                <w:top w:val="none" w:sz="0" w:space="0" w:color="auto"/>
                <w:left w:val="none" w:sz="0" w:space="0" w:color="auto"/>
                <w:bottom w:val="none" w:sz="0" w:space="0" w:color="auto"/>
                <w:right w:val="none" w:sz="0" w:space="0" w:color="auto"/>
              </w:divBdr>
            </w:div>
          </w:divsChild>
        </w:div>
        <w:div w:id="1707758869">
          <w:marLeft w:val="0"/>
          <w:marRight w:val="0"/>
          <w:marTop w:val="0"/>
          <w:marBottom w:val="0"/>
          <w:divBdr>
            <w:top w:val="none" w:sz="0" w:space="0" w:color="auto"/>
            <w:left w:val="none" w:sz="0" w:space="0" w:color="auto"/>
            <w:bottom w:val="none" w:sz="0" w:space="0" w:color="auto"/>
            <w:right w:val="none" w:sz="0" w:space="0" w:color="auto"/>
          </w:divBdr>
          <w:divsChild>
            <w:div w:id="1020207068">
              <w:marLeft w:val="0"/>
              <w:marRight w:val="0"/>
              <w:marTop w:val="0"/>
              <w:marBottom w:val="0"/>
              <w:divBdr>
                <w:top w:val="none" w:sz="0" w:space="0" w:color="auto"/>
                <w:left w:val="none" w:sz="0" w:space="0" w:color="auto"/>
                <w:bottom w:val="none" w:sz="0" w:space="0" w:color="auto"/>
                <w:right w:val="none" w:sz="0" w:space="0" w:color="auto"/>
              </w:divBdr>
            </w:div>
            <w:div w:id="1057820475">
              <w:marLeft w:val="0"/>
              <w:marRight w:val="0"/>
              <w:marTop w:val="0"/>
              <w:marBottom w:val="0"/>
              <w:divBdr>
                <w:top w:val="none" w:sz="0" w:space="0" w:color="auto"/>
                <w:left w:val="none" w:sz="0" w:space="0" w:color="auto"/>
                <w:bottom w:val="none" w:sz="0" w:space="0" w:color="auto"/>
                <w:right w:val="none" w:sz="0" w:space="0" w:color="auto"/>
              </w:divBdr>
            </w:div>
          </w:divsChild>
        </w:div>
        <w:div w:id="277415176">
          <w:marLeft w:val="0"/>
          <w:marRight w:val="0"/>
          <w:marTop w:val="0"/>
          <w:marBottom w:val="0"/>
          <w:divBdr>
            <w:top w:val="none" w:sz="0" w:space="0" w:color="auto"/>
            <w:left w:val="none" w:sz="0" w:space="0" w:color="auto"/>
            <w:bottom w:val="none" w:sz="0" w:space="0" w:color="auto"/>
            <w:right w:val="none" w:sz="0" w:space="0" w:color="auto"/>
          </w:divBdr>
          <w:divsChild>
            <w:div w:id="768815259">
              <w:marLeft w:val="0"/>
              <w:marRight w:val="0"/>
              <w:marTop w:val="0"/>
              <w:marBottom w:val="0"/>
              <w:divBdr>
                <w:top w:val="none" w:sz="0" w:space="0" w:color="auto"/>
                <w:left w:val="none" w:sz="0" w:space="0" w:color="auto"/>
                <w:bottom w:val="none" w:sz="0" w:space="0" w:color="auto"/>
                <w:right w:val="none" w:sz="0" w:space="0" w:color="auto"/>
              </w:divBdr>
            </w:div>
            <w:div w:id="1339382747">
              <w:marLeft w:val="0"/>
              <w:marRight w:val="0"/>
              <w:marTop w:val="0"/>
              <w:marBottom w:val="0"/>
              <w:divBdr>
                <w:top w:val="none" w:sz="0" w:space="0" w:color="auto"/>
                <w:left w:val="none" w:sz="0" w:space="0" w:color="auto"/>
                <w:bottom w:val="none" w:sz="0" w:space="0" w:color="auto"/>
                <w:right w:val="none" w:sz="0" w:space="0" w:color="auto"/>
              </w:divBdr>
            </w:div>
          </w:divsChild>
        </w:div>
        <w:div w:id="44254224">
          <w:marLeft w:val="0"/>
          <w:marRight w:val="0"/>
          <w:marTop w:val="0"/>
          <w:marBottom w:val="0"/>
          <w:divBdr>
            <w:top w:val="none" w:sz="0" w:space="0" w:color="auto"/>
            <w:left w:val="none" w:sz="0" w:space="0" w:color="auto"/>
            <w:bottom w:val="none" w:sz="0" w:space="0" w:color="auto"/>
            <w:right w:val="none" w:sz="0" w:space="0" w:color="auto"/>
          </w:divBdr>
        </w:div>
        <w:div w:id="1126899110">
          <w:marLeft w:val="0"/>
          <w:marRight w:val="0"/>
          <w:marTop w:val="0"/>
          <w:marBottom w:val="0"/>
          <w:divBdr>
            <w:top w:val="none" w:sz="0" w:space="0" w:color="auto"/>
            <w:left w:val="none" w:sz="0" w:space="0" w:color="auto"/>
            <w:bottom w:val="none" w:sz="0" w:space="0" w:color="auto"/>
            <w:right w:val="none" w:sz="0" w:space="0" w:color="auto"/>
          </w:divBdr>
        </w:div>
        <w:div w:id="1978804575">
          <w:marLeft w:val="0"/>
          <w:marRight w:val="0"/>
          <w:marTop w:val="0"/>
          <w:marBottom w:val="0"/>
          <w:divBdr>
            <w:top w:val="none" w:sz="0" w:space="0" w:color="auto"/>
            <w:left w:val="none" w:sz="0" w:space="0" w:color="auto"/>
            <w:bottom w:val="none" w:sz="0" w:space="0" w:color="auto"/>
            <w:right w:val="none" w:sz="0" w:space="0" w:color="auto"/>
          </w:divBdr>
        </w:div>
        <w:div w:id="698748372">
          <w:marLeft w:val="0"/>
          <w:marRight w:val="0"/>
          <w:marTop w:val="0"/>
          <w:marBottom w:val="0"/>
          <w:divBdr>
            <w:top w:val="none" w:sz="0" w:space="0" w:color="auto"/>
            <w:left w:val="none" w:sz="0" w:space="0" w:color="auto"/>
            <w:bottom w:val="none" w:sz="0" w:space="0" w:color="auto"/>
            <w:right w:val="none" w:sz="0" w:space="0" w:color="auto"/>
          </w:divBdr>
        </w:div>
        <w:div w:id="2140877991">
          <w:marLeft w:val="0"/>
          <w:marRight w:val="0"/>
          <w:marTop w:val="0"/>
          <w:marBottom w:val="0"/>
          <w:divBdr>
            <w:top w:val="none" w:sz="0" w:space="0" w:color="auto"/>
            <w:left w:val="none" w:sz="0" w:space="0" w:color="auto"/>
            <w:bottom w:val="none" w:sz="0" w:space="0" w:color="auto"/>
            <w:right w:val="none" w:sz="0" w:space="0" w:color="auto"/>
          </w:divBdr>
        </w:div>
        <w:div w:id="216743622">
          <w:marLeft w:val="0"/>
          <w:marRight w:val="0"/>
          <w:marTop w:val="0"/>
          <w:marBottom w:val="0"/>
          <w:divBdr>
            <w:top w:val="none" w:sz="0" w:space="0" w:color="auto"/>
            <w:left w:val="none" w:sz="0" w:space="0" w:color="auto"/>
            <w:bottom w:val="none" w:sz="0" w:space="0" w:color="auto"/>
            <w:right w:val="none" w:sz="0" w:space="0" w:color="auto"/>
          </w:divBdr>
        </w:div>
      </w:divsChild>
    </w:div>
    <w:div w:id="1584339416">
      <w:bodyDiv w:val="1"/>
      <w:marLeft w:val="0"/>
      <w:marRight w:val="0"/>
      <w:marTop w:val="0"/>
      <w:marBottom w:val="0"/>
      <w:divBdr>
        <w:top w:val="none" w:sz="0" w:space="0" w:color="auto"/>
        <w:left w:val="none" w:sz="0" w:space="0" w:color="auto"/>
        <w:bottom w:val="none" w:sz="0" w:space="0" w:color="auto"/>
        <w:right w:val="none" w:sz="0" w:space="0" w:color="auto"/>
      </w:divBdr>
      <w:divsChild>
        <w:div w:id="1583757972">
          <w:marLeft w:val="0"/>
          <w:marRight w:val="0"/>
          <w:marTop w:val="0"/>
          <w:marBottom w:val="0"/>
          <w:divBdr>
            <w:top w:val="none" w:sz="0" w:space="0" w:color="auto"/>
            <w:left w:val="none" w:sz="0" w:space="0" w:color="auto"/>
            <w:bottom w:val="none" w:sz="0" w:space="0" w:color="auto"/>
            <w:right w:val="none" w:sz="0" w:space="0" w:color="auto"/>
          </w:divBdr>
        </w:div>
        <w:div w:id="1764911111">
          <w:marLeft w:val="0"/>
          <w:marRight w:val="0"/>
          <w:marTop w:val="0"/>
          <w:marBottom w:val="0"/>
          <w:divBdr>
            <w:top w:val="none" w:sz="0" w:space="0" w:color="auto"/>
            <w:left w:val="none" w:sz="0" w:space="0" w:color="auto"/>
            <w:bottom w:val="none" w:sz="0" w:space="0" w:color="auto"/>
            <w:right w:val="none" w:sz="0" w:space="0" w:color="auto"/>
          </w:divBdr>
        </w:div>
        <w:div w:id="1851526864">
          <w:marLeft w:val="0"/>
          <w:marRight w:val="0"/>
          <w:marTop w:val="0"/>
          <w:marBottom w:val="0"/>
          <w:divBdr>
            <w:top w:val="none" w:sz="0" w:space="0" w:color="auto"/>
            <w:left w:val="none" w:sz="0" w:space="0" w:color="auto"/>
            <w:bottom w:val="none" w:sz="0" w:space="0" w:color="auto"/>
            <w:right w:val="none" w:sz="0" w:space="0" w:color="auto"/>
          </w:divBdr>
        </w:div>
      </w:divsChild>
    </w:div>
    <w:div w:id="1814787111">
      <w:bodyDiv w:val="1"/>
      <w:marLeft w:val="0"/>
      <w:marRight w:val="0"/>
      <w:marTop w:val="0"/>
      <w:marBottom w:val="0"/>
      <w:divBdr>
        <w:top w:val="none" w:sz="0" w:space="0" w:color="auto"/>
        <w:left w:val="none" w:sz="0" w:space="0" w:color="auto"/>
        <w:bottom w:val="none" w:sz="0" w:space="0" w:color="auto"/>
        <w:right w:val="none" w:sz="0" w:space="0" w:color="auto"/>
      </w:divBdr>
    </w:div>
    <w:div w:id="18185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Hounkpatin@soton.ac.uk" TargetMode="External"/><Relationship Id="rId13" Type="http://schemas.openxmlformats.org/officeDocument/2006/relationships/hyperlink" Target="https://www.dorsetsvision.nhs.uk/about/c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Hounkpatin@soton.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raser@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x.doi.org/10.17504/protocols.io.bw5fpg3n" TargetMode="External"/><Relationship Id="rId4" Type="http://schemas.openxmlformats.org/officeDocument/2006/relationships/settings" Target="settings.xml"/><Relationship Id="rId9" Type="http://schemas.openxmlformats.org/officeDocument/2006/relationships/hyperlink" Target="https://www.arc-wx.nihr.ac.uk" TargetMode="External"/><Relationship Id="rId14" Type="http://schemas.openxmlformats.org/officeDocument/2006/relationships/hyperlink" Target="http://dx.doi.org/10.1186/s12874-017-04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08DD-3154-594E-84A9-C26C1BD9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Hilda Hounkpatin</cp:lastModifiedBy>
  <cp:revision>3</cp:revision>
  <dcterms:created xsi:type="dcterms:W3CDTF">2021-09-13T16:05:00Z</dcterms:created>
  <dcterms:modified xsi:type="dcterms:W3CDTF">2021-09-20T10:10:00Z</dcterms:modified>
</cp:coreProperties>
</file>