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34D7E" w14:textId="7CC307AB" w:rsidR="00CD4428" w:rsidRPr="00004558" w:rsidRDefault="00A32DEB" w:rsidP="002B12DF">
      <w:pPr>
        <w:pStyle w:val="NoSpacing"/>
        <w:spacing w:line="480" w:lineRule="auto"/>
        <w:rPr>
          <w:rFonts w:ascii="Times New Roman" w:hAnsi="Times New Roman"/>
          <w:b/>
          <w:color w:val="000000"/>
          <w:sz w:val="24"/>
          <w:szCs w:val="24"/>
          <w:lang w:val="en-GB"/>
        </w:rPr>
      </w:pPr>
      <w:bookmarkStart w:id="0" w:name="_Hlk11934918"/>
      <w:bookmarkStart w:id="1" w:name="_GoBack"/>
      <w:r w:rsidRPr="00004558">
        <w:rPr>
          <w:rFonts w:ascii="Times New Roman" w:hAnsi="Times New Roman"/>
          <w:b/>
          <w:color w:val="000000"/>
          <w:sz w:val="24"/>
          <w:szCs w:val="24"/>
          <w:lang w:val="en-GB"/>
        </w:rPr>
        <w:t xml:space="preserve">Influence of red blood cell indices on </w:t>
      </w:r>
      <w:r w:rsidR="002B466C" w:rsidRPr="00004558">
        <w:rPr>
          <w:rFonts w:ascii="Times New Roman" w:hAnsi="Times New Roman"/>
          <w:b/>
          <w:color w:val="000000"/>
          <w:sz w:val="24"/>
          <w:szCs w:val="24"/>
          <w:lang w:val="en-GB"/>
        </w:rPr>
        <w:t xml:space="preserve">HbA1c </w:t>
      </w:r>
      <w:r w:rsidRPr="00004558">
        <w:rPr>
          <w:rFonts w:ascii="Times New Roman" w:hAnsi="Times New Roman"/>
          <w:b/>
          <w:color w:val="000000"/>
          <w:sz w:val="24"/>
          <w:szCs w:val="24"/>
          <w:lang w:val="en-GB"/>
        </w:rPr>
        <w:t>performance in detecting dysglycaemia in a Singapore preconception cohort study</w:t>
      </w:r>
    </w:p>
    <w:bookmarkEnd w:id="1"/>
    <w:p w14:paraId="631E1E0B" w14:textId="77777777" w:rsidR="00A32DEB" w:rsidRPr="00004558" w:rsidRDefault="00A32DEB" w:rsidP="002B12DF">
      <w:pPr>
        <w:pStyle w:val="NoSpacing"/>
        <w:spacing w:line="480" w:lineRule="auto"/>
        <w:rPr>
          <w:rFonts w:ascii="Times New Roman" w:hAnsi="Times New Roman"/>
          <w:bCs/>
          <w:sz w:val="24"/>
          <w:szCs w:val="24"/>
          <w:lang w:val="en-GB"/>
        </w:rPr>
      </w:pPr>
    </w:p>
    <w:p w14:paraId="6BCA0FD4" w14:textId="1D8FA056" w:rsidR="00DD191B" w:rsidRPr="00004558" w:rsidRDefault="002121C1" w:rsidP="002B12DF">
      <w:pPr>
        <w:pStyle w:val="NoSpacing"/>
        <w:spacing w:line="480" w:lineRule="auto"/>
        <w:rPr>
          <w:rFonts w:ascii="Times New Roman" w:hAnsi="Times New Roman"/>
          <w:b/>
          <w:sz w:val="24"/>
          <w:szCs w:val="24"/>
          <w:vertAlign w:val="superscript"/>
          <w:lang w:val="en-GB"/>
        </w:rPr>
      </w:pPr>
      <w:bookmarkStart w:id="2" w:name="_Hlk13229902"/>
      <w:bookmarkEnd w:id="0"/>
      <w:r w:rsidRPr="00004558">
        <w:rPr>
          <w:rFonts w:ascii="Times New Roman" w:hAnsi="Times New Roman"/>
          <w:b/>
          <w:sz w:val="24"/>
          <w:szCs w:val="24"/>
          <w:lang w:val="en-GB"/>
        </w:rPr>
        <w:t>See Ling Loy</w:t>
      </w:r>
      <w:r w:rsidR="00484A9B" w:rsidRPr="00004558">
        <w:rPr>
          <w:rFonts w:ascii="Times New Roman" w:hAnsi="Times New Roman"/>
          <w:b/>
          <w:sz w:val="24"/>
          <w:szCs w:val="24"/>
          <w:vertAlign w:val="superscript"/>
          <w:lang w:val="en-GB"/>
        </w:rPr>
        <w:t>1</w:t>
      </w:r>
      <w:r w:rsidR="00454BDA" w:rsidRPr="00004558">
        <w:rPr>
          <w:rFonts w:ascii="Times New Roman" w:hAnsi="Times New Roman"/>
          <w:b/>
          <w:sz w:val="24"/>
          <w:szCs w:val="24"/>
          <w:vertAlign w:val="superscript"/>
          <w:lang w:val="en-GB"/>
        </w:rPr>
        <w:t>,</w:t>
      </w:r>
      <w:r w:rsidR="00484A9B" w:rsidRPr="00004558">
        <w:rPr>
          <w:rFonts w:ascii="Times New Roman" w:hAnsi="Times New Roman"/>
          <w:b/>
          <w:sz w:val="24"/>
          <w:szCs w:val="24"/>
          <w:vertAlign w:val="superscript"/>
          <w:lang w:val="en-GB"/>
        </w:rPr>
        <w:t>2</w:t>
      </w:r>
      <w:r w:rsidR="00454BDA" w:rsidRPr="00004558">
        <w:rPr>
          <w:rFonts w:ascii="Times New Roman" w:hAnsi="Times New Roman"/>
          <w:b/>
          <w:sz w:val="24"/>
          <w:szCs w:val="24"/>
          <w:vertAlign w:val="superscript"/>
          <w:lang w:val="en-GB"/>
        </w:rPr>
        <w:t>,</w:t>
      </w:r>
      <w:r w:rsidR="00484A9B" w:rsidRPr="00004558">
        <w:rPr>
          <w:rFonts w:ascii="Times New Roman" w:hAnsi="Times New Roman"/>
          <w:b/>
          <w:sz w:val="24"/>
          <w:szCs w:val="24"/>
          <w:vertAlign w:val="superscript"/>
          <w:lang w:val="en-GB"/>
        </w:rPr>
        <w:t>3</w:t>
      </w:r>
      <w:r w:rsidR="000D007F" w:rsidRPr="00004558">
        <w:rPr>
          <w:rFonts w:ascii="Times New Roman" w:hAnsi="Times New Roman"/>
          <w:b/>
          <w:sz w:val="24"/>
          <w:szCs w:val="24"/>
          <w:vertAlign w:val="superscript"/>
          <w:lang w:val="en-GB"/>
        </w:rPr>
        <w:t>,</w:t>
      </w:r>
      <w:r w:rsidR="000E55B9" w:rsidRPr="00004558">
        <w:rPr>
          <w:rFonts w:ascii="Times New Roman" w:hAnsi="Times New Roman"/>
          <w:b/>
          <w:sz w:val="24"/>
          <w:szCs w:val="24"/>
          <w:vertAlign w:val="superscript"/>
          <w:lang w:val="en-GB"/>
        </w:rPr>
        <w:t>†*</w:t>
      </w:r>
      <w:r w:rsidRPr="00004558">
        <w:rPr>
          <w:rFonts w:ascii="Times New Roman" w:hAnsi="Times New Roman"/>
          <w:b/>
          <w:sz w:val="24"/>
          <w:szCs w:val="24"/>
          <w:lang w:val="en-GB"/>
        </w:rPr>
        <w:t xml:space="preserve">, </w:t>
      </w:r>
      <w:r w:rsidR="00484A9B" w:rsidRPr="00004558">
        <w:rPr>
          <w:rFonts w:ascii="Times New Roman" w:hAnsi="Times New Roman"/>
          <w:b/>
          <w:sz w:val="24"/>
          <w:szCs w:val="24"/>
          <w:lang w:val="en-GB"/>
        </w:rPr>
        <w:t>Jinjie Lin</w:t>
      </w:r>
      <w:r w:rsidR="00484A9B" w:rsidRPr="00004558">
        <w:rPr>
          <w:rFonts w:ascii="Times New Roman" w:hAnsi="Times New Roman"/>
          <w:b/>
          <w:sz w:val="24"/>
          <w:szCs w:val="24"/>
          <w:vertAlign w:val="superscript"/>
          <w:lang w:val="en-GB"/>
        </w:rPr>
        <w:t>4</w:t>
      </w:r>
      <w:r w:rsidR="000E55B9" w:rsidRPr="00004558">
        <w:rPr>
          <w:rFonts w:ascii="Times New Roman" w:hAnsi="Times New Roman"/>
          <w:b/>
          <w:sz w:val="24"/>
          <w:szCs w:val="24"/>
          <w:vertAlign w:val="superscript"/>
          <w:lang w:val="en-GB"/>
        </w:rPr>
        <w:t>†</w:t>
      </w:r>
      <w:r w:rsidR="00484A9B" w:rsidRPr="00004558">
        <w:rPr>
          <w:rFonts w:ascii="Times New Roman" w:hAnsi="Times New Roman"/>
          <w:b/>
          <w:sz w:val="24"/>
          <w:szCs w:val="24"/>
          <w:lang w:val="en-GB"/>
        </w:rPr>
        <w:t xml:space="preserve">, </w:t>
      </w:r>
      <w:r w:rsidR="00AD1A83" w:rsidRPr="00004558">
        <w:rPr>
          <w:rFonts w:ascii="Times New Roman" w:hAnsi="Times New Roman"/>
          <w:b/>
          <w:sz w:val="24"/>
          <w:szCs w:val="24"/>
          <w:lang w:val="en-GB"/>
        </w:rPr>
        <w:t>Yin Bun Cheung</w:t>
      </w:r>
      <w:r w:rsidR="00956CBE" w:rsidRPr="00004558">
        <w:rPr>
          <w:rFonts w:ascii="Times New Roman" w:hAnsi="Times New Roman"/>
          <w:b/>
          <w:sz w:val="24"/>
          <w:szCs w:val="24"/>
          <w:vertAlign w:val="superscript"/>
          <w:lang w:val="en-GB"/>
        </w:rPr>
        <w:t>5,6</w:t>
      </w:r>
      <w:r w:rsidR="00AD1A83" w:rsidRPr="00004558">
        <w:rPr>
          <w:rFonts w:ascii="Times New Roman" w:hAnsi="Times New Roman"/>
          <w:b/>
          <w:sz w:val="24"/>
          <w:szCs w:val="24"/>
          <w:lang w:val="en-GB"/>
        </w:rPr>
        <w:t xml:space="preserve">, </w:t>
      </w:r>
      <w:r w:rsidR="000B47B6" w:rsidRPr="00004558">
        <w:rPr>
          <w:rFonts w:ascii="Times New Roman" w:hAnsi="Times New Roman"/>
          <w:b/>
          <w:sz w:val="24"/>
          <w:szCs w:val="24"/>
          <w:lang w:val="en-GB"/>
        </w:rPr>
        <w:t>Aravind</w:t>
      </w:r>
      <w:r w:rsidR="00B5748D" w:rsidRPr="00004558">
        <w:rPr>
          <w:rFonts w:ascii="Times New Roman" w:hAnsi="Times New Roman"/>
          <w:b/>
          <w:sz w:val="24"/>
          <w:szCs w:val="24"/>
          <w:lang w:val="en-GB"/>
        </w:rPr>
        <w:t xml:space="preserve"> </w:t>
      </w:r>
      <w:r w:rsidR="000B47B6" w:rsidRPr="00004558">
        <w:rPr>
          <w:rFonts w:ascii="Times New Roman" w:hAnsi="Times New Roman"/>
          <w:b/>
          <w:sz w:val="24"/>
          <w:szCs w:val="24"/>
          <w:lang w:val="en-GB"/>
        </w:rPr>
        <w:t>Venkatesh Sreedharan</w:t>
      </w:r>
      <w:r w:rsidR="00CD4428" w:rsidRPr="00004558">
        <w:rPr>
          <w:rFonts w:ascii="Times New Roman" w:hAnsi="Times New Roman"/>
          <w:b/>
          <w:sz w:val="24"/>
          <w:szCs w:val="24"/>
          <w:vertAlign w:val="superscript"/>
          <w:lang w:val="en-GB"/>
        </w:rPr>
        <w:t>4</w:t>
      </w:r>
      <w:r w:rsidR="000B47B6" w:rsidRPr="00004558">
        <w:rPr>
          <w:rFonts w:ascii="Times New Roman" w:hAnsi="Times New Roman"/>
          <w:b/>
          <w:sz w:val="24"/>
          <w:szCs w:val="24"/>
          <w:lang w:val="en-GB"/>
        </w:rPr>
        <w:t xml:space="preserve">, </w:t>
      </w:r>
      <w:r w:rsidR="00D37C49" w:rsidRPr="00004558">
        <w:rPr>
          <w:rFonts w:ascii="Times New Roman" w:hAnsi="Times New Roman"/>
          <w:b/>
          <w:sz w:val="24"/>
          <w:szCs w:val="24"/>
          <w:lang w:val="en-GB"/>
        </w:rPr>
        <w:t>Xinyi Ch</w:t>
      </w:r>
      <w:r w:rsidR="000062A0" w:rsidRPr="00004558">
        <w:rPr>
          <w:rFonts w:ascii="Times New Roman" w:hAnsi="Times New Roman"/>
          <w:b/>
          <w:sz w:val="24"/>
          <w:szCs w:val="24"/>
          <w:lang w:val="en-GB"/>
        </w:rPr>
        <w:t>in</w:t>
      </w:r>
      <w:r w:rsidR="00CD4428" w:rsidRPr="00004558">
        <w:rPr>
          <w:rFonts w:ascii="Times New Roman" w:hAnsi="Times New Roman"/>
          <w:b/>
          <w:sz w:val="24"/>
          <w:szCs w:val="24"/>
          <w:vertAlign w:val="superscript"/>
          <w:lang w:val="en-GB"/>
        </w:rPr>
        <w:t>2,4</w:t>
      </w:r>
      <w:r w:rsidR="000B47B6" w:rsidRPr="00004558">
        <w:rPr>
          <w:rFonts w:ascii="Times New Roman" w:hAnsi="Times New Roman"/>
          <w:b/>
          <w:sz w:val="24"/>
          <w:szCs w:val="24"/>
          <w:lang w:val="en-GB"/>
        </w:rPr>
        <w:t xml:space="preserve">, </w:t>
      </w:r>
      <w:r w:rsidR="00AD1A83" w:rsidRPr="00004558">
        <w:rPr>
          <w:rFonts w:ascii="Times New Roman" w:hAnsi="Times New Roman"/>
          <w:b/>
          <w:sz w:val="24"/>
          <w:szCs w:val="24"/>
          <w:lang w:val="en-GB"/>
        </w:rPr>
        <w:t>Keith</w:t>
      </w:r>
      <w:r w:rsidR="00381FB4" w:rsidRPr="00004558">
        <w:rPr>
          <w:rFonts w:ascii="Times New Roman" w:hAnsi="Times New Roman"/>
          <w:b/>
          <w:sz w:val="24"/>
          <w:szCs w:val="24"/>
          <w:lang w:val="en-GB"/>
        </w:rPr>
        <w:t xml:space="preserve"> M</w:t>
      </w:r>
      <w:r w:rsidR="00F2130C" w:rsidRPr="00004558">
        <w:rPr>
          <w:rFonts w:ascii="Times New Roman" w:hAnsi="Times New Roman"/>
          <w:b/>
          <w:sz w:val="24"/>
          <w:szCs w:val="24"/>
          <w:lang w:val="en-GB"/>
        </w:rPr>
        <w:t xml:space="preserve">. </w:t>
      </w:r>
      <w:r w:rsidR="00AD1A83" w:rsidRPr="00004558">
        <w:rPr>
          <w:rFonts w:ascii="Times New Roman" w:hAnsi="Times New Roman"/>
          <w:b/>
          <w:sz w:val="24"/>
          <w:szCs w:val="24"/>
          <w:lang w:val="en-GB"/>
        </w:rPr>
        <w:t>Godfrey</w:t>
      </w:r>
      <w:r w:rsidR="00956CBE" w:rsidRPr="00004558">
        <w:rPr>
          <w:rFonts w:ascii="Times New Roman" w:hAnsi="Times New Roman"/>
          <w:b/>
          <w:sz w:val="24"/>
          <w:szCs w:val="24"/>
          <w:vertAlign w:val="superscript"/>
          <w:lang w:val="en-GB"/>
        </w:rPr>
        <w:t>7</w:t>
      </w:r>
      <w:r w:rsidR="00454BDA" w:rsidRPr="00004558">
        <w:rPr>
          <w:rFonts w:ascii="Times New Roman" w:hAnsi="Times New Roman"/>
          <w:b/>
          <w:sz w:val="24"/>
          <w:szCs w:val="24"/>
          <w:vertAlign w:val="superscript"/>
          <w:lang w:val="en-GB"/>
        </w:rPr>
        <w:t>,</w:t>
      </w:r>
      <w:r w:rsidR="00956CBE" w:rsidRPr="00004558">
        <w:rPr>
          <w:rFonts w:ascii="Times New Roman" w:hAnsi="Times New Roman"/>
          <w:b/>
          <w:sz w:val="24"/>
          <w:szCs w:val="24"/>
          <w:vertAlign w:val="superscript"/>
          <w:lang w:val="en-GB"/>
        </w:rPr>
        <w:t>8</w:t>
      </w:r>
      <w:r w:rsidR="00AD1A83" w:rsidRPr="00004558">
        <w:rPr>
          <w:rFonts w:ascii="Times New Roman" w:hAnsi="Times New Roman"/>
          <w:b/>
          <w:sz w:val="24"/>
          <w:szCs w:val="24"/>
          <w:lang w:val="en-GB"/>
        </w:rPr>
        <w:t xml:space="preserve">, </w:t>
      </w:r>
      <w:r w:rsidR="00DD191B" w:rsidRPr="00004558">
        <w:rPr>
          <w:rFonts w:ascii="Times New Roman" w:hAnsi="Times New Roman"/>
          <w:b/>
          <w:sz w:val="24"/>
          <w:szCs w:val="24"/>
          <w:lang w:val="en-GB"/>
        </w:rPr>
        <w:t>Kok Hian Tan</w:t>
      </w:r>
      <w:r w:rsidR="00CD4428" w:rsidRPr="00004558">
        <w:rPr>
          <w:rFonts w:ascii="Times New Roman" w:hAnsi="Times New Roman"/>
          <w:b/>
          <w:sz w:val="24"/>
          <w:szCs w:val="24"/>
          <w:vertAlign w:val="superscript"/>
          <w:lang w:val="en-GB"/>
        </w:rPr>
        <w:t>2</w:t>
      </w:r>
      <w:r w:rsidR="00956CBE" w:rsidRPr="00004558">
        <w:rPr>
          <w:rFonts w:ascii="Times New Roman" w:hAnsi="Times New Roman"/>
          <w:b/>
          <w:sz w:val="24"/>
          <w:szCs w:val="24"/>
          <w:vertAlign w:val="superscript"/>
          <w:lang w:val="en-GB"/>
        </w:rPr>
        <w:t>,9</w:t>
      </w:r>
      <w:r w:rsidR="00DD191B" w:rsidRPr="00004558">
        <w:rPr>
          <w:rFonts w:ascii="Times New Roman" w:hAnsi="Times New Roman"/>
          <w:b/>
          <w:sz w:val="24"/>
          <w:szCs w:val="24"/>
          <w:lang w:val="en-GB"/>
        </w:rPr>
        <w:t>, Lynette P</w:t>
      </w:r>
      <w:r w:rsidR="0089722B" w:rsidRPr="00004558">
        <w:rPr>
          <w:rFonts w:ascii="Times New Roman" w:hAnsi="Times New Roman"/>
          <w:b/>
          <w:sz w:val="24"/>
          <w:szCs w:val="24"/>
          <w:lang w:val="en-GB"/>
        </w:rPr>
        <w:t>ei-</w:t>
      </w:r>
      <w:r w:rsidR="000C57BE" w:rsidRPr="00004558">
        <w:rPr>
          <w:rFonts w:ascii="Times New Roman" w:hAnsi="Times New Roman"/>
          <w:b/>
          <w:sz w:val="24"/>
          <w:szCs w:val="24"/>
          <w:lang w:val="en-GB"/>
        </w:rPr>
        <w:t>C</w:t>
      </w:r>
      <w:r w:rsidR="0089722B" w:rsidRPr="00004558">
        <w:rPr>
          <w:rFonts w:ascii="Times New Roman" w:hAnsi="Times New Roman"/>
          <w:b/>
          <w:sz w:val="24"/>
          <w:szCs w:val="24"/>
          <w:lang w:val="en-GB"/>
        </w:rPr>
        <w:t>hi</w:t>
      </w:r>
      <w:r w:rsidR="00DD191B" w:rsidRPr="00004558">
        <w:rPr>
          <w:rFonts w:ascii="Times New Roman" w:hAnsi="Times New Roman"/>
          <w:b/>
          <w:sz w:val="24"/>
          <w:szCs w:val="24"/>
          <w:lang w:val="en-GB"/>
        </w:rPr>
        <w:t xml:space="preserve"> Shek</w:t>
      </w:r>
      <w:r w:rsidR="00CD4428" w:rsidRPr="00004558">
        <w:rPr>
          <w:rFonts w:ascii="Times New Roman" w:hAnsi="Times New Roman"/>
          <w:b/>
          <w:sz w:val="24"/>
          <w:szCs w:val="24"/>
          <w:vertAlign w:val="superscript"/>
          <w:lang w:val="en-GB"/>
        </w:rPr>
        <w:t>3</w:t>
      </w:r>
      <w:r w:rsidR="00956CBE" w:rsidRPr="00004558">
        <w:rPr>
          <w:rFonts w:ascii="Times New Roman" w:hAnsi="Times New Roman"/>
          <w:b/>
          <w:sz w:val="24"/>
          <w:szCs w:val="24"/>
          <w:vertAlign w:val="superscript"/>
          <w:lang w:val="en-GB"/>
        </w:rPr>
        <w:t>,10,11</w:t>
      </w:r>
      <w:r w:rsidR="00DD191B" w:rsidRPr="00004558">
        <w:rPr>
          <w:rFonts w:ascii="Times New Roman" w:hAnsi="Times New Roman"/>
          <w:b/>
          <w:sz w:val="24"/>
          <w:szCs w:val="24"/>
          <w:lang w:val="en-GB"/>
        </w:rPr>
        <w:t>, Yap</w:t>
      </w:r>
      <w:r w:rsidR="00850C56" w:rsidRPr="00004558">
        <w:rPr>
          <w:rFonts w:ascii="Times New Roman" w:hAnsi="Times New Roman"/>
          <w:b/>
          <w:sz w:val="24"/>
          <w:szCs w:val="24"/>
          <w:lang w:val="en-GB"/>
        </w:rPr>
        <w:t xml:space="preserve"> </w:t>
      </w:r>
      <w:r w:rsidR="00DD191B" w:rsidRPr="00004558">
        <w:rPr>
          <w:rFonts w:ascii="Times New Roman" w:hAnsi="Times New Roman"/>
          <w:b/>
          <w:sz w:val="24"/>
          <w:szCs w:val="24"/>
          <w:lang w:val="en-GB"/>
        </w:rPr>
        <w:t>Seng Chong</w:t>
      </w:r>
      <w:r w:rsidR="00CD4428" w:rsidRPr="00004558">
        <w:rPr>
          <w:rFonts w:ascii="Times New Roman" w:hAnsi="Times New Roman"/>
          <w:b/>
          <w:sz w:val="24"/>
          <w:szCs w:val="24"/>
          <w:vertAlign w:val="superscript"/>
          <w:lang w:val="en-GB"/>
        </w:rPr>
        <w:t>3</w:t>
      </w:r>
      <w:r w:rsidR="00956CBE" w:rsidRPr="00004558">
        <w:rPr>
          <w:rFonts w:ascii="Times New Roman" w:hAnsi="Times New Roman"/>
          <w:b/>
          <w:sz w:val="24"/>
          <w:szCs w:val="24"/>
          <w:vertAlign w:val="superscript"/>
          <w:lang w:val="en-GB"/>
        </w:rPr>
        <w:t>,12</w:t>
      </w:r>
      <w:r w:rsidR="00DD191B" w:rsidRPr="00004558">
        <w:rPr>
          <w:rFonts w:ascii="Times New Roman" w:hAnsi="Times New Roman"/>
          <w:b/>
          <w:sz w:val="24"/>
          <w:szCs w:val="24"/>
          <w:lang w:val="en-GB"/>
        </w:rPr>
        <w:t xml:space="preserve">, </w:t>
      </w:r>
      <w:r w:rsidR="00B5566B" w:rsidRPr="00004558">
        <w:rPr>
          <w:rFonts w:ascii="Times New Roman" w:hAnsi="Times New Roman"/>
          <w:b/>
          <w:color w:val="000000"/>
          <w:sz w:val="24"/>
          <w:szCs w:val="24"/>
          <w:lang w:val="en-GB"/>
        </w:rPr>
        <w:t>Melvin Khee-Shing Leow</w:t>
      </w:r>
      <w:r w:rsidR="00CD4428" w:rsidRPr="00004558">
        <w:rPr>
          <w:rFonts w:ascii="Times New Roman" w:hAnsi="Times New Roman"/>
          <w:b/>
          <w:sz w:val="24"/>
          <w:szCs w:val="24"/>
          <w:vertAlign w:val="superscript"/>
          <w:lang w:val="en-GB"/>
        </w:rPr>
        <w:t>3</w:t>
      </w:r>
      <w:r w:rsidR="00956CBE" w:rsidRPr="00004558">
        <w:rPr>
          <w:rFonts w:ascii="Times New Roman" w:hAnsi="Times New Roman"/>
          <w:b/>
          <w:sz w:val="24"/>
          <w:szCs w:val="24"/>
          <w:vertAlign w:val="superscript"/>
          <w:lang w:val="en-GB"/>
        </w:rPr>
        <w:t>,13,14</w:t>
      </w:r>
      <w:r w:rsidR="00463774" w:rsidRPr="00004558">
        <w:rPr>
          <w:rFonts w:ascii="Times New Roman" w:hAnsi="Times New Roman"/>
          <w:b/>
          <w:sz w:val="24"/>
          <w:szCs w:val="24"/>
          <w:vertAlign w:val="superscript"/>
          <w:lang w:val="en-GB"/>
        </w:rPr>
        <w:t>,15</w:t>
      </w:r>
      <w:r w:rsidR="00C76ECD" w:rsidRPr="00004558">
        <w:rPr>
          <w:rFonts w:ascii="Times New Roman" w:hAnsi="Times New Roman"/>
          <w:b/>
          <w:sz w:val="24"/>
          <w:szCs w:val="24"/>
          <w:lang w:val="en-GB"/>
        </w:rPr>
        <w:t>, Chin Meng Khoo</w:t>
      </w:r>
      <w:r w:rsidR="00463774" w:rsidRPr="00004558">
        <w:rPr>
          <w:rFonts w:ascii="Times New Roman" w:hAnsi="Times New Roman"/>
          <w:b/>
          <w:sz w:val="24"/>
          <w:szCs w:val="24"/>
          <w:vertAlign w:val="superscript"/>
          <w:lang w:val="en-GB"/>
        </w:rPr>
        <w:t>13,16,17</w:t>
      </w:r>
      <w:r w:rsidR="00C76ECD" w:rsidRPr="00004558">
        <w:rPr>
          <w:rFonts w:ascii="Times New Roman" w:hAnsi="Times New Roman"/>
          <w:b/>
          <w:sz w:val="24"/>
          <w:szCs w:val="24"/>
          <w:lang w:val="en-GB"/>
        </w:rPr>
        <w:t xml:space="preserve">, </w:t>
      </w:r>
      <w:r w:rsidR="00DD191B" w:rsidRPr="00004558">
        <w:rPr>
          <w:rFonts w:ascii="Times New Roman" w:hAnsi="Times New Roman"/>
          <w:b/>
          <w:sz w:val="24"/>
          <w:szCs w:val="24"/>
          <w:lang w:val="en-GB"/>
        </w:rPr>
        <w:t>Yung Seng Lee</w:t>
      </w:r>
      <w:r w:rsidR="00CD4428" w:rsidRPr="00004558">
        <w:rPr>
          <w:rFonts w:ascii="Times New Roman" w:hAnsi="Times New Roman"/>
          <w:b/>
          <w:sz w:val="24"/>
          <w:szCs w:val="24"/>
          <w:vertAlign w:val="superscript"/>
          <w:lang w:val="en-GB"/>
        </w:rPr>
        <w:t>3</w:t>
      </w:r>
      <w:r w:rsidR="001404F6" w:rsidRPr="00004558">
        <w:rPr>
          <w:rFonts w:ascii="Times New Roman" w:hAnsi="Times New Roman"/>
          <w:b/>
          <w:sz w:val="24"/>
          <w:szCs w:val="24"/>
          <w:vertAlign w:val="superscript"/>
          <w:lang w:val="en-GB"/>
        </w:rPr>
        <w:t>,10,11</w:t>
      </w:r>
      <w:r w:rsidR="00DD191B" w:rsidRPr="00004558">
        <w:rPr>
          <w:rFonts w:ascii="Times New Roman" w:hAnsi="Times New Roman"/>
          <w:b/>
          <w:sz w:val="24"/>
          <w:szCs w:val="24"/>
          <w:lang w:val="en-GB"/>
        </w:rPr>
        <w:t xml:space="preserve">, </w:t>
      </w:r>
      <w:r w:rsidR="00422EB5" w:rsidRPr="00004558">
        <w:rPr>
          <w:rFonts w:ascii="Times New Roman" w:hAnsi="Times New Roman"/>
          <w:b/>
          <w:sz w:val="24"/>
          <w:szCs w:val="24"/>
          <w:lang w:val="en-GB"/>
        </w:rPr>
        <w:t>Shiao</w:t>
      </w:r>
      <w:r w:rsidR="00096820" w:rsidRPr="00004558">
        <w:rPr>
          <w:rFonts w:ascii="Times New Roman" w:hAnsi="Times New Roman"/>
          <w:b/>
          <w:sz w:val="24"/>
          <w:szCs w:val="24"/>
          <w:lang w:val="en-GB"/>
        </w:rPr>
        <w:t>-</w:t>
      </w:r>
      <w:r w:rsidR="00422EB5" w:rsidRPr="00004558">
        <w:rPr>
          <w:rFonts w:ascii="Times New Roman" w:hAnsi="Times New Roman"/>
          <w:b/>
          <w:sz w:val="24"/>
          <w:szCs w:val="24"/>
          <w:lang w:val="en-GB"/>
        </w:rPr>
        <w:t>Yng Chan</w:t>
      </w:r>
      <w:r w:rsidR="00463774" w:rsidRPr="00004558">
        <w:rPr>
          <w:rFonts w:ascii="Times New Roman" w:hAnsi="Times New Roman"/>
          <w:b/>
          <w:sz w:val="24"/>
          <w:szCs w:val="24"/>
          <w:vertAlign w:val="superscript"/>
          <w:lang w:val="en-GB"/>
        </w:rPr>
        <w:t>3,18</w:t>
      </w:r>
      <w:r w:rsidR="00422EB5" w:rsidRPr="00004558">
        <w:rPr>
          <w:rFonts w:ascii="Times New Roman" w:hAnsi="Times New Roman"/>
          <w:b/>
          <w:sz w:val="24"/>
          <w:szCs w:val="24"/>
          <w:lang w:val="en-GB"/>
        </w:rPr>
        <w:t xml:space="preserve">, </w:t>
      </w:r>
      <w:r w:rsidR="00DD191B" w:rsidRPr="00004558">
        <w:rPr>
          <w:rFonts w:ascii="Times New Roman" w:hAnsi="Times New Roman"/>
          <w:b/>
          <w:sz w:val="24"/>
          <w:szCs w:val="24"/>
          <w:lang w:val="en-GB"/>
        </w:rPr>
        <w:t>Ngee Lek</w:t>
      </w:r>
      <w:r w:rsidR="00CD4428" w:rsidRPr="00004558">
        <w:rPr>
          <w:rFonts w:ascii="Times New Roman" w:hAnsi="Times New Roman"/>
          <w:b/>
          <w:sz w:val="24"/>
          <w:szCs w:val="24"/>
          <w:vertAlign w:val="superscript"/>
          <w:lang w:val="en-GB"/>
        </w:rPr>
        <w:t>2,4</w:t>
      </w:r>
      <w:r w:rsidR="00DD191B" w:rsidRPr="00004558">
        <w:rPr>
          <w:rFonts w:ascii="Times New Roman" w:hAnsi="Times New Roman"/>
          <w:b/>
          <w:sz w:val="24"/>
          <w:szCs w:val="24"/>
          <w:lang w:val="en-GB"/>
        </w:rPr>
        <w:t xml:space="preserve">, Jerry </w:t>
      </w:r>
      <w:r w:rsidR="000C57BE" w:rsidRPr="00004558">
        <w:rPr>
          <w:rFonts w:ascii="Times New Roman" w:hAnsi="Times New Roman"/>
          <w:b/>
          <w:sz w:val="24"/>
          <w:szCs w:val="24"/>
          <w:lang w:val="en-GB"/>
        </w:rPr>
        <w:t>K</w:t>
      </w:r>
      <w:r w:rsidR="0089722B" w:rsidRPr="00004558">
        <w:rPr>
          <w:rFonts w:ascii="Times New Roman" w:hAnsi="Times New Roman"/>
          <w:b/>
          <w:sz w:val="24"/>
          <w:szCs w:val="24"/>
          <w:lang w:val="en-GB"/>
        </w:rPr>
        <w:t>ok Yen</w:t>
      </w:r>
      <w:r w:rsidR="00DD191B" w:rsidRPr="00004558">
        <w:rPr>
          <w:rFonts w:ascii="Times New Roman" w:hAnsi="Times New Roman"/>
          <w:b/>
          <w:sz w:val="24"/>
          <w:szCs w:val="24"/>
          <w:lang w:val="en-GB"/>
        </w:rPr>
        <w:t xml:space="preserve"> Chan</w:t>
      </w:r>
      <w:r w:rsidR="00CD4428" w:rsidRPr="00004558">
        <w:rPr>
          <w:rFonts w:ascii="Times New Roman" w:hAnsi="Times New Roman"/>
          <w:b/>
          <w:sz w:val="24"/>
          <w:szCs w:val="24"/>
          <w:vertAlign w:val="superscript"/>
          <w:lang w:val="en-GB"/>
        </w:rPr>
        <w:t>1,2</w:t>
      </w:r>
      <w:r w:rsidR="00B05AF1" w:rsidRPr="00004558">
        <w:rPr>
          <w:rFonts w:ascii="Times New Roman" w:hAnsi="Times New Roman"/>
          <w:b/>
          <w:sz w:val="24"/>
          <w:szCs w:val="24"/>
          <w:lang w:val="en-GB"/>
        </w:rPr>
        <w:t xml:space="preserve">, Fabian </w:t>
      </w:r>
      <w:r w:rsidR="00DD191B" w:rsidRPr="00004558">
        <w:rPr>
          <w:rFonts w:ascii="Times New Roman" w:hAnsi="Times New Roman"/>
          <w:b/>
          <w:sz w:val="24"/>
          <w:szCs w:val="24"/>
          <w:lang w:val="en-GB"/>
        </w:rPr>
        <w:t>Yap</w:t>
      </w:r>
      <w:r w:rsidR="00CD4428" w:rsidRPr="00004558">
        <w:rPr>
          <w:rFonts w:ascii="Times New Roman" w:hAnsi="Times New Roman"/>
          <w:b/>
          <w:sz w:val="24"/>
          <w:szCs w:val="24"/>
          <w:vertAlign w:val="superscript"/>
          <w:lang w:val="en-GB"/>
        </w:rPr>
        <w:t>2,4</w:t>
      </w:r>
      <w:r w:rsidR="001404F6" w:rsidRPr="00004558">
        <w:rPr>
          <w:rFonts w:ascii="Times New Roman" w:hAnsi="Times New Roman"/>
          <w:b/>
          <w:sz w:val="24"/>
          <w:szCs w:val="24"/>
          <w:vertAlign w:val="superscript"/>
          <w:lang w:val="en-GB"/>
        </w:rPr>
        <w:t>,1</w:t>
      </w:r>
      <w:bookmarkEnd w:id="2"/>
      <w:r w:rsidR="00463774" w:rsidRPr="00004558">
        <w:rPr>
          <w:rFonts w:ascii="Times New Roman" w:hAnsi="Times New Roman"/>
          <w:b/>
          <w:sz w:val="24"/>
          <w:szCs w:val="24"/>
          <w:vertAlign w:val="superscript"/>
          <w:lang w:val="en-GB"/>
        </w:rPr>
        <w:t>5</w:t>
      </w:r>
      <w:r w:rsidR="000D007F" w:rsidRPr="00004558">
        <w:rPr>
          <w:rFonts w:ascii="Times New Roman" w:hAnsi="Times New Roman"/>
          <w:b/>
          <w:sz w:val="24"/>
          <w:szCs w:val="24"/>
          <w:vertAlign w:val="superscript"/>
          <w:lang w:val="en-GB"/>
        </w:rPr>
        <w:t>,</w:t>
      </w:r>
      <w:r w:rsidR="000E55B9" w:rsidRPr="00004558">
        <w:rPr>
          <w:rFonts w:ascii="Times New Roman" w:hAnsi="Times New Roman"/>
          <w:b/>
          <w:sz w:val="24"/>
          <w:szCs w:val="24"/>
          <w:vertAlign w:val="superscript"/>
          <w:lang w:val="en-GB"/>
        </w:rPr>
        <w:t>*</w:t>
      </w:r>
    </w:p>
    <w:p w14:paraId="6D69C1D1" w14:textId="77777777" w:rsidR="000E55B9" w:rsidRPr="00004558" w:rsidRDefault="000E55B9" w:rsidP="002B12DF">
      <w:pPr>
        <w:pStyle w:val="NoSpacing"/>
        <w:spacing w:line="480" w:lineRule="auto"/>
        <w:rPr>
          <w:rFonts w:ascii="Times New Roman" w:hAnsi="Times New Roman"/>
          <w:color w:val="212121"/>
          <w:sz w:val="24"/>
          <w:szCs w:val="24"/>
          <w:lang w:val="en-GB"/>
        </w:rPr>
      </w:pPr>
    </w:p>
    <w:p w14:paraId="32A1C062" w14:textId="77777777" w:rsidR="00CD4428" w:rsidRPr="00004558" w:rsidRDefault="00CD4428" w:rsidP="002B12DF">
      <w:pPr>
        <w:pStyle w:val="NoSpacing"/>
        <w:spacing w:line="480" w:lineRule="auto"/>
        <w:rPr>
          <w:rFonts w:ascii="Times New Roman" w:hAnsi="Times New Roman"/>
          <w:sz w:val="24"/>
          <w:szCs w:val="24"/>
          <w:lang w:val="en-GB"/>
        </w:rPr>
      </w:pPr>
      <w:bookmarkStart w:id="3" w:name="_Hlk13229920"/>
      <w:r w:rsidRPr="00004558">
        <w:rPr>
          <w:rFonts w:ascii="Times New Roman" w:hAnsi="Times New Roman"/>
          <w:sz w:val="24"/>
          <w:szCs w:val="24"/>
          <w:vertAlign w:val="superscript"/>
          <w:lang w:val="en-GB"/>
        </w:rPr>
        <w:t>1</w:t>
      </w:r>
      <w:r w:rsidRPr="00004558">
        <w:rPr>
          <w:rFonts w:ascii="Times New Roman" w:hAnsi="Times New Roman"/>
          <w:sz w:val="24"/>
          <w:szCs w:val="24"/>
          <w:lang w:val="en-GB"/>
        </w:rPr>
        <w:t>Department of Reproductive Medicine, KK Women’s and Children’s Hospital, Singapore, Singapore 229899</w:t>
      </w:r>
    </w:p>
    <w:p w14:paraId="025E3B49" w14:textId="77777777" w:rsidR="00CD4428" w:rsidRPr="00004558" w:rsidRDefault="00CD4428" w:rsidP="002B12DF">
      <w:pPr>
        <w:pStyle w:val="NoSpacing"/>
        <w:spacing w:line="480" w:lineRule="auto"/>
        <w:rPr>
          <w:rFonts w:ascii="Times New Roman" w:hAnsi="Times New Roman"/>
          <w:sz w:val="24"/>
          <w:szCs w:val="24"/>
          <w:lang w:val="en-GB"/>
        </w:rPr>
      </w:pPr>
      <w:r w:rsidRPr="00004558">
        <w:rPr>
          <w:rFonts w:ascii="Times New Roman" w:hAnsi="Times New Roman"/>
          <w:sz w:val="24"/>
          <w:szCs w:val="24"/>
          <w:vertAlign w:val="superscript"/>
          <w:lang w:val="en-GB"/>
        </w:rPr>
        <w:t>2</w:t>
      </w:r>
      <w:r w:rsidRPr="00004558">
        <w:rPr>
          <w:rFonts w:ascii="Times New Roman" w:hAnsi="Times New Roman"/>
          <w:sz w:val="24"/>
          <w:szCs w:val="24"/>
          <w:lang w:val="en-GB"/>
        </w:rPr>
        <w:t>Duke-NUS Medical School, Singapore, Singapore 169857</w:t>
      </w:r>
    </w:p>
    <w:p w14:paraId="7414FE2A" w14:textId="77777777" w:rsidR="00CD4428" w:rsidRPr="00004558" w:rsidRDefault="00CD4428" w:rsidP="002B12DF">
      <w:pPr>
        <w:pStyle w:val="NoSpacing"/>
        <w:spacing w:line="480" w:lineRule="auto"/>
        <w:rPr>
          <w:rFonts w:ascii="Times New Roman" w:hAnsi="Times New Roman"/>
          <w:sz w:val="24"/>
          <w:szCs w:val="24"/>
          <w:lang w:val="en-GB"/>
        </w:rPr>
      </w:pPr>
      <w:r w:rsidRPr="00004558">
        <w:rPr>
          <w:rFonts w:ascii="Times New Roman" w:hAnsi="Times New Roman"/>
          <w:sz w:val="24"/>
          <w:szCs w:val="24"/>
          <w:vertAlign w:val="superscript"/>
          <w:lang w:val="en-GB"/>
        </w:rPr>
        <w:t>3</w:t>
      </w:r>
      <w:r w:rsidRPr="00004558">
        <w:rPr>
          <w:rFonts w:ascii="Times New Roman" w:hAnsi="Times New Roman"/>
          <w:sz w:val="24"/>
          <w:szCs w:val="24"/>
          <w:lang w:val="en-GB"/>
        </w:rPr>
        <w:t>Singapore Institute for Clinical Sciences, Agency for Science, Technology and Research (A*STAR), Singapore, Singapore 117609</w:t>
      </w:r>
    </w:p>
    <w:p w14:paraId="04E65A11" w14:textId="77777777" w:rsidR="00CD4428" w:rsidRPr="00004558" w:rsidRDefault="00CD4428" w:rsidP="002B12DF">
      <w:pPr>
        <w:pStyle w:val="NoSpacing"/>
        <w:spacing w:line="480" w:lineRule="auto"/>
        <w:rPr>
          <w:rFonts w:ascii="Times New Roman" w:hAnsi="Times New Roman"/>
          <w:sz w:val="24"/>
          <w:szCs w:val="24"/>
          <w:lang w:val="en-GB"/>
        </w:rPr>
      </w:pPr>
      <w:r w:rsidRPr="00004558">
        <w:rPr>
          <w:rFonts w:ascii="Times New Roman" w:hAnsi="Times New Roman"/>
          <w:sz w:val="24"/>
          <w:szCs w:val="24"/>
          <w:vertAlign w:val="superscript"/>
          <w:lang w:val="en-GB"/>
        </w:rPr>
        <w:t>4</w:t>
      </w:r>
      <w:r w:rsidRPr="00004558">
        <w:rPr>
          <w:rFonts w:ascii="Times New Roman" w:hAnsi="Times New Roman"/>
          <w:sz w:val="24"/>
          <w:szCs w:val="24"/>
          <w:lang w:val="en-GB"/>
        </w:rPr>
        <w:t xml:space="preserve">Department of Paediatrics, KK Women’s and Children’s Hospital, Singapore, Singapore 229899 </w:t>
      </w:r>
    </w:p>
    <w:p w14:paraId="3E9B7D25" w14:textId="1333206E" w:rsidR="00CD4428" w:rsidRPr="00004558" w:rsidRDefault="00CD4428" w:rsidP="002B12DF">
      <w:pPr>
        <w:pStyle w:val="NoSpacing"/>
        <w:spacing w:line="480" w:lineRule="auto"/>
        <w:rPr>
          <w:rFonts w:ascii="Times New Roman" w:hAnsi="Times New Roman"/>
          <w:sz w:val="24"/>
          <w:szCs w:val="24"/>
          <w:lang w:val="en-GB"/>
        </w:rPr>
      </w:pPr>
      <w:r w:rsidRPr="00004558">
        <w:rPr>
          <w:rFonts w:ascii="Times New Roman" w:hAnsi="Times New Roman"/>
          <w:sz w:val="24"/>
          <w:szCs w:val="24"/>
          <w:vertAlign w:val="superscript"/>
          <w:lang w:val="en-GB"/>
        </w:rPr>
        <w:t>5</w:t>
      </w:r>
      <w:r w:rsidRPr="00004558">
        <w:rPr>
          <w:rFonts w:ascii="Times New Roman" w:hAnsi="Times New Roman"/>
          <w:sz w:val="24"/>
          <w:szCs w:val="24"/>
          <w:lang w:val="en-GB"/>
        </w:rPr>
        <w:t xml:space="preserve">Program in Health Services &amp; Systems Research and </w:t>
      </w:r>
      <w:r w:rsidRPr="00004558">
        <w:rPr>
          <w:rFonts w:ascii="Times New Roman" w:eastAsia="Times New Roman" w:hAnsi="Times New Roman"/>
          <w:sz w:val="24"/>
          <w:szCs w:val="24"/>
          <w:lang w:val="en-GB"/>
        </w:rPr>
        <w:t xml:space="preserve">Center for Quantitative Medicine, </w:t>
      </w:r>
      <w:r w:rsidRPr="00004558">
        <w:rPr>
          <w:rFonts w:ascii="Times New Roman" w:hAnsi="Times New Roman"/>
          <w:sz w:val="24"/>
          <w:szCs w:val="24"/>
          <w:lang w:val="en-GB"/>
        </w:rPr>
        <w:t>Duke-NUS Medical School, Singapore 169857, Singapore</w:t>
      </w:r>
    </w:p>
    <w:p w14:paraId="6E1CC031" w14:textId="09DD51C6" w:rsidR="00CD4428" w:rsidRPr="00004558" w:rsidRDefault="00CD4428" w:rsidP="002B12DF">
      <w:pPr>
        <w:pStyle w:val="NoSpacing"/>
        <w:spacing w:line="480" w:lineRule="auto"/>
        <w:rPr>
          <w:rFonts w:ascii="Times New Roman" w:hAnsi="Times New Roman"/>
          <w:sz w:val="24"/>
          <w:szCs w:val="24"/>
          <w:lang w:val="en-GB"/>
        </w:rPr>
      </w:pPr>
      <w:r w:rsidRPr="00004558">
        <w:rPr>
          <w:rFonts w:ascii="Times New Roman" w:hAnsi="Times New Roman"/>
          <w:color w:val="000000"/>
          <w:sz w:val="24"/>
          <w:szCs w:val="24"/>
          <w:vertAlign w:val="superscript"/>
          <w:lang w:val="en-GB"/>
        </w:rPr>
        <w:t>6</w:t>
      </w:r>
      <w:r w:rsidRPr="00004558">
        <w:rPr>
          <w:rFonts w:ascii="Times New Roman" w:hAnsi="Times New Roman"/>
          <w:color w:val="000000"/>
          <w:sz w:val="24"/>
          <w:szCs w:val="24"/>
          <w:lang w:val="en-GB"/>
        </w:rPr>
        <w:t xml:space="preserve">Tampere Center for Child, Adolescent and Maternal Health Research, </w:t>
      </w:r>
      <w:r w:rsidRPr="00004558">
        <w:rPr>
          <w:rFonts w:ascii="Times New Roman" w:hAnsi="Times New Roman"/>
          <w:sz w:val="24"/>
          <w:szCs w:val="24"/>
          <w:lang w:val="en-GB"/>
        </w:rPr>
        <w:t>Tampere University, 33014 Tampere, Finland</w:t>
      </w:r>
    </w:p>
    <w:p w14:paraId="30268F65" w14:textId="4B13247E" w:rsidR="00CD4428" w:rsidRPr="00004558" w:rsidRDefault="00CD4428" w:rsidP="002B12DF">
      <w:pPr>
        <w:pStyle w:val="NoSpacing"/>
        <w:spacing w:line="480" w:lineRule="auto"/>
        <w:rPr>
          <w:rFonts w:ascii="Times New Roman" w:hAnsi="Times New Roman"/>
          <w:sz w:val="24"/>
          <w:szCs w:val="24"/>
          <w:lang w:val="en-GB"/>
        </w:rPr>
      </w:pPr>
      <w:r w:rsidRPr="00004558">
        <w:rPr>
          <w:rFonts w:ascii="Times New Roman" w:hAnsi="Times New Roman"/>
          <w:sz w:val="24"/>
          <w:szCs w:val="24"/>
          <w:vertAlign w:val="superscript"/>
          <w:lang w:val="en-GB"/>
        </w:rPr>
        <w:t>7</w:t>
      </w:r>
      <w:r w:rsidRPr="00004558">
        <w:rPr>
          <w:rFonts w:ascii="Times New Roman" w:hAnsi="Times New Roman"/>
          <w:sz w:val="24"/>
          <w:szCs w:val="24"/>
          <w:lang w:val="en-GB"/>
        </w:rPr>
        <w:t>Medical Research Council Lifecourse Epidemiology Unit, University of Southampton, Southampton SO16 6YD, United Kingdom</w:t>
      </w:r>
    </w:p>
    <w:p w14:paraId="5257F393" w14:textId="180F4BED" w:rsidR="00CD4428" w:rsidRPr="00004558" w:rsidRDefault="00CD4428" w:rsidP="002B12DF">
      <w:pPr>
        <w:pStyle w:val="NoSpacing"/>
        <w:spacing w:line="480" w:lineRule="auto"/>
        <w:rPr>
          <w:rFonts w:ascii="Times New Roman" w:hAnsi="Times New Roman"/>
          <w:sz w:val="24"/>
          <w:szCs w:val="24"/>
          <w:lang w:val="en-GB"/>
        </w:rPr>
      </w:pPr>
      <w:r w:rsidRPr="00004558">
        <w:rPr>
          <w:rFonts w:ascii="Times New Roman" w:hAnsi="Times New Roman"/>
          <w:sz w:val="24"/>
          <w:szCs w:val="24"/>
          <w:vertAlign w:val="superscript"/>
          <w:lang w:val="en-GB"/>
        </w:rPr>
        <w:lastRenderedPageBreak/>
        <w:t>8</w:t>
      </w:r>
      <w:r w:rsidRPr="00004558">
        <w:rPr>
          <w:rFonts w:ascii="Times New Roman" w:hAnsi="Times New Roman"/>
          <w:sz w:val="24"/>
          <w:szCs w:val="24"/>
          <w:lang w:val="en-GB"/>
        </w:rPr>
        <w:t>National Institute for Health Research Southampton Biomedical Research Centre, University of Southampton and University Hospital Southampton National Health Service Foundation Trust, Southampton SO16 6YD, United Kingdom</w:t>
      </w:r>
    </w:p>
    <w:p w14:paraId="3D2254B2" w14:textId="07918409" w:rsidR="00CD4428" w:rsidRPr="00004558" w:rsidRDefault="00CD4428" w:rsidP="002B12DF">
      <w:pPr>
        <w:pStyle w:val="NoSpacing"/>
        <w:spacing w:line="480" w:lineRule="auto"/>
        <w:rPr>
          <w:rFonts w:ascii="Times New Roman" w:hAnsi="Times New Roman"/>
          <w:sz w:val="24"/>
          <w:szCs w:val="24"/>
          <w:lang w:val="en-GB"/>
        </w:rPr>
      </w:pPr>
      <w:r w:rsidRPr="00004558">
        <w:rPr>
          <w:rFonts w:ascii="Times New Roman" w:hAnsi="Times New Roman"/>
          <w:sz w:val="24"/>
          <w:szCs w:val="24"/>
          <w:vertAlign w:val="superscript"/>
          <w:lang w:val="en-GB"/>
        </w:rPr>
        <w:t>9</w:t>
      </w:r>
      <w:r w:rsidRPr="00004558">
        <w:rPr>
          <w:rFonts w:ascii="Times New Roman" w:hAnsi="Times New Roman"/>
          <w:sz w:val="24"/>
          <w:szCs w:val="24"/>
          <w:lang w:val="en-GB"/>
        </w:rPr>
        <w:t>Department of Maternal Fetal Medicine, KK Women’s and Children’s Hospital, Singapore, Singapore 229899</w:t>
      </w:r>
    </w:p>
    <w:p w14:paraId="3F35F9A3" w14:textId="76E3F61A" w:rsidR="00C361DC" w:rsidRPr="00004558" w:rsidRDefault="00956CBE" w:rsidP="002B12DF">
      <w:pPr>
        <w:pStyle w:val="NoSpacing"/>
        <w:spacing w:line="480" w:lineRule="auto"/>
        <w:rPr>
          <w:rFonts w:ascii="Times New Roman" w:hAnsi="Times New Roman"/>
          <w:sz w:val="24"/>
          <w:szCs w:val="24"/>
          <w:lang w:val="en-GB"/>
        </w:rPr>
      </w:pPr>
      <w:r w:rsidRPr="00004558">
        <w:rPr>
          <w:rFonts w:ascii="Times New Roman" w:hAnsi="Times New Roman"/>
          <w:sz w:val="24"/>
          <w:szCs w:val="24"/>
          <w:vertAlign w:val="superscript"/>
          <w:lang w:val="en-GB"/>
        </w:rPr>
        <w:t>10</w:t>
      </w:r>
      <w:r w:rsidR="0075529F" w:rsidRPr="00004558">
        <w:rPr>
          <w:rFonts w:ascii="Times New Roman" w:hAnsi="Times New Roman"/>
          <w:sz w:val="24"/>
          <w:szCs w:val="24"/>
          <w:lang w:val="en-GB"/>
        </w:rPr>
        <w:t xml:space="preserve">Department </w:t>
      </w:r>
      <w:r w:rsidR="00C361DC" w:rsidRPr="00004558">
        <w:rPr>
          <w:rFonts w:ascii="Times New Roman" w:hAnsi="Times New Roman"/>
          <w:sz w:val="24"/>
          <w:szCs w:val="24"/>
          <w:lang w:val="en-GB"/>
        </w:rPr>
        <w:t xml:space="preserve">of Paediatrics, Yong Loo Lin School of Medicine, National University of Singapore, </w:t>
      </w:r>
      <w:r w:rsidR="00FF46D3" w:rsidRPr="00004558">
        <w:rPr>
          <w:rFonts w:ascii="Times New Roman" w:hAnsi="Times New Roman"/>
          <w:sz w:val="24"/>
          <w:szCs w:val="24"/>
          <w:lang w:val="en-GB"/>
        </w:rPr>
        <w:t xml:space="preserve">Singapore </w:t>
      </w:r>
      <w:r w:rsidR="00C361DC" w:rsidRPr="00004558">
        <w:rPr>
          <w:rFonts w:ascii="Times New Roman" w:hAnsi="Times New Roman"/>
          <w:sz w:val="24"/>
          <w:szCs w:val="24"/>
          <w:lang w:val="en-GB"/>
        </w:rPr>
        <w:t>119228</w:t>
      </w:r>
      <w:r w:rsidR="00FF46D3" w:rsidRPr="00004558">
        <w:rPr>
          <w:rFonts w:ascii="Times New Roman" w:hAnsi="Times New Roman"/>
          <w:sz w:val="24"/>
          <w:szCs w:val="24"/>
          <w:lang w:val="en-GB"/>
        </w:rPr>
        <w:t>, Singapore</w:t>
      </w:r>
    </w:p>
    <w:p w14:paraId="14B6A521" w14:textId="157B87C5" w:rsidR="00C361DC" w:rsidRPr="00004558" w:rsidRDefault="00956CBE" w:rsidP="002B12DF">
      <w:pPr>
        <w:pStyle w:val="NoSpacing"/>
        <w:spacing w:line="480" w:lineRule="auto"/>
        <w:rPr>
          <w:rStyle w:val="xbe"/>
          <w:rFonts w:ascii="Times New Roman" w:hAnsi="Times New Roman"/>
          <w:sz w:val="24"/>
          <w:szCs w:val="24"/>
          <w:lang w:val="en-GB"/>
        </w:rPr>
      </w:pPr>
      <w:r w:rsidRPr="00004558">
        <w:rPr>
          <w:rFonts w:ascii="Times New Roman" w:hAnsi="Times New Roman"/>
          <w:sz w:val="24"/>
          <w:szCs w:val="24"/>
          <w:vertAlign w:val="superscript"/>
          <w:lang w:val="en-GB"/>
        </w:rPr>
        <w:t>11</w:t>
      </w:r>
      <w:r w:rsidR="0075529F" w:rsidRPr="00004558">
        <w:rPr>
          <w:rFonts w:ascii="Times New Roman" w:hAnsi="Times New Roman"/>
          <w:sz w:val="24"/>
          <w:szCs w:val="24"/>
          <w:lang w:val="en-GB"/>
        </w:rPr>
        <w:t xml:space="preserve">Khoo </w:t>
      </w:r>
      <w:r w:rsidR="00C361DC" w:rsidRPr="00004558">
        <w:rPr>
          <w:rFonts w:ascii="Times New Roman" w:hAnsi="Times New Roman"/>
          <w:sz w:val="24"/>
          <w:szCs w:val="24"/>
          <w:lang w:val="en-GB"/>
        </w:rPr>
        <w:t>Teck Puat-National University Children’s Medical Institute, National University Hospital, National University Health System,</w:t>
      </w:r>
      <w:r w:rsidR="00FF46D3" w:rsidRPr="00004558">
        <w:rPr>
          <w:rFonts w:ascii="Times New Roman" w:hAnsi="Times New Roman"/>
          <w:sz w:val="24"/>
          <w:szCs w:val="24"/>
          <w:lang w:val="en-GB"/>
        </w:rPr>
        <w:t xml:space="preserve"> Singapore</w:t>
      </w:r>
      <w:r w:rsidR="00C361DC" w:rsidRPr="00004558">
        <w:rPr>
          <w:rFonts w:ascii="Times New Roman" w:hAnsi="Times New Roman"/>
          <w:sz w:val="24"/>
          <w:szCs w:val="24"/>
          <w:lang w:val="en-GB"/>
        </w:rPr>
        <w:t xml:space="preserve"> </w:t>
      </w:r>
      <w:r w:rsidR="00C361DC" w:rsidRPr="00004558">
        <w:rPr>
          <w:rStyle w:val="xbe"/>
          <w:rFonts w:ascii="Times New Roman" w:hAnsi="Times New Roman"/>
          <w:sz w:val="24"/>
          <w:szCs w:val="24"/>
          <w:lang w:val="en-GB"/>
        </w:rPr>
        <w:t>119074</w:t>
      </w:r>
      <w:r w:rsidR="00FF46D3" w:rsidRPr="00004558">
        <w:rPr>
          <w:rStyle w:val="xbe"/>
          <w:rFonts w:ascii="Times New Roman" w:hAnsi="Times New Roman"/>
          <w:sz w:val="24"/>
          <w:szCs w:val="24"/>
          <w:lang w:val="en-GB"/>
        </w:rPr>
        <w:t>, Singapore</w:t>
      </w:r>
    </w:p>
    <w:p w14:paraId="4C335BB9" w14:textId="4AA78225" w:rsidR="00CD4428" w:rsidRPr="00004558" w:rsidRDefault="00CD4428" w:rsidP="002B12DF">
      <w:pPr>
        <w:pStyle w:val="NoSpacing"/>
        <w:spacing w:line="480" w:lineRule="auto"/>
        <w:rPr>
          <w:rFonts w:ascii="Times New Roman" w:hAnsi="Times New Roman"/>
          <w:sz w:val="24"/>
          <w:szCs w:val="24"/>
          <w:lang w:val="en-GB"/>
        </w:rPr>
      </w:pPr>
      <w:r w:rsidRPr="00004558">
        <w:rPr>
          <w:rFonts w:ascii="Times New Roman" w:hAnsi="Times New Roman"/>
          <w:sz w:val="24"/>
          <w:szCs w:val="24"/>
          <w:vertAlign w:val="superscript"/>
          <w:lang w:val="en-GB"/>
        </w:rPr>
        <w:t>12</w:t>
      </w:r>
      <w:r w:rsidRPr="00004558">
        <w:rPr>
          <w:rFonts w:ascii="Times New Roman" w:hAnsi="Times New Roman"/>
          <w:sz w:val="24"/>
          <w:szCs w:val="24"/>
          <w:lang w:val="en-GB"/>
        </w:rPr>
        <w:t>Yong Loo Lin School of Medicine, National University of Singapore, National University Health System, Singapore, Singapore 119228</w:t>
      </w:r>
    </w:p>
    <w:p w14:paraId="3AEA2C7E" w14:textId="40BF14C8" w:rsidR="00CD4428" w:rsidRPr="00004558" w:rsidRDefault="00CD4428" w:rsidP="002B12DF">
      <w:pPr>
        <w:pStyle w:val="NoSpacing"/>
        <w:spacing w:line="480" w:lineRule="auto"/>
        <w:rPr>
          <w:rFonts w:ascii="Times New Roman" w:hAnsi="Times New Roman"/>
          <w:sz w:val="24"/>
          <w:szCs w:val="24"/>
          <w:lang w:val="en-GB"/>
        </w:rPr>
      </w:pPr>
      <w:r w:rsidRPr="00004558">
        <w:rPr>
          <w:rFonts w:ascii="Times New Roman" w:hAnsi="Times New Roman"/>
          <w:sz w:val="24"/>
          <w:szCs w:val="24"/>
          <w:vertAlign w:val="superscript"/>
          <w:lang w:val="en-GB"/>
        </w:rPr>
        <w:t>13</w:t>
      </w:r>
      <w:r w:rsidRPr="00004558">
        <w:rPr>
          <w:rFonts w:ascii="Times New Roman" w:hAnsi="Times New Roman"/>
          <w:sz w:val="24"/>
          <w:szCs w:val="24"/>
          <w:lang w:val="en-GB"/>
        </w:rPr>
        <w:t>Cardiovascular &amp; Metabolic Disorder Programme, Duke-NUS Medical School, Singapore 169857, Singapore</w:t>
      </w:r>
      <w:hyperlink r:id="rId8" w:history="1"/>
    </w:p>
    <w:p w14:paraId="44B9A601" w14:textId="77777777" w:rsidR="00CD4428" w:rsidRPr="00004558" w:rsidRDefault="00CD4428" w:rsidP="002B12DF">
      <w:pPr>
        <w:pStyle w:val="NoSpacing"/>
        <w:spacing w:line="480" w:lineRule="auto"/>
        <w:rPr>
          <w:rFonts w:ascii="Times New Roman" w:hAnsi="Times New Roman"/>
          <w:sz w:val="24"/>
          <w:szCs w:val="24"/>
          <w:lang w:val="en-GB"/>
        </w:rPr>
      </w:pPr>
      <w:r w:rsidRPr="00004558">
        <w:rPr>
          <w:rFonts w:ascii="Times New Roman" w:hAnsi="Times New Roman"/>
          <w:sz w:val="24"/>
          <w:szCs w:val="24"/>
          <w:vertAlign w:val="superscript"/>
          <w:lang w:val="en-GB"/>
        </w:rPr>
        <w:t>14</w:t>
      </w:r>
      <w:r w:rsidRPr="00004558">
        <w:rPr>
          <w:rFonts w:ascii="Times New Roman" w:hAnsi="Times New Roman"/>
          <w:sz w:val="24"/>
          <w:szCs w:val="24"/>
          <w:lang w:val="en-GB"/>
        </w:rPr>
        <w:t>Department of Endocrinology, Tan Tock Seng Hospital, Singapore 308433, Singapore</w:t>
      </w:r>
    </w:p>
    <w:p w14:paraId="5CC7044F" w14:textId="2BD67F98" w:rsidR="00463774" w:rsidRPr="00004558" w:rsidRDefault="00463774" w:rsidP="002B12DF">
      <w:pPr>
        <w:pStyle w:val="NoSpacing"/>
        <w:spacing w:line="480" w:lineRule="auto"/>
        <w:rPr>
          <w:rFonts w:ascii="Times New Roman" w:hAnsi="Times New Roman"/>
          <w:sz w:val="24"/>
          <w:szCs w:val="24"/>
          <w:lang w:val="en-GB"/>
        </w:rPr>
      </w:pPr>
      <w:r w:rsidRPr="00004558">
        <w:rPr>
          <w:rFonts w:ascii="Times New Roman" w:hAnsi="Times New Roman"/>
          <w:sz w:val="24"/>
          <w:szCs w:val="24"/>
          <w:vertAlign w:val="superscript"/>
          <w:lang w:val="en-GB"/>
        </w:rPr>
        <w:t>15</w:t>
      </w:r>
      <w:r w:rsidRPr="00004558">
        <w:rPr>
          <w:rFonts w:ascii="Times New Roman" w:hAnsi="Times New Roman"/>
          <w:sz w:val="24"/>
          <w:szCs w:val="24"/>
          <w:lang w:val="en-GB"/>
        </w:rPr>
        <w:t>Lee Kong Chian School of Medicine, Nanyang Technological University, Singapore 636921, Singapore</w:t>
      </w:r>
    </w:p>
    <w:p w14:paraId="476D004D" w14:textId="52CF321A" w:rsidR="00CD4428" w:rsidRPr="00004558" w:rsidRDefault="00463774" w:rsidP="002B12DF">
      <w:pPr>
        <w:pStyle w:val="NoSpacing"/>
        <w:spacing w:line="480" w:lineRule="auto"/>
        <w:rPr>
          <w:rFonts w:ascii="Times New Roman" w:hAnsi="Times New Roman"/>
          <w:sz w:val="24"/>
          <w:szCs w:val="24"/>
          <w:lang w:val="en-GB"/>
        </w:rPr>
      </w:pPr>
      <w:r w:rsidRPr="00004558">
        <w:rPr>
          <w:rFonts w:ascii="Times New Roman" w:hAnsi="Times New Roman"/>
          <w:sz w:val="24"/>
          <w:szCs w:val="24"/>
          <w:vertAlign w:val="superscript"/>
          <w:lang w:val="en-GB"/>
        </w:rPr>
        <w:t>16</w:t>
      </w:r>
      <w:r w:rsidR="00CD4428" w:rsidRPr="00004558">
        <w:rPr>
          <w:rFonts w:ascii="Times New Roman" w:hAnsi="Times New Roman"/>
          <w:sz w:val="24"/>
          <w:szCs w:val="24"/>
          <w:lang w:val="en-GB"/>
        </w:rPr>
        <w:t>Department of Medicine, National University Hospital, Singapore 119074, Singapore</w:t>
      </w:r>
    </w:p>
    <w:p w14:paraId="3BB156DA" w14:textId="59B8B53B" w:rsidR="00CD4428" w:rsidRPr="00004558" w:rsidRDefault="00463774" w:rsidP="002B12DF">
      <w:pPr>
        <w:pStyle w:val="NoSpacing"/>
        <w:spacing w:line="480" w:lineRule="auto"/>
        <w:rPr>
          <w:rFonts w:ascii="Times New Roman" w:hAnsi="Times New Roman"/>
          <w:sz w:val="24"/>
          <w:szCs w:val="24"/>
          <w:lang w:val="en-GB"/>
        </w:rPr>
      </w:pPr>
      <w:r w:rsidRPr="00004558">
        <w:rPr>
          <w:rFonts w:ascii="Times New Roman" w:hAnsi="Times New Roman"/>
          <w:sz w:val="24"/>
          <w:szCs w:val="24"/>
          <w:vertAlign w:val="superscript"/>
          <w:lang w:val="en-GB"/>
        </w:rPr>
        <w:t>17</w:t>
      </w:r>
      <w:r w:rsidR="00CD4428" w:rsidRPr="00004558">
        <w:rPr>
          <w:rFonts w:ascii="Times New Roman" w:hAnsi="Times New Roman"/>
          <w:sz w:val="24"/>
          <w:szCs w:val="24"/>
          <w:lang w:val="en-GB"/>
        </w:rPr>
        <w:t>Department of Medicine, Yong Loo Lin School of Medicine, National University of Singapore, Singapore 117597, Singapore</w:t>
      </w:r>
    </w:p>
    <w:p w14:paraId="3DE99E55" w14:textId="4AF7BF88" w:rsidR="00C361DC" w:rsidRPr="00004558" w:rsidRDefault="00463774" w:rsidP="002B12DF">
      <w:pPr>
        <w:pStyle w:val="NoSpacing"/>
        <w:spacing w:line="480" w:lineRule="auto"/>
        <w:rPr>
          <w:rFonts w:ascii="Times New Roman" w:hAnsi="Times New Roman"/>
          <w:sz w:val="24"/>
          <w:szCs w:val="24"/>
          <w:lang w:val="en-GB"/>
        </w:rPr>
      </w:pPr>
      <w:r w:rsidRPr="00004558">
        <w:rPr>
          <w:rFonts w:ascii="Times New Roman" w:hAnsi="Times New Roman"/>
          <w:sz w:val="24"/>
          <w:szCs w:val="24"/>
          <w:vertAlign w:val="superscript"/>
          <w:lang w:val="en-GB"/>
        </w:rPr>
        <w:t>18</w:t>
      </w:r>
      <w:r w:rsidR="0075529F" w:rsidRPr="00004558">
        <w:rPr>
          <w:rFonts w:ascii="Times New Roman" w:hAnsi="Times New Roman"/>
          <w:sz w:val="24"/>
          <w:szCs w:val="24"/>
          <w:lang w:val="en-GB"/>
        </w:rPr>
        <w:t xml:space="preserve">Department </w:t>
      </w:r>
      <w:r w:rsidR="00C361DC" w:rsidRPr="00004558">
        <w:rPr>
          <w:rFonts w:ascii="Times New Roman" w:hAnsi="Times New Roman"/>
          <w:sz w:val="24"/>
          <w:szCs w:val="24"/>
          <w:lang w:val="en-GB"/>
        </w:rPr>
        <w:t>of Obstetrics &amp; Gynaecology, Yong Loo Lin School of Medicine, National University of Singapore, Singapore 119228</w:t>
      </w:r>
      <w:r w:rsidR="00FF46D3" w:rsidRPr="00004558">
        <w:rPr>
          <w:rFonts w:ascii="Times New Roman" w:hAnsi="Times New Roman"/>
          <w:sz w:val="24"/>
          <w:szCs w:val="24"/>
          <w:lang w:val="en-GB"/>
        </w:rPr>
        <w:t>, Singapore</w:t>
      </w:r>
    </w:p>
    <w:bookmarkEnd w:id="3"/>
    <w:p w14:paraId="38FEF63E" w14:textId="2BB98221" w:rsidR="000D007F" w:rsidRPr="00004558" w:rsidRDefault="000D007F" w:rsidP="002B12DF">
      <w:pPr>
        <w:pStyle w:val="NoSpacing"/>
        <w:spacing w:line="480" w:lineRule="auto"/>
        <w:rPr>
          <w:rFonts w:ascii="Times New Roman" w:hAnsi="Times New Roman"/>
          <w:bCs/>
          <w:sz w:val="24"/>
          <w:szCs w:val="24"/>
          <w:lang w:val="en-GB"/>
        </w:rPr>
      </w:pPr>
      <w:r w:rsidRPr="00004558">
        <w:rPr>
          <w:rFonts w:ascii="Times New Roman" w:hAnsi="Times New Roman"/>
          <w:bCs/>
          <w:sz w:val="24"/>
          <w:szCs w:val="24"/>
          <w:vertAlign w:val="superscript"/>
          <w:lang w:val="en-GB"/>
        </w:rPr>
        <w:t>†</w:t>
      </w:r>
      <w:r w:rsidRPr="00004558">
        <w:rPr>
          <w:rFonts w:ascii="Times New Roman" w:hAnsi="Times New Roman"/>
          <w:bCs/>
          <w:sz w:val="24"/>
          <w:szCs w:val="24"/>
          <w:lang w:val="en-GB"/>
        </w:rPr>
        <w:t>these authors contributed equally to this work</w:t>
      </w:r>
    </w:p>
    <w:p w14:paraId="7652195C" w14:textId="3C0E8CEC" w:rsidR="000D007F" w:rsidRPr="00004558" w:rsidRDefault="000D007F" w:rsidP="002B12DF">
      <w:pPr>
        <w:pStyle w:val="NoSpacing"/>
        <w:spacing w:line="480" w:lineRule="auto"/>
        <w:rPr>
          <w:rFonts w:ascii="Times New Roman" w:hAnsi="Times New Roman"/>
          <w:bCs/>
          <w:sz w:val="24"/>
          <w:szCs w:val="24"/>
          <w:lang w:val="en-GB"/>
        </w:rPr>
      </w:pPr>
      <w:r w:rsidRPr="00004558">
        <w:rPr>
          <w:rFonts w:ascii="Times New Roman" w:hAnsi="Times New Roman"/>
          <w:bCs/>
          <w:sz w:val="24"/>
          <w:szCs w:val="24"/>
          <w:vertAlign w:val="superscript"/>
          <w:lang w:val="en-GB"/>
        </w:rPr>
        <w:t>*</w:t>
      </w:r>
      <w:hyperlink r:id="rId9" w:history="1">
        <w:r w:rsidR="0058070F" w:rsidRPr="00004558">
          <w:rPr>
            <w:rStyle w:val="Hyperlink"/>
            <w:rFonts w:ascii="Times New Roman" w:hAnsi="Times New Roman"/>
            <w:color w:val="auto"/>
            <w:sz w:val="24"/>
            <w:szCs w:val="24"/>
            <w:u w:val="none"/>
            <w:lang w:val="en-GB"/>
          </w:rPr>
          <w:t>loy.see.ling@kkh.com.sg</w:t>
        </w:r>
      </w:hyperlink>
      <w:r w:rsidR="0058070F" w:rsidRPr="00004558">
        <w:rPr>
          <w:rFonts w:ascii="Times New Roman" w:hAnsi="Times New Roman"/>
          <w:sz w:val="24"/>
          <w:szCs w:val="24"/>
          <w:lang w:val="en-GB"/>
        </w:rPr>
        <w:t xml:space="preserve">; </w:t>
      </w:r>
      <w:r w:rsidR="0058070F" w:rsidRPr="00004558">
        <w:rPr>
          <w:rStyle w:val="allowtextselection"/>
          <w:rFonts w:ascii="Times New Roman" w:hAnsi="Times New Roman"/>
          <w:sz w:val="24"/>
          <w:szCs w:val="24"/>
          <w:lang w:val="en-GB"/>
        </w:rPr>
        <w:t>fabian.yap.k.p@singhealth.com.sg</w:t>
      </w:r>
    </w:p>
    <w:p w14:paraId="4523C5AA" w14:textId="77777777" w:rsidR="001E17BC" w:rsidRPr="00004558" w:rsidRDefault="001E17BC" w:rsidP="002B12DF">
      <w:pPr>
        <w:pStyle w:val="NoSpacing"/>
        <w:spacing w:line="480" w:lineRule="auto"/>
        <w:rPr>
          <w:rFonts w:ascii="Times New Roman" w:hAnsi="Times New Roman"/>
          <w:sz w:val="24"/>
          <w:szCs w:val="24"/>
          <w:lang w:val="en-GB"/>
        </w:rPr>
      </w:pPr>
    </w:p>
    <w:p w14:paraId="5F9C6761" w14:textId="15D0DEEB" w:rsidR="0022638A" w:rsidRPr="00004558" w:rsidRDefault="008E5FA8" w:rsidP="002B12DF">
      <w:pPr>
        <w:pStyle w:val="NoSpacing"/>
        <w:spacing w:line="480" w:lineRule="auto"/>
        <w:rPr>
          <w:rFonts w:ascii="Times New Roman" w:hAnsi="Times New Roman"/>
          <w:b/>
          <w:bCs/>
          <w:sz w:val="24"/>
          <w:szCs w:val="24"/>
          <w:lang w:val="en-GB"/>
        </w:rPr>
      </w:pPr>
      <w:r w:rsidRPr="00004558">
        <w:rPr>
          <w:rFonts w:ascii="Times New Roman" w:hAnsi="Times New Roman"/>
          <w:b/>
          <w:bCs/>
          <w:sz w:val="24"/>
          <w:szCs w:val="24"/>
          <w:lang w:val="en-GB"/>
        </w:rPr>
        <w:t>ABSTRACT</w:t>
      </w:r>
    </w:p>
    <w:p w14:paraId="5AD58A9E" w14:textId="71618BC3" w:rsidR="000B224B" w:rsidRPr="00004558" w:rsidRDefault="00FE3516" w:rsidP="002B12DF">
      <w:pPr>
        <w:pStyle w:val="NoSpacing"/>
        <w:spacing w:line="480" w:lineRule="auto"/>
        <w:rPr>
          <w:rFonts w:ascii="Times New Roman" w:hAnsi="Times New Roman"/>
          <w:sz w:val="24"/>
          <w:szCs w:val="24"/>
          <w:lang w:val="en-GB"/>
        </w:rPr>
      </w:pPr>
      <w:r w:rsidRPr="00004558">
        <w:rPr>
          <w:rFonts w:ascii="Times New Roman" w:hAnsi="Times New Roman"/>
          <w:sz w:val="24"/>
          <w:szCs w:val="24"/>
          <w:lang w:val="en-GB"/>
        </w:rPr>
        <w:t>Abnormalities of red blood cell (RBC) indices may affect glycated h</w:t>
      </w:r>
      <w:r w:rsidR="003D49F4" w:rsidRPr="00004558">
        <w:rPr>
          <w:rFonts w:ascii="Times New Roman" w:hAnsi="Times New Roman"/>
          <w:sz w:val="24"/>
          <w:szCs w:val="24"/>
          <w:lang w:val="en-GB"/>
        </w:rPr>
        <w:t>a</w:t>
      </w:r>
      <w:r w:rsidRPr="00004558">
        <w:rPr>
          <w:rFonts w:ascii="Times New Roman" w:hAnsi="Times New Roman"/>
          <w:sz w:val="24"/>
          <w:szCs w:val="24"/>
          <w:lang w:val="en-GB"/>
        </w:rPr>
        <w:t>emoglobin (HbA1c) levels. We assessed the influence of h</w:t>
      </w:r>
      <w:r w:rsidR="003D49F4" w:rsidRPr="00004558">
        <w:rPr>
          <w:rFonts w:ascii="Times New Roman" w:hAnsi="Times New Roman"/>
          <w:sz w:val="24"/>
          <w:szCs w:val="24"/>
          <w:lang w:val="en-GB"/>
        </w:rPr>
        <w:t>a</w:t>
      </w:r>
      <w:r w:rsidRPr="00004558">
        <w:rPr>
          <w:rFonts w:ascii="Times New Roman" w:hAnsi="Times New Roman"/>
          <w:sz w:val="24"/>
          <w:szCs w:val="24"/>
          <w:lang w:val="en-GB"/>
        </w:rPr>
        <w:t>emoglobin (Hb) and mean corpuscular volume (MCV) on the performance of HbA1c in detecting dysglyc</w:t>
      </w:r>
      <w:r w:rsidR="00EF17EB" w:rsidRPr="00004558">
        <w:rPr>
          <w:rFonts w:ascii="Times New Roman" w:hAnsi="Times New Roman"/>
          <w:sz w:val="24"/>
          <w:szCs w:val="24"/>
          <w:lang w:val="en-GB"/>
        </w:rPr>
        <w:t>a</w:t>
      </w:r>
      <w:r w:rsidRPr="00004558">
        <w:rPr>
          <w:rFonts w:ascii="Times New Roman" w:hAnsi="Times New Roman"/>
          <w:sz w:val="24"/>
          <w:szCs w:val="24"/>
          <w:lang w:val="en-GB"/>
        </w:rPr>
        <w:t>emia among reproductive aged women</w:t>
      </w:r>
      <w:r w:rsidR="00AB780C" w:rsidRPr="00004558">
        <w:rPr>
          <w:rFonts w:ascii="Times New Roman" w:hAnsi="Times New Roman"/>
          <w:sz w:val="24"/>
          <w:szCs w:val="24"/>
          <w:lang w:val="en-GB"/>
        </w:rPr>
        <w:t xml:space="preserve"> planning to conceive</w:t>
      </w:r>
      <w:r w:rsidRPr="00004558">
        <w:rPr>
          <w:rFonts w:ascii="Times New Roman" w:hAnsi="Times New Roman"/>
          <w:sz w:val="24"/>
          <w:szCs w:val="24"/>
          <w:lang w:val="en-GB"/>
        </w:rPr>
        <w:t xml:space="preserve">. Women aged 18-45 years (n=985) were classified as normal (12≤Hb≤16g/dL and 80≤MCV≤100fL) and abnormal (Hb&lt;12g/dL and/ or MCV&lt;80fL). </w:t>
      </w:r>
      <w:r w:rsidR="00DF5E8B" w:rsidRPr="00004558">
        <w:rPr>
          <w:rFonts w:ascii="Times New Roman" w:hAnsi="Times New Roman"/>
          <w:sz w:val="24"/>
          <w:szCs w:val="24"/>
          <w:lang w:val="en-GB"/>
        </w:rPr>
        <w:t>The Area Under the Receiver Operating C</w:t>
      </w:r>
      <w:r w:rsidRPr="00004558">
        <w:rPr>
          <w:rFonts w:ascii="Times New Roman" w:hAnsi="Times New Roman"/>
          <w:sz w:val="24"/>
          <w:szCs w:val="24"/>
          <w:lang w:val="en-GB"/>
        </w:rPr>
        <w:t>haracteristic (</w:t>
      </w:r>
      <w:r w:rsidR="00DF5E8B" w:rsidRPr="00004558">
        <w:rPr>
          <w:rFonts w:ascii="Times New Roman" w:hAnsi="Times New Roman"/>
          <w:sz w:val="24"/>
          <w:szCs w:val="24"/>
          <w:lang w:val="en-GB"/>
        </w:rPr>
        <w:t>AU</w:t>
      </w:r>
      <w:r w:rsidRPr="00004558">
        <w:rPr>
          <w:rFonts w:ascii="Times New Roman" w:hAnsi="Times New Roman"/>
          <w:sz w:val="24"/>
          <w:szCs w:val="24"/>
          <w:lang w:val="en-GB"/>
        </w:rPr>
        <w:t xml:space="preserve">ROC) curve </w:t>
      </w:r>
      <w:r w:rsidR="00DF5E8B" w:rsidRPr="00004558">
        <w:rPr>
          <w:rFonts w:ascii="Times New Roman" w:hAnsi="Times New Roman"/>
          <w:sz w:val="24"/>
          <w:szCs w:val="24"/>
          <w:lang w:val="en-GB"/>
        </w:rPr>
        <w:t xml:space="preserve">was used to determine </w:t>
      </w:r>
      <w:r w:rsidRPr="00004558">
        <w:rPr>
          <w:rFonts w:ascii="Times New Roman" w:hAnsi="Times New Roman"/>
          <w:sz w:val="24"/>
          <w:szCs w:val="24"/>
          <w:lang w:val="en-GB"/>
        </w:rPr>
        <w:t xml:space="preserve">the performance of HbA1c </w:t>
      </w:r>
      <w:r w:rsidR="00DF5E8B" w:rsidRPr="00004558">
        <w:rPr>
          <w:rFonts w:ascii="Times New Roman" w:hAnsi="Times New Roman"/>
          <w:sz w:val="24"/>
          <w:szCs w:val="24"/>
          <w:lang w:val="en-GB"/>
        </w:rPr>
        <w:t>in detecting</w:t>
      </w:r>
      <w:r w:rsidRPr="00004558">
        <w:rPr>
          <w:rFonts w:ascii="Times New Roman" w:hAnsi="Times New Roman"/>
          <w:sz w:val="24"/>
          <w:szCs w:val="24"/>
          <w:lang w:val="en-GB"/>
        </w:rPr>
        <w:t xml:space="preserve"> dysglyc</w:t>
      </w:r>
      <w:r w:rsidR="009528CD" w:rsidRPr="00004558">
        <w:rPr>
          <w:rFonts w:ascii="Times New Roman" w:hAnsi="Times New Roman"/>
          <w:sz w:val="24"/>
          <w:szCs w:val="24"/>
          <w:lang w:val="en-GB"/>
        </w:rPr>
        <w:t>a</w:t>
      </w:r>
      <w:r w:rsidRPr="00004558">
        <w:rPr>
          <w:rFonts w:ascii="Times New Roman" w:hAnsi="Times New Roman"/>
          <w:sz w:val="24"/>
          <w:szCs w:val="24"/>
          <w:lang w:val="en-GB"/>
        </w:rPr>
        <w:t>emic status (prediabetes and diabetes). There were 771 (78.3%) women with normal RBC indices. The AU</w:t>
      </w:r>
      <w:r w:rsidR="00DF5E8B" w:rsidRPr="00004558">
        <w:rPr>
          <w:rFonts w:ascii="Times New Roman" w:hAnsi="Times New Roman"/>
          <w:sz w:val="24"/>
          <w:szCs w:val="24"/>
          <w:lang w:val="en-GB"/>
        </w:rPr>
        <w:t>RO</w:t>
      </w:r>
      <w:r w:rsidRPr="00004558">
        <w:rPr>
          <w:rFonts w:ascii="Times New Roman" w:hAnsi="Times New Roman"/>
          <w:sz w:val="24"/>
          <w:szCs w:val="24"/>
          <w:lang w:val="en-GB"/>
        </w:rPr>
        <w:t xml:space="preserve">Cs for the normal and abnormal groups were 0.75 (95% confidence interval 0.69, 0.81) and 0.80 (0.70, 0.90), respectively, and were not statistically different from one another [difference 0.04 (-0.16, 0.08)]. </w:t>
      </w:r>
      <w:r w:rsidR="00850223" w:rsidRPr="00004558">
        <w:rPr>
          <w:rFonts w:ascii="Times New Roman" w:hAnsi="Times New Roman"/>
          <w:sz w:val="24"/>
          <w:szCs w:val="24"/>
          <w:lang w:val="en-GB"/>
        </w:rPr>
        <w:t>Further stratification by ethnicity showed no difference between the two groups among Chinese and Indian women. However, Malay women with normal RBC indices displayed lower AUROC compared to those with abnormal RBC indices (0.71 (0.55</w:t>
      </w:r>
      <w:r w:rsidR="0007195D" w:rsidRPr="00004558">
        <w:rPr>
          <w:rFonts w:ascii="Times New Roman" w:hAnsi="Times New Roman"/>
          <w:sz w:val="24"/>
          <w:szCs w:val="24"/>
          <w:lang w:val="en-GB"/>
        </w:rPr>
        <w:t xml:space="preserve">, </w:t>
      </w:r>
      <w:r w:rsidR="00850223" w:rsidRPr="00004558">
        <w:rPr>
          <w:rFonts w:ascii="Times New Roman" w:hAnsi="Times New Roman"/>
          <w:sz w:val="24"/>
          <w:szCs w:val="24"/>
          <w:lang w:val="en-GB"/>
        </w:rPr>
        <w:t>0.87) vs</w:t>
      </w:r>
      <w:r w:rsidR="0007195D" w:rsidRPr="00004558">
        <w:rPr>
          <w:rFonts w:ascii="Times New Roman" w:hAnsi="Times New Roman"/>
          <w:sz w:val="24"/>
          <w:szCs w:val="24"/>
          <w:lang w:val="en-GB"/>
        </w:rPr>
        <w:t>.</w:t>
      </w:r>
      <w:r w:rsidR="00850223" w:rsidRPr="00004558">
        <w:rPr>
          <w:rFonts w:ascii="Times New Roman" w:hAnsi="Times New Roman"/>
          <w:sz w:val="24"/>
          <w:szCs w:val="24"/>
          <w:lang w:val="en-GB"/>
        </w:rPr>
        <w:t xml:space="preserve"> 0.98 (0.93</w:t>
      </w:r>
      <w:r w:rsidR="0007195D" w:rsidRPr="00004558">
        <w:rPr>
          <w:rFonts w:ascii="Times New Roman" w:hAnsi="Times New Roman"/>
          <w:sz w:val="24"/>
          <w:szCs w:val="24"/>
          <w:lang w:val="en-GB"/>
        </w:rPr>
        <w:t xml:space="preserve">, </w:t>
      </w:r>
      <w:r w:rsidRPr="00004558">
        <w:rPr>
          <w:rFonts w:ascii="Times New Roman" w:hAnsi="Times New Roman"/>
          <w:sz w:val="24"/>
          <w:szCs w:val="24"/>
          <w:lang w:val="en-GB"/>
        </w:rPr>
        <w:t>1.00), p=0.002). The results suggest that the performance of HbA1c in detecting dysglycaemia was not influenced by abnormal RBC indices based on low Hb and/ or low MCV.</w:t>
      </w:r>
      <w:r w:rsidR="00EE2FF7" w:rsidRPr="00004558">
        <w:rPr>
          <w:rFonts w:ascii="Times New Roman" w:hAnsi="Times New Roman"/>
          <w:sz w:val="24"/>
          <w:szCs w:val="24"/>
          <w:lang w:val="en-GB"/>
        </w:rPr>
        <w:t xml:space="preserve"> </w:t>
      </w:r>
      <w:r w:rsidR="00A77303" w:rsidRPr="00004558">
        <w:rPr>
          <w:rFonts w:ascii="Times New Roman" w:hAnsi="Times New Roman"/>
          <w:sz w:val="24"/>
          <w:szCs w:val="24"/>
          <w:lang w:val="en-GB"/>
        </w:rPr>
        <w:t xml:space="preserve">However, there may be ethnic variations among them. </w:t>
      </w:r>
    </w:p>
    <w:p w14:paraId="3CBA43FA" w14:textId="77777777" w:rsidR="004F5AEC" w:rsidRPr="00004558" w:rsidRDefault="004F5AEC" w:rsidP="002B12DF">
      <w:pPr>
        <w:pStyle w:val="NoSpacing"/>
        <w:spacing w:line="480" w:lineRule="auto"/>
        <w:rPr>
          <w:rFonts w:ascii="Times New Roman" w:hAnsi="Times New Roman"/>
          <w:bCs/>
          <w:sz w:val="24"/>
          <w:szCs w:val="24"/>
          <w:lang w:val="en-GB"/>
        </w:rPr>
      </w:pPr>
    </w:p>
    <w:p w14:paraId="1EB93426" w14:textId="226FF943" w:rsidR="00984096" w:rsidRPr="00004558" w:rsidRDefault="00832439" w:rsidP="002B12DF">
      <w:pPr>
        <w:pStyle w:val="NoSpacing"/>
        <w:spacing w:line="480" w:lineRule="auto"/>
        <w:rPr>
          <w:rFonts w:ascii="Times New Roman" w:hAnsi="Times New Roman"/>
          <w:b/>
          <w:bCs/>
          <w:sz w:val="24"/>
          <w:szCs w:val="24"/>
          <w:lang w:val="en-GB"/>
        </w:rPr>
      </w:pPr>
      <w:r w:rsidRPr="00004558">
        <w:rPr>
          <w:rFonts w:ascii="Times New Roman" w:hAnsi="Times New Roman"/>
          <w:b/>
          <w:bCs/>
          <w:sz w:val="24"/>
          <w:szCs w:val="24"/>
          <w:lang w:val="en-GB"/>
        </w:rPr>
        <w:t>Introduction</w:t>
      </w:r>
    </w:p>
    <w:p w14:paraId="168973B9" w14:textId="053492A5" w:rsidR="006F01D4" w:rsidRPr="00004558" w:rsidRDefault="0084648B" w:rsidP="002B12DF">
      <w:pPr>
        <w:pStyle w:val="NoSpacing"/>
        <w:spacing w:line="480" w:lineRule="auto"/>
        <w:rPr>
          <w:rFonts w:ascii="Times New Roman" w:hAnsi="Times New Roman"/>
          <w:bCs/>
          <w:sz w:val="24"/>
          <w:szCs w:val="24"/>
          <w:lang w:val="en-GB"/>
        </w:rPr>
      </w:pPr>
      <w:r w:rsidRPr="00004558">
        <w:rPr>
          <w:rFonts w:ascii="Times New Roman" w:hAnsi="Times New Roman"/>
          <w:sz w:val="24"/>
          <w:szCs w:val="24"/>
          <w:lang w:val="en-GB"/>
        </w:rPr>
        <w:t>The</w:t>
      </w:r>
      <w:r w:rsidR="002C7D3D" w:rsidRPr="00004558">
        <w:rPr>
          <w:rFonts w:ascii="Times New Roman" w:hAnsi="Times New Roman"/>
          <w:sz w:val="24"/>
          <w:szCs w:val="24"/>
          <w:lang w:val="en-GB"/>
        </w:rPr>
        <w:t xml:space="preserve"> </w:t>
      </w:r>
      <w:r w:rsidR="00A4604A" w:rsidRPr="00004558">
        <w:rPr>
          <w:rFonts w:ascii="Times New Roman" w:hAnsi="Times New Roman"/>
          <w:sz w:val="24"/>
          <w:szCs w:val="24"/>
          <w:lang w:val="en-GB"/>
        </w:rPr>
        <w:t>75-gram oral glucose tolerance test (</w:t>
      </w:r>
      <w:r w:rsidR="00857E74" w:rsidRPr="00004558">
        <w:rPr>
          <w:rFonts w:ascii="Times New Roman" w:hAnsi="Times New Roman"/>
          <w:sz w:val="24"/>
          <w:szCs w:val="24"/>
          <w:lang w:val="en-GB"/>
        </w:rPr>
        <w:t>OGTT</w:t>
      </w:r>
      <w:r w:rsidR="00B53F1C" w:rsidRPr="00004558">
        <w:rPr>
          <w:rFonts w:ascii="Times New Roman" w:hAnsi="Times New Roman"/>
          <w:sz w:val="24"/>
          <w:szCs w:val="24"/>
          <w:lang w:val="en-GB"/>
        </w:rPr>
        <w:t>) is</w:t>
      </w:r>
      <w:r w:rsidR="00857E74" w:rsidRPr="00004558">
        <w:rPr>
          <w:rFonts w:ascii="Times New Roman" w:hAnsi="Times New Roman"/>
          <w:sz w:val="24"/>
          <w:szCs w:val="24"/>
          <w:lang w:val="en-GB"/>
        </w:rPr>
        <w:t xml:space="preserve"> the </w:t>
      </w:r>
      <w:r w:rsidR="002C7D3D" w:rsidRPr="00004558">
        <w:rPr>
          <w:rFonts w:ascii="Times New Roman" w:hAnsi="Times New Roman"/>
          <w:sz w:val="24"/>
          <w:szCs w:val="24"/>
          <w:lang w:val="en-GB"/>
        </w:rPr>
        <w:t>current</w:t>
      </w:r>
      <w:r w:rsidR="00FE158E" w:rsidRPr="00004558">
        <w:rPr>
          <w:rFonts w:ascii="Times New Roman" w:hAnsi="Times New Roman"/>
          <w:sz w:val="24"/>
          <w:szCs w:val="24"/>
          <w:lang w:val="en-GB"/>
        </w:rPr>
        <w:t xml:space="preserve"> standard for diagnosing </w:t>
      </w:r>
      <w:r w:rsidR="00C546AC" w:rsidRPr="00004558">
        <w:rPr>
          <w:rFonts w:ascii="Times New Roman" w:hAnsi="Times New Roman"/>
          <w:sz w:val="24"/>
          <w:szCs w:val="24"/>
          <w:lang w:val="en-GB"/>
        </w:rPr>
        <w:t>dysglycaemia</w:t>
      </w:r>
      <w:r w:rsidR="004770E7" w:rsidRPr="00004558">
        <w:rPr>
          <w:rFonts w:ascii="Times New Roman" w:hAnsi="Times New Roman"/>
          <w:sz w:val="24"/>
          <w:szCs w:val="24"/>
          <w:lang w:val="en-GB"/>
        </w:rPr>
        <w:t xml:space="preserve"> (</w:t>
      </w:r>
      <w:r w:rsidR="00CC7AA6" w:rsidRPr="00004558">
        <w:rPr>
          <w:rFonts w:ascii="Times New Roman" w:hAnsi="Times New Roman"/>
          <w:sz w:val="24"/>
          <w:szCs w:val="24"/>
          <w:lang w:val="en-GB"/>
        </w:rPr>
        <w:t>prediabetes and diabetes</w:t>
      </w:r>
      <w:r w:rsidR="004770E7" w:rsidRPr="00004558">
        <w:rPr>
          <w:rFonts w:ascii="Times New Roman" w:hAnsi="Times New Roman"/>
          <w:sz w:val="24"/>
          <w:szCs w:val="24"/>
          <w:lang w:val="en-GB"/>
        </w:rPr>
        <w:t>)</w:t>
      </w:r>
      <w:r w:rsidR="00D11A72" w:rsidRPr="00004558">
        <w:rPr>
          <w:rFonts w:ascii="Times New Roman" w:hAnsi="Times New Roman"/>
          <w:sz w:val="24"/>
          <w:szCs w:val="24"/>
          <w:lang w:val="en-GB"/>
        </w:rPr>
        <w:t xml:space="preserve">. </w:t>
      </w:r>
      <w:r w:rsidR="00B53F1C" w:rsidRPr="00004558">
        <w:rPr>
          <w:rFonts w:ascii="Times New Roman" w:hAnsi="Times New Roman"/>
          <w:sz w:val="24"/>
          <w:szCs w:val="24"/>
          <w:lang w:val="en-GB"/>
        </w:rPr>
        <w:t>OGTT</w:t>
      </w:r>
      <w:r w:rsidR="00857E74" w:rsidRPr="00004558">
        <w:rPr>
          <w:rFonts w:ascii="Times New Roman" w:hAnsi="Times New Roman"/>
          <w:sz w:val="24"/>
          <w:szCs w:val="24"/>
          <w:lang w:val="en-GB"/>
        </w:rPr>
        <w:t xml:space="preserve"> </w:t>
      </w:r>
      <w:r w:rsidR="00B53F1C" w:rsidRPr="00004558">
        <w:rPr>
          <w:rFonts w:ascii="Times New Roman" w:hAnsi="Times New Roman"/>
          <w:sz w:val="24"/>
          <w:szCs w:val="24"/>
          <w:lang w:val="en-GB"/>
        </w:rPr>
        <w:t>is</w:t>
      </w:r>
      <w:r w:rsidR="00FE158E" w:rsidRPr="00004558">
        <w:rPr>
          <w:rFonts w:ascii="Times New Roman" w:hAnsi="Times New Roman"/>
          <w:sz w:val="24"/>
          <w:szCs w:val="24"/>
          <w:lang w:val="en-GB"/>
        </w:rPr>
        <w:t xml:space="preserve"> cumbersome </w:t>
      </w:r>
      <w:r w:rsidR="00B53F1C" w:rsidRPr="00004558">
        <w:rPr>
          <w:rFonts w:ascii="Times New Roman" w:hAnsi="Times New Roman"/>
          <w:sz w:val="24"/>
          <w:szCs w:val="24"/>
          <w:lang w:val="en-GB"/>
        </w:rPr>
        <w:t>because of</w:t>
      </w:r>
      <w:r w:rsidR="00FE158E" w:rsidRPr="00004558">
        <w:rPr>
          <w:rFonts w:ascii="Times New Roman" w:hAnsi="Times New Roman"/>
          <w:sz w:val="24"/>
          <w:szCs w:val="24"/>
          <w:lang w:val="en-GB"/>
        </w:rPr>
        <w:t xml:space="preserve"> </w:t>
      </w:r>
      <w:r w:rsidR="00FF1054" w:rsidRPr="00004558">
        <w:rPr>
          <w:rFonts w:ascii="Times New Roman" w:hAnsi="Times New Roman"/>
          <w:sz w:val="24"/>
          <w:szCs w:val="24"/>
          <w:lang w:val="en-GB"/>
        </w:rPr>
        <w:t xml:space="preserve">its need for </w:t>
      </w:r>
      <w:r w:rsidR="00FE158E" w:rsidRPr="00004558">
        <w:rPr>
          <w:rFonts w:ascii="Times New Roman" w:hAnsi="Times New Roman"/>
          <w:sz w:val="24"/>
          <w:szCs w:val="24"/>
          <w:lang w:val="en-GB"/>
        </w:rPr>
        <w:t>overnight fasting</w:t>
      </w:r>
      <w:r w:rsidR="00FF1054" w:rsidRPr="00004558">
        <w:rPr>
          <w:rFonts w:ascii="Times New Roman" w:hAnsi="Times New Roman"/>
          <w:sz w:val="24"/>
          <w:szCs w:val="24"/>
          <w:lang w:val="en-GB"/>
        </w:rPr>
        <w:t>, intake of a glucose drink</w:t>
      </w:r>
      <w:r w:rsidR="00FE158E" w:rsidRPr="00004558">
        <w:rPr>
          <w:rFonts w:ascii="Times New Roman" w:hAnsi="Times New Roman"/>
          <w:sz w:val="24"/>
          <w:szCs w:val="24"/>
          <w:lang w:val="en-GB"/>
        </w:rPr>
        <w:t xml:space="preserve"> and repeated drawing of blood</w:t>
      </w:r>
      <w:r w:rsidR="00C73FEB" w:rsidRPr="00004558">
        <w:rPr>
          <w:rFonts w:ascii="Times New Roman" w:hAnsi="Times New Roman"/>
          <w:sz w:val="24"/>
          <w:szCs w:val="24"/>
          <w:lang w:val="en-GB"/>
        </w:rPr>
        <w:t xml:space="preserve"> [1,2]</w:t>
      </w:r>
      <w:r w:rsidR="00FE158E" w:rsidRPr="00004558">
        <w:rPr>
          <w:rFonts w:ascii="Times New Roman" w:hAnsi="Times New Roman"/>
          <w:sz w:val="24"/>
          <w:szCs w:val="24"/>
          <w:lang w:val="en-GB"/>
        </w:rPr>
        <w:t>. In 2009,</w:t>
      </w:r>
      <w:r w:rsidR="00B4060E" w:rsidRPr="00004558">
        <w:rPr>
          <w:rFonts w:ascii="Times New Roman" w:hAnsi="Times New Roman"/>
          <w:sz w:val="24"/>
          <w:szCs w:val="24"/>
          <w:lang w:val="en-GB"/>
        </w:rPr>
        <w:t xml:space="preserve"> an International Expert Committee recommended the use of HbA1c</w:t>
      </w:r>
      <w:r w:rsidR="009F51E1" w:rsidRPr="00004558">
        <w:rPr>
          <w:rFonts w:ascii="Times New Roman" w:hAnsi="Times New Roman"/>
          <w:sz w:val="24"/>
          <w:szCs w:val="24"/>
          <w:lang w:val="en-GB"/>
        </w:rPr>
        <w:t xml:space="preserve"> as</w:t>
      </w:r>
      <w:r w:rsidR="00B4060E" w:rsidRPr="00004558">
        <w:rPr>
          <w:rFonts w:ascii="Times New Roman" w:hAnsi="Times New Roman"/>
          <w:sz w:val="24"/>
          <w:szCs w:val="24"/>
          <w:lang w:val="en-GB"/>
        </w:rPr>
        <w:t xml:space="preserve"> a diagnostic alternative</w:t>
      </w:r>
      <w:r w:rsidR="00162D2D" w:rsidRPr="00004558">
        <w:rPr>
          <w:rFonts w:ascii="Times New Roman" w:hAnsi="Times New Roman"/>
          <w:sz w:val="24"/>
          <w:szCs w:val="24"/>
          <w:lang w:val="en-GB"/>
        </w:rPr>
        <w:t xml:space="preserve"> </w:t>
      </w:r>
      <w:r w:rsidR="00857E74" w:rsidRPr="00004558">
        <w:rPr>
          <w:rFonts w:ascii="Times New Roman" w:hAnsi="Times New Roman"/>
          <w:sz w:val="24"/>
          <w:szCs w:val="24"/>
          <w:lang w:val="en-GB"/>
        </w:rPr>
        <w:t>t</w:t>
      </w:r>
      <w:r w:rsidR="00162D2D" w:rsidRPr="00004558">
        <w:rPr>
          <w:rFonts w:ascii="Times New Roman" w:hAnsi="Times New Roman"/>
          <w:sz w:val="24"/>
          <w:szCs w:val="24"/>
          <w:lang w:val="en-GB"/>
        </w:rPr>
        <w:t>o OGTT</w:t>
      </w:r>
      <w:r w:rsidR="00C73FEB" w:rsidRPr="00004558">
        <w:rPr>
          <w:rFonts w:ascii="Times New Roman" w:hAnsi="Times New Roman"/>
          <w:sz w:val="24"/>
          <w:szCs w:val="24"/>
          <w:lang w:val="en-GB"/>
        </w:rPr>
        <w:t xml:space="preserve"> [3]</w:t>
      </w:r>
      <w:r w:rsidR="00B4060E" w:rsidRPr="00004558">
        <w:rPr>
          <w:rFonts w:ascii="Times New Roman" w:hAnsi="Times New Roman"/>
          <w:sz w:val="24"/>
          <w:szCs w:val="24"/>
          <w:lang w:val="en-GB"/>
        </w:rPr>
        <w:t xml:space="preserve">, </w:t>
      </w:r>
      <w:r w:rsidR="00857E74" w:rsidRPr="00004558">
        <w:rPr>
          <w:rFonts w:ascii="Times New Roman" w:hAnsi="Times New Roman"/>
          <w:sz w:val="24"/>
          <w:szCs w:val="24"/>
          <w:lang w:val="en-GB"/>
        </w:rPr>
        <w:t>leading to its</w:t>
      </w:r>
      <w:r w:rsidR="00162D2D" w:rsidRPr="00004558">
        <w:rPr>
          <w:rFonts w:ascii="Times New Roman" w:hAnsi="Times New Roman"/>
          <w:sz w:val="24"/>
          <w:szCs w:val="24"/>
          <w:lang w:val="en-GB"/>
        </w:rPr>
        <w:t xml:space="preserve"> strong</w:t>
      </w:r>
      <w:r w:rsidR="00DB431B" w:rsidRPr="00004558">
        <w:rPr>
          <w:rFonts w:ascii="Times New Roman" w:hAnsi="Times New Roman"/>
          <w:sz w:val="24"/>
          <w:szCs w:val="24"/>
          <w:lang w:val="en-GB"/>
        </w:rPr>
        <w:t xml:space="preserve"> </w:t>
      </w:r>
      <w:r w:rsidRPr="00004558">
        <w:rPr>
          <w:rFonts w:ascii="Times New Roman" w:hAnsi="Times New Roman"/>
          <w:sz w:val="24"/>
          <w:szCs w:val="24"/>
          <w:lang w:val="en-GB"/>
        </w:rPr>
        <w:t>support</w:t>
      </w:r>
      <w:r w:rsidR="00DB431B" w:rsidRPr="00004558">
        <w:rPr>
          <w:rFonts w:ascii="Times New Roman" w:hAnsi="Times New Roman"/>
          <w:sz w:val="24"/>
          <w:szCs w:val="24"/>
          <w:lang w:val="en-GB"/>
        </w:rPr>
        <w:t xml:space="preserve"> </w:t>
      </w:r>
      <w:r w:rsidR="00A364A5" w:rsidRPr="00004558">
        <w:rPr>
          <w:rFonts w:ascii="Times New Roman" w:hAnsi="Times New Roman"/>
          <w:sz w:val="24"/>
          <w:szCs w:val="24"/>
          <w:lang w:val="en-GB"/>
        </w:rPr>
        <w:t>as a screening modality due to</w:t>
      </w:r>
      <w:r w:rsidR="00306557" w:rsidRPr="00004558">
        <w:rPr>
          <w:rFonts w:ascii="Times New Roman" w:hAnsi="Times New Roman"/>
          <w:sz w:val="24"/>
          <w:szCs w:val="24"/>
          <w:lang w:val="en-GB"/>
        </w:rPr>
        <w:t xml:space="preserve"> </w:t>
      </w:r>
      <w:r w:rsidR="000A68E4" w:rsidRPr="00004558">
        <w:rPr>
          <w:rFonts w:ascii="Times New Roman" w:hAnsi="Times New Roman"/>
          <w:sz w:val="24"/>
          <w:szCs w:val="24"/>
          <w:lang w:val="en-GB"/>
        </w:rPr>
        <w:t xml:space="preserve">its </w:t>
      </w:r>
      <w:r w:rsidR="00306557" w:rsidRPr="00004558">
        <w:rPr>
          <w:rFonts w:ascii="Times New Roman" w:hAnsi="Times New Roman"/>
          <w:sz w:val="24"/>
          <w:szCs w:val="24"/>
          <w:lang w:val="en-GB"/>
        </w:rPr>
        <w:t xml:space="preserve">lower cost, </w:t>
      </w:r>
      <w:r w:rsidR="00E355FF" w:rsidRPr="00004558">
        <w:rPr>
          <w:rFonts w:ascii="Times New Roman" w:hAnsi="Times New Roman"/>
          <w:sz w:val="24"/>
          <w:szCs w:val="24"/>
          <w:lang w:val="en-GB"/>
        </w:rPr>
        <w:t>lack of need for</w:t>
      </w:r>
      <w:r w:rsidR="00306557" w:rsidRPr="00004558">
        <w:rPr>
          <w:rFonts w:ascii="Times New Roman" w:hAnsi="Times New Roman"/>
          <w:sz w:val="24"/>
          <w:szCs w:val="24"/>
          <w:lang w:val="en-GB"/>
        </w:rPr>
        <w:t xml:space="preserve"> fasting</w:t>
      </w:r>
      <w:r w:rsidR="008E747B" w:rsidRPr="00004558">
        <w:rPr>
          <w:rFonts w:ascii="Times New Roman" w:hAnsi="Times New Roman"/>
          <w:sz w:val="24"/>
          <w:szCs w:val="24"/>
          <w:lang w:val="en-GB"/>
        </w:rPr>
        <w:t xml:space="preserve">, </w:t>
      </w:r>
      <w:r w:rsidR="00306557" w:rsidRPr="00004558">
        <w:rPr>
          <w:rFonts w:ascii="Times New Roman" w:hAnsi="Times New Roman"/>
          <w:sz w:val="24"/>
          <w:szCs w:val="24"/>
          <w:lang w:val="en-GB"/>
        </w:rPr>
        <w:t xml:space="preserve">and </w:t>
      </w:r>
      <w:r w:rsidR="00E355FF" w:rsidRPr="00004558">
        <w:rPr>
          <w:rFonts w:ascii="Times New Roman" w:hAnsi="Times New Roman"/>
          <w:sz w:val="24"/>
          <w:szCs w:val="24"/>
          <w:lang w:val="en-GB"/>
        </w:rPr>
        <w:t>ability</w:t>
      </w:r>
      <w:r w:rsidR="00857E74" w:rsidRPr="00004558">
        <w:rPr>
          <w:rFonts w:ascii="Times New Roman" w:hAnsi="Times New Roman"/>
          <w:sz w:val="24"/>
          <w:szCs w:val="24"/>
          <w:lang w:val="en-GB"/>
        </w:rPr>
        <w:t xml:space="preserve"> to monitor</w:t>
      </w:r>
      <w:r w:rsidR="00E355FF" w:rsidRPr="00004558">
        <w:rPr>
          <w:rFonts w:ascii="Times New Roman" w:hAnsi="Times New Roman"/>
          <w:sz w:val="24"/>
          <w:szCs w:val="24"/>
          <w:lang w:val="en-GB"/>
        </w:rPr>
        <w:t xml:space="preserve"> glucose</w:t>
      </w:r>
      <w:r w:rsidR="00857E74" w:rsidRPr="00004558">
        <w:rPr>
          <w:rFonts w:ascii="Times New Roman" w:hAnsi="Times New Roman"/>
          <w:sz w:val="24"/>
          <w:szCs w:val="24"/>
          <w:lang w:val="en-GB"/>
        </w:rPr>
        <w:t xml:space="preserve"> control longitudinally</w:t>
      </w:r>
      <w:r w:rsidR="00360FD8" w:rsidRPr="00004558">
        <w:rPr>
          <w:rFonts w:ascii="Times New Roman" w:hAnsi="Times New Roman"/>
          <w:sz w:val="24"/>
          <w:szCs w:val="24"/>
          <w:lang w:val="en-GB"/>
        </w:rPr>
        <w:t xml:space="preserve"> [2,4]</w:t>
      </w:r>
      <w:r w:rsidR="00162D2D" w:rsidRPr="00004558">
        <w:rPr>
          <w:rFonts w:ascii="Times New Roman" w:hAnsi="Times New Roman"/>
          <w:sz w:val="24"/>
          <w:szCs w:val="24"/>
          <w:lang w:val="en-GB"/>
        </w:rPr>
        <w:t>.</w:t>
      </w:r>
      <w:r w:rsidR="0094755A" w:rsidRPr="00004558">
        <w:rPr>
          <w:rFonts w:ascii="Times New Roman" w:hAnsi="Times New Roman"/>
          <w:sz w:val="24"/>
          <w:szCs w:val="24"/>
          <w:lang w:val="en-GB"/>
        </w:rPr>
        <w:t xml:space="preserve"> </w:t>
      </w:r>
      <w:r w:rsidR="00857E74" w:rsidRPr="00004558">
        <w:rPr>
          <w:rFonts w:ascii="Times New Roman" w:hAnsi="Times New Roman"/>
          <w:sz w:val="24"/>
          <w:szCs w:val="24"/>
          <w:lang w:val="en-GB"/>
        </w:rPr>
        <w:t>W</w:t>
      </w:r>
      <w:r w:rsidR="0094755A" w:rsidRPr="00004558">
        <w:rPr>
          <w:rFonts w:ascii="Times New Roman" w:hAnsi="Times New Roman"/>
          <w:sz w:val="24"/>
          <w:szCs w:val="24"/>
          <w:lang w:val="en-GB"/>
        </w:rPr>
        <w:t xml:space="preserve">hile </w:t>
      </w:r>
      <w:r w:rsidR="00F046BE" w:rsidRPr="00004558">
        <w:rPr>
          <w:rFonts w:ascii="Times New Roman" w:hAnsi="Times New Roman"/>
          <w:sz w:val="24"/>
          <w:szCs w:val="24"/>
          <w:lang w:val="en-GB"/>
        </w:rPr>
        <w:t xml:space="preserve">the use of HbA1c was </w:t>
      </w:r>
      <w:r w:rsidR="00EE344D" w:rsidRPr="00004558">
        <w:rPr>
          <w:rFonts w:ascii="Times New Roman" w:hAnsi="Times New Roman"/>
          <w:sz w:val="24"/>
          <w:szCs w:val="24"/>
          <w:lang w:val="en-GB"/>
        </w:rPr>
        <w:t xml:space="preserve">also </w:t>
      </w:r>
      <w:r w:rsidR="00F046BE" w:rsidRPr="00004558">
        <w:rPr>
          <w:rFonts w:ascii="Times New Roman" w:hAnsi="Times New Roman"/>
          <w:sz w:val="24"/>
          <w:szCs w:val="24"/>
          <w:lang w:val="en-GB"/>
        </w:rPr>
        <w:t>endorsed by the World Health Organisation (W</w:t>
      </w:r>
      <w:r w:rsidR="00C3345A" w:rsidRPr="00004558">
        <w:rPr>
          <w:rFonts w:ascii="Times New Roman" w:hAnsi="Times New Roman"/>
          <w:sz w:val="24"/>
          <w:szCs w:val="24"/>
          <w:lang w:val="en-GB"/>
        </w:rPr>
        <w:t>HO)</w:t>
      </w:r>
      <w:r w:rsidR="00EE344D" w:rsidRPr="00004558">
        <w:rPr>
          <w:rFonts w:ascii="Times New Roman" w:hAnsi="Times New Roman"/>
          <w:sz w:val="24"/>
          <w:szCs w:val="24"/>
          <w:lang w:val="en-GB"/>
        </w:rPr>
        <w:t xml:space="preserve"> in 2010, </w:t>
      </w:r>
      <w:r w:rsidRPr="00004558">
        <w:rPr>
          <w:rFonts w:ascii="Times New Roman" w:hAnsi="Times New Roman"/>
          <w:sz w:val="24"/>
          <w:szCs w:val="24"/>
          <w:lang w:val="en-GB"/>
        </w:rPr>
        <w:t>a caveat</w:t>
      </w:r>
      <w:r w:rsidR="00AE6280" w:rsidRPr="00004558">
        <w:rPr>
          <w:rFonts w:ascii="Times New Roman" w:hAnsi="Times New Roman"/>
          <w:sz w:val="24"/>
          <w:szCs w:val="24"/>
          <w:lang w:val="en-GB"/>
        </w:rPr>
        <w:t xml:space="preserve"> </w:t>
      </w:r>
      <w:r w:rsidR="00857E74" w:rsidRPr="00004558">
        <w:rPr>
          <w:rFonts w:ascii="Times New Roman" w:hAnsi="Times New Roman"/>
          <w:sz w:val="24"/>
          <w:szCs w:val="24"/>
          <w:lang w:val="en-GB"/>
        </w:rPr>
        <w:t xml:space="preserve">was </w:t>
      </w:r>
      <w:r w:rsidR="00EE344D" w:rsidRPr="00004558">
        <w:rPr>
          <w:rFonts w:ascii="Times New Roman" w:hAnsi="Times New Roman"/>
          <w:sz w:val="24"/>
          <w:szCs w:val="24"/>
          <w:lang w:val="en-GB"/>
        </w:rPr>
        <w:t xml:space="preserve">that the </w:t>
      </w:r>
      <w:r w:rsidR="00C3345A" w:rsidRPr="00004558">
        <w:rPr>
          <w:rFonts w:ascii="Times New Roman" w:hAnsi="Times New Roman"/>
          <w:sz w:val="24"/>
          <w:szCs w:val="24"/>
          <w:lang w:val="en-GB"/>
        </w:rPr>
        <w:t>test</w:t>
      </w:r>
      <w:r w:rsidR="00F046BE" w:rsidRPr="00004558">
        <w:rPr>
          <w:rFonts w:ascii="Times New Roman" w:hAnsi="Times New Roman"/>
          <w:sz w:val="24"/>
          <w:szCs w:val="24"/>
          <w:lang w:val="en-GB"/>
        </w:rPr>
        <w:t xml:space="preserve"> could only be applied in the absence of conditions</w:t>
      </w:r>
      <w:r w:rsidR="00C3345A" w:rsidRPr="00004558">
        <w:rPr>
          <w:rFonts w:ascii="Times New Roman" w:hAnsi="Times New Roman"/>
          <w:sz w:val="24"/>
          <w:szCs w:val="24"/>
          <w:lang w:val="en-GB"/>
        </w:rPr>
        <w:t xml:space="preserve"> that may</w:t>
      </w:r>
      <w:r w:rsidR="00F046BE" w:rsidRPr="00004558">
        <w:rPr>
          <w:rFonts w:ascii="Times New Roman" w:hAnsi="Times New Roman"/>
          <w:sz w:val="24"/>
          <w:szCs w:val="24"/>
          <w:lang w:val="en-GB"/>
        </w:rPr>
        <w:t xml:space="preserve"> affect the accuracy of HbA1c measurements</w:t>
      </w:r>
      <w:r w:rsidR="00360FD8" w:rsidRPr="00004558">
        <w:rPr>
          <w:rFonts w:ascii="Times New Roman" w:hAnsi="Times New Roman"/>
          <w:sz w:val="24"/>
          <w:szCs w:val="24"/>
          <w:lang w:val="en-GB"/>
        </w:rPr>
        <w:t xml:space="preserve"> [5]</w:t>
      </w:r>
      <w:r w:rsidR="00C3345A" w:rsidRPr="00004558">
        <w:rPr>
          <w:rFonts w:ascii="Times New Roman" w:hAnsi="Times New Roman"/>
          <w:sz w:val="24"/>
          <w:szCs w:val="24"/>
          <w:lang w:val="en-GB"/>
        </w:rPr>
        <w:t xml:space="preserve">. </w:t>
      </w:r>
      <w:r w:rsidRPr="00004558">
        <w:rPr>
          <w:rFonts w:ascii="Times New Roman" w:hAnsi="Times New Roman"/>
          <w:sz w:val="24"/>
          <w:szCs w:val="24"/>
          <w:lang w:val="en-GB"/>
        </w:rPr>
        <w:t>For example, anaemia</w:t>
      </w:r>
      <w:r w:rsidR="00DB431B" w:rsidRPr="00004558">
        <w:rPr>
          <w:rFonts w:ascii="Times New Roman" w:hAnsi="Times New Roman"/>
          <w:sz w:val="24"/>
          <w:szCs w:val="24"/>
          <w:lang w:val="en-GB"/>
        </w:rPr>
        <w:t xml:space="preserve"> </w:t>
      </w:r>
      <w:r w:rsidR="00F046BE" w:rsidRPr="00004558">
        <w:rPr>
          <w:rFonts w:ascii="Times New Roman" w:hAnsi="Times New Roman"/>
          <w:sz w:val="24"/>
          <w:szCs w:val="24"/>
          <w:lang w:val="en-GB"/>
        </w:rPr>
        <w:t xml:space="preserve">has been widely reported to be </w:t>
      </w:r>
      <w:r w:rsidR="00C3345A" w:rsidRPr="00004558">
        <w:rPr>
          <w:rFonts w:ascii="Times New Roman" w:hAnsi="Times New Roman"/>
          <w:sz w:val="24"/>
          <w:szCs w:val="24"/>
          <w:lang w:val="en-GB"/>
        </w:rPr>
        <w:t xml:space="preserve">a </w:t>
      </w:r>
      <w:r w:rsidR="00F046BE" w:rsidRPr="00004558">
        <w:rPr>
          <w:rFonts w:ascii="Times New Roman" w:hAnsi="Times New Roman"/>
          <w:sz w:val="24"/>
          <w:szCs w:val="24"/>
          <w:lang w:val="en-GB"/>
        </w:rPr>
        <w:t>major confounder of</w:t>
      </w:r>
      <w:r w:rsidR="00C3345A" w:rsidRPr="00004558">
        <w:rPr>
          <w:rFonts w:ascii="Times New Roman" w:hAnsi="Times New Roman"/>
          <w:sz w:val="24"/>
          <w:szCs w:val="24"/>
          <w:lang w:val="en-GB"/>
        </w:rPr>
        <w:t xml:space="preserve"> HbA1c levels</w:t>
      </w:r>
      <w:r w:rsidR="00360FD8" w:rsidRPr="00004558">
        <w:rPr>
          <w:rFonts w:ascii="Times New Roman" w:hAnsi="Times New Roman"/>
          <w:sz w:val="24"/>
          <w:szCs w:val="24"/>
          <w:lang w:val="en-GB"/>
        </w:rPr>
        <w:t xml:space="preserve"> [6-7]</w:t>
      </w:r>
      <w:r w:rsidR="00C3345A" w:rsidRPr="00004558">
        <w:rPr>
          <w:rFonts w:ascii="Times New Roman" w:hAnsi="Times New Roman"/>
          <w:sz w:val="24"/>
          <w:szCs w:val="24"/>
          <w:lang w:val="en-GB"/>
        </w:rPr>
        <w:t xml:space="preserve">. </w:t>
      </w:r>
      <w:r w:rsidR="006D446F" w:rsidRPr="00004558">
        <w:rPr>
          <w:rFonts w:ascii="Times New Roman" w:hAnsi="Times New Roman"/>
          <w:sz w:val="24"/>
          <w:szCs w:val="24"/>
          <w:lang w:val="en-GB"/>
        </w:rPr>
        <w:t>S</w:t>
      </w:r>
      <w:r w:rsidR="00C3345A" w:rsidRPr="00004558">
        <w:rPr>
          <w:rFonts w:ascii="Times New Roman" w:hAnsi="Times New Roman"/>
          <w:sz w:val="24"/>
          <w:szCs w:val="24"/>
          <w:lang w:val="en-GB"/>
        </w:rPr>
        <w:t>h</w:t>
      </w:r>
      <w:r w:rsidR="00FE5AE8" w:rsidRPr="00004558">
        <w:rPr>
          <w:rFonts w:ascii="Times New Roman" w:hAnsi="Times New Roman"/>
          <w:sz w:val="24"/>
          <w:szCs w:val="24"/>
          <w:lang w:val="en-GB"/>
        </w:rPr>
        <w:t>ortened red blood cell (RBC)</w:t>
      </w:r>
      <w:r w:rsidR="00C3345A" w:rsidRPr="00004558">
        <w:rPr>
          <w:rFonts w:ascii="Times New Roman" w:hAnsi="Times New Roman"/>
          <w:sz w:val="24"/>
          <w:szCs w:val="24"/>
          <w:lang w:val="en-GB"/>
        </w:rPr>
        <w:t xml:space="preserve"> lifespan</w:t>
      </w:r>
      <w:r w:rsidR="006D446F" w:rsidRPr="00004558">
        <w:rPr>
          <w:rFonts w:ascii="Times New Roman" w:hAnsi="Times New Roman"/>
          <w:sz w:val="24"/>
          <w:szCs w:val="24"/>
          <w:lang w:val="en-GB"/>
        </w:rPr>
        <w:t xml:space="preserve"> as demonstrated in</w:t>
      </w:r>
      <w:r w:rsidR="00DB431B" w:rsidRPr="00004558">
        <w:rPr>
          <w:rFonts w:ascii="Times New Roman" w:hAnsi="Times New Roman"/>
          <w:sz w:val="24"/>
          <w:szCs w:val="24"/>
          <w:lang w:val="en-GB"/>
        </w:rPr>
        <w:t xml:space="preserve"> </w:t>
      </w:r>
      <w:r w:rsidR="00C3345A" w:rsidRPr="00004558">
        <w:rPr>
          <w:rFonts w:ascii="Times New Roman" w:hAnsi="Times New Roman"/>
          <w:sz w:val="24"/>
          <w:szCs w:val="24"/>
          <w:lang w:val="en-GB"/>
        </w:rPr>
        <w:t>haemolytic</w:t>
      </w:r>
      <w:r w:rsidR="00DB431B" w:rsidRPr="00004558">
        <w:rPr>
          <w:rFonts w:ascii="Times New Roman" w:hAnsi="Times New Roman"/>
          <w:sz w:val="24"/>
          <w:szCs w:val="24"/>
          <w:lang w:val="en-GB"/>
        </w:rPr>
        <w:t xml:space="preserve"> </w:t>
      </w:r>
      <w:r w:rsidR="00C3345A" w:rsidRPr="00004558">
        <w:rPr>
          <w:rFonts w:ascii="Times New Roman" w:hAnsi="Times New Roman"/>
          <w:sz w:val="24"/>
          <w:szCs w:val="24"/>
          <w:lang w:val="en-GB"/>
        </w:rPr>
        <w:t xml:space="preserve">anaemia may depress HbA1c levels, whereas lengthened </w:t>
      </w:r>
      <w:r w:rsidR="00FE5AE8" w:rsidRPr="00004558">
        <w:rPr>
          <w:rFonts w:ascii="Times New Roman" w:hAnsi="Times New Roman"/>
          <w:sz w:val="24"/>
          <w:szCs w:val="24"/>
          <w:lang w:val="en-GB"/>
        </w:rPr>
        <w:t>RBC</w:t>
      </w:r>
      <w:r w:rsidR="00C3345A" w:rsidRPr="00004558">
        <w:rPr>
          <w:rFonts w:ascii="Times New Roman" w:hAnsi="Times New Roman"/>
          <w:sz w:val="24"/>
          <w:szCs w:val="24"/>
          <w:lang w:val="en-GB"/>
        </w:rPr>
        <w:t xml:space="preserve"> lifespan in iron-deficiency anaemia</w:t>
      </w:r>
      <w:r w:rsidR="00350E99" w:rsidRPr="00004558">
        <w:rPr>
          <w:rFonts w:ascii="Times New Roman" w:hAnsi="Times New Roman"/>
          <w:sz w:val="24"/>
          <w:szCs w:val="24"/>
          <w:lang w:val="en-GB"/>
        </w:rPr>
        <w:t xml:space="preserve"> (IDA)</w:t>
      </w:r>
      <w:r w:rsidR="00C3345A" w:rsidRPr="00004558">
        <w:rPr>
          <w:rFonts w:ascii="Times New Roman" w:hAnsi="Times New Roman"/>
          <w:sz w:val="24"/>
          <w:szCs w:val="24"/>
          <w:lang w:val="en-GB"/>
        </w:rPr>
        <w:t xml:space="preserve"> may elevate H</w:t>
      </w:r>
      <w:r w:rsidR="00116E15" w:rsidRPr="00004558">
        <w:rPr>
          <w:rFonts w:ascii="Times New Roman" w:hAnsi="Times New Roman"/>
          <w:sz w:val="24"/>
          <w:szCs w:val="24"/>
          <w:lang w:val="en-GB"/>
        </w:rPr>
        <w:t>bA1c levels.</w:t>
      </w:r>
      <w:r w:rsidR="002E58A6" w:rsidRPr="00004558">
        <w:rPr>
          <w:rFonts w:ascii="Times New Roman" w:hAnsi="Times New Roman"/>
          <w:sz w:val="24"/>
          <w:szCs w:val="24"/>
          <w:lang w:val="en-GB"/>
        </w:rPr>
        <w:t xml:space="preserve"> In addition</w:t>
      </w:r>
      <w:r w:rsidR="00AE31F5" w:rsidRPr="00004558">
        <w:rPr>
          <w:rFonts w:ascii="Times New Roman" w:hAnsi="Times New Roman"/>
          <w:sz w:val="24"/>
          <w:szCs w:val="24"/>
          <w:lang w:val="en-GB"/>
        </w:rPr>
        <w:t xml:space="preserve">, </w:t>
      </w:r>
      <w:r w:rsidR="002B04A8" w:rsidRPr="00004558">
        <w:rPr>
          <w:rFonts w:ascii="Times New Roman" w:hAnsi="Times New Roman"/>
          <w:sz w:val="24"/>
          <w:szCs w:val="24"/>
          <w:lang w:val="en-GB"/>
        </w:rPr>
        <w:t>ethnicity ha</w:t>
      </w:r>
      <w:r w:rsidR="00C844DC" w:rsidRPr="00004558">
        <w:rPr>
          <w:rFonts w:ascii="Times New Roman" w:hAnsi="Times New Roman"/>
          <w:sz w:val="24"/>
          <w:szCs w:val="24"/>
          <w:lang w:val="en-GB"/>
        </w:rPr>
        <w:t>s</w:t>
      </w:r>
      <w:r w:rsidR="002B04A8" w:rsidRPr="00004558">
        <w:rPr>
          <w:rFonts w:ascii="Times New Roman" w:hAnsi="Times New Roman"/>
          <w:sz w:val="24"/>
          <w:szCs w:val="24"/>
          <w:lang w:val="en-GB"/>
        </w:rPr>
        <w:t xml:space="preserve"> been </w:t>
      </w:r>
      <w:r w:rsidR="00B53F1C" w:rsidRPr="00004558">
        <w:rPr>
          <w:rFonts w:ascii="Times New Roman" w:hAnsi="Times New Roman"/>
          <w:sz w:val="24"/>
          <w:szCs w:val="24"/>
          <w:lang w:val="en-GB"/>
        </w:rPr>
        <w:t xml:space="preserve">shown </w:t>
      </w:r>
      <w:r w:rsidR="002B04A8" w:rsidRPr="00004558">
        <w:rPr>
          <w:rFonts w:ascii="Times New Roman" w:hAnsi="Times New Roman"/>
          <w:sz w:val="24"/>
          <w:szCs w:val="24"/>
          <w:lang w:val="en-GB"/>
        </w:rPr>
        <w:t xml:space="preserve">to </w:t>
      </w:r>
      <w:r w:rsidR="00B53F1C" w:rsidRPr="00004558">
        <w:rPr>
          <w:rFonts w:ascii="Times New Roman" w:hAnsi="Times New Roman"/>
          <w:sz w:val="24"/>
          <w:szCs w:val="24"/>
          <w:lang w:val="en-GB"/>
        </w:rPr>
        <w:t>modify</w:t>
      </w:r>
      <w:r w:rsidR="002B04A8" w:rsidRPr="00004558">
        <w:rPr>
          <w:rFonts w:ascii="Times New Roman" w:hAnsi="Times New Roman"/>
          <w:sz w:val="24"/>
          <w:szCs w:val="24"/>
          <w:lang w:val="en-GB"/>
        </w:rPr>
        <w:t xml:space="preserve"> the diagnostic accuracy of HbA1c </w:t>
      </w:r>
      <w:r w:rsidR="00B53F1C" w:rsidRPr="00004558">
        <w:rPr>
          <w:rFonts w:ascii="Times New Roman" w:hAnsi="Times New Roman"/>
          <w:sz w:val="24"/>
          <w:szCs w:val="24"/>
          <w:lang w:val="en-GB"/>
        </w:rPr>
        <w:t>in</w:t>
      </w:r>
      <w:r w:rsidR="002B04A8" w:rsidRPr="00004558">
        <w:rPr>
          <w:rFonts w:ascii="Times New Roman" w:hAnsi="Times New Roman"/>
          <w:sz w:val="24"/>
          <w:szCs w:val="24"/>
          <w:lang w:val="en-GB"/>
        </w:rPr>
        <w:t xml:space="preserve"> </w:t>
      </w:r>
      <w:r w:rsidR="00B53F1C" w:rsidRPr="00004558">
        <w:rPr>
          <w:rFonts w:ascii="Times New Roman" w:hAnsi="Times New Roman"/>
          <w:sz w:val="24"/>
          <w:szCs w:val="24"/>
          <w:lang w:val="en-GB"/>
        </w:rPr>
        <w:t>diagnosing diabetes</w:t>
      </w:r>
      <w:r w:rsidR="00360FD8" w:rsidRPr="00004558">
        <w:rPr>
          <w:rFonts w:ascii="Times New Roman" w:hAnsi="Times New Roman"/>
          <w:sz w:val="24"/>
          <w:szCs w:val="24"/>
          <w:lang w:val="en-GB"/>
        </w:rPr>
        <w:t xml:space="preserve"> [9]</w:t>
      </w:r>
      <w:r w:rsidR="006D2D0C" w:rsidRPr="00004558">
        <w:rPr>
          <w:rFonts w:ascii="Times New Roman" w:hAnsi="Times New Roman"/>
          <w:sz w:val="24"/>
          <w:szCs w:val="24"/>
          <w:lang w:val="en-GB"/>
        </w:rPr>
        <w:t>.</w:t>
      </w:r>
      <w:r w:rsidR="00A26392" w:rsidRPr="00004558">
        <w:rPr>
          <w:rFonts w:ascii="Times New Roman" w:hAnsi="Times New Roman"/>
          <w:sz w:val="24"/>
          <w:szCs w:val="24"/>
          <w:lang w:val="en-GB"/>
        </w:rPr>
        <w:t xml:space="preserve">  </w:t>
      </w:r>
    </w:p>
    <w:p w14:paraId="6BC73F4D" w14:textId="63A9C206" w:rsidR="006F01D4" w:rsidRPr="00004558" w:rsidRDefault="00B53F1C" w:rsidP="0017040B">
      <w:pPr>
        <w:pStyle w:val="NoSpacing"/>
        <w:spacing w:line="480" w:lineRule="auto"/>
        <w:ind w:firstLine="720"/>
        <w:rPr>
          <w:rFonts w:ascii="Times New Roman" w:hAnsi="Times New Roman"/>
          <w:sz w:val="24"/>
          <w:szCs w:val="24"/>
          <w:lang w:val="en-GB"/>
        </w:rPr>
      </w:pPr>
      <w:r w:rsidRPr="00004558">
        <w:rPr>
          <w:rFonts w:ascii="Times New Roman" w:hAnsi="Times New Roman"/>
          <w:sz w:val="24"/>
          <w:szCs w:val="24"/>
          <w:lang w:val="en-GB"/>
        </w:rPr>
        <w:t>The data on the</w:t>
      </w:r>
      <w:r w:rsidR="00116E15" w:rsidRPr="00004558">
        <w:rPr>
          <w:rFonts w:ascii="Times New Roman" w:hAnsi="Times New Roman"/>
          <w:sz w:val="24"/>
          <w:szCs w:val="24"/>
          <w:lang w:val="en-GB"/>
        </w:rPr>
        <w:t xml:space="preserve"> influence of anaemia on HbA1c ha</w:t>
      </w:r>
      <w:r w:rsidR="00857E74" w:rsidRPr="00004558">
        <w:rPr>
          <w:rFonts w:ascii="Times New Roman" w:hAnsi="Times New Roman"/>
          <w:sz w:val="24"/>
          <w:szCs w:val="24"/>
          <w:lang w:val="en-GB"/>
        </w:rPr>
        <w:t>s</w:t>
      </w:r>
      <w:r w:rsidR="00116E15" w:rsidRPr="00004558">
        <w:rPr>
          <w:rFonts w:ascii="Times New Roman" w:hAnsi="Times New Roman"/>
          <w:sz w:val="24"/>
          <w:szCs w:val="24"/>
          <w:lang w:val="en-GB"/>
        </w:rPr>
        <w:t xml:space="preserve"> </w:t>
      </w:r>
      <w:r w:rsidRPr="00004558">
        <w:rPr>
          <w:rFonts w:ascii="Times New Roman" w:hAnsi="Times New Roman"/>
          <w:sz w:val="24"/>
          <w:szCs w:val="24"/>
          <w:lang w:val="en-GB"/>
        </w:rPr>
        <w:t xml:space="preserve">mainly </w:t>
      </w:r>
      <w:r w:rsidR="0033727C" w:rsidRPr="00004558">
        <w:rPr>
          <w:rFonts w:ascii="Times New Roman" w:hAnsi="Times New Roman"/>
          <w:sz w:val="24"/>
          <w:szCs w:val="24"/>
          <w:lang w:val="en-GB"/>
        </w:rPr>
        <w:t xml:space="preserve">been </w:t>
      </w:r>
      <w:r w:rsidRPr="00004558">
        <w:rPr>
          <w:rFonts w:ascii="Times New Roman" w:hAnsi="Times New Roman"/>
          <w:sz w:val="24"/>
          <w:szCs w:val="24"/>
          <w:lang w:val="en-GB"/>
        </w:rPr>
        <w:t xml:space="preserve">derived from </w:t>
      </w:r>
      <w:r w:rsidR="00116E15" w:rsidRPr="00004558">
        <w:rPr>
          <w:rFonts w:ascii="Times New Roman" w:hAnsi="Times New Roman"/>
          <w:sz w:val="24"/>
          <w:szCs w:val="24"/>
          <w:lang w:val="en-GB"/>
        </w:rPr>
        <w:t>Western and East Asian populations</w:t>
      </w:r>
      <w:r w:rsidRPr="00004558">
        <w:rPr>
          <w:rFonts w:ascii="Times New Roman" w:hAnsi="Times New Roman"/>
          <w:sz w:val="24"/>
          <w:szCs w:val="24"/>
          <w:lang w:val="en-GB"/>
        </w:rPr>
        <w:t>,</w:t>
      </w:r>
      <w:r w:rsidR="0084648B" w:rsidRPr="00004558">
        <w:rPr>
          <w:rFonts w:ascii="Times New Roman" w:hAnsi="Times New Roman"/>
          <w:sz w:val="24"/>
          <w:szCs w:val="24"/>
          <w:lang w:val="en-GB"/>
        </w:rPr>
        <w:t xml:space="preserve"> </w:t>
      </w:r>
      <w:r w:rsidR="0033727C" w:rsidRPr="00004558">
        <w:rPr>
          <w:rFonts w:ascii="Times New Roman" w:hAnsi="Times New Roman"/>
          <w:sz w:val="24"/>
          <w:szCs w:val="24"/>
          <w:lang w:val="en-GB"/>
        </w:rPr>
        <w:t xml:space="preserve">which </w:t>
      </w:r>
      <w:r w:rsidR="0084648B" w:rsidRPr="00004558">
        <w:rPr>
          <w:rFonts w:ascii="Times New Roman" w:hAnsi="Times New Roman"/>
          <w:sz w:val="24"/>
          <w:szCs w:val="24"/>
          <w:lang w:val="en-GB"/>
        </w:rPr>
        <w:t>were limited by modest</w:t>
      </w:r>
      <w:r w:rsidR="008D0A66" w:rsidRPr="00004558">
        <w:rPr>
          <w:rFonts w:ascii="Times New Roman" w:hAnsi="Times New Roman"/>
          <w:sz w:val="24"/>
          <w:szCs w:val="24"/>
          <w:lang w:val="en-GB"/>
        </w:rPr>
        <w:t xml:space="preserve"> sample size</w:t>
      </w:r>
      <w:r w:rsidR="00360FD8" w:rsidRPr="00004558">
        <w:rPr>
          <w:rFonts w:ascii="Times New Roman" w:hAnsi="Times New Roman"/>
          <w:sz w:val="24"/>
          <w:szCs w:val="24"/>
          <w:lang w:val="en-GB"/>
        </w:rPr>
        <w:t xml:space="preserve"> [2,6-8,10]</w:t>
      </w:r>
      <w:r w:rsidR="00116E15" w:rsidRPr="00004558">
        <w:rPr>
          <w:rFonts w:ascii="Times New Roman" w:hAnsi="Times New Roman"/>
          <w:sz w:val="24"/>
          <w:szCs w:val="24"/>
          <w:lang w:val="en-GB"/>
        </w:rPr>
        <w:t xml:space="preserve">. </w:t>
      </w:r>
      <w:r w:rsidR="00546077" w:rsidRPr="00004558">
        <w:rPr>
          <w:rFonts w:ascii="Times New Roman" w:hAnsi="Times New Roman"/>
          <w:sz w:val="24"/>
          <w:szCs w:val="24"/>
          <w:lang w:val="en-GB"/>
        </w:rPr>
        <w:t xml:space="preserve">To our knowledge, the influence of anaemia on HbA1c levels among women of reproductive age in Southeast Asia is not known, despite the high prevalences of anaemia among such women in Singapore (13%), Malaysia (32%) and Indonesia (31%) </w:t>
      </w:r>
      <w:r w:rsidR="00546077" w:rsidRPr="00004558">
        <w:rPr>
          <w:rFonts w:ascii="Times New Roman" w:hAnsi="Times New Roman"/>
          <w:sz w:val="24"/>
          <w:szCs w:val="24"/>
          <w:lang w:val="en-GB"/>
        </w:rPr>
        <w:fldChar w:fldCharType="begin"/>
      </w:r>
      <w:r w:rsidR="00546077" w:rsidRPr="00004558">
        <w:rPr>
          <w:rFonts w:ascii="Times New Roman" w:hAnsi="Times New Roman"/>
          <w:sz w:val="24"/>
          <w:szCs w:val="24"/>
          <w:lang w:val="en-GB"/>
        </w:rPr>
        <w:instrText xml:space="preserve"> ADDIN ZOTERO_ITEM CSL_CITATION {"citationID":"SExKWiGV","properties":{"formattedCitation":"[11]","plainCitation":"[11]","noteIndex":0},"citationItems":[{"id":37,"uris":["http://zotero.org/users/local/A3HQVGUH/items/ZRM8ZMJV"],"uri":["http://zotero.org/users/local/A3HQVGUH/items/ZRM8ZMJV"],"itemData":{"id":37,"type":"book","title":"Trends in anaemia in women and children: 1995 to 2016","publisher":"World Health Organization","issued":{"date-parts":[["2017"]]}}}],"schema":"https://github.com/citation-style-language/schema/raw/master/csl-citation.json"} </w:instrText>
      </w:r>
      <w:r w:rsidR="00546077" w:rsidRPr="00004558">
        <w:rPr>
          <w:rFonts w:ascii="Times New Roman" w:hAnsi="Times New Roman"/>
          <w:sz w:val="24"/>
          <w:szCs w:val="24"/>
          <w:lang w:val="en-GB"/>
        </w:rPr>
        <w:fldChar w:fldCharType="separate"/>
      </w:r>
      <w:r w:rsidR="00546077" w:rsidRPr="00004558">
        <w:rPr>
          <w:rFonts w:ascii="Times New Roman" w:hAnsi="Times New Roman"/>
          <w:sz w:val="24"/>
          <w:szCs w:val="24"/>
          <w:lang w:val="en-GB"/>
        </w:rPr>
        <w:t>[11]</w:t>
      </w:r>
      <w:r w:rsidR="00546077" w:rsidRPr="00004558">
        <w:rPr>
          <w:rFonts w:ascii="Times New Roman" w:hAnsi="Times New Roman"/>
          <w:sz w:val="24"/>
          <w:szCs w:val="24"/>
          <w:lang w:val="en-GB"/>
        </w:rPr>
        <w:fldChar w:fldCharType="end"/>
      </w:r>
      <w:r w:rsidR="00546077" w:rsidRPr="00004558">
        <w:rPr>
          <w:rFonts w:ascii="Times New Roman" w:hAnsi="Times New Roman"/>
          <w:sz w:val="24"/>
          <w:szCs w:val="24"/>
          <w:lang w:val="en-GB"/>
        </w:rPr>
        <w:t>. In particular, those of Malay ethnicity more commonly have anaemia and haemoglobinopathy</w:t>
      </w:r>
      <w:r w:rsidR="00360FD8" w:rsidRPr="00004558">
        <w:rPr>
          <w:rFonts w:ascii="Times New Roman" w:hAnsi="Times New Roman"/>
          <w:sz w:val="24"/>
          <w:szCs w:val="24"/>
          <w:lang w:val="en-GB"/>
        </w:rPr>
        <w:t xml:space="preserve"> [12,13]</w:t>
      </w:r>
      <w:r w:rsidR="00546077" w:rsidRPr="00004558">
        <w:rPr>
          <w:rFonts w:ascii="Times New Roman" w:hAnsi="Times New Roman"/>
          <w:sz w:val="24"/>
          <w:szCs w:val="24"/>
          <w:lang w:val="en-GB"/>
        </w:rPr>
        <w:t>, which may lower HbA1c and potentially lead to underdiagnosis of dysglycaemia. This would have particular implications for the assessment of women planning to conceive due to potential consequences of hyperglycaemia on subsequent pregnancy outcomes.</w:t>
      </w:r>
      <w:r w:rsidR="00E6351E" w:rsidRPr="00004558">
        <w:rPr>
          <w:rFonts w:ascii="Times New Roman" w:hAnsi="Times New Roman"/>
          <w:sz w:val="24"/>
          <w:szCs w:val="24"/>
          <w:lang w:val="en-GB"/>
        </w:rPr>
        <w:t xml:space="preserve"> </w:t>
      </w:r>
      <w:r w:rsidR="0017040B" w:rsidRPr="00004558">
        <w:rPr>
          <w:rFonts w:ascii="Times New Roman" w:hAnsi="Times New Roman"/>
          <w:sz w:val="24"/>
          <w:szCs w:val="24"/>
          <w:lang w:val="en-GB"/>
        </w:rPr>
        <w:t xml:space="preserve">Thus, understanding influence of anaemia on HbA1c </w:t>
      </w:r>
      <w:r w:rsidRPr="00004558">
        <w:rPr>
          <w:rFonts w:ascii="Times New Roman" w:hAnsi="Times New Roman"/>
          <w:sz w:val="24"/>
          <w:szCs w:val="24"/>
          <w:lang w:val="en-GB"/>
        </w:rPr>
        <w:t xml:space="preserve">is crucial </w:t>
      </w:r>
      <w:r w:rsidR="004F37F3" w:rsidRPr="00004558">
        <w:rPr>
          <w:rFonts w:ascii="Times New Roman" w:hAnsi="Times New Roman"/>
          <w:sz w:val="24"/>
          <w:szCs w:val="24"/>
          <w:lang w:val="en-GB"/>
        </w:rPr>
        <w:t xml:space="preserve">before HbA1c </w:t>
      </w:r>
      <w:r w:rsidR="009F459D" w:rsidRPr="00004558">
        <w:rPr>
          <w:rFonts w:ascii="Times New Roman" w:hAnsi="Times New Roman"/>
          <w:sz w:val="24"/>
          <w:szCs w:val="24"/>
          <w:lang w:val="en-GB"/>
        </w:rPr>
        <w:t xml:space="preserve">could be adopted </w:t>
      </w:r>
      <w:r w:rsidR="004F37F3" w:rsidRPr="00004558">
        <w:rPr>
          <w:rFonts w:ascii="Times New Roman" w:hAnsi="Times New Roman"/>
          <w:sz w:val="24"/>
          <w:szCs w:val="24"/>
          <w:lang w:val="en-GB"/>
        </w:rPr>
        <w:t xml:space="preserve">as </w:t>
      </w:r>
      <w:r w:rsidR="00D73038" w:rsidRPr="00004558">
        <w:rPr>
          <w:rFonts w:ascii="Times New Roman" w:hAnsi="Times New Roman"/>
          <w:sz w:val="24"/>
          <w:szCs w:val="24"/>
          <w:lang w:val="en-GB"/>
        </w:rPr>
        <w:t xml:space="preserve">a </w:t>
      </w:r>
      <w:r w:rsidR="004F37F3" w:rsidRPr="00004558">
        <w:rPr>
          <w:rFonts w:ascii="Times New Roman" w:hAnsi="Times New Roman"/>
          <w:sz w:val="24"/>
          <w:szCs w:val="24"/>
          <w:lang w:val="en-GB"/>
        </w:rPr>
        <w:t xml:space="preserve">screening tool </w:t>
      </w:r>
      <w:r w:rsidR="0034525C" w:rsidRPr="00004558">
        <w:rPr>
          <w:rFonts w:ascii="Times New Roman" w:hAnsi="Times New Roman"/>
          <w:sz w:val="24"/>
          <w:szCs w:val="24"/>
          <w:lang w:val="en-GB"/>
        </w:rPr>
        <w:t>for</w:t>
      </w:r>
      <w:r w:rsidR="001D5561" w:rsidRPr="00004558">
        <w:rPr>
          <w:rFonts w:ascii="Times New Roman" w:hAnsi="Times New Roman"/>
          <w:sz w:val="24"/>
          <w:szCs w:val="24"/>
          <w:lang w:val="en-GB"/>
        </w:rPr>
        <w:t xml:space="preserve"> detecting</w:t>
      </w:r>
      <w:r w:rsidR="004F37F3" w:rsidRPr="00004558">
        <w:rPr>
          <w:rFonts w:ascii="Times New Roman" w:hAnsi="Times New Roman"/>
          <w:sz w:val="24"/>
          <w:szCs w:val="24"/>
          <w:lang w:val="en-GB"/>
        </w:rPr>
        <w:t xml:space="preserve"> </w:t>
      </w:r>
      <w:r w:rsidR="0045490F" w:rsidRPr="00004558">
        <w:rPr>
          <w:rFonts w:ascii="Times New Roman" w:hAnsi="Times New Roman"/>
          <w:sz w:val="24"/>
          <w:szCs w:val="24"/>
          <w:lang w:val="en-GB"/>
        </w:rPr>
        <w:t>dysglycaemia</w:t>
      </w:r>
      <w:r w:rsidR="003B2239" w:rsidRPr="00004558">
        <w:rPr>
          <w:rFonts w:ascii="Times New Roman" w:hAnsi="Times New Roman"/>
          <w:sz w:val="24"/>
          <w:szCs w:val="24"/>
          <w:lang w:val="en-GB"/>
        </w:rPr>
        <w:t xml:space="preserve"> among Southeast Asian women of reproductive age</w:t>
      </w:r>
      <w:r w:rsidR="004F37F3" w:rsidRPr="00004558">
        <w:rPr>
          <w:rFonts w:ascii="Times New Roman" w:hAnsi="Times New Roman"/>
          <w:sz w:val="24"/>
          <w:szCs w:val="24"/>
          <w:lang w:val="en-GB"/>
        </w:rPr>
        <w:t xml:space="preserve">. </w:t>
      </w:r>
      <w:r w:rsidR="009E234B" w:rsidRPr="00004558">
        <w:rPr>
          <w:rFonts w:ascii="Times New Roman" w:hAnsi="Times New Roman"/>
          <w:sz w:val="24"/>
          <w:szCs w:val="24"/>
          <w:lang w:val="en-GB"/>
        </w:rPr>
        <w:t>Importantly</w:t>
      </w:r>
      <w:r w:rsidR="0048148A" w:rsidRPr="00004558">
        <w:rPr>
          <w:rFonts w:ascii="Times New Roman" w:hAnsi="Times New Roman"/>
          <w:sz w:val="24"/>
          <w:szCs w:val="24"/>
          <w:lang w:val="en-GB"/>
        </w:rPr>
        <w:t xml:space="preserve">, early detection of </w:t>
      </w:r>
      <w:r w:rsidR="0045490F" w:rsidRPr="00004558">
        <w:rPr>
          <w:rFonts w:ascii="Times New Roman" w:hAnsi="Times New Roman"/>
          <w:sz w:val="24"/>
          <w:szCs w:val="24"/>
          <w:lang w:val="en-GB"/>
        </w:rPr>
        <w:t>dysglycaemia</w:t>
      </w:r>
      <w:r w:rsidR="0048148A" w:rsidRPr="00004558">
        <w:rPr>
          <w:rFonts w:ascii="Times New Roman" w:hAnsi="Times New Roman"/>
          <w:sz w:val="24"/>
          <w:szCs w:val="24"/>
          <w:lang w:val="en-GB"/>
        </w:rPr>
        <w:t xml:space="preserve"> in women planning for pregnancy will reduce the risk for birth complications</w:t>
      </w:r>
      <w:r w:rsidR="00360FD8" w:rsidRPr="00004558">
        <w:rPr>
          <w:rFonts w:ascii="Times New Roman" w:hAnsi="Times New Roman"/>
          <w:sz w:val="24"/>
          <w:szCs w:val="24"/>
          <w:lang w:val="en-GB"/>
        </w:rPr>
        <w:t xml:space="preserve"> [14]</w:t>
      </w:r>
      <w:r w:rsidR="0048148A" w:rsidRPr="00004558">
        <w:rPr>
          <w:rFonts w:ascii="Times New Roman" w:hAnsi="Times New Roman"/>
          <w:sz w:val="24"/>
          <w:szCs w:val="24"/>
          <w:lang w:val="en-GB"/>
        </w:rPr>
        <w:t>.</w:t>
      </w:r>
      <w:r w:rsidR="002309F6" w:rsidRPr="00004558">
        <w:rPr>
          <w:rFonts w:ascii="Times New Roman" w:hAnsi="Times New Roman"/>
          <w:sz w:val="24"/>
          <w:szCs w:val="24"/>
          <w:lang w:val="en-GB"/>
        </w:rPr>
        <w:t xml:space="preserve"> </w:t>
      </w:r>
      <w:r w:rsidR="004F37F3" w:rsidRPr="00004558">
        <w:rPr>
          <w:rFonts w:ascii="Times New Roman" w:hAnsi="Times New Roman"/>
          <w:sz w:val="24"/>
          <w:szCs w:val="24"/>
          <w:lang w:val="en-GB"/>
        </w:rPr>
        <w:t>Here</w:t>
      </w:r>
      <w:r w:rsidR="00AA1DC0" w:rsidRPr="00004558">
        <w:rPr>
          <w:rFonts w:ascii="Times New Roman" w:hAnsi="Times New Roman"/>
          <w:sz w:val="24"/>
          <w:szCs w:val="24"/>
          <w:lang w:val="en-GB"/>
        </w:rPr>
        <w:t xml:space="preserve">, </w:t>
      </w:r>
      <w:r w:rsidR="00B31F5D" w:rsidRPr="00004558">
        <w:rPr>
          <w:rFonts w:ascii="Times New Roman" w:hAnsi="Times New Roman"/>
          <w:sz w:val="24"/>
          <w:szCs w:val="24"/>
          <w:lang w:val="en-GB"/>
        </w:rPr>
        <w:t xml:space="preserve">we </w:t>
      </w:r>
      <w:r w:rsidR="004F37F3" w:rsidRPr="00004558">
        <w:rPr>
          <w:rFonts w:ascii="Times New Roman" w:hAnsi="Times New Roman"/>
          <w:sz w:val="24"/>
          <w:szCs w:val="24"/>
          <w:lang w:val="en-GB"/>
        </w:rPr>
        <w:t>examined</w:t>
      </w:r>
      <w:r w:rsidR="00EE344D" w:rsidRPr="00004558">
        <w:rPr>
          <w:rFonts w:ascii="Times New Roman" w:hAnsi="Times New Roman"/>
          <w:sz w:val="24"/>
          <w:szCs w:val="24"/>
          <w:lang w:val="en-GB"/>
        </w:rPr>
        <w:t xml:space="preserve"> the</w:t>
      </w:r>
      <w:r w:rsidR="00B31F5D" w:rsidRPr="00004558">
        <w:rPr>
          <w:rFonts w:ascii="Times New Roman" w:hAnsi="Times New Roman"/>
          <w:sz w:val="24"/>
          <w:szCs w:val="24"/>
          <w:lang w:val="en-GB"/>
        </w:rPr>
        <w:t xml:space="preserve"> influence</w:t>
      </w:r>
      <w:r w:rsidR="00FE5AE8" w:rsidRPr="00004558">
        <w:rPr>
          <w:rFonts w:ascii="Times New Roman" w:hAnsi="Times New Roman"/>
          <w:sz w:val="24"/>
          <w:szCs w:val="24"/>
          <w:lang w:val="en-GB"/>
        </w:rPr>
        <w:t xml:space="preserve"> of </w:t>
      </w:r>
      <w:r w:rsidR="00C546AC" w:rsidRPr="00004558">
        <w:rPr>
          <w:rFonts w:ascii="Times New Roman" w:hAnsi="Times New Roman"/>
          <w:sz w:val="24"/>
          <w:szCs w:val="24"/>
          <w:lang w:val="en-GB"/>
        </w:rPr>
        <w:t xml:space="preserve">abnormal RBC indices based on low </w:t>
      </w:r>
      <w:r w:rsidR="003B2239" w:rsidRPr="00004558">
        <w:rPr>
          <w:rFonts w:ascii="Times New Roman" w:hAnsi="Times New Roman"/>
          <w:sz w:val="24"/>
          <w:szCs w:val="24"/>
          <w:lang w:val="en-GB"/>
        </w:rPr>
        <w:t xml:space="preserve">mean corpuscular volume (MCV) </w:t>
      </w:r>
      <w:r w:rsidR="00231433" w:rsidRPr="00004558">
        <w:rPr>
          <w:rFonts w:ascii="Times New Roman" w:hAnsi="Times New Roman"/>
          <w:sz w:val="24"/>
          <w:szCs w:val="24"/>
          <w:lang w:val="en-GB"/>
        </w:rPr>
        <w:t>and</w:t>
      </w:r>
      <w:r w:rsidR="00C546AC" w:rsidRPr="00004558">
        <w:rPr>
          <w:rFonts w:ascii="Times New Roman" w:hAnsi="Times New Roman"/>
          <w:sz w:val="24"/>
          <w:szCs w:val="24"/>
          <w:lang w:val="en-GB"/>
        </w:rPr>
        <w:t>/ or low</w:t>
      </w:r>
      <w:r w:rsidR="00231433" w:rsidRPr="00004558">
        <w:rPr>
          <w:rFonts w:ascii="Times New Roman" w:hAnsi="Times New Roman"/>
          <w:sz w:val="24"/>
          <w:szCs w:val="24"/>
          <w:lang w:val="en-GB"/>
        </w:rPr>
        <w:t xml:space="preserve"> </w:t>
      </w:r>
      <w:r w:rsidR="003D49F4" w:rsidRPr="00004558">
        <w:rPr>
          <w:rFonts w:ascii="Times New Roman" w:hAnsi="Times New Roman"/>
          <w:sz w:val="24"/>
          <w:szCs w:val="24"/>
          <w:lang w:val="en-GB"/>
        </w:rPr>
        <w:t>h</w:t>
      </w:r>
      <w:r w:rsidR="000258FA" w:rsidRPr="00004558">
        <w:rPr>
          <w:rFonts w:ascii="Times New Roman" w:hAnsi="Times New Roman"/>
          <w:sz w:val="24"/>
          <w:szCs w:val="24"/>
          <w:lang w:val="en-GB"/>
        </w:rPr>
        <w:t>a</w:t>
      </w:r>
      <w:r w:rsidR="00F76FD5" w:rsidRPr="00004558">
        <w:rPr>
          <w:rFonts w:ascii="Times New Roman" w:hAnsi="Times New Roman"/>
          <w:sz w:val="24"/>
          <w:szCs w:val="24"/>
          <w:lang w:val="en-GB"/>
        </w:rPr>
        <w:t>emoglobin (</w:t>
      </w:r>
      <w:r w:rsidR="00610150" w:rsidRPr="00004558">
        <w:rPr>
          <w:rFonts w:ascii="Times New Roman" w:hAnsi="Times New Roman"/>
          <w:sz w:val="24"/>
          <w:szCs w:val="24"/>
          <w:lang w:val="en-GB"/>
        </w:rPr>
        <w:t>Hb</w:t>
      </w:r>
      <w:r w:rsidR="00F76FD5" w:rsidRPr="00004558">
        <w:rPr>
          <w:rFonts w:ascii="Times New Roman" w:hAnsi="Times New Roman"/>
          <w:sz w:val="24"/>
          <w:szCs w:val="24"/>
          <w:lang w:val="en-GB"/>
        </w:rPr>
        <w:t>)</w:t>
      </w:r>
      <w:r w:rsidR="00610150" w:rsidRPr="00004558">
        <w:rPr>
          <w:rFonts w:ascii="Times New Roman" w:hAnsi="Times New Roman"/>
          <w:sz w:val="24"/>
          <w:szCs w:val="24"/>
          <w:lang w:val="en-GB"/>
        </w:rPr>
        <w:t xml:space="preserve"> levels </w:t>
      </w:r>
      <w:r w:rsidR="00FE5AE8" w:rsidRPr="00004558">
        <w:rPr>
          <w:rFonts w:ascii="Times New Roman" w:hAnsi="Times New Roman"/>
          <w:sz w:val="24"/>
          <w:szCs w:val="24"/>
          <w:lang w:val="en-GB"/>
        </w:rPr>
        <w:t xml:space="preserve">on the </w:t>
      </w:r>
      <w:r w:rsidR="006F2FB0" w:rsidRPr="00004558">
        <w:rPr>
          <w:rFonts w:ascii="Times New Roman" w:hAnsi="Times New Roman"/>
          <w:sz w:val="24"/>
          <w:szCs w:val="24"/>
          <w:lang w:val="en-GB"/>
        </w:rPr>
        <w:t xml:space="preserve">performance </w:t>
      </w:r>
      <w:r w:rsidR="00B40C37" w:rsidRPr="00004558">
        <w:rPr>
          <w:rFonts w:ascii="Times New Roman" w:hAnsi="Times New Roman"/>
          <w:sz w:val="24"/>
          <w:szCs w:val="24"/>
          <w:lang w:val="en-GB"/>
        </w:rPr>
        <w:t>of HbA1c</w:t>
      </w:r>
      <w:r w:rsidR="00F00526" w:rsidRPr="00004558">
        <w:rPr>
          <w:rFonts w:ascii="Times New Roman" w:hAnsi="Times New Roman"/>
          <w:sz w:val="24"/>
          <w:szCs w:val="24"/>
          <w:lang w:val="en-GB"/>
        </w:rPr>
        <w:t xml:space="preserve"> </w:t>
      </w:r>
      <w:r w:rsidR="0033727C" w:rsidRPr="00004558">
        <w:rPr>
          <w:rFonts w:ascii="Times New Roman" w:hAnsi="Times New Roman"/>
          <w:sz w:val="24"/>
          <w:szCs w:val="24"/>
          <w:lang w:val="en-GB"/>
        </w:rPr>
        <w:t xml:space="preserve">in </w:t>
      </w:r>
      <w:r w:rsidR="006F2FB0" w:rsidRPr="00004558">
        <w:rPr>
          <w:rFonts w:ascii="Times New Roman" w:hAnsi="Times New Roman"/>
          <w:sz w:val="24"/>
          <w:szCs w:val="24"/>
          <w:lang w:val="en-GB"/>
        </w:rPr>
        <w:t>detecting</w:t>
      </w:r>
      <w:r w:rsidR="0033727C" w:rsidRPr="00004558">
        <w:rPr>
          <w:rFonts w:ascii="Times New Roman" w:hAnsi="Times New Roman"/>
          <w:sz w:val="24"/>
          <w:szCs w:val="24"/>
          <w:lang w:val="en-GB"/>
        </w:rPr>
        <w:t xml:space="preserve"> </w:t>
      </w:r>
      <w:r w:rsidR="0045490F" w:rsidRPr="00004558">
        <w:rPr>
          <w:rFonts w:ascii="Times New Roman" w:hAnsi="Times New Roman"/>
          <w:sz w:val="24"/>
          <w:szCs w:val="24"/>
          <w:lang w:val="en-GB"/>
        </w:rPr>
        <w:t>dysglycaemic status</w:t>
      </w:r>
      <w:r w:rsidR="001D5561" w:rsidRPr="00004558">
        <w:rPr>
          <w:rFonts w:ascii="Times New Roman" w:hAnsi="Times New Roman"/>
          <w:sz w:val="24"/>
          <w:szCs w:val="24"/>
          <w:lang w:val="en-GB"/>
        </w:rPr>
        <w:t>,</w:t>
      </w:r>
      <w:r w:rsidR="00F00526" w:rsidRPr="00004558">
        <w:rPr>
          <w:rFonts w:ascii="Times New Roman" w:hAnsi="Times New Roman"/>
          <w:sz w:val="24"/>
          <w:szCs w:val="24"/>
          <w:lang w:val="en-GB"/>
        </w:rPr>
        <w:t xml:space="preserve"> defined by OGTT</w:t>
      </w:r>
      <w:r w:rsidR="001D5561" w:rsidRPr="00004558">
        <w:rPr>
          <w:rFonts w:ascii="Times New Roman" w:hAnsi="Times New Roman"/>
          <w:sz w:val="24"/>
          <w:szCs w:val="24"/>
          <w:lang w:val="en-GB"/>
        </w:rPr>
        <w:t>,</w:t>
      </w:r>
      <w:r w:rsidR="0033727C" w:rsidRPr="00004558">
        <w:rPr>
          <w:rFonts w:ascii="Times New Roman" w:hAnsi="Times New Roman"/>
          <w:sz w:val="24"/>
          <w:szCs w:val="24"/>
          <w:lang w:val="en-GB"/>
        </w:rPr>
        <w:t xml:space="preserve"> among </w:t>
      </w:r>
      <w:r w:rsidR="00DF242E" w:rsidRPr="00004558">
        <w:rPr>
          <w:rFonts w:ascii="Times New Roman" w:hAnsi="Times New Roman"/>
          <w:sz w:val="24"/>
          <w:szCs w:val="24"/>
          <w:lang w:val="en-GB"/>
        </w:rPr>
        <w:t xml:space="preserve">preconception </w:t>
      </w:r>
      <w:r w:rsidR="0033727C" w:rsidRPr="00004558">
        <w:rPr>
          <w:rFonts w:ascii="Times New Roman" w:hAnsi="Times New Roman"/>
          <w:sz w:val="24"/>
          <w:szCs w:val="24"/>
          <w:lang w:val="en-GB"/>
        </w:rPr>
        <w:t>women of reproductive age</w:t>
      </w:r>
      <w:r w:rsidR="00DF242E" w:rsidRPr="00004558">
        <w:rPr>
          <w:rFonts w:ascii="Times New Roman" w:hAnsi="Times New Roman"/>
          <w:sz w:val="24"/>
          <w:szCs w:val="24"/>
          <w:lang w:val="en-GB"/>
        </w:rPr>
        <w:t xml:space="preserve"> in Singapore</w:t>
      </w:r>
      <w:r w:rsidR="00F00526" w:rsidRPr="00004558">
        <w:rPr>
          <w:rFonts w:ascii="Times New Roman" w:hAnsi="Times New Roman"/>
          <w:sz w:val="24"/>
          <w:szCs w:val="24"/>
          <w:lang w:val="en-GB"/>
        </w:rPr>
        <w:t xml:space="preserve">. </w:t>
      </w:r>
      <w:r w:rsidR="00610150" w:rsidRPr="00004558">
        <w:rPr>
          <w:rFonts w:ascii="Times New Roman" w:hAnsi="Times New Roman"/>
          <w:sz w:val="24"/>
          <w:szCs w:val="24"/>
          <w:lang w:val="en-GB"/>
        </w:rPr>
        <w:t>W</w:t>
      </w:r>
      <w:r w:rsidR="00FE5AE8" w:rsidRPr="00004558">
        <w:rPr>
          <w:rFonts w:ascii="Times New Roman" w:hAnsi="Times New Roman"/>
          <w:sz w:val="24"/>
          <w:szCs w:val="24"/>
          <w:lang w:val="en-GB"/>
        </w:rPr>
        <w:t>e hypothesi</w:t>
      </w:r>
      <w:r w:rsidR="0033727C" w:rsidRPr="00004558">
        <w:rPr>
          <w:rFonts w:ascii="Times New Roman" w:hAnsi="Times New Roman"/>
          <w:sz w:val="24"/>
          <w:szCs w:val="24"/>
          <w:lang w:val="en-GB"/>
        </w:rPr>
        <w:t>s</w:t>
      </w:r>
      <w:r w:rsidR="00FE5AE8" w:rsidRPr="00004558">
        <w:rPr>
          <w:rFonts w:ascii="Times New Roman" w:hAnsi="Times New Roman"/>
          <w:sz w:val="24"/>
          <w:szCs w:val="24"/>
          <w:lang w:val="en-GB"/>
        </w:rPr>
        <w:t xml:space="preserve">ed that the </w:t>
      </w:r>
      <w:r w:rsidR="006F2FB0" w:rsidRPr="00004558">
        <w:rPr>
          <w:rFonts w:ascii="Times New Roman" w:hAnsi="Times New Roman"/>
          <w:sz w:val="24"/>
          <w:szCs w:val="24"/>
          <w:lang w:val="en-GB"/>
        </w:rPr>
        <w:t>performance</w:t>
      </w:r>
      <w:r w:rsidR="0033727C" w:rsidRPr="00004558">
        <w:rPr>
          <w:rFonts w:ascii="Times New Roman" w:hAnsi="Times New Roman"/>
          <w:sz w:val="24"/>
          <w:szCs w:val="24"/>
          <w:lang w:val="en-GB"/>
        </w:rPr>
        <w:t xml:space="preserve"> </w:t>
      </w:r>
      <w:r w:rsidR="00610150" w:rsidRPr="00004558">
        <w:rPr>
          <w:rFonts w:ascii="Times New Roman" w:hAnsi="Times New Roman"/>
          <w:sz w:val="24"/>
          <w:szCs w:val="24"/>
          <w:lang w:val="en-GB"/>
        </w:rPr>
        <w:t xml:space="preserve">of HbA1c </w:t>
      </w:r>
      <w:r w:rsidR="0033727C" w:rsidRPr="00004558">
        <w:rPr>
          <w:rFonts w:ascii="Times New Roman" w:hAnsi="Times New Roman"/>
          <w:sz w:val="24"/>
          <w:szCs w:val="24"/>
          <w:lang w:val="en-GB"/>
        </w:rPr>
        <w:t>in detecting</w:t>
      </w:r>
      <w:r w:rsidR="006F2FB0" w:rsidRPr="00004558">
        <w:rPr>
          <w:rFonts w:ascii="Times New Roman" w:hAnsi="Times New Roman"/>
          <w:sz w:val="24"/>
          <w:szCs w:val="24"/>
          <w:lang w:val="en-GB"/>
        </w:rPr>
        <w:t xml:space="preserve"> </w:t>
      </w:r>
      <w:r w:rsidR="0045490F" w:rsidRPr="00004558">
        <w:rPr>
          <w:rFonts w:ascii="Times New Roman" w:hAnsi="Times New Roman"/>
          <w:sz w:val="24"/>
          <w:szCs w:val="24"/>
          <w:lang w:val="en-GB"/>
        </w:rPr>
        <w:t xml:space="preserve">dysglycaemia </w:t>
      </w:r>
      <w:r w:rsidR="00610150" w:rsidRPr="00004558">
        <w:rPr>
          <w:rFonts w:ascii="Times New Roman" w:hAnsi="Times New Roman"/>
          <w:sz w:val="24"/>
          <w:szCs w:val="24"/>
          <w:lang w:val="en-GB"/>
        </w:rPr>
        <w:t xml:space="preserve">among women with normal RBC indices would be </w:t>
      </w:r>
      <w:r w:rsidR="00962B5D" w:rsidRPr="00004558">
        <w:rPr>
          <w:rFonts w:ascii="Times New Roman" w:hAnsi="Times New Roman"/>
          <w:sz w:val="24"/>
          <w:szCs w:val="24"/>
          <w:lang w:val="en-GB"/>
        </w:rPr>
        <w:t>greater</w:t>
      </w:r>
      <w:r w:rsidR="00610150" w:rsidRPr="00004558">
        <w:rPr>
          <w:rFonts w:ascii="Times New Roman" w:hAnsi="Times New Roman"/>
          <w:sz w:val="24"/>
          <w:szCs w:val="24"/>
          <w:lang w:val="en-GB"/>
        </w:rPr>
        <w:t xml:space="preserve"> than </w:t>
      </w:r>
      <w:r w:rsidR="0033727C" w:rsidRPr="00004558">
        <w:rPr>
          <w:rFonts w:ascii="Times New Roman" w:hAnsi="Times New Roman"/>
          <w:sz w:val="24"/>
          <w:szCs w:val="24"/>
          <w:lang w:val="en-GB"/>
        </w:rPr>
        <w:t>those</w:t>
      </w:r>
      <w:r w:rsidR="00610150" w:rsidRPr="00004558">
        <w:rPr>
          <w:rFonts w:ascii="Times New Roman" w:hAnsi="Times New Roman"/>
          <w:sz w:val="24"/>
          <w:szCs w:val="24"/>
          <w:lang w:val="en-GB"/>
        </w:rPr>
        <w:t xml:space="preserve"> with abnormal RBC indices</w:t>
      </w:r>
      <w:r w:rsidR="00FE5AE8" w:rsidRPr="00004558">
        <w:rPr>
          <w:rFonts w:ascii="Times New Roman" w:hAnsi="Times New Roman"/>
          <w:sz w:val="24"/>
          <w:szCs w:val="24"/>
          <w:lang w:val="en-GB"/>
        </w:rPr>
        <w:t>.</w:t>
      </w:r>
    </w:p>
    <w:p w14:paraId="675D479D" w14:textId="77777777" w:rsidR="0014569C" w:rsidRPr="00004558" w:rsidRDefault="0014569C" w:rsidP="002B12DF">
      <w:pPr>
        <w:pStyle w:val="NoSpacing"/>
        <w:spacing w:line="480" w:lineRule="auto"/>
        <w:rPr>
          <w:rFonts w:ascii="Times New Roman" w:hAnsi="Times New Roman"/>
          <w:bCs/>
          <w:sz w:val="24"/>
          <w:szCs w:val="24"/>
          <w:lang w:val="en-GB"/>
        </w:rPr>
      </w:pPr>
    </w:p>
    <w:p w14:paraId="3C822B4D" w14:textId="7082DCCB" w:rsidR="00082A16" w:rsidRPr="00004558" w:rsidRDefault="00421644" w:rsidP="002B12DF">
      <w:pPr>
        <w:pStyle w:val="NoSpacing"/>
        <w:spacing w:line="480" w:lineRule="auto"/>
        <w:rPr>
          <w:rFonts w:ascii="Times New Roman" w:hAnsi="Times New Roman"/>
          <w:b/>
          <w:bCs/>
          <w:sz w:val="24"/>
          <w:szCs w:val="24"/>
          <w:lang w:val="en-GB"/>
        </w:rPr>
      </w:pPr>
      <w:r w:rsidRPr="00004558">
        <w:rPr>
          <w:rFonts w:ascii="Times New Roman" w:hAnsi="Times New Roman"/>
          <w:b/>
          <w:bCs/>
          <w:sz w:val="24"/>
          <w:szCs w:val="24"/>
          <w:lang w:val="en-GB"/>
        </w:rPr>
        <w:t xml:space="preserve">Materials and </w:t>
      </w:r>
      <w:r w:rsidR="0046252B" w:rsidRPr="00004558">
        <w:rPr>
          <w:rFonts w:ascii="Times New Roman" w:hAnsi="Times New Roman"/>
          <w:b/>
          <w:bCs/>
          <w:sz w:val="24"/>
          <w:szCs w:val="24"/>
          <w:lang w:val="en-GB"/>
        </w:rPr>
        <w:t>Methods</w:t>
      </w:r>
    </w:p>
    <w:p w14:paraId="68C40608" w14:textId="154EDA46" w:rsidR="00430237" w:rsidRPr="00004558" w:rsidRDefault="006F01D4" w:rsidP="002B12DF">
      <w:pPr>
        <w:pStyle w:val="NoSpacing"/>
        <w:spacing w:line="480" w:lineRule="auto"/>
        <w:rPr>
          <w:rFonts w:ascii="Times New Roman" w:hAnsi="Times New Roman"/>
          <w:b/>
          <w:bCs/>
          <w:sz w:val="24"/>
          <w:szCs w:val="24"/>
          <w:lang w:val="en-GB"/>
        </w:rPr>
      </w:pPr>
      <w:r w:rsidRPr="00004558">
        <w:rPr>
          <w:rFonts w:ascii="Times New Roman" w:hAnsi="Times New Roman"/>
          <w:b/>
          <w:bCs/>
          <w:sz w:val="24"/>
          <w:szCs w:val="24"/>
          <w:lang w:val="en-GB"/>
        </w:rPr>
        <w:t>Study Design and Participants</w:t>
      </w:r>
    </w:p>
    <w:p w14:paraId="432851AC" w14:textId="1E6C45E6" w:rsidR="00430237" w:rsidRPr="00004558" w:rsidRDefault="008A4763" w:rsidP="002B12DF">
      <w:pPr>
        <w:pStyle w:val="NoSpacing"/>
        <w:spacing w:line="480" w:lineRule="auto"/>
        <w:rPr>
          <w:rFonts w:ascii="Times New Roman" w:hAnsi="Times New Roman"/>
          <w:sz w:val="24"/>
          <w:szCs w:val="24"/>
          <w:lang w:val="en-GB"/>
        </w:rPr>
      </w:pPr>
      <w:r w:rsidRPr="00004558">
        <w:rPr>
          <w:rFonts w:ascii="Times New Roman" w:hAnsi="Times New Roman"/>
          <w:sz w:val="24"/>
          <w:szCs w:val="24"/>
          <w:lang w:val="en-GB"/>
        </w:rPr>
        <w:t xml:space="preserve">Data were drawn from the Singapore </w:t>
      </w:r>
      <w:r w:rsidR="0061487B" w:rsidRPr="00004558">
        <w:rPr>
          <w:rFonts w:ascii="Times New Roman" w:hAnsi="Times New Roman"/>
          <w:sz w:val="24"/>
          <w:szCs w:val="24"/>
          <w:lang w:val="en-GB"/>
        </w:rPr>
        <w:t>PREconception Study of l</w:t>
      </w:r>
      <w:r w:rsidRPr="00004558">
        <w:rPr>
          <w:rFonts w:ascii="Times New Roman" w:hAnsi="Times New Roman"/>
          <w:sz w:val="24"/>
          <w:szCs w:val="24"/>
          <w:lang w:val="en-GB"/>
        </w:rPr>
        <w:t xml:space="preserve">ong-Term </w:t>
      </w:r>
      <w:r w:rsidR="0061487B" w:rsidRPr="00004558">
        <w:rPr>
          <w:rFonts w:ascii="Times New Roman" w:hAnsi="Times New Roman"/>
          <w:sz w:val="24"/>
          <w:szCs w:val="24"/>
          <w:lang w:val="en-GB"/>
        </w:rPr>
        <w:t>m</w:t>
      </w:r>
      <w:r w:rsidRPr="00004558">
        <w:rPr>
          <w:rFonts w:ascii="Times New Roman" w:hAnsi="Times New Roman"/>
          <w:sz w:val="24"/>
          <w:szCs w:val="24"/>
          <w:lang w:val="en-GB"/>
        </w:rPr>
        <w:t xml:space="preserve">aternal and </w:t>
      </w:r>
      <w:r w:rsidR="0061487B" w:rsidRPr="00004558">
        <w:rPr>
          <w:rFonts w:ascii="Times New Roman" w:hAnsi="Times New Roman"/>
          <w:sz w:val="24"/>
          <w:szCs w:val="24"/>
          <w:lang w:val="en-GB"/>
        </w:rPr>
        <w:t>c</w:t>
      </w:r>
      <w:r w:rsidRPr="00004558">
        <w:rPr>
          <w:rFonts w:ascii="Times New Roman" w:hAnsi="Times New Roman"/>
          <w:sz w:val="24"/>
          <w:szCs w:val="24"/>
          <w:lang w:val="en-GB"/>
        </w:rPr>
        <w:t>hild Outcomes (S-PRESTO) study</w:t>
      </w:r>
      <w:r w:rsidR="00205AF3" w:rsidRPr="00004558">
        <w:rPr>
          <w:rFonts w:ascii="Times New Roman" w:hAnsi="Times New Roman"/>
          <w:sz w:val="24"/>
          <w:szCs w:val="24"/>
          <w:lang w:val="en-GB"/>
        </w:rPr>
        <w:t xml:space="preserve"> (clinicaltrials.gov, NCT03531658)</w:t>
      </w:r>
      <w:r w:rsidR="00CC1E8B" w:rsidRPr="00004558">
        <w:rPr>
          <w:rFonts w:ascii="Times New Roman" w:hAnsi="Times New Roman"/>
          <w:sz w:val="24"/>
          <w:szCs w:val="24"/>
          <w:lang w:val="en-GB"/>
        </w:rPr>
        <w:t xml:space="preserve"> [15</w:t>
      </w:r>
      <w:r w:rsidR="00BD1928" w:rsidRPr="00004558">
        <w:rPr>
          <w:rFonts w:ascii="Times New Roman" w:hAnsi="Times New Roman"/>
          <w:sz w:val="24"/>
          <w:szCs w:val="24"/>
          <w:lang w:val="en-GB"/>
        </w:rPr>
        <w:t>]</w:t>
      </w:r>
      <w:r w:rsidRPr="00004558">
        <w:rPr>
          <w:rFonts w:ascii="Times New Roman" w:hAnsi="Times New Roman"/>
          <w:sz w:val="24"/>
          <w:szCs w:val="24"/>
          <w:lang w:val="en-GB"/>
        </w:rPr>
        <w:t xml:space="preserve">, which was conducted </w:t>
      </w:r>
      <w:r w:rsidR="00F91FF5" w:rsidRPr="00004558">
        <w:rPr>
          <w:rFonts w:ascii="Times New Roman" w:hAnsi="Times New Roman"/>
          <w:sz w:val="24"/>
          <w:szCs w:val="24"/>
          <w:lang w:val="en-GB"/>
        </w:rPr>
        <w:t xml:space="preserve">in accordance </w:t>
      </w:r>
      <w:r w:rsidR="00A24E29" w:rsidRPr="00004558">
        <w:rPr>
          <w:rFonts w:ascii="Times New Roman" w:hAnsi="Times New Roman"/>
          <w:sz w:val="24"/>
          <w:szCs w:val="24"/>
          <w:lang w:val="en-GB"/>
        </w:rPr>
        <w:t>with</w:t>
      </w:r>
      <w:r w:rsidRPr="00004558">
        <w:rPr>
          <w:rFonts w:ascii="Times New Roman" w:hAnsi="Times New Roman"/>
          <w:sz w:val="24"/>
          <w:szCs w:val="24"/>
          <w:lang w:val="en-GB"/>
        </w:rPr>
        <w:t xml:space="preserve"> the ethi</w:t>
      </w:r>
      <w:r w:rsidR="00D0482C" w:rsidRPr="00004558">
        <w:rPr>
          <w:rFonts w:ascii="Times New Roman" w:hAnsi="Times New Roman"/>
          <w:sz w:val="24"/>
          <w:szCs w:val="24"/>
          <w:lang w:val="en-GB"/>
        </w:rPr>
        <w:t xml:space="preserve">cal principles stated in the </w:t>
      </w:r>
      <w:r w:rsidRPr="00004558">
        <w:rPr>
          <w:rFonts w:ascii="Times New Roman" w:hAnsi="Times New Roman"/>
          <w:sz w:val="24"/>
          <w:szCs w:val="24"/>
          <w:lang w:val="en-GB"/>
        </w:rPr>
        <w:t>Declaration</w:t>
      </w:r>
      <w:r w:rsidR="00D0482C" w:rsidRPr="00004558">
        <w:rPr>
          <w:rFonts w:ascii="Times New Roman" w:hAnsi="Times New Roman"/>
          <w:sz w:val="24"/>
          <w:szCs w:val="24"/>
          <w:lang w:val="en-GB"/>
        </w:rPr>
        <w:t xml:space="preserve"> of Helsinki</w:t>
      </w:r>
      <w:r w:rsidR="00892DC7" w:rsidRPr="00004558">
        <w:rPr>
          <w:rFonts w:ascii="Times New Roman" w:hAnsi="Times New Roman"/>
          <w:sz w:val="24"/>
          <w:szCs w:val="24"/>
          <w:lang w:val="en-GB"/>
        </w:rPr>
        <w:t>.</w:t>
      </w:r>
      <w:r w:rsidRPr="00004558">
        <w:rPr>
          <w:rFonts w:ascii="Times New Roman" w:hAnsi="Times New Roman"/>
          <w:sz w:val="24"/>
          <w:szCs w:val="24"/>
          <w:lang w:val="en-GB"/>
        </w:rPr>
        <w:t xml:space="preserve"> </w:t>
      </w:r>
      <w:r w:rsidR="00892DC7" w:rsidRPr="00004558">
        <w:rPr>
          <w:rFonts w:ascii="Times New Roman" w:hAnsi="Times New Roman"/>
          <w:sz w:val="24"/>
          <w:szCs w:val="24"/>
          <w:lang w:val="en-GB"/>
        </w:rPr>
        <w:t>E</w:t>
      </w:r>
      <w:r w:rsidRPr="00004558">
        <w:rPr>
          <w:rFonts w:ascii="Times New Roman" w:hAnsi="Times New Roman"/>
          <w:sz w:val="24"/>
          <w:szCs w:val="24"/>
          <w:lang w:val="en-GB"/>
        </w:rPr>
        <w:t xml:space="preserve">thical approval </w:t>
      </w:r>
      <w:r w:rsidR="00892DC7" w:rsidRPr="00004558">
        <w:rPr>
          <w:rFonts w:ascii="Times New Roman" w:hAnsi="Times New Roman"/>
          <w:sz w:val="24"/>
          <w:szCs w:val="24"/>
          <w:lang w:val="en-GB"/>
        </w:rPr>
        <w:t xml:space="preserve">was </w:t>
      </w:r>
      <w:r w:rsidRPr="00004558">
        <w:rPr>
          <w:rFonts w:ascii="Times New Roman" w:hAnsi="Times New Roman"/>
          <w:sz w:val="24"/>
          <w:szCs w:val="24"/>
          <w:lang w:val="en-GB"/>
        </w:rPr>
        <w:t>granted by the SingHealth Centralised Institutional Review Board (reference 2014/692/D)</w:t>
      </w:r>
      <w:r w:rsidR="00430237" w:rsidRPr="00004558">
        <w:rPr>
          <w:rFonts w:ascii="Times New Roman" w:hAnsi="Times New Roman"/>
          <w:sz w:val="24"/>
          <w:szCs w:val="24"/>
          <w:lang w:val="en-GB"/>
        </w:rPr>
        <w:t>.</w:t>
      </w:r>
      <w:r w:rsidR="00430237" w:rsidRPr="00004558">
        <w:rPr>
          <w:rFonts w:ascii="Times New Roman" w:hAnsi="Times New Roman"/>
          <w:sz w:val="24"/>
          <w:szCs w:val="24"/>
          <w:lang w:val="en-GB"/>
        </w:rPr>
        <w:tab/>
      </w:r>
    </w:p>
    <w:p w14:paraId="666AEE55" w14:textId="06B1008F" w:rsidR="00C60D1E" w:rsidRPr="00004558" w:rsidRDefault="00185144" w:rsidP="002B12DF">
      <w:pPr>
        <w:pStyle w:val="NoSpacing"/>
        <w:spacing w:line="480" w:lineRule="auto"/>
        <w:ind w:firstLine="720"/>
        <w:rPr>
          <w:rFonts w:ascii="Times New Roman" w:hAnsi="Times New Roman"/>
          <w:sz w:val="24"/>
          <w:szCs w:val="24"/>
          <w:lang w:val="en-GB"/>
        </w:rPr>
      </w:pPr>
      <w:r w:rsidRPr="00004558">
        <w:rPr>
          <w:rFonts w:ascii="Times New Roman" w:hAnsi="Times New Roman"/>
          <w:sz w:val="24"/>
          <w:szCs w:val="24"/>
          <w:lang w:val="en-GB"/>
        </w:rPr>
        <w:t>Participants were recruited from the general population between February 2015 and October 2017 and satisfied the following criteria: (</w:t>
      </w:r>
      <w:r w:rsidR="00264011" w:rsidRPr="00004558">
        <w:rPr>
          <w:rFonts w:ascii="Times New Roman" w:hAnsi="Times New Roman"/>
          <w:sz w:val="24"/>
          <w:szCs w:val="24"/>
          <w:lang w:val="en-GB"/>
        </w:rPr>
        <w:t>a</w:t>
      </w:r>
      <w:r w:rsidRPr="00004558">
        <w:rPr>
          <w:rFonts w:ascii="Times New Roman" w:hAnsi="Times New Roman"/>
          <w:sz w:val="24"/>
          <w:szCs w:val="24"/>
          <w:lang w:val="en-GB"/>
        </w:rPr>
        <w:t xml:space="preserve">) Chinese, Malay, </w:t>
      </w:r>
      <w:r w:rsidR="00C82D1D" w:rsidRPr="00004558">
        <w:rPr>
          <w:rFonts w:ascii="Times New Roman" w:hAnsi="Times New Roman"/>
          <w:sz w:val="24"/>
          <w:szCs w:val="24"/>
          <w:lang w:val="en-GB"/>
        </w:rPr>
        <w:t xml:space="preserve">or </w:t>
      </w:r>
      <w:r w:rsidRPr="00004558">
        <w:rPr>
          <w:rFonts w:ascii="Times New Roman" w:hAnsi="Times New Roman"/>
          <w:sz w:val="24"/>
          <w:szCs w:val="24"/>
          <w:lang w:val="en-GB"/>
        </w:rPr>
        <w:t>Indian ethnicity, or a mixed of any two of these three ethnicities, (</w:t>
      </w:r>
      <w:r w:rsidR="00264011" w:rsidRPr="00004558">
        <w:rPr>
          <w:rFonts w:ascii="Times New Roman" w:hAnsi="Times New Roman"/>
          <w:sz w:val="24"/>
          <w:szCs w:val="24"/>
          <w:lang w:val="en-GB"/>
        </w:rPr>
        <w:t>b</w:t>
      </w:r>
      <w:r w:rsidRPr="00004558">
        <w:rPr>
          <w:rFonts w:ascii="Times New Roman" w:hAnsi="Times New Roman"/>
          <w:sz w:val="24"/>
          <w:szCs w:val="24"/>
          <w:lang w:val="en-GB"/>
        </w:rPr>
        <w:t xml:space="preserve">) between the </w:t>
      </w:r>
      <w:r w:rsidR="002E679F" w:rsidRPr="00004558">
        <w:rPr>
          <w:rFonts w:ascii="Times New Roman" w:hAnsi="Times New Roman"/>
          <w:sz w:val="24"/>
          <w:szCs w:val="24"/>
          <w:lang w:val="en-GB"/>
        </w:rPr>
        <w:t>age</w:t>
      </w:r>
      <w:r w:rsidRPr="00004558">
        <w:rPr>
          <w:rFonts w:ascii="Times New Roman" w:hAnsi="Times New Roman"/>
          <w:sz w:val="24"/>
          <w:szCs w:val="24"/>
          <w:lang w:val="en-GB"/>
        </w:rPr>
        <w:t xml:space="preserve"> of 18-45 years, and (</w:t>
      </w:r>
      <w:r w:rsidR="00264011" w:rsidRPr="00004558">
        <w:rPr>
          <w:rFonts w:ascii="Times New Roman" w:hAnsi="Times New Roman"/>
          <w:sz w:val="24"/>
          <w:szCs w:val="24"/>
          <w:lang w:val="en-GB"/>
        </w:rPr>
        <w:t>c</w:t>
      </w:r>
      <w:r w:rsidRPr="00004558">
        <w:rPr>
          <w:rFonts w:ascii="Times New Roman" w:hAnsi="Times New Roman"/>
          <w:sz w:val="24"/>
          <w:szCs w:val="24"/>
          <w:lang w:val="en-GB"/>
        </w:rPr>
        <w:t>) planning to conceive.</w:t>
      </w:r>
      <w:r w:rsidR="006A4309" w:rsidRPr="00004558">
        <w:rPr>
          <w:rFonts w:ascii="Times New Roman" w:hAnsi="Times New Roman"/>
          <w:sz w:val="24"/>
          <w:szCs w:val="24"/>
          <w:lang w:val="en-GB"/>
        </w:rPr>
        <w:t xml:space="preserve"> Participants</w:t>
      </w:r>
      <w:r w:rsidR="00861D0E" w:rsidRPr="00004558">
        <w:rPr>
          <w:rFonts w:ascii="Times New Roman" w:hAnsi="Times New Roman"/>
          <w:sz w:val="24"/>
          <w:szCs w:val="24"/>
          <w:lang w:val="en-GB"/>
        </w:rPr>
        <w:t xml:space="preserve"> who had been </w:t>
      </w:r>
      <w:r w:rsidR="007A19A8" w:rsidRPr="00004558">
        <w:rPr>
          <w:rFonts w:ascii="Times New Roman" w:hAnsi="Times New Roman"/>
          <w:sz w:val="24"/>
          <w:szCs w:val="24"/>
          <w:lang w:val="en-GB"/>
        </w:rPr>
        <w:t xml:space="preserve">previously </w:t>
      </w:r>
      <w:r w:rsidR="00861D0E" w:rsidRPr="00004558">
        <w:rPr>
          <w:rFonts w:ascii="Times New Roman" w:hAnsi="Times New Roman"/>
          <w:sz w:val="24"/>
          <w:szCs w:val="24"/>
          <w:lang w:val="en-GB"/>
        </w:rPr>
        <w:t xml:space="preserve">diagnosed with </w:t>
      </w:r>
      <w:r w:rsidR="002A0245" w:rsidRPr="00004558">
        <w:rPr>
          <w:rFonts w:ascii="Times New Roman" w:hAnsi="Times New Roman"/>
          <w:sz w:val="24"/>
          <w:szCs w:val="24"/>
          <w:lang w:val="en-GB"/>
        </w:rPr>
        <w:t>t</w:t>
      </w:r>
      <w:r w:rsidR="00861D0E" w:rsidRPr="00004558">
        <w:rPr>
          <w:rFonts w:ascii="Times New Roman" w:hAnsi="Times New Roman"/>
          <w:sz w:val="24"/>
          <w:szCs w:val="24"/>
          <w:lang w:val="en-GB"/>
        </w:rPr>
        <w:t xml:space="preserve">ype 1 or </w:t>
      </w:r>
      <w:r w:rsidR="002A0245" w:rsidRPr="00004558">
        <w:rPr>
          <w:rFonts w:ascii="Times New Roman" w:hAnsi="Times New Roman"/>
          <w:sz w:val="24"/>
          <w:szCs w:val="24"/>
          <w:lang w:val="en-GB"/>
        </w:rPr>
        <w:t>t</w:t>
      </w:r>
      <w:r w:rsidR="00861D0E" w:rsidRPr="00004558">
        <w:rPr>
          <w:rFonts w:ascii="Times New Roman" w:hAnsi="Times New Roman"/>
          <w:sz w:val="24"/>
          <w:szCs w:val="24"/>
          <w:lang w:val="en-GB"/>
        </w:rPr>
        <w:t>ype 2 diabetes</w:t>
      </w:r>
      <w:r w:rsidR="004770E7" w:rsidRPr="00004558">
        <w:rPr>
          <w:rFonts w:ascii="Times New Roman" w:hAnsi="Times New Roman"/>
          <w:sz w:val="24"/>
          <w:szCs w:val="24"/>
          <w:lang w:val="en-GB"/>
        </w:rPr>
        <w:t xml:space="preserve"> mellitus</w:t>
      </w:r>
      <w:r w:rsidR="00992EBC" w:rsidRPr="00004558">
        <w:rPr>
          <w:rFonts w:ascii="Times New Roman" w:hAnsi="Times New Roman"/>
          <w:sz w:val="24"/>
          <w:szCs w:val="24"/>
          <w:lang w:val="en-GB"/>
        </w:rPr>
        <w:t xml:space="preserve">, </w:t>
      </w:r>
      <w:r w:rsidR="00861D0E" w:rsidRPr="00004558">
        <w:rPr>
          <w:rFonts w:ascii="Times New Roman" w:hAnsi="Times New Roman"/>
          <w:sz w:val="24"/>
          <w:szCs w:val="24"/>
          <w:lang w:val="en-GB"/>
        </w:rPr>
        <w:t>had taken anticonvulsant medicat</w:t>
      </w:r>
      <w:r w:rsidR="00992EBC" w:rsidRPr="00004558">
        <w:rPr>
          <w:rFonts w:ascii="Times New Roman" w:hAnsi="Times New Roman"/>
          <w:sz w:val="24"/>
          <w:szCs w:val="24"/>
          <w:lang w:val="en-GB"/>
        </w:rPr>
        <w:t>ion</w:t>
      </w:r>
      <w:r w:rsidR="00841573" w:rsidRPr="00004558">
        <w:rPr>
          <w:rFonts w:ascii="Times New Roman" w:hAnsi="Times New Roman"/>
          <w:sz w:val="24"/>
          <w:szCs w:val="24"/>
          <w:lang w:val="en-GB"/>
        </w:rPr>
        <w:t xml:space="preserve">s or </w:t>
      </w:r>
      <w:r w:rsidR="00992EBC" w:rsidRPr="00004558">
        <w:rPr>
          <w:rFonts w:ascii="Times New Roman" w:hAnsi="Times New Roman"/>
          <w:sz w:val="24"/>
          <w:szCs w:val="24"/>
          <w:lang w:val="en-GB"/>
        </w:rPr>
        <w:t>oral steroids, or had received</w:t>
      </w:r>
      <w:r w:rsidR="006A4309" w:rsidRPr="00004558">
        <w:rPr>
          <w:rFonts w:ascii="Times New Roman" w:hAnsi="Times New Roman"/>
          <w:sz w:val="24"/>
          <w:szCs w:val="24"/>
          <w:lang w:val="en-GB"/>
        </w:rPr>
        <w:t xml:space="preserve"> fertility treatment in the previous</w:t>
      </w:r>
      <w:r w:rsidR="00992EBC" w:rsidRPr="00004558">
        <w:rPr>
          <w:rFonts w:ascii="Times New Roman" w:hAnsi="Times New Roman"/>
          <w:sz w:val="24"/>
          <w:szCs w:val="24"/>
          <w:lang w:val="en-GB"/>
        </w:rPr>
        <w:t xml:space="preserve"> one month were excluded from the study. Informed written consent was obtained from all participants.</w:t>
      </w:r>
    </w:p>
    <w:p w14:paraId="79421D01" w14:textId="77777777" w:rsidR="0014569C" w:rsidRPr="00004558" w:rsidRDefault="0014569C" w:rsidP="002B12DF">
      <w:pPr>
        <w:pStyle w:val="NoSpacing"/>
        <w:spacing w:line="480" w:lineRule="auto"/>
        <w:rPr>
          <w:rFonts w:ascii="Times New Roman" w:hAnsi="Times New Roman"/>
          <w:bCs/>
          <w:sz w:val="24"/>
          <w:szCs w:val="24"/>
          <w:lang w:val="en-GB"/>
        </w:rPr>
      </w:pPr>
    </w:p>
    <w:p w14:paraId="65F850E3" w14:textId="2FEB8460" w:rsidR="00421644" w:rsidRPr="00004558" w:rsidRDefault="00992EBC" w:rsidP="002B12DF">
      <w:pPr>
        <w:pStyle w:val="NoSpacing"/>
        <w:spacing w:line="480" w:lineRule="auto"/>
        <w:rPr>
          <w:rFonts w:ascii="Times New Roman" w:hAnsi="Times New Roman"/>
          <w:b/>
          <w:bCs/>
          <w:sz w:val="24"/>
          <w:szCs w:val="24"/>
          <w:lang w:val="en-GB"/>
        </w:rPr>
      </w:pPr>
      <w:r w:rsidRPr="00004558">
        <w:rPr>
          <w:rFonts w:ascii="Times New Roman" w:hAnsi="Times New Roman"/>
          <w:b/>
          <w:bCs/>
          <w:sz w:val="24"/>
          <w:szCs w:val="24"/>
          <w:lang w:val="en-GB"/>
        </w:rPr>
        <w:t>Data Collection</w:t>
      </w:r>
    </w:p>
    <w:p w14:paraId="7A12FF16" w14:textId="02ECEAAD" w:rsidR="00430237" w:rsidRPr="00004558" w:rsidRDefault="00992EBC" w:rsidP="002B12DF">
      <w:pPr>
        <w:pStyle w:val="NoSpacing"/>
        <w:spacing w:line="480" w:lineRule="auto"/>
        <w:rPr>
          <w:rFonts w:ascii="Times New Roman" w:hAnsi="Times New Roman"/>
          <w:sz w:val="24"/>
          <w:szCs w:val="24"/>
          <w:lang w:val="en-GB"/>
        </w:rPr>
      </w:pPr>
      <w:r w:rsidRPr="00004558">
        <w:rPr>
          <w:rFonts w:ascii="Times New Roman" w:hAnsi="Times New Roman"/>
          <w:sz w:val="24"/>
          <w:szCs w:val="24"/>
          <w:lang w:val="en-GB"/>
        </w:rPr>
        <w:t xml:space="preserve">Detailed measurements </w:t>
      </w:r>
      <w:r w:rsidR="00F604E2" w:rsidRPr="00004558">
        <w:rPr>
          <w:rFonts w:ascii="Times New Roman" w:hAnsi="Times New Roman"/>
          <w:sz w:val="24"/>
          <w:szCs w:val="24"/>
          <w:lang w:val="en-GB"/>
        </w:rPr>
        <w:t xml:space="preserve">and blood collection </w:t>
      </w:r>
      <w:r w:rsidRPr="00004558">
        <w:rPr>
          <w:rFonts w:ascii="Times New Roman" w:hAnsi="Times New Roman"/>
          <w:sz w:val="24"/>
          <w:szCs w:val="24"/>
          <w:lang w:val="en-GB"/>
        </w:rPr>
        <w:t>were conducted at the first recruitment</w:t>
      </w:r>
      <w:r w:rsidR="00E9319E" w:rsidRPr="00004558">
        <w:rPr>
          <w:rFonts w:ascii="Times New Roman" w:hAnsi="Times New Roman"/>
          <w:sz w:val="24"/>
          <w:szCs w:val="24"/>
          <w:lang w:val="en-GB"/>
        </w:rPr>
        <w:t xml:space="preserve"> visit, by trained research staff in the clinic </w:t>
      </w:r>
      <w:r w:rsidR="00851904" w:rsidRPr="00004558">
        <w:rPr>
          <w:rFonts w:ascii="Times New Roman" w:hAnsi="Times New Roman"/>
          <w:sz w:val="24"/>
          <w:szCs w:val="24"/>
          <w:lang w:val="en-GB"/>
        </w:rPr>
        <w:t>of</w:t>
      </w:r>
      <w:r w:rsidR="00E9319E" w:rsidRPr="00004558">
        <w:rPr>
          <w:rFonts w:ascii="Times New Roman" w:hAnsi="Times New Roman"/>
          <w:sz w:val="24"/>
          <w:szCs w:val="24"/>
          <w:lang w:val="en-GB"/>
        </w:rPr>
        <w:t xml:space="preserve"> KK Women’s and Children’s Hospital</w:t>
      </w:r>
      <w:r w:rsidR="001E40CD" w:rsidRPr="00004558">
        <w:rPr>
          <w:rFonts w:ascii="Times New Roman" w:hAnsi="Times New Roman"/>
          <w:sz w:val="24"/>
          <w:szCs w:val="24"/>
          <w:lang w:val="en-GB"/>
        </w:rPr>
        <w:t>, Singapore</w:t>
      </w:r>
      <w:r w:rsidR="00E9319E" w:rsidRPr="00004558">
        <w:rPr>
          <w:rFonts w:ascii="Times New Roman" w:hAnsi="Times New Roman"/>
          <w:sz w:val="24"/>
          <w:szCs w:val="24"/>
          <w:lang w:val="en-GB"/>
        </w:rPr>
        <w:t>.</w:t>
      </w:r>
    </w:p>
    <w:p w14:paraId="78E50762" w14:textId="77777777" w:rsidR="0014569C" w:rsidRPr="00004558" w:rsidRDefault="0014569C" w:rsidP="002B12DF">
      <w:pPr>
        <w:pStyle w:val="NoSpacing"/>
        <w:spacing w:line="480" w:lineRule="auto"/>
        <w:rPr>
          <w:rFonts w:ascii="Times New Roman" w:hAnsi="Times New Roman"/>
          <w:bCs/>
          <w:sz w:val="24"/>
          <w:szCs w:val="24"/>
          <w:lang w:val="en-GB"/>
        </w:rPr>
      </w:pPr>
    </w:p>
    <w:p w14:paraId="45D0F45D" w14:textId="203A553F" w:rsidR="003450EE" w:rsidRPr="00004558" w:rsidRDefault="001F4ED1" w:rsidP="002B12DF">
      <w:pPr>
        <w:pStyle w:val="NoSpacing"/>
        <w:spacing w:line="480" w:lineRule="auto"/>
        <w:rPr>
          <w:rFonts w:ascii="Times New Roman" w:hAnsi="Times New Roman"/>
          <w:b/>
          <w:bCs/>
          <w:sz w:val="24"/>
          <w:szCs w:val="24"/>
          <w:lang w:val="en-GB"/>
        </w:rPr>
      </w:pPr>
      <w:r w:rsidRPr="00004558">
        <w:rPr>
          <w:rFonts w:ascii="Times New Roman" w:hAnsi="Times New Roman"/>
          <w:b/>
          <w:bCs/>
          <w:sz w:val="24"/>
          <w:szCs w:val="24"/>
          <w:lang w:val="en-GB"/>
        </w:rPr>
        <w:t>M</w:t>
      </w:r>
      <w:r w:rsidR="00231433" w:rsidRPr="00004558">
        <w:rPr>
          <w:rFonts w:ascii="Times New Roman" w:hAnsi="Times New Roman"/>
          <w:b/>
          <w:bCs/>
          <w:sz w:val="24"/>
          <w:szCs w:val="24"/>
          <w:lang w:val="en-GB"/>
        </w:rPr>
        <w:t>CV and Hb</w:t>
      </w:r>
      <w:r w:rsidRPr="00004558">
        <w:rPr>
          <w:rFonts w:ascii="Times New Roman" w:hAnsi="Times New Roman"/>
          <w:b/>
          <w:bCs/>
          <w:sz w:val="24"/>
          <w:szCs w:val="24"/>
          <w:lang w:val="en-GB"/>
        </w:rPr>
        <w:t xml:space="preserve"> levels</w:t>
      </w:r>
      <w:r w:rsidR="00F8362F" w:rsidRPr="00004558">
        <w:rPr>
          <w:rFonts w:ascii="Times New Roman" w:hAnsi="Times New Roman"/>
          <w:b/>
          <w:bCs/>
          <w:sz w:val="24"/>
          <w:szCs w:val="24"/>
          <w:lang w:val="en-GB"/>
        </w:rPr>
        <w:t xml:space="preserve"> and RBC count</w:t>
      </w:r>
    </w:p>
    <w:p w14:paraId="7C3B79E9" w14:textId="7DE50FB2" w:rsidR="00BE5C10" w:rsidRPr="00004558" w:rsidRDefault="00BE5C10" w:rsidP="002B12DF">
      <w:pPr>
        <w:pStyle w:val="NoSpacing"/>
        <w:spacing w:line="480" w:lineRule="auto"/>
        <w:rPr>
          <w:rFonts w:ascii="Times New Roman" w:hAnsi="Times New Roman"/>
          <w:sz w:val="24"/>
          <w:szCs w:val="24"/>
          <w:lang w:val="en-GB"/>
        </w:rPr>
      </w:pPr>
      <w:r w:rsidRPr="00004558">
        <w:rPr>
          <w:rFonts w:ascii="Times New Roman" w:hAnsi="Times New Roman"/>
          <w:sz w:val="24"/>
          <w:szCs w:val="24"/>
          <w:lang w:val="en-GB"/>
        </w:rPr>
        <w:t>Overnight fasting blood samples were collected from all participants at the recruitment visits and analysed for haemato</w:t>
      </w:r>
      <w:r w:rsidR="00D45B87" w:rsidRPr="00004558">
        <w:rPr>
          <w:rFonts w:ascii="Times New Roman" w:hAnsi="Times New Roman"/>
          <w:sz w:val="24"/>
          <w:szCs w:val="24"/>
          <w:lang w:val="en-GB"/>
        </w:rPr>
        <w:t>lo</w:t>
      </w:r>
      <w:r w:rsidRPr="00004558">
        <w:rPr>
          <w:rFonts w:ascii="Times New Roman" w:hAnsi="Times New Roman"/>
          <w:sz w:val="24"/>
          <w:szCs w:val="24"/>
          <w:lang w:val="en-GB"/>
        </w:rPr>
        <w:t xml:space="preserve">gical parameters. </w:t>
      </w:r>
      <w:r w:rsidR="001F4ED1" w:rsidRPr="00004558">
        <w:rPr>
          <w:rFonts w:ascii="Times New Roman" w:hAnsi="Times New Roman"/>
          <w:sz w:val="24"/>
          <w:szCs w:val="24"/>
          <w:lang w:val="en-GB"/>
        </w:rPr>
        <w:t>MCV</w:t>
      </w:r>
      <w:r w:rsidR="00F8362F" w:rsidRPr="00004558">
        <w:rPr>
          <w:rFonts w:ascii="Times New Roman" w:hAnsi="Times New Roman"/>
          <w:sz w:val="24"/>
          <w:szCs w:val="24"/>
          <w:lang w:val="en-GB"/>
        </w:rPr>
        <w:t>,</w:t>
      </w:r>
      <w:r w:rsidR="001F4ED1" w:rsidRPr="00004558">
        <w:rPr>
          <w:rFonts w:ascii="Times New Roman" w:hAnsi="Times New Roman"/>
          <w:sz w:val="24"/>
          <w:szCs w:val="24"/>
          <w:lang w:val="en-GB"/>
        </w:rPr>
        <w:t xml:space="preserve"> </w:t>
      </w:r>
      <w:r w:rsidR="00175523" w:rsidRPr="00004558">
        <w:rPr>
          <w:rFonts w:ascii="Times New Roman" w:hAnsi="Times New Roman"/>
          <w:sz w:val="24"/>
          <w:szCs w:val="24"/>
          <w:lang w:val="en-GB"/>
        </w:rPr>
        <w:t>Hb</w:t>
      </w:r>
      <w:r w:rsidR="00F8362F" w:rsidRPr="00004558">
        <w:rPr>
          <w:rFonts w:ascii="Times New Roman" w:hAnsi="Times New Roman"/>
          <w:sz w:val="24"/>
          <w:szCs w:val="24"/>
          <w:lang w:val="en-GB"/>
        </w:rPr>
        <w:t xml:space="preserve"> and RBC count</w:t>
      </w:r>
      <w:r w:rsidR="00175523" w:rsidRPr="00004558">
        <w:rPr>
          <w:rFonts w:ascii="Times New Roman" w:hAnsi="Times New Roman"/>
          <w:sz w:val="24"/>
          <w:szCs w:val="24"/>
          <w:lang w:val="en-GB"/>
        </w:rPr>
        <w:t xml:space="preserve"> </w:t>
      </w:r>
      <w:r w:rsidR="001F4ED1" w:rsidRPr="00004558">
        <w:rPr>
          <w:rFonts w:ascii="Times New Roman" w:hAnsi="Times New Roman"/>
          <w:sz w:val="24"/>
          <w:szCs w:val="24"/>
          <w:lang w:val="en-GB"/>
        </w:rPr>
        <w:t>w</w:t>
      </w:r>
      <w:r w:rsidR="00175523" w:rsidRPr="00004558">
        <w:rPr>
          <w:rFonts w:ascii="Times New Roman" w:hAnsi="Times New Roman"/>
          <w:sz w:val="24"/>
          <w:szCs w:val="24"/>
          <w:lang w:val="en-GB"/>
        </w:rPr>
        <w:t xml:space="preserve">ere </w:t>
      </w:r>
      <w:r w:rsidR="001F4ED1" w:rsidRPr="00004558">
        <w:rPr>
          <w:rFonts w:ascii="Times New Roman" w:hAnsi="Times New Roman"/>
          <w:sz w:val="24"/>
          <w:szCs w:val="24"/>
          <w:lang w:val="en-GB"/>
        </w:rPr>
        <w:t>measured as part of c</w:t>
      </w:r>
      <w:r w:rsidRPr="00004558">
        <w:rPr>
          <w:rFonts w:ascii="Times New Roman" w:hAnsi="Times New Roman"/>
          <w:sz w:val="24"/>
          <w:szCs w:val="24"/>
          <w:lang w:val="en-GB"/>
        </w:rPr>
        <w:t>omplete blood count using the Sysmex XE-5000 analyser (Sysmex Corporation)</w:t>
      </w:r>
      <w:r w:rsidR="005F373F" w:rsidRPr="00004558">
        <w:rPr>
          <w:rFonts w:ascii="Times New Roman" w:hAnsi="Times New Roman"/>
          <w:sz w:val="24"/>
          <w:szCs w:val="24"/>
          <w:lang w:val="en-GB"/>
        </w:rPr>
        <w:t xml:space="preserve"> or XN-1000 analyser (Sysmex Corporation)</w:t>
      </w:r>
      <w:r w:rsidRPr="00004558">
        <w:rPr>
          <w:rFonts w:ascii="Times New Roman" w:hAnsi="Times New Roman"/>
          <w:sz w:val="24"/>
          <w:szCs w:val="24"/>
          <w:lang w:val="en-GB"/>
        </w:rPr>
        <w:t>.</w:t>
      </w:r>
      <w:r w:rsidR="005F373F" w:rsidRPr="00004558">
        <w:rPr>
          <w:rFonts w:ascii="Times New Roman" w:hAnsi="Times New Roman"/>
          <w:sz w:val="24"/>
          <w:szCs w:val="24"/>
          <w:lang w:val="en-GB"/>
        </w:rPr>
        <w:t xml:space="preserve"> Measurements by both analysers were validated in accordance to the 2017 Clinical Laboratory Standard Institutes (CLSI) guidelines.</w:t>
      </w:r>
      <w:r w:rsidR="00AD5D3A" w:rsidRPr="00004558">
        <w:rPr>
          <w:rFonts w:ascii="Times New Roman" w:hAnsi="Times New Roman"/>
          <w:sz w:val="24"/>
          <w:szCs w:val="24"/>
          <w:lang w:val="en-GB"/>
        </w:rPr>
        <w:t xml:space="preserve"> </w:t>
      </w:r>
    </w:p>
    <w:p w14:paraId="5E5FE5FB" w14:textId="4A4E675E" w:rsidR="005105A9" w:rsidRPr="00004558" w:rsidRDefault="008D218A" w:rsidP="00123925">
      <w:pPr>
        <w:pStyle w:val="NoSpacing"/>
        <w:spacing w:line="480" w:lineRule="auto"/>
        <w:ind w:firstLine="720"/>
        <w:rPr>
          <w:rFonts w:ascii="Times New Roman" w:hAnsi="Times New Roman"/>
          <w:sz w:val="24"/>
          <w:szCs w:val="24"/>
          <w:lang w:val="en-GB"/>
        </w:rPr>
      </w:pPr>
      <w:r w:rsidRPr="00004558">
        <w:rPr>
          <w:rFonts w:ascii="Times New Roman" w:hAnsi="Times New Roman"/>
          <w:sz w:val="24"/>
          <w:szCs w:val="24"/>
          <w:lang w:val="en-GB"/>
        </w:rPr>
        <w:t>Women were classified as normal if their Hb and MCV were 12-16 g/dL and 80-100 fL, respectively; counterparts were classified as abnormal (low Hb &lt;12</w:t>
      </w:r>
      <w:r w:rsidR="009F0762" w:rsidRPr="00004558">
        <w:rPr>
          <w:rFonts w:ascii="Times New Roman" w:hAnsi="Times New Roman"/>
          <w:sz w:val="24"/>
          <w:szCs w:val="24"/>
          <w:lang w:val="en-GB"/>
        </w:rPr>
        <w:t xml:space="preserve"> </w:t>
      </w:r>
      <w:r w:rsidRPr="00004558">
        <w:rPr>
          <w:rFonts w:ascii="Times New Roman" w:hAnsi="Times New Roman"/>
          <w:sz w:val="24"/>
          <w:szCs w:val="24"/>
          <w:lang w:val="en-GB"/>
        </w:rPr>
        <w:t>g/dL and/ or low MCV &lt;100</w:t>
      </w:r>
      <w:r w:rsidR="009F0762" w:rsidRPr="00004558">
        <w:rPr>
          <w:rFonts w:ascii="Times New Roman" w:hAnsi="Times New Roman"/>
          <w:sz w:val="24"/>
          <w:szCs w:val="24"/>
          <w:lang w:val="en-GB"/>
        </w:rPr>
        <w:t xml:space="preserve"> </w:t>
      </w:r>
      <w:r w:rsidRPr="00004558">
        <w:rPr>
          <w:rFonts w:ascii="Times New Roman" w:hAnsi="Times New Roman"/>
          <w:sz w:val="24"/>
          <w:szCs w:val="24"/>
          <w:lang w:val="en-GB"/>
        </w:rPr>
        <w:t>fL) [</w:t>
      </w:r>
      <w:r w:rsidR="00CC1E8B" w:rsidRPr="00004558">
        <w:rPr>
          <w:rFonts w:ascii="Times New Roman" w:hAnsi="Times New Roman"/>
          <w:sz w:val="24"/>
          <w:szCs w:val="24"/>
          <w:lang w:val="en-GB"/>
        </w:rPr>
        <w:t>16,17</w:t>
      </w:r>
      <w:r w:rsidRPr="00004558">
        <w:rPr>
          <w:rFonts w:ascii="Times New Roman" w:hAnsi="Times New Roman"/>
          <w:sz w:val="24"/>
          <w:szCs w:val="24"/>
          <w:lang w:val="en-GB"/>
        </w:rPr>
        <w:t>]. None of them had Hb &gt;16</w:t>
      </w:r>
      <w:r w:rsidR="009F0762" w:rsidRPr="00004558">
        <w:rPr>
          <w:rFonts w:ascii="Times New Roman" w:hAnsi="Times New Roman"/>
          <w:sz w:val="24"/>
          <w:szCs w:val="24"/>
          <w:lang w:val="en-GB"/>
        </w:rPr>
        <w:t xml:space="preserve"> </w:t>
      </w:r>
      <w:r w:rsidRPr="00004558">
        <w:rPr>
          <w:rFonts w:ascii="Times New Roman" w:hAnsi="Times New Roman"/>
          <w:sz w:val="24"/>
          <w:szCs w:val="24"/>
          <w:lang w:val="en-GB"/>
        </w:rPr>
        <w:t>g/dL or MCV &gt;100</w:t>
      </w:r>
      <w:r w:rsidR="009F0762" w:rsidRPr="00004558">
        <w:rPr>
          <w:rFonts w:ascii="Times New Roman" w:hAnsi="Times New Roman"/>
          <w:sz w:val="24"/>
          <w:szCs w:val="24"/>
          <w:lang w:val="en-GB"/>
        </w:rPr>
        <w:t xml:space="preserve"> </w:t>
      </w:r>
      <w:r w:rsidRPr="00004558">
        <w:rPr>
          <w:rFonts w:ascii="Times New Roman" w:hAnsi="Times New Roman"/>
          <w:sz w:val="24"/>
          <w:szCs w:val="24"/>
          <w:lang w:val="en-GB"/>
        </w:rPr>
        <w:t xml:space="preserve">fL. Based on Hb and MCV distributions, we further classified women with abnormal RBC indices into: (i) normal Hb &amp; low MCV; (ii) low Hb &amp; normal MCV; (iii) low Hb &amp; low MCV. </w:t>
      </w:r>
    </w:p>
    <w:p w14:paraId="7F8B21DC" w14:textId="77777777" w:rsidR="008D218A" w:rsidRPr="00004558" w:rsidRDefault="008D218A" w:rsidP="002B12DF">
      <w:pPr>
        <w:pStyle w:val="NoSpacing"/>
        <w:spacing w:line="480" w:lineRule="auto"/>
        <w:ind w:firstLine="720"/>
        <w:rPr>
          <w:rFonts w:ascii="Times New Roman" w:hAnsi="Times New Roman"/>
          <w:sz w:val="24"/>
          <w:szCs w:val="24"/>
          <w:lang w:val="en-GB"/>
        </w:rPr>
      </w:pPr>
    </w:p>
    <w:p w14:paraId="28C480B9" w14:textId="67200FE3" w:rsidR="001C2D67" w:rsidRPr="00004558" w:rsidRDefault="006A4309" w:rsidP="002B12DF">
      <w:pPr>
        <w:pStyle w:val="NoSpacing"/>
        <w:spacing w:line="480" w:lineRule="auto"/>
        <w:rPr>
          <w:rFonts w:ascii="Times New Roman" w:hAnsi="Times New Roman"/>
          <w:b/>
          <w:bCs/>
          <w:sz w:val="24"/>
          <w:szCs w:val="24"/>
          <w:lang w:val="en-GB"/>
        </w:rPr>
      </w:pPr>
      <w:r w:rsidRPr="00004558">
        <w:rPr>
          <w:rFonts w:ascii="Times New Roman" w:hAnsi="Times New Roman"/>
          <w:b/>
          <w:bCs/>
          <w:sz w:val="24"/>
          <w:szCs w:val="24"/>
          <w:lang w:val="en-GB"/>
        </w:rPr>
        <w:t>Plasma Glucose Concentrations and HbA1c level</w:t>
      </w:r>
      <w:r w:rsidR="00802858" w:rsidRPr="00004558">
        <w:rPr>
          <w:rFonts w:ascii="Times New Roman" w:hAnsi="Times New Roman"/>
          <w:b/>
          <w:bCs/>
          <w:sz w:val="24"/>
          <w:szCs w:val="24"/>
          <w:lang w:val="en-GB"/>
        </w:rPr>
        <w:t>s</w:t>
      </w:r>
    </w:p>
    <w:p w14:paraId="158AFA9F" w14:textId="354635A5" w:rsidR="0035020C" w:rsidRPr="00004558" w:rsidRDefault="00BE5C10" w:rsidP="002B12DF">
      <w:pPr>
        <w:pStyle w:val="NoSpacing"/>
        <w:spacing w:line="480" w:lineRule="auto"/>
        <w:rPr>
          <w:rFonts w:ascii="Times New Roman" w:hAnsi="Times New Roman"/>
          <w:sz w:val="24"/>
          <w:szCs w:val="24"/>
          <w:lang w:val="en-GB"/>
        </w:rPr>
      </w:pPr>
      <w:r w:rsidRPr="00004558">
        <w:rPr>
          <w:rFonts w:ascii="Times New Roman" w:hAnsi="Times New Roman"/>
          <w:sz w:val="24"/>
          <w:szCs w:val="24"/>
          <w:lang w:val="en-GB"/>
        </w:rPr>
        <w:t xml:space="preserve">In addition to </w:t>
      </w:r>
      <w:r w:rsidR="00946440" w:rsidRPr="00004558">
        <w:rPr>
          <w:rFonts w:ascii="Times New Roman" w:hAnsi="Times New Roman"/>
          <w:sz w:val="24"/>
          <w:szCs w:val="24"/>
          <w:lang w:val="en-GB"/>
        </w:rPr>
        <w:t xml:space="preserve">the </w:t>
      </w:r>
      <w:r w:rsidRPr="00004558">
        <w:rPr>
          <w:rFonts w:ascii="Times New Roman" w:hAnsi="Times New Roman"/>
          <w:sz w:val="24"/>
          <w:szCs w:val="24"/>
          <w:lang w:val="en-GB"/>
        </w:rPr>
        <w:t xml:space="preserve">collection of overnight fasting blood samples, all participants </w:t>
      </w:r>
      <w:r w:rsidR="009B45A2" w:rsidRPr="00004558">
        <w:rPr>
          <w:rFonts w:ascii="Times New Roman" w:hAnsi="Times New Roman"/>
          <w:sz w:val="24"/>
          <w:szCs w:val="24"/>
          <w:lang w:val="en-GB"/>
        </w:rPr>
        <w:t xml:space="preserve">underwent </w:t>
      </w:r>
      <w:r w:rsidRPr="00004558">
        <w:rPr>
          <w:rFonts w:ascii="Times New Roman" w:hAnsi="Times New Roman"/>
          <w:sz w:val="24"/>
          <w:szCs w:val="24"/>
          <w:lang w:val="en-GB"/>
        </w:rPr>
        <w:t>a 75-g</w:t>
      </w:r>
      <w:r w:rsidR="00713609" w:rsidRPr="00004558">
        <w:rPr>
          <w:rFonts w:ascii="Times New Roman" w:hAnsi="Times New Roman"/>
          <w:sz w:val="24"/>
          <w:szCs w:val="24"/>
          <w:lang w:val="en-GB"/>
        </w:rPr>
        <w:t>ram</w:t>
      </w:r>
      <w:r w:rsidRPr="00004558">
        <w:rPr>
          <w:rFonts w:ascii="Times New Roman" w:hAnsi="Times New Roman"/>
          <w:sz w:val="24"/>
          <w:szCs w:val="24"/>
          <w:lang w:val="en-GB"/>
        </w:rPr>
        <w:t xml:space="preserve"> OGTT. </w:t>
      </w:r>
      <w:r w:rsidR="000901FE" w:rsidRPr="00004558">
        <w:rPr>
          <w:rFonts w:ascii="Times New Roman" w:hAnsi="Times New Roman"/>
          <w:sz w:val="24"/>
          <w:szCs w:val="24"/>
          <w:lang w:val="en-GB"/>
        </w:rPr>
        <w:t>To reduce glycolysis after blood collection, blood tubes containing sodium fluoride were used to collect samples for glucose testing; for HbA1c testing, samples were collected in EDTA tubes. All samples were kept cold</w:t>
      </w:r>
      <w:r w:rsidR="00982055" w:rsidRPr="00004558">
        <w:rPr>
          <w:rFonts w:ascii="Times New Roman" w:hAnsi="Times New Roman"/>
          <w:sz w:val="24"/>
          <w:szCs w:val="24"/>
          <w:lang w:val="en-GB"/>
        </w:rPr>
        <w:t xml:space="preserve"> </w:t>
      </w:r>
      <w:r w:rsidR="00D0170D" w:rsidRPr="00004558">
        <w:rPr>
          <w:rFonts w:ascii="Times New Roman" w:hAnsi="Times New Roman"/>
          <w:sz w:val="24"/>
          <w:szCs w:val="24"/>
          <w:lang w:val="en-GB"/>
        </w:rPr>
        <w:t>on ice</w:t>
      </w:r>
      <w:r w:rsidR="00982055" w:rsidRPr="00004558">
        <w:rPr>
          <w:rFonts w:ascii="Times New Roman" w:hAnsi="Times New Roman"/>
          <w:sz w:val="24"/>
          <w:szCs w:val="24"/>
          <w:lang w:val="en-GB"/>
        </w:rPr>
        <w:t>,</w:t>
      </w:r>
      <w:r w:rsidR="007D6749" w:rsidRPr="00004558">
        <w:rPr>
          <w:rFonts w:ascii="Times New Roman" w:hAnsi="Times New Roman"/>
          <w:sz w:val="24"/>
          <w:szCs w:val="24"/>
          <w:lang w:val="en-GB"/>
        </w:rPr>
        <w:t xml:space="preserve"> </w:t>
      </w:r>
      <w:r w:rsidR="00966E0E" w:rsidRPr="00004558">
        <w:rPr>
          <w:rFonts w:ascii="Times New Roman" w:hAnsi="Times New Roman"/>
          <w:sz w:val="24"/>
          <w:szCs w:val="24"/>
          <w:lang w:val="en-GB"/>
        </w:rPr>
        <w:t xml:space="preserve">immediately </w:t>
      </w:r>
      <w:r w:rsidR="00982055" w:rsidRPr="00004558">
        <w:rPr>
          <w:rFonts w:ascii="Times New Roman" w:hAnsi="Times New Roman"/>
          <w:sz w:val="24"/>
          <w:szCs w:val="24"/>
          <w:lang w:val="en-GB"/>
        </w:rPr>
        <w:t xml:space="preserve">sent to lab, centrifuged </w:t>
      </w:r>
      <w:r w:rsidR="000D0A00" w:rsidRPr="00004558">
        <w:rPr>
          <w:rFonts w:ascii="Times New Roman" w:hAnsi="Times New Roman"/>
          <w:sz w:val="24"/>
          <w:szCs w:val="24"/>
          <w:lang w:val="en-GB"/>
        </w:rPr>
        <w:t xml:space="preserve">within 30 minutes </w:t>
      </w:r>
      <w:r w:rsidR="00982055" w:rsidRPr="00004558">
        <w:rPr>
          <w:rFonts w:ascii="Times New Roman" w:hAnsi="Times New Roman"/>
          <w:sz w:val="24"/>
          <w:szCs w:val="24"/>
          <w:lang w:val="en-GB"/>
        </w:rPr>
        <w:t xml:space="preserve">and analysed </w:t>
      </w:r>
      <w:r w:rsidR="000901FE" w:rsidRPr="00004558">
        <w:rPr>
          <w:rFonts w:ascii="Times New Roman" w:hAnsi="Times New Roman"/>
          <w:sz w:val="24"/>
          <w:szCs w:val="24"/>
          <w:lang w:val="en-GB"/>
        </w:rPr>
        <w:t xml:space="preserve">within </w:t>
      </w:r>
      <w:r w:rsidR="000D0A00" w:rsidRPr="00004558">
        <w:rPr>
          <w:rFonts w:ascii="Times New Roman" w:hAnsi="Times New Roman"/>
          <w:sz w:val="24"/>
          <w:szCs w:val="24"/>
          <w:lang w:val="en-GB"/>
        </w:rPr>
        <w:t xml:space="preserve">1 hour </w:t>
      </w:r>
      <w:r w:rsidR="000901FE" w:rsidRPr="00004558">
        <w:rPr>
          <w:rFonts w:ascii="Times New Roman" w:hAnsi="Times New Roman"/>
          <w:sz w:val="24"/>
          <w:szCs w:val="24"/>
          <w:lang w:val="en-GB"/>
        </w:rPr>
        <w:t>from the time of earliest blood draw. Fasting plasma glucose (FPG), 2-hour postprandial plasma glucose (2hPPG) and HbA1c levels were measured using the ARCHITECT c8000 Clinical Chemistry Analyser (Abbott Laboratories), which had received National Glycohaemoglobin Standardisation Programme certification for HbA1c testing</w:t>
      </w:r>
      <w:r w:rsidR="00445443" w:rsidRPr="00004558">
        <w:rPr>
          <w:rFonts w:ascii="Times New Roman" w:hAnsi="Times New Roman"/>
          <w:sz w:val="24"/>
          <w:szCs w:val="24"/>
          <w:lang w:val="en-GB"/>
        </w:rPr>
        <w:t>.</w:t>
      </w:r>
    </w:p>
    <w:p w14:paraId="2CFF8C3F" w14:textId="357924D7" w:rsidR="00421644" w:rsidRPr="00004558" w:rsidRDefault="008E42FD" w:rsidP="002B12DF">
      <w:pPr>
        <w:pStyle w:val="NoSpacing"/>
        <w:spacing w:line="480" w:lineRule="auto"/>
        <w:ind w:firstLine="720"/>
        <w:rPr>
          <w:rFonts w:ascii="Times New Roman" w:hAnsi="Times New Roman"/>
          <w:sz w:val="24"/>
          <w:szCs w:val="24"/>
          <w:lang w:val="en-GB"/>
        </w:rPr>
      </w:pPr>
      <w:r w:rsidRPr="00004558">
        <w:rPr>
          <w:rFonts w:ascii="Times New Roman" w:hAnsi="Times New Roman"/>
          <w:sz w:val="24"/>
          <w:szCs w:val="24"/>
          <w:lang w:val="en-GB"/>
        </w:rPr>
        <w:t>Type 2 diabetes</w:t>
      </w:r>
      <w:r w:rsidR="005E4EEB" w:rsidRPr="00004558">
        <w:rPr>
          <w:rFonts w:ascii="Times New Roman" w:hAnsi="Times New Roman"/>
          <w:sz w:val="24"/>
          <w:szCs w:val="24"/>
          <w:lang w:val="en-GB"/>
        </w:rPr>
        <w:t xml:space="preserve"> mellitus</w:t>
      </w:r>
      <w:r w:rsidR="00CA21E0" w:rsidRPr="00004558">
        <w:rPr>
          <w:rFonts w:ascii="Times New Roman" w:eastAsia="MinionPro-Regular" w:hAnsi="Times New Roman"/>
          <w:sz w:val="24"/>
          <w:szCs w:val="24"/>
          <w:lang w:val="en-GB"/>
        </w:rPr>
        <w:t xml:space="preserve">, impaired fasting glucose (IFG) and impaired glucose tolerance (IGT) were diagnosed based on: </w:t>
      </w:r>
      <w:r w:rsidR="00CA21E0" w:rsidRPr="00004558">
        <w:rPr>
          <w:rFonts w:ascii="Times New Roman" w:hAnsi="Times New Roman"/>
          <w:sz w:val="24"/>
          <w:szCs w:val="24"/>
          <w:lang w:val="en-GB"/>
        </w:rPr>
        <w:t xml:space="preserve">FPG ≥7.0 mmol/L or 2-hour PG ≥11.1 mmol/L for </w:t>
      </w:r>
      <w:r w:rsidRPr="00004558">
        <w:rPr>
          <w:rFonts w:ascii="Times New Roman" w:hAnsi="Times New Roman"/>
          <w:sz w:val="24"/>
          <w:szCs w:val="24"/>
          <w:lang w:val="en-GB"/>
        </w:rPr>
        <w:t>type 2 diabetes</w:t>
      </w:r>
      <w:r w:rsidR="00C20772" w:rsidRPr="00004558">
        <w:rPr>
          <w:rFonts w:ascii="Times New Roman" w:hAnsi="Times New Roman"/>
          <w:sz w:val="24"/>
          <w:szCs w:val="24"/>
          <w:lang w:val="en-GB"/>
        </w:rPr>
        <w:t xml:space="preserve"> mellitus</w:t>
      </w:r>
      <w:r w:rsidR="00CA21E0" w:rsidRPr="00004558">
        <w:rPr>
          <w:rFonts w:ascii="Times New Roman" w:hAnsi="Times New Roman"/>
          <w:sz w:val="24"/>
          <w:szCs w:val="24"/>
          <w:lang w:val="en-GB"/>
        </w:rPr>
        <w:t>; FPG 6.1 to 6.9 mmol/L and 2-hour PG &lt;7.8 mmol/L for IFG; and FPG</w:t>
      </w:r>
      <w:r w:rsidR="00543041" w:rsidRPr="00004558">
        <w:rPr>
          <w:rFonts w:ascii="Times New Roman" w:hAnsi="Times New Roman"/>
          <w:sz w:val="24"/>
          <w:szCs w:val="24"/>
          <w:lang w:val="en-GB"/>
        </w:rPr>
        <w:t xml:space="preserve"> </w:t>
      </w:r>
      <w:r w:rsidR="00CA21E0" w:rsidRPr="00004558">
        <w:rPr>
          <w:rFonts w:ascii="Times New Roman" w:hAnsi="Times New Roman"/>
          <w:sz w:val="24"/>
          <w:szCs w:val="24"/>
          <w:lang w:val="en-GB"/>
        </w:rPr>
        <w:t>&lt;7.0 mmol/L and 2-hour PG ≥7.8 and &lt;11.1 mmol/L for IGT</w:t>
      </w:r>
      <w:r w:rsidR="00A31F0F" w:rsidRPr="00004558">
        <w:rPr>
          <w:rFonts w:ascii="Times New Roman" w:hAnsi="Times New Roman"/>
          <w:sz w:val="24"/>
          <w:szCs w:val="24"/>
          <w:lang w:val="en-GB"/>
        </w:rPr>
        <w:t xml:space="preserve"> [18]</w:t>
      </w:r>
      <w:r w:rsidR="00CA21E0" w:rsidRPr="00004558">
        <w:rPr>
          <w:rFonts w:ascii="Times New Roman" w:hAnsi="Times New Roman"/>
          <w:sz w:val="24"/>
          <w:szCs w:val="24"/>
          <w:lang w:val="en-GB"/>
        </w:rPr>
        <w:t xml:space="preserve">. </w:t>
      </w:r>
      <w:r w:rsidR="001B0E9C" w:rsidRPr="00004558">
        <w:rPr>
          <w:rFonts w:ascii="Times New Roman" w:hAnsi="Times New Roman"/>
          <w:sz w:val="24"/>
          <w:szCs w:val="24"/>
          <w:lang w:val="en-GB"/>
        </w:rPr>
        <w:t>Owing to the small number of women diagnosed with type 2 diabetes mellitus (n=20, 2.0%) and IFG (n=1, 0.1%), we grouped women with type 2 diabetes mellitus, IFG and/or IGT as having dysglycaemia</w:t>
      </w:r>
      <w:r w:rsidR="00CA21E0" w:rsidRPr="00004558">
        <w:rPr>
          <w:rFonts w:ascii="Times New Roman" w:hAnsi="Times New Roman"/>
          <w:sz w:val="24"/>
          <w:szCs w:val="24"/>
          <w:lang w:val="en-GB"/>
        </w:rPr>
        <w:t xml:space="preserve">. </w:t>
      </w:r>
    </w:p>
    <w:p w14:paraId="28FD441B" w14:textId="77777777" w:rsidR="0014569C" w:rsidRPr="00004558" w:rsidRDefault="0014569C" w:rsidP="002B12DF">
      <w:pPr>
        <w:pStyle w:val="NoSpacing"/>
        <w:spacing w:line="480" w:lineRule="auto"/>
        <w:rPr>
          <w:rFonts w:ascii="Times New Roman" w:hAnsi="Times New Roman"/>
          <w:bCs/>
          <w:sz w:val="24"/>
          <w:szCs w:val="24"/>
          <w:lang w:val="en-GB"/>
        </w:rPr>
      </w:pPr>
    </w:p>
    <w:p w14:paraId="787BD8BB" w14:textId="2C0077B6" w:rsidR="00A06BBF" w:rsidRPr="00004558" w:rsidRDefault="00A06BBF" w:rsidP="002B12DF">
      <w:pPr>
        <w:pStyle w:val="NoSpacing"/>
        <w:spacing w:line="480" w:lineRule="auto"/>
        <w:rPr>
          <w:rFonts w:ascii="Times New Roman" w:hAnsi="Times New Roman"/>
          <w:b/>
          <w:bCs/>
          <w:sz w:val="24"/>
          <w:szCs w:val="24"/>
          <w:lang w:val="en-GB"/>
        </w:rPr>
      </w:pPr>
      <w:r w:rsidRPr="00004558">
        <w:rPr>
          <w:rFonts w:ascii="Times New Roman" w:hAnsi="Times New Roman"/>
          <w:b/>
          <w:bCs/>
          <w:sz w:val="24"/>
          <w:szCs w:val="24"/>
          <w:lang w:val="en-GB"/>
        </w:rPr>
        <w:t>Statistical Analys</w:t>
      </w:r>
      <w:r w:rsidR="00086304" w:rsidRPr="00004558">
        <w:rPr>
          <w:rFonts w:ascii="Times New Roman" w:hAnsi="Times New Roman"/>
          <w:b/>
          <w:bCs/>
          <w:sz w:val="24"/>
          <w:szCs w:val="24"/>
          <w:lang w:val="en-GB"/>
        </w:rPr>
        <w:t>i</w:t>
      </w:r>
      <w:r w:rsidRPr="00004558">
        <w:rPr>
          <w:rFonts w:ascii="Times New Roman" w:hAnsi="Times New Roman"/>
          <w:b/>
          <w:bCs/>
          <w:sz w:val="24"/>
          <w:szCs w:val="24"/>
          <w:lang w:val="en-GB"/>
        </w:rPr>
        <w:t>s</w:t>
      </w:r>
    </w:p>
    <w:p w14:paraId="43F65794" w14:textId="19996FEF" w:rsidR="00080BFA" w:rsidRPr="00004558" w:rsidRDefault="001B39A5" w:rsidP="002B12DF">
      <w:pPr>
        <w:pStyle w:val="NoSpacing"/>
        <w:spacing w:line="480" w:lineRule="auto"/>
        <w:rPr>
          <w:rFonts w:ascii="Times New Roman" w:hAnsi="Times New Roman"/>
          <w:sz w:val="24"/>
          <w:szCs w:val="24"/>
          <w:lang w:val="en-GB"/>
        </w:rPr>
      </w:pPr>
      <w:r w:rsidRPr="00004558">
        <w:rPr>
          <w:rFonts w:ascii="Times New Roman" w:hAnsi="Times New Roman"/>
          <w:sz w:val="24"/>
          <w:szCs w:val="24"/>
          <w:lang w:val="en-GB"/>
        </w:rPr>
        <w:t xml:space="preserve">Demographic characteristics and measurements of participants </w:t>
      </w:r>
      <w:r w:rsidR="00DB1612" w:rsidRPr="00004558">
        <w:rPr>
          <w:rFonts w:ascii="Times New Roman" w:hAnsi="Times New Roman"/>
          <w:sz w:val="24"/>
          <w:szCs w:val="24"/>
          <w:lang w:val="en-GB"/>
        </w:rPr>
        <w:t>with normal and abnormal RBC indices</w:t>
      </w:r>
      <w:r w:rsidR="00080BFA" w:rsidRPr="00004558">
        <w:rPr>
          <w:rFonts w:ascii="Times New Roman" w:hAnsi="Times New Roman"/>
          <w:sz w:val="24"/>
          <w:szCs w:val="24"/>
          <w:lang w:val="en-GB"/>
        </w:rPr>
        <w:t xml:space="preserve"> were compared using independent sample t-test for continuous variables or </w:t>
      </w:r>
      <w:r w:rsidR="00E55C02" w:rsidRPr="00004558">
        <w:rPr>
          <w:rFonts w:ascii="Times New Roman" w:hAnsi="Times New Roman"/>
          <w:sz w:val="24"/>
          <w:szCs w:val="24"/>
          <w:lang w:val="en-GB"/>
        </w:rPr>
        <w:t xml:space="preserve">Fisher’s exact test </w:t>
      </w:r>
      <w:r w:rsidR="00080BFA" w:rsidRPr="00004558">
        <w:rPr>
          <w:rFonts w:ascii="Times New Roman" w:hAnsi="Times New Roman"/>
          <w:sz w:val="24"/>
          <w:szCs w:val="24"/>
          <w:lang w:val="en-GB"/>
        </w:rPr>
        <w:t>for categorical variables.</w:t>
      </w:r>
      <w:r w:rsidR="008B6CBD" w:rsidRPr="00004558">
        <w:rPr>
          <w:rFonts w:ascii="Times New Roman" w:hAnsi="Times New Roman"/>
          <w:sz w:val="24"/>
          <w:szCs w:val="24"/>
          <w:lang w:val="en-GB"/>
        </w:rPr>
        <w:t xml:space="preserve"> </w:t>
      </w:r>
    </w:p>
    <w:p w14:paraId="30106642" w14:textId="2EF03719" w:rsidR="0014569C" w:rsidRPr="00004558" w:rsidRDefault="005572DA" w:rsidP="002B12DF">
      <w:pPr>
        <w:pStyle w:val="NoSpacing"/>
        <w:spacing w:line="480" w:lineRule="auto"/>
        <w:ind w:firstLine="720"/>
        <w:rPr>
          <w:rFonts w:ascii="Times New Roman" w:hAnsi="Times New Roman"/>
          <w:sz w:val="24"/>
          <w:szCs w:val="24"/>
          <w:lang w:val="en-GB"/>
        </w:rPr>
      </w:pPr>
      <w:r w:rsidRPr="00004558">
        <w:rPr>
          <w:rFonts w:ascii="Times New Roman" w:hAnsi="Times New Roman"/>
          <w:sz w:val="24"/>
          <w:szCs w:val="24"/>
          <w:lang w:val="en-GB"/>
        </w:rPr>
        <w:t>The</w:t>
      </w:r>
      <w:r w:rsidR="006B5493" w:rsidRPr="00004558">
        <w:rPr>
          <w:rFonts w:ascii="Times New Roman" w:hAnsi="Times New Roman"/>
          <w:sz w:val="24"/>
          <w:szCs w:val="24"/>
          <w:lang w:val="en-GB"/>
        </w:rPr>
        <w:t xml:space="preserve"> </w:t>
      </w:r>
      <w:r w:rsidR="00C20772" w:rsidRPr="00004558">
        <w:rPr>
          <w:rFonts w:ascii="Times New Roman" w:hAnsi="Times New Roman"/>
          <w:sz w:val="24"/>
          <w:szCs w:val="24"/>
          <w:lang w:val="en-GB"/>
        </w:rPr>
        <w:t>performance</w:t>
      </w:r>
      <w:r w:rsidR="00906D91" w:rsidRPr="00004558">
        <w:rPr>
          <w:rFonts w:ascii="Times New Roman" w:hAnsi="Times New Roman"/>
          <w:sz w:val="24"/>
          <w:szCs w:val="24"/>
          <w:lang w:val="en-GB"/>
        </w:rPr>
        <w:t>s</w:t>
      </w:r>
      <w:r w:rsidR="002374A9" w:rsidRPr="00004558">
        <w:rPr>
          <w:rFonts w:ascii="Times New Roman" w:hAnsi="Times New Roman"/>
          <w:sz w:val="24"/>
          <w:szCs w:val="24"/>
          <w:lang w:val="en-GB"/>
        </w:rPr>
        <w:t xml:space="preserve"> of HbA1c</w:t>
      </w:r>
      <w:r w:rsidR="00592FCF" w:rsidRPr="00004558">
        <w:rPr>
          <w:rFonts w:ascii="Times New Roman" w:hAnsi="Times New Roman"/>
          <w:sz w:val="24"/>
          <w:szCs w:val="24"/>
          <w:lang w:val="en-GB"/>
        </w:rPr>
        <w:t xml:space="preserve"> </w:t>
      </w:r>
      <w:r w:rsidR="00C20772" w:rsidRPr="00004558">
        <w:rPr>
          <w:rFonts w:ascii="Times New Roman" w:hAnsi="Times New Roman"/>
          <w:sz w:val="24"/>
          <w:szCs w:val="24"/>
          <w:lang w:val="en-GB"/>
        </w:rPr>
        <w:t>in detecting</w:t>
      </w:r>
      <w:r w:rsidR="00592FCF" w:rsidRPr="00004558">
        <w:rPr>
          <w:rFonts w:ascii="Times New Roman" w:hAnsi="Times New Roman"/>
          <w:sz w:val="24"/>
          <w:szCs w:val="24"/>
          <w:lang w:val="en-GB"/>
        </w:rPr>
        <w:t xml:space="preserve"> </w:t>
      </w:r>
      <w:r w:rsidR="00A35F22" w:rsidRPr="00004558">
        <w:rPr>
          <w:rFonts w:ascii="Times New Roman" w:hAnsi="Times New Roman"/>
          <w:sz w:val="24"/>
          <w:szCs w:val="24"/>
          <w:lang w:val="en-GB"/>
        </w:rPr>
        <w:t>dysglycaemia</w:t>
      </w:r>
      <w:r w:rsidR="00793661" w:rsidRPr="00004558">
        <w:rPr>
          <w:rFonts w:ascii="Times New Roman" w:hAnsi="Times New Roman"/>
          <w:sz w:val="24"/>
          <w:szCs w:val="24"/>
          <w:lang w:val="en-GB"/>
        </w:rPr>
        <w:t xml:space="preserve"> </w:t>
      </w:r>
      <w:r w:rsidR="002374A9" w:rsidRPr="00004558">
        <w:rPr>
          <w:rFonts w:ascii="Times New Roman" w:hAnsi="Times New Roman"/>
          <w:sz w:val="24"/>
          <w:szCs w:val="24"/>
          <w:lang w:val="en-GB"/>
        </w:rPr>
        <w:t xml:space="preserve">in both groups </w:t>
      </w:r>
      <w:r w:rsidR="00424C8D" w:rsidRPr="00004558">
        <w:rPr>
          <w:rFonts w:ascii="Times New Roman" w:hAnsi="Times New Roman"/>
          <w:sz w:val="24"/>
          <w:szCs w:val="24"/>
          <w:lang w:val="en-GB"/>
        </w:rPr>
        <w:t>of participants</w:t>
      </w:r>
      <w:r w:rsidR="006B5493" w:rsidRPr="00004558">
        <w:rPr>
          <w:rFonts w:ascii="Times New Roman" w:hAnsi="Times New Roman"/>
          <w:sz w:val="24"/>
          <w:szCs w:val="24"/>
          <w:lang w:val="en-GB"/>
        </w:rPr>
        <w:t xml:space="preserve"> </w:t>
      </w:r>
      <w:r w:rsidR="002374A9" w:rsidRPr="00004558">
        <w:rPr>
          <w:rFonts w:ascii="Times New Roman" w:hAnsi="Times New Roman"/>
          <w:sz w:val="24"/>
          <w:szCs w:val="24"/>
          <w:lang w:val="en-GB"/>
        </w:rPr>
        <w:t>w</w:t>
      </w:r>
      <w:r w:rsidR="00906D91" w:rsidRPr="00004558">
        <w:rPr>
          <w:rFonts w:ascii="Times New Roman" w:hAnsi="Times New Roman"/>
          <w:sz w:val="24"/>
          <w:szCs w:val="24"/>
          <w:lang w:val="en-GB"/>
        </w:rPr>
        <w:t>ere</w:t>
      </w:r>
      <w:r w:rsidR="002374A9" w:rsidRPr="00004558">
        <w:rPr>
          <w:rFonts w:ascii="Times New Roman" w:hAnsi="Times New Roman"/>
          <w:sz w:val="24"/>
          <w:szCs w:val="24"/>
          <w:lang w:val="en-GB"/>
        </w:rPr>
        <w:t xml:space="preserve"> </w:t>
      </w:r>
      <w:r w:rsidR="00702E8C" w:rsidRPr="00004558">
        <w:rPr>
          <w:rFonts w:ascii="Times New Roman" w:hAnsi="Times New Roman"/>
          <w:sz w:val="24"/>
          <w:szCs w:val="24"/>
          <w:lang w:val="en-GB"/>
        </w:rPr>
        <w:t>examined</w:t>
      </w:r>
      <w:r w:rsidR="002374A9" w:rsidRPr="00004558">
        <w:rPr>
          <w:rFonts w:ascii="Times New Roman" w:hAnsi="Times New Roman"/>
          <w:sz w:val="24"/>
          <w:szCs w:val="24"/>
          <w:lang w:val="en-GB"/>
        </w:rPr>
        <w:t xml:space="preserve"> through </w:t>
      </w:r>
      <w:r w:rsidR="00D97625" w:rsidRPr="00004558">
        <w:rPr>
          <w:rFonts w:ascii="Times New Roman" w:hAnsi="Times New Roman"/>
          <w:sz w:val="24"/>
          <w:szCs w:val="24"/>
          <w:lang w:val="en-GB"/>
        </w:rPr>
        <w:t>receiver-operating-characteristic (ROC) curve analysis.</w:t>
      </w:r>
      <w:r w:rsidR="00F916DE" w:rsidRPr="00004558">
        <w:rPr>
          <w:rFonts w:ascii="Times New Roman" w:hAnsi="Times New Roman"/>
          <w:sz w:val="24"/>
          <w:szCs w:val="24"/>
          <w:lang w:val="en-GB"/>
        </w:rPr>
        <w:t xml:space="preserve"> </w:t>
      </w:r>
      <w:r w:rsidR="00453337" w:rsidRPr="00004558">
        <w:rPr>
          <w:rFonts w:ascii="Times New Roman" w:hAnsi="Times New Roman"/>
          <w:sz w:val="24"/>
          <w:szCs w:val="24"/>
          <w:lang w:val="en-GB"/>
        </w:rPr>
        <w:t>The a</w:t>
      </w:r>
      <w:r w:rsidR="00C20772" w:rsidRPr="00004558">
        <w:rPr>
          <w:rFonts w:ascii="Times New Roman" w:hAnsi="Times New Roman"/>
          <w:sz w:val="24"/>
          <w:szCs w:val="24"/>
          <w:lang w:val="en-GB"/>
        </w:rPr>
        <w:t>rea-under-ROC curves (AUROC)</w:t>
      </w:r>
      <w:r w:rsidR="009B1D88" w:rsidRPr="00004558">
        <w:rPr>
          <w:rFonts w:ascii="Times New Roman" w:hAnsi="Times New Roman"/>
          <w:sz w:val="24"/>
          <w:szCs w:val="24"/>
          <w:lang w:val="en-GB"/>
        </w:rPr>
        <w:t xml:space="preserve"> were determined and compared for equality using methods</w:t>
      </w:r>
      <w:r w:rsidR="00115580" w:rsidRPr="00004558">
        <w:rPr>
          <w:rFonts w:ascii="Times New Roman" w:hAnsi="Times New Roman"/>
          <w:sz w:val="24"/>
          <w:szCs w:val="24"/>
          <w:lang w:val="en-GB"/>
        </w:rPr>
        <w:t xml:space="preserve"> developed </w:t>
      </w:r>
      <w:r w:rsidR="00B539D3" w:rsidRPr="00004558">
        <w:rPr>
          <w:rFonts w:ascii="Times New Roman" w:hAnsi="Times New Roman"/>
          <w:sz w:val="24"/>
          <w:szCs w:val="24"/>
          <w:lang w:val="en-GB"/>
        </w:rPr>
        <w:t>by DeL</w:t>
      </w:r>
      <w:r w:rsidR="00B912A0" w:rsidRPr="00004558">
        <w:rPr>
          <w:rFonts w:ascii="Times New Roman" w:hAnsi="Times New Roman"/>
          <w:sz w:val="24"/>
          <w:szCs w:val="24"/>
          <w:lang w:val="en-GB"/>
        </w:rPr>
        <w:t>ong et al.</w:t>
      </w:r>
      <w:r w:rsidR="00A31F0F" w:rsidRPr="00004558">
        <w:rPr>
          <w:rFonts w:ascii="Times New Roman" w:hAnsi="Times New Roman"/>
          <w:sz w:val="24"/>
          <w:szCs w:val="24"/>
          <w:lang w:val="en-GB"/>
        </w:rPr>
        <w:t xml:space="preserve"> [19]</w:t>
      </w:r>
      <w:r w:rsidR="009B1D88" w:rsidRPr="00004558">
        <w:rPr>
          <w:rFonts w:ascii="Times New Roman" w:hAnsi="Times New Roman"/>
          <w:sz w:val="24"/>
          <w:szCs w:val="24"/>
          <w:lang w:val="en-GB"/>
        </w:rPr>
        <w:t>.</w:t>
      </w:r>
      <w:r w:rsidR="00F7061F" w:rsidRPr="00004558">
        <w:rPr>
          <w:rFonts w:ascii="Times New Roman" w:hAnsi="Times New Roman"/>
          <w:sz w:val="24"/>
          <w:szCs w:val="24"/>
          <w:lang w:val="en-GB"/>
        </w:rPr>
        <w:t xml:space="preserve"> </w:t>
      </w:r>
      <w:r w:rsidR="00DF25CC" w:rsidRPr="00004558">
        <w:rPr>
          <w:rFonts w:ascii="Times New Roman" w:hAnsi="Times New Roman"/>
          <w:sz w:val="24"/>
          <w:szCs w:val="24"/>
          <w:lang w:val="en-GB"/>
        </w:rPr>
        <w:t xml:space="preserve">The 95% confidence interval (CI) </w:t>
      </w:r>
      <w:r w:rsidR="002B3D2B" w:rsidRPr="00004558">
        <w:rPr>
          <w:rFonts w:ascii="Times New Roman" w:hAnsi="Times New Roman"/>
          <w:sz w:val="24"/>
          <w:szCs w:val="24"/>
          <w:lang w:val="en-GB"/>
        </w:rPr>
        <w:t>for the</w:t>
      </w:r>
      <w:r w:rsidR="00DF25CC" w:rsidRPr="00004558">
        <w:rPr>
          <w:rFonts w:ascii="Times New Roman" w:hAnsi="Times New Roman"/>
          <w:sz w:val="24"/>
          <w:szCs w:val="24"/>
          <w:lang w:val="en-GB"/>
        </w:rPr>
        <w:t xml:space="preserve"> difference in AUROC between groups </w:t>
      </w:r>
      <w:r w:rsidR="002B3D2B" w:rsidRPr="00004558">
        <w:rPr>
          <w:rFonts w:ascii="Times New Roman" w:hAnsi="Times New Roman"/>
          <w:sz w:val="24"/>
          <w:szCs w:val="24"/>
          <w:lang w:val="en-GB"/>
        </w:rPr>
        <w:t xml:space="preserve">was </w:t>
      </w:r>
      <w:r w:rsidR="00DF25CC" w:rsidRPr="00004558">
        <w:rPr>
          <w:rFonts w:ascii="Times New Roman" w:hAnsi="Times New Roman"/>
          <w:sz w:val="24"/>
          <w:szCs w:val="24"/>
          <w:lang w:val="en-GB"/>
        </w:rPr>
        <w:t>estimated by bootstrapping, with 10,000 replicates.</w:t>
      </w:r>
      <w:r w:rsidR="00027762" w:rsidRPr="00004558">
        <w:rPr>
          <w:rFonts w:ascii="Times New Roman" w:hAnsi="Times New Roman"/>
          <w:sz w:val="24"/>
          <w:szCs w:val="24"/>
          <w:lang w:val="en-GB"/>
        </w:rPr>
        <w:t xml:space="preserve"> </w:t>
      </w:r>
      <w:r w:rsidR="00F7061F" w:rsidRPr="00004558">
        <w:rPr>
          <w:rFonts w:ascii="Times New Roman" w:hAnsi="Times New Roman"/>
          <w:sz w:val="24"/>
          <w:szCs w:val="24"/>
          <w:lang w:val="en-GB"/>
        </w:rPr>
        <w:t xml:space="preserve">We defined an AUROC value of 0.90 or above as </w:t>
      </w:r>
      <w:r w:rsidR="00B92FF4" w:rsidRPr="00004558">
        <w:rPr>
          <w:rFonts w:ascii="Times New Roman" w:hAnsi="Times New Roman"/>
          <w:sz w:val="24"/>
          <w:szCs w:val="24"/>
          <w:lang w:val="en-GB"/>
        </w:rPr>
        <w:t xml:space="preserve">being </w:t>
      </w:r>
      <w:r w:rsidR="00F7061F" w:rsidRPr="00004558">
        <w:rPr>
          <w:rFonts w:ascii="Times New Roman" w:hAnsi="Times New Roman"/>
          <w:sz w:val="24"/>
          <w:szCs w:val="24"/>
          <w:lang w:val="en-GB"/>
        </w:rPr>
        <w:t>optimal.</w:t>
      </w:r>
      <w:r w:rsidR="00E2628C" w:rsidRPr="00004558">
        <w:rPr>
          <w:rFonts w:ascii="Times New Roman" w:hAnsi="Times New Roman"/>
          <w:sz w:val="24"/>
          <w:szCs w:val="24"/>
          <w:lang w:val="en-GB"/>
        </w:rPr>
        <w:t xml:space="preserve"> </w:t>
      </w:r>
    </w:p>
    <w:p w14:paraId="369C6C78" w14:textId="47C3CEFE" w:rsidR="00CC2379" w:rsidRPr="00004558" w:rsidRDefault="00817143" w:rsidP="002B12DF">
      <w:pPr>
        <w:pStyle w:val="NoSpacing"/>
        <w:spacing w:line="480" w:lineRule="auto"/>
        <w:ind w:firstLine="720"/>
        <w:rPr>
          <w:rFonts w:ascii="Times New Roman" w:hAnsi="Times New Roman"/>
          <w:sz w:val="24"/>
          <w:szCs w:val="24"/>
          <w:lang w:val="en-GB"/>
        </w:rPr>
      </w:pPr>
      <w:r w:rsidRPr="00004558">
        <w:rPr>
          <w:rFonts w:ascii="Times New Roman" w:hAnsi="Times New Roman"/>
          <w:sz w:val="24"/>
          <w:szCs w:val="24"/>
          <w:lang w:val="en-GB"/>
        </w:rPr>
        <w:t>I</w:t>
      </w:r>
      <w:r w:rsidR="000A2765" w:rsidRPr="00004558">
        <w:rPr>
          <w:rFonts w:ascii="Times New Roman" w:hAnsi="Times New Roman"/>
          <w:sz w:val="24"/>
          <w:szCs w:val="24"/>
          <w:lang w:val="en-GB"/>
        </w:rPr>
        <w:t>n view of the ethnic-dependent differences in the diagnostic accuracy of HbA1c shown in previous studies</w:t>
      </w:r>
      <w:r w:rsidR="00A31F0F" w:rsidRPr="00004558">
        <w:rPr>
          <w:rFonts w:ascii="Times New Roman" w:hAnsi="Times New Roman"/>
          <w:sz w:val="24"/>
          <w:szCs w:val="24"/>
          <w:lang w:val="en-GB"/>
        </w:rPr>
        <w:t xml:space="preserve"> [9]</w:t>
      </w:r>
      <w:r w:rsidRPr="00004558">
        <w:rPr>
          <w:rFonts w:ascii="Times New Roman" w:hAnsi="Times New Roman"/>
          <w:sz w:val="24"/>
          <w:szCs w:val="24"/>
          <w:lang w:val="en-GB"/>
        </w:rPr>
        <w:t>, we extended our investigation to examine the performance of HbA1c in each ethnic</w:t>
      </w:r>
      <w:r w:rsidR="00870435" w:rsidRPr="00004558">
        <w:rPr>
          <w:rFonts w:ascii="Times New Roman" w:hAnsi="Times New Roman"/>
          <w:sz w:val="24"/>
          <w:szCs w:val="24"/>
          <w:lang w:val="en-GB"/>
        </w:rPr>
        <w:t>ity</w:t>
      </w:r>
      <w:r w:rsidR="002D3097" w:rsidRPr="00004558">
        <w:rPr>
          <w:rFonts w:ascii="Times New Roman" w:hAnsi="Times New Roman"/>
          <w:sz w:val="24"/>
          <w:szCs w:val="24"/>
          <w:lang w:val="en-GB"/>
        </w:rPr>
        <w:t>.</w:t>
      </w:r>
      <w:r w:rsidR="00542930" w:rsidRPr="00004558">
        <w:rPr>
          <w:rFonts w:ascii="Times New Roman" w:hAnsi="Times New Roman"/>
          <w:sz w:val="24"/>
          <w:szCs w:val="24"/>
          <w:lang w:val="en-GB"/>
        </w:rPr>
        <w:t xml:space="preserve"> </w:t>
      </w:r>
      <w:r w:rsidR="002D3097" w:rsidRPr="00004558">
        <w:rPr>
          <w:rFonts w:ascii="Times New Roman" w:hAnsi="Times New Roman"/>
          <w:sz w:val="24"/>
          <w:szCs w:val="24"/>
          <w:lang w:val="en-GB"/>
        </w:rPr>
        <w:t>ROC curve</w:t>
      </w:r>
      <w:r w:rsidR="003F0218" w:rsidRPr="00004558">
        <w:rPr>
          <w:rFonts w:ascii="Times New Roman" w:hAnsi="Times New Roman"/>
          <w:sz w:val="24"/>
          <w:szCs w:val="24"/>
          <w:lang w:val="en-GB"/>
        </w:rPr>
        <w:t>s</w:t>
      </w:r>
      <w:r w:rsidR="002D3097" w:rsidRPr="00004558">
        <w:rPr>
          <w:rFonts w:ascii="Times New Roman" w:hAnsi="Times New Roman"/>
          <w:sz w:val="24"/>
          <w:szCs w:val="24"/>
          <w:lang w:val="en-GB"/>
        </w:rPr>
        <w:t xml:space="preserve"> specific to Chinese, Malay, and Indian participants from each group were </w:t>
      </w:r>
      <w:r w:rsidR="003B020B" w:rsidRPr="00004558">
        <w:rPr>
          <w:rFonts w:ascii="Times New Roman" w:hAnsi="Times New Roman"/>
          <w:sz w:val="24"/>
          <w:szCs w:val="24"/>
          <w:lang w:val="en-GB"/>
        </w:rPr>
        <w:t>plotted</w:t>
      </w:r>
      <w:r w:rsidR="002D3097" w:rsidRPr="00004558">
        <w:rPr>
          <w:rFonts w:ascii="Times New Roman" w:hAnsi="Times New Roman"/>
          <w:sz w:val="24"/>
          <w:szCs w:val="24"/>
          <w:lang w:val="en-GB"/>
        </w:rPr>
        <w:t xml:space="preserve"> and tested for equality. </w:t>
      </w:r>
      <w:r w:rsidR="002148CA" w:rsidRPr="00004558">
        <w:rPr>
          <w:rFonts w:ascii="Times New Roman" w:hAnsi="Times New Roman"/>
          <w:sz w:val="24"/>
          <w:szCs w:val="24"/>
          <w:lang w:val="en-GB"/>
        </w:rPr>
        <w:t>P</w:t>
      </w:r>
      <w:r w:rsidR="002D3097" w:rsidRPr="00004558">
        <w:rPr>
          <w:rFonts w:ascii="Times New Roman" w:hAnsi="Times New Roman"/>
          <w:sz w:val="24"/>
          <w:szCs w:val="24"/>
          <w:lang w:val="en-GB"/>
        </w:rPr>
        <w:t>articipants of mixed</w:t>
      </w:r>
      <w:r w:rsidR="00FD3488" w:rsidRPr="00004558">
        <w:rPr>
          <w:rFonts w:ascii="Times New Roman" w:hAnsi="Times New Roman"/>
          <w:sz w:val="24"/>
          <w:szCs w:val="24"/>
          <w:lang w:val="en-GB"/>
        </w:rPr>
        <w:t>-</w:t>
      </w:r>
      <w:r w:rsidR="002D3097" w:rsidRPr="00004558">
        <w:rPr>
          <w:rFonts w:ascii="Times New Roman" w:hAnsi="Times New Roman"/>
          <w:sz w:val="24"/>
          <w:szCs w:val="24"/>
          <w:lang w:val="en-GB"/>
        </w:rPr>
        <w:t>ethnicit</w:t>
      </w:r>
      <w:r w:rsidR="00FD3488" w:rsidRPr="00004558">
        <w:rPr>
          <w:rFonts w:ascii="Times New Roman" w:hAnsi="Times New Roman"/>
          <w:sz w:val="24"/>
          <w:szCs w:val="24"/>
          <w:lang w:val="en-GB"/>
        </w:rPr>
        <w:t>y</w:t>
      </w:r>
      <w:r w:rsidR="002D3097" w:rsidRPr="00004558">
        <w:rPr>
          <w:rFonts w:ascii="Times New Roman" w:hAnsi="Times New Roman"/>
          <w:sz w:val="24"/>
          <w:szCs w:val="24"/>
          <w:lang w:val="en-GB"/>
        </w:rPr>
        <w:t xml:space="preserve"> </w:t>
      </w:r>
      <w:r w:rsidR="009B6C5E" w:rsidRPr="00004558">
        <w:rPr>
          <w:rFonts w:ascii="Times New Roman" w:hAnsi="Times New Roman"/>
          <w:sz w:val="24"/>
          <w:szCs w:val="24"/>
          <w:lang w:val="en-GB"/>
        </w:rPr>
        <w:t>(n=3</w:t>
      </w:r>
      <w:r w:rsidR="007F1798" w:rsidRPr="00004558">
        <w:rPr>
          <w:rFonts w:ascii="Times New Roman" w:hAnsi="Times New Roman"/>
          <w:sz w:val="24"/>
          <w:szCs w:val="24"/>
          <w:lang w:val="en-GB"/>
        </w:rPr>
        <w:t>3</w:t>
      </w:r>
      <w:r w:rsidR="009B6C5E" w:rsidRPr="00004558">
        <w:rPr>
          <w:rFonts w:ascii="Times New Roman" w:hAnsi="Times New Roman"/>
          <w:sz w:val="24"/>
          <w:szCs w:val="24"/>
          <w:lang w:val="en-GB"/>
        </w:rPr>
        <w:t>, 3.</w:t>
      </w:r>
      <w:r w:rsidR="007F1798" w:rsidRPr="00004558">
        <w:rPr>
          <w:rFonts w:ascii="Times New Roman" w:hAnsi="Times New Roman"/>
          <w:sz w:val="24"/>
          <w:szCs w:val="24"/>
          <w:lang w:val="en-GB"/>
        </w:rPr>
        <w:t>4</w:t>
      </w:r>
      <w:r w:rsidR="009B6C5E" w:rsidRPr="00004558">
        <w:rPr>
          <w:rFonts w:ascii="Times New Roman" w:hAnsi="Times New Roman"/>
          <w:sz w:val="24"/>
          <w:szCs w:val="24"/>
          <w:lang w:val="en-GB"/>
        </w:rPr>
        <w:t xml:space="preserve">%) </w:t>
      </w:r>
      <w:r w:rsidR="002D3097" w:rsidRPr="00004558">
        <w:rPr>
          <w:rFonts w:ascii="Times New Roman" w:hAnsi="Times New Roman"/>
          <w:sz w:val="24"/>
          <w:szCs w:val="24"/>
          <w:lang w:val="en-GB"/>
        </w:rPr>
        <w:t>were excluded from this</w:t>
      </w:r>
      <w:r w:rsidR="00542930" w:rsidRPr="00004558">
        <w:rPr>
          <w:rFonts w:ascii="Times New Roman" w:hAnsi="Times New Roman"/>
          <w:sz w:val="24"/>
          <w:szCs w:val="24"/>
          <w:lang w:val="en-GB"/>
        </w:rPr>
        <w:t xml:space="preserve"> analysis</w:t>
      </w:r>
      <w:r w:rsidR="002148CA" w:rsidRPr="00004558">
        <w:rPr>
          <w:rFonts w:ascii="Times New Roman" w:hAnsi="Times New Roman"/>
          <w:sz w:val="24"/>
          <w:szCs w:val="24"/>
          <w:lang w:val="en-GB"/>
        </w:rPr>
        <w:t xml:space="preserve"> due to its small sample size</w:t>
      </w:r>
      <w:r w:rsidR="00542930" w:rsidRPr="00004558">
        <w:rPr>
          <w:rFonts w:ascii="Times New Roman" w:hAnsi="Times New Roman"/>
          <w:sz w:val="24"/>
          <w:szCs w:val="24"/>
          <w:lang w:val="en-GB"/>
        </w:rPr>
        <w:t>.</w:t>
      </w:r>
      <w:r w:rsidR="00216CE4" w:rsidRPr="00004558">
        <w:rPr>
          <w:rFonts w:ascii="Times New Roman" w:hAnsi="Times New Roman"/>
          <w:sz w:val="24"/>
          <w:szCs w:val="24"/>
          <w:lang w:val="en-GB"/>
        </w:rPr>
        <w:t xml:space="preserve"> </w:t>
      </w:r>
    </w:p>
    <w:p w14:paraId="5297FE23" w14:textId="0DB1D428" w:rsidR="00421644" w:rsidRPr="00004558" w:rsidRDefault="00303BBC" w:rsidP="002B12DF">
      <w:pPr>
        <w:pStyle w:val="NoSpacing"/>
        <w:spacing w:line="480" w:lineRule="auto"/>
        <w:ind w:firstLine="720"/>
        <w:rPr>
          <w:rFonts w:ascii="Times New Roman" w:hAnsi="Times New Roman"/>
          <w:sz w:val="24"/>
          <w:szCs w:val="24"/>
          <w:lang w:val="en-GB"/>
        </w:rPr>
      </w:pPr>
      <w:r w:rsidRPr="00004558">
        <w:rPr>
          <w:rFonts w:ascii="Times New Roman" w:hAnsi="Times New Roman"/>
          <w:sz w:val="24"/>
          <w:szCs w:val="24"/>
          <w:lang w:val="en-GB"/>
        </w:rPr>
        <w:t>To better understand the abnormalities in the RBC indices, participants with normal and abnormal RBC indices within each ethnic group were</w:t>
      </w:r>
      <w:r w:rsidR="00CC2379" w:rsidRPr="00004558">
        <w:rPr>
          <w:rFonts w:ascii="Times New Roman" w:hAnsi="Times New Roman"/>
          <w:sz w:val="24"/>
          <w:szCs w:val="24"/>
          <w:lang w:val="en-GB"/>
        </w:rPr>
        <w:t xml:space="preserve"> </w:t>
      </w:r>
      <w:r w:rsidRPr="00004558">
        <w:rPr>
          <w:rFonts w:ascii="Times New Roman" w:hAnsi="Times New Roman"/>
          <w:sz w:val="24"/>
          <w:szCs w:val="24"/>
          <w:lang w:val="en-GB"/>
        </w:rPr>
        <w:t xml:space="preserve">compared according to their haematological parameters, using independent sample t-tests. </w:t>
      </w:r>
      <w:r w:rsidR="00062519" w:rsidRPr="00004558">
        <w:rPr>
          <w:rFonts w:ascii="Times New Roman" w:hAnsi="Times New Roman"/>
          <w:sz w:val="24"/>
          <w:szCs w:val="24"/>
          <w:lang w:val="en-GB"/>
        </w:rPr>
        <w:t>The Mentzer Index was derived to differentiate women with abnormal RBC indices into those with either beta thalassaemia or IDA [</w:t>
      </w:r>
      <w:r w:rsidR="00CC1E8B" w:rsidRPr="00004558">
        <w:rPr>
          <w:rFonts w:ascii="Times New Roman" w:hAnsi="Times New Roman"/>
          <w:sz w:val="24"/>
          <w:szCs w:val="24"/>
          <w:lang w:val="en-GB"/>
        </w:rPr>
        <w:t>20</w:t>
      </w:r>
      <w:r w:rsidR="00062519" w:rsidRPr="00004558">
        <w:rPr>
          <w:rFonts w:ascii="Times New Roman" w:hAnsi="Times New Roman"/>
          <w:sz w:val="24"/>
          <w:szCs w:val="24"/>
          <w:lang w:val="en-GB"/>
        </w:rPr>
        <w:t>]. The Mentzer Index was computed by dividing MCV (in fL) by RBC count (x10</w:t>
      </w:r>
      <w:r w:rsidR="00062519" w:rsidRPr="00004558">
        <w:rPr>
          <w:rFonts w:ascii="Times New Roman" w:hAnsi="Times New Roman"/>
          <w:sz w:val="24"/>
          <w:szCs w:val="24"/>
          <w:vertAlign w:val="superscript"/>
          <w:lang w:val="en-GB"/>
        </w:rPr>
        <w:t xml:space="preserve">6 </w:t>
      </w:r>
      <w:r w:rsidR="00062519" w:rsidRPr="00004558">
        <w:rPr>
          <w:rFonts w:ascii="Times New Roman" w:hAnsi="Times New Roman"/>
          <w:sz w:val="24"/>
          <w:szCs w:val="24"/>
          <w:lang w:val="en-GB"/>
        </w:rPr>
        <w:t>µL</w:t>
      </w:r>
      <w:r w:rsidR="00062519" w:rsidRPr="00004558">
        <w:rPr>
          <w:rFonts w:ascii="Times New Roman" w:hAnsi="Times New Roman"/>
          <w:sz w:val="24"/>
          <w:szCs w:val="24"/>
          <w:vertAlign w:val="superscript"/>
          <w:lang w:val="en-GB"/>
        </w:rPr>
        <w:t>-1</w:t>
      </w:r>
      <w:r w:rsidR="00062519" w:rsidRPr="00004558">
        <w:rPr>
          <w:rFonts w:ascii="Times New Roman" w:hAnsi="Times New Roman"/>
          <w:sz w:val="24"/>
          <w:szCs w:val="24"/>
          <w:lang w:val="en-GB"/>
        </w:rPr>
        <w:t xml:space="preserve">); values of &lt; 13, &gt;13 and =13 were defined as suggestive of beta thalassaemia, IDA and inconclusive, respectively. </w:t>
      </w:r>
      <w:r w:rsidR="00542930" w:rsidRPr="00004558">
        <w:rPr>
          <w:rFonts w:ascii="Times New Roman" w:hAnsi="Times New Roman"/>
          <w:sz w:val="24"/>
          <w:szCs w:val="24"/>
          <w:lang w:val="en-GB"/>
        </w:rPr>
        <w:t>A</w:t>
      </w:r>
      <w:r w:rsidR="00FA7A7D" w:rsidRPr="00004558">
        <w:rPr>
          <w:rFonts w:ascii="Times New Roman" w:hAnsi="Times New Roman"/>
          <w:sz w:val="24"/>
          <w:szCs w:val="24"/>
          <w:lang w:val="en-GB"/>
        </w:rPr>
        <w:t xml:space="preserve">ll statistical analyses </w:t>
      </w:r>
      <w:r w:rsidR="00E26D2D" w:rsidRPr="00004558">
        <w:rPr>
          <w:rFonts w:ascii="Times New Roman" w:hAnsi="Times New Roman"/>
          <w:sz w:val="24"/>
          <w:szCs w:val="24"/>
          <w:lang w:val="en-GB"/>
        </w:rPr>
        <w:t>were conducted us</w:t>
      </w:r>
      <w:r w:rsidR="00D963A9" w:rsidRPr="00004558">
        <w:rPr>
          <w:rFonts w:ascii="Times New Roman" w:hAnsi="Times New Roman"/>
          <w:sz w:val="24"/>
          <w:szCs w:val="24"/>
          <w:lang w:val="en-GB"/>
        </w:rPr>
        <w:t>ing SPSS (V</w:t>
      </w:r>
      <w:r w:rsidR="00222DAF" w:rsidRPr="00004558">
        <w:rPr>
          <w:rFonts w:ascii="Times New Roman" w:hAnsi="Times New Roman"/>
          <w:sz w:val="24"/>
          <w:szCs w:val="24"/>
          <w:lang w:val="en-GB"/>
        </w:rPr>
        <w:t>ersion 20; IBM</w:t>
      </w:r>
      <w:r w:rsidR="00FA7A7D" w:rsidRPr="00004558">
        <w:rPr>
          <w:rFonts w:ascii="Times New Roman" w:hAnsi="Times New Roman"/>
          <w:sz w:val="24"/>
          <w:szCs w:val="24"/>
          <w:lang w:val="en-GB"/>
        </w:rPr>
        <w:t>), except for ROC analyses, which were</w:t>
      </w:r>
      <w:r w:rsidR="00E26D2D" w:rsidRPr="00004558">
        <w:rPr>
          <w:rFonts w:ascii="Times New Roman" w:hAnsi="Times New Roman"/>
          <w:sz w:val="24"/>
          <w:szCs w:val="24"/>
          <w:lang w:val="en-GB"/>
        </w:rPr>
        <w:t xml:space="preserve"> performed using </w:t>
      </w:r>
      <w:r w:rsidR="00342ED6" w:rsidRPr="00004558">
        <w:rPr>
          <w:rFonts w:ascii="Times New Roman" w:hAnsi="Times New Roman"/>
          <w:sz w:val="24"/>
          <w:szCs w:val="24"/>
          <w:lang w:val="en-GB"/>
        </w:rPr>
        <w:t>STATA</w:t>
      </w:r>
      <w:r w:rsidR="00222DAF" w:rsidRPr="00004558">
        <w:rPr>
          <w:rFonts w:ascii="Times New Roman" w:hAnsi="Times New Roman"/>
          <w:sz w:val="24"/>
          <w:szCs w:val="24"/>
          <w:lang w:val="en-GB"/>
        </w:rPr>
        <w:t xml:space="preserve"> (</w:t>
      </w:r>
      <w:r w:rsidR="00440D4D" w:rsidRPr="00004558">
        <w:rPr>
          <w:rFonts w:ascii="Times New Roman" w:hAnsi="Times New Roman"/>
          <w:sz w:val="24"/>
          <w:szCs w:val="24"/>
          <w:lang w:val="en-GB"/>
        </w:rPr>
        <w:t>V</w:t>
      </w:r>
      <w:r w:rsidR="00222DAF" w:rsidRPr="00004558">
        <w:rPr>
          <w:rFonts w:ascii="Times New Roman" w:hAnsi="Times New Roman"/>
          <w:sz w:val="24"/>
          <w:szCs w:val="24"/>
          <w:lang w:val="en-GB"/>
        </w:rPr>
        <w:t>ersion 1</w:t>
      </w:r>
      <w:r w:rsidR="007F36E1" w:rsidRPr="00004558">
        <w:rPr>
          <w:rFonts w:ascii="Times New Roman" w:hAnsi="Times New Roman"/>
          <w:sz w:val="24"/>
          <w:szCs w:val="24"/>
          <w:lang w:val="en-GB"/>
        </w:rPr>
        <w:t>6</w:t>
      </w:r>
      <w:r w:rsidR="00222DAF" w:rsidRPr="00004558">
        <w:rPr>
          <w:rFonts w:ascii="Times New Roman" w:hAnsi="Times New Roman"/>
          <w:sz w:val="24"/>
          <w:szCs w:val="24"/>
          <w:lang w:val="en-GB"/>
        </w:rPr>
        <w:t>; S</w:t>
      </w:r>
      <w:r w:rsidR="00342ED6" w:rsidRPr="00004558">
        <w:rPr>
          <w:rFonts w:ascii="Times New Roman" w:hAnsi="Times New Roman"/>
          <w:sz w:val="24"/>
          <w:szCs w:val="24"/>
          <w:lang w:val="en-GB"/>
        </w:rPr>
        <w:t>TATA</w:t>
      </w:r>
      <w:r w:rsidR="00222DAF" w:rsidRPr="00004558">
        <w:rPr>
          <w:rFonts w:ascii="Times New Roman" w:hAnsi="Times New Roman"/>
          <w:sz w:val="24"/>
          <w:szCs w:val="24"/>
          <w:lang w:val="en-GB"/>
        </w:rPr>
        <w:t>)</w:t>
      </w:r>
      <w:r w:rsidR="002A5D5E" w:rsidRPr="00004558">
        <w:rPr>
          <w:rFonts w:ascii="Times New Roman" w:hAnsi="Times New Roman"/>
          <w:sz w:val="24"/>
          <w:szCs w:val="24"/>
          <w:lang w:val="en-GB"/>
        </w:rPr>
        <w:t>.</w:t>
      </w:r>
    </w:p>
    <w:p w14:paraId="09889FF3" w14:textId="77777777" w:rsidR="0014569C" w:rsidRPr="00004558" w:rsidRDefault="0014569C" w:rsidP="002B12DF">
      <w:pPr>
        <w:pStyle w:val="NoSpacing"/>
        <w:spacing w:line="480" w:lineRule="auto"/>
        <w:rPr>
          <w:rFonts w:ascii="Times New Roman" w:hAnsi="Times New Roman"/>
          <w:bCs/>
          <w:sz w:val="24"/>
          <w:szCs w:val="24"/>
          <w:lang w:val="en-GB"/>
        </w:rPr>
      </w:pPr>
    </w:p>
    <w:p w14:paraId="1579305D" w14:textId="38D2C97D" w:rsidR="00CF4FAC" w:rsidRPr="00004558" w:rsidRDefault="00CF4FAC" w:rsidP="002B12DF">
      <w:pPr>
        <w:pStyle w:val="NoSpacing"/>
        <w:spacing w:line="480" w:lineRule="auto"/>
        <w:rPr>
          <w:rFonts w:ascii="Times New Roman" w:hAnsi="Times New Roman"/>
          <w:b/>
          <w:bCs/>
          <w:sz w:val="24"/>
          <w:szCs w:val="24"/>
          <w:lang w:val="en-GB"/>
        </w:rPr>
      </w:pPr>
      <w:r w:rsidRPr="00004558">
        <w:rPr>
          <w:rFonts w:ascii="Times New Roman" w:hAnsi="Times New Roman"/>
          <w:b/>
          <w:bCs/>
          <w:sz w:val="24"/>
          <w:szCs w:val="24"/>
          <w:lang w:val="en-GB"/>
        </w:rPr>
        <w:t>Results</w:t>
      </w:r>
    </w:p>
    <w:p w14:paraId="3346F9A0" w14:textId="0FC97CBA" w:rsidR="00771073" w:rsidRPr="00004558" w:rsidRDefault="00927283" w:rsidP="002B12DF">
      <w:pPr>
        <w:pStyle w:val="NoSpacing"/>
        <w:spacing w:line="480" w:lineRule="auto"/>
        <w:rPr>
          <w:rFonts w:ascii="Times New Roman" w:hAnsi="Times New Roman"/>
          <w:sz w:val="24"/>
          <w:szCs w:val="24"/>
          <w:lang w:val="en-GB"/>
        </w:rPr>
      </w:pPr>
      <w:r w:rsidRPr="00004558">
        <w:rPr>
          <w:rFonts w:ascii="Times New Roman" w:hAnsi="Times New Roman"/>
          <w:sz w:val="24"/>
          <w:szCs w:val="24"/>
          <w:lang w:val="en-GB"/>
        </w:rPr>
        <w:t>Of the 103</w:t>
      </w:r>
      <w:r w:rsidR="002C0A08" w:rsidRPr="00004558">
        <w:rPr>
          <w:rFonts w:ascii="Times New Roman" w:hAnsi="Times New Roman"/>
          <w:sz w:val="24"/>
          <w:szCs w:val="24"/>
          <w:lang w:val="en-GB"/>
        </w:rPr>
        <w:t>2</w:t>
      </w:r>
      <w:r w:rsidRPr="00004558">
        <w:rPr>
          <w:rFonts w:ascii="Times New Roman" w:hAnsi="Times New Roman"/>
          <w:sz w:val="24"/>
          <w:szCs w:val="24"/>
          <w:lang w:val="en-GB"/>
        </w:rPr>
        <w:t xml:space="preserve"> eligible </w:t>
      </w:r>
      <w:r w:rsidR="003217A4" w:rsidRPr="00004558">
        <w:rPr>
          <w:rFonts w:ascii="Times New Roman" w:hAnsi="Times New Roman"/>
          <w:sz w:val="24"/>
          <w:szCs w:val="24"/>
          <w:lang w:val="en-GB"/>
        </w:rPr>
        <w:t xml:space="preserve">women </w:t>
      </w:r>
      <w:r w:rsidRPr="00004558">
        <w:rPr>
          <w:rFonts w:ascii="Times New Roman" w:hAnsi="Times New Roman"/>
          <w:sz w:val="24"/>
          <w:szCs w:val="24"/>
          <w:lang w:val="en-GB"/>
        </w:rPr>
        <w:t xml:space="preserve">enrolled, </w:t>
      </w:r>
      <w:r w:rsidR="00EB6049" w:rsidRPr="00004558">
        <w:rPr>
          <w:rFonts w:ascii="Times New Roman" w:hAnsi="Times New Roman"/>
          <w:sz w:val="24"/>
          <w:szCs w:val="24"/>
          <w:lang w:val="en-GB"/>
        </w:rPr>
        <w:t>985</w:t>
      </w:r>
      <w:r w:rsidRPr="00004558">
        <w:rPr>
          <w:rFonts w:ascii="Times New Roman" w:hAnsi="Times New Roman"/>
          <w:sz w:val="24"/>
          <w:szCs w:val="24"/>
          <w:lang w:val="en-GB"/>
        </w:rPr>
        <w:t xml:space="preserve"> (</w:t>
      </w:r>
      <w:r w:rsidR="00EB6049" w:rsidRPr="00004558">
        <w:rPr>
          <w:rFonts w:ascii="Times New Roman" w:hAnsi="Times New Roman"/>
          <w:sz w:val="24"/>
          <w:szCs w:val="24"/>
          <w:lang w:val="en-GB"/>
        </w:rPr>
        <w:t>95.4</w:t>
      </w:r>
      <w:r w:rsidRPr="00004558">
        <w:rPr>
          <w:rFonts w:ascii="Times New Roman" w:hAnsi="Times New Roman"/>
          <w:sz w:val="24"/>
          <w:szCs w:val="24"/>
          <w:lang w:val="en-GB"/>
        </w:rPr>
        <w:t xml:space="preserve">%) </w:t>
      </w:r>
      <w:r w:rsidR="003217A4" w:rsidRPr="00004558">
        <w:rPr>
          <w:rFonts w:ascii="Times New Roman" w:hAnsi="Times New Roman"/>
          <w:sz w:val="24"/>
          <w:szCs w:val="24"/>
          <w:lang w:val="en-GB"/>
        </w:rPr>
        <w:t>women</w:t>
      </w:r>
      <w:r w:rsidR="002C0A08" w:rsidRPr="00004558">
        <w:rPr>
          <w:rFonts w:ascii="Times New Roman" w:hAnsi="Times New Roman"/>
          <w:sz w:val="24"/>
          <w:szCs w:val="24"/>
          <w:lang w:val="en-GB"/>
        </w:rPr>
        <w:t xml:space="preserve"> with complete dataset were included</w:t>
      </w:r>
      <w:r w:rsidRPr="00004558">
        <w:rPr>
          <w:rFonts w:ascii="Times New Roman" w:hAnsi="Times New Roman"/>
          <w:sz w:val="24"/>
          <w:szCs w:val="24"/>
          <w:lang w:val="en-GB"/>
        </w:rPr>
        <w:t xml:space="preserve"> </w:t>
      </w:r>
      <w:r w:rsidR="00A565D6" w:rsidRPr="00004558">
        <w:rPr>
          <w:rFonts w:ascii="Times New Roman" w:hAnsi="Times New Roman"/>
          <w:sz w:val="24"/>
          <w:szCs w:val="24"/>
          <w:lang w:val="en-GB"/>
        </w:rPr>
        <w:t>for analysis</w:t>
      </w:r>
      <w:r w:rsidRPr="00004558">
        <w:rPr>
          <w:rFonts w:ascii="Times New Roman" w:hAnsi="Times New Roman"/>
          <w:sz w:val="24"/>
          <w:szCs w:val="24"/>
          <w:lang w:val="en-GB"/>
        </w:rPr>
        <w:t>.</w:t>
      </w:r>
      <w:r w:rsidR="002C0A08" w:rsidRPr="00004558">
        <w:rPr>
          <w:rFonts w:ascii="Times New Roman" w:hAnsi="Times New Roman"/>
          <w:sz w:val="24"/>
          <w:szCs w:val="24"/>
          <w:lang w:val="en-GB"/>
        </w:rPr>
        <w:t xml:space="preserve"> </w:t>
      </w:r>
      <w:r w:rsidR="00636691" w:rsidRPr="00004558">
        <w:rPr>
          <w:rFonts w:ascii="Times New Roman" w:hAnsi="Times New Roman"/>
          <w:sz w:val="24"/>
          <w:szCs w:val="24"/>
          <w:lang w:val="en-GB"/>
        </w:rPr>
        <w:t>As shown in Table 1, 7</w:t>
      </w:r>
      <w:r w:rsidR="002C0A08" w:rsidRPr="00004558">
        <w:rPr>
          <w:rFonts w:ascii="Times New Roman" w:hAnsi="Times New Roman"/>
          <w:sz w:val="24"/>
          <w:szCs w:val="24"/>
          <w:lang w:val="en-GB"/>
        </w:rPr>
        <w:t>71</w:t>
      </w:r>
      <w:r w:rsidR="00636691" w:rsidRPr="00004558">
        <w:rPr>
          <w:rFonts w:ascii="Times New Roman" w:hAnsi="Times New Roman"/>
          <w:sz w:val="24"/>
          <w:szCs w:val="24"/>
          <w:lang w:val="en-GB"/>
        </w:rPr>
        <w:t xml:space="preserve"> (7</w:t>
      </w:r>
      <w:r w:rsidR="002C0A08" w:rsidRPr="00004558">
        <w:rPr>
          <w:rFonts w:ascii="Times New Roman" w:hAnsi="Times New Roman"/>
          <w:sz w:val="24"/>
          <w:szCs w:val="24"/>
          <w:lang w:val="en-GB"/>
        </w:rPr>
        <w:t>8.3</w:t>
      </w:r>
      <w:r w:rsidR="00636691" w:rsidRPr="00004558">
        <w:rPr>
          <w:rFonts w:ascii="Times New Roman" w:hAnsi="Times New Roman"/>
          <w:sz w:val="24"/>
          <w:szCs w:val="24"/>
          <w:lang w:val="en-GB"/>
        </w:rPr>
        <w:t>%) and 2</w:t>
      </w:r>
      <w:r w:rsidR="002C0A08" w:rsidRPr="00004558">
        <w:rPr>
          <w:rFonts w:ascii="Times New Roman" w:hAnsi="Times New Roman"/>
          <w:sz w:val="24"/>
          <w:szCs w:val="24"/>
          <w:lang w:val="en-GB"/>
        </w:rPr>
        <w:t>14</w:t>
      </w:r>
      <w:r w:rsidR="00636691" w:rsidRPr="00004558">
        <w:rPr>
          <w:rFonts w:ascii="Times New Roman" w:hAnsi="Times New Roman"/>
          <w:sz w:val="24"/>
          <w:szCs w:val="24"/>
          <w:lang w:val="en-GB"/>
        </w:rPr>
        <w:t xml:space="preserve"> (2</w:t>
      </w:r>
      <w:r w:rsidR="002C0A08" w:rsidRPr="00004558">
        <w:rPr>
          <w:rFonts w:ascii="Times New Roman" w:hAnsi="Times New Roman"/>
          <w:sz w:val="24"/>
          <w:szCs w:val="24"/>
          <w:lang w:val="en-GB"/>
        </w:rPr>
        <w:t>1.7</w:t>
      </w:r>
      <w:r w:rsidR="00636691" w:rsidRPr="00004558">
        <w:rPr>
          <w:rFonts w:ascii="Times New Roman" w:hAnsi="Times New Roman"/>
          <w:sz w:val="24"/>
          <w:szCs w:val="24"/>
          <w:lang w:val="en-GB"/>
        </w:rPr>
        <w:t>%) had normal and abnormal RBC indices, respectively. Among those with abnormal RBC indices, 4</w:t>
      </w:r>
      <w:r w:rsidR="002C0A08" w:rsidRPr="00004558">
        <w:rPr>
          <w:rFonts w:ascii="Times New Roman" w:hAnsi="Times New Roman"/>
          <w:sz w:val="24"/>
          <w:szCs w:val="24"/>
          <w:lang w:val="en-GB"/>
        </w:rPr>
        <w:t>5.8</w:t>
      </w:r>
      <w:r w:rsidR="00636691" w:rsidRPr="00004558">
        <w:rPr>
          <w:rFonts w:ascii="Times New Roman" w:hAnsi="Times New Roman"/>
          <w:sz w:val="24"/>
          <w:szCs w:val="24"/>
          <w:lang w:val="en-GB"/>
        </w:rPr>
        <w:t>% (n=98) had both low Hb and low MCV, 2</w:t>
      </w:r>
      <w:r w:rsidR="002C0A08" w:rsidRPr="00004558">
        <w:rPr>
          <w:rFonts w:ascii="Times New Roman" w:hAnsi="Times New Roman"/>
          <w:sz w:val="24"/>
          <w:szCs w:val="24"/>
          <w:lang w:val="en-GB"/>
        </w:rPr>
        <w:t>8.5</w:t>
      </w:r>
      <w:r w:rsidR="00636691" w:rsidRPr="00004558">
        <w:rPr>
          <w:rFonts w:ascii="Times New Roman" w:hAnsi="Times New Roman"/>
          <w:sz w:val="24"/>
          <w:szCs w:val="24"/>
          <w:lang w:val="en-GB"/>
        </w:rPr>
        <w:t>% (n=61) had low MCV only, 25.</w:t>
      </w:r>
      <w:r w:rsidR="002C0A08" w:rsidRPr="00004558">
        <w:rPr>
          <w:rFonts w:ascii="Times New Roman" w:hAnsi="Times New Roman"/>
          <w:sz w:val="24"/>
          <w:szCs w:val="24"/>
          <w:lang w:val="en-GB"/>
        </w:rPr>
        <w:t>7</w:t>
      </w:r>
      <w:r w:rsidR="00636691" w:rsidRPr="00004558">
        <w:rPr>
          <w:rFonts w:ascii="Times New Roman" w:hAnsi="Times New Roman"/>
          <w:sz w:val="24"/>
          <w:szCs w:val="24"/>
          <w:lang w:val="en-GB"/>
        </w:rPr>
        <w:t>% (n=55) had low Hb only.</w:t>
      </w:r>
      <w:r w:rsidR="00816CC5" w:rsidRPr="00004558">
        <w:rPr>
          <w:rFonts w:ascii="Times New Roman" w:hAnsi="Times New Roman"/>
          <w:sz w:val="24"/>
          <w:szCs w:val="24"/>
          <w:lang w:val="en-GB"/>
        </w:rPr>
        <w:t xml:space="preserve"> </w:t>
      </w:r>
      <w:r w:rsidR="00A51427" w:rsidRPr="00004558">
        <w:rPr>
          <w:rFonts w:ascii="Times New Roman" w:hAnsi="Times New Roman"/>
          <w:sz w:val="24"/>
          <w:szCs w:val="24"/>
          <w:lang w:val="en-GB"/>
        </w:rPr>
        <w:t>Compared to women with normal RBC indices, those with abnormal RBC indices were more likely to be Malay and Indian ethnicities, and had higher 2hPPG. There w</w:t>
      </w:r>
      <w:r w:rsidR="00AE47C3" w:rsidRPr="00004558">
        <w:rPr>
          <w:rFonts w:ascii="Times New Roman" w:hAnsi="Times New Roman"/>
          <w:sz w:val="24"/>
          <w:szCs w:val="24"/>
          <w:lang w:val="en-GB"/>
        </w:rPr>
        <w:t>ere</w:t>
      </w:r>
      <w:r w:rsidR="00A51427" w:rsidRPr="00004558">
        <w:rPr>
          <w:rFonts w:ascii="Times New Roman" w:hAnsi="Times New Roman"/>
          <w:sz w:val="24"/>
          <w:szCs w:val="24"/>
          <w:lang w:val="en-GB"/>
        </w:rPr>
        <w:t xml:space="preserve"> no </w:t>
      </w:r>
      <w:r w:rsidR="00AE47C3" w:rsidRPr="00004558">
        <w:rPr>
          <w:rFonts w:ascii="Times New Roman" w:hAnsi="Times New Roman"/>
          <w:sz w:val="24"/>
          <w:szCs w:val="24"/>
          <w:lang w:val="en-GB"/>
        </w:rPr>
        <w:t xml:space="preserve">differences </w:t>
      </w:r>
      <w:r w:rsidR="00A51427" w:rsidRPr="00004558">
        <w:rPr>
          <w:rFonts w:ascii="Times New Roman" w:hAnsi="Times New Roman"/>
          <w:sz w:val="24"/>
          <w:szCs w:val="24"/>
          <w:lang w:val="en-GB"/>
        </w:rPr>
        <w:t xml:space="preserve">between </w:t>
      </w:r>
      <w:r w:rsidR="002B3D2B" w:rsidRPr="00004558">
        <w:rPr>
          <w:rFonts w:ascii="Times New Roman" w:hAnsi="Times New Roman"/>
          <w:sz w:val="24"/>
          <w:szCs w:val="24"/>
          <w:lang w:val="en-GB"/>
        </w:rPr>
        <w:t xml:space="preserve">the </w:t>
      </w:r>
      <w:r w:rsidR="00A51427" w:rsidRPr="00004558">
        <w:rPr>
          <w:rFonts w:ascii="Times New Roman" w:hAnsi="Times New Roman"/>
          <w:sz w:val="24"/>
          <w:szCs w:val="24"/>
          <w:lang w:val="en-GB"/>
        </w:rPr>
        <w:t>group</w:t>
      </w:r>
      <w:r w:rsidR="00AE47C3" w:rsidRPr="00004558">
        <w:rPr>
          <w:rFonts w:ascii="Times New Roman" w:hAnsi="Times New Roman"/>
          <w:sz w:val="24"/>
          <w:szCs w:val="24"/>
          <w:lang w:val="en-GB"/>
        </w:rPr>
        <w:t>s</w:t>
      </w:r>
      <w:r w:rsidR="00A51427" w:rsidRPr="00004558">
        <w:rPr>
          <w:rFonts w:ascii="Times New Roman" w:hAnsi="Times New Roman"/>
          <w:sz w:val="24"/>
          <w:szCs w:val="24"/>
          <w:lang w:val="en-GB"/>
        </w:rPr>
        <w:t xml:space="preserve"> </w:t>
      </w:r>
      <w:r w:rsidR="00D048E6" w:rsidRPr="00004558">
        <w:rPr>
          <w:rFonts w:ascii="Times New Roman" w:hAnsi="Times New Roman"/>
          <w:sz w:val="24"/>
          <w:szCs w:val="24"/>
          <w:lang w:val="en-GB"/>
        </w:rPr>
        <w:t xml:space="preserve">of women with normal and abnormal RBC indices </w:t>
      </w:r>
      <w:r w:rsidR="002B3D2B" w:rsidRPr="00004558">
        <w:rPr>
          <w:rFonts w:ascii="Times New Roman" w:hAnsi="Times New Roman"/>
          <w:sz w:val="24"/>
          <w:szCs w:val="24"/>
          <w:lang w:val="en-GB"/>
        </w:rPr>
        <w:t>in relation to</w:t>
      </w:r>
      <w:r w:rsidR="00A51427" w:rsidRPr="00004558">
        <w:rPr>
          <w:rFonts w:ascii="Times New Roman" w:hAnsi="Times New Roman"/>
          <w:sz w:val="24"/>
          <w:szCs w:val="24"/>
          <w:lang w:val="en-GB"/>
        </w:rPr>
        <w:t xml:space="preserve"> age, HbA1c, FPG and </w:t>
      </w:r>
      <w:r w:rsidR="00816CC5" w:rsidRPr="00004558">
        <w:rPr>
          <w:rFonts w:ascii="Times New Roman" w:hAnsi="Times New Roman"/>
          <w:sz w:val="24"/>
          <w:szCs w:val="24"/>
          <w:lang w:val="en-GB"/>
        </w:rPr>
        <w:t>dysglycaemic status</w:t>
      </w:r>
      <w:r w:rsidR="00A51427" w:rsidRPr="00004558">
        <w:rPr>
          <w:rFonts w:ascii="Times New Roman" w:hAnsi="Times New Roman"/>
          <w:sz w:val="24"/>
          <w:szCs w:val="24"/>
          <w:lang w:val="en-GB"/>
        </w:rPr>
        <w:t>.</w:t>
      </w:r>
      <w:r w:rsidR="00AE47C3" w:rsidRPr="00004558">
        <w:rPr>
          <w:rFonts w:ascii="Times New Roman" w:hAnsi="Times New Roman"/>
          <w:sz w:val="24"/>
          <w:szCs w:val="24"/>
          <w:lang w:val="en-GB"/>
        </w:rPr>
        <w:t xml:space="preserve"> </w:t>
      </w:r>
    </w:p>
    <w:p w14:paraId="12C2133C" w14:textId="6A2394F5" w:rsidR="0014569C" w:rsidRPr="00004558" w:rsidRDefault="00A2799E" w:rsidP="002B12DF">
      <w:pPr>
        <w:pStyle w:val="NoSpacing"/>
        <w:spacing w:line="480" w:lineRule="auto"/>
        <w:rPr>
          <w:rFonts w:ascii="Times New Roman" w:hAnsi="Times New Roman"/>
          <w:sz w:val="24"/>
          <w:szCs w:val="24"/>
          <w:lang w:val="en-GB"/>
        </w:rPr>
      </w:pPr>
      <w:r w:rsidRPr="00004558">
        <w:rPr>
          <w:rFonts w:ascii="Times New Roman" w:hAnsi="Times New Roman"/>
          <w:sz w:val="24"/>
          <w:szCs w:val="24"/>
          <w:lang w:val="en-GB"/>
        </w:rPr>
        <w:tab/>
      </w:r>
      <w:r w:rsidR="00A51427" w:rsidRPr="00004558">
        <w:rPr>
          <w:rFonts w:ascii="Times New Roman" w:hAnsi="Times New Roman"/>
          <w:sz w:val="24"/>
          <w:szCs w:val="24"/>
          <w:lang w:val="en-GB"/>
        </w:rPr>
        <w:t xml:space="preserve">The ROC curves for HbA1c in detecting </w:t>
      </w:r>
      <w:r w:rsidR="005D6351" w:rsidRPr="00004558">
        <w:rPr>
          <w:rFonts w:ascii="Times New Roman" w:hAnsi="Times New Roman"/>
          <w:sz w:val="24"/>
          <w:szCs w:val="24"/>
          <w:lang w:val="en-GB"/>
        </w:rPr>
        <w:t>dysglycaemia</w:t>
      </w:r>
      <w:r w:rsidR="00A51427" w:rsidRPr="00004558">
        <w:rPr>
          <w:rFonts w:ascii="Times New Roman" w:hAnsi="Times New Roman"/>
          <w:sz w:val="24"/>
          <w:szCs w:val="24"/>
          <w:lang w:val="en-GB"/>
        </w:rPr>
        <w:t xml:space="preserve"> among women with normal and abnormal RBC indices are shown in Figure </w:t>
      </w:r>
      <w:r w:rsidR="00F451A5" w:rsidRPr="00004558">
        <w:rPr>
          <w:rFonts w:ascii="Times New Roman" w:hAnsi="Times New Roman"/>
          <w:sz w:val="24"/>
          <w:szCs w:val="24"/>
          <w:lang w:val="en-GB"/>
        </w:rPr>
        <w:t>1</w:t>
      </w:r>
      <w:r w:rsidR="00A51427" w:rsidRPr="00004558">
        <w:rPr>
          <w:rFonts w:ascii="Times New Roman" w:hAnsi="Times New Roman"/>
          <w:sz w:val="24"/>
          <w:szCs w:val="24"/>
          <w:lang w:val="en-GB"/>
        </w:rPr>
        <w:t xml:space="preserve">. The sensitivities and specificities of HbA1c at different cut-off values are shown in </w:t>
      </w:r>
      <w:r w:rsidR="00966FBB" w:rsidRPr="00004558">
        <w:rPr>
          <w:rFonts w:ascii="Times New Roman" w:hAnsi="Times New Roman"/>
          <w:sz w:val="24"/>
          <w:szCs w:val="24"/>
          <w:lang w:val="en-GB"/>
        </w:rPr>
        <w:t xml:space="preserve">Supplementary </w:t>
      </w:r>
      <w:r w:rsidR="005D6351" w:rsidRPr="00004558">
        <w:rPr>
          <w:rFonts w:ascii="Times New Roman" w:hAnsi="Times New Roman"/>
          <w:sz w:val="24"/>
          <w:szCs w:val="24"/>
          <w:lang w:val="en-GB"/>
        </w:rPr>
        <w:t xml:space="preserve">Table </w:t>
      </w:r>
      <w:r w:rsidR="00A51427" w:rsidRPr="00004558">
        <w:rPr>
          <w:rFonts w:ascii="Times New Roman" w:hAnsi="Times New Roman"/>
          <w:sz w:val="24"/>
          <w:szCs w:val="24"/>
          <w:lang w:val="en-GB"/>
        </w:rPr>
        <w:t>S</w:t>
      </w:r>
      <w:r w:rsidR="00F451A5" w:rsidRPr="00004558">
        <w:rPr>
          <w:rFonts w:ascii="Times New Roman" w:hAnsi="Times New Roman"/>
          <w:sz w:val="24"/>
          <w:szCs w:val="24"/>
          <w:lang w:val="en-GB"/>
        </w:rPr>
        <w:t>1</w:t>
      </w:r>
      <w:r w:rsidR="0099221B" w:rsidRPr="00004558">
        <w:rPr>
          <w:rFonts w:ascii="Times New Roman" w:hAnsi="Times New Roman"/>
          <w:sz w:val="24"/>
          <w:szCs w:val="24"/>
          <w:lang w:val="en-GB"/>
        </w:rPr>
        <w:t xml:space="preserve"> online</w:t>
      </w:r>
      <w:r w:rsidR="00A51427" w:rsidRPr="00004558">
        <w:rPr>
          <w:rFonts w:ascii="Times New Roman" w:hAnsi="Times New Roman"/>
          <w:sz w:val="24"/>
          <w:szCs w:val="24"/>
          <w:lang w:val="en-GB"/>
        </w:rPr>
        <w:t>. The AUROC for participants with normal and abnormal RBC indices were both modest</w:t>
      </w:r>
      <w:r w:rsidR="002B3D2B" w:rsidRPr="00004558">
        <w:rPr>
          <w:rFonts w:ascii="Times New Roman" w:hAnsi="Times New Roman"/>
          <w:sz w:val="24"/>
          <w:szCs w:val="24"/>
          <w:lang w:val="en-GB"/>
        </w:rPr>
        <w:t>,</w:t>
      </w:r>
      <w:r w:rsidR="00A51427" w:rsidRPr="00004558">
        <w:rPr>
          <w:rFonts w:ascii="Times New Roman" w:hAnsi="Times New Roman"/>
          <w:sz w:val="24"/>
          <w:szCs w:val="24"/>
          <w:lang w:val="en-GB"/>
        </w:rPr>
        <w:t xml:space="preserve"> 0.75 (95%</w:t>
      </w:r>
      <w:r w:rsidR="00363E9B" w:rsidRPr="00004558">
        <w:rPr>
          <w:rFonts w:ascii="Times New Roman" w:hAnsi="Times New Roman"/>
          <w:sz w:val="24"/>
          <w:szCs w:val="24"/>
          <w:lang w:val="en-GB"/>
        </w:rPr>
        <w:t xml:space="preserve"> </w:t>
      </w:r>
      <w:r w:rsidR="00A51427" w:rsidRPr="00004558">
        <w:rPr>
          <w:rFonts w:ascii="Times New Roman" w:hAnsi="Times New Roman"/>
          <w:sz w:val="24"/>
          <w:szCs w:val="24"/>
          <w:lang w:val="en-GB"/>
        </w:rPr>
        <w:t>CI 0.69</w:t>
      </w:r>
      <w:r w:rsidR="005D6351" w:rsidRPr="00004558">
        <w:rPr>
          <w:rFonts w:ascii="Times New Roman" w:hAnsi="Times New Roman"/>
          <w:sz w:val="24"/>
          <w:szCs w:val="24"/>
          <w:lang w:val="en-GB"/>
        </w:rPr>
        <w:t xml:space="preserve">, </w:t>
      </w:r>
      <w:r w:rsidR="00A51427" w:rsidRPr="00004558">
        <w:rPr>
          <w:rFonts w:ascii="Times New Roman" w:hAnsi="Times New Roman"/>
          <w:sz w:val="24"/>
          <w:szCs w:val="24"/>
          <w:lang w:val="en-GB"/>
        </w:rPr>
        <w:t>0.81) and 0.8</w:t>
      </w:r>
      <w:r w:rsidR="005D6351" w:rsidRPr="00004558">
        <w:rPr>
          <w:rFonts w:ascii="Times New Roman" w:hAnsi="Times New Roman"/>
          <w:sz w:val="24"/>
          <w:szCs w:val="24"/>
          <w:lang w:val="en-GB"/>
        </w:rPr>
        <w:t>0</w:t>
      </w:r>
      <w:r w:rsidR="00A51427" w:rsidRPr="00004558">
        <w:rPr>
          <w:rFonts w:ascii="Times New Roman" w:hAnsi="Times New Roman"/>
          <w:sz w:val="24"/>
          <w:szCs w:val="24"/>
          <w:lang w:val="en-GB"/>
        </w:rPr>
        <w:t xml:space="preserve"> (0.7</w:t>
      </w:r>
      <w:r w:rsidR="005D6351" w:rsidRPr="00004558">
        <w:rPr>
          <w:rFonts w:ascii="Times New Roman" w:hAnsi="Times New Roman"/>
          <w:sz w:val="24"/>
          <w:szCs w:val="24"/>
          <w:lang w:val="en-GB"/>
        </w:rPr>
        <w:t xml:space="preserve">0, </w:t>
      </w:r>
      <w:r w:rsidR="00A51427" w:rsidRPr="00004558">
        <w:rPr>
          <w:rFonts w:ascii="Times New Roman" w:hAnsi="Times New Roman"/>
          <w:sz w:val="24"/>
          <w:szCs w:val="24"/>
          <w:lang w:val="en-GB"/>
        </w:rPr>
        <w:t xml:space="preserve">0.90), respectively, and were not statistically different from one another </w:t>
      </w:r>
      <w:r w:rsidR="005D6351" w:rsidRPr="00004558">
        <w:rPr>
          <w:rFonts w:ascii="Times New Roman" w:hAnsi="Times New Roman"/>
          <w:sz w:val="24"/>
          <w:szCs w:val="24"/>
          <w:lang w:val="en-GB"/>
        </w:rPr>
        <w:t>[difference 0.04 (-0.16, 0.08)]</w:t>
      </w:r>
      <w:r w:rsidRPr="00004558">
        <w:rPr>
          <w:rFonts w:ascii="Times New Roman" w:hAnsi="Times New Roman"/>
          <w:sz w:val="24"/>
          <w:szCs w:val="24"/>
          <w:lang w:val="en-GB"/>
        </w:rPr>
        <w:t xml:space="preserve"> (Figure </w:t>
      </w:r>
      <w:r w:rsidR="00F451A5" w:rsidRPr="00004558">
        <w:rPr>
          <w:rFonts w:ascii="Times New Roman" w:hAnsi="Times New Roman"/>
          <w:sz w:val="24"/>
          <w:szCs w:val="24"/>
          <w:lang w:val="en-GB"/>
        </w:rPr>
        <w:t>1</w:t>
      </w:r>
      <w:r w:rsidRPr="00004558">
        <w:rPr>
          <w:rFonts w:ascii="Times New Roman" w:hAnsi="Times New Roman"/>
          <w:sz w:val="24"/>
          <w:szCs w:val="24"/>
          <w:lang w:val="en-GB"/>
        </w:rPr>
        <w:t>A)</w:t>
      </w:r>
      <w:r w:rsidR="005D6351" w:rsidRPr="00004558">
        <w:rPr>
          <w:rFonts w:ascii="Times New Roman" w:hAnsi="Times New Roman"/>
          <w:sz w:val="24"/>
          <w:szCs w:val="24"/>
          <w:lang w:val="en-GB"/>
        </w:rPr>
        <w:t xml:space="preserve">. </w:t>
      </w:r>
      <w:r w:rsidR="00F277B5" w:rsidRPr="00004558">
        <w:rPr>
          <w:rFonts w:ascii="Times New Roman" w:hAnsi="Times New Roman"/>
          <w:sz w:val="24"/>
          <w:szCs w:val="24"/>
          <w:lang w:val="en-GB"/>
        </w:rPr>
        <w:t xml:space="preserve">In both Chinese </w:t>
      </w:r>
      <w:r w:rsidR="0016447E" w:rsidRPr="00004558">
        <w:rPr>
          <w:rFonts w:ascii="Times New Roman" w:hAnsi="Times New Roman"/>
          <w:sz w:val="24"/>
          <w:szCs w:val="24"/>
          <w:lang w:val="en-GB"/>
        </w:rPr>
        <w:t xml:space="preserve">(Figure 1B) </w:t>
      </w:r>
      <w:r w:rsidR="00F277B5" w:rsidRPr="00004558">
        <w:rPr>
          <w:rFonts w:ascii="Times New Roman" w:hAnsi="Times New Roman"/>
          <w:sz w:val="24"/>
          <w:szCs w:val="24"/>
          <w:lang w:val="en-GB"/>
        </w:rPr>
        <w:t>and Indian</w:t>
      </w:r>
      <w:r w:rsidR="0016447E" w:rsidRPr="00004558">
        <w:rPr>
          <w:rFonts w:ascii="Times New Roman" w:hAnsi="Times New Roman"/>
          <w:sz w:val="24"/>
          <w:szCs w:val="24"/>
          <w:lang w:val="en-GB"/>
        </w:rPr>
        <w:t xml:space="preserve"> (Figure 1D)</w:t>
      </w:r>
      <w:r w:rsidR="00F277B5" w:rsidRPr="00004558">
        <w:rPr>
          <w:rFonts w:ascii="Times New Roman" w:hAnsi="Times New Roman"/>
          <w:sz w:val="24"/>
          <w:szCs w:val="24"/>
          <w:lang w:val="en-GB"/>
        </w:rPr>
        <w:t>, AUROC of women with normal RBC indices were not statistically different from those with abnormal RBC indices (Chinese, 0.73 (0.66</w:t>
      </w:r>
      <w:r w:rsidR="000973A8" w:rsidRPr="00004558">
        <w:rPr>
          <w:rFonts w:ascii="Times New Roman" w:hAnsi="Times New Roman"/>
          <w:sz w:val="24"/>
          <w:szCs w:val="24"/>
          <w:lang w:val="en-GB"/>
        </w:rPr>
        <w:t xml:space="preserve">, </w:t>
      </w:r>
      <w:r w:rsidR="00F277B5" w:rsidRPr="00004558">
        <w:rPr>
          <w:rFonts w:ascii="Times New Roman" w:hAnsi="Times New Roman"/>
          <w:sz w:val="24"/>
          <w:szCs w:val="24"/>
          <w:lang w:val="en-GB"/>
        </w:rPr>
        <w:t>0.80) vs</w:t>
      </w:r>
      <w:r w:rsidR="000973A8" w:rsidRPr="00004558">
        <w:rPr>
          <w:rFonts w:ascii="Times New Roman" w:hAnsi="Times New Roman"/>
          <w:sz w:val="24"/>
          <w:szCs w:val="24"/>
          <w:lang w:val="en-GB"/>
        </w:rPr>
        <w:t>.</w:t>
      </w:r>
      <w:r w:rsidR="00F277B5" w:rsidRPr="00004558">
        <w:rPr>
          <w:rFonts w:ascii="Times New Roman" w:hAnsi="Times New Roman"/>
          <w:sz w:val="24"/>
          <w:szCs w:val="24"/>
          <w:lang w:val="en-GB"/>
        </w:rPr>
        <w:t xml:space="preserve"> 0.77 (0.65</w:t>
      </w:r>
      <w:r w:rsidR="000973A8" w:rsidRPr="00004558">
        <w:rPr>
          <w:rFonts w:ascii="Times New Roman" w:hAnsi="Times New Roman"/>
          <w:sz w:val="24"/>
          <w:szCs w:val="24"/>
          <w:lang w:val="en-GB"/>
        </w:rPr>
        <w:t xml:space="preserve">, </w:t>
      </w:r>
      <w:r w:rsidR="00F277B5" w:rsidRPr="00004558">
        <w:rPr>
          <w:rFonts w:ascii="Times New Roman" w:hAnsi="Times New Roman"/>
          <w:sz w:val="24"/>
          <w:szCs w:val="24"/>
          <w:lang w:val="en-GB"/>
        </w:rPr>
        <w:t>0.90), p=0.55</w:t>
      </w:r>
      <w:r w:rsidR="000973A8" w:rsidRPr="00004558">
        <w:rPr>
          <w:rFonts w:ascii="Times New Roman" w:hAnsi="Times New Roman"/>
          <w:sz w:val="24"/>
          <w:szCs w:val="24"/>
          <w:lang w:val="en-GB"/>
        </w:rPr>
        <w:t>0</w:t>
      </w:r>
      <w:r w:rsidR="00F277B5" w:rsidRPr="00004558">
        <w:rPr>
          <w:rFonts w:ascii="Times New Roman" w:hAnsi="Times New Roman"/>
          <w:sz w:val="24"/>
          <w:szCs w:val="24"/>
          <w:lang w:val="en-GB"/>
        </w:rPr>
        <w:t>; Indian, 0.84 (0.72</w:t>
      </w:r>
      <w:r w:rsidR="000973A8" w:rsidRPr="00004558">
        <w:rPr>
          <w:rFonts w:ascii="Times New Roman" w:hAnsi="Times New Roman"/>
          <w:sz w:val="24"/>
          <w:szCs w:val="24"/>
          <w:lang w:val="en-GB"/>
        </w:rPr>
        <w:t xml:space="preserve">, </w:t>
      </w:r>
      <w:r w:rsidR="00F277B5" w:rsidRPr="00004558">
        <w:rPr>
          <w:rFonts w:ascii="Times New Roman" w:hAnsi="Times New Roman"/>
          <w:sz w:val="24"/>
          <w:szCs w:val="24"/>
          <w:lang w:val="en-GB"/>
        </w:rPr>
        <w:t>0.97) vs</w:t>
      </w:r>
      <w:r w:rsidR="000973A8" w:rsidRPr="00004558">
        <w:rPr>
          <w:rFonts w:ascii="Times New Roman" w:hAnsi="Times New Roman"/>
          <w:sz w:val="24"/>
          <w:szCs w:val="24"/>
          <w:lang w:val="en-GB"/>
        </w:rPr>
        <w:t>.</w:t>
      </w:r>
      <w:r w:rsidR="00F277B5" w:rsidRPr="00004558">
        <w:rPr>
          <w:rFonts w:ascii="Times New Roman" w:hAnsi="Times New Roman"/>
          <w:sz w:val="24"/>
          <w:szCs w:val="24"/>
          <w:lang w:val="en-GB"/>
        </w:rPr>
        <w:t xml:space="preserve"> 0.80 (0.59</w:t>
      </w:r>
      <w:r w:rsidR="000973A8" w:rsidRPr="00004558">
        <w:rPr>
          <w:rFonts w:ascii="Times New Roman" w:hAnsi="Times New Roman"/>
          <w:sz w:val="24"/>
          <w:szCs w:val="24"/>
          <w:lang w:val="en-GB"/>
        </w:rPr>
        <w:t xml:space="preserve">, </w:t>
      </w:r>
      <w:r w:rsidR="00F277B5" w:rsidRPr="00004558">
        <w:rPr>
          <w:rFonts w:ascii="Times New Roman" w:hAnsi="Times New Roman"/>
          <w:sz w:val="24"/>
          <w:szCs w:val="24"/>
          <w:lang w:val="en-GB"/>
        </w:rPr>
        <w:t>1.00), p=0.77</w:t>
      </w:r>
      <w:r w:rsidR="000973A8" w:rsidRPr="00004558">
        <w:rPr>
          <w:rFonts w:ascii="Times New Roman" w:hAnsi="Times New Roman"/>
          <w:sz w:val="24"/>
          <w:szCs w:val="24"/>
          <w:lang w:val="en-GB"/>
        </w:rPr>
        <w:t>0</w:t>
      </w:r>
      <w:r w:rsidR="00F277B5" w:rsidRPr="00004558">
        <w:rPr>
          <w:rFonts w:ascii="Times New Roman" w:hAnsi="Times New Roman"/>
          <w:sz w:val="24"/>
          <w:szCs w:val="24"/>
          <w:lang w:val="en-GB"/>
        </w:rPr>
        <w:t>).  However, in the Malay group</w:t>
      </w:r>
      <w:r w:rsidR="0016447E" w:rsidRPr="00004558">
        <w:rPr>
          <w:rFonts w:ascii="Times New Roman" w:hAnsi="Times New Roman"/>
          <w:sz w:val="24"/>
          <w:szCs w:val="24"/>
          <w:lang w:val="en-GB"/>
        </w:rPr>
        <w:t xml:space="preserve"> (Figure 1C)</w:t>
      </w:r>
      <w:r w:rsidR="00F277B5" w:rsidRPr="00004558">
        <w:rPr>
          <w:rFonts w:ascii="Times New Roman" w:hAnsi="Times New Roman"/>
          <w:sz w:val="24"/>
          <w:szCs w:val="24"/>
          <w:lang w:val="en-GB"/>
        </w:rPr>
        <w:t>, AUROC of women with normal RBC indices was statistically lower than that of those with abnormal RBC indices (0.71 (0.55</w:t>
      </w:r>
      <w:r w:rsidR="000973A8" w:rsidRPr="00004558">
        <w:rPr>
          <w:rFonts w:ascii="Times New Roman" w:hAnsi="Times New Roman"/>
          <w:sz w:val="24"/>
          <w:szCs w:val="24"/>
          <w:lang w:val="en-GB"/>
        </w:rPr>
        <w:t xml:space="preserve">, </w:t>
      </w:r>
      <w:r w:rsidR="00F277B5" w:rsidRPr="00004558">
        <w:rPr>
          <w:rFonts w:ascii="Times New Roman" w:hAnsi="Times New Roman"/>
          <w:sz w:val="24"/>
          <w:szCs w:val="24"/>
          <w:lang w:val="en-GB"/>
        </w:rPr>
        <w:t>0.87) vs</w:t>
      </w:r>
      <w:r w:rsidR="000973A8" w:rsidRPr="00004558">
        <w:rPr>
          <w:rFonts w:ascii="Times New Roman" w:hAnsi="Times New Roman"/>
          <w:sz w:val="24"/>
          <w:szCs w:val="24"/>
          <w:lang w:val="en-GB"/>
        </w:rPr>
        <w:t>.</w:t>
      </w:r>
      <w:r w:rsidR="00F277B5" w:rsidRPr="00004558">
        <w:rPr>
          <w:rFonts w:ascii="Times New Roman" w:hAnsi="Times New Roman"/>
          <w:sz w:val="24"/>
          <w:szCs w:val="24"/>
          <w:lang w:val="en-GB"/>
        </w:rPr>
        <w:t xml:space="preserve"> 0.98 (0.93</w:t>
      </w:r>
      <w:r w:rsidR="000973A8" w:rsidRPr="00004558">
        <w:rPr>
          <w:rFonts w:ascii="Times New Roman" w:hAnsi="Times New Roman"/>
          <w:sz w:val="24"/>
          <w:szCs w:val="24"/>
          <w:lang w:val="en-GB"/>
        </w:rPr>
        <w:t xml:space="preserve">, </w:t>
      </w:r>
      <w:r w:rsidR="00F277B5" w:rsidRPr="00004558">
        <w:rPr>
          <w:rFonts w:ascii="Times New Roman" w:hAnsi="Times New Roman"/>
          <w:sz w:val="24"/>
          <w:szCs w:val="24"/>
          <w:lang w:val="en-GB"/>
        </w:rPr>
        <w:t>1.00), p=0.002).</w:t>
      </w:r>
      <w:r w:rsidR="0055035E" w:rsidRPr="00004558">
        <w:rPr>
          <w:rFonts w:ascii="Times New Roman" w:hAnsi="Times New Roman"/>
          <w:sz w:val="24"/>
          <w:szCs w:val="24"/>
          <w:lang w:val="en-GB"/>
        </w:rPr>
        <w:t xml:space="preserve"> </w:t>
      </w:r>
      <w:r w:rsidR="00F277B5" w:rsidRPr="00004558">
        <w:rPr>
          <w:rFonts w:ascii="Times New Roman" w:hAnsi="Times New Roman"/>
          <w:sz w:val="24"/>
          <w:szCs w:val="24"/>
          <w:lang w:val="en-GB"/>
        </w:rPr>
        <w:t>Among women with normal RBC indices, the AUROC of the different ethnicities ranged from 0.71 to 0.84, which were not substantially different from their pooled estimate of 0.75.</w:t>
      </w:r>
    </w:p>
    <w:p w14:paraId="0B103BFD" w14:textId="34D33D0E" w:rsidR="008E6417" w:rsidRPr="00004558" w:rsidRDefault="00F451A5" w:rsidP="00123925">
      <w:pPr>
        <w:pStyle w:val="NoSpacing"/>
        <w:spacing w:line="480" w:lineRule="auto"/>
        <w:ind w:firstLine="720"/>
        <w:rPr>
          <w:rFonts w:ascii="Times New Roman" w:hAnsi="Times New Roman"/>
          <w:b/>
          <w:bCs/>
          <w:sz w:val="24"/>
          <w:szCs w:val="24"/>
          <w:lang w:val="en-GB"/>
        </w:rPr>
      </w:pPr>
      <w:r w:rsidRPr="00004558">
        <w:rPr>
          <w:rFonts w:ascii="Times New Roman" w:hAnsi="Times New Roman"/>
          <w:sz w:val="24"/>
          <w:szCs w:val="24"/>
          <w:lang w:val="en-GB"/>
        </w:rPr>
        <w:t xml:space="preserve">Table 2 shows the haematological parameters of women with normal and abnormal RBC indices with stratification by ethnic groups. Among Chinese and Indian participants, RBC count was higher in women with abnormal RBC indices, whereas among Malay participants, no difference was observed. Based on the Mentzer Index, in all ethnicities, the majority of the women had abnormal RBC indices suggestive of IDA rather than </w:t>
      </w:r>
      <w:r w:rsidR="00CF64FC" w:rsidRPr="00004558">
        <w:rPr>
          <w:rFonts w:ascii="Times New Roman" w:hAnsi="Times New Roman"/>
          <w:sz w:val="24"/>
          <w:szCs w:val="24"/>
          <w:lang w:val="en-GB"/>
        </w:rPr>
        <w:t xml:space="preserve">beta </w:t>
      </w:r>
      <w:r w:rsidRPr="00004558">
        <w:rPr>
          <w:rFonts w:ascii="Times New Roman" w:hAnsi="Times New Roman"/>
          <w:sz w:val="24"/>
          <w:szCs w:val="24"/>
          <w:lang w:val="en-GB"/>
        </w:rPr>
        <w:t>thalassaemia.</w:t>
      </w:r>
    </w:p>
    <w:p w14:paraId="57DF7576" w14:textId="77777777" w:rsidR="00F451A5" w:rsidRPr="00004558" w:rsidRDefault="00F451A5" w:rsidP="002B12DF">
      <w:pPr>
        <w:pStyle w:val="NoSpacing"/>
        <w:spacing w:line="480" w:lineRule="auto"/>
        <w:rPr>
          <w:rFonts w:ascii="Times New Roman" w:hAnsi="Times New Roman"/>
          <w:b/>
          <w:bCs/>
          <w:sz w:val="24"/>
          <w:szCs w:val="24"/>
          <w:lang w:val="en-GB"/>
        </w:rPr>
      </w:pPr>
    </w:p>
    <w:p w14:paraId="46AC6C14" w14:textId="57D66B4E" w:rsidR="00231433" w:rsidRPr="00004558" w:rsidRDefault="0046252B" w:rsidP="002B12DF">
      <w:pPr>
        <w:pStyle w:val="NoSpacing"/>
        <w:spacing w:line="480" w:lineRule="auto"/>
        <w:rPr>
          <w:rFonts w:ascii="Times New Roman" w:hAnsi="Times New Roman"/>
          <w:b/>
          <w:bCs/>
          <w:sz w:val="24"/>
          <w:szCs w:val="24"/>
          <w:lang w:val="en-GB"/>
        </w:rPr>
      </w:pPr>
      <w:r w:rsidRPr="00004558">
        <w:rPr>
          <w:rFonts w:ascii="Times New Roman" w:hAnsi="Times New Roman"/>
          <w:b/>
          <w:bCs/>
          <w:sz w:val="24"/>
          <w:szCs w:val="24"/>
          <w:lang w:val="en-GB"/>
        </w:rPr>
        <w:t>Discussion</w:t>
      </w:r>
    </w:p>
    <w:p w14:paraId="5FBB20B8" w14:textId="1A621305" w:rsidR="006A6FB2" w:rsidRPr="00004558" w:rsidRDefault="00182E23" w:rsidP="002B12DF">
      <w:pPr>
        <w:pStyle w:val="NoSpacing"/>
        <w:spacing w:line="480" w:lineRule="auto"/>
        <w:rPr>
          <w:rFonts w:ascii="Times New Roman" w:hAnsi="Times New Roman"/>
          <w:sz w:val="24"/>
          <w:szCs w:val="24"/>
          <w:lang w:val="en-GB"/>
        </w:rPr>
      </w:pPr>
      <w:r w:rsidRPr="00004558">
        <w:rPr>
          <w:rFonts w:ascii="Times New Roman" w:hAnsi="Times New Roman"/>
          <w:sz w:val="24"/>
          <w:szCs w:val="24"/>
          <w:lang w:val="en-GB"/>
        </w:rPr>
        <w:t>In this multi</w:t>
      </w:r>
      <w:r w:rsidR="00547468" w:rsidRPr="00004558">
        <w:rPr>
          <w:rFonts w:ascii="Times New Roman" w:hAnsi="Times New Roman"/>
          <w:sz w:val="24"/>
          <w:szCs w:val="24"/>
          <w:lang w:val="en-GB"/>
        </w:rPr>
        <w:t>-</w:t>
      </w:r>
      <w:r w:rsidRPr="00004558">
        <w:rPr>
          <w:rFonts w:ascii="Times New Roman" w:hAnsi="Times New Roman"/>
          <w:sz w:val="24"/>
          <w:szCs w:val="24"/>
          <w:lang w:val="en-GB"/>
        </w:rPr>
        <w:t xml:space="preserve">ethnic </w:t>
      </w:r>
      <w:r w:rsidR="00547468" w:rsidRPr="00004558">
        <w:rPr>
          <w:rFonts w:ascii="Times New Roman" w:hAnsi="Times New Roman"/>
          <w:sz w:val="24"/>
          <w:szCs w:val="24"/>
          <w:lang w:val="en-GB"/>
        </w:rPr>
        <w:t>Southeast A</w:t>
      </w:r>
      <w:r w:rsidRPr="00004558">
        <w:rPr>
          <w:rFonts w:ascii="Times New Roman" w:hAnsi="Times New Roman"/>
          <w:sz w:val="24"/>
          <w:szCs w:val="24"/>
          <w:lang w:val="en-GB"/>
        </w:rPr>
        <w:t xml:space="preserve">sian study </w:t>
      </w:r>
      <w:r w:rsidR="00966AB2" w:rsidRPr="00004558">
        <w:rPr>
          <w:rFonts w:ascii="Times New Roman" w:hAnsi="Times New Roman"/>
          <w:sz w:val="24"/>
          <w:szCs w:val="24"/>
          <w:lang w:val="en-GB"/>
        </w:rPr>
        <w:t>involving</w:t>
      </w:r>
      <w:r w:rsidRPr="00004558">
        <w:rPr>
          <w:rFonts w:ascii="Times New Roman" w:hAnsi="Times New Roman"/>
          <w:sz w:val="24"/>
          <w:szCs w:val="24"/>
          <w:lang w:val="en-GB"/>
        </w:rPr>
        <w:t xml:space="preserve"> reproductive</w:t>
      </w:r>
      <w:r w:rsidR="00EB13A6" w:rsidRPr="00004558">
        <w:rPr>
          <w:rFonts w:ascii="Times New Roman" w:hAnsi="Times New Roman"/>
          <w:sz w:val="24"/>
          <w:szCs w:val="24"/>
          <w:lang w:val="en-GB"/>
        </w:rPr>
        <w:t>-</w:t>
      </w:r>
      <w:r w:rsidRPr="00004558">
        <w:rPr>
          <w:rFonts w:ascii="Times New Roman" w:hAnsi="Times New Roman"/>
          <w:sz w:val="24"/>
          <w:szCs w:val="24"/>
          <w:lang w:val="en-GB"/>
        </w:rPr>
        <w:t>age women</w:t>
      </w:r>
      <w:r w:rsidR="00EE2AE6" w:rsidRPr="00004558">
        <w:rPr>
          <w:rFonts w:ascii="Times New Roman" w:hAnsi="Times New Roman"/>
          <w:sz w:val="24"/>
          <w:szCs w:val="24"/>
          <w:lang w:val="en-GB"/>
        </w:rPr>
        <w:t xml:space="preserve"> </w:t>
      </w:r>
      <w:r w:rsidR="00874D11" w:rsidRPr="00004558">
        <w:rPr>
          <w:rFonts w:ascii="Times New Roman" w:hAnsi="Times New Roman"/>
          <w:sz w:val="24"/>
          <w:szCs w:val="24"/>
          <w:lang w:val="en-GB"/>
        </w:rPr>
        <w:t xml:space="preserve">planning to conceive </w:t>
      </w:r>
      <w:r w:rsidR="00EE2AE6" w:rsidRPr="00004558">
        <w:rPr>
          <w:rFonts w:ascii="Times New Roman" w:hAnsi="Times New Roman"/>
          <w:sz w:val="24"/>
          <w:szCs w:val="24"/>
          <w:lang w:val="en-GB"/>
        </w:rPr>
        <w:t>in Singapore</w:t>
      </w:r>
      <w:r w:rsidRPr="00004558">
        <w:rPr>
          <w:rFonts w:ascii="Times New Roman" w:hAnsi="Times New Roman"/>
          <w:sz w:val="24"/>
          <w:szCs w:val="24"/>
          <w:lang w:val="en-GB"/>
        </w:rPr>
        <w:t xml:space="preserve">, HbA1c displayed modest performance in detecting </w:t>
      </w:r>
      <w:r w:rsidR="00AC7242" w:rsidRPr="00004558">
        <w:rPr>
          <w:rFonts w:ascii="Times New Roman" w:hAnsi="Times New Roman"/>
          <w:sz w:val="24"/>
          <w:szCs w:val="24"/>
          <w:lang w:val="en-GB"/>
        </w:rPr>
        <w:t>dysglycaemic status</w:t>
      </w:r>
      <w:r w:rsidR="00C760B1" w:rsidRPr="00004558">
        <w:rPr>
          <w:rFonts w:ascii="Times New Roman" w:hAnsi="Times New Roman"/>
          <w:sz w:val="24"/>
          <w:szCs w:val="24"/>
          <w:lang w:val="en-GB"/>
        </w:rPr>
        <w:t xml:space="preserve"> as indicated by AUROC&lt;0.90</w:t>
      </w:r>
      <w:r w:rsidRPr="00004558">
        <w:rPr>
          <w:rFonts w:ascii="Times New Roman" w:hAnsi="Times New Roman"/>
          <w:sz w:val="24"/>
          <w:szCs w:val="24"/>
          <w:lang w:val="en-GB"/>
        </w:rPr>
        <w:t xml:space="preserve">, which was not </w:t>
      </w:r>
      <w:r w:rsidR="00C760B1" w:rsidRPr="00004558">
        <w:rPr>
          <w:rFonts w:ascii="Times New Roman" w:hAnsi="Times New Roman"/>
          <w:sz w:val="24"/>
          <w:szCs w:val="24"/>
          <w:lang w:val="en-GB"/>
        </w:rPr>
        <w:t xml:space="preserve">influenced by RBC indices based on </w:t>
      </w:r>
      <w:r w:rsidRPr="00004558">
        <w:rPr>
          <w:rFonts w:ascii="Times New Roman" w:hAnsi="Times New Roman"/>
          <w:sz w:val="24"/>
          <w:szCs w:val="24"/>
          <w:lang w:val="en-GB"/>
        </w:rPr>
        <w:t>abnormal MCV and</w:t>
      </w:r>
      <w:r w:rsidR="00681771" w:rsidRPr="00004558">
        <w:rPr>
          <w:rFonts w:ascii="Times New Roman" w:hAnsi="Times New Roman"/>
          <w:sz w:val="24"/>
          <w:szCs w:val="24"/>
          <w:lang w:val="en-GB"/>
        </w:rPr>
        <w:t>/or</w:t>
      </w:r>
      <w:r w:rsidRPr="00004558">
        <w:rPr>
          <w:rFonts w:ascii="Times New Roman" w:hAnsi="Times New Roman"/>
          <w:sz w:val="24"/>
          <w:szCs w:val="24"/>
          <w:lang w:val="en-GB"/>
        </w:rPr>
        <w:t xml:space="preserve"> Hb</w:t>
      </w:r>
      <w:r w:rsidR="00C760B1" w:rsidRPr="00004558">
        <w:rPr>
          <w:rFonts w:ascii="Times New Roman" w:hAnsi="Times New Roman"/>
          <w:sz w:val="24"/>
          <w:szCs w:val="24"/>
          <w:lang w:val="en-GB"/>
        </w:rPr>
        <w:t xml:space="preserve"> values</w:t>
      </w:r>
      <w:r w:rsidRPr="00004558">
        <w:rPr>
          <w:rFonts w:ascii="Times New Roman" w:hAnsi="Times New Roman"/>
          <w:sz w:val="24"/>
          <w:szCs w:val="24"/>
          <w:lang w:val="en-GB"/>
        </w:rPr>
        <w:t xml:space="preserve">. </w:t>
      </w:r>
      <w:r w:rsidR="00AE56DB" w:rsidRPr="00004558">
        <w:rPr>
          <w:rFonts w:ascii="Times New Roman" w:hAnsi="Times New Roman"/>
          <w:sz w:val="24"/>
          <w:szCs w:val="24"/>
          <w:lang w:val="en-GB"/>
        </w:rPr>
        <w:t>Upon</w:t>
      </w:r>
      <w:r w:rsidR="00966AB2" w:rsidRPr="00004558">
        <w:rPr>
          <w:rFonts w:ascii="Times New Roman" w:hAnsi="Times New Roman"/>
          <w:sz w:val="24"/>
          <w:szCs w:val="24"/>
          <w:lang w:val="en-GB"/>
        </w:rPr>
        <w:t xml:space="preserve"> f</w:t>
      </w:r>
      <w:r w:rsidR="009E6C45" w:rsidRPr="00004558">
        <w:rPr>
          <w:rFonts w:ascii="Times New Roman" w:hAnsi="Times New Roman"/>
          <w:sz w:val="24"/>
          <w:szCs w:val="24"/>
          <w:lang w:val="en-GB"/>
        </w:rPr>
        <w:t>urther examin</w:t>
      </w:r>
      <w:r w:rsidR="00AE56DB" w:rsidRPr="00004558">
        <w:rPr>
          <w:rFonts w:ascii="Times New Roman" w:hAnsi="Times New Roman"/>
          <w:sz w:val="24"/>
          <w:szCs w:val="24"/>
          <w:lang w:val="en-GB"/>
        </w:rPr>
        <w:t>ing</w:t>
      </w:r>
      <w:r w:rsidR="009E6C45" w:rsidRPr="00004558">
        <w:rPr>
          <w:rFonts w:ascii="Times New Roman" w:hAnsi="Times New Roman"/>
          <w:sz w:val="24"/>
          <w:szCs w:val="24"/>
          <w:lang w:val="en-GB"/>
        </w:rPr>
        <w:t xml:space="preserve"> its performance by ethnicit</w:t>
      </w:r>
      <w:r w:rsidR="00CB4507" w:rsidRPr="00004558">
        <w:rPr>
          <w:rFonts w:ascii="Times New Roman" w:hAnsi="Times New Roman"/>
          <w:sz w:val="24"/>
          <w:szCs w:val="24"/>
          <w:lang w:val="en-GB"/>
        </w:rPr>
        <w:t>y</w:t>
      </w:r>
      <w:r w:rsidR="009E6C45" w:rsidRPr="00004558">
        <w:rPr>
          <w:rFonts w:ascii="Times New Roman" w:hAnsi="Times New Roman"/>
          <w:sz w:val="24"/>
          <w:szCs w:val="24"/>
          <w:lang w:val="en-GB"/>
        </w:rPr>
        <w:t xml:space="preserve">, we noted that </w:t>
      </w:r>
      <w:r w:rsidR="00CB4507" w:rsidRPr="00004558">
        <w:rPr>
          <w:rFonts w:ascii="Times New Roman" w:hAnsi="Times New Roman"/>
          <w:sz w:val="24"/>
          <w:szCs w:val="24"/>
          <w:lang w:val="en-GB"/>
        </w:rPr>
        <w:t xml:space="preserve">there were no differences in </w:t>
      </w:r>
      <w:r w:rsidR="006A6FB2" w:rsidRPr="00004558">
        <w:rPr>
          <w:rFonts w:ascii="Times New Roman" w:hAnsi="Times New Roman"/>
          <w:sz w:val="24"/>
          <w:szCs w:val="24"/>
          <w:lang w:val="en-GB"/>
        </w:rPr>
        <w:t xml:space="preserve">AUROC values </w:t>
      </w:r>
      <w:r w:rsidR="00CB4507" w:rsidRPr="00004558">
        <w:rPr>
          <w:rFonts w:ascii="Times New Roman" w:hAnsi="Times New Roman"/>
          <w:sz w:val="24"/>
          <w:szCs w:val="24"/>
          <w:lang w:val="en-GB"/>
        </w:rPr>
        <w:t xml:space="preserve">between </w:t>
      </w:r>
      <w:r w:rsidR="00E15CF4" w:rsidRPr="00004558">
        <w:rPr>
          <w:rFonts w:ascii="Times New Roman" w:hAnsi="Times New Roman"/>
          <w:sz w:val="24"/>
          <w:szCs w:val="24"/>
          <w:lang w:val="en-GB"/>
        </w:rPr>
        <w:t xml:space="preserve">women </w:t>
      </w:r>
      <w:r w:rsidR="00BD2E8B" w:rsidRPr="00004558">
        <w:rPr>
          <w:rFonts w:ascii="Times New Roman" w:hAnsi="Times New Roman"/>
          <w:sz w:val="24"/>
          <w:szCs w:val="24"/>
          <w:lang w:val="en-GB"/>
        </w:rPr>
        <w:t xml:space="preserve">of </w:t>
      </w:r>
      <w:r w:rsidR="006A6FB2" w:rsidRPr="00004558">
        <w:rPr>
          <w:rFonts w:ascii="Times New Roman" w:hAnsi="Times New Roman"/>
          <w:sz w:val="24"/>
          <w:szCs w:val="24"/>
          <w:lang w:val="en-GB"/>
        </w:rPr>
        <w:t>normal and abnormal RBC indices</w:t>
      </w:r>
      <w:r w:rsidR="00CB4507" w:rsidRPr="00004558">
        <w:rPr>
          <w:rFonts w:ascii="Times New Roman" w:hAnsi="Times New Roman"/>
          <w:sz w:val="24"/>
          <w:szCs w:val="24"/>
          <w:lang w:val="en-GB"/>
        </w:rPr>
        <w:t xml:space="preserve"> among Chinese and Indian</w:t>
      </w:r>
      <w:r w:rsidR="00AE56DB" w:rsidRPr="00004558">
        <w:rPr>
          <w:rFonts w:ascii="Times New Roman" w:hAnsi="Times New Roman"/>
          <w:sz w:val="24"/>
          <w:szCs w:val="24"/>
          <w:lang w:val="en-GB"/>
        </w:rPr>
        <w:t>.</w:t>
      </w:r>
      <w:r w:rsidR="006A6FB2" w:rsidRPr="00004558">
        <w:rPr>
          <w:rFonts w:ascii="Times New Roman" w:hAnsi="Times New Roman"/>
          <w:sz w:val="24"/>
          <w:szCs w:val="24"/>
          <w:lang w:val="en-GB"/>
        </w:rPr>
        <w:t xml:space="preserve"> </w:t>
      </w:r>
      <w:r w:rsidR="00AE56DB" w:rsidRPr="00004558">
        <w:rPr>
          <w:rFonts w:ascii="Times New Roman" w:hAnsi="Times New Roman"/>
          <w:sz w:val="24"/>
          <w:szCs w:val="24"/>
          <w:lang w:val="en-GB"/>
        </w:rPr>
        <w:t>H</w:t>
      </w:r>
      <w:r w:rsidR="00966AB2" w:rsidRPr="00004558">
        <w:rPr>
          <w:rFonts w:ascii="Times New Roman" w:hAnsi="Times New Roman"/>
          <w:sz w:val="24"/>
          <w:szCs w:val="24"/>
          <w:lang w:val="en-GB"/>
        </w:rPr>
        <w:t>owever</w:t>
      </w:r>
      <w:r w:rsidR="00AE56DB" w:rsidRPr="00004558">
        <w:rPr>
          <w:rFonts w:ascii="Times New Roman" w:hAnsi="Times New Roman"/>
          <w:sz w:val="24"/>
          <w:szCs w:val="24"/>
          <w:lang w:val="en-GB"/>
        </w:rPr>
        <w:t>,</w:t>
      </w:r>
      <w:r w:rsidR="00966AB2" w:rsidRPr="00004558">
        <w:rPr>
          <w:rFonts w:ascii="Times New Roman" w:hAnsi="Times New Roman"/>
          <w:sz w:val="24"/>
          <w:szCs w:val="24"/>
          <w:lang w:val="en-GB"/>
        </w:rPr>
        <w:t xml:space="preserve"> </w:t>
      </w:r>
      <w:r w:rsidR="006A6FB2" w:rsidRPr="00004558">
        <w:rPr>
          <w:rFonts w:ascii="Times New Roman" w:hAnsi="Times New Roman"/>
          <w:sz w:val="24"/>
          <w:szCs w:val="24"/>
          <w:lang w:val="en-GB"/>
        </w:rPr>
        <w:t xml:space="preserve">Malay women </w:t>
      </w:r>
      <w:r w:rsidR="00CB4507" w:rsidRPr="00004558">
        <w:rPr>
          <w:rFonts w:ascii="Times New Roman" w:hAnsi="Times New Roman"/>
          <w:sz w:val="24"/>
          <w:szCs w:val="24"/>
          <w:lang w:val="en-GB"/>
        </w:rPr>
        <w:t>of</w:t>
      </w:r>
      <w:r w:rsidR="006A6FB2" w:rsidRPr="00004558">
        <w:rPr>
          <w:rFonts w:ascii="Times New Roman" w:hAnsi="Times New Roman"/>
          <w:sz w:val="24"/>
          <w:szCs w:val="24"/>
          <w:lang w:val="en-GB"/>
        </w:rPr>
        <w:t xml:space="preserve"> abnormal RBC indices had greater AUROC values than their normal counterparts</w:t>
      </w:r>
      <w:r w:rsidR="00DC715F" w:rsidRPr="00004558">
        <w:rPr>
          <w:rFonts w:ascii="Times New Roman" w:hAnsi="Times New Roman"/>
          <w:sz w:val="24"/>
          <w:szCs w:val="24"/>
          <w:lang w:val="en-GB"/>
        </w:rPr>
        <w:t xml:space="preserve"> (0.98 vs. 0.71)</w:t>
      </w:r>
      <w:r w:rsidR="006A6FB2" w:rsidRPr="00004558">
        <w:rPr>
          <w:rFonts w:ascii="Times New Roman" w:hAnsi="Times New Roman"/>
          <w:sz w:val="24"/>
          <w:szCs w:val="24"/>
          <w:lang w:val="en-GB"/>
        </w:rPr>
        <w:t>.</w:t>
      </w:r>
      <w:r w:rsidR="00923998" w:rsidRPr="00004558">
        <w:rPr>
          <w:rFonts w:ascii="Times New Roman" w:hAnsi="Times New Roman"/>
          <w:sz w:val="24"/>
          <w:szCs w:val="24"/>
          <w:lang w:val="en-GB"/>
        </w:rPr>
        <w:t xml:space="preserve"> </w:t>
      </w:r>
      <w:r w:rsidR="00E15CF4" w:rsidRPr="00004558">
        <w:rPr>
          <w:rFonts w:ascii="Times New Roman" w:hAnsi="Times New Roman"/>
          <w:sz w:val="24"/>
          <w:szCs w:val="24"/>
          <w:lang w:val="en-GB"/>
        </w:rPr>
        <w:t>T</w:t>
      </w:r>
      <w:r w:rsidR="00923998" w:rsidRPr="00004558">
        <w:rPr>
          <w:rFonts w:ascii="Times New Roman" w:hAnsi="Times New Roman"/>
          <w:sz w:val="24"/>
          <w:szCs w:val="24"/>
          <w:lang w:val="en-GB"/>
        </w:rPr>
        <w:t>h</w:t>
      </w:r>
      <w:r w:rsidR="00645ACC" w:rsidRPr="00004558">
        <w:rPr>
          <w:rFonts w:ascii="Times New Roman" w:hAnsi="Times New Roman"/>
          <w:sz w:val="24"/>
          <w:szCs w:val="24"/>
          <w:lang w:val="en-GB"/>
        </w:rPr>
        <w:t>ese findings</w:t>
      </w:r>
      <w:r w:rsidR="00923998" w:rsidRPr="00004558">
        <w:rPr>
          <w:rFonts w:ascii="Times New Roman" w:hAnsi="Times New Roman"/>
          <w:sz w:val="24"/>
          <w:szCs w:val="24"/>
          <w:lang w:val="en-GB"/>
        </w:rPr>
        <w:t xml:space="preserve"> suggest </w:t>
      </w:r>
      <w:r w:rsidR="002D24D5" w:rsidRPr="00004558">
        <w:rPr>
          <w:rFonts w:ascii="Times New Roman" w:hAnsi="Times New Roman"/>
          <w:sz w:val="24"/>
          <w:szCs w:val="24"/>
          <w:lang w:val="en-GB"/>
        </w:rPr>
        <w:t xml:space="preserve">that </w:t>
      </w:r>
      <w:r w:rsidR="00645ACC" w:rsidRPr="00004558">
        <w:rPr>
          <w:rFonts w:ascii="Times New Roman" w:hAnsi="Times New Roman"/>
          <w:sz w:val="24"/>
          <w:szCs w:val="24"/>
          <w:lang w:val="en-GB"/>
        </w:rPr>
        <w:t xml:space="preserve">there may be </w:t>
      </w:r>
      <w:r w:rsidR="00BD2E8B" w:rsidRPr="00004558">
        <w:rPr>
          <w:rFonts w:ascii="Times New Roman" w:hAnsi="Times New Roman"/>
          <w:sz w:val="24"/>
          <w:szCs w:val="24"/>
          <w:lang w:val="en-GB"/>
        </w:rPr>
        <w:t xml:space="preserve">ethnic variations for </w:t>
      </w:r>
      <w:r w:rsidR="00A676B2" w:rsidRPr="00004558">
        <w:rPr>
          <w:rFonts w:ascii="Times New Roman" w:hAnsi="Times New Roman"/>
          <w:sz w:val="24"/>
          <w:szCs w:val="24"/>
          <w:lang w:val="en-GB"/>
        </w:rPr>
        <w:t xml:space="preserve">the </w:t>
      </w:r>
      <w:r w:rsidR="00C3378C" w:rsidRPr="00004558">
        <w:rPr>
          <w:rFonts w:ascii="Times New Roman" w:hAnsi="Times New Roman"/>
          <w:sz w:val="24"/>
          <w:szCs w:val="24"/>
          <w:lang w:val="en-GB"/>
        </w:rPr>
        <w:t>performance</w:t>
      </w:r>
      <w:r w:rsidR="00A676B2" w:rsidRPr="00004558">
        <w:rPr>
          <w:rFonts w:ascii="Times New Roman" w:hAnsi="Times New Roman"/>
          <w:sz w:val="24"/>
          <w:szCs w:val="24"/>
          <w:lang w:val="en-GB"/>
        </w:rPr>
        <w:t xml:space="preserve"> of HbA1c </w:t>
      </w:r>
      <w:r w:rsidR="00C3378C" w:rsidRPr="00004558">
        <w:rPr>
          <w:rFonts w:ascii="Times New Roman" w:hAnsi="Times New Roman"/>
          <w:sz w:val="24"/>
          <w:szCs w:val="24"/>
          <w:lang w:val="en-GB"/>
        </w:rPr>
        <w:t xml:space="preserve">in detecting </w:t>
      </w:r>
      <w:r w:rsidR="005C631E" w:rsidRPr="00004558">
        <w:rPr>
          <w:rFonts w:ascii="Times New Roman" w:hAnsi="Times New Roman"/>
          <w:sz w:val="24"/>
          <w:szCs w:val="24"/>
          <w:lang w:val="en-GB"/>
        </w:rPr>
        <w:t>dysglycaemia</w:t>
      </w:r>
      <w:r w:rsidR="00BD2E8B" w:rsidRPr="00004558">
        <w:rPr>
          <w:rFonts w:ascii="Times New Roman" w:hAnsi="Times New Roman"/>
          <w:sz w:val="24"/>
          <w:szCs w:val="24"/>
          <w:lang w:val="en-GB"/>
        </w:rPr>
        <w:t>.</w:t>
      </w:r>
    </w:p>
    <w:p w14:paraId="328F741B" w14:textId="53C527C6" w:rsidR="004A48E4" w:rsidRPr="00004558" w:rsidRDefault="009E6C45" w:rsidP="002B12DF">
      <w:pPr>
        <w:pStyle w:val="NoSpacing"/>
        <w:spacing w:line="480" w:lineRule="auto"/>
        <w:ind w:firstLine="720"/>
        <w:rPr>
          <w:rFonts w:ascii="Times New Roman" w:hAnsi="Times New Roman"/>
          <w:sz w:val="24"/>
          <w:szCs w:val="24"/>
          <w:lang w:val="en-GB"/>
        </w:rPr>
      </w:pPr>
      <w:r w:rsidRPr="00004558">
        <w:rPr>
          <w:rFonts w:ascii="Times New Roman" w:hAnsi="Times New Roman"/>
          <w:sz w:val="24"/>
          <w:szCs w:val="24"/>
          <w:lang w:val="en-GB"/>
        </w:rPr>
        <w:t>Modest</w:t>
      </w:r>
      <w:r w:rsidR="00882DA7" w:rsidRPr="00004558">
        <w:rPr>
          <w:rFonts w:ascii="Times New Roman" w:hAnsi="Times New Roman"/>
          <w:sz w:val="24"/>
          <w:szCs w:val="24"/>
          <w:lang w:val="en-GB"/>
        </w:rPr>
        <w:t xml:space="preserve"> performance of HbA1c in detecting </w:t>
      </w:r>
      <w:r w:rsidR="00AC7242" w:rsidRPr="00004558">
        <w:rPr>
          <w:rFonts w:ascii="Times New Roman" w:hAnsi="Times New Roman"/>
          <w:sz w:val="24"/>
          <w:szCs w:val="24"/>
          <w:lang w:val="en-GB"/>
        </w:rPr>
        <w:t>dysglycaemia</w:t>
      </w:r>
      <w:r w:rsidR="00882DA7" w:rsidRPr="00004558">
        <w:rPr>
          <w:rFonts w:ascii="Times New Roman" w:hAnsi="Times New Roman"/>
          <w:sz w:val="24"/>
          <w:szCs w:val="24"/>
          <w:lang w:val="en-GB"/>
        </w:rPr>
        <w:t xml:space="preserve"> had also been reported by several Asian studies</w:t>
      </w:r>
      <w:r w:rsidR="00A31F0F" w:rsidRPr="00004558">
        <w:rPr>
          <w:rFonts w:ascii="Times New Roman" w:hAnsi="Times New Roman"/>
          <w:sz w:val="24"/>
          <w:szCs w:val="24"/>
          <w:lang w:val="en-GB"/>
        </w:rPr>
        <w:t xml:space="preserve"> [7,21]</w:t>
      </w:r>
      <w:r w:rsidR="005E540A" w:rsidRPr="00004558">
        <w:rPr>
          <w:rFonts w:ascii="Times New Roman" w:hAnsi="Times New Roman"/>
          <w:sz w:val="24"/>
          <w:szCs w:val="24"/>
          <w:lang w:val="en-GB"/>
        </w:rPr>
        <w:t xml:space="preserve">. </w:t>
      </w:r>
      <w:r w:rsidR="00882DA7" w:rsidRPr="00004558">
        <w:rPr>
          <w:rFonts w:ascii="Times New Roman" w:hAnsi="Times New Roman"/>
          <w:sz w:val="24"/>
          <w:szCs w:val="24"/>
          <w:lang w:val="en-GB"/>
        </w:rPr>
        <w:t>For example, in a Chinese study conducted by Zhou et al.</w:t>
      </w:r>
      <w:r w:rsidR="00A31F0F" w:rsidRPr="00004558">
        <w:rPr>
          <w:rFonts w:ascii="Times New Roman" w:hAnsi="Times New Roman"/>
          <w:sz w:val="24"/>
          <w:szCs w:val="24"/>
          <w:lang w:val="en-GB"/>
        </w:rPr>
        <w:t xml:space="preserve"> [21]</w:t>
      </w:r>
      <w:r w:rsidR="00882DA7" w:rsidRPr="00004558">
        <w:rPr>
          <w:rFonts w:ascii="Times New Roman" w:hAnsi="Times New Roman"/>
          <w:sz w:val="24"/>
          <w:szCs w:val="24"/>
          <w:lang w:val="en-GB"/>
        </w:rPr>
        <w:t>, the AUROC of HbA1c in detecting newly-diagnosed diabetes</w:t>
      </w:r>
      <w:r w:rsidR="004770E7" w:rsidRPr="00004558">
        <w:rPr>
          <w:rFonts w:ascii="Times New Roman" w:hAnsi="Times New Roman"/>
          <w:sz w:val="24"/>
          <w:szCs w:val="24"/>
          <w:lang w:val="en-GB"/>
        </w:rPr>
        <w:t xml:space="preserve"> </w:t>
      </w:r>
      <w:r w:rsidR="00882DA7" w:rsidRPr="00004558">
        <w:rPr>
          <w:rFonts w:ascii="Times New Roman" w:hAnsi="Times New Roman"/>
          <w:sz w:val="24"/>
          <w:szCs w:val="24"/>
          <w:lang w:val="en-GB"/>
        </w:rPr>
        <w:t xml:space="preserve">or prediabetes among women was 0.55. Likewise, </w:t>
      </w:r>
      <w:r w:rsidR="0066376B" w:rsidRPr="00004558">
        <w:rPr>
          <w:rFonts w:ascii="Times New Roman" w:hAnsi="Times New Roman"/>
          <w:sz w:val="24"/>
          <w:szCs w:val="24"/>
          <w:lang w:val="en-GB"/>
        </w:rPr>
        <w:t xml:space="preserve">Hardikar et al. </w:t>
      </w:r>
      <w:r w:rsidR="00EC017B" w:rsidRPr="00004558">
        <w:rPr>
          <w:rFonts w:ascii="Times New Roman" w:hAnsi="Times New Roman"/>
          <w:sz w:val="24"/>
          <w:szCs w:val="24"/>
          <w:lang w:val="en-GB"/>
        </w:rPr>
        <w:t xml:space="preserve">[7] </w:t>
      </w:r>
      <w:r w:rsidR="0066376B" w:rsidRPr="00004558">
        <w:rPr>
          <w:rFonts w:ascii="Times New Roman" w:hAnsi="Times New Roman"/>
          <w:sz w:val="24"/>
          <w:szCs w:val="24"/>
          <w:lang w:val="en-GB"/>
        </w:rPr>
        <w:t>showed that the AUROC of HbA1c for diabetes or prediabetes among Indians was 0.74.</w:t>
      </w:r>
      <w:r w:rsidR="006F4484" w:rsidRPr="00004558">
        <w:rPr>
          <w:rFonts w:ascii="Times New Roman" w:hAnsi="Times New Roman"/>
          <w:sz w:val="24"/>
          <w:szCs w:val="24"/>
          <w:lang w:val="en-GB"/>
        </w:rPr>
        <w:t xml:space="preserve"> Comparatively, while the AUROC obtained in this study was slightly higher in value, it was n</w:t>
      </w:r>
      <w:r w:rsidR="002C0B5F" w:rsidRPr="00004558">
        <w:rPr>
          <w:rFonts w:ascii="Times New Roman" w:hAnsi="Times New Roman"/>
          <w:sz w:val="24"/>
          <w:szCs w:val="24"/>
          <w:lang w:val="en-GB"/>
        </w:rPr>
        <w:t>one</w:t>
      </w:r>
      <w:r w:rsidR="006F4484" w:rsidRPr="00004558">
        <w:rPr>
          <w:rFonts w:ascii="Times New Roman" w:hAnsi="Times New Roman"/>
          <w:sz w:val="24"/>
          <w:szCs w:val="24"/>
          <w:lang w:val="en-GB"/>
        </w:rPr>
        <w:t xml:space="preserve">theless below the predefined optimal value of 0.90, which suggests its limitation as a </w:t>
      </w:r>
      <w:r w:rsidR="00667E40" w:rsidRPr="00004558">
        <w:rPr>
          <w:rFonts w:ascii="Times New Roman" w:hAnsi="Times New Roman"/>
          <w:sz w:val="24"/>
          <w:szCs w:val="24"/>
          <w:lang w:val="en-GB"/>
        </w:rPr>
        <w:t xml:space="preserve">diagnostic </w:t>
      </w:r>
      <w:r w:rsidR="006F4484" w:rsidRPr="00004558">
        <w:rPr>
          <w:rFonts w:ascii="Times New Roman" w:hAnsi="Times New Roman"/>
          <w:sz w:val="24"/>
          <w:szCs w:val="24"/>
          <w:lang w:val="en-GB"/>
        </w:rPr>
        <w:t xml:space="preserve">modality. Despite so, </w:t>
      </w:r>
      <w:r w:rsidR="004B788F" w:rsidRPr="00004558">
        <w:rPr>
          <w:rFonts w:ascii="Times New Roman" w:hAnsi="Times New Roman"/>
          <w:sz w:val="24"/>
          <w:szCs w:val="24"/>
          <w:lang w:val="en-GB"/>
        </w:rPr>
        <w:t>in</w:t>
      </w:r>
      <w:r w:rsidR="006F4484" w:rsidRPr="00004558">
        <w:rPr>
          <w:rFonts w:ascii="Times New Roman" w:hAnsi="Times New Roman"/>
          <w:sz w:val="24"/>
          <w:szCs w:val="24"/>
          <w:lang w:val="en-GB"/>
        </w:rPr>
        <w:t xml:space="preserve"> another local study, the AUROC of HbA1c in detecting prediabetes among women was</w:t>
      </w:r>
      <w:r w:rsidR="004B788F" w:rsidRPr="00004558">
        <w:rPr>
          <w:rFonts w:ascii="Times New Roman" w:hAnsi="Times New Roman"/>
          <w:sz w:val="24"/>
          <w:szCs w:val="24"/>
          <w:lang w:val="en-GB"/>
        </w:rPr>
        <w:t xml:space="preserve"> noted </w:t>
      </w:r>
      <w:r w:rsidR="006F4484" w:rsidRPr="00004558">
        <w:rPr>
          <w:rFonts w:ascii="Times New Roman" w:hAnsi="Times New Roman"/>
          <w:sz w:val="24"/>
          <w:szCs w:val="24"/>
          <w:lang w:val="en-GB"/>
        </w:rPr>
        <w:t>to be 0.91</w:t>
      </w:r>
      <w:r w:rsidR="00A31F0F" w:rsidRPr="00004558">
        <w:rPr>
          <w:rFonts w:ascii="Times New Roman" w:hAnsi="Times New Roman"/>
          <w:sz w:val="24"/>
          <w:szCs w:val="24"/>
          <w:lang w:val="en-GB"/>
        </w:rPr>
        <w:t xml:space="preserve"> [22]</w:t>
      </w:r>
      <w:r w:rsidR="00093B67" w:rsidRPr="00004558">
        <w:rPr>
          <w:rFonts w:ascii="Times New Roman" w:hAnsi="Times New Roman"/>
          <w:sz w:val="24"/>
          <w:szCs w:val="24"/>
          <w:lang w:val="en-GB"/>
        </w:rPr>
        <w:t xml:space="preserve">. </w:t>
      </w:r>
      <w:r w:rsidR="00776BED" w:rsidRPr="00004558">
        <w:rPr>
          <w:rFonts w:ascii="Times New Roman" w:hAnsi="Times New Roman"/>
          <w:sz w:val="24"/>
          <w:szCs w:val="24"/>
          <w:lang w:val="en-GB"/>
        </w:rPr>
        <w:t xml:space="preserve">Such difference </w:t>
      </w:r>
      <w:r w:rsidR="00FB06DF" w:rsidRPr="00004558">
        <w:rPr>
          <w:rFonts w:ascii="Times New Roman" w:hAnsi="Times New Roman"/>
          <w:sz w:val="24"/>
          <w:szCs w:val="24"/>
          <w:lang w:val="en-GB"/>
        </w:rPr>
        <w:t xml:space="preserve">might be due to the </w:t>
      </w:r>
      <w:r w:rsidR="00F123E2" w:rsidRPr="00004558">
        <w:rPr>
          <w:rFonts w:ascii="Times New Roman" w:hAnsi="Times New Roman"/>
          <w:sz w:val="24"/>
          <w:szCs w:val="24"/>
          <w:lang w:val="en-GB"/>
        </w:rPr>
        <w:t>different target groups involved. W</w:t>
      </w:r>
      <w:r w:rsidR="00AE56DB" w:rsidRPr="00004558">
        <w:rPr>
          <w:rFonts w:ascii="Times New Roman" w:hAnsi="Times New Roman"/>
          <w:sz w:val="24"/>
          <w:szCs w:val="24"/>
          <w:lang w:val="en-GB"/>
        </w:rPr>
        <w:t xml:space="preserve">hile </w:t>
      </w:r>
      <w:r w:rsidR="0032603E" w:rsidRPr="00004558">
        <w:rPr>
          <w:rFonts w:ascii="Times New Roman" w:hAnsi="Times New Roman"/>
          <w:sz w:val="24"/>
          <w:szCs w:val="24"/>
          <w:lang w:val="en-GB"/>
        </w:rPr>
        <w:t xml:space="preserve">this study </w:t>
      </w:r>
      <w:r w:rsidR="002B3D2B" w:rsidRPr="00004558">
        <w:rPr>
          <w:rFonts w:ascii="Times New Roman" w:hAnsi="Times New Roman"/>
          <w:sz w:val="24"/>
          <w:szCs w:val="24"/>
          <w:lang w:val="en-GB"/>
        </w:rPr>
        <w:t>included</w:t>
      </w:r>
      <w:r w:rsidR="00F17A84" w:rsidRPr="00004558">
        <w:rPr>
          <w:rFonts w:ascii="Times New Roman" w:hAnsi="Times New Roman"/>
          <w:sz w:val="24"/>
          <w:szCs w:val="24"/>
          <w:lang w:val="en-GB"/>
        </w:rPr>
        <w:t xml:space="preserve"> women who </w:t>
      </w:r>
      <w:r w:rsidR="002B3D2B" w:rsidRPr="00004558">
        <w:rPr>
          <w:rFonts w:ascii="Times New Roman" w:hAnsi="Times New Roman"/>
          <w:sz w:val="24"/>
          <w:szCs w:val="24"/>
          <w:lang w:val="en-GB"/>
        </w:rPr>
        <w:t>were</w:t>
      </w:r>
      <w:r w:rsidR="00F17A84" w:rsidRPr="00004558">
        <w:rPr>
          <w:rFonts w:ascii="Times New Roman" w:hAnsi="Times New Roman"/>
          <w:sz w:val="24"/>
          <w:szCs w:val="24"/>
          <w:lang w:val="en-GB"/>
        </w:rPr>
        <w:t xml:space="preserve"> incidentally</w:t>
      </w:r>
      <w:r w:rsidR="009701BE" w:rsidRPr="00004558">
        <w:rPr>
          <w:rFonts w:ascii="Times New Roman" w:hAnsi="Times New Roman"/>
          <w:sz w:val="24"/>
          <w:szCs w:val="24"/>
          <w:lang w:val="en-GB"/>
        </w:rPr>
        <w:t xml:space="preserve"> </w:t>
      </w:r>
      <w:r w:rsidR="00F17A84" w:rsidRPr="00004558">
        <w:rPr>
          <w:rFonts w:ascii="Times New Roman" w:hAnsi="Times New Roman"/>
          <w:sz w:val="24"/>
          <w:szCs w:val="24"/>
          <w:lang w:val="en-GB"/>
        </w:rPr>
        <w:t>found to have diabetes or prediabetes</w:t>
      </w:r>
      <w:r w:rsidR="00B13651" w:rsidRPr="00004558">
        <w:rPr>
          <w:rFonts w:ascii="Times New Roman" w:hAnsi="Times New Roman"/>
          <w:sz w:val="24"/>
          <w:szCs w:val="24"/>
          <w:lang w:val="en-GB"/>
        </w:rPr>
        <w:t>,</w:t>
      </w:r>
      <w:r w:rsidR="00AE56DB" w:rsidRPr="00004558">
        <w:rPr>
          <w:rFonts w:ascii="Times New Roman" w:hAnsi="Times New Roman"/>
          <w:sz w:val="24"/>
          <w:szCs w:val="24"/>
          <w:lang w:val="en-GB"/>
        </w:rPr>
        <w:t xml:space="preserve"> </w:t>
      </w:r>
      <w:r w:rsidR="00B13651" w:rsidRPr="00004558">
        <w:rPr>
          <w:rFonts w:ascii="Times New Roman" w:hAnsi="Times New Roman"/>
          <w:sz w:val="24"/>
          <w:szCs w:val="24"/>
          <w:lang w:val="en-GB"/>
        </w:rPr>
        <w:t xml:space="preserve">the </w:t>
      </w:r>
      <w:r w:rsidR="000C6475" w:rsidRPr="00004558">
        <w:rPr>
          <w:rFonts w:ascii="Times New Roman" w:hAnsi="Times New Roman"/>
          <w:sz w:val="24"/>
          <w:szCs w:val="24"/>
          <w:lang w:val="en-GB"/>
        </w:rPr>
        <w:t>aforementioned study</w:t>
      </w:r>
      <w:r w:rsidR="00B13651" w:rsidRPr="00004558">
        <w:rPr>
          <w:rFonts w:ascii="Times New Roman" w:hAnsi="Times New Roman"/>
          <w:sz w:val="24"/>
          <w:szCs w:val="24"/>
          <w:lang w:val="en-GB"/>
        </w:rPr>
        <w:t xml:space="preserve"> </w:t>
      </w:r>
      <w:r w:rsidR="00F123E2" w:rsidRPr="00004558">
        <w:rPr>
          <w:rFonts w:ascii="Times New Roman" w:hAnsi="Times New Roman"/>
          <w:sz w:val="24"/>
          <w:szCs w:val="24"/>
          <w:lang w:val="en-GB"/>
        </w:rPr>
        <w:t xml:space="preserve">included only those with </w:t>
      </w:r>
      <w:r w:rsidR="002B3D2B" w:rsidRPr="00004558">
        <w:rPr>
          <w:rFonts w:ascii="Times New Roman" w:hAnsi="Times New Roman"/>
          <w:sz w:val="24"/>
          <w:szCs w:val="24"/>
          <w:lang w:val="en-GB"/>
        </w:rPr>
        <w:t xml:space="preserve">known </w:t>
      </w:r>
      <w:r w:rsidR="00B13651" w:rsidRPr="00004558">
        <w:rPr>
          <w:rFonts w:ascii="Times New Roman" w:hAnsi="Times New Roman"/>
          <w:sz w:val="24"/>
          <w:szCs w:val="24"/>
          <w:lang w:val="en-GB"/>
        </w:rPr>
        <w:t>diabetes</w:t>
      </w:r>
      <w:r w:rsidR="004A48E4" w:rsidRPr="00004558">
        <w:rPr>
          <w:rFonts w:ascii="Times New Roman" w:hAnsi="Times New Roman"/>
          <w:sz w:val="24"/>
          <w:szCs w:val="24"/>
          <w:lang w:val="en-GB"/>
        </w:rPr>
        <w:t>.</w:t>
      </w:r>
      <w:r w:rsidR="003A00EC" w:rsidRPr="00004558">
        <w:rPr>
          <w:rFonts w:ascii="Times New Roman" w:hAnsi="Times New Roman"/>
          <w:sz w:val="24"/>
          <w:szCs w:val="24"/>
          <w:lang w:val="en-GB"/>
        </w:rPr>
        <w:t xml:space="preserve"> </w:t>
      </w:r>
      <w:r w:rsidR="001B0E9C" w:rsidRPr="00004558">
        <w:rPr>
          <w:rFonts w:ascii="Times New Roman" w:hAnsi="Times New Roman"/>
          <w:sz w:val="24"/>
          <w:szCs w:val="24"/>
          <w:lang w:val="en-GB"/>
        </w:rPr>
        <w:t>Although AUROC is useful to summarise overall test performance over all possible thresholds, AUROC itself cannot account for prevalence and different misclassification costs arising from false-negative and false-positive diagnoses [23]</w:t>
      </w:r>
      <w:r w:rsidR="0076159C" w:rsidRPr="00004558">
        <w:rPr>
          <w:rFonts w:ascii="Times New Roman" w:hAnsi="Times New Roman"/>
          <w:sz w:val="24"/>
          <w:szCs w:val="24"/>
          <w:lang w:val="en-GB"/>
        </w:rPr>
        <w:t>.</w:t>
      </w:r>
      <w:r w:rsidR="003A00EC" w:rsidRPr="00004558">
        <w:rPr>
          <w:rFonts w:ascii="Times New Roman" w:hAnsi="Times New Roman"/>
          <w:sz w:val="24"/>
          <w:szCs w:val="24"/>
          <w:lang w:val="en-GB"/>
        </w:rPr>
        <w:t xml:space="preserve">  </w:t>
      </w:r>
    </w:p>
    <w:p w14:paraId="28E30A70" w14:textId="64D4ACFB" w:rsidR="00CB379C" w:rsidRPr="00004558" w:rsidRDefault="002D467F" w:rsidP="002B12DF">
      <w:pPr>
        <w:pStyle w:val="NoSpacing"/>
        <w:spacing w:line="480" w:lineRule="auto"/>
        <w:ind w:firstLine="720"/>
        <w:rPr>
          <w:rFonts w:ascii="Times New Roman" w:hAnsi="Times New Roman"/>
          <w:sz w:val="24"/>
          <w:szCs w:val="24"/>
          <w:lang w:val="en-GB"/>
        </w:rPr>
      </w:pPr>
      <w:r w:rsidRPr="00004558">
        <w:rPr>
          <w:rFonts w:ascii="Times New Roman" w:hAnsi="Times New Roman"/>
          <w:sz w:val="24"/>
          <w:szCs w:val="24"/>
          <w:lang w:val="en-GB"/>
        </w:rPr>
        <w:t>A</w:t>
      </w:r>
      <w:r w:rsidR="00C5317F" w:rsidRPr="00004558">
        <w:rPr>
          <w:rFonts w:ascii="Times New Roman" w:hAnsi="Times New Roman"/>
          <w:sz w:val="24"/>
          <w:szCs w:val="24"/>
          <w:lang w:val="en-GB"/>
        </w:rPr>
        <w:t>naemia are known to result in spurious elevation or reduction of HbA1c levels, which in turn alter</w:t>
      </w:r>
      <w:r w:rsidR="00E15CF4" w:rsidRPr="00004558">
        <w:rPr>
          <w:rFonts w:ascii="Times New Roman" w:hAnsi="Times New Roman"/>
          <w:sz w:val="24"/>
          <w:szCs w:val="24"/>
          <w:lang w:val="en-GB"/>
        </w:rPr>
        <w:t>ed</w:t>
      </w:r>
      <w:r w:rsidR="00FD012F" w:rsidRPr="00004558">
        <w:rPr>
          <w:rFonts w:ascii="Times New Roman" w:hAnsi="Times New Roman"/>
          <w:sz w:val="24"/>
          <w:szCs w:val="24"/>
          <w:lang w:val="en-GB"/>
        </w:rPr>
        <w:t xml:space="preserve"> </w:t>
      </w:r>
      <w:r w:rsidR="00C5317F" w:rsidRPr="00004558">
        <w:rPr>
          <w:rFonts w:ascii="Times New Roman" w:hAnsi="Times New Roman"/>
          <w:sz w:val="24"/>
          <w:szCs w:val="24"/>
          <w:lang w:val="en-GB"/>
        </w:rPr>
        <w:t xml:space="preserve">the </w:t>
      </w:r>
      <w:r w:rsidR="00C3378C" w:rsidRPr="00004558">
        <w:rPr>
          <w:rFonts w:ascii="Times New Roman" w:hAnsi="Times New Roman"/>
          <w:sz w:val="24"/>
          <w:szCs w:val="24"/>
          <w:lang w:val="en-GB"/>
        </w:rPr>
        <w:t>performance</w:t>
      </w:r>
      <w:r w:rsidR="00C5317F" w:rsidRPr="00004558">
        <w:rPr>
          <w:rFonts w:ascii="Times New Roman" w:hAnsi="Times New Roman"/>
          <w:sz w:val="24"/>
          <w:szCs w:val="24"/>
          <w:lang w:val="en-GB"/>
        </w:rPr>
        <w:t xml:space="preserve"> of HbA1c in other studies</w:t>
      </w:r>
      <w:r w:rsidR="00A31F0F" w:rsidRPr="00004558">
        <w:rPr>
          <w:rFonts w:ascii="Times New Roman" w:hAnsi="Times New Roman"/>
          <w:sz w:val="24"/>
          <w:szCs w:val="24"/>
          <w:lang w:val="en-GB"/>
        </w:rPr>
        <w:t xml:space="preserve"> [2,24]</w:t>
      </w:r>
      <w:r w:rsidR="00C5317F" w:rsidRPr="00004558">
        <w:rPr>
          <w:rFonts w:ascii="Times New Roman" w:hAnsi="Times New Roman"/>
          <w:sz w:val="24"/>
          <w:szCs w:val="24"/>
          <w:lang w:val="en-GB"/>
        </w:rPr>
        <w:t xml:space="preserve">. For </w:t>
      </w:r>
      <w:r w:rsidRPr="00004558">
        <w:rPr>
          <w:rFonts w:ascii="Times New Roman" w:hAnsi="Times New Roman"/>
          <w:sz w:val="24"/>
          <w:szCs w:val="24"/>
          <w:lang w:val="en-GB"/>
        </w:rPr>
        <w:t>example</w:t>
      </w:r>
      <w:r w:rsidR="004A30AD" w:rsidRPr="00004558">
        <w:rPr>
          <w:rFonts w:ascii="Times New Roman" w:hAnsi="Times New Roman"/>
          <w:sz w:val="24"/>
          <w:szCs w:val="24"/>
          <w:lang w:val="en-GB"/>
        </w:rPr>
        <w:t>,</w:t>
      </w:r>
      <w:r w:rsidR="00C5317F" w:rsidRPr="00004558">
        <w:rPr>
          <w:rFonts w:ascii="Times New Roman" w:hAnsi="Times New Roman"/>
          <w:sz w:val="24"/>
          <w:szCs w:val="24"/>
          <w:lang w:val="en-GB"/>
        </w:rPr>
        <w:t xml:space="preserve"> in a </w:t>
      </w:r>
      <w:r w:rsidR="00E54ABD" w:rsidRPr="00004558">
        <w:rPr>
          <w:rFonts w:ascii="Times New Roman" w:hAnsi="Times New Roman"/>
          <w:sz w:val="24"/>
          <w:szCs w:val="24"/>
          <w:lang w:val="en-GB"/>
        </w:rPr>
        <w:t xml:space="preserve">South </w:t>
      </w:r>
      <w:r w:rsidR="00C5317F" w:rsidRPr="00004558">
        <w:rPr>
          <w:rFonts w:ascii="Times New Roman" w:hAnsi="Times New Roman"/>
          <w:sz w:val="24"/>
          <w:szCs w:val="24"/>
          <w:lang w:val="en-GB"/>
        </w:rPr>
        <w:t xml:space="preserve">Korean population, </w:t>
      </w:r>
      <w:r w:rsidR="00C3378C" w:rsidRPr="00004558">
        <w:rPr>
          <w:rFonts w:ascii="Times New Roman" w:hAnsi="Times New Roman"/>
          <w:sz w:val="24"/>
          <w:szCs w:val="24"/>
          <w:lang w:val="en-GB"/>
        </w:rPr>
        <w:t>IDA</w:t>
      </w:r>
      <w:r w:rsidR="00182F1C" w:rsidRPr="00004558">
        <w:rPr>
          <w:rFonts w:ascii="Times New Roman" w:hAnsi="Times New Roman"/>
          <w:sz w:val="24"/>
          <w:szCs w:val="24"/>
          <w:lang w:val="en-GB"/>
        </w:rPr>
        <w:t xml:space="preserve"> </w:t>
      </w:r>
      <w:r w:rsidR="00C5317F" w:rsidRPr="00004558">
        <w:rPr>
          <w:rFonts w:ascii="Times New Roman" w:hAnsi="Times New Roman"/>
          <w:sz w:val="24"/>
          <w:szCs w:val="24"/>
          <w:lang w:val="en-GB"/>
        </w:rPr>
        <w:t>increase</w:t>
      </w:r>
      <w:r w:rsidR="00182F1C" w:rsidRPr="00004558">
        <w:rPr>
          <w:rFonts w:ascii="Times New Roman" w:hAnsi="Times New Roman"/>
          <w:sz w:val="24"/>
          <w:szCs w:val="24"/>
          <w:lang w:val="en-GB"/>
        </w:rPr>
        <w:t>s</w:t>
      </w:r>
      <w:r w:rsidR="00C5317F" w:rsidRPr="00004558">
        <w:rPr>
          <w:rFonts w:ascii="Times New Roman" w:hAnsi="Times New Roman"/>
          <w:sz w:val="24"/>
          <w:szCs w:val="24"/>
          <w:lang w:val="en-GB"/>
        </w:rPr>
        <w:t xml:space="preserve"> the false positive rates of HbA1c </w:t>
      </w:r>
      <w:r w:rsidRPr="00004558">
        <w:rPr>
          <w:rFonts w:ascii="Times New Roman" w:hAnsi="Times New Roman"/>
          <w:sz w:val="24"/>
          <w:szCs w:val="24"/>
          <w:lang w:val="en-GB"/>
        </w:rPr>
        <w:t xml:space="preserve">in </w:t>
      </w:r>
      <w:r w:rsidR="00182F1C" w:rsidRPr="00004558">
        <w:rPr>
          <w:rFonts w:ascii="Times New Roman" w:hAnsi="Times New Roman"/>
          <w:sz w:val="24"/>
          <w:szCs w:val="24"/>
          <w:lang w:val="en-GB"/>
        </w:rPr>
        <w:t xml:space="preserve">diagnosing </w:t>
      </w:r>
      <w:r w:rsidR="00C5317F" w:rsidRPr="00004558">
        <w:rPr>
          <w:rFonts w:ascii="Times New Roman" w:hAnsi="Times New Roman"/>
          <w:sz w:val="24"/>
          <w:szCs w:val="24"/>
          <w:lang w:val="en-GB"/>
        </w:rPr>
        <w:t>diabetes</w:t>
      </w:r>
      <w:r w:rsidR="00A31F0F" w:rsidRPr="00004558">
        <w:rPr>
          <w:rFonts w:ascii="Times New Roman" w:hAnsi="Times New Roman"/>
          <w:sz w:val="24"/>
          <w:szCs w:val="24"/>
          <w:lang w:val="en-GB"/>
        </w:rPr>
        <w:t xml:space="preserve"> [2]</w:t>
      </w:r>
      <w:r w:rsidR="00182F1C" w:rsidRPr="00004558">
        <w:rPr>
          <w:rFonts w:ascii="Times New Roman" w:hAnsi="Times New Roman"/>
          <w:sz w:val="24"/>
          <w:szCs w:val="24"/>
          <w:lang w:val="en-GB"/>
        </w:rPr>
        <w:t xml:space="preserve">. Others have shown that </w:t>
      </w:r>
      <w:r w:rsidR="00C5317F" w:rsidRPr="00004558">
        <w:rPr>
          <w:rFonts w:ascii="Times New Roman" w:hAnsi="Times New Roman"/>
          <w:sz w:val="24"/>
          <w:szCs w:val="24"/>
          <w:lang w:val="en-GB"/>
        </w:rPr>
        <w:t xml:space="preserve">the prevalence </w:t>
      </w:r>
      <w:r w:rsidR="00182F1C" w:rsidRPr="00004558">
        <w:rPr>
          <w:rFonts w:ascii="Times New Roman" w:hAnsi="Times New Roman"/>
          <w:sz w:val="24"/>
          <w:szCs w:val="24"/>
          <w:lang w:val="en-GB"/>
        </w:rPr>
        <w:t xml:space="preserve">rate </w:t>
      </w:r>
      <w:r w:rsidR="00C5317F" w:rsidRPr="00004558">
        <w:rPr>
          <w:rFonts w:ascii="Times New Roman" w:hAnsi="Times New Roman"/>
          <w:sz w:val="24"/>
          <w:szCs w:val="24"/>
          <w:lang w:val="en-GB"/>
        </w:rPr>
        <w:t xml:space="preserve">of prediabetes and diabetes diagnosed by HbA1c </w:t>
      </w:r>
      <w:r w:rsidR="00182F1C" w:rsidRPr="00004558">
        <w:rPr>
          <w:rFonts w:ascii="Times New Roman" w:hAnsi="Times New Roman"/>
          <w:sz w:val="24"/>
          <w:szCs w:val="24"/>
          <w:lang w:val="en-GB"/>
        </w:rPr>
        <w:t>differ</w:t>
      </w:r>
      <w:r w:rsidR="00C5317F" w:rsidRPr="00004558">
        <w:rPr>
          <w:rFonts w:ascii="Times New Roman" w:hAnsi="Times New Roman"/>
          <w:sz w:val="24"/>
          <w:szCs w:val="24"/>
          <w:lang w:val="en-GB"/>
        </w:rPr>
        <w:t xml:space="preserve"> between women with iron deficiency or non-iron deficiency anaemia</w:t>
      </w:r>
      <w:r w:rsidR="00B85619" w:rsidRPr="00004558">
        <w:rPr>
          <w:rFonts w:ascii="Times New Roman" w:hAnsi="Times New Roman"/>
          <w:sz w:val="24"/>
          <w:szCs w:val="24"/>
          <w:lang w:val="en-GB"/>
        </w:rPr>
        <w:t>,</w:t>
      </w:r>
      <w:r w:rsidR="00C5317F" w:rsidRPr="00004558">
        <w:rPr>
          <w:rFonts w:ascii="Times New Roman" w:hAnsi="Times New Roman"/>
          <w:sz w:val="24"/>
          <w:szCs w:val="24"/>
          <w:lang w:val="en-GB"/>
        </w:rPr>
        <w:t xml:space="preserve"> </w:t>
      </w:r>
      <w:r w:rsidR="00182F1C" w:rsidRPr="00004558">
        <w:rPr>
          <w:rFonts w:ascii="Times New Roman" w:hAnsi="Times New Roman"/>
          <w:sz w:val="24"/>
          <w:szCs w:val="24"/>
          <w:lang w:val="en-GB"/>
        </w:rPr>
        <w:t xml:space="preserve">compared to </w:t>
      </w:r>
      <w:r w:rsidR="00C5317F" w:rsidRPr="00004558">
        <w:rPr>
          <w:rFonts w:ascii="Times New Roman" w:hAnsi="Times New Roman"/>
          <w:sz w:val="24"/>
          <w:szCs w:val="24"/>
          <w:lang w:val="en-GB"/>
        </w:rPr>
        <w:t>their healthy counterparts</w:t>
      </w:r>
      <w:r w:rsidR="00A31F0F" w:rsidRPr="00004558">
        <w:rPr>
          <w:rFonts w:ascii="Times New Roman" w:hAnsi="Times New Roman"/>
          <w:sz w:val="24"/>
          <w:szCs w:val="24"/>
          <w:lang w:val="en-GB"/>
        </w:rPr>
        <w:t xml:space="preserve"> [24]</w:t>
      </w:r>
      <w:r w:rsidR="00C5317F" w:rsidRPr="00004558">
        <w:rPr>
          <w:rFonts w:ascii="Times New Roman" w:hAnsi="Times New Roman"/>
          <w:sz w:val="24"/>
          <w:szCs w:val="24"/>
          <w:lang w:val="en-GB"/>
        </w:rPr>
        <w:t>.</w:t>
      </w:r>
      <w:r w:rsidR="00115968" w:rsidRPr="00004558">
        <w:rPr>
          <w:rFonts w:ascii="Times New Roman" w:hAnsi="Times New Roman"/>
          <w:sz w:val="24"/>
          <w:szCs w:val="24"/>
          <w:lang w:val="en-GB"/>
        </w:rPr>
        <w:t xml:space="preserve"> </w:t>
      </w:r>
      <w:r w:rsidR="00700DD9" w:rsidRPr="00004558">
        <w:rPr>
          <w:rFonts w:ascii="Times New Roman" w:hAnsi="Times New Roman"/>
          <w:sz w:val="24"/>
          <w:szCs w:val="24"/>
          <w:lang w:val="en-GB"/>
        </w:rPr>
        <w:t>Furthermore,</w:t>
      </w:r>
      <w:r w:rsidR="00ED448E" w:rsidRPr="00004558">
        <w:rPr>
          <w:rFonts w:ascii="Times New Roman" w:hAnsi="Times New Roman"/>
          <w:sz w:val="24"/>
          <w:szCs w:val="24"/>
          <w:lang w:val="en-GB"/>
        </w:rPr>
        <w:t xml:space="preserve"> depending on the measurement methods, </w:t>
      </w:r>
      <w:r w:rsidR="00980E6B" w:rsidRPr="00004558">
        <w:rPr>
          <w:rFonts w:ascii="Times New Roman" w:hAnsi="Times New Roman"/>
          <w:sz w:val="24"/>
          <w:szCs w:val="24"/>
          <w:lang w:val="en-GB"/>
        </w:rPr>
        <w:t>Hb</w:t>
      </w:r>
      <w:r w:rsidR="00ED448E" w:rsidRPr="00004558">
        <w:rPr>
          <w:rFonts w:ascii="Times New Roman" w:hAnsi="Times New Roman"/>
          <w:sz w:val="24"/>
          <w:szCs w:val="24"/>
          <w:lang w:val="en-GB"/>
        </w:rPr>
        <w:t xml:space="preserve"> variants in haemoglobinopathies m</w:t>
      </w:r>
      <w:r w:rsidR="00C10DAA" w:rsidRPr="00004558">
        <w:rPr>
          <w:rFonts w:ascii="Times New Roman" w:hAnsi="Times New Roman"/>
          <w:sz w:val="24"/>
          <w:szCs w:val="24"/>
          <w:lang w:val="en-GB"/>
        </w:rPr>
        <w:t>ay</w:t>
      </w:r>
      <w:r w:rsidR="00ED448E" w:rsidRPr="00004558">
        <w:rPr>
          <w:rFonts w:ascii="Times New Roman" w:hAnsi="Times New Roman"/>
          <w:sz w:val="24"/>
          <w:szCs w:val="24"/>
          <w:lang w:val="en-GB"/>
        </w:rPr>
        <w:t xml:space="preserve"> also </w:t>
      </w:r>
      <w:r w:rsidR="00182F1C" w:rsidRPr="00004558">
        <w:rPr>
          <w:rFonts w:ascii="Times New Roman" w:hAnsi="Times New Roman"/>
          <w:sz w:val="24"/>
          <w:szCs w:val="24"/>
          <w:lang w:val="en-GB"/>
        </w:rPr>
        <w:t xml:space="preserve">interfere with </w:t>
      </w:r>
      <w:r w:rsidR="00F00461" w:rsidRPr="00004558">
        <w:rPr>
          <w:rFonts w:ascii="Times New Roman" w:hAnsi="Times New Roman"/>
          <w:sz w:val="24"/>
          <w:szCs w:val="24"/>
          <w:lang w:val="en-GB"/>
        </w:rPr>
        <w:t xml:space="preserve">HbA1c </w:t>
      </w:r>
      <w:r w:rsidR="00182F1C" w:rsidRPr="00004558">
        <w:rPr>
          <w:rFonts w:ascii="Times New Roman" w:hAnsi="Times New Roman"/>
          <w:sz w:val="24"/>
          <w:szCs w:val="24"/>
          <w:lang w:val="en-GB"/>
        </w:rPr>
        <w:t>measurement</w:t>
      </w:r>
      <w:r w:rsidR="00A31F0F" w:rsidRPr="00004558">
        <w:rPr>
          <w:rFonts w:ascii="Times New Roman" w:hAnsi="Times New Roman"/>
          <w:sz w:val="24"/>
          <w:szCs w:val="24"/>
          <w:lang w:val="en-GB"/>
        </w:rPr>
        <w:t xml:space="preserve"> [25]</w:t>
      </w:r>
      <w:r w:rsidR="00C5317F" w:rsidRPr="00004558">
        <w:rPr>
          <w:rFonts w:ascii="Times New Roman" w:hAnsi="Times New Roman"/>
          <w:sz w:val="24"/>
          <w:szCs w:val="24"/>
          <w:lang w:val="en-GB"/>
        </w:rPr>
        <w:t>.</w:t>
      </w:r>
      <w:r w:rsidR="00042880" w:rsidRPr="00004558">
        <w:rPr>
          <w:rFonts w:ascii="Times New Roman" w:hAnsi="Times New Roman"/>
          <w:sz w:val="24"/>
          <w:szCs w:val="24"/>
          <w:lang w:val="en-GB"/>
        </w:rPr>
        <w:t xml:space="preserve"> In this study, generally, abnormalities in RBC indic</w:t>
      </w:r>
      <w:r w:rsidR="00386FEB" w:rsidRPr="00004558">
        <w:rPr>
          <w:rFonts w:ascii="Times New Roman" w:hAnsi="Times New Roman"/>
          <w:sz w:val="24"/>
          <w:szCs w:val="24"/>
          <w:lang w:val="en-GB"/>
        </w:rPr>
        <w:t xml:space="preserve">es as indicated by </w:t>
      </w:r>
      <w:r w:rsidR="00042880" w:rsidRPr="00004558">
        <w:rPr>
          <w:rFonts w:ascii="Times New Roman" w:hAnsi="Times New Roman"/>
          <w:sz w:val="24"/>
          <w:szCs w:val="24"/>
          <w:lang w:val="en-GB"/>
        </w:rPr>
        <w:t xml:space="preserve">low values of MCV and/ or Hb, did not influence the performance of HbA1c in detecting </w:t>
      </w:r>
      <w:r w:rsidR="00386FEB" w:rsidRPr="00004558">
        <w:rPr>
          <w:rFonts w:ascii="Times New Roman" w:hAnsi="Times New Roman"/>
          <w:sz w:val="24"/>
          <w:szCs w:val="24"/>
          <w:lang w:val="en-GB"/>
        </w:rPr>
        <w:t>dysglycaemia</w:t>
      </w:r>
      <w:r w:rsidR="00500BF7" w:rsidRPr="00004558">
        <w:rPr>
          <w:rFonts w:ascii="Times New Roman" w:hAnsi="Times New Roman"/>
          <w:sz w:val="24"/>
          <w:szCs w:val="24"/>
          <w:lang w:val="en-GB"/>
        </w:rPr>
        <w:t xml:space="preserve"> though there may be ethnic variations among them</w:t>
      </w:r>
      <w:r w:rsidR="00042880" w:rsidRPr="00004558">
        <w:rPr>
          <w:rFonts w:ascii="Times New Roman" w:hAnsi="Times New Roman"/>
          <w:sz w:val="24"/>
          <w:szCs w:val="24"/>
          <w:lang w:val="en-GB"/>
        </w:rPr>
        <w:t xml:space="preserve">. </w:t>
      </w:r>
    </w:p>
    <w:p w14:paraId="369F3840" w14:textId="1CFA3B13" w:rsidR="00464A87" w:rsidRPr="00004558" w:rsidRDefault="00691804" w:rsidP="00464A87">
      <w:pPr>
        <w:pStyle w:val="NoSpacing"/>
        <w:spacing w:line="480" w:lineRule="auto"/>
        <w:ind w:firstLine="720"/>
        <w:rPr>
          <w:rFonts w:ascii="Times New Roman" w:hAnsi="Times New Roman"/>
          <w:sz w:val="24"/>
          <w:szCs w:val="24"/>
          <w:lang w:val="en-GB"/>
        </w:rPr>
      </w:pPr>
      <w:r w:rsidRPr="00004558">
        <w:rPr>
          <w:rFonts w:ascii="Times New Roman" w:hAnsi="Times New Roman"/>
          <w:sz w:val="24"/>
          <w:szCs w:val="24"/>
          <w:lang w:val="en-GB"/>
        </w:rPr>
        <w:t>T</w:t>
      </w:r>
      <w:r w:rsidR="00C5317F" w:rsidRPr="00004558">
        <w:rPr>
          <w:rFonts w:ascii="Times New Roman" w:hAnsi="Times New Roman"/>
          <w:sz w:val="24"/>
          <w:szCs w:val="24"/>
          <w:lang w:val="en-GB"/>
        </w:rPr>
        <w:t>he difference in the AU</w:t>
      </w:r>
      <w:r w:rsidR="00165DEA" w:rsidRPr="00004558">
        <w:rPr>
          <w:rFonts w:ascii="Times New Roman" w:hAnsi="Times New Roman"/>
          <w:sz w:val="24"/>
          <w:szCs w:val="24"/>
          <w:lang w:val="en-GB"/>
        </w:rPr>
        <w:t>RO</w:t>
      </w:r>
      <w:r w:rsidR="00C5317F" w:rsidRPr="00004558">
        <w:rPr>
          <w:rFonts w:ascii="Times New Roman" w:hAnsi="Times New Roman"/>
          <w:sz w:val="24"/>
          <w:szCs w:val="24"/>
          <w:lang w:val="en-GB"/>
        </w:rPr>
        <w:t>C values</w:t>
      </w:r>
      <w:r w:rsidR="00DB431B" w:rsidRPr="00004558">
        <w:rPr>
          <w:rFonts w:ascii="Times New Roman" w:hAnsi="Times New Roman"/>
          <w:sz w:val="24"/>
          <w:szCs w:val="24"/>
          <w:lang w:val="en-GB"/>
        </w:rPr>
        <w:t xml:space="preserve"> </w:t>
      </w:r>
      <w:r w:rsidR="00C5317F" w:rsidRPr="00004558">
        <w:rPr>
          <w:rFonts w:ascii="Times New Roman" w:hAnsi="Times New Roman"/>
          <w:sz w:val="24"/>
          <w:szCs w:val="24"/>
          <w:lang w:val="en-GB"/>
        </w:rPr>
        <w:t xml:space="preserve">between </w:t>
      </w:r>
      <w:r w:rsidR="00B14188" w:rsidRPr="00004558">
        <w:rPr>
          <w:rFonts w:ascii="Times New Roman" w:hAnsi="Times New Roman"/>
          <w:sz w:val="24"/>
          <w:szCs w:val="24"/>
          <w:lang w:val="en-GB"/>
        </w:rPr>
        <w:t>those</w:t>
      </w:r>
      <w:r w:rsidR="00C3378C" w:rsidRPr="00004558">
        <w:rPr>
          <w:rFonts w:ascii="Times New Roman" w:hAnsi="Times New Roman"/>
          <w:sz w:val="24"/>
          <w:szCs w:val="24"/>
          <w:lang w:val="en-GB"/>
        </w:rPr>
        <w:t xml:space="preserve"> with</w:t>
      </w:r>
      <w:r w:rsidR="00B14188" w:rsidRPr="00004558">
        <w:rPr>
          <w:rFonts w:ascii="Times New Roman" w:hAnsi="Times New Roman"/>
          <w:sz w:val="24"/>
          <w:szCs w:val="24"/>
          <w:lang w:val="en-GB"/>
        </w:rPr>
        <w:t xml:space="preserve"> normal and abnormal RBC indices among Malay ethnicity could </w:t>
      </w:r>
      <w:r w:rsidR="00C5317F" w:rsidRPr="00004558">
        <w:rPr>
          <w:rFonts w:ascii="Times New Roman" w:hAnsi="Times New Roman"/>
          <w:sz w:val="24"/>
          <w:szCs w:val="24"/>
          <w:lang w:val="en-GB"/>
        </w:rPr>
        <w:t xml:space="preserve">be </w:t>
      </w:r>
      <w:r w:rsidR="00CB379C" w:rsidRPr="00004558">
        <w:rPr>
          <w:rFonts w:ascii="Times New Roman" w:hAnsi="Times New Roman"/>
          <w:sz w:val="24"/>
          <w:szCs w:val="24"/>
          <w:lang w:val="en-GB"/>
        </w:rPr>
        <w:t xml:space="preserve">due </w:t>
      </w:r>
      <w:r w:rsidR="00C5317F" w:rsidRPr="00004558">
        <w:rPr>
          <w:rFonts w:ascii="Times New Roman" w:hAnsi="Times New Roman"/>
          <w:sz w:val="24"/>
          <w:szCs w:val="24"/>
          <w:lang w:val="en-GB"/>
        </w:rPr>
        <w:t>to</w:t>
      </w:r>
      <w:r w:rsidRPr="00004558">
        <w:rPr>
          <w:rFonts w:ascii="Times New Roman" w:hAnsi="Times New Roman"/>
          <w:sz w:val="24"/>
          <w:szCs w:val="24"/>
          <w:lang w:val="en-GB"/>
        </w:rPr>
        <w:t xml:space="preserve"> several reasons. </w:t>
      </w:r>
      <w:r w:rsidR="00B14188" w:rsidRPr="00004558">
        <w:rPr>
          <w:rFonts w:ascii="Times New Roman" w:hAnsi="Times New Roman"/>
          <w:sz w:val="24"/>
          <w:szCs w:val="24"/>
          <w:lang w:val="en-GB"/>
        </w:rPr>
        <w:t xml:space="preserve">It is known that Malays have </w:t>
      </w:r>
      <w:r w:rsidR="00C5317F" w:rsidRPr="00004558">
        <w:rPr>
          <w:rFonts w:ascii="Times New Roman" w:hAnsi="Times New Roman"/>
          <w:sz w:val="24"/>
          <w:szCs w:val="24"/>
          <w:lang w:val="en-GB"/>
        </w:rPr>
        <w:t>a high prevalence of anaemia and haemoglobinopathy</w:t>
      </w:r>
      <w:r w:rsidR="006306A6" w:rsidRPr="00004558">
        <w:rPr>
          <w:rFonts w:ascii="Times New Roman" w:hAnsi="Times New Roman"/>
          <w:sz w:val="24"/>
          <w:szCs w:val="24"/>
          <w:lang w:val="en-GB"/>
        </w:rPr>
        <w:t>,</w:t>
      </w:r>
      <w:r w:rsidR="00C5317F" w:rsidRPr="00004558">
        <w:rPr>
          <w:rFonts w:ascii="Times New Roman" w:hAnsi="Times New Roman"/>
          <w:sz w:val="24"/>
          <w:szCs w:val="24"/>
          <w:lang w:val="en-GB"/>
        </w:rPr>
        <w:t xml:space="preserve"> </w:t>
      </w:r>
      <w:r w:rsidR="00B14188" w:rsidRPr="00004558">
        <w:rPr>
          <w:rFonts w:ascii="Times New Roman" w:hAnsi="Times New Roman"/>
          <w:sz w:val="24"/>
          <w:szCs w:val="24"/>
          <w:lang w:val="en-GB"/>
        </w:rPr>
        <w:t>such as Hb E-beta thalassaemia (Hb E/β-thalassaemia)</w:t>
      </w:r>
      <w:r w:rsidR="00B85619" w:rsidRPr="00004558">
        <w:rPr>
          <w:rFonts w:ascii="Times New Roman" w:hAnsi="Times New Roman"/>
          <w:sz w:val="24"/>
          <w:szCs w:val="24"/>
          <w:lang w:val="en-GB"/>
        </w:rPr>
        <w:t xml:space="preserve">, which is </w:t>
      </w:r>
      <w:r w:rsidR="006B1D38" w:rsidRPr="00004558">
        <w:rPr>
          <w:rFonts w:ascii="Times New Roman" w:hAnsi="Times New Roman"/>
          <w:sz w:val="24"/>
          <w:szCs w:val="24"/>
          <w:lang w:val="en-GB"/>
        </w:rPr>
        <w:t xml:space="preserve">in turn </w:t>
      </w:r>
      <w:r w:rsidR="00B85619" w:rsidRPr="00004558">
        <w:rPr>
          <w:rFonts w:ascii="Times New Roman" w:hAnsi="Times New Roman"/>
          <w:sz w:val="24"/>
          <w:szCs w:val="24"/>
          <w:lang w:val="en-GB"/>
        </w:rPr>
        <w:t xml:space="preserve">associated with higher </w:t>
      </w:r>
      <w:r w:rsidR="00AB3C03" w:rsidRPr="00004558">
        <w:rPr>
          <w:rFonts w:ascii="Times New Roman" w:hAnsi="Times New Roman"/>
          <w:sz w:val="24"/>
          <w:szCs w:val="24"/>
          <w:lang w:val="en-GB"/>
        </w:rPr>
        <w:t>foetal Hb (</w:t>
      </w:r>
      <w:r w:rsidR="00B85619" w:rsidRPr="00004558">
        <w:rPr>
          <w:rFonts w:ascii="Times New Roman" w:hAnsi="Times New Roman"/>
          <w:sz w:val="24"/>
          <w:szCs w:val="24"/>
          <w:lang w:val="en-GB"/>
        </w:rPr>
        <w:t>HbF</w:t>
      </w:r>
      <w:r w:rsidR="00AB3C03" w:rsidRPr="00004558">
        <w:rPr>
          <w:rFonts w:ascii="Times New Roman" w:hAnsi="Times New Roman"/>
          <w:sz w:val="24"/>
          <w:szCs w:val="24"/>
          <w:lang w:val="en-GB"/>
        </w:rPr>
        <w:t>)</w:t>
      </w:r>
      <w:r w:rsidR="00B85619" w:rsidRPr="00004558">
        <w:rPr>
          <w:rFonts w:ascii="Times New Roman" w:hAnsi="Times New Roman"/>
          <w:sz w:val="24"/>
          <w:szCs w:val="24"/>
          <w:lang w:val="en-GB"/>
        </w:rPr>
        <w:t xml:space="preserve"> levels</w:t>
      </w:r>
      <w:r w:rsidR="00EE3A8A" w:rsidRPr="00004558">
        <w:rPr>
          <w:rFonts w:ascii="Times New Roman" w:hAnsi="Times New Roman"/>
          <w:sz w:val="24"/>
          <w:szCs w:val="24"/>
          <w:lang w:val="en-GB"/>
        </w:rPr>
        <w:t xml:space="preserve"> and</w:t>
      </w:r>
      <w:r w:rsidR="006D6DD6" w:rsidRPr="00004558">
        <w:rPr>
          <w:rFonts w:ascii="Times New Roman" w:hAnsi="Times New Roman"/>
          <w:sz w:val="24"/>
          <w:szCs w:val="24"/>
          <w:lang w:val="en-GB"/>
        </w:rPr>
        <w:t xml:space="preserve"> </w:t>
      </w:r>
      <w:r w:rsidR="00F15AE8" w:rsidRPr="00004558">
        <w:rPr>
          <w:rFonts w:ascii="Times New Roman" w:hAnsi="Times New Roman"/>
          <w:sz w:val="24"/>
          <w:szCs w:val="24"/>
          <w:lang w:val="en-GB"/>
        </w:rPr>
        <w:t xml:space="preserve">may </w:t>
      </w:r>
      <w:r w:rsidR="006D6DD6" w:rsidRPr="00004558">
        <w:rPr>
          <w:rFonts w:ascii="Times New Roman" w:hAnsi="Times New Roman"/>
          <w:sz w:val="24"/>
          <w:szCs w:val="24"/>
          <w:lang w:val="en-GB"/>
        </w:rPr>
        <w:t>spuriously lower HbA1c value</w:t>
      </w:r>
      <w:r w:rsidR="00A31F0F" w:rsidRPr="00004558">
        <w:rPr>
          <w:rFonts w:ascii="Times New Roman" w:hAnsi="Times New Roman"/>
          <w:sz w:val="24"/>
          <w:szCs w:val="24"/>
          <w:lang w:val="en-GB"/>
        </w:rPr>
        <w:t xml:space="preserve"> [12]</w:t>
      </w:r>
      <w:r w:rsidR="006306A6" w:rsidRPr="00004558">
        <w:rPr>
          <w:rFonts w:ascii="Times New Roman" w:hAnsi="Times New Roman"/>
          <w:sz w:val="24"/>
          <w:szCs w:val="24"/>
          <w:lang w:val="en-GB"/>
        </w:rPr>
        <w:t xml:space="preserve">. </w:t>
      </w:r>
      <w:r w:rsidR="00571017" w:rsidRPr="00004558">
        <w:rPr>
          <w:rFonts w:ascii="Times New Roman" w:hAnsi="Times New Roman"/>
          <w:sz w:val="24"/>
          <w:szCs w:val="24"/>
          <w:lang w:val="en-GB"/>
        </w:rPr>
        <w:t xml:space="preserve">This </w:t>
      </w:r>
      <w:r w:rsidR="00ED7F8E" w:rsidRPr="00004558">
        <w:rPr>
          <w:rFonts w:ascii="Times New Roman" w:hAnsi="Times New Roman"/>
          <w:sz w:val="24"/>
          <w:szCs w:val="24"/>
          <w:lang w:val="en-GB"/>
        </w:rPr>
        <w:t>is supported by the</w:t>
      </w:r>
      <w:r w:rsidR="00930B4D" w:rsidRPr="00004558">
        <w:rPr>
          <w:rFonts w:ascii="Times New Roman" w:hAnsi="Times New Roman"/>
          <w:sz w:val="24"/>
          <w:szCs w:val="24"/>
          <w:lang w:val="en-GB"/>
        </w:rPr>
        <w:t xml:space="preserve"> National Thalassaemia Registry</w:t>
      </w:r>
      <w:r w:rsidR="00ED7F8E" w:rsidRPr="00004558">
        <w:rPr>
          <w:rFonts w:ascii="Times New Roman" w:hAnsi="Times New Roman"/>
          <w:sz w:val="24"/>
          <w:szCs w:val="24"/>
          <w:lang w:val="en-GB"/>
        </w:rPr>
        <w:t xml:space="preserve"> (2011) in Singapore,</w:t>
      </w:r>
      <w:r w:rsidR="00930B4D" w:rsidRPr="00004558">
        <w:rPr>
          <w:rFonts w:ascii="Times New Roman" w:hAnsi="Times New Roman"/>
          <w:sz w:val="24"/>
          <w:szCs w:val="24"/>
          <w:lang w:val="en-GB"/>
        </w:rPr>
        <w:t xml:space="preserve"> </w:t>
      </w:r>
      <w:r w:rsidRPr="00004558">
        <w:rPr>
          <w:rFonts w:ascii="Times New Roman" w:hAnsi="Times New Roman"/>
          <w:sz w:val="24"/>
          <w:szCs w:val="24"/>
          <w:lang w:val="en-GB"/>
        </w:rPr>
        <w:t xml:space="preserve">which </w:t>
      </w:r>
      <w:r w:rsidR="00930B4D" w:rsidRPr="00004558">
        <w:rPr>
          <w:rFonts w:ascii="Times New Roman" w:hAnsi="Times New Roman"/>
          <w:sz w:val="24"/>
          <w:szCs w:val="24"/>
          <w:lang w:val="en-GB"/>
        </w:rPr>
        <w:t>report</w:t>
      </w:r>
      <w:r w:rsidRPr="00004558">
        <w:rPr>
          <w:rFonts w:ascii="Times New Roman" w:hAnsi="Times New Roman"/>
          <w:sz w:val="24"/>
          <w:szCs w:val="24"/>
          <w:lang w:val="en-GB"/>
        </w:rPr>
        <w:t>ed</w:t>
      </w:r>
      <w:r w:rsidR="002E0EAE" w:rsidRPr="00004558">
        <w:rPr>
          <w:rFonts w:ascii="Times New Roman" w:hAnsi="Times New Roman"/>
          <w:sz w:val="24"/>
          <w:szCs w:val="24"/>
          <w:lang w:val="en-GB"/>
        </w:rPr>
        <w:t xml:space="preserve"> </w:t>
      </w:r>
      <w:r w:rsidR="00930B4D" w:rsidRPr="00004558">
        <w:rPr>
          <w:rFonts w:ascii="Times New Roman" w:hAnsi="Times New Roman"/>
          <w:sz w:val="24"/>
          <w:szCs w:val="24"/>
          <w:lang w:val="en-GB"/>
        </w:rPr>
        <w:t xml:space="preserve">that 74% of registered subjects </w:t>
      </w:r>
      <w:r w:rsidR="00571017" w:rsidRPr="00004558">
        <w:rPr>
          <w:rFonts w:ascii="Times New Roman" w:hAnsi="Times New Roman"/>
          <w:sz w:val="24"/>
          <w:szCs w:val="24"/>
          <w:lang w:val="en-GB"/>
        </w:rPr>
        <w:t>with</w:t>
      </w:r>
      <w:r w:rsidR="00930B4D" w:rsidRPr="00004558">
        <w:rPr>
          <w:rFonts w:ascii="Times New Roman" w:hAnsi="Times New Roman"/>
          <w:sz w:val="24"/>
          <w:szCs w:val="24"/>
          <w:lang w:val="en-GB"/>
        </w:rPr>
        <w:t xml:space="preserve"> Hb</w:t>
      </w:r>
      <w:r w:rsidR="008A6FB7" w:rsidRPr="00004558">
        <w:rPr>
          <w:rFonts w:ascii="Times New Roman" w:hAnsi="Times New Roman"/>
          <w:sz w:val="24"/>
          <w:szCs w:val="24"/>
          <w:lang w:val="en-GB"/>
        </w:rPr>
        <w:t xml:space="preserve"> </w:t>
      </w:r>
      <w:r w:rsidR="00930B4D" w:rsidRPr="00004558">
        <w:rPr>
          <w:rFonts w:ascii="Times New Roman" w:hAnsi="Times New Roman"/>
          <w:sz w:val="24"/>
          <w:szCs w:val="24"/>
          <w:lang w:val="en-GB"/>
        </w:rPr>
        <w:t>E/β-thalassaemia were of Malay ethnicity</w:t>
      </w:r>
      <w:r w:rsidR="00A31F0F" w:rsidRPr="00004558">
        <w:rPr>
          <w:rFonts w:ascii="Times New Roman" w:hAnsi="Times New Roman"/>
          <w:sz w:val="24"/>
          <w:szCs w:val="24"/>
          <w:lang w:val="en-GB"/>
        </w:rPr>
        <w:t xml:space="preserve"> [13]</w:t>
      </w:r>
      <w:r w:rsidR="00930B4D" w:rsidRPr="00004558">
        <w:rPr>
          <w:rFonts w:ascii="Times New Roman" w:hAnsi="Times New Roman"/>
          <w:sz w:val="24"/>
          <w:szCs w:val="24"/>
          <w:lang w:val="en-GB"/>
        </w:rPr>
        <w:t xml:space="preserve">. </w:t>
      </w:r>
      <w:r w:rsidR="006B1D38" w:rsidRPr="00004558">
        <w:rPr>
          <w:rFonts w:ascii="Times New Roman" w:hAnsi="Times New Roman"/>
          <w:sz w:val="24"/>
          <w:szCs w:val="24"/>
          <w:lang w:val="en-GB"/>
        </w:rPr>
        <w:t>A p</w:t>
      </w:r>
      <w:r w:rsidR="00087447" w:rsidRPr="00004558">
        <w:rPr>
          <w:rFonts w:ascii="Times New Roman" w:hAnsi="Times New Roman"/>
          <w:sz w:val="24"/>
          <w:szCs w:val="24"/>
          <w:lang w:val="en-GB"/>
        </w:rPr>
        <w:t xml:space="preserve">revious </w:t>
      </w:r>
      <w:r w:rsidR="002D467F" w:rsidRPr="00004558">
        <w:rPr>
          <w:rFonts w:ascii="Times New Roman" w:hAnsi="Times New Roman"/>
          <w:sz w:val="24"/>
          <w:szCs w:val="24"/>
          <w:lang w:val="en-GB"/>
        </w:rPr>
        <w:t xml:space="preserve">local </w:t>
      </w:r>
      <w:r w:rsidR="00087447" w:rsidRPr="00004558">
        <w:rPr>
          <w:rFonts w:ascii="Times New Roman" w:hAnsi="Times New Roman"/>
          <w:sz w:val="24"/>
          <w:szCs w:val="24"/>
          <w:lang w:val="en-GB"/>
        </w:rPr>
        <w:t>stud</w:t>
      </w:r>
      <w:r w:rsidR="006B1D38" w:rsidRPr="00004558">
        <w:rPr>
          <w:rFonts w:ascii="Times New Roman" w:hAnsi="Times New Roman"/>
          <w:sz w:val="24"/>
          <w:szCs w:val="24"/>
          <w:lang w:val="en-GB"/>
        </w:rPr>
        <w:t>y</w:t>
      </w:r>
      <w:r w:rsidR="00087447" w:rsidRPr="00004558">
        <w:rPr>
          <w:rFonts w:ascii="Times New Roman" w:hAnsi="Times New Roman"/>
          <w:sz w:val="24"/>
          <w:szCs w:val="24"/>
          <w:lang w:val="en-GB"/>
        </w:rPr>
        <w:t xml:space="preserve"> had also shown that</w:t>
      </w:r>
      <w:r w:rsidR="0081080A" w:rsidRPr="00004558">
        <w:rPr>
          <w:rFonts w:ascii="Times New Roman" w:hAnsi="Times New Roman"/>
          <w:sz w:val="24"/>
          <w:szCs w:val="24"/>
          <w:lang w:val="en-GB"/>
        </w:rPr>
        <w:t xml:space="preserve"> </w:t>
      </w:r>
      <w:r w:rsidR="00F53FA0" w:rsidRPr="00004558">
        <w:rPr>
          <w:rFonts w:ascii="Times New Roman" w:hAnsi="Times New Roman"/>
          <w:sz w:val="24"/>
          <w:szCs w:val="24"/>
          <w:lang w:val="en-GB"/>
        </w:rPr>
        <w:t>Malays ha</w:t>
      </w:r>
      <w:r w:rsidR="00087447" w:rsidRPr="00004558">
        <w:rPr>
          <w:rFonts w:ascii="Times New Roman" w:hAnsi="Times New Roman"/>
          <w:sz w:val="24"/>
          <w:szCs w:val="24"/>
          <w:lang w:val="en-GB"/>
        </w:rPr>
        <w:t>d</w:t>
      </w:r>
      <w:r w:rsidR="00F53FA0" w:rsidRPr="00004558">
        <w:rPr>
          <w:rFonts w:ascii="Times New Roman" w:hAnsi="Times New Roman"/>
          <w:sz w:val="24"/>
          <w:szCs w:val="24"/>
          <w:lang w:val="en-GB"/>
        </w:rPr>
        <w:t xml:space="preserve"> the highest total carrier frequency for alpha- and beta-thalassaemia</w:t>
      </w:r>
      <w:r w:rsidR="000E69A1" w:rsidRPr="00004558">
        <w:rPr>
          <w:rFonts w:ascii="Times New Roman" w:hAnsi="Times New Roman"/>
          <w:sz w:val="24"/>
          <w:szCs w:val="24"/>
          <w:lang w:val="en-GB"/>
        </w:rPr>
        <w:t xml:space="preserve"> mutations</w:t>
      </w:r>
      <w:r w:rsidR="004A22FB" w:rsidRPr="00004558">
        <w:rPr>
          <w:rFonts w:ascii="Times New Roman" w:hAnsi="Times New Roman"/>
          <w:sz w:val="24"/>
          <w:szCs w:val="24"/>
          <w:lang w:val="en-GB"/>
        </w:rPr>
        <w:t xml:space="preserve"> </w:t>
      </w:r>
      <w:r w:rsidR="002D467F" w:rsidRPr="00004558">
        <w:rPr>
          <w:rFonts w:ascii="Times New Roman" w:hAnsi="Times New Roman"/>
          <w:sz w:val="24"/>
          <w:szCs w:val="24"/>
          <w:lang w:val="en-GB"/>
        </w:rPr>
        <w:t>compared to Chinese and Indians</w:t>
      </w:r>
      <w:r w:rsidR="00A31F0F" w:rsidRPr="00004558">
        <w:rPr>
          <w:rFonts w:ascii="Times New Roman" w:hAnsi="Times New Roman"/>
          <w:sz w:val="24"/>
          <w:szCs w:val="24"/>
          <w:lang w:val="en-GB"/>
        </w:rPr>
        <w:t xml:space="preserve"> [26]</w:t>
      </w:r>
      <w:r w:rsidR="000E69A1" w:rsidRPr="00004558">
        <w:rPr>
          <w:rFonts w:ascii="Times New Roman" w:hAnsi="Times New Roman"/>
          <w:sz w:val="24"/>
          <w:szCs w:val="24"/>
          <w:lang w:val="en-GB"/>
        </w:rPr>
        <w:t>.</w:t>
      </w:r>
      <w:r w:rsidR="00F53FA0" w:rsidRPr="00004558">
        <w:rPr>
          <w:rFonts w:ascii="Times New Roman" w:hAnsi="Times New Roman"/>
          <w:sz w:val="24"/>
          <w:szCs w:val="24"/>
          <w:lang w:val="en-GB"/>
        </w:rPr>
        <w:t xml:space="preserve"> </w:t>
      </w:r>
      <w:r w:rsidR="00055BDE" w:rsidRPr="00004558">
        <w:rPr>
          <w:rFonts w:ascii="Times New Roman" w:hAnsi="Times New Roman"/>
          <w:sz w:val="24"/>
          <w:szCs w:val="24"/>
          <w:lang w:val="en-GB"/>
        </w:rPr>
        <w:t>Consequently, the HbA1c levels</w:t>
      </w:r>
      <w:r w:rsidR="005362E2" w:rsidRPr="00004558">
        <w:rPr>
          <w:rFonts w:ascii="Times New Roman" w:hAnsi="Times New Roman"/>
          <w:sz w:val="24"/>
          <w:szCs w:val="24"/>
          <w:lang w:val="en-GB"/>
        </w:rPr>
        <w:t xml:space="preserve"> among </w:t>
      </w:r>
      <w:r w:rsidR="00F259F7" w:rsidRPr="00004558">
        <w:rPr>
          <w:rFonts w:ascii="Times New Roman" w:hAnsi="Times New Roman"/>
          <w:sz w:val="24"/>
          <w:szCs w:val="24"/>
          <w:lang w:val="en-GB"/>
        </w:rPr>
        <w:t xml:space="preserve">Malay </w:t>
      </w:r>
      <w:r w:rsidR="005362E2" w:rsidRPr="00004558">
        <w:rPr>
          <w:rFonts w:ascii="Times New Roman" w:hAnsi="Times New Roman"/>
          <w:sz w:val="24"/>
          <w:szCs w:val="24"/>
          <w:lang w:val="en-GB"/>
        </w:rPr>
        <w:t xml:space="preserve">women with abnormal RBC indices </w:t>
      </w:r>
      <w:r w:rsidR="00CF3256" w:rsidRPr="00004558">
        <w:rPr>
          <w:rFonts w:ascii="Times New Roman" w:hAnsi="Times New Roman"/>
          <w:sz w:val="24"/>
          <w:szCs w:val="24"/>
          <w:lang w:val="en-GB"/>
        </w:rPr>
        <w:t xml:space="preserve">might have been </w:t>
      </w:r>
      <w:r w:rsidR="005362E2" w:rsidRPr="00004558">
        <w:rPr>
          <w:rFonts w:ascii="Times New Roman" w:hAnsi="Times New Roman"/>
          <w:sz w:val="24"/>
          <w:szCs w:val="24"/>
          <w:lang w:val="en-GB"/>
        </w:rPr>
        <w:t>altered such that</w:t>
      </w:r>
      <w:r w:rsidR="00055BDE" w:rsidRPr="00004558">
        <w:rPr>
          <w:rFonts w:ascii="Times New Roman" w:hAnsi="Times New Roman"/>
          <w:sz w:val="24"/>
          <w:szCs w:val="24"/>
          <w:lang w:val="en-GB"/>
        </w:rPr>
        <w:t xml:space="preserve"> it became considerably </w:t>
      </w:r>
      <w:r w:rsidR="00B1098D" w:rsidRPr="00004558">
        <w:rPr>
          <w:rFonts w:ascii="Times New Roman" w:hAnsi="Times New Roman"/>
          <w:sz w:val="24"/>
          <w:szCs w:val="24"/>
          <w:lang w:val="en-GB"/>
        </w:rPr>
        <w:t>lower</w:t>
      </w:r>
      <w:r w:rsidR="00055BDE" w:rsidRPr="00004558">
        <w:rPr>
          <w:rFonts w:ascii="Times New Roman" w:hAnsi="Times New Roman"/>
          <w:sz w:val="24"/>
          <w:szCs w:val="24"/>
          <w:lang w:val="en-GB"/>
        </w:rPr>
        <w:t xml:space="preserve"> than that of its reference standard, made up of Malay women with normal RBC indices.</w:t>
      </w:r>
      <w:r w:rsidR="00373CA2" w:rsidRPr="00004558">
        <w:rPr>
          <w:rFonts w:ascii="Times New Roman" w:hAnsi="Times New Roman"/>
          <w:sz w:val="24"/>
          <w:szCs w:val="24"/>
          <w:lang w:val="en-GB"/>
        </w:rPr>
        <w:t xml:space="preserve"> </w:t>
      </w:r>
      <w:r w:rsidR="009B6A25" w:rsidRPr="00004558">
        <w:rPr>
          <w:rFonts w:ascii="Times New Roman" w:hAnsi="Times New Roman"/>
          <w:sz w:val="24"/>
          <w:szCs w:val="24"/>
          <w:lang w:val="en-GB"/>
        </w:rPr>
        <w:t>We speculate that t</w:t>
      </w:r>
      <w:r w:rsidRPr="00004558">
        <w:rPr>
          <w:rFonts w:ascii="Times New Roman" w:hAnsi="Times New Roman"/>
          <w:sz w:val="24"/>
          <w:szCs w:val="24"/>
          <w:lang w:val="en-GB"/>
        </w:rPr>
        <w:t>he potential implication of s</w:t>
      </w:r>
      <w:r w:rsidR="00410816" w:rsidRPr="00004558">
        <w:rPr>
          <w:rFonts w:ascii="Times New Roman" w:hAnsi="Times New Roman"/>
          <w:sz w:val="24"/>
          <w:szCs w:val="24"/>
          <w:lang w:val="en-GB"/>
        </w:rPr>
        <w:t>uch</w:t>
      </w:r>
      <w:r w:rsidR="00AD29C5" w:rsidRPr="00004558">
        <w:rPr>
          <w:rFonts w:ascii="Times New Roman" w:hAnsi="Times New Roman"/>
          <w:sz w:val="24"/>
          <w:szCs w:val="24"/>
          <w:lang w:val="en-GB"/>
        </w:rPr>
        <w:t xml:space="preserve"> lowered HbA1c may lead to underdiagnosis of </w:t>
      </w:r>
      <w:r w:rsidR="004121DA" w:rsidRPr="00004558">
        <w:rPr>
          <w:rFonts w:ascii="Times New Roman" w:hAnsi="Times New Roman"/>
          <w:sz w:val="24"/>
          <w:szCs w:val="24"/>
          <w:lang w:val="en-GB"/>
        </w:rPr>
        <w:t>dysglycaemia</w:t>
      </w:r>
      <w:r w:rsidRPr="00004558">
        <w:rPr>
          <w:rFonts w:ascii="Times New Roman" w:hAnsi="Times New Roman"/>
          <w:sz w:val="24"/>
          <w:szCs w:val="24"/>
          <w:lang w:val="en-GB"/>
        </w:rPr>
        <w:t xml:space="preserve"> </w:t>
      </w:r>
      <w:r w:rsidR="00AD29C5" w:rsidRPr="00004558">
        <w:rPr>
          <w:rFonts w:ascii="Times New Roman" w:hAnsi="Times New Roman"/>
          <w:sz w:val="24"/>
          <w:szCs w:val="24"/>
          <w:lang w:val="en-GB"/>
        </w:rPr>
        <w:t>among the group</w:t>
      </w:r>
      <w:r w:rsidR="002D035B" w:rsidRPr="00004558">
        <w:rPr>
          <w:rFonts w:ascii="Times New Roman" w:hAnsi="Times New Roman"/>
          <w:sz w:val="24"/>
          <w:szCs w:val="24"/>
          <w:lang w:val="en-GB"/>
        </w:rPr>
        <w:t xml:space="preserve">. </w:t>
      </w:r>
      <w:r w:rsidR="00666182" w:rsidRPr="00004558">
        <w:rPr>
          <w:rFonts w:ascii="Times New Roman" w:hAnsi="Times New Roman"/>
          <w:sz w:val="24"/>
          <w:szCs w:val="24"/>
          <w:lang w:val="en-GB"/>
        </w:rPr>
        <w:t xml:space="preserve">Such ethnic-specific difference </w:t>
      </w:r>
      <w:r w:rsidR="00F26C7F" w:rsidRPr="00004558">
        <w:rPr>
          <w:rFonts w:ascii="Times New Roman" w:hAnsi="Times New Roman"/>
          <w:sz w:val="24"/>
          <w:szCs w:val="24"/>
          <w:lang w:val="en-GB"/>
        </w:rPr>
        <w:t>is</w:t>
      </w:r>
      <w:r w:rsidR="00C472FF" w:rsidRPr="00004558">
        <w:rPr>
          <w:rFonts w:ascii="Times New Roman" w:hAnsi="Times New Roman"/>
          <w:sz w:val="24"/>
          <w:szCs w:val="24"/>
          <w:lang w:val="en-GB"/>
        </w:rPr>
        <w:t xml:space="preserve"> consistent</w:t>
      </w:r>
      <w:r w:rsidR="00F26C7F" w:rsidRPr="00004558">
        <w:rPr>
          <w:rFonts w:ascii="Times New Roman" w:hAnsi="Times New Roman"/>
          <w:sz w:val="24"/>
          <w:szCs w:val="24"/>
          <w:lang w:val="en-GB"/>
        </w:rPr>
        <w:t xml:space="preserve"> with several studies on</w:t>
      </w:r>
      <w:r w:rsidR="00C472FF" w:rsidRPr="00004558">
        <w:rPr>
          <w:rFonts w:ascii="Times New Roman" w:hAnsi="Times New Roman"/>
          <w:sz w:val="24"/>
          <w:szCs w:val="24"/>
          <w:lang w:val="en-GB"/>
        </w:rPr>
        <w:t xml:space="preserve"> Western</w:t>
      </w:r>
      <w:r w:rsidR="00F26C7F" w:rsidRPr="00004558">
        <w:rPr>
          <w:rFonts w:ascii="Times New Roman" w:hAnsi="Times New Roman"/>
          <w:sz w:val="24"/>
          <w:szCs w:val="24"/>
          <w:lang w:val="en-GB"/>
        </w:rPr>
        <w:t xml:space="preserve"> populations</w:t>
      </w:r>
      <w:r w:rsidR="00342ED6" w:rsidRPr="00004558">
        <w:rPr>
          <w:rFonts w:ascii="Times New Roman" w:hAnsi="Times New Roman"/>
          <w:sz w:val="24"/>
          <w:szCs w:val="24"/>
          <w:lang w:val="en-GB"/>
        </w:rPr>
        <w:t>.</w:t>
      </w:r>
      <w:r w:rsidR="00C472FF" w:rsidRPr="00004558">
        <w:rPr>
          <w:rFonts w:ascii="Times New Roman" w:hAnsi="Times New Roman"/>
          <w:sz w:val="24"/>
          <w:szCs w:val="24"/>
          <w:lang w:val="en-GB"/>
        </w:rPr>
        <w:t xml:space="preserve"> </w:t>
      </w:r>
      <w:r w:rsidR="00342ED6" w:rsidRPr="00004558">
        <w:rPr>
          <w:rFonts w:ascii="Times New Roman" w:hAnsi="Times New Roman"/>
          <w:sz w:val="24"/>
          <w:szCs w:val="24"/>
          <w:lang w:val="en-GB"/>
        </w:rPr>
        <w:t>F</w:t>
      </w:r>
      <w:r w:rsidR="00201DE3" w:rsidRPr="00004558">
        <w:rPr>
          <w:rFonts w:ascii="Times New Roman" w:hAnsi="Times New Roman"/>
          <w:sz w:val="24"/>
          <w:szCs w:val="24"/>
          <w:lang w:val="en-GB"/>
        </w:rPr>
        <w:t xml:space="preserve">or example, </w:t>
      </w:r>
      <w:r w:rsidR="0085773A" w:rsidRPr="00004558">
        <w:rPr>
          <w:rFonts w:ascii="Times New Roman" w:hAnsi="Times New Roman"/>
          <w:sz w:val="24"/>
          <w:szCs w:val="24"/>
          <w:lang w:val="en-GB"/>
        </w:rPr>
        <w:t>in both the presence and absence of diabetes, black</w:t>
      </w:r>
      <w:r w:rsidR="00342ED6" w:rsidRPr="00004558">
        <w:rPr>
          <w:rFonts w:ascii="Times New Roman" w:hAnsi="Times New Roman"/>
          <w:sz w:val="24"/>
          <w:szCs w:val="24"/>
          <w:lang w:val="en-GB"/>
        </w:rPr>
        <w:t>s</w:t>
      </w:r>
      <w:r w:rsidR="0085773A" w:rsidRPr="00004558">
        <w:rPr>
          <w:rFonts w:ascii="Times New Roman" w:hAnsi="Times New Roman"/>
          <w:sz w:val="24"/>
          <w:szCs w:val="24"/>
          <w:lang w:val="en-GB"/>
        </w:rPr>
        <w:t xml:space="preserve"> </w:t>
      </w:r>
      <w:r w:rsidR="00201DE3" w:rsidRPr="00004558">
        <w:rPr>
          <w:rFonts w:ascii="Times New Roman" w:hAnsi="Times New Roman"/>
          <w:sz w:val="24"/>
          <w:szCs w:val="24"/>
          <w:lang w:val="en-GB"/>
        </w:rPr>
        <w:t>had shown</w:t>
      </w:r>
      <w:r w:rsidR="00C472FF" w:rsidRPr="00004558">
        <w:rPr>
          <w:rFonts w:ascii="Times New Roman" w:hAnsi="Times New Roman"/>
          <w:sz w:val="24"/>
          <w:szCs w:val="24"/>
          <w:lang w:val="en-GB"/>
        </w:rPr>
        <w:t xml:space="preserve"> higher HbA1c levels </w:t>
      </w:r>
      <w:r w:rsidR="0085773A" w:rsidRPr="00004558">
        <w:rPr>
          <w:rFonts w:ascii="Times New Roman" w:hAnsi="Times New Roman"/>
          <w:sz w:val="24"/>
          <w:szCs w:val="24"/>
          <w:lang w:val="en-GB"/>
        </w:rPr>
        <w:t xml:space="preserve">than </w:t>
      </w:r>
      <w:r w:rsidR="00F26C7F" w:rsidRPr="00004558">
        <w:rPr>
          <w:rFonts w:ascii="Times New Roman" w:hAnsi="Times New Roman"/>
          <w:sz w:val="24"/>
          <w:szCs w:val="24"/>
          <w:lang w:val="en-GB"/>
        </w:rPr>
        <w:t xml:space="preserve">whites, suggesting that HbA1c, if used, might lead to an overdiagnosis of </w:t>
      </w:r>
      <w:r w:rsidR="004121DA" w:rsidRPr="00004558">
        <w:rPr>
          <w:rFonts w:ascii="Times New Roman" w:hAnsi="Times New Roman"/>
          <w:sz w:val="24"/>
          <w:szCs w:val="24"/>
          <w:lang w:val="en-GB"/>
        </w:rPr>
        <w:t>dysglycaemia</w:t>
      </w:r>
      <w:r w:rsidR="00F26C7F" w:rsidRPr="00004558">
        <w:rPr>
          <w:rFonts w:ascii="Times New Roman" w:hAnsi="Times New Roman"/>
          <w:sz w:val="24"/>
          <w:szCs w:val="24"/>
          <w:lang w:val="en-GB"/>
        </w:rPr>
        <w:t xml:space="preserve"> among the former</w:t>
      </w:r>
      <w:r w:rsidR="00A31F0F" w:rsidRPr="00004558">
        <w:rPr>
          <w:rFonts w:ascii="Times New Roman" w:hAnsi="Times New Roman"/>
          <w:sz w:val="24"/>
          <w:szCs w:val="24"/>
          <w:lang w:val="en-GB"/>
        </w:rPr>
        <w:t xml:space="preserve"> [27,28]</w:t>
      </w:r>
      <w:r w:rsidR="00F26C7F" w:rsidRPr="00004558">
        <w:rPr>
          <w:rFonts w:ascii="Times New Roman" w:hAnsi="Times New Roman"/>
          <w:sz w:val="24"/>
          <w:szCs w:val="24"/>
          <w:lang w:val="en-GB"/>
        </w:rPr>
        <w:t>.</w:t>
      </w:r>
    </w:p>
    <w:p w14:paraId="1890CD4C" w14:textId="6B127244" w:rsidR="00C743F7" w:rsidRPr="00004558" w:rsidRDefault="00DA7451" w:rsidP="00464A87">
      <w:pPr>
        <w:pStyle w:val="NoSpacing"/>
        <w:spacing w:line="480" w:lineRule="auto"/>
        <w:ind w:firstLine="720"/>
        <w:rPr>
          <w:rFonts w:ascii="Times New Roman" w:hAnsi="Times New Roman"/>
          <w:sz w:val="24"/>
          <w:szCs w:val="24"/>
          <w:lang w:val="en-GB"/>
        </w:rPr>
      </w:pPr>
      <w:r w:rsidRPr="00004558">
        <w:rPr>
          <w:rFonts w:ascii="Times New Roman" w:hAnsi="Times New Roman"/>
          <w:sz w:val="24"/>
          <w:szCs w:val="24"/>
          <w:lang w:val="en-GB"/>
        </w:rPr>
        <w:t xml:space="preserve">In support of our speculations, the HbA1c of Malay women with abnormal RBC indices was lower than their normal counterparts, albeit not significantly so. Based on the Mentzer Index, only a minority of them were likely to have </w:t>
      </w:r>
      <w:r w:rsidR="000C656E" w:rsidRPr="00004558">
        <w:rPr>
          <w:rFonts w:ascii="Times New Roman" w:hAnsi="Times New Roman"/>
          <w:sz w:val="24"/>
          <w:szCs w:val="24"/>
          <w:lang w:val="en-GB"/>
        </w:rPr>
        <w:t xml:space="preserve">beta </w:t>
      </w:r>
      <w:r w:rsidRPr="00004558">
        <w:rPr>
          <w:rFonts w:ascii="Times New Roman" w:hAnsi="Times New Roman"/>
          <w:sz w:val="24"/>
          <w:szCs w:val="24"/>
          <w:lang w:val="en-GB"/>
        </w:rPr>
        <w:t xml:space="preserve">thalassaemia. As the Mentzer Index only serves as a discrimination index rather than giving a definitive diagnosis of thalassaemia or IDA, the classification of women may hence be inaccurate and represents a </w:t>
      </w:r>
      <w:r w:rsidR="000C656E" w:rsidRPr="00004558">
        <w:rPr>
          <w:rFonts w:ascii="Times New Roman" w:hAnsi="Times New Roman"/>
          <w:sz w:val="24"/>
          <w:szCs w:val="24"/>
          <w:lang w:val="en-GB"/>
        </w:rPr>
        <w:t xml:space="preserve">major </w:t>
      </w:r>
      <w:r w:rsidRPr="00004558">
        <w:rPr>
          <w:rFonts w:ascii="Times New Roman" w:hAnsi="Times New Roman"/>
          <w:sz w:val="24"/>
          <w:szCs w:val="24"/>
          <w:lang w:val="en-GB"/>
        </w:rPr>
        <w:t xml:space="preserve">limitation of our study. To better clarify the suggestion that the performance of HbA1c differs by RBC indices among Malay women, further investigations </w:t>
      </w:r>
      <w:r w:rsidR="00984F90" w:rsidRPr="00004558">
        <w:rPr>
          <w:rFonts w:ascii="Times New Roman" w:hAnsi="Times New Roman"/>
          <w:sz w:val="24"/>
          <w:szCs w:val="24"/>
          <w:lang w:val="en-GB"/>
        </w:rPr>
        <w:t>taking account of the</w:t>
      </w:r>
      <w:r w:rsidRPr="00004558">
        <w:rPr>
          <w:rFonts w:ascii="Times New Roman" w:hAnsi="Times New Roman"/>
          <w:sz w:val="24"/>
          <w:szCs w:val="24"/>
          <w:lang w:val="en-GB"/>
        </w:rPr>
        <w:t xml:space="preserve"> women’s thalassaemia status, total body iro</w:t>
      </w:r>
      <w:r w:rsidR="001F6A56" w:rsidRPr="00004558">
        <w:rPr>
          <w:rFonts w:ascii="Times New Roman" w:hAnsi="Times New Roman"/>
          <w:sz w:val="24"/>
          <w:szCs w:val="24"/>
          <w:lang w:val="en-GB"/>
        </w:rPr>
        <w:t>n and type of RBC abnormality are</w:t>
      </w:r>
      <w:r w:rsidRPr="00004558">
        <w:rPr>
          <w:rFonts w:ascii="Times New Roman" w:hAnsi="Times New Roman"/>
          <w:sz w:val="24"/>
          <w:szCs w:val="24"/>
          <w:lang w:val="en-GB"/>
        </w:rPr>
        <w:t xml:space="preserve"> required.</w:t>
      </w:r>
      <w:r w:rsidR="00464A87" w:rsidRPr="00004558">
        <w:rPr>
          <w:rFonts w:ascii="Times New Roman" w:hAnsi="Times New Roman"/>
          <w:sz w:val="24"/>
          <w:szCs w:val="24"/>
          <w:lang w:val="en-GB"/>
        </w:rPr>
        <w:t xml:space="preserve"> </w:t>
      </w:r>
      <w:r w:rsidR="008D6383" w:rsidRPr="00004558">
        <w:rPr>
          <w:rFonts w:ascii="Times New Roman" w:hAnsi="Times New Roman"/>
          <w:sz w:val="24"/>
          <w:szCs w:val="24"/>
          <w:lang w:val="en-GB"/>
        </w:rPr>
        <w:t xml:space="preserve">Importantly, this should be addressed in a larger </w:t>
      </w:r>
      <w:r w:rsidR="003D3882" w:rsidRPr="00004558">
        <w:rPr>
          <w:rFonts w:ascii="Times New Roman" w:hAnsi="Times New Roman"/>
          <w:sz w:val="24"/>
          <w:szCs w:val="24"/>
          <w:lang w:val="en-GB"/>
        </w:rPr>
        <w:t xml:space="preserve">ethnic-specific </w:t>
      </w:r>
      <w:r w:rsidR="008D6383" w:rsidRPr="00004558">
        <w:rPr>
          <w:rFonts w:ascii="Times New Roman" w:hAnsi="Times New Roman"/>
          <w:sz w:val="24"/>
          <w:szCs w:val="24"/>
          <w:lang w:val="en-GB"/>
        </w:rPr>
        <w:t>study</w:t>
      </w:r>
      <w:r w:rsidR="00984F90" w:rsidRPr="00004558">
        <w:rPr>
          <w:rFonts w:ascii="Times New Roman" w:hAnsi="Times New Roman"/>
          <w:sz w:val="24"/>
          <w:szCs w:val="24"/>
          <w:lang w:val="en-GB"/>
        </w:rPr>
        <w:t>,</w:t>
      </w:r>
      <w:r w:rsidR="008D6383" w:rsidRPr="00004558">
        <w:rPr>
          <w:rFonts w:ascii="Times New Roman" w:hAnsi="Times New Roman"/>
          <w:sz w:val="24"/>
          <w:szCs w:val="24"/>
          <w:lang w:val="en-GB"/>
        </w:rPr>
        <w:t xml:space="preserve"> </w:t>
      </w:r>
      <w:r w:rsidR="003D3882" w:rsidRPr="00004558">
        <w:rPr>
          <w:rFonts w:ascii="Times New Roman" w:hAnsi="Times New Roman"/>
          <w:sz w:val="24"/>
          <w:szCs w:val="24"/>
          <w:lang w:val="en-GB"/>
        </w:rPr>
        <w:t xml:space="preserve">specially </w:t>
      </w:r>
      <w:r w:rsidR="008D6383" w:rsidRPr="00004558">
        <w:rPr>
          <w:rFonts w:ascii="Times New Roman" w:hAnsi="Times New Roman"/>
          <w:sz w:val="24"/>
          <w:szCs w:val="24"/>
          <w:lang w:val="en-GB"/>
        </w:rPr>
        <w:t>designed and powered</w:t>
      </w:r>
      <w:r w:rsidR="00984F90" w:rsidRPr="00004558">
        <w:rPr>
          <w:rFonts w:ascii="Times New Roman" w:hAnsi="Times New Roman"/>
          <w:sz w:val="24"/>
          <w:szCs w:val="24"/>
          <w:lang w:val="en-GB"/>
        </w:rPr>
        <w:t xml:space="preserve"> to address this topic</w:t>
      </w:r>
      <w:r w:rsidR="008D6383" w:rsidRPr="00004558">
        <w:rPr>
          <w:rFonts w:ascii="Times New Roman" w:hAnsi="Times New Roman"/>
          <w:sz w:val="24"/>
          <w:szCs w:val="24"/>
          <w:lang w:val="en-GB"/>
        </w:rPr>
        <w:t xml:space="preserve">. </w:t>
      </w:r>
      <w:r w:rsidR="00464A87" w:rsidRPr="00004558">
        <w:rPr>
          <w:rFonts w:ascii="Times New Roman" w:hAnsi="Times New Roman"/>
          <w:color w:val="000000"/>
          <w:sz w:val="24"/>
          <w:szCs w:val="24"/>
          <w:lang w:val="en-GB"/>
        </w:rPr>
        <w:t xml:space="preserve">Nonetheless, the unexpectedly better performance of HbA1c in detecting dysglycaemia among Malay participants with abnormal RBC indices might reflect a limitation of the OGTT, when a standard dextrose challenge is used to measure the glycaemic status for such women who had higher body mass index (BMI) </w:t>
      </w:r>
      <w:r w:rsidR="00162B62" w:rsidRPr="00004558">
        <w:rPr>
          <w:rFonts w:ascii="Times New Roman" w:hAnsi="Times New Roman"/>
          <w:color w:val="000000"/>
          <w:sz w:val="24"/>
          <w:szCs w:val="24"/>
          <w:lang w:val="en-GB"/>
        </w:rPr>
        <w:t>and/ or subcutaneous fat</w:t>
      </w:r>
      <w:r w:rsidR="0044108D" w:rsidRPr="00004558">
        <w:rPr>
          <w:rFonts w:ascii="Times New Roman" w:hAnsi="Times New Roman"/>
          <w:color w:val="000000"/>
          <w:sz w:val="24"/>
          <w:szCs w:val="24"/>
          <w:lang w:val="en-GB"/>
        </w:rPr>
        <w:t xml:space="preserve"> mass</w:t>
      </w:r>
      <w:r w:rsidR="00162B62" w:rsidRPr="00004558">
        <w:rPr>
          <w:rFonts w:ascii="Times New Roman" w:hAnsi="Times New Roman"/>
          <w:color w:val="000000"/>
          <w:sz w:val="24"/>
          <w:szCs w:val="24"/>
          <w:lang w:val="en-GB"/>
        </w:rPr>
        <w:t xml:space="preserve"> </w:t>
      </w:r>
      <w:r w:rsidR="0063456D" w:rsidRPr="00004558">
        <w:rPr>
          <w:rFonts w:ascii="Times New Roman" w:hAnsi="Times New Roman"/>
          <w:color w:val="000000"/>
          <w:sz w:val="24"/>
          <w:szCs w:val="24"/>
          <w:lang w:val="en-GB"/>
        </w:rPr>
        <w:t>[29-32</w:t>
      </w:r>
      <w:r w:rsidR="00105932" w:rsidRPr="00004558">
        <w:rPr>
          <w:rFonts w:ascii="Times New Roman" w:hAnsi="Times New Roman"/>
          <w:color w:val="000000"/>
          <w:sz w:val="24"/>
          <w:szCs w:val="24"/>
          <w:lang w:val="en-GB"/>
        </w:rPr>
        <w:t xml:space="preserve">]. </w:t>
      </w:r>
    </w:p>
    <w:p w14:paraId="0C3B1367" w14:textId="78FDFA27" w:rsidR="00A43E66" w:rsidRPr="00004558" w:rsidRDefault="00E066FC" w:rsidP="00123925">
      <w:pPr>
        <w:spacing w:after="0" w:line="480" w:lineRule="auto"/>
        <w:ind w:firstLine="720"/>
        <w:rPr>
          <w:rFonts w:ascii="Times New Roman" w:hAnsi="Times New Roman"/>
          <w:sz w:val="24"/>
          <w:szCs w:val="24"/>
          <w:lang w:val="en-GB"/>
        </w:rPr>
      </w:pPr>
      <w:r w:rsidRPr="00004558">
        <w:rPr>
          <w:rFonts w:ascii="Times New Roman" w:hAnsi="Times New Roman"/>
          <w:sz w:val="24"/>
          <w:szCs w:val="24"/>
          <w:lang w:val="en-GB"/>
        </w:rPr>
        <w:t xml:space="preserve">There are several limitations to the present study. </w:t>
      </w:r>
      <w:r w:rsidR="004D4AAC" w:rsidRPr="00004558">
        <w:rPr>
          <w:rFonts w:ascii="Times New Roman" w:hAnsi="Times New Roman"/>
          <w:sz w:val="24"/>
          <w:szCs w:val="24"/>
          <w:lang w:val="en-GB"/>
        </w:rPr>
        <w:t>Given that this study was restricted to planned pregnancies among three Asian ethnicities in Singapore, generalizability of findings is potentially limited. Despite study recruitment from both hospital and community settings, women planning to conceive and willing to participate in this study were expected to be more health conscious and have better health status than the general population, which could introduce selection bias. Thus, it is reasonable to speculate that among women with abnormal RBC indices, a majority might be only minimally or transiently iron deficient, which could have contributed to the undetectable difference in HbA1c between women with normal and abnormal RBC indices at baseline, as well as the overall non-influential effect of abnormal RBC indices on dysglycaemic status</w:t>
      </w:r>
      <w:r w:rsidR="007D44FC" w:rsidRPr="00004558">
        <w:rPr>
          <w:rFonts w:ascii="Times New Roman" w:hAnsi="Times New Roman"/>
          <w:sz w:val="24"/>
          <w:szCs w:val="24"/>
          <w:lang w:val="en-GB"/>
        </w:rPr>
        <w:t xml:space="preserve">. </w:t>
      </w:r>
      <w:r w:rsidR="00EA405F" w:rsidRPr="00004558">
        <w:rPr>
          <w:rFonts w:ascii="Times New Roman" w:hAnsi="Times New Roman"/>
          <w:sz w:val="24"/>
          <w:szCs w:val="24"/>
          <w:lang w:val="en-GB"/>
        </w:rPr>
        <w:t>It is noteworthy that dysglycaemic status as defined during a single OGTT might misclassify glycaemic status, contributing to some of the discordance between HbA1c and OGTT. Further follow-up study to evaluate risks for complications of dysglycaemia is a possible approach to confirm the presence of abnormal glucose tolerance. Otherwise, future studies should consider repeated and different glucose loading according to body size for improved OGTT accuracy in defining dysglyc</w:t>
      </w:r>
      <w:r w:rsidR="0033384D" w:rsidRPr="00004558">
        <w:rPr>
          <w:rFonts w:ascii="Times New Roman" w:hAnsi="Times New Roman"/>
          <w:sz w:val="24"/>
          <w:szCs w:val="24"/>
          <w:lang w:val="en-GB"/>
        </w:rPr>
        <w:t>a</w:t>
      </w:r>
      <w:r w:rsidR="00EA405F" w:rsidRPr="00004558">
        <w:rPr>
          <w:rFonts w:ascii="Times New Roman" w:hAnsi="Times New Roman"/>
          <w:sz w:val="24"/>
          <w:szCs w:val="24"/>
          <w:lang w:val="en-GB"/>
        </w:rPr>
        <w:t>emic status</w:t>
      </w:r>
      <w:r w:rsidRPr="00004558">
        <w:rPr>
          <w:rFonts w:ascii="Times New Roman" w:hAnsi="Times New Roman"/>
          <w:sz w:val="24"/>
          <w:szCs w:val="24"/>
          <w:lang w:val="en-GB"/>
        </w:rPr>
        <w:t xml:space="preserve">. </w:t>
      </w:r>
    </w:p>
    <w:p w14:paraId="77CAD0C3" w14:textId="77777777" w:rsidR="0053677D" w:rsidRPr="00004558" w:rsidRDefault="0053677D" w:rsidP="002B12DF">
      <w:pPr>
        <w:pStyle w:val="NoSpacing"/>
        <w:spacing w:line="480" w:lineRule="auto"/>
        <w:rPr>
          <w:rFonts w:ascii="Times New Roman" w:hAnsi="Times New Roman"/>
          <w:b/>
          <w:bCs/>
          <w:sz w:val="24"/>
          <w:szCs w:val="24"/>
          <w:lang w:val="en-GB"/>
        </w:rPr>
      </w:pPr>
    </w:p>
    <w:p w14:paraId="6CC40781" w14:textId="233D0A8F" w:rsidR="00CF4FAC" w:rsidRPr="00004558" w:rsidRDefault="00CF4FAC" w:rsidP="002B12DF">
      <w:pPr>
        <w:pStyle w:val="NoSpacing"/>
        <w:spacing w:line="480" w:lineRule="auto"/>
        <w:rPr>
          <w:rFonts w:ascii="Times New Roman" w:hAnsi="Times New Roman"/>
          <w:b/>
          <w:bCs/>
          <w:sz w:val="24"/>
          <w:szCs w:val="24"/>
          <w:lang w:val="en-GB"/>
        </w:rPr>
      </w:pPr>
      <w:r w:rsidRPr="00004558">
        <w:rPr>
          <w:rFonts w:ascii="Times New Roman" w:hAnsi="Times New Roman"/>
          <w:b/>
          <w:bCs/>
          <w:sz w:val="24"/>
          <w:szCs w:val="24"/>
          <w:lang w:val="en-GB"/>
        </w:rPr>
        <w:t>Con</w:t>
      </w:r>
      <w:r w:rsidR="002B12DF" w:rsidRPr="00004558">
        <w:rPr>
          <w:rFonts w:ascii="Times New Roman" w:hAnsi="Times New Roman"/>
          <w:b/>
          <w:bCs/>
          <w:sz w:val="24"/>
          <w:szCs w:val="24"/>
          <w:lang w:val="en-GB"/>
        </w:rPr>
        <w:t>clusion</w:t>
      </w:r>
    </w:p>
    <w:p w14:paraId="0E795833" w14:textId="0FCA83B6" w:rsidR="00790C52" w:rsidRPr="00004558" w:rsidRDefault="005C631E" w:rsidP="002B12DF">
      <w:pPr>
        <w:pStyle w:val="NoSpacing"/>
        <w:spacing w:line="480" w:lineRule="auto"/>
        <w:rPr>
          <w:rFonts w:ascii="Times New Roman" w:hAnsi="Times New Roman"/>
          <w:sz w:val="24"/>
          <w:szCs w:val="24"/>
          <w:lang w:val="en-GB"/>
        </w:rPr>
      </w:pPr>
      <w:r w:rsidRPr="00004558">
        <w:rPr>
          <w:rFonts w:ascii="Times New Roman" w:hAnsi="Times New Roman"/>
          <w:sz w:val="24"/>
          <w:szCs w:val="24"/>
          <w:lang w:val="en-GB"/>
        </w:rPr>
        <w:t>Among women of reproductive age in Singapore, dysglyc</w:t>
      </w:r>
      <w:r w:rsidR="009528CD" w:rsidRPr="00004558">
        <w:rPr>
          <w:rFonts w:ascii="Times New Roman" w:hAnsi="Times New Roman"/>
          <w:sz w:val="24"/>
          <w:szCs w:val="24"/>
          <w:lang w:val="en-GB"/>
        </w:rPr>
        <w:t>a</w:t>
      </w:r>
      <w:r w:rsidRPr="00004558">
        <w:rPr>
          <w:rFonts w:ascii="Times New Roman" w:hAnsi="Times New Roman"/>
          <w:sz w:val="24"/>
          <w:szCs w:val="24"/>
          <w:lang w:val="en-GB"/>
        </w:rPr>
        <w:t xml:space="preserve">emic status as defined by the OGTT, was not influenced by abnormal RBC indices based on low Hb and/ or low MCV. </w:t>
      </w:r>
      <w:r w:rsidR="00EC5457" w:rsidRPr="00004558">
        <w:rPr>
          <w:rFonts w:ascii="Times New Roman" w:hAnsi="Times New Roman"/>
          <w:sz w:val="24"/>
          <w:szCs w:val="24"/>
          <w:lang w:val="en-GB"/>
        </w:rPr>
        <w:t xml:space="preserve">However, </w:t>
      </w:r>
      <w:r w:rsidR="001A3EF5" w:rsidRPr="00004558">
        <w:rPr>
          <w:rFonts w:ascii="Times New Roman" w:hAnsi="Times New Roman"/>
          <w:sz w:val="24"/>
          <w:szCs w:val="24"/>
          <w:lang w:val="en-GB"/>
        </w:rPr>
        <w:t xml:space="preserve">ethnicity might influence the performance of HbA1c in detecting </w:t>
      </w:r>
      <w:r w:rsidR="00767E63" w:rsidRPr="00004558">
        <w:rPr>
          <w:rFonts w:ascii="Times New Roman" w:hAnsi="Times New Roman"/>
          <w:sz w:val="24"/>
          <w:szCs w:val="24"/>
          <w:lang w:val="en-GB"/>
        </w:rPr>
        <w:t>dysgly</w:t>
      </w:r>
      <w:r w:rsidRPr="00004558">
        <w:rPr>
          <w:rFonts w:ascii="Times New Roman" w:hAnsi="Times New Roman"/>
          <w:sz w:val="24"/>
          <w:szCs w:val="24"/>
          <w:lang w:val="en-GB"/>
        </w:rPr>
        <w:t>c</w:t>
      </w:r>
      <w:r w:rsidR="00767E63" w:rsidRPr="00004558">
        <w:rPr>
          <w:rFonts w:ascii="Times New Roman" w:hAnsi="Times New Roman"/>
          <w:sz w:val="24"/>
          <w:szCs w:val="24"/>
          <w:lang w:val="en-GB"/>
        </w:rPr>
        <w:t>a</w:t>
      </w:r>
      <w:r w:rsidRPr="00004558">
        <w:rPr>
          <w:rFonts w:ascii="Times New Roman" w:hAnsi="Times New Roman"/>
          <w:sz w:val="24"/>
          <w:szCs w:val="24"/>
          <w:lang w:val="en-GB"/>
        </w:rPr>
        <w:t>emia</w:t>
      </w:r>
      <w:r w:rsidR="001A3EF5" w:rsidRPr="00004558">
        <w:rPr>
          <w:rFonts w:ascii="Times New Roman" w:hAnsi="Times New Roman"/>
          <w:sz w:val="24"/>
          <w:szCs w:val="24"/>
          <w:lang w:val="en-GB"/>
        </w:rPr>
        <w:t xml:space="preserve"> due to the presence of abnormal MCV and</w:t>
      </w:r>
      <w:r w:rsidR="00203656" w:rsidRPr="00004558">
        <w:rPr>
          <w:rFonts w:ascii="Times New Roman" w:hAnsi="Times New Roman"/>
          <w:sz w:val="24"/>
          <w:szCs w:val="24"/>
          <w:lang w:val="en-GB"/>
        </w:rPr>
        <w:t>/or</w:t>
      </w:r>
      <w:r w:rsidR="00301033" w:rsidRPr="00004558">
        <w:rPr>
          <w:rFonts w:ascii="Times New Roman" w:hAnsi="Times New Roman"/>
          <w:sz w:val="24"/>
          <w:szCs w:val="24"/>
          <w:lang w:val="en-GB"/>
        </w:rPr>
        <w:t xml:space="preserve"> Hb levels. Larger study is warranted to confirm the findings and to</w:t>
      </w:r>
      <w:r w:rsidR="008D2F71" w:rsidRPr="00004558">
        <w:rPr>
          <w:rFonts w:ascii="Times New Roman" w:hAnsi="Times New Roman"/>
          <w:sz w:val="24"/>
          <w:szCs w:val="24"/>
          <w:lang w:val="en-GB"/>
        </w:rPr>
        <w:t xml:space="preserve"> examine reasons underlying the ethnic differences in the performance of HbA1c for detecting </w:t>
      </w:r>
      <w:r w:rsidRPr="00004558">
        <w:rPr>
          <w:rFonts w:ascii="Times New Roman" w:hAnsi="Times New Roman"/>
          <w:sz w:val="24"/>
          <w:szCs w:val="24"/>
          <w:lang w:val="en-GB"/>
        </w:rPr>
        <w:t>dysglycaemia</w:t>
      </w:r>
      <w:r w:rsidR="008D2F71" w:rsidRPr="00004558">
        <w:rPr>
          <w:rFonts w:ascii="Times New Roman" w:hAnsi="Times New Roman"/>
          <w:sz w:val="24"/>
          <w:szCs w:val="24"/>
          <w:lang w:val="en-GB"/>
        </w:rPr>
        <w:t>.</w:t>
      </w:r>
      <w:r w:rsidR="00723715" w:rsidRPr="00004558">
        <w:rPr>
          <w:rFonts w:ascii="Times New Roman" w:hAnsi="Times New Roman"/>
          <w:sz w:val="24"/>
          <w:szCs w:val="24"/>
          <w:lang w:val="en-GB"/>
        </w:rPr>
        <w:t xml:space="preserve"> </w:t>
      </w:r>
      <w:r w:rsidR="008F29CB" w:rsidRPr="00004558">
        <w:rPr>
          <w:rFonts w:ascii="Times New Roman" w:hAnsi="Times New Roman"/>
          <w:sz w:val="24"/>
          <w:szCs w:val="24"/>
          <w:lang w:val="en-GB"/>
        </w:rPr>
        <w:t>This is crucial in the effort to maximize the role of HbA1c by establishing ethnic-specific HbA1c cut-offs for early identification of dysglycaemia in particular populations</w:t>
      </w:r>
      <w:r w:rsidR="00A43E66" w:rsidRPr="00004558">
        <w:rPr>
          <w:rFonts w:ascii="Times New Roman" w:hAnsi="Times New Roman"/>
          <w:sz w:val="24"/>
          <w:szCs w:val="24"/>
          <w:lang w:val="en-GB"/>
        </w:rPr>
        <w:t xml:space="preserve">.  </w:t>
      </w:r>
    </w:p>
    <w:p w14:paraId="380DC7EE" w14:textId="1BDF4F4B" w:rsidR="0014569C" w:rsidRPr="00004558" w:rsidRDefault="0014569C" w:rsidP="002B12DF">
      <w:pPr>
        <w:pStyle w:val="NoSpacing"/>
        <w:spacing w:line="480" w:lineRule="auto"/>
        <w:rPr>
          <w:rFonts w:ascii="Times New Roman" w:hAnsi="Times New Roman"/>
          <w:bCs/>
          <w:sz w:val="24"/>
          <w:szCs w:val="24"/>
          <w:lang w:val="en-GB"/>
        </w:rPr>
      </w:pPr>
    </w:p>
    <w:p w14:paraId="0A604C1D" w14:textId="6C8150A7" w:rsidR="00C37431" w:rsidRPr="00004558" w:rsidRDefault="00BA1CF6" w:rsidP="002B12DF">
      <w:pPr>
        <w:pStyle w:val="NoSpacing"/>
        <w:spacing w:line="480" w:lineRule="auto"/>
        <w:rPr>
          <w:rFonts w:ascii="Times New Roman" w:hAnsi="Times New Roman"/>
          <w:b/>
          <w:bCs/>
          <w:sz w:val="24"/>
          <w:szCs w:val="24"/>
          <w:lang w:val="en-GB"/>
        </w:rPr>
      </w:pPr>
      <w:r w:rsidRPr="00004558">
        <w:rPr>
          <w:rFonts w:ascii="Times New Roman" w:hAnsi="Times New Roman"/>
          <w:b/>
          <w:bCs/>
          <w:sz w:val="24"/>
          <w:szCs w:val="24"/>
          <w:lang w:val="en-GB"/>
        </w:rPr>
        <w:t>References</w:t>
      </w:r>
    </w:p>
    <w:p w14:paraId="380013B9" w14:textId="16D74C82" w:rsidR="000660B4" w:rsidRPr="00004558" w:rsidRDefault="000660B4" w:rsidP="000660B4">
      <w:pPr>
        <w:pStyle w:val="NoSpacing"/>
        <w:numPr>
          <w:ilvl w:val="0"/>
          <w:numId w:val="10"/>
        </w:numPr>
        <w:spacing w:line="480" w:lineRule="auto"/>
        <w:rPr>
          <w:rFonts w:ascii="Times New Roman" w:hAnsi="Times New Roman"/>
          <w:sz w:val="24"/>
          <w:szCs w:val="24"/>
          <w:lang w:val="en-GB"/>
        </w:rPr>
      </w:pPr>
      <w:r w:rsidRPr="00004558">
        <w:rPr>
          <w:rFonts w:ascii="Times New Roman" w:hAnsi="Times New Roman"/>
          <w:sz w:val="24"/>
          <w:szCs w:val="24"/>
          <w:lang w:val="en-GB"/>
        </w:rPr>
        <w:t xml:space="preserve">Shimodaira, M., Okaniwa, S., Hanyu, N., Nakayama, T. Optimal hemoglobin A1c levels for screening of diabetes and prediabetes in the Japanese population. </w:t>
      </w:r>
      <w:r w:rsidRPr="00004558">
        <w:rPr>
          <w:rStyle w:val="docsum-journal-citation"/>
          <w:rFonts w:ascii="Times New Roman" w:hAnsi="Times New Roman"/>
          <w:i/>
          <w:sz w:val="24"/>
          <w:szCs w:val="24"/>
          <w:lang w:val="en-GB"/>
        </w:rPr>
        <w:t>J. Diabetes Res.</w:t>
      </w:r>
      <w:r w:rsidRPr="00004558">
        <w:rPr>
          <w:rFonts w:ascii="Times New Roman" w:hAnsi="Times New Roman"/>
          <w:sz w:val="24"/>
          <w:szCs w:val="24"/>
          <w:lang w:val="en-GB"/>
        </w:rPr>
        <w:t xml:space="preserve"> </w:t>
      </w:r>
      <w:r w:rsidRPr="00004558">
        <w:rPr>
          <w:rFonts w:ascii="Times New Roman" w:hAnsi="Times New Roman"/>
          <w:b/>
          <w:sz w:val="24"/>
          <w:szCs w:val="24"/>
          <w:lang w:val="en-GB"/>
        </w:rPr>
        <w:t>2015</w:t>
      </w:r>
      <w:r w:rsidRPr="00004558">
        <w:rPr>
          <w:rFonts w:ascii="Times New Roman" w:hAnsi="Times New Roman"/>
          <w:sz w:val="24"/>
          <w:szCs w:val="24"/>
          <w:lang w:val="en-GB"/>
        </w:rPr>
        <w:t>, 6, doi:10.1155/2015/932057 (2015).</w:t>
      </w:r>
    </w:p>
    <w:p w14:paraId="5C9EDA96" w14:textId="4AEE182A" w:rsidR="000660B4" w:rsidRPr="00004558" w:rsidRDefault="000660B4" w:rsidP="000660B4">
      <w:pPr>
        <w:pStyle w:val="NoSpacing"/>
        <w:numPr>
          <w:ilvl w:val="0"/>
          <w:numId w:val="10"/>
        </w:numPr>
        <w:spacing w:line="480" w:lineRule="auto"/>
        <w:rPr>
          <w:rFonts w:ascii="Times New Roman" w:hAnsi="Times New Roman"/>
          <w:sz w:val="24"/>
          <w:szCs w:val="24"/>
          <w:lang w:val="en-GB"/>
        </w:rPr>
      </w:pPr>
      <w:r w:rsidRPr="00004558">
        <w:rPr>
          <w:rFonts w:ascii="Times New Roman" w:hAnsi="Times New Roman"/>
          <w:sz w:val="24"/>
          <w:szCs w:val="24"/>
          <w:lang w:val="en-GB"/>
        </w:rPr>
        <w:t xml:space="preserve">Son, J.I., et al. Hemoglobin a1c may be an inadequate diagnostic tool for diabetes mellitus in anemic subjects. </w:t>
      </w:r>
      <w:r w:rsidRPr="00004558">
        <w:rPr>
          <w:rFonts w:ascii="Times New Roman" w:hAnsi="Times New Roman"/>
          <w:i/>
          <w:sz w:val="24"/>
          <w:szCs w:val="24"/>
          <w:lang w:val="en-GB"/>
        </w:rPr>
        <w:t xml:space="preserve">Diabetes Metab. J. </w:t>
      </w:r>
      <w:r w:rsidRPr="00004558">
        <w:rPr>
          <w:rFonts w:ascii="Times New Roman" w:hAnsi="Times New Roman"/>
          <w:b/>
          <w:sz w:val="24"/>
          <w:szCs w:val="24"/>
          <w:lang w:val="en-GB"/>
        </w:rPr>
        <w:t>37</w:t>
      </w:r>
      <w:r w:rsidRPr="00004558">
        <w:rPr>
          <w:rFonts w:ascii="Times New Roman" w:hAnsi="Times New Roman"/>
          <w:sz w:val="24"/>
          <w:szCs w:val="24"/>
          <w:lang w:val="en-GB"/>
        </w:rPr>
        <w:t>, 343–348, doi:10.4093/dmj.2013.37.5.343 (2013).</w:t>
      </w:r>
    </w:p>
    <w:p w14:paraId="2B21E74A" w14:textId="203039A6" w:rsidR="000660B4" w:rsidRPr="00004558" w:rsidRDefault="000660B4" w:rsidP="000660B4">
      <w:pPr>
        <w:pStyle w:val="NoSpacing"/>
        <w:numPr>
          <w:ilvl w:val="0"/>
          <w:numId w:val="10"/>
        </w:numPr>
        <w:spacing w:line="480" w:lineRule="auto"/>
        <w:rPr>
          <w:rFonts w:ascii="Times New Roman" w:hAnsi="Times New Roman"/>
          <w:sz w:val="24"/>
          <w:szCs w:val="24"/>
          <w:lang w:val="en-GB"/>
        </w:rPr>
      </w:pPr>
      <w:r w:rsidRPr="00004558">
        <w:rPr>
          <w:rStyle w:val="docsum-authors"/>
          <w:rFonts w:ascii="Times New Roman" w:hAnsi="Times New Roman"/>
          <w:sz w:val="24"/>
          <w:szCs w:val="24"/>
          <w:lang w:val="en-GB"/>
        </w:rPr>
        <w:t>International Expert Committee</w:t>
      </w:r>
      <w:r w:rsidRPr="00004558">
        <w:rPr>
          <w:rFonts w:ascii="Times New Roman" w:hAnsi="Times New Roman"/>
          <w:sz w:val="24"/>
          <w:szCs w:val="24"/>
          <w:lang w:val="en-GB"/>
        </w:rPr>
        <w:t xml:space="preserve">. International Expert Committee Report on the role of the A1C assay in the diagnosis of diabetes. </w:t>
      </w:r>
      <w:r w:rsidRPr="00004558">
        <w:rPr>
          <w:rFonts w:ascii="Times New Roman" w:hAnsi="Times New Roman"/>
          <w:i/>
          <w:sz w:val="24"/>
          <w:szCs w:val="24"/>
          <w:lang w:val="en-GB"/>
        </w:rPr>
        <w:t xml:space="preserve">Diabetes Care. </w:t>
      </w:r>
      <w:r w:rsidRPr="00004558">
        <w:rPr>
          <w:rFonts w:ascii="Times New Roman" w:hAnsi="Times New Roman"/>
          <w:b/>
          <w:sz w:val="24"/>
          <w:szCs w:val="24"/>
          <w:lang w:val="en-GB"/>
        </w:rPr>
        <w:t>32</w:t>
      </w:r>
      <w:r w:rsidRPr="00004558">
        <w:rPr>
          <w:rFonts w:ascii="Times New Roman" w:hAnsi="Times New Roman"/>
          <w:sz w:val="24"/>
          <w:szCs w:val="24"/>
          <w:lang w:val="en-GB"/>
        </w:rPr>
        <w:t>, 1327–1334, doi:10.2337/dc09-9033 (2009).</w:t>
      </w:r>
    </w:p>
    <w:p w14:paraId="752061F4" w14:textId="461116C1" w:rsidR="000660B4" w:rsidRPr="00004558" w:rsidRDefault="000660B4" w:rsidP="000660B4">
      <w:pPr>
        <w:pStyle w:val="NoSpacing"/>
        <w:numPr>
          <w:ilvl w:val="0"/>
          <w:numId w:val="10"/>
        </w:numPr>
        <w:spacing w:line="480" w:lineRule="auto"/>
        <w:rPr>
          <w:rFonts w:ascii="Times New Roman" w:hAnsi="Times New Roman"/>
          <w:sz w:val="24"/>
          <w:szCs w:val="24"/>
          <w:lang w:val="en-GB"/>
        </w:rPr>
      </w:pPr>
      <w:r w:rsidRPr="00004558">
        <w:rPr>
          <w:rFonts w:ascii="Times New Roman" w:hAnsi="Times New Roman"/>
          <w:sz w:val="24"/>
          <w:szCs w:val="24"/>
          <w:lang w:val="en-GB"/>
        </w:rPr>
        <w:t xml:space="preserve">Sherwani, S.I., Khan, H.A., Ekhzaimy, A., Masood, A. &amp; Sakharkar, M.K.. Significance of HbA1c test in diagnosis and prognosis of diabetic patients. </w:t>
      </w:r>
      <w:r w:rsidRPr="00004558">
        <w:rPr>
          <w:rStyle w:val="docsum-journal-citation"/>
          <w:rFonts w:ascii="Times New Roman" w:hAnsi="Times New Roman"/>
          <w:sz w:val="24"/>
          <w:szCs w:val="24"/>
          <w:lang w:val="en-GB"/>
        </w:rPr>
        <w:t xml:space="preserve">Biomark. </w:t>
      </w:r>
      <w:r w:rsidRPr="00004558">
        <w:rPr>
          <w:rStyle w:val="docsum-journal-citation"/>
          <w:rFonts w:ascii="Times New Roman" w:hAnsi="Times New Roman"/>
          <w:i/>
          <w:sz w:val="24"/>
          <w:szCs w:val="24"/>
          <w:lang w:val="en-GB"/>
        </w:rPr>
        <w:t>Insights.</w:t>
      </w:r>
      <w:r w:rsidRPr="00004558">
        <w:rPr>
          <w:rStyle w:val="docsum-journal-citation"/>
          <w:rFonts w:ascii="Times New Roman" w:hAnsi="Times New Roman"/>
          <w:sz w:val="24"/>
          <w:szCs w:val="24"/>
          <w:lang w:val="en-GB"/>
        </w:rPr>
        <w:t xml:space="preserve"> </w:t>
      </w:r>
      <w:r w:rsidRPr="00004558">
        <w:rPr>
          <w:rFonts w:ascii="Times New Roman" w:hAnsi="Times New Roman"/>
          <w:b/>
          <w:sz w:val="24"/>
          <w:szCs w:val="24"/>
          <w:lang w:val="en-GB"/>
        </w:rPr>
        <w:t>11</w:t>
      </w:r>
      <w:r w:rsidRPr="00004558">
        <w:rPr>
          <w:rFonts w:ascii="Times New Roman" w:hAnsi="Times New Roman"/>
          <w:sz w:val="24"/>
          <w:szCs w:val="24"/>
          <w:lang w:val="en-GB"/>
        </w:rPr>
        <w:t>, 95–104, doi:10.4137/BMI.S38440 (2016).</w:t>
      </w:r>
    </w:p>
    <w:p w14:paraId="63A7369F" w14:textId="77777777" w:rsidR="000660B4" w:rsidRPr="00004558" w:rsidRDefault="000660B4" w:rsidP="000660B4">
      <w:pPr>
        <w:pStyle w:val="NoSpacing"/>
        <w:numPr>
          <w:ilvl w:val="0"/>
          <w:numId w:val="10"/>
        </w:numPr>
        <w:spacing w:line="480" w:lineRule="auto"/>
        <w:rPr>
          <w:rFonts w:ascii="Times New Roman" w:hAnsi="Times New Roman"/>
          <w:sz w:val="24"/>
          <w:szCs w:val="24"/>
          <w:lang w:val="en-GB"/>
        </w:rPr>
      </w:pPr>
      <w:r w:rsidRPr="00004558">
        <w:rPr>
          <w:rFonts w:ascii="Times New Roman" w:hAnsi="Times New Roman"/>
          <w:sz w:val="24"/>
          <w:szCs w:val="24"/>
          <w:lang w:val="en-GB"/>
        </w:rPr>
        <w:t>World Health Organization. Use of Glycated Haemoglobin (HbA1c) in the Diagnosis of Diabetes Mellitus: Abbreviated Report of a WHO Consultation. https://pubmed.ncbi.nlm.nih.gov/26158184/ (2011).</w:t>
      </w:r>
    </w:p>
    <w:p w14:paraId="19C1AB58" w14:textId="77777777" w:rsidR="000660B4" w:rsidRPr="00004558" w:rsidRDefault="000660B4" w:rsidP="000660B4">
      <w:pPr>
        <w:pStyle w:val="NoSpacing"/>
        <w:numPr>
          <w:ilvl w:val="0"/>
          <w:numId w:val="10"/>
        </w:numPr>
        <w:spacing w:line="480" w:lineRule="auto"/>
        <w:rPr>
          <w:rFonts w:ascii="Times New Roman" w:hAnsi="Times New Roman"/>
          <w:sz w:val="24"/>
          <w:szCs w:val="24"/>
          <w:lang w:val="en-GB"/>
        </w:rPr>
      </w:pPr>
      <w:r w:rsidRPr="00004558">
        <w:rPr>
          <w:rFonts w:ascii="Times New Roman" w:hAnsi="Times New Roman"/>
          <w:sz w:val="24"/>
          <w:szCs w:val="24"/>
          <w:lang w:val="en-GB"/>
        </w:rPr>
        <w:t xml:space="preserve">English, E., et al. The effect of anaemia and abnormalities of erythrocyte indices on HbA1c analysis: a systematic review. </w:t>
      </w:r>
      <w:r w:rsidRPr="00004558">
        <w:rPr>
          <w:rFonts w:ascii="Times New Roman" w:hAnsi="Times New Roman"/>
          <w:i/>
          <w:sz w:val="24"/>
          <w:szCs w:val="24"/>
          <w:lang w:val="en-GB"/>
        </w:rPr>
        <w:t>Diabetologia.</w:t>
      </w:r>
      <w:r w:rsidRPr="00004558">
        <w:rPr>
          <w:rFonts w:ascii="Times New Roman" w:hAnsi="Times New Roman"/>
          <w:sz w:val="24"/>
          <w:szCs w:val="24"/>
          <w:lang w:val="en-GB"/>
        </w:rPr>
        <w:t xml:space="preserve"> </w:t>
      </w:r>
      <w:r w:rsidRPr="00004558">
        <w:rPr>
          <w:rFonts w:ascii="Times New Roman" w:hAnsi="Times New Roman"/>
          <w:b/>
          <w:sz w:val="24"/>
          <w:szCs w:val="24"/>
          <w:lang w:val="en-GB"/>
        </w:rPr>
        <w:t>58</w:t>
      </w:r>
      <w:r w:rsidRPr="00004558">
        <w:rPr>
          <w:rFonts w:ascii="Times New Roman" w:hAnsi="Times New Roman"/>
          <w:sz w:val="24"/>
          <w:szCs w:val="24"/>
          <w:lang w:val="en-GB"/>
        </w:rPr>
        <w:t>, 1409–1421, doi:10.1007/s00125-015-3599-3 (2015).</w:t>
      </w:r>
    </w:p>
    <w:p w14:paraId="7360653A" w14:textId="77777777" w:rsidR="000660B4" w:rsidRPr="00004558" w:rsidRDefault="000660B4" w:rsidP="000660B4">
      <w:pPr>
        <w:pStyle w:val="NoSpacing"/>
        <w:numPr>
          <w:ilvl w:val="0"/>
          <w:numId w:val="10"/>
        </w:numPr>
        <w:spacing w:line="480" w:lineRule="auto"/>
        <w:rPr>
          <w:rFonts w:ascii="Times New Roman" w:hAnsi="Times New Roman"/>
          <w:sz w:val="24"/>
          <w:szCs w:val="24"/>
          <w:lang w:val="en-GB"/>
        </w:rPr>
      </w:pPr>
      <w:r w:rsidRPr="00004558">
        <w:rPr>
          <w:rFonts w:ascii="Times New Roman" w:hAnsi="Times New Roman"/>
          <w:sz w:val="24"/>
          <w:szCs w:val="24"/>
          <w:lang w:val="en-GB"/>
        </w:rPr>
        <w:t xml:space="preserve">Hardikar, P.S., et al. Spuriously high prevalence of prediabetes diagnosed by HbA(1c) in young indians partly explained by hematological factors and iron deficiency anemia. </w:t>
      </w:r>
      <w:r w:rsidRPr="00004558">
        <w:rPr>
          <w:rFonts w:ascii="Times New Roman" w:hAnsi="Times New Roman"/>
          <w:i/>
          <w:sz w:val="24"/>
          <w:szCs w:val="24"/>
          <w:lang w:val="en-GB"/>
        </w:rPr>
        <w:t xml:space="preserve">Diabetes Care. </w:t>
      </w:r>
      <w:r w:rsidRPr="00004558">
        <w:rPr>
          <w:rFonts w:ascii="Times New Roman" w:hAnsi="Times New Roman"/>
          <w:b/>
          <w:sz w:val="24"/>
          <w:szCs w:val="24"/>
          <w:lang w:val="en-GB"/>
        </w:rPr>
        <w:t>35</w:t>
      </w:r>
      <w:r w:rsidRPr="00004558">
        <w:rPr>
          <w:rFonts w:ascii="Times New Roman" w:hAnsi="Times New Roman"/>
          <w:sz w:val="24"/>
          <w:szCs w:val="24"/>
          <w:lang w:val="en-GB"/>
        </w:rPr>
        <w:t>, 797–802, doi:10.2337/dc11-1321 (2012).</w:t>
      </w:r>
    </w:p>
    <w:p w14:paraId="342D1578" w14:textId="77777777" w:rsidR="000660B4" w:rsidRPr="00004558" w:rsidRDefault="000660B4" w:rsidP="000660B4">
      <w:pPr>
        <w:pStyle w:val="NoSpacing"/>
        <w:numPr>
          <w:ilvl w:val="0"/>
          <w:numId w:val="10"/>
        </w:numPr>
        <w:spacing w:line="480" w:lineRule="auto"/>
        <w:rPr>
          <w:rFonts w:ascii="Times New Roman" w:hAnsi="Times New Roman"/>
          <w:sz w:val="24"/>
          <w:szCs w:val="24"/>
          <w:lang w:val="en-GB"/>
        </w:rPr>
      </w:pPr>
      <w:r w:rsidRPr="00004558">
        <w:rPr>
          <w:rFonts w:ascii="Times New Roman" w:hAnsi="Times New Roman"/>
          <w:sz w:val="24"/>
          <w:szCs w:val="24"/>
          <w:lang w:val="en-GB"/>
        </w:rPr>
        <w:t xml:space="preserve">Coban, E., Ozdogan, M. &amp; Timuragaoglu, A. Effect of iron deficiency anemia on the levels of hemoglobin A1c in nondiabetic patients. </w:t>
      </w:r>
      <w:r w:rsidRPr="00004558">
        <w:rPr>
          <w:rFonts w:ascii="Times New Roman" w:hAnsi="Times New Roman"/>
          <w:i/>
          <w:sz w:val="24"/>
          <w:szCs w:val="24"/>
          <w:lang w:val="en-GB"/>
        </w:rPr>
        <w:t xml:space="preserve">Acta Haematol. </w:t>
      </w:r>
      <w:r w:rsidRPr="00004558">
        <w:rPr>
          <w:rFonts w:ascii="Times New Roman" w:hAnsi="Times New Roman"/>
          <w:b/>
          <w:sz w:val="24"/>
          <w:szCs w:val="24"/>
          <w:lang w:val="en-GB"/>
        </w:rPr>
        <w:t>112</w:t>
      </w:r>
      <w:r w:rsidRPr="00004558">
        <w:rPr>
          <w:rFonts w:ascii="Times New Roman" w:hAnsi="Times New Roman"/>
          <w:sz w:val="24"/>
          <w:szCs w:val="24"/>
          <w:lang w:val="en-GB"/>
        </w:rPr>
        <w:t>, 126–128, doi:10.1159/000079722 (2004).</w:t>
      </w:r>
    </w:p>
    <w:p w14:paraId="7970D153" w14:textId="77777777" w:rsidR="000660B4" w:rsidRPr="00004558" w:rsidRDefault="000660B4" w:rsidP="000660B4">
      <w:pPr>
        <w:pStyle w:val="NoSpacing"/>
        <w:numPr>
          <w:ilvl w:val="0"/>
          <w:numId w:val="10"/>
        </w:numPr>
        <w:spacing w:line="480" w:lineRule="auto"/>
        <w:rPr>
          <w:rFonts w:ascii="Times New Roman" w:hAnsi="Times New Roman"/>
          <w:sz w:val="24"/>
          <w:szCs w:val="24"/>
          <w:lang w:val="en-GB"/>
        </w:rPr>
      </w:pPr>
      <w:r w:rsidRPr="00004558">
        <w:rPr>
          <w:rFonts w:ascii="Times New Roman" w:hAnsi="Times New Roman"/>
          <w:sz w:val="24"/>
          <w:szCs w:val="24"/>
          <w:lang w:val="en-GB"/>
        </w:rPr>
        <w:t xml:space="preserve">Booth, R.A., et al. Ethnic dependent differences in diagnostic accuracy of glycated hemoglobin (HbA1c) in Canadian adults. </w:t>
      </w:r>
      <w:r w:rsidRPr="00004558">
        <w:rPr>
          <w:rFonts w:ascii="Times New Roman" w:hAnsi="Times New Roman"/>
          <w:i/>
          <w:sz w:val="24"/>
          <w:szCs w:val="24"/>
          <w:lang w:val="en-GB"/>
        </w:rPr>
        <w:t>Diabetes Res. Clin. Pract.</w:t>
      </w:r>
      <w:r w:rsidRPr="00004558">
        <w:rPr>
          <w:rFonts w:ascii="Times New Roman" w:hAnsi="Times New Roman"/>
          <w:sz w:val="24"/>
          <w:szCs w:val="24"/>
          <w:lang w:val="en-GB"/>
        </w:rPr>
        <w:t xml:space="preserve"> </w:t>
      </w:r>
      <w:r w:rsidRPr="00004558">
        <w:rPr>
          <w:rFonts w:ascii="Times New Roman" w:hAnsi="Times New Roman"/>
          <w:b/>
          <w:sz w:val="24"/>
          <w:szCs w:val="24"/>
          <w:lang w:val="en-GB"/>
        </w:rPr>
        <w:t>136</w:t>
      </w:r>
      <w:r w:rsidRPr="00004558">
        <w:rPr>
          <w:rFonts w:ascii="Times New Roman" w:hAnsi="Times New Roman"/>
          <w:sz w:val="24"/>
          <w:szCs w:val="24"/>
          <w:lang w:val="en-GB"/>
        </w:rPr>
        <w:t>, 143–149, doi:10.1016/j.diabres.2017.11.035 (2018).</w:t>
      </w:r>
    </w:p>
    <w:p w14:paraId="5D91CDBD" w14:textId="77777777" w:rsidR="000660B4" w:rsidRPr="00004558" w:rsidRDefault="000660B4" w:rsidP="000660B4">
      <w:pPr>
        <w:pStyle w:val="NoSpacing"/>
        <w:numPr>
          <w:ilvl w:val="0"/>
          <w:numId w:val="10"/>
        </w:numPr>
        <w:spacing w:line="480" w:lineRule="auto"/>
        <w:rPr>
          <w:rFonts w:ascii="Times New Roman" w:hAnsi="Times New Roman"/>
          <w:sz w:val="24"/>
          <w:szCs w:val="24"/>
          <w:lang w:val="en-GB"/>
        </w:rPr>
      </w:pPr>
      <w:r w:rsidRPr="00004558">
        <w:rPr>
          <w:rFonts w:ascii="Times New Roman" w:hAnsi="Times New Roman"/>
          <w:sz w:val="24"/>
          <w:szCs w:val="24"/>
          <w:lang w:val="en-GB"/>
        </w:rPr>
        <w:t xml:space="preserve">Sinha, N., Mishra, T.K., Singh, T. &amp; Gupta, N. Effect of iron deficiency anemia on hemoglobin A1c levels. </w:t>
      </w:r>
      <w:r w:rsidRPr="00004558">
        <w:rPr>
          <w:rStyle w:val="docsum-journal-citation"/>
          <w:rFonts w:ascii="Times New Roman" w:hAnsi="Times New Roman"/>
          <w:i/>
          <w:sz w:val="24"/>
          <w:szCs w:val="24"/>
          <w:lang w:val="en-GB"/>
        </w:rPr>
        <w:t>Ann Lab Med.</w:t>
      </w:r>
      <w:r w:rsidRPr="00004558">
        <w:rPr>
          <w:rFonts w:ascii="Times New Roman" w:hAnsi="Times New Roman"/>
          <w:sz w:val="24"/>
          <w:szCs w:val="24"/>
          <w:lang w:val="en-GB"/>
        </w:rPr>
        <w:t xml:space="preserve"> </w:t>
      </w:r>
      <w:r w:rsidRPr="00004558">
        <w:rPr>
          <w:rFonts w:ascii="Times New Roman" w:hAnsi="Times New Roman"/>
          <w:b/>
          <w:sz w:val="24"/>
          <w:szCs w:val="24"/>
          <w:lang w:val="en-GB"/>
        </w:rPr>
        <w:t>32</w:t>
      </w:r>
      <w:r w:rsidRPr="00004558">
        <w:rPr>
          <w:rFonts w:ascii="Times New Roman" w:hAnsi="Times New Roman"/>
          <w:sz w:val="24"/>
          <w:szCs w:val="24"/>
          <w:lang w:val="en-GB"/>
        </w:rPr>
        <w:t>, 17–22, doi:10.3343/alm.2012.32.1.17 (2012).</w:t>
      </w:r>
    </w:p>
    <w:p w14:paraId="49BBA7BD" w14:textId="77777777" w:rsidR="000660B4" w:rsidRPr="00004558" w:rsidRDefault="000660B4" w:rsidP="000660B4">
      <w:pPr>
        <w:pStyle w:val="NoSpacing"/>
        <w:numPr>
          <w:ilvl w:val="0"/>
          <w:numId w:val="10"/>
        </w:numPr>
        <w:spacing w:line="480" w:lineRule="auto"/>
        <w:rPr>
          <w:rFonts w:ascii="Times New Roman" w:hAnsi="Times New Roman"/>
          <w:sz w:val="24"/>
          <w:szCs w:val="24"/>
          <w:lang w:val="en-GB"/>
        </w:rPr>
      </w:pPr>
      <w:r w:rsidRPr="00004558">
        <w:rPr>
          <w:rFonts w:ascii="Times New Roman" w:hAnsi="Times New Roman"/>
          <w:sz w:val="24"/>
          <w:szCs w:val="24"/>
          <w:lang w:val="en-GB"/>
        </w:rPr>
        <w:t>World Health Organization. Prevalence of anaemia in women of reproductive age (aged 15-49) %. https://www.who.int/data/gho/data/indicators/indicator-details/GHO/prevalence-of-anaemia-in-women-of-reproductive-age-(-) (2021), accessed 15 Jun 2021.</w:t>
      </w:r>
    </w:p>
    <w:p w14:paraId="639137FA" w14:textId="77777777" w:rsidR="000660B4" w:rsidRPr="00004558" w:rsidRDefault="000660B4" w:rsidP="000660B4">
      <w:pPr>
        <w:pStyle w:val="NoSpacing"/>
        <w:numPr>
          <w:ilvl w:val="0"/>
          <w:numId w:val="10"/>
        </w:numPr>
        <w:spacing w:line="480" w:lineRule="auto"/>
        <w:rPr>
          <w:rFonts w:ascii="Times New Roman" w:hAnsi="Times New Roman"/>
          <w:sz w:val="24"/>
          <w:szCs w:val="24"/>
          <w:lang w:val="en-GB"/>
        </w:rPr>
      </w:pPr>
      <w:r w:rsidRPr="00004558">
        <w:rPr>
          <w:rFonts w:ascii="Times New Roman" w:hAnsi="Times New Roman"/>
          <w:sz w:val="24"/>
          <w:szCs w:val="24"/>
          <w:lang w:val="en-GB"/>
        </w:rPr>
        <w:t xml:space="preserve">Rees, D.C., Porter, J.B., Clegg, J.B. &amp; Weatherall, D.J. Why are hemoglobin F levels increased in HbE/beta thalassemia? </w:t>
      </w:r>
      <w:r w:rsidRPr="00004558">
        <w:rPr>
          <w:rFonts w:ascii="Times New Roman" w:hAnsi="Times New Roman"/>
          <w:i/>
          <w:sz w:val="24"/>
          <w:szCs w:val="24"/>
          <w:lang w:val="en-GB"/>
        </w:rPr>
        <w:t>Blood.</w:t>
      </w:r>
      <w:r w:rsidRPr="00004558">
        <w:rPr>
          <w:rFonts w:ascii="Times New Roman" w:hAnsi="Times New Roman"/>
          <w:sz w:val="24"/>
          <w:szCs w:val="24"/>
          <w:lang w:val="en-GB"/>
        </w:rPr>
        <w:t xml:space="preserve"> </w:t>
      </w:r>
      <w:r w:rsidRPr="00004558">
        <w:rPr>
          <w:rFonts w:ascii="Times New Roman" w:hAnsi="Times New Roman"/>
          <w:b/>
          <w:sz w:val="24"/>
          <w:szCs w:val="24"/>
          <w:lang w:val="en-GB"/>
        </w:rPr>
        <w:t>94</w:t>
      </w:r>
      <w:r w:rsidRPr="00004558">
        <w:rPr>
          <w:rFonts w:ascii="Times New Roman" w:hAnsi="Times New Roman"/>
          <w:sz w:val="24"/>
          <w:szCs w:val="24"/>
          <w:lang w:val="en-GB"/>
        </w:rPr>
        <w:t>, 3199–3204 (1999).</w:t>
      </w:r>
    </w:p>
    <w:p w14:paraId="099D5E5B" w14:textId="77777777" w:rsidR="000660B4" w:rsidRPr="00004558" w:rsidRDefault="000660B4" w:rsidP="000660B4">
      <w:pPr>
        <w:pStyle w:val="NoSpacing"/>
        <w:numPr>
          <w:ilvl w:val="0"/>
          <w:numId w:val="10"/>
        </w:numPr>
        <w:spacing w:line="480" w:lineRule="auto"/>
        <w:rPr>
          <w:rFonts w:ascii="Times New Roman" w:hAnsi="Times New Roman"/>
          <w:sz w:val="24"/>
          <w:szCs w:val="24"/>
          <w:lang w:val="en-GB"/>
        </w:rPr>
      </w:pPr>
      <w:r w:rsidRPr="00004558">
        <w:rPr>
          <w:rFonts w:ascii="Times New Roman" w:hAnsi="Times New Roman"/>
          <w:sz w:val="24"/>
          <w:szCs w:val="24"/>
          <w:lang w:val="en-GB"/>
        </w:rPr>
        <w:t xml:space="preserve">Tan, E.S., et al.. Haemoglobin E-beta Thalassaemia in Singapore. </w:t>
      </w:r>
      <w:r w:rsidRPr="00004558">
        <w:rPr>
          <w:rFonts w:ascii="Times New Roman" w:hAnsi="Times New Roman"/>
          <w:i/>
          <w:sz w:val="24"/>
          <w:szCs w:val="24"/>
          <w:lang w:val="en-GB"/>
        </w:rPr>
        <w:t xml:space="preserve">Ann. Acad. Med. Singap. </w:t>
      </w:r>
      <w:r w:rsidRPr="00004558">
        <w:rPr>
          <w:rFonts w:ascii="Times New Roman" w:hAnsi="Times New Roman"/>
          <w:b/>
          <w:sz w:val="24"/>
          <w:szCs w:val="24"/>
          <w:lang w:val="en-GB"/>
        </w:rPr>
        <w:t>43</w:t>
      </w:r>
      <w:r w:rsidRPr="00004558">
        <w:rPr>
          <w:rFonts w:ascii="Times New Roman" w:hAnsi="Times New Roman"/>
          <w:sz w:val="24"/>
          <w:szCs w:val="24"/>
          <w:lang w:val="en-GB"/>
        </w:rPr>
        <w:t>, 331–333 (2014).</w:t>
      </w:r>
    </w:p>
    <w:p w14:paraId="69F15794" w14:textId="77777777" w:rsidR="000660B4" w:rsidRPr="00004558" w:rsidRDefault="000660B4" w:rsidP="000660B4">
      <w:pPr>
        <w:pStyle w:val="NoSpacing"/>
        <w:numPr>
          <w:ilvl w:val="0"/>
          <w:numId w:val="10"/>
        </w:numPr>
        <w:spacing w:line="480" w:lineRule="auto"/>
        <w:rPr>
          <w:rFonts w:ascii="Times New Roman" w:hAnsi="Times New Roman"/>
          <w:sz w:val="24"/>
          <w:szCs w:val="24"/>
          <w:lang w:val="en-GB"/>
        </w:rPr>
      </w:pPr>
      <w:r w:rsidRPr="00004558">
        <w:rPr>
          <w:rFonts w:ascii="Times New Roman" w:hAnsi="Times New Roman"/>
          <w:sz w:val="24"/>
          <w:szCs w:val="24"/>
          <w:lang w:val="en-GB"/>
        </w:rPr>
        <w:t xml:space="preserve">Owens, M.D., Kieffer, E.C. &amp; Chowdhury, F.M. Preconception care and women with or at risk for diabetes: implications for community intervention. </w:t>
      </w:r>
      <w:r w:rsidRPr="00004558">
        <w:rPr>
          <w:rFonts w:ascii="Times New Roman" w:hAnsi="Times New Roman"/>
          <w:i/>
          <w:sz w:val="24"/>
          <w:szCs w:val="24"/>
          <w:lang w:val="en-GB"/>
        </w:rPr>
        <w:t xml:space="preserve">Matern. Child Health J. </w:t>
      </w:r>
      <w:r w:rsidRPr="00004558">
        <w:rPr>
          <w:rFonts w:ascii="Times New Roman" w:hAnsi="Times New Roman"/>
          <w:b/>
          <w:sz w:val="24"/>
          <w:szCs w:val="24"/>
          <w:lang w:val="en-GB"/>
        </w:rPr>
        <w:t>10</w:t>
      </w:r>
      <w:r w:rsidRPr="00004558">
        <w:rPr>
          <w:rFonts w:ascii="Times New Roman" w:hAnsi="Times New Roman"/>
          <w:sz w:val="24"/>
          <w:szCs w:val="24"/>
          <w:lang w:val="en-GB"/>
        </w:rPr>
        <w:t>, S137-141, doi:10.1007/s10995-006-0098-7 (2006).</w:t>
      </w:r>
    </w:p>
    <w:p w14:paraId="32C764A6" w14:textId="77777777" w:rsidR="000660B4" w:rsidRPr="00004558" w:rsidRDefault="000660B4" w:rsidP="000660B4">
      <w:pPr>
        <w:pStyle w:val="NoSpacing"/>
        <w:numPr>
          <w:ilvl w:val="0"/>
          <w:numId w:val="10"/>
        </w:numPr>
        <w:spacing w:line="480" w:lineRule="auto"/>
        <w:rPr>
          <w:rStyle w:val="docsum-journal-citation"/>
          <w:rFonts w:ascii="Times New Roman" w:hAnsi="Times New Roman"/>
          <w:sz w:val="24"/>
          <w:szCs w:val="24"/>
          <w:lang w:val="en-GB"/>
        </w:rPr>
      </w:pPr>
      <w:r w:rsidRPr="00004558">
        <w:rPr>
          <w:rStyle w:val="docsum-authors"/>
          <w:rFonts w:ascii="Times New Roman" w:hAnsi="Times New Roman"/>
          <w:sz w:val="24"/>
          <w:szCs w:val="24"/>
          <w:lang w:val="en-GB"/>
        </w:rPr>
        <w:t>Loo, E.X.L., et al.</w:t>
      </w:r>
      <w:r w:rsidRPr="00004558">
        <w:rPr>
          <w:rFonts w:ascii="Times New Roman" w:hAnsi="Times New Roman"/>
          <w:sz w:val="24"/>
          <w:szCs w:val="24"/>
          <w:lang w:val="en-GB"/>
        </w:rPr>
        <w:t xml:space="preserve"> </w:t>
      </w:r>
      <w:hyperlink r:id="rId10" w:history="1">
        <w:r w:rsidRPr="00004558">
          <w:rPr>
            <w:rStyle w:val="Hyperlink"/>
            <w:rFonts w:ascii="Times New Roman" w:hAnsi="Times New Roman"/>
            <w:color w:val="auto"/>
            <w:sz w:val="24"/>
            <w:szCs w:val="24"/>
            <w:u w:val="none"/>
            <w:lang w:val="en-GB"/>
          </w:rPr>
          <w:t>Cohort profile: Singapore Preconception Study of Long-Term Maternal and Child Outcomes (</w:t>
        </w:r>
        <w:r w:rsidRPr="00004558">
          <w:rPr>
            <w:rStyle w:val="Hyperlink"/>
            <w:rFonts w:ascii="Times New Roman" w:hAnsi="Times New Roman"/>
            <w:bCs/>
            <w:color w:val="auto"/>
            <w:sz w:val="24"/>
            <w:szCs w:val="24"/>
            <w:u w:val="none"/>
            <w:lang w:val="en-GB"/>
          </w:rPr>
          <w:t>S</w:t>
        </w:r>
        <w:r w:rsidRPr="00004558">
          <w:rPr>
            <w:rStyle w:val="Hyperlink"/>
            <w:rFonts w:ascii="Times New Roman" w:hAnsi="Times New Roman"/>
            <w:color w:val="auto"/>
            <w:sz w:val="24"/>
            <w:szCs w:val="24"/>
            <w:u w:val="none"/>
            <w:lang w:val="en-GB"/>
          </w:rPr>
          <w:t>-</w:t>
        </w:r>
        <w:r w:rsidRPr="00004558">
          <w:rPr>
            <w:rStyle w:val="Hyperlink"/>
            <w:rFonts w:ascii="Times New Roman" w:hAnsi="Times New Roman"/>
            <w:bCs/>
            <w:color w:val="auto"/>
            <w:sz w:val="24"/>
            <w:szCs w:val="24"/>
            <w:u w:val="none"/>
            <w:lang w:val="en-GB"/>
          </w:rPr>
          <w:t>PRESTO</w:t>
        </w:r>
        <w:r w:rsidRPr="00004558">
          <w:rPr>
            <w:rStyle w:val="Hyperlink"/>
            <w:rFonts w:ascii="Times New Roman" w:hAnsi="Times New Roman"/>
            <w:color w:val="auto"/>
            <w:sz w:val="24"/>
            <w:szCs w:val="24"/>
            <w:u w:val="none"/>
            <w:lang w:val="en-GB"/>
          </w:rPr>
          <w:t xml:space="preserve">). </w:t>
        </w:r>
      </w:hyperlink>
      <w:r w:rsidRPr="00004558">
        <w:rPr>
          <w:rStyle w:val="docsum-journal-citation"/>
          <w:rFonts w:ascii="Times New Roman" w:hAnsi="Times New Roman"/>
          <w:i/>
          <w:sz w:val="24"/>
          <w:szCs w:val="24"/>
          <w:lang w:val="en-GB"/>
        </w:rPr>
        <w:t xml:space="preserve">Eur. J. Epidemiol. </w:t>
      </w:r>
      <w:r w:rsidRPr="00004558">
        <w:rPr>
          <w:rStyle w:val="docsum-journal-citation"/>
          <w:rFonts w:ascii="Times New Roman" w:hAnsi="Times New Roman"/>
          <w:b/>
          <w:sz w:val="24"/>
          <w:szCs w:val="24"/>
          <w:lang w:val="en-GB"/>
        </w:rPr>
        <w:t>36</w:t>
      </w:r>
      <w:r w:rsidRPr="00004558">
        <w:rPr>
          <w:rStyle w:val="docsum-journal-citation"/>
          <w:rFonts w:ascii="Times New Roman" w:hAnsi="Times New Roman"/>
          <w:sz w:val="24"/>
          <w:szCs w:val="24"/>
          <w:lang w:val="en-GB"/>
        </w:rPr>
        <w:t>, 129-142, doi: 10.1007/s10654-020-00697-2 (2021).</w:t>
      </w:r>
    </w:p>
    <w:p w14:paraId="2683EAD3" w14:textId="77777777" w:rsidR="000660B4" w:rsidRPr="00004558" w:rsidRDefault="000660B4" w:rsidP="000660B4">
      <w:pPr>
        <w:pStyle w:val="NoSpacing"/>
        <w:numPr>
          <w:ilvl w:val="0"/>
          <w:numId w:val="10"/>
        </w:numPr>
        <w:spacing w:line="480" w:lineRule="auto"/>
        <w:rPr>
          <w:rFonts w:ascii="Times New Roman" w:hAnsi="Times New Roman"/>
          <w:sz w:val="24"/>
          <w:szCs w:val="24"/>
          <w:lang w:val="en-GB"/>
        </w:rPr>
      </w:pPr>
      <w:r w:rsidRPr="00004558">
        <w:rPr>
          <w:rFonts w:ascii="Times New Roman" w:hAnsi="Times New Roman"/>
          <w:sz w:val="24"/>
          <w:szCs w:val="24"/>
          <w:lang w:val="en-GB" w:eastAsia="zh-CN"/>
        </w:rPr>
        <w:t>World Health Organization</w:t>
      </w:r>
      <w:r w:rsidRPr="00004558">
        <w:rPr>
          <w:rFonts w:ascii="Times New Roman" w:hAnsi="Times New Roman"/>
          <w:sz w:val="24"/>
          <w:szCs w:val="24"/>
          <w:lang w:val="en-GB"/>
        </w:rPr>
        <w:t>. Haemoglobin concentrations for the diagnosis of anaemia and assessment of severity. https://apps.who.int/iris/handle/10665/85839 (2011), accessed 26 Jun 2021.</w:t>
      </w:r>
    </w:p>
    <w:p w14:paraId="16DE416B" w14:textId="77777777" w:rsidR="000660B4" w:rsidRPr="00004558" w:rsidRDefault="000660B4" w:rsidP="000660B4">
      <w:pPr>
        <w:pStyle w:val="NoSpacing"/>
        <w:numPr>
          <w:ilvl w:val="0"/>
          <w:numId w:val="10"/>
        </w:numPr>
        <w:spacing w:line="480" w:lineRule="auto"/>
        <w:rPr>
          <w:rFonts w:ascii="Times New Roman" w:hAnsi="Times New Roman"/>
          <w:sz w:val="24"/>
          <w:szCs w:val="24"/>
          <w:lang w:val="en-GB"/>
        </w:rPr>
      </w:pPr>
      <w:r w:rsidRPr="00004558">
        <w:rPr>
          <w:rFonts w:ascii="Times New Roman" w:hAnsi="Times New Roman"/>
          <w:sz w:val="24"/>
          <w:szCs w:val="24"/>
          <w:lang w:val="en-GB"/>
        </w:rPr>
        <w:t>Maner, B.S. &amp; Moosavi, L. Mean Corpuscular Volume. US: StatPearls Publishing LLC (2019).</w:t>
      </w:r>
    </w:p>
    <w:p w14:paraId="0364F7F8" w14:textId="77777777" w:rsidR="000660B4" w:rsidRPr="00004558" w:rsidRDefault="000660B4" w:rsidP="000660B4">
      <w:pPr>
        <w:pStyle w:val="NoSpacing"/>
        <w:numPr>
          <w:ilvl w:val="0"/>
          <w:numId w:val="10"/>
        </w:numPr>
        <w:spacing w:line="480" w:lineRule="auto"/>
        <w:rPr>
          <w:rFonts w:ascii="Times New Roman" w:hAnsi="Times New Roman"/>
          <w:sz w:val="24"/>
          <w:szCs w:val="24"/>
          <w:lang w:val="en-GB"/>
        </w:rPr>
      </w:pPr>
      <w:r w:rsidRPr="00004558">
        <w:rPr>
          <w:rFonts w:ascii="Times New Roman" w:hAnsi="Times New Roman"/>
          <w:sz w:val="24"/>
          <w:szCs w:val="24"/>
          <w:lang w:val="en-GB"/>
        </w:rPr>
        <w:t xml:space="preserve">World Health Organization &amp; International Diabetes Federation. Definition and diagnosis of diabetes mellitus and intermediate hyperglycaemia : report of a WHO/IDF consultation. World Health Organization. </w:t>
      </w:r>
      <w:hyperlink r:id="rId11" w:history="1">
        <w:r w:rsidRPr="00004558">
          <w:rPr>
            <w:rStyle w:val="Hyperlink"/>
            <w:rFonts w:ascii="Times New Roman" w:hAnsi="Times New Roman"/>
            <w:color w:val="auto"/>
            <w:sz w:val="24"/>
            <w:szCs w:val="24"/>
            <w:u w:val="none"/>
            <w:lang w:val="en-GB"/>
          </w:rPr>
          <w:t>https://apps.who.int/iris/handle/10665/43588</w:t>
        </w:r>
      </w:hyperlink>
      <w:r w:rsidRPr="00004558">
        <w:rPr>
          <w:rFonts w:ascii="Times New Roman" w:hAnsi="Times New Roman"/>
          <w:sz w:val="24"/>
          <w:szCs w:val="24"/>
          <w:lang w:val="en-GB"/>
        </w:rPr>
        <w:t xml:space="preserve"> (2006), accessed 26 Jun 2021.</w:t>
      </w:r>
    </w:p>
    <w:p w14:paraId="2F5BAC72" w14:textId="77777777" w:rsidR="000660B4" w:rsidRPr="00004558" w:rsidRDefault="000660B4" w:rsidP="000660B4">
      <w:pPr>
        <w:pStyle w:val="NoSpacing"/>
        <w:numPr>
          <w:ilvl w:val="0"/>
          <w:numId w:val="10"/>
        </w:numPr>
        <w:spacing w:line="480" w:lineRule="auto"/>
        <w:rPr>
          <w:rFonts w:ascii="Times New Roman" w:hAnsi="Times New Roman"/>
          <w:sz w:val="24"/>
          <w:szCs w:val="24"/>
          <w:lang w:val="en-GB"/>
        </w:rPr>
      </w:pPr>
      <w:r w:rsidRPr="00004558">
        <w:rPr>
          <w:rFonts w:ascii="Times New Roman" w:hAnsi="Times New Roman"/>
          <w:sz w:val="24"/>
          <w:szCs w:val="24"/>
          <w:lang w:val="en-GB"/>
        </w:rPr>
        <w:t xml:space="preserve">DeLong, E.R., DeLong, D.M. &amp; Clarke-Pearson, D.L. Comparing the areas under two or more correlated receiver operating characteristic curves: a nonparametric approach. </w:t>
      </w:r>
      <w:r w:rsidRPr="00004558">
        <w:rPr>
          <w:rFonts w:ascii="Times New Roman" w:hAnsi="Times New Roman"/>
          <w:i/>
          <w:sz w:val="24"/>
          <w:szCs w:val="24"/>
          <w:lang w:val="en-GB"/>
        </w:rPr>
        <w:t xml:space="preserve">Biometrics. </w:t>
      </w:r>
      <w:r w:rsidRPr="00004558">
        <w:rPr>
          <w:rFonts w:ascii="Times New Roman" w:hAnsi="Times New Roman"/>
          <w:b/>
          <w:sz w:val="24"/>
          <w:szCs w:val="24"/>
          <w:lang w:val="en-GB"/>
        </w:rPr>
        <w:t>44</w:t>
      </w:r>
      <w:r w:rsidRPr="00004558">
        <w:rPr>
          <w:rFonts w:ascii="Times New Roman" w:hAnsi="Times New Roman"/>
          <w:sz w:val="24"/>
          <w:szCs w:val="24"/>
          <w:lang w:val="en-GB"/>
        </w:rPr>
        <w:t>, 837–845, doi:10.2307/2531595 (1988).</w:t>
      </w:r>
    </w:p>
    <w:p w14:paraId="33D140EF" w14:textId="77777777" w:rsidR="000660B4" w:rsidRPr="00004558" w:rsidRDefault="000660B4" w:rsidP="000660B4">
      <w:pPr>
        <w:pStyle w:val="NoSpacing"/>
        <w:numPr>
          <w:ilvl w:val="0"/>
          <w:numId w:val="10"/>
        </w:numPr>
        <w:spacing w:line="480" w:lineRule="auto"/>
        <w:rPr>
          <w:rFonts w:ascii="Times New Roman" w:hAnsi="Times New Roman"/>
          <w:sz w:val="24"/>
          <w:szCs w:val="24"/>
          <w:lang w:val="en-GB"/>
        </w:rPr>
      </w:pPr>
      <w:r w:rsidRPr="00004558">
        <w:rPr>
          <w:rFonts w:ascii="Times New Roman" w:hAnsi="Times New Roman"/>
          <w:sz w:val="24"/>
          <w:szCs w:val="24"/>
          <w:lang w:val="en-GB"/>
        </w:rPr>
        <w:t xml:space="preserve">Mentzer, W.C. Differentiation of iron deficiency from thalassaemia trait. </w:t>
      </w:r>
      <w:r w:rsidRPr="00004558">
        <w:rPr>
          <w:rFonts w:ascii="Times New Roman" w:hAnsi="Times New Roman"/>
          <w:i/>
          <w:sz w:val="24"/>
          <w:szCs w:val="24"/>
          <w:lang w:val="en-GB"/>
        </w:rPr>
        <w:t xml:space="preserve">The Lancet. </w:t>
      </w:r>
      <w:r w:rsidRPr="00004558">
        <w:rPr>
          <w:rFonts w:ascii="Times New Roman" w:hAnsi="Times New Roman"/>
          <w:b/>
          <w:sz w:val="24"/>
          <w:szCs w:val="24"/>
          <w:lang w:val="en-GB"/>
        </w:rPr>
        <w:t>1</w:t>
      </w:r>
      <w:r w:rsidRPr="00004558">
        <w:rPr>
          <w:rFonts w:ascii="Times New Roman" w:hAnsi="Times New Roman"/>
          <w:sz w:val="24"/>
          <w:szCs w:val="24"/>
          <w:lang w:val="en-GB"/>
        </w:rPr>
        <w:t>, 882. doi: 10.1016/s0140-6736(73)91446-3 (1973).</w:t>
      </w:r>
    </w:p>
    <w:p w14:paraId="781001C1" w14:textId="77777777" w:rsidR="000660B4" w:rsidRPr="00004558" w:rsidRDefault="000660B4" w:rsidP="000660B4">
      <w:pPr>
        <w:pStyle w:val="NoSpacing"/>
        <w:numPr>
          <w:ilvl w:val="0"/>
          <w:numId w:val="10"/>
        </w:numPr>
        <w:spacing w:line="480" w:lineRule="auto"/>
        <w:rPr>
          <w:rFonts w:ascii="Times New Roman" w:hAnsi="Times New Roman"/>
          <w:sz w:val="24"/>
          <w:szCs w:val="24"/>
          <w:lang w:val="en-GB"/>
        </w:rPr>
      </w:pPr>
      <w:r w:rsidRPr="00004558">
        <w:rPr>
          <w:rFonts w:ascii="Times New Roman" w:hAnsi="Times New Roman"/>
          <w:sz w:val="24"/>
          <w:szCs w:val="24"/>
          <w:lang w:val="en-GB"/>
        </w:rPr>
        <w:t xml:space="preserve">Zhou, X., et al. Performance of an A1C and fasting capillary blood glucose test for screening newly diagnosed diabetes and pre-diabetes defined by an oral glucose tolerance test in Qingdao, China. </w:t>
      </w:r>
      <w:r w:rsidRPr="00004558">
        <w:rPr>
          <w:rFonts w:ascii="Times New Roman" w:hAnsi="Times New Roman"/>
          <w:i/>
          <w:sz w:val="24"/>
          <w:szCs w:val="24"/>
          <w:lang w:val="en-GB"/>
        </w:rPr>
        <w:t xml:space="preserve">Diabetes Care. </w:t>
      </w:r>
      <w:r w:rsidRPr="00004558">
        <w:rPr>
          <w:rFonts w:ascii="Times New Roman" w:hAnsi="Times New Roman"/>
          <w:b/>
          <w:sz w:val="24"/>
          <w:szCs w:val="24"/>
          <w:lang w:val="en-GB"/>
        </w:rPr>
        <w:t>33</w:t>
      </w:r>
      <w:r w:rsidRPr="00004558">
        <w:rPr>
          <w:rFonts w:ascii="Times New Roman" w:hAnsi="Times New Roman"/>
          <w:sz w:val="24"/>
          <w:szCs w:val="24"/>
          <w:lang w:val="en-GB"/>
        </w:rPr>
        <w:t>, 545–550, doi:10.2337/dc09-1410 (2010).</w:t>
      </w:r>
    </w:p>
    <w:p w14:paraId="4EFA273F" w14:textId="77777777" w:rsidR="000660B4" w:rsidRPr="00004558" w:rsidRDefault="000660B4" w:rsidP="000660B4">
      <w:pPr>
        <w:pStyle w:val="NoSpacing"/>
        <w:numPr>
          <w:ilvl w:val="0"/>
          <w:numId w:val="10"/>
        </w:numPr>
        <w:spacing w:line="480" w:lineRule="auto"/>
        <w:rPr>
          <w:rFonts w:ascii="Times New Roman" w:hAnsi="Times New Roman"/>
          <w:sz w:val="24"/>
          <w:szCs w:val="24"/>
          <w:lang w:val="en-GB"/>
        </w:rPr>
      </w:pPr>
      <w:r w:rsidRPr="00004558">
        <w:rPr>
          <w:rFonts w:ascii="Times New Roman" w:hAnsi="Times New Roman"/>
          <w:sz w:val="24"/>
          <w:szCs w:val="24"/>
          <w:lang w:val="en-GB"/>
        </w:rPr>
        <w:t xml:space="preserve">Lim, W-Y, et al. Screening for diabetes with HbA1c: Test performance of HbA1c compared to fasting plasma glucose among Chinese, Malay and Indian community residents in Singapore. </w:t>
      </w:r>
      <w:r w:rsidRPr="00004558">
        <w:rPr>
          <w:rFonts w:ascii="Times New Roman" w:hAnsi="Times New Roman"/>
          <w:i/>
          <w:sz w:val="24"/>
          <w:szCs w:val="24"/>
          <w:lang w:val="en-GB"/>
        </w:rPr>
        <w:t>Sci. Rep.</w:t>
      </w:r>
      <w:r w:rsidRPr="00004558">
        <w:rPr>
          <w:rFonts w:ascii="Times New Roman" w:hAnsi="Times New Roman"/>
          <w:sz w:val="24"/>
          <w:szCs w:val="24"/>
          <w:lang w:val="en-GB"/>
        </w:rPr>
        <w:t xml:space="preserve"> </w:t>
      </w:r>
      <w:r w:rsidRPr="00004558">
        <w:rPr>
          <w:rFonts w:ascii="Times New Roman" w:hAnsi="Times New Roman"/>
          <w:b/>
          <w:sz w:val="24"/>
          <w:szCs w:val="24"/>
          <w:lang w:val="en-GB"/>
        </w:rPr>
        <w:t>8</w:t>
      </w:r>
      <w:r w:rsidRPr="00004558">
        <w:rPr>
          <w:rFonts w:ascii="Times New Roman" w:hAnsi="Times New Roman"/>
          <w:sz w:val="24"/>
          <w:szCs w:val="24"/>
          <w:lang w:val="en-GB"/>
        </w:rPr>
        <w:t>, 12419, doi:10.1038/s41598-018-29998-z (2018).</w:t>
      </w:r>
    </w:p>
    <w:p w14:paraId="30EB47D3" w14:textId="77777777" w:rsidR="000660B4" w:rsidRPr="00004558" w:rsidRDefault="000660B4" w:rsidP="000660B4">
      <w:pPr>
        <w:pStyle w:val="NoSpacing"/>
        <w:numPr>
          <w:ilvl w:val="0"/>
          <w:numId w:val="10"/>
        </w:numPr>
        <w:spacing w:line="480" w:lineRule="auto"/>
        <w:rPr>
          <w:rStyle w:val="docsum-journal-citation"/>
          <w:rFonts w:ascii="Times New Roman" w:hAnsi="Times New Roman"/>
          <w:sz w:val="24"/>
          <w:szCs w:val="24"/>
          <w:lang w:val="en-GB"/>
        </w:rPr>
      </w:pPr>
      <w:r w:rsidRPr="00004558">
        <w:rPr>
          <w:rStyle w:val="docsum-authors"/>
          <w:rFonts w:ascii="Times New Roman" w:hAnsi="Times New Roman"/>
          <w:sz w:val="24"/>
          <w:szCs w:val="24"/>
          <w:lang w:val="en-GB"/>
        </w:rPr>
        <w:t>Halligan, S., Altman, D.G. &amp; Mallett, S.</w:t>
      </w:r>
      <w:r w:rsidRPr="00004558">
        <w:rPr>
          <w:rFonts w:ascii="Times New Roman" w:hAnsi="Times New Roman"/>
          <w:sz w:val="24"/>
          <w:szCs w:val="24"/>
          <w:lang w:val="en-GB"/>
        </w:rPr>
        <w:t xml:space="preserve"> </w:t>
      </w:r>
      <w:hyperlink r:id="rId12" w:history="1">
        <w:r w:rsidRPr="00004558">
          <w:rPr>
            <w:rStyle w:val="Hyperlink"/>
            <w:rFonts w:ascii="Times New Roman" w:hAnsi="Times New Roman"/>
            <w:bCs/>
            <w:color w:val="auto"/>
            <w:sz w:val="24"/>
            <w:szCs w:val="24"/>
            <w:u w:val="none"/>
            <w:lang w:val="en-GB"/>
          </w:rPr>
          <w:t>Disadvantages</w:t>
        </w:r>
        <w:r w:rsidRPr="00004558">
          <w:rPr>
            <w:rStyle w:val="Hyperlink"/>
            <w:rFonts w:ascii="Times New Roman" w:hAnsi="Times New Roman"/>
            <w:color w:val="auto"/>
            <w:sz w:val="24"/>
            <w:szCs w:val="24"/>
            <w:u w:val="none"/>
            <w:lang w:val="en-GB"/>
          </w:rPr>
          <w:t xml:space="preserve"> of using the </w:t>
        </w:r>
        <w:r w:rsidRPr="00004558">
          <w:rPr>
            <w:rStyle w:val="Hyperlink"/>
            <w:rFonts w:ascii="Times New Roman" w:hAnsi="Times New Roman"/>
            <w:bCs/>
            <w:color w:val="auto"/>
            <w:sz w:val="24"/>
            <w:szCs w:val="24"/>
            <w:u w:val="none"/>
            <w:lang w:val="en-GB"/>
          </w:rPr>
          <w:t>area</w:t>
        </w:r>
        <w:r w:rsidRPr="00004558">
          <w:rPr>
            <w:rStyle w:val="Hyperlink"/>
            <w:rFonts w:ascii="Times New Roman" w:hAnsi="Times New Roman"/>
            <w:color w:val="auto"/>
            <w:sz w:val="24"/>
            <w:szCs w:val="24"/>
            <w:u w:val="none"/>
            <w:lang w:val="en-GB"/>
          </w:rPr>
          <w:t xml:space="preserve"> under the </w:t>
        </w:r>
        <w:r w:rsidRPr="00004558">
          <w:rPr>
            <w:rStyle w:val="Hyperlink"/>
            <w:rFonts w:ascii="Times New Roman" w:hAnsi="Times New Roman"/>
            <w:bCs/>
            <w:color w:val="auto"/>
            <w:sz w:val="24"/>
            <w:szCs w:val="24"/>
            <w:u w:val="none"/>
            <w:lang w:val="en-GB"/>
          </w:rPr>
          <w:t>receiver</w:t>
        </w:r>
        <w:r w:rsidRPr="00004558">
          <w:rPr>
            <w:rStyle w:val="Hyperlink"/>
            <w:rFonts w:ascii="Times New Roman" w:hAnsi="Times New Roman"/>
            <w:color w:val="auto"/>
            <w:sz w:val="24"/>
            <w:szCs w:val="24"/>
            <w:u w:val="none"/>
            <w:lang w:val="en-GB"/>
          </w:rPr>
          <w:t xml:space="preserve"> </w:t>
        </w:r>
        <w:r w:rsidRPr="00004558">
          <w:rPr>
            <w:rStyle w:val="Hyperlink"/>
            <w:rFonts w:ascii="Times New Roman" w:hAnsi="Times New Roman"/>
            <w:bCs/>
            <w:color w:val="auto"/>
            <w:sz w:val="24"/>
            <w:szCs w:val="24"/>
            <w:u w:val="none"/>
            <w:lang w:val="en-GB"/>
          </w:rPr>
          <w:t>operating</w:t>
        </w:r>
        <w:r w:rsidRPr="00004558">
          <w:rPr>
            <w:rStyle w:val="Hyperlink"/>
            <w:rFonts w:ascii="Times New Roman" w:hAnsi="Times New Roman"/>
            <w:color w:val="auto"/>
            <w:sz w:val="24"/>
            <w:szCs w:val="24"/>
            <w:u w:val="none"/>
            <w:lang w:val="en-GB"/>
          </w:rPr>
          <w:t xml:space="preserve"> </w:t>
        </w:r>
        <w:r w:rsidRPr="00004558">
          <w:rPr>
            <w:rStyle w:val="Hyperlink"/>
            <w:rFonts w:ascii="Times New Roman" w:hAnsi="Times New Roman"/>
            <w:bCs/>
            <w:color w:val="auto"/>
            <w:sz w:val="24"/>
            <w:szCs w:val="24"/>
            <w:u w:val="none"/>
            <w:lang w:val="en-GB"/>
          </w:rPr>
          <w:t>characteristic</w:t>
        </w:r>
        <w:r w:rsidRPr="00004558">
          <w:rPr>
            <w:rStyle w:val="Hyperlink"/>
            <w:rFonts w:ascii="Times New Roman" w:hAnsi="Times New Roman"/>
            <w:color w:val="auto"/>
            <w:sz w:val="24"/>
            <w:szCs w:val="24"/>
            <w:u w:val="none"/>
            <w:lang w:val="en-GB"/>
          </w:rPr>
          <w:t xml:space="preserve"> </w:t>
        </w:r>
        <w:r w:rsidRPr="00004558">
          <w:rPr>
            <w:rStyle w:val="Hyperlink"/>
            <w:rFonts w:ascii="Times New Roman" w:hAnsi="Times New Roman"/>
            <w:bCs/>
            <w:color w:val="auto"/>
            <w:sz w:val="24"/>
            <w:szCs w:val="24"/>
            <w:u w:val="none"/>
            <w:lang w:val="en-GB"/>
          </w:rPr>
          <w:t>curve</w:t>
        </w:r>
        <w:r w:rsidRPr="00004558">
          <w:rPr>
            <w:rStyle w:val="Hyperlink"/>
            <w:rFonts w:ascii="Times New Roman" w:hAnsi="Times New Roman"/>
            <w:color w:val="auto"/>
            <w:sz w:val="24"/>
            <w:szCs w:val="24"/>
            <w:u w:val="none"/>
            <w:lang w:val="en-GB"/>
          </w:rPr>
          <w:t xml:space="preserve"> to assess imaging tests: a discussion and proposal for an alternative approach. </w:t>
        </w:r>
      </w:hyperlink>
      <w:r w:rsidRPr="00004558">
        <w:rPr>
          <w:rStyle w:val="docsum-journal-citation"/>
          <w:rFonts w:ascii="Times New Roman" w:hAnsi="Times New Roman"/>
          <w:i/>
          <w:sz w:val="24"/>
          <w:szCs w:val="24"/>
          <w:lang w:val="en-GB"/>
        </w:rPr>
        <w:t xml:space="preserve">Eur Radiol. </w:t>
      </w:r>
      <w:r w:rsidRPr="00004558">
        <w:rPr>
          <w:rStyle w:val="docsum-journal-citation"/>
          <w:rFonts w:ascii="Times New Roman" w:hAnsi="Times New Roman"/>
          <w:b/>
          <w:sz w:val="24"/>
          <w:szCs w:val="24"/>
          <w:lang w:val="en-GB"/>
        </w:rPr>
        <w:t>25</w:t>
      </w:r>
      <w:r w:rsidRPr="00004558">
        <w:rPr>
          <w:rStyle w:val="docsum-journal-citation"/>
          <w:rFonts w:ascii="Times New Roman" w:hAnsi="Times New Roman"/>
          <w:sz w:val="24"/>
          <w:szCs w:val="24"/>
          <w:lang w:val="en-GB"/>
        </w:rPr>
        <w:t>, 932-9, doi: 10.1007/s00330-014-3487-0 (2015).</w:t>
      </w:r>
    </w:p>
    <w:p w14:paraId="322D1D48" w14:textId="77777777" w:rsidR="000660B4" w:rsidRPr="00004558" w:rsidRDefault="000660B4" w:rsidP="000660B4">
      <w:pPr>
        <w:pStyle w:val="NoSpacing"/>
        <w:numPr>
          <w:ilvl w:val="0"/>
          <w:numId w:val="10"/>
        </w:numPr>
        <w:spacing w:line="480" w:lineRule="auto"/>
        <w:rPr>
          <w:rFonts w:ascii="Times New Roman" w:hAnsi="Times New Roman"/>
          <w:sz w:val="24"/>
          <w:szCs w:val="24"/>
          <w:lang w:val="en-GB"/>
        </w:rPr>
      </w:pPr>
      <w:r w:rsidRPr="00004558">
        <w:rPr>
          <w:rFonts w:ascii="Times New Roman" w:hAnsi="Times New Roman"/>
          <w:sz w:val="24"/>
          <w:szCs w:val="24"/>
          <w:lang w:val="en-GB"/>
        </w:rPr>
        <w:t xml:space="preserve">Attard, S.M., et al. Implications of iron deficiency/anemia on the classification of diabetes using HbA1c. </w:t>
      </w:r>
      <w:r w:rsidRPr="00004558">
        <w:rPr>
          <w:rFonts w:ascii="Times New Roman" w:hAnsi="Times New Roman"/>
          <w:i/>
          <w:sz w:val="24"/>
          <w:szCs w:val="24"/>
          <w:lang w:val="en-GB"/>
        </w:rPr>
        <w:t>Nutr Diabetes.</w:t>
      </w:r>
      <w:r w:rsidRPr="00004558">
        <w:rPr>
          <w:rFonts w:ascii="Times New Roman" w:hAnsi="Times New Roman"/>
          <w:sz w:val="24"/>
          <w:szCs w:val="24"/>
          <w:lang w:val="en-GB"/>
        </w:rPr>
        <w:t xml:space="preserve"> </w:t>
      </w:r>
      <w:r w:rsidRPr="00004558">
        <w:rPr>
          <w:rFonts w:ascii="Times New Roman" w:hAnsi="Times New Roman"/>
          <w:b/>
          <w:sz w:val="24"/>
          <w:szCs w:val="24"/>
          <w:lang w:val="en-GB"/>
        </w:rPr>
        <w:t>5</w:t>
      </w:r>
      <w:r w:rsidRPr="00004558">
        <w:rPr>
          <w:rFonts w:ascii="Times New Roman" w:hAnsi="Times New Roman"/>
          <w:sz w:val="24"/>
          <w:szCs w:val="24"/>
          <w:lang w:val="en-GB"/>
        </w:rPr>
        <w:t>, e166, doi:10.1038/nutd.2015.16 (2015).</w:t>
      </w:r>
    </w:p>
    <w:p w14:paraId="12E37663" w14:textId="77777777" w:rsidR="000660B4" w:rsidRPr="00004558" w:rsidRDefault="000660B4" w:rsidP="000660B4">
      <w:pPr>
        <w:pStyle w:val="NoSpacing"/>
        <w:numPr>
          <w:ilvl w:val="0"/>
          <w:numId w:val="10"/>
        </w:numPr>
        <w:spacing w:line="480" w:lineRule="auto"/>
        <w:rPr>
          <w:rFonts w:ascii="Times New Roman" w:hAnsi="Times New Roman"/>
          <w:sz w:val="24"/>
          <w:szCs w:val="24"/>
          <w:lang w:val="en-GB"/>
        </w:rPr>
      </w:pPr>
      <w:r w:rsidRPr="00004558">
        <w:rPr>
          <w:rFonts w:ascii="Times New Roman" w:hAnsi="Times New Roman"/>
          <w:sz w:val="24"/>
          <w:szCs w:val="24"/>
          <w:lang w:val="en-GB"/>
        </w:rPr>
        <w:t xml:space="preserve">Al-Fadhli, S.M., Ahmad, A.A. &amp; Al-Jafar, H.A. Effect of sickle cell trait and B-Thalassemia minor on determinations of HbA1c by an immunoassay method. </w:t>
      </w:r>
      <w:r w:rsidRPr="00004558">
        <w:rPr>
          <w:rFonts w:ascii="Times New Roman" w:hAnsi="Times New Roman"/>
          <w:i/>
          <w:sz w:val="24"/>
          <w:szCs w:val="24"/>
          <w:lang w:val="en-GB"/>
        </w:rPr>
        <w:t>Saudi Med.</w:t>
      </w:r>
      <w:r w:rsidRPr="00004558">
        <w:rPr>
          <w:rFonts w:ascii="Times New Roman" w:hAnsi="Times New Roman"/>
          <w:sz w:val="24"/>
          <w:szCs w:val="24"/>
          <w:lang w:val="en-GB"/>
        </w:rPr>
        <w:t xml:space="preserve"> J. </w:t>
      </w:r>
      <w:r w:rsidRPr="00004558">
        <w:rPr>
          <w:rFonts w:ascii="Times New Roman" w:hAnsi="Times New Roman"/>
          <w:b/>
          <w:sz w:val="24"/>
          <w:szCs w:val="24"/>
          <w:lang w:val="en-GB"/>
        </w:rPr>
        <w:t>22</w:t>
      </w:r>
      <w:r w:rsidRPr="00004558">
        <w:rPr>
          <w:rFonts w:ascii="Times New Roman" w:hAnsi="Times New Roman"/>
          <w:sz w:val="24"/>
          <w:szCs w:val="24"/>
          <w:lang w:val="en-GB"/>
        </w:rPr>
        <w:t>, 686–689 (2001).</w:t>
      </w:r>
    </w:p>
    <w:p w14:paraId="523F5DA9" w14:textId="77777777" w:rsidR="000660B4" w:rsidRPr="00004558" w:rsidRDefault="000660B4" w:rsidP="000660B4">
      <w:pPr>
        <w:pStyle w:val="NoSpacing"/>
        <w:numPr>
          <w:ilvl w:val="0"/>
          <w:numId w:val="10"/>
        </w:numPr>
        <w:spacing w:line="480" w:lineRule="auto"/>
        <w:rPr>
          <w:rFonts w:ascii="Times New Roman" w:hAnsi="Times New Roman"/>
          <w:sz w:val="24"/>
          <w:szCs w:val="24"/>
          <w:lang w:val="en-GB"/>
        </w:rPr>
      </w:pPr>
      <w:r w:rsidRPr="00004558">
        <w:rPr>
          <w:rFonts w:ascii="Times New Roman" w:hAnsi="Times New Roman"/>
          <w:sz w:val="24"/>
          <w:szCs w:val="24"/>
          <w:lang w:val="en-GB"/>
        </w:rPr>
        <w:t xml:space="preserve">Kham, S.K., et al. A molecular epidemiologic study of thalassemia using newborns’ cord blood in a multiracial Asian population in Singapore: results and recommendations for a population screening program. </w:t>
      </w:r>
      <w:r w:rsidRPr="00004558">
        <w:rPr>
          <w:rFonts w:ascii="Times New Roman" w:hAnsi="Times New Roman"/>
          <w:i/>
          <w:sz w:val="24"/>
          <w:szCs w:val="24"/>
          <w:lang w:val="en-GB"/>
        </w:rPr>
        <w:t xml:space="preserve">J. Pediatr. Hematol. Oncol. </w:t>
      </w:r>
      <w:r w:rsidRPr="00004558">
        <w:rPr>
          <w:rFonts w:ascii="Times New Roman" w:hAnsi="Times New Roman"/>
          <w:b/>
          <w:sz w:val="24"/>
          <w:szCs w:val="24"/>
          <w:lang w:val="en-GB"/>
        </w:rPr>
        <w:t>26</w:t>
      </w:r>
      <w:r w:rsidRPr="00004558">
        <w:rPr>
          <w:rFonts w:ascii="Times New Roman" w:hAnsi="Times New Roman"/>
          <w:sz w:val="24"/>
          <w:szCs w:val="24"/>
          <w:lang w:val="en-GB"/>
        </w:rPr>
        <w:t>, 817–819 (2004).</w:t>
      </w:r>
    </w:p>
    <w:p w14:paraId="2407E013" w14:textId="77777777" w:rsidR="000660B4" w:rsidRPr="00004558" w:rsidRDefault="000660B4" w:rsidP="000660B4">
      <w:pPr>
        <w:pStyle w:val="NoSpacing"/>
        <w:numPr>
          <w:ilvl w:val="0"/>
          <w:numId w:val="10"/>
        </w:numPr>
        <w:spacing w:line="480" w:lineRule="auto"/>
        <w:rPr>
          <w:rFonts w:ascii="Times New Roman" w:hAnsi="Times New Roman"/>
          <w:sz w:val="24"/>
          <w:szCs w:val="24"/>
          <w:lang w:val="en-GB"/>
        </w:rPr>
      </w:pPr>
      <w:r w:rsidRPr="00004558">
        <w:rPr>
          <w:rFonts w:ascii="Times New Roman" w:hAnsi="Times New Roman"/>
          <w:sz w:val="24"/>
          <w:szCs w:val="24"/>
          <w:lang w:val="en-GB"/>
        </w:rPr>
        <w:t xml:space="preserve">Kirk, J.K., et al. Disparities in HbA1c levels between African-American and non-Hispanic white adults with diabetes: a meta-analysis. </w:t>
      </w:r>
      <w:r w:rsidRPr="00004558">
        <w:rPr>
          <w:rFonts w:ascii="Times New Roman" w:hAnsi="Times New Roman"/>
          <w:i/>
          <w:sz w:val="24"/>
          <w:szCs w:val="24"/>
          <w:lang w:val="en-GB"/>
        </w:rPr>
        <w:t xml:space="preserve">Diabetes Care. </w:t>
      </w:r>
      <w:r w:rsidRPr="00004558">
        <w:rPr>
          <w:rFonts w:ascii="Times New Roman" w:hAnsi="Times New Roman"/>
          <w:b/>
          <w:sz w:val="24"/>
          <w:szCs w:val="24"/>
          <w:lang w:val="en-GB"/>
        </w:rPr>
        <w:t>29</w:t>
      </w:r>
      <w:r w:rsidRPr="00004558">
        <w:rPr>
          <w:rFonts w:ascii="Times New Roman" w:hAnsi="Times New Roman"/>
          <w:sz w:val="24"/>
          <w:szCs w:val="24"/>
          <w:lang w:val="en-GB"/>
        </w:rPr>
        <w:t>, 2130–2136, doi:10.2337/dc05-1973 (2006).</w:t>
      </w:r>
    </w:p>
    <w:p w14:paraId="220FC910" w14:textId="77777777" w:rsidR="000660B4" w:rsidRPr="00004558" w:rsidRDefault="000660B4" w:rsidP="000660B4">
      <w:pPr>
        <w:pStyle w:val="NoSpacing"/>
        <w:numPr>
          <w:ilvl w:val="0"/>
          <w:numId w:val="10"/>
        </w:numPr>
        <w:spacing w:line="480" w:lineRule="auto"/>
        <w:rPr>
          <w:rFonts w:ascii="Times New Roman" w:hAnsi="Times New Roman"/>
          <w:sz w:val="24"/>
          <w:szCs w:val="24"/>
          <w:lang w:val="en-GB"/>
        </w:rPr>
      </w:pPr>
      <w:r w:rsidRPr="00004558">
        <w:rPr>
          <w:rFonts w:ascii="Times New Roman" w:hAnsi="Times New Roman"/>
          <w:sz w:val="24"/>
          <w:szCs w:val="24"/>
          <w:lang w:val="en-GB"/>
        </w:rPr>
        <w:t>Selvin, E. Are there clinical implications of racial differences in HbA</w:t>
      </w:r>
      <w:r w:rsidRPr="00004558">
        <w:rPr>
          <w:rFonts w:ascii="Times New Roman" w:hAnsi="Times New Roman"/>
          <w:sz w:val="24"/>
          <w:szCs w:val="24"/>
          <w:vertAlign w:val="subscript"/>
          <w:lang w:val="en-GB"/>
        </w:rPr>
        <w:t>1c</w:t>
      </w:r>
      <w:r w:rsidRPr="00004558">
        <w:rPr>
          <w:rFonts w:ascii="Times New Roman" w:hAnsi="Times New Roman"/>
          <w:sz w:val="24"/>
          <w:szCs w:val="24"/>
          <w:lang w:val="en-GB"/>
        </w:rPr>
        <w:t xml:space="preserve">? A difference, to be a difference, must make a difference. </w:t>
      </w:r>
      <w:r w:rsidRPr="00004558">
        <w:rPr>
          <w:rFonts w:ascii="Times New Roman" w:hAnsi="Times New Roman"/>
          <w:i/>
          <w:sz w:val="24"/>
          <w:szCs w:val="24"/>
          <w:lang w:val="en-GB"/>
        </w:rPr>
        <w:t xml:space="preserve">Diabetes Care. </w:t>
      </w:r>
      <w:r w:rsidRPr="00004558">
        <w:rPr>
          <w:rFonts w:ascii="Times New Roman" w:hAnsi="Times New Roman"/>
          <w:b/>
          <w:sz w:val="24"/>
          <w:szCs w:val="24"/>
          <w:lang w:val="en-GB"/>
        </w:rPr>
        <w:t>39</w:t>
      </w:r>
      <w:r w:rsidRPr="00004558">
        <w:rPr>
          <w:rFonts w:ascii="Times New Roman" w:hAnsi="Times New Roman"/>
          <w:sz w:val="24"/>
          <w:szCs w:val="24"/>
          <w:lang w:val="en-GB"/>
        </w:rPr>
        <w:t>, 1462, doi:10.2337/dc16-0042 (2016).</w:t>
      </w:r>
    </w:p>
    <w:p w14:paraId="7210EDDA" w14:textId="77777777" w:rsidR="000660B4" w:rsidRPr="00004558" w:rsidRDefault="000660B4" w:rsidP="000660B4">
      <w:pPr>
        <w:pStyle w:val="NoSpacing"/>
        <w:numPr>
          <w:ilvl w:val="0"/>
          <w:numId w:val="10"/>
        </w:numPr>
        <w:spacing w:line="480" w:lineRule="auto"/>
        <w:rPr>
          <w:rFonts w:ascii="Times New Roman" w:hAnsi="Times New Roman"/>
          <w:sz w:val="24"/>
          <w:szCs w:val="24"/>
          <w:lang w:val="en-GB"/>
        </w:rPr>
      </w:pPr>
      <w:r w:rsidRPr="00004558">
        <w:rPr>
          <w:rFonts w:ascii="Times New Roman" w:hAnsi="Times New Roman"/>
          <w:sz w:val="24"/>
          <w:szCs w:val="24"/>
          <w:lang w:val="en-GB"/>
        </w:rPr>
        <w:t xml:space="preserve">Kim, S.H., Park, T.S., Jin, H.Y. Rethinking the accuracy of 75g glucose used in the oral glucose tolerance test in the diagnosis and management of diabetes. </w:t>
      </w:r>
      <w:r w:rsidRPr="00004558">
        <w:rPr>
          <w:rFonts w:ascii="Times New Roman" w:hAnsi="Times New Roman"/>
          <w:i/>
          <w:sz w:val="24"/>
          <w:szCs w:val="24"/>
          <w:lang w:val="en-GB"/>
        </w:rPr>
        <w:t xml:space="preserve">Prim Care Diabetes. </w:t>
      </w:r>
      <w:r w:rsidRPr="00004558">
        <w:rPr>
          <w:rFonts w:ascii="Times New Roman" w:hAnsi="Times New Roman"/>
          <w:sz w:val="24"/>
          <w:szCs w:val="24"/>
          <w:lang w:val="en-GB"/>
        </w:rPr>
        <w:t xml:space="preserve">11, 555-560, </w:t>
      </w:r>
      <w:r w:rsidRPr="00004558">
        <w:rPr>
          <w:rStyle w:val="citation-doi"/>
          <w:rFonts w:ascii="Times New Roman" w:hAnsi="Times New Roman"/>
          <w:sz w:val="24"/>
          <w:szCs w:val="24"/>
          <w:lang w:val="en-GB"/>
        </w:rPr>
        <w:t>doi: 10.1016/j.pcd.2017.06.003</w:t>
      </w:r>
      <w:r w:rsidRPr="00004558">
        <w:rPr>
          <w:rFonts w:ascii="Times New Roman" w:hAnsi="Times New Roman"/>
          <w:sz w:val="24"/>
          <w:szCs w:val="24"/>
          <w:lang w:val="en-GB"/>
        </w:rPr>
        <w:t xml:space="preserve"> (2017).</w:t>
      </w:r>
    </w:p>
    <w:p w14:paraId="706D575C" w14:textId="77777777" w:rsidR="000660B4" w:rsidRPr="00004558" w:rsidRDefault="000660B4" w:rsidP="000660B4">
      <w:pPr>
        <w:pStyle w:val="NoSpacing"/>
        <w:numPr>
          <w:ilvl w:val="0"/>
          <w:numId w:val="10"/>
        </w:numPr>
        <w:spacing w:line="480" w:lineRule="auto"/>
        <w:rPr>
          <w:rStyle w:val="docsum-journal-citation"/>
          <w:rFonts w:ascii="Times New Roman" w:hAnsi="Times New Roman"/>
          <w:sz w:val="24"/>
          <w:szCs w:val="24"/>
          <w:lang w:val="en-GB"/>
        </w:rPr>
      </w:pPr>
      <w:r w:rsidRPr="00004558">
        <w:rPr>
          <w:rStyle w:val="docsum-authors"/>
          <w:rFonts w:ascii="Times New Roman" w:hAnsi="Times New Roman"/>
          <w:sz w:val="24"/>
          <w:szCs w:val="24"/>
          <w:lang w:val="en-GB"/>
        </w:rPr>
        <w:t>Yang, P.L., et al.</w:t>
      </w:r>
      <w:r w:rsidRPr="00004558">
        <w:rPr>
          <w:rFonts w:ascii="Times New Roman" w:hAnsi="Times New Roman"/>
          <w:sz w:val="24"/>
          <w:szCs w:val="24"/>
          <w:lang w:val="en-GB"/>
        </w:rPr>
        <w:t xml:space="preserve"> </w:t>
      </w:r>
      <w:hyperlink r:id="rId13" w:history="1">
        <w:r w:rsidRPr="00004558">
          <w:rPr>
            <w:rStyle w:val="Hyperlink"/>
            <w:rFonts w:ascii="Times New Roman" w:hAnsi="Times New Roman"/>
            <w:bCs/>
            <w:color w:val="auto"/>
            <w:sz w:val="24"/>
            <w:szCs w:val="24"/>
            <w:u w:val="none"/>
            <w:lang w:val="en-GB"/>
          </w:rPr>
          <w:t>Associations</w:t>
        </w:r>
        <w:r w:rsidRPr="00004558">
          <w:rPr>
            <w:rStyle w:val="Hyperlink"/>
            <w:rFonts w:ascii="Times New Roman" w:hAnsi="Times New Roman"/>
            <w:color w:val="auto"/>
            <w:sz w:val="24"/>
            <w:szCs w:val="24"/>
            <w:u w:val="none"/>
            <w:lang w:val="en-GB"/>
          </w:rPr>
          <w:t xml:space="preserve"> between </w:t>
        </w:r>
        <w:r w:rsidRPr="00004558">
          <w:rPr>
            <w:rStyle w:val="Hyperlink"/>
            <w:rFonts w:ascii="Times New Roman" w:hAnsi="Times New Roman"/>
            <w:bCs/>
            <w:color w:val="auto"/>
            <w:sz w:val="24"/>
            <w:szCs w:val="24"/>
            <w:u w:val="none"/>
            <w:lang w:val="en-GB"/>
          </w:rPr>
          <w:t>ethnicity</w:t>
        </w:r>
        <w:r w:rsidRPr="00004558">
          <w:rPr>
            <w:rStyle w:val="Hyperlink"/>
            <w:rFonts w:ascii="Times New Roman" w:hAnsi="Times New Roman"/>
            <w:color w:val="auto"/>
            <w:sz w:val="24"/>
            <w:szCs w:val="24"/>
            <w:u w:val="none"/>
            <w:lang w:val="en-GB"/>
          </w:rPr>
          <w:t xml:space="preserve">, </w:t>
        </w:r>
        <w:r w:rsidRPr="00004558">
          <w:rPr>
            <w:rStyle w:val="Hyperlink"/>
            <w:rFonts w:ascii="Times New Roman" w:hAnsi="Times New Roman"/>
            <w:bCs/>
            <w:color w:val="auto"/>
            <w:sz w:val="24"/>
            <w:szCs w:val="24"/>
            <w:u w:val="none"/>
            <w:lang w:val="en-GB"/>
          </w:rPr>
          <w:t>body</w:t>
        </w:r>
        <w:r w:rsidRPr="00004558">
          <w:rPr>
            <w:rStyle w:val="Hyperlink"/>
            <w:rFonts w:ascii="Times New Roman" w:hAnsi="Times New Roman"/>
            <w:color w:val="auto"/>
            <w:sz w:val="24"/>
            <w:szCs w:val="24"/>
            <w:u w:val="none"/>
            <w:lang w:val="en-GB"/>
          </w:rPr>
          <w:t xml:space="preserve"> </w:t>
        </w:r>
        <w:r w:rsidRPr="00004558">
          <w:rPr>
            <w:rStyle w:val="Hyperlink"/>
            <w:rFonts w:ascii="Times New Roman" w:hAnsi="Times New Roman"/>
            <w:bCs/>
            <w:color w:val="auto"/>
            <w:sz w:val="24"/>
            <w:szCs w:val="24"/>
            <w:u w:val="none"/>
            <w:lang w:val="en-GB"/>
          </w:rPr>
          <w:t>composition</w:t>
        </w:r>
        <w:r w:rsidRPr="00004558">
          <w:rPr>
            <w:rStyle w:val="Hyperlink"/>
            <w:rFonts w:ascii="Times New Roman" w:hAnsi="Times New Roman"/>
            <w:color w:val="auto"/>
            <w:sz w:val="24"/>
            <w:szCs w:val="24"/>
            <w:u w:val="none"/>
            <w:lang w:val="en-GB"/>
          </w:rPr>
          <w:t xml:space="preserve">, and </w:t>
        </w:r>
        <w:r w:rsidRPr="00004558">
          <w:rPr>
            <w:rStyle w:val="Hyperlink"/>
            <w:rFonts w:ascii="Times New Roman" w:hAnsi="Times New Roman"/>
            <w:bCs/>
            <w:color w:val="auto"/>
            <w:sz w:val="24"/>
            <w:szCs w:val="24"/>
            <w:u w:val="none"/>
            <w:lang w:val="en-GB"/>
          </w:rPr>
          <w:t>bone</w:t>
        </w:r>
        <w:r w:rsidRPr="00004558">
          <w:rPr>
            <w:rStyle w:val="Hyperlink"/>
            <w:rFonts w:ascii="Times New Roman" w:hAnsi="Times New Roman"/>
            <w:color w:val="auto"/>
            <w:sz w:val="24"/>
            <w:szCs w:val="24"/>
            <w:u w:val="none"/>
            <w:lang w:val="en-GB"/>
          </w:rPr>
          <w:t xml:space="preserve"> </w:t>
        </w:r>
        <w:r w:rsidRPr="00004558">
          <w:rPr>
            <w:rStyle w:val="Hyperlink"/>
            <w:rFonts w:ascii="Times New Roman" w:hAnsi="Times New Roman"/>
            <w:bCs/>
            <w:color w:val="auto"/>
            <w:sz w:val="24"/>
            <w:szCs w:val="24"/>
            <w:u w:val="none"/>
            <w:lang w:val="en-GB"/>
          </w:rPr>
          <w:t>mineral</w:t>
        </w:r>
        <w:r w:rsidRPr="00004558">
          <w:rPr>
            <w:rStyle w:val="Hyperlink"/>
            <w:rFonts w:ascii="Times New Roman" w:hAnsi="Times New Roman"/>
            <w:color w:val="auto"/>
            <w:sz w:val="24"/>
            <w:szCs w:val="24"/>
            <w:u w:val="none"/>
            <w:lang w:val="en-GB"/>
          </w:rPr>
          <w:t xml:space="preserve"> </w:t>
        </w:r>
        <w:r w:rsidRPr="00004558">
          <w:rPr>
            <w:rStyle w:val="Hyperlink"/>
            <w:rFonts w:ascii="Times New Roman" w:hAnsi="Times New Roman"/>
            <w:bCs/>
            <w:color w:val="auto"/>
            <w:sz w:val="24"/>
            <w:szCs w:val="24"/>
            <w:u w:val="none"/>
            <w:lang w:val="en-GB"/>
          </w:rPr>
          <w:t>density</w:t>
        </w:r>
        <w:r w:rsidRPr="00004558">
          <w:rPr>
            <w:rStyle w:val="Hyperlink"/>
            <w:rFonts w:ascii="Times New Roman" w:hAnsi="Times New Roman"/>
            <w:color w:val="auto"/>
            <w:sz w:val="24"/>
            <w:szCs w:val="24"/>
            <w:u w:val="none"/>
            <w:lang w:val="en-GB"/>
          </w:rPr>
          <w:t xml:space="preserve"> in a Southeast Asian population. </w:t>
        </w:r>
      </w:hyperlink>
      <w:r w:rsidRPr="00004558">
        <w:rPr>
          <w:rStyle w:val="docsum-journal-citation"/>
          <w:rFonts w:ascii="Times New Roman" w:hAnsi="Times New Roman"/>
          <w:i/>
          <w:sz w:val="24"/>
          <w:szCs w:val="24"/>
          <w:lang w:val="en-GB"/>
        </w:rPr>
        <w:t>J Clin Endocrinol Metab.</w:t>
      </w:r>
      <w:r w:rsidRPr="00004558">
        <w:rPr>
          <w:rStyle w:val="docsum-journal-citation"/>
          <w:rFonts w:ascii="Times New Roman" w:hAnsi="Times New Roman"/>
          <w:sz w:val="24"/>
          <w:szCs w:val="24"/>
          <w:lang w:val="en-GB"/>
        </w:rPr>
        <w:t xml:space="preserve"> </w:t>
      </w:r>
      <w:r w:rsidRPr="00004558">
        <w:rPr>
          <w:rStyle w:val="docsum-journal-citation"/>
          <w:rFonts w:ascii="Times New Roman" w:hAnsi="Times New Roman"/>
          <w:b/>
          <w:sz w:val="24"/>
          <w:szCs w:val="24"/>
          <w:lang w:val="en-GB"/>
        </w:rPr>
        <w:t>98</w:t>
      </w:r>
      <w:r w:rsidRPr="00004558">
        <w:rPr>
          <w:rStyle w:val="docsum-journal-citation"/>
          <w:rFonts w:ascii="Times New Roman" w:hAnsi="Times New Roman"/>
          <w:sz w:val="24"/>
          <w:szCs w:val="24"/>
          <w:lang w:val="en-GB"/>
        </w:rPr>
        <w:t>:4516-4523. doi: 10.1210/jc.2013-2454 (2013).</w:t>
      </w:r>
    </w:p>
    <w:p w14:paraId="03A1B235" w14:textId="77777777" w:rsidR="000660B4" w:rsidRPr="00004558" w:rsidRDefault="000660B4" w:rsidP="000660B4">
      <w:pPr>
        <w:pStyle w:val="NoSpacing"/>
        <w:numPr>
          <w:ilvl w:val="0"/>
          <w:numId w:val="10"/>
        </w:numPr>
        <w:spacing w:line="480" w:lineRule="auto"/>
        <w:rPr>
          <w:rStyle w:val="docsum-journal-citation"/>
          <w:rFonts w:ascii="Times New Roman" w:hAnsi="Times New Roman"/>
          <w:sz w:val="24"/>
          <w:szCs w:val="24"/>
          <w:lang w:val="en-GB"/>
        </w:rPr>
      </w:pPr>
      <w:r w:rsidRPr="00004558">
        <w:rPr>
          <w:rStyle w:val="docsum-authors"/>
          <w:rFonts w:ascii="Times New Roman" w:hAnsi="Times New Roman"/>
          <w:sz w:val="24"/>
          <w:szCs w:val="24"/>
          <w:lang w:val="en-GB"/>
        </w:rPr>
        <w:t>Tramunt, B., et al.</w:t>
      </w:r>
      <w:r w:rsidRPr="00004558">
        <w:rPr>
          <w:rFonts w:ascii="Times New Roman" w:hAnsi="Times New Roman"/>
          <w:sz w:val="24"/>
          <w:szCs w:val="24"/>
          <w:lang w:val="en-GB"/>
        </w:rPr>
        <w:t xml:space="preserve"> </w:t>
      </w:r>
      <w:hyperlink r:id="rId14" w:history="1">
        <w:r w:rsidRPr="00004558">
          <w:rPr>
            <w:rStyle w:val="Hyperlink"/>
            <w:rFonts w:ascii="Times New Roman" w:hAnsi="Times New Roman"/>
            <w:bCs/>
            <w:color w:val="auto"/>
            <w:sz w:val="24"/>
            <w:szCs w:val="24"/>
            <w:u w:val="none"/>
            <w:lang w:val="en-GB"/>
          </w:rPr>
          <w:t>Sex</w:t>
        </w:r>
        <w:r w:rsidRPr="00004558">
          <w:rPr>
            <w:rStyle w:val="Hyperlink"/>
            <w:rFonts w:ascii="Times New Roman" w:hAnsi="Times New Roman"/>
            <w:color w:val="auto"/>
            <w:sz w:val="24"/>
            <w:szCs w:val="24"/>
            <w:u w:val="none"/>
            <w:lang w:val="en-GB"/>
          </w:rPr>
          <w:t xml:space="preserve"> </w:t>
        </w:r>
        <w:r w:rsidRPr="00004558">
          <w:rPr>
            <w:rStyle w:val="Hyperlink"/>
            <w:rFonts w:ascii="Times New Roman" w:hAnsi="Times New Roman"/>
            <w:bCs/>
            <w:color w:val="auto"/>
            <w:sz w:val="24"/>
            <w:szCs w:val="24"/>
            <w:u w:val="none"/>
            <w:lang w:val="en-GB"/>
          </w:rPr>
          <w:t>differences</w:t>
        </w:r>
        <w:r w:rsidRPr="00004558">
          <w:rPr>
            <w:rStyle w:val="Hyperlink"/>
            <w:rFonts w:ascii="Times New Roman" w:hAnsi="Times New Roman"/>
            <w:color w:val="auto"/>
            <w:sz w:val="24"/>
            <w:szCs w:val="24"/>
            <w:u w:val="none"/>
            <w:lang w:val="en-GB"/>
          </w:rPr>
          <w:t xml:space="preserve"> in </w:t>
        </w:r>
        <w:r w:rsidRPr="00004558">
          <w:rPr>
            <w:rStyle w:val="Hyperlink"/>
            <w:rFonts w:ascii="Times New Roman" w:hAnsi="Times New Roman"/>
            <w:bCs/>
            <w:color w:val="auto"/>
            <w:sz w:val="24"/>
            <w:szCs w:val="24"/>
            <w:u w:val="none"/>
            <w:lang w:val="en-GB"/>
          </w:rPr>
          <w:t>metabolic</w:t>
        </w:r>
        <w:r w:rsidRPr="00004558">
          <w:rPr>
            <w:rStyle w:val="Hyperlink"/>
            <w:rFonts w:ascii="Times New Roman" w:hAnsi="Times New Roman"/>
            <w:color w:val="auto"/>
            <w:sz w:val="24"/>
            <w:szCs w:val="24"/>
            <w:u w:val="none"/>
            <w:lang w:val="en-GB"/>
          </w:rPr>
          <w:t xml:space="preserve"> </w:t>
        </w:r>
        <w:r w:rsidRPr="00004558">
          <w:rPr>
            <w:rStyle w:val="Hyperlink"/>
            <w:rFonts w:ascii="Times New Roman" w:hAnsi="Times New Roman"/>
            <w:bCs/>
            <w:color w:val="auto"/>
            <w:sz w:val="24"/>
            <w:szCs w:val="24"/>
            <w:u w:val="none"/>
            <w:lang w:val="en-GB"/>
          </w:rPr>
          <w:t>regulation</w:t>
        </w:r>
        <w:r w:rsidRPr="00004558">
          <w:rPr>
            <w:rStyle w:val="Hyperlink"/>
            <w:rFonts w:ascii="Times New Roman" w:hAnsi="Times New Roman"/>
            <w:color w:val="auto"/>
            <w:sz w:val="24"/>
            <w:szCs w:val="24"/>
            <w:u w:val="none"/>
            <w:lang w:val="en-GB"/>
          </w:rPr>
          <w:t xml:space="preserve"> and diabetes susceptibility. </w:t>
        </w:r>
      </w:hyperlink>
      <w:r w:rsidRPr="00004558">
        <w:rPr>
          <w:rStyle w:val="docsum-journal-citation"/>
          <w:rFonts w:ascii="Times New Roman" w:hAnsi="Times New Roman"/>
          <w:i/>
          <w:sz w:val="24"/>
          <w:szCs w:val="24"/>
          <w:lang w:val="en-GB"/>
        </w:rPr>
        <w:t>Diabetologia.</w:t>
      </w:r>
      <w:r w:rsidRPr="00004558">
        <w:rPr>
          <w:rStyle w:val="docsum-journal-citation"/>
          <w:rFonts w:ascii="Times New Roman" w:hAnsi="Times New Roman"/>
          <w:sz w:val="24"/>
          <w:szCs w:val="24"/>
          <w:lang w:val="en-GB"/>
        </w:rPr>
        <w:t xml:space="preserve"> </w:t>
      </w:r>
      <w:r w:rsidRPr="00004558">
        <w:rPr>
          <w:rStyle w:val="docsum-journal-citation"/>
          <w:rFonts w:ascii="Times New Roman" w:hAnsi="Times New Roman"/>
          <w:b/>
          <w:sz w:val="24"/>
          <w:szCs w:val="24"/>
          <w:lang w:val="en-GB"/>
        </w:rPr>
        <w:t>63</w:t>
      </w:r>
      <w:r w:rsidRPr="00004558">
        <w:rPr>
          <w:rStyle w:val="docsum-journal-citation"/>
          <w:rFonts w:ascii="Times New Roman" w:hAnsi="Times New Roman"/>
          <w:sz w:val="24"/>
          <w:szCs w:val="24"/>
          <w:lang w:val="en-GB"/>
        </w:rPr>
        <w:t>:453-461. doi: 10.1007/s00125-019-05040-3 (2020).</w:t>
      </w:r>
    </w:p>
    <w:p w14:paraId="11A5F180" w14:textId="4963DFB9" w:rsidR="003C3FAA" w:rsidRPr="00004558" w:rsidRDefault="000660B4" w:rsidP="000660B4">
      <w:pPr>
        <w:pStyle w:val="NoSpacing"/>
        <w:numPr>
          <w:ilvl w:val="0"/>
          <w:numId w:val="10"/>
        </w:numPr>
        <w:spacing w:line="480" w:lineRule="auto"/>
        <w:rPr>
          <w:rFonts w:ascii="Times New Roman" w:hAnsi="Times New Roman"/>
          <w:sz w:val="24"/>
          <w:szCs w:val="24"/>
          <w:lang w:val="en-GB"/>
        </w:rPr>
      </w:pPr>
      <w:r w:rsidRPr="00004558">
        <w:rPr>
          <w:rStyle w:val="docsum-authors"/>
          <w:rFonts w:ascii="Times New Roman" w:hAnsi="Times New Roman"/>
          <w:sz w:val="24"/>
          <w:szCs w:val="24"/>
          <w:lang w:val="en-GB"/>
        </w:rPr>
        <w:t>Yaghootkar, H., Whitcher, B., Bell, J.D. &amp; Thomas, E.L.</w:t>
      </w:r>
      <w:r w:rsidRPr="00004558">
        <w:rPr>
          <w:rFonts w:ascii="Times New Roman" w:hAnsi="Times New Roman"/>
          <w:sz w:val="24"/>
          <w:szCs w:val="24"/>
          <w:lang w:val="en-GB"/>
        </w:rPr>
        <w:t xml:space="preserve"> </w:t>
      </w:r>
      <w:hyperlink r:id="rId15" w:history="1">
        <w:r w:rsidRPr="00004558">
          <w:rPr>
            <w:rStyle w:val="Hyperlink"/>
            <w:rFonts w:ascii="Times New Roman" w:hAnsi="Times New Roman"/>
            <w:bCs/>
            <w:color w:val="auto"/>
            <w:sz w:val="24"/>
            <w:szCs w:val="24"/>
            <w:u w:val="none"/>
            <w:lang w:val="en-GB"/>
          </w:rPr>
          <w:t>Ethnic</w:t>
        </w:r>
        <w:r w:rsidRPr="00004558">
          <w:rPr>
            <w:rStyle w:val="Hyperlink"/>
            <w:rFonts w:ascii="Times New Roman" w:hAnsi="Times New Roman"/>
            <w:color w:val="auto"/>
            <w:sz w:val="24"/>
            <w:szCs w:val="24"/>
            <w:u w:val="none"/>
            <w:lang w:val="en-GB"/>
          </w:rPr>
          <w:t xml:space="preserve"> </w:t>
        </w:r>
        <w:r w:rsidRPr="00004558">
          <w:rPr>
            <w:rStyle w:val="Hyperlink"/>
            <w:rFonts w:ascii="Times New Roman" w:hAnsi="Times New Roman"/>
            <w:bCs/>
            <w:color w:val="auto"/>
            <w:sz w:val="24"/>
            <w:szCs w:val="24"/>
            <w:u w:val="none"/>
            <w:lang w:val="en-GB"/>
          </w:rPr>
          <w:t>differences</w:t>
        </w:r>
        <w:r w:rsidRPr="00004558">
          <w:rPr>
            <w:rStyle w:val="Hyperlink"/>
            <w:rFonts w:ascii="Times New Roman" w:hAnsi="Times New Roman"/>
            <w:color w:val="auto"/>
            <w:sz w:val="24"/>
            <w:szCs w:val="24"/>
            <w:u w:val="none"/>
            <w:lang w:val="en-GB"/>
          </w:rPr>
          <w:t xml:space="preserve"> in </w:t>
        </w:r>
        <w:r w:rsidRPr="00004558">
          <w:rPr>
            <w:rStyle w:val="Hyperlink"/>
            <w:rFonts w:ascii="Times New Roman" w:hAnsi="Times New Roman"/>
            <w:bCs/>
            <w:color w:val="auto"/>
            <w:sz w:val="24"/>
            <w:szCs w:val="24"/>
            <w:u w:val="none"/>
            <w:lang w:val="en-GB"/>
          </w:rPr>
          <w:t>adiposity</w:t>
        </w:r>
        <w:r w:rsidRPr="00004558">
          <w:rPr>
            <w:rStyle w:val="Hyperlink"/>
            <w:rFonts w:ascii="Times New Roman" w:hAnsi="Times New Roman"/>
            <w:color w:val="auto"/>
            <w:sz w:val="24"/>
            <w:szCs w:val="24"/>
            <w:u w:val="none"/>
            <w:lang w:val="en-GB"/>
          </w:rPr>
          <w:t xml:space="preserve"> and </w:t>
        </w:r>
        <w:r w:rsidRPr="00004558">
          <w:rPr>
            <w:rStyle w:val="Hyperlink"/>
            <w:rFonts w:ascii="Times New Roman" w:hAnsi="Times New Roman"/>
            <w:bCs/>
            <w:color w:val="auto"/>
            <w:sz w:val="24"/>
            <w:szCs w:val="24"/>
            <w:u w:val="none"/>
            <w:lang w:val="en-GB"/>
          </w:rPr>
          <w:t>diabetes</w:t>
        </w:r>
        <w:r w:rsidRPr="00004558">
          <w:rPr>
            <w:rStyle w:val="Hyperlink"/>
            <w:rFonts w:ascii="Times New Roman" w:hAnsi="Times New Roman"/>
            <w:color w:val="auto"/>
            <w:sz w:val="24"/>
            <w:szCs w:val="24"/>
            <w:u w:val="none"/>
            <w:lang w:val="en-GB"/>
          </w:rPr>
          <w:t xml:space="preserve"> risk - insights from genetic studies. </w:t>
        </w:r>
      </w:hyperlink>
      <w:r w:rsidRPr="00004558">
        <w:rPr>
          <w:rStyle w:val="docsum-journal-citation"/>
          <w:rFonts w:ascii="Times New Roman" w:hAnsi="Times New Roman"/>
          <w:i/>
          <w:sz w:val="24"/>
          <w:szCs w:val="24"/>
          <w:lang w:val="en-GB"/>
        </w:rPr>
        <w:t>J Intern Med.</w:t>
      </w:r>
      <w:r w:rsidRPr="00004558">
        <w:rPr>
          <w:rStyle w:val="docsum-journal-citation"/>
          <w:rFonts w:ascii="Times New Roman" w:hAnsi="Times New Roman"/>
          <w:b/>
          <w:sz w:val="24"/>
          <w:szCs w:val="24"/>
          <w:lang w:val="en-GB"/>
        </w:rPr>
        <w:t xml:space="preserve"> 288</w:t>
      </w:r>
      <w:r w:rsidRPr="00004558">
        <w:rPr>
          <w:rStyle w:val="docsum-journal-citation"/>
          <w:rFonts w:ascii="Times New Roman" w:hAnsi="Times New Roman"/>
          <w:sz w:val="24"/>
          <w:szCs w:val="24"/>
          <w:lang w:val="en-GB"/>
        </w:rPr>
        <w:t>, 271-283. doi: 10.1111/joim.13082 (2020).</w:t>
      </w:r>
      <w:r w:rsidR="00C37431" w:rsidRPr="00004558">
        <w:rPr>
          <w:rFonts w:ascii="Times New Roman" w:hAnsi="Times New Roman"/>
          <w:sz w:val="24"/>
          <w:szCs w:val="24"/>
          <w:lang w:val="en-GB"/>
        </w:rPr>
        <w:fldChar w:fldCharType="begin"/>
      </w:r>
      <w:r w:rsidR="00C37431" w:rsidRPr="00004558">
        <w:rPr>
          <w:rFonts w:ascii="Times New Roman" w:hAnsi="Times New Roman"/>
          <w:sz w:val="24"/>
          <w:szCs w:val="24"/>
          <w:lang w:val="en-GB"/>
        </w:rPr>
        <w:instrText xml:space="preserve"> ADDIN ZOTERO_BIBL {"uncited":[],"omitted":[],"custom":[]} CSL_BIBLIOGRAPHY </w:instrText>
      </w:r>
      <w:r w:rsidR="00C37431" w:rsidRPr="00004558">
        <w:rPr>
          <w:rFonts w:ascii="Times New Roman" w:hAnsi="Times New Roman"/>
          <w:sz w:val="24"/>
          <w:szCs w:val="24"/>
          <w:lang w:val="en-GB"/>
        </w:rPr>
        <w:fldChar w:fldCharType="separate"/>
      </w:r>
    </w:p>
    <w:p w14:paraId="0C5647E7" w14:textId="77777777" w:rsidR="004C66A8" w:rsidRPr="00004558" w:rsidRDefault="00C37431" w:rsidP="004C66A8">
      <w:pPr>
        <w:spacing w:after="0" w:line="480" w:lineRule="auto"/>
        <w:rPr>
          <w:rFonts w:ascii="Times New Roman" w:hAnsi="Times New Roman"/>
          <w:sz w:val="24"/>
          <w:szCs w:val="24"/>
          <w:lang w:val="en-GB"/>
        </w:rPr>
      </w:pPr>
      <w:r w:rsidRPr="00004558">
        <w:rPr>
          <w:rFonts w:ascii="Times New Roman" w:hAnsi="Times New Roman"/>
          <w:sz w:val="24"/>
          <w:szCs w:val="24"/>
          <w:lang w:val="en-GB"/>
        </w:rPr>
        <w:fldChar w:fldCharType="end"/>
      </w:r>
    </w:p>
    <w:p w14:paraId="26370F7C" w14:textId="4152460D" w:rsidR="008B5489" w:rsidRPr="00004558" w:rsidRDefault="008B5489" w:rsidP="004C66A8">
      <w:pPr>
        <w:spacing w:after="0" w:line="480" w:lineRule="auto"/>
        <w:rPr>
          <w:sz w:val="24"/>
          <w:szCs w:val="24"/>
          <w:lang w:val="en-GB" w:eastAsia="zh-CN"/>
        </w:rPr>
      </w:pPr>
      <w:r w:rsidRPr="00004558">
        <w:rPr>
          <w:rFonts w:ascii="Times New Roman" w:hAnsi="Times New Roman"/>
          <w:b/>
          <w:bCs/>
          <w:sz w:val="24"/>
          <w:szCs w:val="24"/>
          <w:lang w:val="en-GB"/>
        </w:rPr>
        <w:t>Acknowledgements</w:t>
      </w:r>
    </w:p>
    <w:p w14:paraId="2959D706" w14:textId="77777777" w:rsidR="008B5489" w:rsidRPr="00004558" w:rsidRDefault="008B5489" w:rsidP="004C66A8">
      <w:pPr>
        <w:pStyle w:val="NoSpacing"/>
        <w:spacing w:line="480" w:lineRule="auto"/>
        <w:rPr>
          <w:rFonts w:ascii="Times New Roman" w:hAnsi="Times New Roman"/>
          <w:sz w:val="24"/>
          <w:szCs w:val="24"/>
          <w:lang w:val="en-GB"/>
        </w:rPr>
      </w:pPr>
      <w:r w:rsidRPr="00004558">
        <w:rPr>
          <w:rFonts w:ascii="Times New Roman" w:hAnsi="Times New Roman"/>
          <w:sz w:val="24"/>
          <w:szCs w:val="24"/>
          <w:lang w:val="en-GB"/>
        </w:rPr>
        <w:t>We would like to thank the S-PRESTO study group, which includes Anne Eng Neo Goh, Anne Rifkin-Graboi, Anqi Qiu, Bee Wah Lee, Bernard Chern, Bobby Cheon, Christiani Jeyakumar Henry, Ciaran Gerard Forde, Doris Fok, Elaine Quah, Elizabeth Tham, Evelyn Chung Ning Law, Evelyn Xiu Ling Loo, Faidon Magkos, Falk Mueller-Riemenschneider, George Seow Heong Yeo, Helen Yu Chen, Heng Hao Tan, Hugo P S van Bever, Joanne Yoong, Joao N. Ferreira., Jonathan Tze Liang Choo, Kenneth Kwek, Kuan Jin Lee, Lieng Hsi Ling, Ling Wei Chen, Lourdes Mary Daniel, Marielle V. Fortier, Mary Foong-Fong Chong, Mei Chien Chua, Michael Meaney, Neerja Karnani, Oon Hoe Teoh, Peter D. Gluckman, Queenie Ling Jun Li, Sendhil Velan, Seng Bin Ang, Shephali Tagore, Shirong Cai, Sok Bee Lim, Stella Tsotsi, Stephen Chin-Ying Hsu, Sue Anne Toh, Teng Hong Tan, Tong Wei Yew, Victor Samuel Rajadurai, Wee Meng Han, Wei Wei Pang, Yiong Huak Chan.</w:t>
      </w:r>
    </w:p>
    <w:p w14:paraId="769AC5E3" w14:textId="77777777" w:rsidR="008B5489" w:rsidRPr="00004558" w:rsidRDefault="008B5489" w:rsidP="002B12DF">
      <w:pPr>
        <w:pStyle w:val="NoSpacing"/>
        <w:spacing w:line="480" w:lineRule="auto"/>
        <w:rPr>
          <w:rFonts w:ascii="Times New Roman" w:hAnsi="Times New Roman"/>
          <w:bCs/>
          <w:sz w:val="24"/>
          <w:szCs w:val="24"/>
          <w:lang w:val="en-GB"/>
        </w:rPr>
      </w:pPr>
    </w:p>
    <w:p w14:paraId="2AA684F6" w14:textId="526D59BE" w:rsidR="008B5489" w:rsidRPr="00004558" w:rsidRDefault="008B5489" w:rsidP="002B12DF">
      <w:pPr>
        <w:pStyle w:val="NoSpacing"/>
        <w:spacing w:line="480" w:lineRule="auto"/>
        <w:rPr>
          <w:rFonts w:ascii="Times New Roman" w:hAnsi="Times New Roman"/>
          <w:b/>
          <w:bCs/>
          <w:sz w:val="24"/>
          <w:szCs w:val="24"/>
          <w:lang w:val="en-GB"/>
        </w:rPr>
      </w:pPr>
      <w:r w:rsidRPr="00004558">
        <w:rPr>
          <w:rFonts w:ascii="Times New Roman" w:hAnsi="Times New Roman"/>
          <w:b/>
          <w:bCs/>
          <w:sz w:val="24"/>
          <w:szCs w:val="24"/>
          <w:lang w:val="en-GB"/>
        </w:rPr>
        <w:t>Author contributions</w:t>
      </w:r>
      <w:r w:rsidR="00F26257" w:rsidRPr="00004558">
        <w:rPr>
          <w:rFonts w:ascii="Times New Roman" w:hAnsi="Times New Roman"/>
          <w:b/>
          <w:bCs/>
          <w:sz w:val="24"/>
          <w:szCs w:val="24"/>
          <w:lang w:val="en-GB"/>
        </w:rPr>
        <w:t xml:space="preserve"> statement</w:t>
      </w:r>
    </w:p>
    <w:p w14:paraId="7A7215BA" w14:textId="59099A6A" w:rsidR="008B5489" w:rsidRPr="00004558" w:rsidRDefault="008B5489" w:rsidP="002B12DF">
      <w:pPr>
        <w:autoSpaceDE w:val="0"/>
        <w:autoSpaceDN w:val="0"/>
        <w:adjustRightInd w:val="0"/>
        <w:spacing w:after="0" w:line="480" w:lineRule="auto"/>
        <w:rPr>
          <w:rFonts w:ascii="Times New Roman" w:hAnsi="Times New Roman"/>
          <w:sz w:val="24"/>
          <w:szCs w:val="24"/>
          <w:lang w:val="en-GB"/>
        </w:rPr>
      </w:pPr>
      <w:r w:rsidRPr="00004558">
        <w:rPr>
          <w:rFonts w:ascii="Times New Roman" w:hAnsi="Times New Roman"/>
          <w:sz w:val="24"/>
          <w:szCs w:val="24"/>
          <w:lang w:val="en-GB"/>
        </w:rPr>
        <w:t>K</w:t>
      </w:r>
      <w:r w:rsidR="00F26257" w:rsidRPr="00004558">
        <w:rPr>
          <w:rFonts w:ascii="Times New Roman" w:hAnsi="Times New Roman"/>
          <w:sz w:val="24"/>
          <w:szCs w:val="24"/>
          <w:lang w:val="en-GB"/>
        </w:rPr>
        <w:t>.</w:t>
      </w:r>
      <w:r w:rsidRPr="00004558">
        <w:rPr>
          <w:rFonts w:ascii="Times New Roman" w:hAnsi="Times New Roman"/>
          <w:sz w:val="24"/>
          <w:szCs w:val="24"/>
          <w:lang w:val="en-GB"/>
        </w:rPr>
        <w:t>M</w:t>
      </w:r>
      <w:r w:rsidR="00F26257" w:rsidRPr="00004558">
        <w:rPr>
          <w:rFonts w:ascii="Times New Roman" w:hAnsi="Times New Roman"/>
          <w:sz w:val="24"/>
          <w:szCs w:val="24"/>
          <w:lang w:val="en-GB"/>
        </w:rPr>
        <w:t>.</w:t>
      </w:r>
      <w:r w:rsidRPr="00004558">
        <w:rPr>
          <w:rFonts w:ascii="Times New Roman" w:hAnsi="Times New Roman"/>
          <w:sz w:val="24"/>
          <w:szCs w:val="24"/>
          <w:lang w:val="en-GB"/>
        </w:rPr>
        <w:t>G</w:t>
      </w:r>
      <w:r w:rsidR="00F26257" w:rsidRPr="00004558">
        <w:rPr>
          <w:rFonts w:ascii="Times New Roman" w:hAnsi="Times New Roman"/>
          <w:sz w:val="24"/>
          <w:szCs w:val="24"/>
          <w:lang w:val="en-GB"/>
        </w:rPr>
        <w:t>.</w:t>
      </w:r>
      <w:r w:rsidRPr="00004558">
        <w:rPr>
          <w:rFonts w:ascii="Times New Roman" w:hAnsi="Times New Roman"/>
          <w:sz w:val="24"/>
          <w:szCs w:val="24"/>
          <w:lang w:val="en-GB"/>
        </w:rPr>
        <w:t>, K</w:t>
      </w:r>
      <w:r w:rsidR="00F26257" w:rsidRPr="00004558">
        <w:rPr>
          <w:rFonts w:ascii="Times New Roman" w:hAnsi="Times New Roman"/>
          <w:sz w:val="24"/>
          <w:szCs w:val="24"/>
          <w:lang w:val="en-GB"/>
        </w:rPr>
        <w:t>.</w:t>
      </w:r>
      <w:r w:rsidRPr="00004558">
        <w:rPr>
          <w:rFonts w:ascii="Times New Roman" w:hAnsi="Times New Roman"/>
          <w:sz w:val="24"/>
          <w:szCs w:val="24"/>
          <w:lang w:val="en-GB"/>
        </w:rPr>
        <w:t>H</w:t>
      </w:r>
      <w:r w:rsidR="00F26257" w:rsidRPr="00004558">
        <w:rPr>
          <w:rFonts w:ascii="Times New Roman" w:hAnsi="Times New Roman"/>
          <w:sz w:val="24"/>
          <w:szCs w:val="24"/>
          <w:lang w:val="en-GB"/>
        </w:rPr>
        <w:t>.</w:t>
      </w:r>
      <w:r w:rsidRPr="00004558">
        <w:rPr>
          <w:rFonts w:ascii="Times New Roman" w:hAnsi="Times New Roman"/>
          <w:sz w:val="24"/>
          <w:szCs w:val="24"/>
          <w:lang w:val="en-GB"/>
        </w:rPr>
        <w:t>T</w:t>
      </w:r>
      <w:r w:rsidR="00F26257" w:rsidRPr="00004558">
        <w:rPr>
          <w:rFonts w:ascii="Times New Roman" w:hAnsi="Times New Roman"/>
          <w:sz w:val="24"/>
          <w:szCs w:val="24"/>
          <w:lang w:val="en-GB"/>
        </w:rPr>
        <w:t>.</w:t>
      </w:r>
      <w:r w:rsidRPr="00004558">
        <w:rPr>
          <w:rFonts w:ascii="Times New Roman" w:hAnsi="Times New Roman"/>
          <w:sz w:val="24"/>
          <w:szCs w:val="24"/>
          <w:lang w:val="en-GB"/>
        </w:rPr>
        <w:t>, L</w:t>
      </w:r>
      <w:r w:rsidR="00F26257" w:rsidRPr="00004558">
        <w:rPr>
          <w:rFonts w:ascii="Times New Roman" w:hAnsi="Times New Roman"/>
          <w:sz w:val="24"/>
          <w:szCs w:val="24"/>
          <w:lang w:val="en-GB"/>
        </w:rPr>
        <w:t>.</w:t>
      </w:r>
      <w:r w:rsidRPr="00004558">
        <w:rPr>
          <w:rFonts w:ascii="Times New Roman" w:hAnsi="Times New Roman"/>
          <w:sz w:val="24"/>
          <w:szCs w:val="24"/>
          <w:lang w:val="en-GB"/>
        </w:rPr>
        <w:t>P</w:t>
      </w:r>
      <w:r w:rsidR="00F26257" w:rsidRPr="00004558">
        <w:rPr>
          <w:rFonts w:ascii="Times New Roman" w:hAnsi="Times New Roman"/>
          <w:sz w:val="24"/>
          <w:szCs w:val="24"/>
          <w:lang w:val="en-GB"/>
        </w:rPr>
        <w:t>.</w:t>
      </w:r>
      <w:r w:rsidRPr="00004558">
        <w:rPr>
          <w:rFonts w:ascii="Times New Roman" w:hAnsi="Times New Roman"/>
          <w:sz w:val="24"/>
          <w:szCs w:val="24"/>
          <w:lang w:val="en-GB"/>
        </w:rPr>
        <w:t>C</w:t>
      </w:r>
      <w:r w:rsidR="00F26257" w:rsidRPr="00004558">
        <w:rPr>
          <w:rFonts w:ascii="Times New Roman" w:hAnsi="Times New Roman"/>
          <w:sz w:val="24"/>
          <w:szCs w:val="24"/>
          <w:lang w:val="en-GB"/>
        </w:rPr>
        <w:t>.</w:t>
      </w:r>
      <w:r w:rsidRPr="00004558">
        <w:rPr>
          <w:rFonts w:ascii="Times New Roman" w:hAnsi="Times New Roman"/>
          <w:sz w:val="24"/>
          <w:szCs w:val="24"/>
          <w:lang w:val="en-GB"/>
        </w:rPr>
        <w:t>S</w:t>
      </w:r>
      <w:r w:rsidR="00F26257" w:rsidRPr="00004558">
        <w:rPr>
          <w:rFonts w:ascii="Times New Roman" w:hAnsi="Times New Roman"/>
          <w:sz w:val="24"/>
          <w:szCs w:val="24"/>
          <w:lang w:val="en-GB"/>
        </w:rPr>
        <w:t>.</w:t>
      </w:r>
      <w:r w:rsidRPr="00004558">
        <w:rPr>
          <w:rFonts w:ascii="Times New Roman" w:hAnsi="Times New Roman"/>
          <w:sz w:val="24"/>
          <w:szCs w:val="24"/>
          <w:lang w:val="en-GB"/>
        </w:rPr>
        <w:t>, Y</w:t>
      </w:r>
      <w:r w:rsidR="00F26257" w:rsidRPr="00004558">
        <w:rPr>
          <w:rFonts w:ascii="Times New Roman" w:hAnsi="Times New Roman"/>
          <w:sz w:val="24"/>
          <w:szCs w:val="24"/>
          <w:lang w:val="en-GB"/>
        </w:rPr>
        <w:t>.</w:t>
      </w:r>
      <w:r w:rsidRPr="00004558">
        <w:rPr>
          <w:rFonts w:ascii="Times New Roman" w:hAnsi="Times New Roman"/>
          <w:sz w:val="24"/>
          <w:szCs w:val="24"/>
          <w:lang w:val="en-GB"/>
        </w:rPr>
        <w:t>S</w:t>
      </w:r>
      <w:r w:rsidR="00F26257" w:rsidRPr="00004558">
        <w:rPr>
          <w:rFonts w:ascii="Times New Roman" w:hAnsi="Times New Roman"/>
          <w:sz w:val="24"/>
          <w:szCs w:val="24"/>
          <w:lang w:val="en-GB"/>
        </w:rPr>
        <w:t>.</w:t>
      </w:r>
      <w:r w:rsidRPr="00004558">
        <w:rPr>
          <w:rFonts w:ascii="Times New Roman" w:hAnsi="Times New Roman"/>
          <w:sz w:val="24"/>
          <w:szCs w:val="24"/>
          <w:lang w:val="en-GB"/>
        </w:rPr>
        <w:t>C</w:t>
      </w:r>
      <w:r w:rsidR="00F26257" w:rsidRPr="00004558">
        <w:rPr>
          <w:rFonts w:ascii="Times New Roman" w:hAnsi="Times New Roman"/>
          <w:sz w:val="24"/>
          <w:szCs w:val="24"/>
          <w:lang w:val="en-GB"/>
        </w:rPr>
        <w:t>.</w:t>
      </w:r>
      <w:r w:rsidRPr="00004558">
        <w:rPr>
          <w:rFonts w:ascii="Times New Roman" w:hAnsi="Times New Roman"/>
          <w:sz w:val="24"/>
          <w:szCs w:val="24"/>
          <w:lang w:val="en-GB"/>
        </w:rPr>
        <w:t>, S</w:t>
      </w:r>
      <w:r w:rsidR="00F26257" w:rsidRPr="00004558">
        <w:rPr>
          <w:rFonts w:ascii="Times New Roman" w:hAnsi="Times New Roman"/>
          <w:sz w:val="24"/>
          <w:szCs w:val="24"/>
          <w:lang w:val="en-GB"/>
        </w:rPr>
        <w:t>.</w:t>
      </w:r>
      <w:r w:rsidRPr="00004558">
        <w:rPr>
          <w:rFonts w:ascii="Times New Roman" w:hAnsi="Times New Roman"/>
          <w:sz w:val="24"/>
          <w:szCs w:val="24"/>
          <w:lang w:val="en-GB"/>
        </w:rPr>
        <w:t>Y</w:t>
      </w:r>
      <w:r w:rsidR="00F26257" w:rsidRPr="00004558">
        <w:rPr>
          <w:rFonts w:ascii="Times New Roman" w:hAnsi="Times New Roman"/>
          <w:sz w:val="24"/>
          <w:szCs w:val="24"/>
          <w:lang w:val="en-GB"/>
        </w:rPr>
        <w:t>.</w:t>
      </w:r>
      <w:r w:rsidRPr="00004558">
        <w:rPr>
          <w:rFonts w:ascii="Times New Roman" w:hAnsi="Times New Roman"/>
          <w:sz w:val="24"/>
          <w:szCs w:val="24"/>
          <w:lang w:val="en-GB"/>
        </w:rPr>
        <w:t>C</w:t>
      </w:r>
      <w:r w:rsidR="00F26257" w:rsidRPr="00004558">
        <w:rPr>
          <w:rFonts w:ascii="Times New Roman" w:hAnsi="Times New Roman"/>
          <w:sz w:val="24"/>
          <w:szCs w:val="24"/>
          <w:lang w:val="en-GB"/>
        </w:rPr>
        <w:t>.</w:t>
      </w:r>
      <w:r w:rsidRPr="00004558">
        <w:rPr>
          <w:rFonts w:ascii="Times New Roman" w:hAnsi="Times New Roman"/>
          <w:sz w:val="24"/>
          <w:szCs w:val="24"/>
          <w:lang w:val="en-GB"/>
        </w:rPr>
        <w:t>, J</w:t>
      </w:r>
      <w:r w:rsidR="00F26257" w:rsidRPr="00004558">
        <w:rPr>
          <w:rFonts w:ascii="Times New Roman" w:hAnsi="Times New Roman"/>
          <w:sz w:val="24"/>
          <w:szCs w:val="24"/>
          <w:lang w:val="en-GB"/>
        </w:rPr>
        <w:t>.</w:t>
      </w:r>
      <w:r w:rsidRPr="00004558">
        <w:rPr>
          <w:rFonts w:ascii="Times New Roman" w:hAnsi="Times New Roman"/>
          <w:sz w:val="24"/>
          <w:szCs w:val="24"/>
          <w:lang w:val="en-GB"/>
        </w:rPr>
        <w:t>K</w:t>
      </w:r>
      <w:r w:rsidR="00F26257" w:rsidRPr="00004558">
        <w:rPr>
          <w:rFonts w:ascii="Times New Roman" w:hAnsi="Times New Roman"/>
          <w:sz w:val="24"/>
          <w:szCs w:val="24"/>
          <w:lang w:val="en-GB"/>
        </w:rPr>
        <w:t>.</w:t>
      </w:r>
      <w:r w:rsidRPr="00004558">
        <w:rPr>
          <w:rFonts w:ascii="Times New Roman" w:hAnsi="Times New Roman"/>
          <w:sz w:val="24"/>
          <w:szCs w:val="24"/>
          <w:lang w:val="en-GB"/>
        </w:rPr>
        <w:t>Y</w:t>
      </w:r>
      <w:r w:rsidR="00F26257" w:rsidRPr="00004558">
        <w:rPr>
          <w:rFonts w:ascii="Times New Roman" w:hAnsi="Times New Roman"/>
          <w:sz w:val="24"/>
          <w:szCs w:val="24"/>
          <w:lang w:val="en-GB"/>
        </w:rPr>
        <w:t>.</w:t>
      </w:r>
      <w:r w:rsidRPr="00004558">
        <w:rPr>
          <w:rFonts w:ascii="Times New Roman" w:hAnsi="Times New Roman"/>
          <w:sz w:val="24"/>
          <w:szCs w:val="24"/>
          <w:lang w:val="en-GB"/>
        </w:rPr>
        <w:t>C</w:t>
      </w:r>
      <w:r w:rsidR="00F26257" w:rsidRPr="00004558">
        <w:rPr>
          <w:rFonts w:ascii="Times New Roman" w:hAnsi="Times New Roman"/>
          <w:sz w:val="24"/>
          <w:szCs w:val="24"/>
          <w:lang w:val="en-GB"/>
        </w:rPr>
        <w:t>.</w:t>
      </w:r>
      <w:r w:rsidRPr="00004558">
        <w:rPr>
          <w:rFonts w:ascii="Times New Roman" w:hAnsi="Times New Roman"/>
          <w:sz w:val="24"/>
          <w:szCs w:val="24"/>
          <w:lang w:val="en-GB"/>
        </w:rPr>
        <w:t xml:space="preserve"> and F</w:t>
      </w:r>
      <w:r w:rsidR="00F26257" w:rsidRPr="00004558">
        <w:rPr>
          <w:rFonts w:ascii="Times New Roman" w:hAnsi="Times New Roman"/>
          <w:sz w:val="24"/>
          <w:szCs w:val="24"/>
          <w:lang w:val="en-GB"/>
        </w:rPr>
        <w:t>.</w:t>
      </w:r>
      <w:r w:rsidRPr="00004558">
        <w:rPr>
          <w:rFonts w:ascii="Times New Roman" w:hAnsi="Times New Roman"/>
          <w:sz w:val="24"/>
          <w:szCs w:val="24"/>
          <w:lang w:val="en-GB"/>
        </w:rPr>
        <w:t>Y</w:t>
      </w:r>
      <w:r w:rsidR="00F26257" w:rsidRPr="00004558">
        <w:rPr>
          <w:rFonts w:ascii="Times New Roman" w:hAnsi="Times New Roman"/>
          <w:sz w:val="24"/>
          <w:szCs w:val="24"/>
          <w:lang w:val="en-GB"/>
        </w:rPr>
        <w:t>.</w:t>
      </w:r>
      <w:r w:rsidRPr="00004558">
        <w:rPr>
          <w:rFonts w:ascii="Times New Roman" w:hAnsi="Times New Roman"/>
          <w:sz w:val="24"/>
          <w:szCs w:val="24"/>
          <w:lang w:val="en-GB"/>
        </w:rPr>
        <w:t xml:space="preserve"> designed and led the S-PRESTO cohort study. F</w:t>
      </w:r>
      <w:r w:rsidR="00F26257" w:rsidRPr="00004558">
        <w:rPr>
          <w:rFonts w:ascii="Times New Roman" w:hAnsi="Times New Roman"/>
          <w:sz w:val="24"/>
          <w:szCs w:val="24"/>
          <w:lang w:val="en-GB"/>
        </w:rPr>
        <w:t>.</w:t>
      </w:r>
      <w:r w:rsidRPr="00004558">
        <w:rPr>
          <w:rFonts w:ascii="Times New Roman" w:hAnsi="Times New Roman"/>
          <w:sz w:val="24"/>
          <w:szCs w:val="24"/>
          <w:lang w:val="en-GB"/>
        </w:rPr>
        <w:t>Y</w:t>
      </w:r>
      <w:r w:rsidR="00F26257" w:rsidRPr="00004558">
        <w:rPr>
          <w:rFonts w:ascii="Times New Roman" w:hAnsi="Times New Roman"/>
          <w:sz w:val="24"/>
          <w:szCs w:val="24"/>
          <w:lang w:val="en-GB"/>
        </w:rPr>
        <w:t>.</w:t>
      </w:r>
      <w:r w:rsidRPr="00004558">
        <w:rPr>
          <w:rFonts w:ascii="Times New Roman" w:hAnsi="Times New Roman"/>
          <w:sz w:val="24"/>
          <w:szCs w:val="24"/>
          <w:lang w:val="en-GB"/>
        </w:rPr>
        <w:t xml:space="preserve"> designed and supervised the present study. S</w:t>
      </w:r>
      <w:r w:rsidR="00F26257" w:rsidRPr="00004558">
        <w:rPr>
          <w:rFonts w:ascii="Times New Roman" w:hAnsi="Times New Roman"/>
          <w:sz w:val="24"/>
          <w:szCs w:val="24"/>
          <w:lang w:val="en-GB"/>
        </w:rPr>
        <w:t>.</w:t>
      </w:r>
      <w:r w:rsidRPr="00004558">
        <w:rPr>
          <w:rFonts w:ascii="Times New Roman" w:hAnsi="Times New Roman"/>
          <w:sz w:val="24"/>
          <w:szCs w:val="24"/>
          <w:lang w:val="en-GB"/>
        </w:rPr>
        <w:t>L</w:t>
      </w:r>
      <w:r w:rsidR="00F26257" w:rsidRPr="00004558">
        <w:rPr>
          <w:rFonts w:ascii="Times New Roman" w:hAnsi="Times New Roman"/>
          <w:sz w:val="24"/>
          <w:szCs w:val="24"/>
          <w:lang w:val="en-GB"/>
        </w:rPr>
        <w:t>.</w:t>
      </w:r>
      <w:r w:rsidRPr="00004558">
        <w:rPr>
          <w:rFonts w:ascii="Times New Roman" w:hAnsi="Times New Roman"/>
          <w:sz w:val="24"/>
          <w:szCs w:val="24"/>
          <w:lang w:val="en-GB"/>
        </w:rPr>
        <w:t>L</w:t>
      </w:r>
      <w:r w:rsidR="00F26257" w:rsidRPr="00004558">
        <w:rPr>
          <w:rFonts w:ascii="Times New Roman" w:hAnsi="Times New Roman"/>
          <w:sz w:val="24"/>
          <w:szCs w:val="24"/>
          <w:lang w:val="en-GB"/>
        </w:rPr>
        <w:t>.</w:t>
      </w:r>
      <w:r w:rsidRPr="00004558">
        <w:rPr>
          <w:rFonts w:ascii="Times New Roman" w:hAnsi="Times New Roman"/>
          <w:sz w:val="24"/>
          <w:szCs w:val="24"/>
          <w:lang w:val="en-GB"/>
        </w:rPr>
        <w:t xml:space="preserve"> and J</w:t>
      </w:r>
      <w:r w:rsidR="00F26257" w:rsidRPr="00004558">
        <w:rPr>
          <w:rFonts w:ascii="Times New Roman" w:hAnsi="Times New Roman"/>
          <w:sz w:val="24"/>
          <w:szCs w:val="24"/>
          <w:lang w:val="en-GB"/>
        </w:rPr>
        <w:t>.</w:t>
      </w:r>
      <w:r w:rsidRPr="00004558">
        <w:rPr>
          <w:rFonts w:ascii="Times New Roman" w:hAnsi="Times New Roman"/>
          <w:sz w:val="24"/>
          <w:szCs w:val="24"/>
          <w:lang w:val="en-GB"/>
        </w:rPr>
        <w:t>L</w:t>
      </w:r>
      <w:r w:rsidR="00F26257" w:rsidRPr="00004558">
        <w:rPr>
          <w:rFonts w:ascii="Times New Roman" w:hAnsi="Times New Roman"/>
          <w:sz w:val="24"/>
          <w:szCs w:val="24"/>
          <w:lang w:val="en-GB"/>
        </w:rPr>
        <w:t>.</w:t>
      </w:r>
      <w:r w:rsidRPr="00004558">
        <w:rPr>
          <w:rFonts w:ascii="Times New Roman" w:hAnsi="Times New Roman"/>
          <w:sz w:val="24"/>
          <w:szCs w:val="24"/>
          <w:lang w:val="en-GB"/>
        </w:rPr>
        <w:t xml:space="preserve"> contributed to data management and cleaning. Y</w:t>
      </w:r>
      <w:r w:rsidR="00F26257" w:rsidRPr="00004558">
        <w:rPr>
          <w:rFonts w:ascii="Times New Roman" w:hAnsi="Times New Roman"/>
          <w:sz w:val="24"/>
          <w:szCs w:val="24"/>
          <w:lang w:val="en-GB"/>
        </w:rPr>
        <w:t>.</w:t>
      </w:r>
      <w:r w:rsidRPr="00004558">
        <w:rPr>
          <w:rFonts w:ascii="Times New Roman" w:hAnsi="Times New Roman"/>
          <w:sz w:val="24"/>
          <w:szCs w:val="24"/>
          <w:lang w:val="en-GB"/>
        </w:rPr>
        <w:t>B</w:t>
      </w:r>
      <w:r w:rsidR="00F26257" w:rsidRPr="00004558">
        <w:rPr>
          <w:rFonts w:ascii="Times New Roman" w:hAnsi="Times New Roman"/>
          <w:sz w:val="24"/>
          <w:szCs w:val="24"/>
          <w:lang w:val="en-GB"/>
        </w:rPr>
        <w:t>.</w:t>
      </w:r>
      <w:r w:rsidRPr="00004558">
        <w:rPr>
          <w:rFonts w:ascii="Times New Roman" w:hAnsi="Times New Roman"/>
          <w:sz w:val="24"/>
          <w:szCs w:val="24"/>
          <w:lang w:val="en-GB"/>
        </w:rPr>
        <w:t>C</w:t>
      </w:r>
      <w:r w:rsidR="00F26257" w:rsidRPr="00004558">
        <w:rPr>
          <w:rFonts w:ascii="Times New Roman" w:hAnsi="Times New Roman"/>
          <w:sz w:val="24"/>
          <w:szCs w:val="24"/>
          <w:lang w:val="en-GB"/>
        </w:rPr>
        <w:t>.</w:t>
      </w:r>
      <w:r w:rsidRPr="00004558">
        <w:rPr>
          <w:rFonts w:ascii="Times New Roman" w:hAnsi="Times New Roman"/>
          <w:sz w:val="24"/>
          <w:szCs w:val="24"/>
          <w:lang w:val="en-GB"/>
        </w:rPr>
        <w:t xml:space="preserve"> advised on the statistical analysis. S</w:t>
      </w:r>
      <w:r w:rsidR="00F26257" w:rsidRPr="00004558">
        <w:rPr>
          <w:rFonts w:ascii="Times New Roman" w:hAnsi="Times New Roman"/>
          <w:sz w:val="24"/>
          <w:szCs w:val="24"/>
          <w:lang w:val="en-GB"/>
        </w:rPr>
        <w:t>.</w:t>
      </w:r>
      <w:r w:rsidRPr="00004558">
        <w:rPr>
          <w:rFonts w:ascii="Times New Roman" w:hAnsi="Times New Roman"/>
          <w:sz w:val="24"/>
          <w:szCs w:val="24"/>
          <w:lang w:val="en-GB"/>
        </w:rPr>
        <w:t>L</w:t>
      </w:r>
      <w:r w:rsidR="00F26257" w:rsidRPr="00004558">
        <w:rPr>
          <w:rFonts w:ascii="Times New Roman" w:hAnsi="Times New Roman"/>
          <w:sz w:val="24"/>
          <w:szCs w:val="24"/>
          <w:lang w:val="en-GB"/>
        </w:rPr>
        <w:t>.</w:t>
      </w:r>
      <w:r w:rsidRPr="00004558">
        <w:rPr>
          <w:rFonts w:ascii="Times New Roman" w:hAnsi="Times New Roman"/>
          <w:sz w:val="24"/>
          <w:szCs w:val="24"/>
          <w:lang w:val="en-GB"/>
        </w:rPr>
        <w:t>L</w:t>
      </w:r>
      <w:r w:rsidR="00F26257" w:rsidRPr="00004558">
        <w:rPr>
          <w:rFonts w:ascii="Times New Roman" w:hAnsi="Times New Roman"/>
          <w:sz w:val="24"/>
          <w:szCs w:val="24"/>
          <w:lang w:val="en-GB"/>
        </w:rPr>
        <w:t>.</w:t>
      </w:r>
      <w:r w:rsidRPr="00004558">
        <w:rPr>
          <w:rFonts w:ascii="Times New Roman" w:hAnsi="Times New Roman"/>
          <w:sz w:val="24"/>
          <w:szCs w:val="24"/>
          <w:lang w:val="en-GB"/>
        </w:rPr>
        <w:t xml:space="preserve"> and J</w:t>
      </w:r>
      <w:r w:rsidR="00F26257" w:rsidRPr="00004558">
        <w:rPr>
          <w:rFonts w:ascii="Times New Roman" w:hAnsi="Times New Roman"/>
          <w:sz w:val="24"/>
          <w:szCs w:val="24"/>
          <w:lang w:val="en-GB"/>
        </w:rPr>
        <w:t>.</w:t>
      </w:r>
      <w:r w:rsidRPr="00004558">
        <w:rPr>
          <w:rFonts w:ascii="Times New Roman" w:hAnsi="Times New Roman"/>
          <w:sz w:val="24"/>
          <w:szCs w:val="24"/>
          <w:lang w:val="en-GB"/>
        </w:rPr>
        <w:t>L</w:t>
      </w:r>
      <w:r w:rsidR="00F26257" w:rsidRPr="00004558">
        <w:rPr>
          <w:rFonts w:ascii="Times New Roman" w:hAnsi="Times New Roman"/>
          <w:sz w:val="24"/>
          <w:szCs w:val="24"/>
          <w:lang w:val="en-GB"/>
        </w:rPr>
        <w:t>.</w:t>
      </w:r>
      <w:r w:rsidRPr="00004558">
        <w:rPr>
          <w:rFonts w:ascii="Times New Roman" w:hAnsi="Times New Roman"/>
          <w:sz w:val="24"/>
          <w:szCs w:val="24"/>
          <w:lang w:val="en-GB"/>
        </w:rPr>
        <w:t xml:space="preserve"> performed data analysis and drafted the manuscript. Y</w:t>
      </w:r>
      <w:r w:rsidR="00F26257" w:rsidRPr="00004558">
        <w:rPr>
          <w:rFonts w:ascii="Times New Roman" w:hAnsi="Times New Roman"/>
          <w:sz w:val="24"/>
          <w:szCs w:val="24"/>
          <w:lang w:val="en-GB"/>
        </w:rPr>
        <w:t>.</w:t>
      </w:r>
      <w:r w:rsidRPr="00004558">
        <w:rPr>
          <w:rFonts w:ascii="Times New Roman" w:hAnsi="Times New Roman"/>
          <w:sz w:val="24"/>
          <w:szCs w:val="24"/>
          <w:lang w:val="en-GB"/>
        </w:rPr>
        <w:t>B</w:t>
      </w:r>
      <w:r w:rsidR="00F26257" w:rsidRPr="00004558">
        <w:rPr>
          <w:rFonts w:ascii="Times New Roman" w:hAnsi="Times New Roman"/>
          <w:sz w:val="24"/>
          <w:szCs w:val="24"/>
          <w:lang w:val="en-GB"/>
        </w:rPr>
        <w:t>.</w:t>
      </w:r>
      <w:r w:rsidRPr="00004558">
        <w:rPr>
          <w:rFonts w:ascii="Times New Roman" w:hAnsi="Times New Roman"/>
          <w:sz w:val="24"/>
          <w:szCs w:val="24"/>
          <w:lang w:val="en-GB"/>
        </w:rPr>
        <w:t>C</w:t>
      </w:r>
      <w:r w:rsidR="00F26257" w:rsidRPr="00004558">
        <w:rPr>
          <w:rFonts w:ascii="Times New Roman" w:hAnsi="Times New Roman"/>
          <w:sz w:val="24"/>
          <w:szCs w:val="24"/>
          <w:lang w:val="en-GB"/>
        </w:rPr>
        <w:t>.</w:t>
      </w:r>
      <w:r w:rsidRPr="00004558">
        <w:rPr>
          <w:rFonts w:ascii="Times New Roman" w:hAnsi="Times New Roman"/>
          <w:sz w:val="24"/>
          <w:szCs w:val="24"/>
          <w:lang w:val="en-GB"/>
        </w:rPr>
        <w:t>, A</w:t>
      </w:r>
      <w:r w:rsidR="00F26257" w:rsidRPr="00004558">
        <w:rPr>
          <w:rFonts w:ascii="Times New Roman" w:hAnsi="Times New Roman"/>
          <w:sz w:val="24"/>
          <w:szCs w:val="24"/>
          <w:lang w:val="en-GB"/>
        </w:rPr>
        <w:t>.</w:t>
      </w:r>
      <w:r w:rsidRPr="00004558">
        <w:rPr>
          <w:rFonts w:ascii="Times New Roman" w:hAnsi="Times New Roman"/>
          <w:sz w:val="24"/>
          <w:szCs w:val="24"/>
          <w:lang w:val="en-GB"/>
        </w:rPr>
        <w:t>V</w:t>
      </w:r>
      <w:r w:rsidR="00F26257" w:rsidRPr="00004558">
        <w:rPr>
          <w:rFonts w:ascii="Times New Roman" w:hAnsi="Times New Roman"/>
          <w:sz w:val="24"/>
          <w:szCs w:val="24"/>
          <w:lang w:val="en-GB"/>
        </w:rPr>
        <w:t>.</w:t>
      </w:r>
      <w:r w:rsidRPr="00004558">
        <w:rPr>
          <w:rFonts w:ascii="Times New Roman" w:hAnsi="Times New Roman"/>
          <w:sz w:val="24"/>
          <w:szCs w:val="24"/>
          <w:lang w:val="en-GB"/>
        </w:rPr>
        <w:t>S</w:t>
      </w:r>
      <w:r w:rsidR="00F26257" w:rsidRPr="00004558">
        <w:rPr>
          <w:rFonts w:ascii="Times New Roman" w:hAnsi="Times New Roman"/>
          <w:sz w:val="24"/>
          <w:szCs w:val="24"/>
          <w:lang w:val="en-GB"/>
        </w:rPr>
        <w:t>.</w:t>
      </w:r>
      <w:r w:rsidRPr="00004558">
        <w:rPr>
          <w:rFonts w:ascii="Times New Roman" w:hAnsi="Times New Roman"/>
          <w:sz w:val="24"/>
          <w:szCs w:val="24"/>
          <w:lang w:val="en-GB"/>
        </w:rPr>
        <w:t>, X</w:t>
      </w:r>
      <w:r w:rsidR="00F26257" w:rsidRPr="00004558">
        <w:rPr>
          <w:rFonts w:ascii="Times New Roman" w:hAnsi="Times New Roman"/>
          <w:sz w:val="24"/>
          <w:szCs w:val="24"/>
          <w:lang w:val="en-GB"/>
        </w:rPr>
        <w:t>.</w:t>
      </w:r>
      <w:r w:rsidRPr="00004558">
        <w:rPr>
          <w:rFonts w:ascii="Times New Roman" w:hAnsi="Times New Roman"/>
          <w:sz w:val="24"/>
          <w:szCs w:val="24"/>
          <w:lang w:val="en-GB"/>
        </w:rPr>
        <w:t>C</w:t>
      </w:r>
      <w:r w:rsidR="00F26257" w:rsidRPr="00004558">
        <w:rPr>
          <w:rFonts w:ascii="Times New Roman" w:hAnsi="Times New Roman"/>
          <w:sz w:val="24"/>
          <w:szCs w:val="24"/>
          <w:lang w:val="en-GB"/>
        </w:rPr>
        <w:t>.</w:t>
      </w:r>
      <w:r w:rsidRPr="00004558">
        <w:rPr>
          <w:rFonts w:ascii="Times New Roman" w:hAnsi="Times New Roman"/>
          <w:sz w:val="24"/>
          <w:szCs w:val="24"/>
          <w:lang w:val="en-GB"/>
        </w:rPr>
        <w:t>, K</w:t>
      </w:r>
      <w:r w:rsidR="00F26257" w:rsidRPr="00004558">
        <w:rPr>
          <w:rFonts w:ascii="Times New Roman" w:hAnsi="Times New Roman"/>
          <w:sz w:val="24"/>
          <w:szCs w:val="24"/>
          <w:lang w:val="en-GB"/>
        </w:rPr>
        <w:t>.</w:t>
      </w:r>
      <w:r w:rsidRPr="00004558">
        <w:rPr>
          <w:rFonts w:ascii="Times New Roman" w:hAnsi="Times New Roman"/>
          <w:sz w:val="24"/>
          <w:szCs w:val="24"/>
          <w:lang w:val="en-GB"/>
        </w:rPr>
        <w:t>M</w:t>
      </w:r>
      <w:r w:rsidR="00F26257" w:rsidRPr="00004558">
        <w:rPr>
          <w:rFonts w:ascii="Times New Roman" w:hAnsi="Times New Roman"/>
          <w:sz w:val="24"/>
          <w:szCs w:val="24"/>
          <w:lang w:val="en-GB"/>
        </w:rPr>
        <w:t>.</w:t>
      </w:r>
      <w:r w:rsidRPr="00004558">
        <w:rPr>
          <w:rFonts w:ascii="Times New Roman" w:hAnsi="Times New Roman"/>
          <w:sz w:val="24"/>
          <w:szCs w:val="24"/>
          <w:lang w:val="en-GB"/>
        </w:rPr>
        <w:t>G</w:t>
      </w:r>
      <w:r w:rsidR="00F26257" w:rsidRPr="00004558">
        <w:rPr>
          <w:rFonts w:ascii="Times New Roman" w:hAnsi="Times New Roman"/>
          <w:sz w:val="24"/>
          <w:szCs w:val="24"/>
          <w:lang w:val="en-GB"/>
        </w:rPr>
        <w:t>.</w:t>
      </w:r>
      <w:r w:rsidRPr="00004558">
        <w:rPr>
          <w:rFonts w:ascii="Times New Roman" w:hAnsi="Times New Roman"/>
          <w:sz w:val="24"/>
          <w:szCs w:val="24"/>
          <w:lang w:val="en-GB"/>
        </w:rPr>
        <w:t>, M</w:t>
      </w:r>
      <w:r w:rsidR="00F26257" w:rsidRPr="00004558">
        <w:rPr>
          <w:rFonts w:ascii="Times New Roman" w:hAnsi="Times New Roman"/>
          <w:sz w:val="24"/>
          <w:szCs w:val="24"/>
          <w:lang w:val="en-GB"/>
        </w:rPr>
        <w:t>.</w:t>
      </w:r>
      <w:r w:rsidR="00FB6183" w:rsidRPr="00004558">
        <w:rPr>
          <w:rFonts w:ascii="Times New Roman" w:hAnsi="Times New Roman"/>
          <w:sz w:val="24"/>
          <w:szCs w:val="24"/>
          <w:lang w:val="en-GB"/>
        </w:rPr>
        <w:t>K.S.</w:t>
      </w:r>
      <w:r w:rsidRPr="00004558">
        <w:rPr>
          <w:rFonts w:ascii="Times New Roman" w:hAnsi="Times New Roman"/>
          <w:sz w:val="24"/>
          <w:szCs w:val="24"/>
          <w:lang w:val="en-GB"/>
        </w:rPr>
        <w:t>L</w:t>
      </w:r>
      <w:r w:rsidR="00F26257" w:rsidRPr="00004558">
        <w:rPr>
          <w:rFonts w:ascii="Times New Roman" w:hAnsi="Times New Roman"/>
          <w:sz w:val="24"/>
          <w:szCs w:val="24"/>
          <w:lang w:val="en-GB"/>
        </w:rPr>
        <w:t>.</w:t>
      </w:r>
      <w:r w:rsidRPr="00004558">
        <w:rPr>
          <w:rFonts w:ascii="Times New Roman" w:hAnsi="Times New Roman"/>
          <w:sz w:val="24"/>
          <w:szCs w:val="24"/>
          <w:lang w:val="en-GB"/>
        </w:rPr>
        <w:t>, C</w:t>
      </w:r>
      <w:r w:rsidR="00F26257" w:rsidRPr="00004558">
        <w:rPr>
          <w:rFonts w:ascii="Times New Roman" w:hAnsi="Times New Roman"/>
          <w:sz w:val="24"/>
          <w:szCs w:val="24"/>
          <w:lang w:val="en-GB"/>
        </w:rPr>
        <w:t>.</w:t>
      </w:r>
      <w:r w:rsidRPr="00004558">
        <w:rPr>
          <w:rFonts w:ascii="Times New Roman" w:hAnsi="Times New Roman"/>
          <w:sz w:val="24"/>
          <w:szCs w:val="24"/>
          <w:lang w:val="en-GB"/>
        </w:rPr>
        <w:t>M</w:t>
      </w:r>
      <w:r w:rsidR="00F26257" w:rsidRPr="00004558">
        <w:rPr>
          <w:rFonts w:ascii="Times New Roman" w:hAnsi="Times New Roman"/>
          <w:sz w:val="24"/>
          <w:szCs w:val="24"/>
          <w:lang w:val="en-GB"/>
        </w:rPr>
        <w:t>.</w:t>
      </w:r>
      <w:r w:rsidRPr="00004558">
        <w:rPr>
          <w:rFonts w:ascii="Times New Roman" w:hAnsi="Times New Roman"/>
          <w:sz w:val="24"/>
          <w:szCs w:val="24"/>
          <w:lang w:val="en-GB"/>
        </w:rPr>
        <w:t>K</w:t>
      </w:r>
      <w:r w:rsidR="00F26257" w:rsidRPr="00004558">
        <w:rPr>
          <w:rFonts w:ascii="Times New Roman" w:hAnsi="Times New Roman"/>
          <w:sz w:val="24"/>
          <w:szCs w:val="24"/>
          <w:lang w:val="en-GB"/>
        </w:rPr>
        <w:t>.</w:t>
      </w:r>
      <w:r w:rsidRPr="00004558">
        <w:rPr>
          <w:rFonts w:ascii="Times New Roman" w:hAnsi="Times New Roman"/>
          <w:sz w:val="24"/>
          <w:szCs w:val="24"/>
          <w:lang w:val="en-GB"/>
        </w:rPr>
        <w:t>, Y</w:t>
      </w:r>
      <w:r w:rsidR="00F26257" w:rsidRPr="00004558">
        <w:rPr>
          <w:rFonts w:ascii="Times New Roman" w:hAnsi="Times New Roman"/>
          <w:sz w:val="24"/>
          <w:szCs w:val="24"/>
          <w:lang w:val="en-GB"/>
        </w:rPr>
        <w:t>.</w:t>
      </w:r>
      <w:r w:rsidRPr="00004558">
        <w:rPr>
          <w:rFonts w:ascii="Times New Roman" w:hAnsi="Times New Roman"/>
          <w:sz w:val="24"/>
          <w:szCs w:val="24"/>
          <w:lang w:val="en-GB"/>
        </w:rPr>
        <w:t>S</w:t>
      </w:r>
      <w:r w:rsidR="00F26257" w:rsidRPr="00004558">
        <w:rPr>
          <w:rFonts w:ascii="Times New Roman" w:hAnsi="Times New Roman"/>
          <w:sz w:val="24"/>
          <w:szCs w:val="24"/>
          <w:lang w:val="en-GB"/>
        </w:rPr>
        <w:t>.</w:t>
      </w:r>
      <w:r w:rsidRPr="00004558">
        <w:rPr>
          <w:rFonts w:ascii="Times New Roman" w:hAnsi="Times New Roman"/>
          <w:sz w:val="24"/>
          <w:szCs w:val="24"/>
          <w:lang w:val="en-GB"/>
        </w:rPr>
        <w:t>L</w:t>
      </w:r>
      <w:r w:rsidR="00F26257" w:rsidRPr="00004558">
        <w:rPr>
          <w:rFonts w:ascii="Times New Roman" w:hAnsi="Times New Roman"/>
          <w:sz w:val="24"/>
          <w:szCs w:val="24"/>
          <w:lang w:val="en-GB"/>
        </w:rPr>
        <w:t>.</w:t>
      </w:r>
      <w:r w:rsidRPr="00004558">
        <w:rPr>
          <w:rFonts w:ascii="Times New Roman" w:hAnsi="Times New Roman"/>
          <w:sz w:val="24"/>
          <w:szCs w:val="24"/>
          <w:lang w:val="en-GB"/>
        </w:rPr>
        <w:t>, S</w:t>
      </w:r>
      <w:r w:rsidR="00F26257" w:rsidRPr="00004558">
        <w:rPr>
          <w:rFonts w:ascii="Times New Roman" w:hAnsi="Times New Roman"/>
          <w:sz w:val="24"/>
          <w:szCs w:val="24"/>
          <w:lang w:val="en-GB"/>
        </w:rPr>
        <w:t>.</w:t>
      </w:r>
      <w:r w:rsidRPr="00004558">
        <w:rPr>
          <w:rFonts w:ascii="Times New Roman" w:hAnsi="Times New Roman"/>
          <w:sz w:val="24"/>
          <w:szCs w:val="24"/>
          <w:lang w:val="en-GB"/>
        </w:rPr>
        <w:t>Y</w:t>
      </w:r>
      <w:r w:rsidR="00F26257" w:rsidRPr="00004558">
        <w:rPr>
          <w:rFonts w:ascii="Times New Roman" w:hAnsi="Times New Roman"/>
          <w:sz w:val="24"/>
          <w:szCs w:val="24"/>
          <w:lang w:val="en-GB"/>
        </w:rPr>
        <w:t>.</w:t>
      </w:r>
      <w:r w:rsidRPr="00004558">
        <w:rPr>
          <w:rFonts w:ascii="Times New Roman" w:hAnsi="Times New Roman"/>
          <w:sz w:val="24"/>
          <w:szCs w:val="24"/>
          <w:lang w:val="en-GB"/>
        </w:rPr>
        <w:t>C</w:t>
      </w:r>
      <w:r w:rsidR="00F26257" w:rsidRPr="00004558">
        <w:rPr>
          <w:rFonts w:ascii="Times New Roman" w:hAnsi="Times New Roman"/>
          <w:sz w:val="24"/>
          <w:szCs w:val="24"/>
          <w:lang w:val="en-GB"/>
        </w:rPr>
        <w:t>.</w:t>
      </w:r>
      <w:r w:rsidRPr="00004558">
        <w:rPr>
          <w:rFonts w:ascii="Times New Roman" w:hAnsi="Times New Roman"/>
          <w:sz w:val="24"/>
          <w:szCs w:val="24"/>
          <w:lang w:val="en-GB"/>
        </w:rPr>
        <w:t>, N</w:t>
      </w:r>
      <w:r w:rsidR="00F26257" w:rsidRPr="00004558">
        <w:rPr>
          <w:rFonts w:ascii="Times New Roman" w:hAnsi="Times New Roman"/>
          <w:sz w:val="24"/>
          <w:szCs w:val="24"/>
          <w:lang w:val="en-GB"/>
        </w:rPr>
        <w:t>.</w:t>
      </w:r>
      <w:r w:rsidRPr="00004558">
        <w:rPr>
          <w:rFonts w:ascii="Times New Roman" w:hAnsi="Times New Roman"/>
          <w:sz w:val="24"/>
          <w:szCs w:val="24"/>
          <w:lang w:val="en-GB"/>
        </w:rPr>
        <w:t>L</w:t>
      </w:r>
      <w:r w:rsidR="00F26257" w:rsidRPr="00004558">
        <w:rPr>
          <w:rFonts w:ascii="Times New Roman" w:hAnsi="Times New Roman"/>
          <w:sz w:val="24"/>
          <w:szCs w:val="24"/>
          <w:lang w:val="en-GB"/>
        </w:rPr>
        <w:t>.</w:t>
      </w:r>
      <w:r w:rsidRPr="00004558">
        <w:rPr>
          <w:rFonts w:ascii="Times New Roman" w:hAnsi="Times New Roman"/>
          <w:sz w:val="24"/>
          <w:szCs w:val="24"/>
          <w:lang w:val="en-GB"/>
        </w:rPr>
        <w:t>, J</w:t>
      </w:r>
      <w:r w:rsidR="00F26257" w:rsidRPr="00004558">
        <w:rPr>
          <w:rFonts w:ascii="Times New Roman" w:hAnsi="Times New Roman"/>
          <w:sz w:val="24"/>
          <w:szCs w:val="24"/>
          <w:lang w:val="en-GB"/>
        </w:rPr>
        <w:t>.</w:t>
      </w:r>
      <w:r w:rsidRPr="00004558">
        <w:rPr>
          <w:rFonts w:ascii="Times New Roman" w:hAnsi="Times New Roman"/>
          <w:sz w:val="24"/>
          <w:szCs w:val="24"/>
          <w:lang w:val="en-GB"/>
        </w:rPr>
        <w:t>C</w:t>
      </w:r>
      <w:r w:rsidR="00F26257" w:rsidRPr="00004558">
        <w:rPr>
          <w:rFonts w:ascii="Times New Roman" w:hAnsi="Times New Roman"/>
          <w:sz w:val="24"/>
          <w:szCs w:val="24"/>
          <w:lang w:val="en-GB"/>
        </w:rPr>
        <w:t>.</w:t>
      </w:r>
      <w:r w:rsidRPr="00004558">
        <w:rPr>
          <w:rFonts w:ascii="Times New Roman" w:hAnsi="Times New Roman"/>
          <w:sz w:val="24"/>
          <w:szCs w:val="24"/>
          <w:lang w:val="en-GB"/>
        </w:rPr>
        <w:t xml:space="preserve"> and F</w:t>
      </w:r>
      <w:r w:rsidR="00F26257" w:rsidRPr="00004558">
        <w:rPr>
          <w:rFonts w:ascii="Times New Roman" w:hAnsi="Times New Roman"/>
          <w:sz w:val="24"/>
          <w:szCs w:val="24"/>
          <w:lang w:val="en-GB"/>
        </w:rPr>
        <w:t>.</w:t>
      </w:r>
      <w:r w:rsidRPr="00004558">
        <w:rPr>
          <w:rFonts w:ascii="Times New Roman" w:hAnsi="Times New Roman"/>
          <w:sz w:val="24"/>
          <w:szCs w:val="24"/>
          <w:lang w:val="en-GB"/>
        </w:rPr>
        <w:t>Y</w:t>
      </w:r>
      <w:r w:rsidR="00F26257" w:rsidRPr="00004558">
        <w:rPr>
          <w:rFonts w:ascii="Times New Roman" w:hAnsi="Times New Roman"/>
          <w:sz w:val="24"/>
          <w:szCs w:val="24"/>
          <w:lang w:val="en-GB"/>
        </w:rPr>
        <w:t>.</w:t>
      </w:r>
      <w:r w:rsidRPr="00004558">
        <w:rPr>
          <w:rFonts w:ascii="Times New Roman" w:hAnsi="Times New Roman"/>
          <w:sz w:val="24"/>
          <w:szCs w:val="24"/>
          <w:lang w:val="en-GB"/>
        </w:rPr>
        <w:t xml:space="preserve"> interpreted the findings.  A</w:t>
      </w:r>
      <w:r w:rsidR="00F26257" w:rsidRPr="00004558">
        <w:rPr>
          <w:rFonts w:ascii="Times New Roman" w:hAnsi="Times New Roman"/>
          <w:sz w:val="24"/>
          <w:szCs w:val="24"/>
          <w:lang w:val="en-GB"/>
        </w:rPr>
        <w:t>.</w:t>
      </w:r>
      <w:r w:rsidRPr="00004558">
        <w:rPr>
          <w:rFonts w:ascii="Times New Roman" w:hAnsi="Times New Roman"/>
          <w:sz w:val="24"/>
          <w:szCs w:val="24"/>
          <w:lang w:val="en-GB"/>
        </w:rPr>
        <w:t>V</w:t>
      </w:r>
      <w:r w:rsidR="00F26257" w:rsidRPr="00004558">
        <w:rPr>
          <w:rFonts w:ascii="Times New Roman" w:hAnsi="Times New Roman"/>
          <w:sz w:val="24"/>
          <w:szCs w:val="24"/>
          <w:lang w:val="en-GB"/>
        </w:rPr>
        <w:t>.</w:t>
      </w:r>
      <w:r w:rsidRPr="00004558">
        <w:rPr>
          <w:rFonts w:ascii="Times New Roman" w:hAnsi="Times New Roman"/>
          <w:sz w:val="24"/>
          <w:szCs w:val="24"/>
          <w:lang w:val="en-GB"/>
        </w:rPr>
        <w:t>S</w:t>
      </w:r>
      <w:r w:rsidR="00F26257" w:rsidRPr="00004558">
        <w:rPr>
          <w:rFonts w:ascii="Times New Roman" w:hAnsi="Times New Roman"/>
          <w:sz w:val="24"/>
          <w:szCs w:val="24"/>
          <w:lang w:val="en-GB"/>
        </w:rPr>
        <w:t>.</w:t>
      </w:r>
      <w:r w:rsidRPr="00004558">
        <w:rPr>
          <w:rFonts w:ascii="Times New Roman" w:hAnsi="Times New Roman"/>
          <w:sz w:val="24"/>
          <w:szCs w:val="24"/>
          <w:lang w:val="en-GB"/>
        </w:rPr>
        <w:t>, X</w:t>
      </w:r>
      <w:r w:rsidR="00F26257" w:rsidRPr="00004558">
        <w:rPr>
          <w:rFonts w:ascii="Times New Roman" w:hAnsi="Times New Roman"/>
          <w:sz w:val="24"/>
          <w:szCs w:val="24"/>
          <w:lang w:val="en-GB"/>
        </w:rPr>
        <w:t>.</w:t>
      </w:r>
      <w:r w:rsidRPr="00004558">
        <w:rPr>
          <w:rFonts w:ascii="Times New Roman" w:hAnsi="Times New Roman"/>
          <w:sz w:val="24"/>
          <w:szCs w:val="24"/>
          <w:lang w:val="en-GB"/>
        </w:rPr>
        <w:t>C</w:t>
      </w:r>
      <w:r w:rsidR="00F26257" w:rsidRPr="00004558">
        <w:rPr>
          <w:rFonts w:ascii="Times New Roman" w:hAnsi="Times New Roman"/>
          <w:sz w:val="24"/>
          <w:szCs w:val="24"/>
          <w:lang w:val="en-GB"/>
        </w:rPr>
        <w:t>.</w:t>
      </w:r>
      <w:r w:rsidRPr="00004558">
        <w:rPr>
          <w:rFonts w:ascii="Times New Roman" w:hAnsi="Times New Roman"/>
          <w:sz w:val="24"/>
          <w:szCs w:val="24"/>
          <w:lang w:val="en-GB"/>
        </w:rPr>
        <w:t>, M</w:t>
      </w:r>
      <w:r w:rsidR="00F26257" w:rsidRPr="00004558">
        <w:rPr>
          <w:rFonts w:ascii="Times New Roman" w:hAnsi="Times New Roman"/>
          <w:sz w:val="24"/>
          <w:szCs w:val="24"/>
          <w:lang w:val="en-GB"/>
        </w:rPr>
        <w:t>.</w:t>
      </w:r>
      <w:r w:rsidR="00FB6183" w:rsidRPr="00004558">
        <w:rPr>
          <w:rFonts w:ascii="Times New Roman" w:hAnsi="Times New Roman"/>
          <w:sz w:val="24"/>
          <w:szCs w:val="24"/>
          <w:lang w:val="en-GB"/>
        </w:rPr>
        <w:t>K.S.</w:t>
      </w:r>
      <w:r w:rsidRPr="00004558">
        <w:rPr>
          <w:rFonts w:ascii="Times New Roman" w:hAnsi="Times New Roman"/>
          <w:sz w:val="24"/>
          <w:szCs w:val="24"/>
          <w:lang w:val="en-GB"/>
        </w:rPr>
        <w:t>L</w:t>
      </w:r>
      <w:r w:rsidR="00F26257" w:rsidRPr="00004558">
        <w:rPr>
          <w:rFonts w:ascii="Times New Roman" w:hAnsi="Times New Roman"/>
          <w:sz w:val="24"/>
          <w:szCs w:val="24"/>
          <w:lang w:val="en-GB"/>
        </w:rPr>
        <w:t>.</w:t>
      </w:r>
      <w:r w:rsidRPr="00004558">
        <w:rPr>
          <w:rFonts w:ascii="Times New Roman" w:hAnsi="Times New Roman"/>
          <w:sz w:val="24"/>
          <w:szCs w:val="24"/>
          <w:lang w:val="en-GB"/>
        </w:rPr>
        <w:t>, C</w:t>
      </w:r>
      <w:r w:rsidR="00F26257" w:rsidRPr="00004558">
        <w:rPr>
          <w:rFonts w:ascii="Times New Roman" w:hAnsi="Times New Roman"/>
          <w:sz w:val="24"/>
          <w:szCs w:val="24"/>
          <w:lang w:val="en-GB"/>
        </w:rPr>
        <w:t>.</w:t>
      </w:r>
      <w:r w:rsidRPr="00004558">
        <w:rPr>
          <w:rFonts w:ascii="Times New Roman" w:hAnsi="Times New Roman"/>
          <w:sz w:val="24"/>
          <w:szCs w:val="24"/>
          <w:lang w:val="en-GB"/>
        </w:rPr>
        <w:t>M</w:t>
      </w:r>
      <w:r w:rsidR="00F26257" w:rsidRPr="00004558">
        <w:rPr>
          <w:rFonts w:ascii="Times New Roman" w:hAnsi="Times New Roman"/>
          <w:sz w:val="24"/>
          <w:szCs w:val="24"/>
          <w:lang w:val="en-GB"/>
        </w:rPr>
        <w:t>.</w:t>
      </w:r>
      <w:r w:rsidRPr="00004558">
        <w:rPr>
          <w:rFonts w:ascii="Times New Roman" w:hAnsi="Times New Roman"/>
          <w:sz w:val="24"/>
          <w:szCs w:val="24"/>
          <w:lang w:val="en-GB"/>
        </w:rPr>
        <w:t>K</w:t>
      </w:r>
      <w:r w:rsidR="00F26257" w:rsidRPr="00004558">
        <w:rPr>
          <w:rFonts w:ascii="Times New Roman" w:hAnsi="Times New Roman"/>
          <w:sz w:val="24"/>
          <w:szCs w:val="24"/>
          <w:lang w:val="en-GB"/>
        </w:rPr>
        <w:t>.</w:t>
      </w:r>
      <w:r w:rsidRPr="00004558">
        <w:rPr>
          <w:rFonts w:ascii="Times New Roman" w:hAnsi="Times New Roman"/>
          <w:sz w:val="24"/>
          <w:szCs w:val="24"/>
          <w:lang w:val="en-GB"/>
        </w:rPr>
        <w:t>, Y</w:t>
      </w:r>
      <w:r w:rsidR="00F26257" w:rsidRPr="00004558">
        <w:rPr>
          <w:rFonts w:ascii="Times New Roman" w:hAnsi="Times New Roman"/>
          <w:sz w:val="24"/>
          <w:szCs w:val="24"/>
          <w:lang w:val="en-GB"/>
        </w:rPr>
        <w:t>.</w:t>
      </w:r>
      <w:r w:rsidRPr="00004558">
        <w:rPr>
          <w:rFonts w:ascii="Times New Roman" w:hAnsi="Times New Roman"/>
          <w:sz w:val="24"/>
          <w:szCs w:val="24"/>
          <w:lang w:val="en-GB"/>
        </w:rPr>
        <w:t>S</w:t>
      </w:r>
      <w:r w:rsidR="00F26257" w:rsidRPr="00004558">
        <w:rPr>
          <w:rFonts w:ascii="Times New Roman" w:hAnsi="Times New Roman"/>
          <w:sz w:val="24"/>
          <w:szCs w:val="24"/>
          <w:lang w:val="en-GB"/>
        </w:rPr>
        <w:t>.</w:t>
      </w:r>
      <w:r w:rsidRPr="00004558">
        <w:rPr>
          <w:rFonts w:ascii="Times New Roman" w:hAnsi="Times New Roman"/>
          <w:sz w:val="24"/>
          <w:szCs w:val="24"/>
          <w:lang w:val="en-GB"/>
        </w:rPr>
        <w:t>L</w:t>
      </w:r>
      <w:r w:rsidR="00F26257" w:rsidRPr="00004558">
        <w:rPr>
          <w:rFonts w:ascii="Times New Roman" w:hAnsi="Times New Roman"/>
          <w:sz w:val="24"/>
          <w:szCs w:val="24"/>
          <w:lang w:val="en-GB"/>
        </w:rPr>
        <w:t>.</w:t>
      </w:r>
      <w:r w:rsidRPr="00004558">
        <w:rPr>
          <w:rFonts w:ascii="Times New Roman" w:hAnsi="Times New Roman"/>
          <w:sz w:val="24"/>
          <w:szCs w:val="24"/>
          <w:lang w:val="en-GB"/>
        </w:rPr>
        <w:t>, N</w:t>
      </w:r>
      <w:r w:rsidR="00F26257" w:rsidRPr="00004558">
        <w:rPr>
          <w:rFonts w:ascii="Times New Roman" w:hAnsi="Times New Roman"/>
          <w:sz w:val="24"/>
          <w:szCs w:val="24"/>
          <w:lang w:val="en-GB"/>
        </w:rPr>
        <w:t>.</w:t>
      </w:r>
      <w:r w:rsidRPr="00004558">
        <w:rPr>
          <w:rFonts w:ascii="Times New Roman" w:hAnsi="Times New Roman"/>
          <w:sz w:val="24"/>
          <w:szCs w:val="24"/>
          <w:lang w:val="en-GB"/>
        </w:rPr>
        <w:t>L</w:t>
      </w:r>
      <w:r w:rsidR="00F26257" w:rsidRPr="00004558">
        <w:rPr>
          <w:rFonts w:ascii="Times New Roman" w:hAnsi="Times New Roman"/>
          <w:sz w:val="24"/>
          <w:szCs w:val="24"/>
          <w:lang w:val="en-GB"/>
        </w:rPr>
        <w:t>.</w:t>
      </w:r>
      <w:r w:rsidRPr="00004558">
        <w:rPr>
          <w:rFonts w:ascii="Times New Roman" w:hAnsi="Times New Roman"/>
          <w:sz w:val="24"/>
          <w:szCs w:val="24"/>
          <w:lang w:val="en-GB"/>
        </w:rPr>
        <w:t xml:space="preserve"> and J</w:t>
      </w:r>
      <w:r w:rsidR="00F26257" w:rsidRPr="00004558">
        <w:rPr>
          <w:rFonts w:ascii="Times New Roman" w:hAnsi="Times New Roman"/>
          <w:sz w:val="24"/>
          <w:szCs w:val="24"/>
          <w:lang w:val="en-GB"/>
        </w:rPr>
        <w:t>.</w:t>
      </w:r>
      <w:r w:rsidRPr="00004558">
        <w:rPr>
          <w:rFonts w:ascii="Times New Roman" w:hAnsi="Times New Roman"/>
          <w:sz w:val="24"/>
          <w:szCs w:val="24"/>
          <w:lang w:val="en-GB"/>
        </w:rPr>
        <w:t>C</w:t>
      </w:r>
      <w:r w:rsidR="00F26257" w:rsidRPr="00004558">
        <w:rPr>
          <w:rFonts w:ascii="Times New Roman" w:hAnsi="Times New Roman"/>
          <w:sz w:val="24"/>
          <w:szCs w:val="24"/>
          <w:lang w:val="en-GB"/>
        </w:rPr>
        <w:t>.</w:t>
      </w:r>
      <w:r w:rsidRPr="00004558">
        <w:rPr>
          <w:rFonts w:ascii="Times New Roman" w:hAnsi="Times New Roman"/>
          <w:sz w:val="24"/>
          <w:szCs w:val="24"/>
          <w:lang w:val="en-GB"/>
        </w:rPr>
        <w:t xml:space="preserve"> revised the manuscript critically. All authors reviewed, read and approved the final manuscript.</w:t>
      </w:r>
    </w:p>
    <w:p w14:paraId="51478FA2" w14:textId="77777777" w:rsidR="008B5489" w:rsidRPr="00004558" w:rsidRDefault="008B5489" w:rsidP="002B12DF">
      <w:pPr>
        <w:pStyle w:val="NoSpacing"/>
        <w:spacing w:line="480" w:lineRule="auto"/>
        <w:rPr>
          <w:rFonts w:ascii="Times New Roman" w:hAnsi="Times New Roman"/>
          <w:bCs/>
          <w:sz w:val="24"/>
          <w:szCs w:val="24"/>
          <w:lang w:val="en-GB"/>
        </w:rPr>
      </w:pPr>
    </w:p>
    <w:p w14:paraId="415E1185" w14:textId="52C24139" w:rsidR="008B5489" w:rsidRPr="00004558" w:rsidRDefault="005442F9" w:rsidP="002B12DF">
      <w:pPr>
        <w:pStyle w:val="NoSpacing"/>
        <w:spacing w:line="480" w:lineRule="auto"/>
        <w:rPr>
          <w:rFonts w:ascii="Times New Roman" w:hAnsi="Times New Roman"/>
          <w:b/>
          <w:bCs/>
          <w:sz w:val="24"/>
          <w:szCs w:val="24"/>
          <w:lang w:val="en-GB"/>
        </w:rPr>
      </w:pPr>
      <w:r w:rsidRPr="00004558">
        <w:rPr>
          <w:rFonts w:ascii="Times New Roman" w:hAnsi="Times New Roman"/>
          <w:b/>
          <w:bCs/>
          <w:sz w:val="24"/>
          <w:szCs w:val="24"/>
          <w:lang w:val="en-GB"/>
        </w:rPr>
        <w:t>Competing interests</w:t>
      </w:r>
    </w:p>
    <w:p w14:paraId="50D2E2B9" w14:textId="63C00125" w:rsidR="008B5489" w:rsidRPr="00004558" w:rsidRDefault="008B5489" w:rsidP="002B12DF">
      <w:pPr>
        <w:pStyle w:val="NoSpacing"/>
        <w:spacing w:line="480" w:lineRule="auto"/>
        <w:rPr>
          <w:rFonts w:ascii="Times New Roman" w:hAnsi="Times New Roman"/>
          <w:sz w:val="24"/>
          <w:szCs w:val="24"/>
          <w:lang w:val="en-GB"/>
        </w:rPr>
      </w:pPr>
      <w:r w:rsidRPr="00004558">
        <w:rPr>
          <w:rFonts w:ascii="Times New Roman" w:hAnsi="Times New Roman"/>
          <w:sz w:val="24"/>
          <w:szCs w:val="24"/>
          <w:lang w:val="en-GB"/>
        </w:rPr>
        <w:t>K</w:t>
      </w:r>
      <w:r w:rsidR="005442F9" w:rsidRPr="00004558">
        <w:rPr>
          <w:rFonts w:ascii="Times New Roman" w:hAnsi="Times New Roman"/>
          <w:sz w:val="24"/>
          <w:szCs w:val="24"/>
          <w:lang w:val="en-GB"/>
        </w:rPr>
        <w:t>.</w:t>
      </w:r>
      <w:r w:rsidRPr="00004558">
        <w:rPr>
          <w:rFonts w:ascii="Times New Roman" w:hAnsi="Times New Roman"/>
          <w:sz w:val="24"/>
          <w:szCs w:val="24"/>
          <w:lang w:val="en-GB"/>
        </w:rPr>
        <w:t>M</w:t>
      </w:r>
      <w:r w:rsidR="005442F9" w:rsidRPr="00004558">
        <w:rPr>
          <w:rFonts w:ascii="Times New Roman" w:hAnsi="Times New Roman"/>
          <w:sz w:val="24"/>
          <w:szCs w:val="24"/>
          <w:lang w:val="en-GB"/>
        </w:rPr>
        <w:t>.</w:t>
      </w:r>
      <w:r w:rsidRPr="00004558">
        <w:rPr>
          <w:rFonts w:ascii="Times New Roman" w:hAnsi="Times New Roman"/>
          <w:sz w:val="24"/>
          <w:szCs w:val="24"/>
          <w:lang w:val="en-GB"/>
        </w:rPr>
        <w:t>G</w:t>
      </w:r>
      <w:r w:rsidR="005442F9" w:rsidRPr="00004558">
        <w:rPr>
          <w:rFonts w:ascii="Times New Roman" w:hAnsi="Times New Roman"/>
          <w:sz w:val="24"/>
          <w:szCs w:val="24"/>
          <w:lang w:val="en-GB"/>
        </w:rPr>
        <w:t>.</w:t>
      </w:r>
      <w:r w:rsidRPr="00004558">
        <w:rPr>
          <w:rFonts w:ascii="Times New Roman" w:hAnsi="Times New Roman"/>
          <w:sz w:val="24"/>
          <w:szCs w:val="24"/>
          <w:lang w:val="en-GB"/>
        </w:rPr>
        <w:t>, Y</w:t>
      </w:r>
      <w:r w:rsidR="005442F9" w:rsidRPr="00004558">
        <w:rPr>
          <w:rFonts w:ascii="Times New Roman" w:hAnsi="Times New Roman"/>
          <w:sz w:val="24"/>
          <w:szCs w:val="24"/>
          <w:lang w:val="en-GB"/>
        </w:rPr>
        <w:t>.</w:t>
      </w:r>
      <w:r w:rsidRPr="00004558">
        <w:rPr>
          <w:rFonts w:ascii="Times New Roman" w:hAnsi="Times New Roman"/>
          <w:sz w:val="24"/>
          <w:szCs w:val="24"/>
          <w:lang w:val="en-GB"/>
        </w:rPr>
        <w:t>S</w:t>
      </w:r>
      <w:r w:rsidR="005442F9" w:rsidRPr="00004558">
        <w:rPr>
          <w:rFonts w:ascii="Times New Roman" w:hAnsi="Times New Roman"/>
          <w:sz w:val="24"/>
          <w:szCs w:val="24"/>
          <w:lang w:val="en-GB"/>
        </w:rPr>
        <w:t>.</w:t>
      </w:r>
      <w:r w:rsidRPr="00004558">
        <w:rPr>
          <w:rFonts w:ascii="Times New Roman" w:hAnsi="Times New Roman"/>
          <w:sz w:val="24"/>
          <w:szCs w:val="24"/>
          <w:lang w:val="en-GB"/>
        </w:rPr>
        <w:t>C</w:t>
      </w:r>
      <w:r w:rsidR="005442F9" w:rsidRPr="00004558">
        <w:rPr>
          <w:rFonts w:ascii="Times New Roman" w:hAnsi="Times New Roman"/>
          <w:sz w:val="24"/>
          <w:szCs w:val="24"/>
          <w:lang w:val="en-GB"/>
        </w:rPr>
        <w:t>.</w:t>
      </w:r>
      <w:r w:rsidRPr="00004558">
        <w:rPr>
          <w:rFonts w:ascii="Times New Roman" w:hAnsi="Times New Roman"/>
          <w:sz w:val="24"/>
          <w:szCs w:val="24"/>
          <w:lang w:val="en-GB"/>
        </w:rPr>
        <w:t>, Y</w:t>
      </w:r>
      <w:r w:rsidR="005442F9" w:rsidRPr="00004558">
        <w:rPr>
          <w:rFonts w:ascii="Times New Roman" w:hAnsi="Times New Roman"/>
          <w:sz w:val="24"/>
          <w:szCs w:val="24"/>
          <w:lang w:val="en-GB"/>
        </w:rPr>
        <w:t>.</w:t>
      </w:r>
      <w:r w:rsidRPr="00004558">
        <w:rPr>
          <w:rFonts w:ascii="Times New Roman" w:hAnsi="Times New Roman"/>
          <w:sz w:val="24"/>
          <w:szCs w:val="24"/>
          <w:lang w:val="en-GB"/>
        </w:rPr>
        <w:t>S</w:t>
      </w:r>
      <w:r w:rsidR="005442F9" w:rsidRPr="00004558">
        <w:rPr>
          <w:rFonts w:ascii="Times New Roman" w:hAnsi="Times New Roman"/>
          <w:sz w:val="24"/>
          <w:szCs w:val="24"/>
          <w:lang w:val="en-GB"/>
        </w:rPr>
        <w:t>.</w:t>
      </w:r>
      <w:r w:rsidRPr="00004558">
        <w:rPr>
          <w:rFonts w:ascii="Times New Roman" w:hAnsi="Times New Roman"/>
          <w:sz w:val="24"/>
          <w:szCs w:val="24"/>
          <w:lang w:val="en-GB"/>
        </w:rPr>
        <w:t>L</w:t>
      </w:r>
      <w:r w:rsidR="005442F9" w:rsidRPr="00004558">
        <w:rPr>
          <w:rFonts w:ascii="Times New Roman" w:hAnsi="Times New Roman"/>
          <w:sz w:val="24"/>
          <w:szCs w:val="24"/>
          <w:lang w:val="en-GB"/>
        </w:rPr>
        <w:t>.</w:t>
      </w:r>
      <w:r w:rsidRPr="00004558">
        <w:rPr>
          <w:rFonts w:ascii="Times New Roman" w:hAnsi="Times New Roman"/>
          <w:sz w:val="24"/>
          <w:szCs w:val="24"/>
          <w:lang w:val="en-GB"/>
        </w:rPr>
        <w:t xml:space="preserve"> and F</w:t>
      </w:r>
      <w:r w:rsidR="005442F9" w:rsidRPr="00004558">
        <w:rPr>
          <w:rFonts w:ascii="Times New Roman" w:hAnsi="Times New Roman"/>
          <w:sz w:val="24"/>
          <w:szCs w:val="24"/>
          <w:lang w:val="en-GB"/>
        </w:rPr>
        <w:t>.</w:t>
      </w:r>
      <w:r w:rsidRPr="00004558">
        <w:rPr>
          <w:rFonts w:ascii="Times New Roman" w:hAnsi="Times New Roman"/>
          <w:sz w:val="24"/>
          <w:szCs w:val="24"/>
          <w:lang w:val="en-GB"/>
        </w:rPr>
        <w:t>Y</w:t>
      </w:r>
      <w:r w:rsidR="005442F9" w:rsidRPr="00004558">
        <w:rPr>
          <w:rFonts w:ascii="Times New Roman" w:hAnsi="Times New Roman"/>
          <w:sz w:val="24"/>
          <w:szCs w:val="24"/>
          <w:lang w:val="en-GB"/>
        </w:rPr>
        <w:t>.</w:t>
      </w:r>
      <w:r w:rsidRPr="00004558">
        <w:rPr>
          <w:rFonts w:ascii="Times New Roman" w:hAnsi="Times New Roman"/>
          <w:sz w:val="24"/>
          <w:szCs w:val="24"/>
          <w:lang w:val="en-GB"/>
        </w:rPr>
        <w:t xml:space="preserve"> have received reimbursement for speaking at conferences sponsored by companies selling nutritional products. K</w:t>
      </w:r>
      <w:r w:rsidR="005442F9" w:rsidRPr="00004558">
        <w:rPr>
          <w:rFonts w:ascii="Times New Roman" w:hAnsi="Times New Roman"/>
          <w:sz w:val="24"/>
          <w:szCs w:val="24"/>
          <w:lang w:val="en-GB"/>
        </w:rPr>
        <w:t>.</w:t>
      </w:r>
      <w:r w:rsidRPr="00004558">
        <w:rPr>
          <w:rFonts w:ascii="Times New Roman" w:hAnsi="Times New Roman"/>
          <w:sz w:val="24"/>
          <w:szCs w:val="24"/>
          <w:lang w:val="en-GB"/>
        </w:rPr>
        <w:t>M</w:t>
      </w:r>
      <w:r w:rsidR="005442F9" w:rsidRPr="00004558">
        <w:rPr>
          <w:rFonts w:ascii="Times New Roman" w:hAnsi="Times New Roman"/>
          <w:sz w:val="24"/>
          <w:szCs w:val="24"/>
          <w:lang w:val="en-GB"/>
        </w:rPr>
        <w:t>.</w:t>
      </w:r>
      <w:r w:rsidRPr="00004558">
        <w:rPr>
          <w:rFonts w:ascii="Times New Roman" w:hAnsi="Times New Roman"/>
          <w:sz w:val="24"/>
          <w:szCs w:val="24"/>
          <w:lang w:val="en-GB"/>
        </w:rPr>
        <w:t>G</w:t>
      </w:r>
      <w:r w:rsidR="005442F9" w:rsidRPr="00004558">
        <w:rPr>
          <w:rFonts w:ascii="Times New Roman" w:hAnsi="Times New Roman"/>
          <w:sz w:val="24"/>
          <w:szCs w:val="24"/>
          <w:lang w:val="en-GB"/>
        </w:rPr>
        <w:t>.</w:t>
      </w:r>
      <w:r w:rsidRPr="00004558">
        <w:rPr>
          <w:rFonts w:ascii="Times New Roman" w:hAnsi="Times New Roman"/>
          <w:sz w:val="24"/>
          <w:szCs w:val="24"/>
          <w:lang w:val="en-GB"/>
        </w:rPr>
        <w:t>, Y</w:t>
      </w:r>
      <w:r w:rsidR="005442F9" w:rsidRPr="00004558">
        <w:rPr>
          <w:rFonts w:ascii="Times New Roman" w:hAnsi="Times New Roman"/>
          <w:sz w:val="24"/>
          <w:szCs w:val="24"/>
          <w:lang w:val="en-GB"/>
        </w:rPr>
        <w:t>.</w:t>
      </w:r>
      <w:r w:rsidRPr="00004558">
        <w:rPr>
          <w:rFonts w:ascii="Times New Roman" w:hAnsi="Times New Roman"/>
          <w:sz w:val="24"/>
          <w:szCs w:val="24"/>
          <w:lang w:val="en-GB"/>
        </w:rPr>
        <w:t>S</w:t>
      </w:r>
      <w:r w:rsidR="005442F9" w:rsidRPr="00004558">
        <w:rPr>
          <w:rFonts w:ascii="Times New Roman" w:hAnsi="Times New Roman"/>
          <w:sz w:val="24"/>
          <w:szCs w:val="24"/>
          <w:lang w:val="en-GB"/>
        </w:rPr>
        <w:t>.</w:t>
      </w:r>
      <w:r w:rsidRPr="00004558">
        <w:rPr>
          <w:rFonts w:ascii="Times New Roman" w:hAnsi="Times New Roman"/>
          <w:sz w:val="24"/>
          <w:szCs w:val="24"/>
          <w:lang w:val="en-GB"/>
        </w:rPr>
        <w:t>C</w:t>
      </w:r>
      <w:r w:rsidR="005442F9" w:rsidRPr="00004558">
        <w:rPr>
          <w:rFonts w:ascii="Times New Roman" w:hAnsi="Times New Roman"/>
          <w:sz w:val="24"/>
          <w:szCs w:val="24"/>
          <w:lang w:val="en-GB"/>
        </w:rPr>
        <w:t>.</w:t>
      </w:r>
      <w:r w:rsidRPr="00004558">
        <w:rPr>
          <w:rFonts w:ascii="Times New Roman" w:hAnsi="Times New Roman"/>
          <w:sz w:val="24"/>
          <w:szCs w:val="24"/>
          <w:lang w:val="en-GB"/>
        </w:rPr>
        <w:t xml:space="preserve"> and S</w:t>
      </w:r>
      <w:r w:rsidR="005442F9" w:rsidRPr="00004558">
        <w:rPr>
          <w:rFonts w:ascii="Times New Roman" w:hAnsi="Times New Roman"/>
          <w:sz w:val="24"/>
          <w:szCs w:val="24"/>
          <w:lang w:val="en-GB"/>
        </w:rPr>
        <w:t>.</w:t>
      </w:r>
      <w:r w:rsidRPr="00004558">
        <w:rPr>
          <w:rFonts w:ascii="Times New Roman" w:hAnsi="Times New Roman"/>
          <w:sz w:val="24"/>
          <w:szCs w:val="24"/>
          <w:lang w:val="en-GB"/>
        </w:rPr>
        <w:t>Y</w:t>
      </w:r>
      <w:r w:rsidR="005442F9" w:rsidRPr="00004558">
        <w:rPr>
          <w:rFonts w:ascii="Times New Roman" w:hAnsi="Times New Roman"/>
          <w:sz w:val="24"/>
          <w:szCs w:val="24"/>
          <w:lang w:val="en-GB"/>
        </w:rPr>
        <w:t>.</w:t>
      </w:r>
      <w:r w:rsidRPr="00004558">
        <w:rPr>
          <w:rFonts w:ascii="Times New Roman" w:hAnsi="Times New Roman"/>
          <w:sz w:val="24"/>
          <w:szCs w:val="24"/>
          <w:lang w:val="en-GB"/>
        </w:rPr>
        <w:t>C</w:t>
      </w:r>
      <w:r w:rsidR="005442F9" w:rsidRPr="00004558">
        <w:rPr>
          <w:rFonts w:ascii="Times New Roman" w:hAnsi="Times New Roman"/>
          <w:sz w:val="24"/>
          <w:szCs w:val="24"/>
          <w:lang w:val="en-GB"/>
        </w:rPr>
        <w:t>.</w:t>
      </w:r>
      <w:r w:rsidRPr="00004558">
        <w:rPr>
          <w:rFonts w:ascii="Times New Roman" w:hAnsi="Times New Roman"/>
          <w:sz w:val="24"/>
          <w:szCs w:val="24"/>
          <w:lang w:val="en-GB"/>
        </w:rPr>
        <w:t xml:space="preserve"> are part of an academic consortium that has received research funding from Abbott Nutrition, Nestle and Danone. Other authors declare that there is no conflict of interest regarding the publication of this article.</w:t>
      </w:r>
    </w:p>
    <w:p w14:paraId="4799A6D8" w14:textId="7B05C526" w:rsidR="002B12DF" w:rsidRPr="00004558" w:rsidRDefault="002B12DF" w:rsidP="002B12DF">
      <w:pPr>
        <w:pStyle w:val="NoSpacing"/>
        <w:spacing w:line="480" w:lineRule="auto"/>
        <w:rPr>
          <w:rFonts w:ascii="Times New Roman" w:hAnsi="Times New Roman"/>
          <w:bCs/>
          <w:sz w:val="24"/>
          <w:szCs w:val="24"/>
          <w:lang w:val="en-GB"/>
        </w:rPr>
      </w:pPr>
    </w:p>
    <w:p w14:paraId="6BB8DA4C" w14:textId="77777777" w:rsidR="00310F0B" w:rsidRPr="00004558" w:rsidRDefault="00310F0B" w:rsidP="002B12DF">
      <w:pPr>
        <w:pStyle w:val="NoSpacing"/>
        <w:spacing w:line="480" w:lineRule="auto"/>
        <w:rPr>
          <w:rFonts w:ascii="Times New Roman" w:hAnsi="Times New Roman"/>
          <w:b/>
          <w:sz w:val="24"/>
          <w:szCs w:val="24"/>
          <w:lang w:val="en-GB"/>
        </w:rPr>
      </w:pPr>
      <w:r w:rsidRPr="00004558">
        <w:rPr>
          <w:rFonts w:ascii="Times New Roman" w:hAnsi="Times New Roman"/>
          <w:b/>
          <w:bCs/>
          <w:sz w:val="24"/>
          <w:szCs w:val="24"/>
          <w:lang w:val="en-GB"/>
        </w:rPr>
        <w:t>Data Availability</w:t>
      </w:r>
    </w:p>
    <w:p w14:paraId="096EF4B1" w14:textId="77777777" w:rsidR="002B12DF" w:rsidRPr="00004558" w:rsidRDefault="002B12DF" w:rsidP="002B12DF">
      <w:pPr>
        <w:pStyle w:val="NoSpacing"/>
        <w:spacing w:line="480" w:lineRule="auto"/>
        <w:rPr>
          <w:rFonts w:ascii="Times New Roman" w:hAnsi="Times New Roman"/>
          <w:bCs/>
          <w:sz w:val="24"/>
          <w:szCs w:val="24"/>
          <w:lang w:val="en-GB"/>
        </w:rPr>
      </w:pPr>
      <w:r w:rsidRPr="00004558">
        <w:rPr>
          <w:rFonts w:ascii="Times New Roman" w:hAnsi="Times New Roman"/>
          <w:bCs/>
          <w:sz w:val="24"/>
          <w:szCs w:val="24"/>
          <w:lang w:val="en-GB"/>
        </w:rPr>
        <w:t>The data that support the findings of this study are available from S-PRESTO. Restrictions apply to the availability of these data, which were used under license for this study. Data are available from the authors with the permission of S-PRESTO.</w:t>
      </w:r>
    </w:p>
    <w:p w14:paraId="4F700921" w14:textId="197B03DA" w:rsidR="00310F0B" w:rsidRPr="00004558" w:rsidRDefault="00310F0B" w:rsidP="002B12DF">
      <w:pPr>
        <w:pStyle w:val="NoSpacing"/>
        <w:spacing w:line="480" w:lineRule="auto"/>
        <w:rPr>
          <w:rFonts w:ascii="Times New Roman" w:hAnsi="Times New Roman"/>
          <w:bCs/>
          <w:sz w:val="24"/>
          <w:szCs w:val="24"/>
          <w:lang w:val="en-GB"/>
        </w:rPr>
      </w:pPr>
    </w:p>
    <w:p w14:paraId="35FA554C" w14:textId="77777777" w:rsidR="002B12DF" w:rsidRPr="00004558" w:rsidRDefault="002B12DF" w:rsidP="002B12DF">
      <w:pPr>
        <w:spacing w:after="0" w:line="480" w:lineRule="auto"/>
        <w:rPr>
          <w:rFonts w:ascii="Times New Roman" w:hAnsi="Times New Roman"/>
          <w:b/>
          <w:bCs/>
          <w:sz w:val="24"/>
          <w:szCs w:val="24"/>
          <w:lang w:val="en-GB"/>
        </w:rPr>
      </w:pPr>
      <w:r w:rsidRPr="00004558">
        <w:rPr>
          <w:rFonts w:ascii="Times New Roman" w:hAnsi="Times New Roman"/>
          <w:b/>
          <w:bCs/>
          <w:sz w:val="24"/>
          <w:szCs w:val="24"/>
          <w:lang w:val="en-GB"/>
        </w:rPr>
        <w:t>Details of Ethics Approval</w:t>
      </w:r>
    </w:p>
    <w:p w14:paraId="5FA723D7" w14:textId="77777777" w:rsidR="002B12DF" w:rsidRPr="00004558" w:rsidRDefault="002B12DF" w:rsidP="002B12DF">
      <w:pPr>
        <w:pStyle w:val="NoSpacing"/>
        <w:spacing w:line="480" w:lineRule="auto"/>
        <w:rPr>
          <w:rFonts w:ascii="Times New Roman" w:hAnsi="Times New Roman"/>
          <w:sz w:val="24"/>
          <w:szCs w:val="24"/>
          <w:lang w:val="en-GB"/>
        </w:rPr>
      </w:pPr>
      <w:r w:rsidRPr="00004558">
        <w:rPr>
          <w:rFonts w:ascii="Times New Roman" w:hAnsi="Times New Roman"/>
          <w:sz w:val="24"/>
          <w:szCs w:val="24"/>
          <w:lang w:val="en-GB"/>
        </w:rPr>
        <w:t>The Singhealth Centralised Institute Review Board approved the study protocol (reference 2014/692/D). All participants provided written informed consent. This study was registered at www.clinicaltrials.gov, NCT03531658 (22/05/2018).</w:t>
      </w:r>
    </w:p>
    <w:p w14:paraId="1F4F85A2" w14:textId="77777777" w:rsidR="002B12DF" w:rsidRPr="00004558" w:rsidRDefault="002B12DF" w:rsidP="002B12DF">
      <w:pPr>
        <w:pStyle w:val="NoSpacing"/>
        <w:spacing w:line="480" w:lineRule="auto"/>
        <w:rPr>
          <w:rFonts w:ascii="Times New Roman" w:hAnsi="Times New Roman"/>
          <w:bCs/>
          <w:sz w:val="24"/>
          <w:szCs w:val="24"/>
          <w:lang w:val="en-GB"/>
        </w:rPr>
      </w:pPr>
    </w:p>
    <w:p w14:paraId="43A3D02D" w14:textId="77777777" w:rsidR="008B5489" w:rsidRPr="00004558" w:rsidRDefault="008B5489" w:rsidP="002B12DF">
      <w:pPr>
        <w:pStyle w:val="NoSpacing"/>
        <w:spacing w:line="480" w:lineRule="auto"/>
        <w:rPr>
          <w:rFonts w:ascii="Times New Roman" w:hAnsi="Times New Roman"/>
          <w:b/>
          <w:bCs/>
          <w:sz w:val="24"/>
          <w:szCs w:val="24"/>
          <w:lang w:val="en-GB"/>
        </w:rPr>
      </w:pPr>
      <w:r w:rsidRPr="00004558">
        <w:rPr>
          <w:rFonts w:ascii="Times New Roman" w:hAnsi="Times New Roman"/>
          <w:b/>
          <w:bCs/>
          <w:sz w:val="24"/>
          <w:szCs w:val="24"/>
          <w:lang w:val="en-GB"/>
        </w:rPr>
        <w:t>Funding Statement</w:t>
      </w:r>
    </w:p>
    <w:p w14:paraId="7E76337F" w14:textId="77777777" w:rsidR="008B5489" w:rsidRPr="00004558" w:rsidRDefault="008B5489" w:rsidP="002B12DF">
      <w:pPr>
        <w:pStyle w:val="NoSpacing"/>
        <w:spacing w:line="480" w:lineRule="auto"/>
        <w:rPr>
          <w:rFonts w:ascii="Times New Roman" w:hAnsi="Times New Roman"/>
          <w:iCs/>
          <w:sz w:val="24"/>
          <w:szCs w:val="24"/>
          <w:lang w:val="en-GB"/>
        </w:rPr>
      </w:pPr>
      <w:r w:rsidRPr="00004558">
        <w:rPr>
          <w:rFonts w:ascii="Times New Roman" w:hAnsi="Times New Roman"/>
          <w:sz w:val="24"/>
          <w:szCs w:val="24"/>
          <w:lang w:val="en-GB"/>
        </w:rPr>
        <w:t>This research is supported by the Singapore National Research Foundation under its Translational and Clinical Research (TCR) Flagship Programme and administered by the Singapore Ministry of Health’s National Medical Research Council (NMRC), Singapore - NMRC/TCR/004-NUS/2008; NMRC/TCR/012-NUHS/2014. Additional funding is provided by the Singapore Institute for Clinical Sciences, Agency for Science Technology and Research (A*STAR), Singapore. YBC is supported by a Clinician Scientist Award from the Singapore NMRC (</w:t>
      </w:r>
      <w:r w:rsidRPr="00004558">
        <w:rPr>
          <w:rFonts w:ascii="Times New Roman" w:hAnsi="Times New Roman"/>
          <w:iCs/>
          <w:sz w:val="24"/>
          <w:szCs w:val="24"/>
          <w:lang w:val="en-GB"/>
        </w:rPr>
        <w:t xml:space="preserve">NMRC/CSA/0039/2012). </w:t>
      </w:r>
      <w:r w:rsidRPr="00004558">
        <w:rPr>
          <w:rFonts w:ascii="Times New Roman" w:hAnsi="Times New Roman"/>
          <w:sz w:val="24"/>
          <w:szCs w:val="24"/>
          <w:lang w:val="en-GB"/>
        </w:rPr>
        <w:t>KMG is supported by the UK Medical Research Council (MC_UU_12011/4), the National Institute for Health Research (NIHR Senior Investigator (NF-SI-0515-10042)) and NIHR Southampton Biomedical Research Centre (IS-BRC-1215-20004)), the European Union (Erasmus+ Programme ImpENSA 598488-EPP-1-2018-1-DE-EPPKA2-CBHE-JP) and the British Heart Foundation (RG/15/17/3174). SYC is supported by a Clinician Scientist Award from the Singapore NMRC (NMRC</w:t>
      </w:r>
      <w:r w:rsidRPr="00004558">
        <w:rPr>
          <w:rFonts w:ascii="Times New Roman" w:hAnsi="Times New Roman"/>
          <w:iCs/>
          <w:sz w:val="24"/>
          <w:szCs w:val="24"/>
          <w:lang w:val="en-GB"/>
        </w:rPr>
        <w:t>/CSA-INV/0010/2016</w:t>
      </w:r>
      <w:r w:rsidRPr="00004558">
        <w:rPr>
          <w:rFonts w:ascii="Times New Roman" w:hAnsi="Times New Roman"/>
          <w:sz w:val="24"/>
          <w:szCs w:val="24"/>
          <w:lang w:val="en-GB"/>
        </w:rPr>
        <w:t>). JKYC is supported by a Clinician Scientist Award from the Singapore NMRC (CSA(SI)/008/2016). The funders had no role in the design of the study; in the collection, analyses, or interpretation of data; in the writing of the manuscript, or in the decision to publish the results.</w:t>
      </w:r>
    </w:p>
    <w:p w14:paraId="17A29795" w14:textId="6AE48267" w:rsidR="008B5489" w:rsidRPr="00004558" w:rsidRDefault="008B5489" w:rsidP="002B12DF">
      <w:pPr>
        <w:pStyle w:val="NoSpacing"/>
        <w:spacing w:line="480" w:lineRule="auto"/>
        <w:rPr>
          <w:rFonts w:ascii="Times New Roman" w:hAnsi="Times New Roman"/>
          <w:bCs/>
          <w:sz w:val="24"/>
          <w:szCs w:val="24"/>
          <w:lang w:val="en-GB"/>
        </w:rPr>
      </w:pPr>
    </w:p>
    <w:p w14:paraId="24BDFFD8" w14:textId="39BB44F0" w:rsidR="002E4299" w:rsidRDefault="002E4299" w:rsidP="002B12DF">
      <w:pPr>
        <w:pStyle w:val="NoSpacing"/>
        <w:spacing w:line="480" w:lineRule="auto"/>
        <w:rPr>
          <w:rFonts w:ascii="Times New Roman" w:hAnsi="Times New Roman"/>
          <w:b/>
          <w:noProof/>
          <w:sz w:val="24"/>
          <w:szCs w:val="24"/>
          <w:lang w:val="en-GB"/>
        </w:rPr>
      </w:pPr>
      <w:r w:rsidRPr="002E4299">
        <w:rPr>
          <w:rFonts w:ascii="Times New Roman" w:hAnsi="Times New Roman"/>
          <w:b/>
          <w:noProof/>
          <w:sz w:val="24"/>
          <w:szCs w:val="24"/>
          <w:lang w:val="en-GB" w:eastAsia="en-GB"/>
        </w:rPr>
        <w:drawing>
          <wp:inline distT="0" distB="0" distL="0" distR="0" wp14:anchorId="3B3E61FA" wp14:editId="4F6E6908">
            <wp:extent cx="5943600" cy="4097547"/>
            <wp:effectExtent l="0" t="0" r="0" b="0"/>
            <wp:docPr id="1" name="Picture 1" descr="C:\Users\seeli\Desktop\See Ling\GUSTO\manuscript writing\HbA1c FBC OGTT\Sci Rep\Sci Rep\SR resubmission 2\Figure 1 (revis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eli\Desktop\See Ling\GUSTO\manuscript writing\HbA1c FBC OGTT\Sci Rep\Sci Rep\SR resubmission 2\Figure 1 (revised).t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4097547"/>
                    </a:xfrm>
                    <a:prstGeom prst="rect">
                      <a:avLst/>
                    </a:prstGeom>
                    <a:noFill/>
                    <a:ln>
                      <a:noFill/>
                    </a:ln>
                  </pic:spPr>
                </pic:pic>
              </a:graphicData>
            </a:graphic>
          </wp:inline>
        </w:drawing>
      </w:r>
    </w:p>
    <w:p w14:paraId="42F7C7DB" w14:textId="3BF79939" w:rsidR="008E032F" w:rsidRPr="00004558" w:rsidRDefault="005D7E45" w:rsidP="002B12DF">
      <w:pPr>
        <w:pStyle w:val="NoSpacing"/>
        <w:spacing w:line="480" w:lineRule="auto"/>
        <w:rPr>
          <w:rFonts w:ascii="Times New Roman" w:hAnsi="Times New Roman"/>
          <w:noProof/>
          <w:sz w:val="24"/>
          <w:szCs w:val="24"/>
          <w:lang w:val="en-GB"/>
        </w:rPr>
      </w:pPr>
      <w:r w:rsidRPr="00004558">
        <w:rPr>
          <w:rFonts w:ascii="Times New Roman" w:hAnsi="Times New Roman"/>
          <w:b/>
          <w:noProof/>
          <w:sz w:val="24"/>
          <w:szCs w:val="24"/>
          <w:lang w:val="en-GB"/>
        </w:rPr>
        <w:t>Figure 1</w:t>
      </w:r>
      <w:r w:rsidR="004258AF" w:rsidRPr="00004558">
        <w:rPr>
          <w:rFonts w:ascii="Times New Roman" w:hAnsi="Times New Roman"/>
          <w:b/>
          <w:noProof/>
          <w:sz w:val="24"/>
          <w:szCs w:val="24"/>
          <w:lang w:val="en-GB"/>
        </w:rPr>
        <w:t>.</w:t>
      </w:r>
      <w:r w:rsidR="008E032F" w:rsidRPr="00004558">
        <w:rPr>
          <w:rFonts w:ascii="Times New Roman" w:hAnsi="Times New Roman"/>
          <w:noProof/>
          <w:sz w:val="24"/>
          <w:szCs w:val="24"/>
          <w:lang w:val="en-GB"/>
        </w:rPr>
        <w:t xml:space="preserve"> ROC curves for HbA1c in detecting </w:t>
      </w:r>
      <w:r w:rsidR="00123925" w:rsidRPr="00004558">
        <w:rPr>
          <w:rFonts w:ascii="Times New Roman" w:hAnsi="Times New Roman"/>
          <w:noProof/>
          <w:sz w:val="24"/>
          <w:szCs w:val="24"/>
          <w:lang w:val="en-GB"/>
        </w:rPr>
        <w:t xml:space="preserve">dysglycaemia </w:t>
      </w:r>
      <w:r w:rsidR="008E032F" w:rsidRPr="00004558">
        <w:rPr>
          <w:rFonts w:ascii="Times New Roman" w:hAnsi="Times New Roman"/>
          <w:noProof/>
          <w:sz w:val="24"/>
          <w:szCs w:val="24"/>
          <w:lang w:val="en-GB"/>
        </w:rPr>
        <w:t xml:space="preserve">among women of (A) all ethnicities, (B) Chinese ethnicity, (C) Malay ethnicity, and (D) Indian ethnicity, from the S-PRESTO study. </w:t>
      </w:r>
      <w:r w:rsidR="00E65CE3" w:rsidRPr="00004558">
        <w:rPr>
          <w:rFonts w:ascii="Times New Roman" w:hAnsi="Times New Roman"/>
          <w:noProof/>
          <w:sz w:val="24"/>
          <w:szCs w:val="24"/>
          <w:lang w:val="en-GB"/>
        </w:rPr>
        <w:t>The dotted diagonal line represents AUROC of 0.5, which suggests no discrimination</w:t>
      </w:r>
      <w:r w:rsidR="00D61B97" w:rsidRPr="00004558">
        <w:rPr>
          <w:rFonts w:ascii="Times New Roman" w:hAnsi="Times New Roman"/>
          <w:noProof/>
          <w:sz w:val="24"/>
          <w:szCs w:val="24"/>
          <w:lang w:val="en-GB"/>
        </w:rPr>
        <w:t xml:space="preserve">. </w:t>
      </w:r>
      <w:r w:rsidR="00123925" w:rsidRPr="00004558">
        <w:rPr>
          <w:rFonts w:ascii="Times New Roman" w:hAnsi="Times New Roman"/>
          <w:noProof/>
          <w:sz w:val="24"/>
          <w:szCs w:val="24"/>
          <w:lang w:val="en-GB"/>
        </w:rPr>
        <w:t xml:space="preserve">AUROC, area-under-receiver-operating-characteristic curve; </w:t>
      </w:r>
      <w:r w:rsidR="008E032F" w:rsidRPr="00004558">
        <w:rPr>
          <w:rFonts w:ascii="Times New Roman" w:hAnsi="Times New Roman"/>
          <w:noProof/>
          <w:sz w:val="24"/>
          <w:szCs w:val="24"/>
          <w:lang w:val="en-GB"/>
        </w:rPr>
        <w:t xml:space="preserve">CI, confidence interval; HbA1c; glycated haemoglobin; RBC, red blood cell; </w:t>
      </w:r>
      <w:r w:rsidR="00123925" w:rsidRPr="00004558">
        <w:rPr>
          <w:rFonts w:ascii="Times New Roman" w:hAnsi="Times New Roman"/>
          <w:noProof/>
          <w:sz w:val="24"/>
          <w:szCs w:val="24"/>
          <w:lang w:val="en-GB"/>
        </w:rPr>
        <w:t>ROC curve, receiver-operating-characteristics curve; S-PRESTO, Singapore PREconception Study of long-Term maternal and child Outcomes</w:t>
      </w:r>
      <w:r w:rsidR="008B5489" w:rsidRPr="00004558">
        <w:rPr>
          <w:rFonts w:ascii="Times New Roman" w:hAnsi="Times New Roman"/>
          <w:noProof/>
          <w:sz w:val="24"/>
          <w:szCs w:val="24"/>
          <w:lang w:val="en-GB"/>
        </w:rPr>
        <w:t>.</w:t>
      </w:r>
    </w:p>
    <w:p w14:paraId="104F50D6" w14:textId="27C87CF9" w:rsidR="00152F8C" w:rsidRPr="00004558" w:rsidRDefault="00152F8C" w:rsidP="002B12DF">
      <w:pPr>
        <w:pStyle w:val="NoSpacing"/>
        <w:spacing w:line="480" w:lineRule="auto"/>
        <w:rPr>
          <w:rFonts w:ascii="Times New Roman" w:hAnsi="Times New Roman"/>
          <w:sz w:val="24"/>
          <w:szCs w:val="24"/>
          <w:lang w:val="en-GB"/>
        </w:rPr>
        <w:sectPr w:rsidR="00152F8C" w:rsidRPr="00004558" w:rsidSect="00F97A69">
          <w:footerReference w:type="default" r:id="rId17"/>
          <w:pgSz w:w="12240" w:h="15840"/>
          <w:pgMar w:top="1440" w:right="1440" w:bottom="1440" w:left="1440" w:header="720" w:footer="720" w:gutter="0"/>
          <w:lnNumType w:countBy="1" w:restart="continuous"/>
          <w:cols w:space="720"/>
          <w:docGrid w:linePitch="360"/>
        </w:sectPr>
      </w:pPr>
    </w:p>
    <w:p w14:paraId="011EEC16" w14:textId="77777777" w:rsidR="00AB41D8" w:rsidRPr="00004558" w:rsidRDefault="00AB41D8" w:rsidP="004A4220">
      <w:pPr>
        <w:pStyle w:val="NoSpacing"/>
        <w:rPr>
          <w:rFonts w:ascii="Times New Roman" w:hAnsi="Times New Roman"/>
          <w:sz w:val="24"/>
          <w:szCs w:val="24"/>
          <w:lang w:val="en-GB"/>
        </w:rPr>
      </w:pPr>
      <w:r w:rsidRPr="00004558">
        <w:rPr>
          <w:rFonts w:ascii="Times New Roman" w:hAnsi="Times New Roman"/>
          <w:b/>
          <w:sz w:val="24"/>
          <w:szCs w:val="24"/>
          <w:lang w:val="en-GB"/>
        </w:rPr>
        <w:t>Table 1.</w:t>
      </w:r>
      <w:r w:rsidRPr="00004558">
        <w:rPr>
          <w:rFonts w:ascii="Times New Roman" w:hAnsi="Times New Roman"/>
          <w:sz w:val="24"/>
          <w:szCs w:val="24"/>
          <w:lang w:val="en-GB"/>
        </w:rPr>
        <w:t xml:space="preserve"> Characteristics of women with normal and abnormal RBC indices from the S-PRESTO study</w:t>
      </w:r>
    </w:p>
    <w:tbl>
      <w:tblPr>
        <w:tblStyle w:val="TableGrid"/>
        <w:tblW w:w="1318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3126"/>
        <w:gridCol w:w="1256"/>
        <w:gridCol w:w="1250"/>
        <w:gridCol w:w="1268"/>
        <w:gridCol w:w="878"/>
        <w:gridCol w:w="1409"/>
        <w:gridCol w:w="1399"/>
        <w:gridCol w:w="1398"/>
        <w:gridCol w:w="779"/>
      </w:tblGrid>
      <w:tr w:rsidR="00AB41D8" w:rsidRPr="00004558" w14:paraId="22C7229F" w14:textId="77777777" w:rsidTr="00EF17EB">
        <w:tc>
          <w:tcPr>
            <w:tcW w:w="420" w:type="dxa"/>
            <w:tcBorders>
              <w:bottom w:val="nil"/>
            </w:tcBorders>
          </w:tcPr>
          <w:p w14:paraId="1A53B5A0" w14:textId="77777777" w:rsidR="00AB41D8" w:rsidRPr="00004558" w:rsidRDefault="00AB41D8" w:rsidP="00EF17EB">
            <w:pPr>
              <w:pStyle w:val="NoSpacing"/>
              <w:rPr>
                <w:rFonts w:ascii="Times New Roman" w:hAnsi="Times New Roman"/>
                <w:sz w:val="20"/>
                <w:szCs w:val="20"/>
                <w:lang w:val="en-GB"/>
              </w:rPr>
            </w:pPr>
          </w:p>
        </w:tc>
        <w:tc>
          <w:tcPr>
            <w:tcW w:w="3126" w:type="dxa"/>
            <w:tcBorders>
              <w:bottom w:val="nil"/>
            </w:tcBorders>
          </w:tcPr>
          <w:p w14:paraId="186B865B" w14:textId="77777777" w:rsidR="00AB41D8" w:rsidRPr="00004558" w:rsidRDefault="00AB41D8" w:rsidP="00EF17EB">
            <w:pPr>
              <w:pStyle w:val="NoSpacing"/>
              <w:rPr>
                <w:rFonts w:ascii="Times New Roman" w:hAnsi="Times New Roman"/>
                <w:sz w:val="20"/>
                <w:szCs w:val="20"/>
                <w:lang w:val="en-GB"/>
              </w:rPr>
            </w:pPr>
          </w:p>
        </w:tc>
        <w:tc>
          <w:tcPr>
            <w:tcW w:w="1256" w:type="dxa"/>
            <w:tcBorders>
              <w:top w:val="single" w:sz="4" w:space="0" w:color="auto"/>
              <w:bottom w:val="nil"/>
            </w:tcBorders>
          </w:tcPr>
          <w:p w14:paraId="700E1E1F"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All</w:t>
            </w:r>
          </w:p>
        </w:tc>
        <w:tc>
          <w:tcPr>
            <w:tcW w:w="1250" w:type="dxa"/>
            <w:tcBorders>
              <w:top w:val="single" w:sz="4" w:space="0" w:color="auto"/>
              <w:bottom w:val="nil"/>
            </w:tcBorders>
          </w:tcPr>
          <w:p w14:paraId="68A67146"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Normal RBC indices</w:t>
            </w:r>
          </w:p>
        </w:tc>
        <w:tc>
          <w:tcPr>
            <w:tcW w:w="1268" w:type="dxa"/>
            <w:tcBorders>
              <w:top w:val="single" w:sz="4" w:space="0" w:color="auto"/>
              <w:bottom w:val="nil"/>
            </w:tcBorders>
          </w:tcPr>
          <w:p w14:paraId="54548323"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Abnormal RBC indices</w:t>
            </w:r>
          </w:p>
        </w:tc>
        <w:tc>
          <w:tcPr>
            <w:tcW w:w="878" w:type="dxa"/>
            <w:tcBorders>
              <w:bottom w:val="nil"/>
            </w:tcBorders>
          </w:tcPr>
          <w:p w14:paraId="4937C775" w14:textId="77777777" w:rsidR="00AB41D8" w:rsidRPr="00004558" w:rsidRDefault="00AB41D8" w:rsidP="00EF17EB">
            <w:pPr>
              <w:pStyle w:val="NoSpacing"/>
              <w:jc w:val="center"/>
              <w:rPr>
                <w:rFonts w:ascii="Times New Roman" w:hAnsi="Times New Roman"/>
                <w:sz w:val="20"/>
                <w:szCs w:val="20"/>
                <w:lang w:val="en-GB"/>
              </w:rPr>
            </w:pPr>
          </w:p>
        </w:tc>
        <w:tc>
          <w:tcPr>
            <w:tcW w:w="1409" w:type="dxa"/>
            <w:tcBorders>
              <w:top w:val="single" w:sz="4" w:space="0" w:color="auto"/>
              <w:bottom w:val="nil"/>
            </w:tcBorders>
          </w:tcPr>
          <w:p w14:paraId="7BEBA300"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Normal Hb &amp; low MCV</w:t>
            </w:r>
          </w:p>
        </w:tc>
        <w:tc>
          <w:tcPr>
            <w:tcW w:w="1399" w:type="dxa"/>
            <w:tcBorders>
              <w:top w:val="single" w:sz="4" w:space="0" w:color="auto"/>
              <w:bottom w:val="nil"/>
            </w:tcBorders>
          </w:tcPr>
          <w:p w14:paraId="19D92C7D"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Low Hb &amp; normal MCV</w:t>
            </w:r>
          </w:p>
        </w:tc>
        <w:tc>
          <w:tcPr>
            <w:tcW w:w="1398" w:type="dxa"/>
            <w:tcBorders>
              <w:top w:val="single" w:sz="4" w:space="0" w:color="auto"/>
              <w:bottom w:val="nil"/>
            </w:tcBorders>
          </w:tcPr>
          <w:p w14:paraId="3B8C8A0F"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Low Hb &amp; low MCV</w:t>
            </w:r>
          </w:p>
        </w:tc>
        <w:tc>
          <w:tcPr>
            <w:tcW w:w="779" w:type="dxa"/>
            <w:tcBorders>
              <w:bottom w:val="nil"/>
            </w:tcBorders>
          </w:tcPr>
          <w:p w14:paraId="19992257" w14:textId="77777777" w:rsidR="00AB41D8" w:rsidRPr="00004558" w:rsidRDefault="00AB41D8" w:rsidP="00EF17EB">
            <w:pPr>
              <w:pStyle w:val="NoSpacing"/>
              <w:jc w:val="center"/>
              <w:rPr>
                <w:rFonts w:ascii="Times New Roman" w:hAnsi="Times New Roman"/>
                <w:sz w:val="20"/>
                <w:szCs w:val="20"/>
                <w:lang w:val="en-GB"/>
              </w:rPr>
            </w:pPr>
          </w:p>
        </w:tc>
      </w:tr>
      <w:tr w:rsidR="00AB41D8" w:rsidRPr="00004558" w14:paraId="198A8AB4" w14:textId="77777777" w:rsidTr="00EF17EB">
        <w:tc>
          <w:tcPr>
            <w:tcW w:w="420" w:type="dxa"/>
            <w:tcBorders>
              <w:top w:val="nil"/>
              <w:bottom w:val="nil"/>
            </w:tcBorders>
          </w:tcPr>
          <w:p w14:paraId="4C87FE62" w14:textId="77777777" w:rsidR="00AB41D8" w:rsidRPr="00004558" w:rsidRDefault="00AB41D8" w:rsidP="00EF17EB">
            <w:pPr>
              <w:pStyle w:val="NoSpacing"/>
              <w:rPr>
                <w:rFonts w:ascii="Times New Roman" w:hAnsi="Times New Roman"/>
                <w:sz w:val="20"/>
                <w:szCs w:val="20"/>
                <w:lang w:val="en-GB"/>
              </w:rPr>
            </w:pPr>
          </w:p>
        </w:tc>
        <w:tc>
          <w:tcPr>
            <w:tcW w:w="3126" w:type="dxa"/>
            <w:tcBorders>
              <w:top w:val="nil"/>
              <w:bottom w:val="nil"/>
            </w:tcBorders>
          </w:tcPr>
          <w:p w14:paraId="1836E087" w14:textId="77777777" w:rsidR="00AB41D8" w:rsidRPr="00004558" w:rsidRDefault="00AB41D8" w:rsidP="00EF17EB">
            <w:pPr>
              <w:pStyle w:val="NoSpacing"/>
              <w:rPr>
                <w:rFonts w:ascii="Times New Roman" w:hAnsi="Times New Roman"/>
                <w:sz w:val="20"/>
                <w:szCs w:val="20"/>
                <w:lang w:val="en-GB"/>
              </w:rPr>
            </w:pPr>
          </w:p>
        </w:tc>
        <w:tc>
          <w:tcPr>
            <w:tcW w:w="1256" w:type="dxa"/>
            <w:tcBorders>
              <w:top w:val="nil"/>
              <w:bottom w:val="single" w:sz="4" w:space="0" w:color="auto"/>
            </w:tcBorders>
          </w:tcPr>
          <w:p w14:paraId="0C50563D"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(n=985)</w:t>
            </w:r>
          </w:p>
        </w:tc>
        <w:tc>
          <w:tcPr>
            <w:tcW w:w="1250" w:type="dxa"/>
            <w:tcBorders>
              <w:top w:val="nil"/>
              <w:bottom w:val="single" w:sz="4" w:space="0" w:color="auto"/>
            </w:tcBorders>
          </w:tcPr>
          <w:p w14:paraId="010928AC"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(n=771)</w:t>
            </w:r>
          </w:p>
        </w:tc>
        <w:tc>
          <w:tcPr>
            <w:tcW w:w="1268" w:type="dxa"/>
            <w:tcBorders>
              <w:top w:val="nil"/>
              <w:bottom w:val="single" w:sz="4" w:space="0" w:color="auto"/>
            </w:tcBorders>
          </w:tcPr>
          <w:p w14:paraId="5769FF09"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(n=214)</w:t>
            </w:r>
          </w:p>
        </w:tc>
        <w:tc>
          <w:tcPr>
            <w:tcW w:w="878" w:type="dxa"/>
            <w:tcBorders>
              <w:top w:val="nil"/>
              <w:bottom w:val="nil"/>
            </w:tcBorders>
          </w:tcPr>
          <w:p w14:paraId="1869F116"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p</w:t>
            </w:r>
            <w:r w:rsidRPr="00004558">
              <w:rPr>
                <w:rFonts w:ascii="Times New Roman" w:eastAsia="Times New Roman" w:hAnsi="Times New Roman"/>
                <w:sz w:val="20"/>
                <w:szCs w:val="20"/>
                <w:vertAlign w:val="superscript"/>
                <w:lang w:val="en-GB"/>
              </w:rPr>
              <w:t>*</w:t>
            </w:r>
          </w:p>
        </w:tc>
        <w:tc>
          <w:tcPr>
            <w:tcW w:w="1409" w:type="dxa"/>
            <w:tcBorders>
              <w:top w:val="nil"/>
              <w:bottom w:val="single" w:sz="4" w:space="0" w:color="auto"/>
            </w:tcBorders>
          </w:tcPr>
          <w:p w14:paraId="33529EC0"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(n=61)</w:t>
            </w:r>
          </w:p>
        </w:tc>
        <w:tc>
          <w:tcPr>
            <w:tcW w:w="1399" w:type="dxa"/>
            <w:tcBorders>
              <w:top w:val="nil"/>
              <w:bottom w:val="single" w:sz="4" w:space="0" w:color="auto"/>
            </w:tcBorders>
          </w:tcPr>
          <w:p w14:paraId="03A109B7"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(n=55)</w:t>
            </w:r>
          </w:p>
        </w:tc>
        <w:tc>
          <w:tcPr>
            <w:tcW w:w="1398" w:type="dxa"/>
            <w:tcBorders>
              <w:top w:val="nil"/>
              <w:bottom w:val="single" w:sz="4" w:space="0" w:color="auto"/>
            </w:tcBorders>
          </w:tcPr>
          <w:p w14:paraId="53FE5C6A"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(n=98)</w:t>
            </w:r>
          </w:p>
        </w:tc>
        <w:tc>
          <w:tcPr>
            <w:tcW w:w="779" w:type="dxa"/>
            <w:tcBorders>
              <w:top w:val="nil"/>
              <w:bottom w:val="nil"/>
            </w:tcBorders>
          </w:tcPr>
          <w:p w14:paraId="602C2B6B"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p</w:t>
            </w:r>
            <w:r w:rsidRPr="00004558">
              <w:rPr>
                <w:rFonts w:ascii="Times New Roman" w:eastAsia="Times New Roman" w:hAnsi="Times New Roman"/>
                <w:sz w:val="20"/>
                <w:szCs w:val="20"/>
                <w:vertAlign w:val="superscript"/>
                <w:lang w:val="en-GB"/>
              </w:rPr>
              <w:t>*</w:t>
            </w:r>
          </w:p>
        </w:tc>
      </w:tr>
      <w:tr w:rsidR="00AB41D8" w:rsidRPr="00004558" w14:paraId="6750C16C" w14:textId="77777777" w:rsidTr="00EF17EB">
        <w:tc>
          <w:tcPr>
            <w:tcW w:w="420" w:type="dxa"/>
            <w:tcBorders>
              <w:top w:val="nil"/>
              <w:bottom w:val="single" w:sz="4" w:space="0" w:color="auto"/>
            </w:tcBorders>
          </w:tcPr>
          <w:p w14:paraId="72F7E544" w14:textId="77777777" w:rsidR="00AB41D8" w:rsidRPr="00004558" w:rsidRDefault="00AB41D8" w:rsidP="00EF17EB">
            <w:pPr>
              <w:pStyle w:val="NoSpacing"/>
              <w:rPr>
                <w:rFonts w:ascii="Times New Roman" w:hAnsi="Times New Roman"/>
                <w:sz w:val="20"/>
                <w:szCs w:val="20"/>
                <w:lang w:val="en-GB"/>
              </w:rPr>
            </w:pPr>
          </w:p>
        </w:tc>
        <w:tc>
          <w:tcPr>
            <w:tcW w:w="3126" w:type="dxa"/>
            <w:tcBorders>
              <w:top w:val="nil"/>
              <w:bottom w:val="single" w:sz="4" w:space="0" w:color="auto"/>
            </w:tcBorders>
          </w:tcPr>
          <w:p w14:paraId="2B2365A7" w14:textId="77777777" w:rsidR="00AB41D8" w:rsidRPr="00004558" w:rsidRDefault="00AB41D8" w:rsidP="00EF17EB">
            <w:pPr>
              <w:pStyle w:val="NoSpacing"/>
              <w:rPr>
                <w:rFonts w:ascii="Times New Roman" w:hAnsi="Times New Roman"/>
                <w:sz w:val="20"/>
                <w:szCs w:val="20"/>
                <w:lang w:val="en-GB"/>
              </w:rPr>
            </w:pPr>
          </w:p>
        </w:tc>
        <w:tc>
          <w:tcPr>
            <w:tcW w:w="3774" w:type="dxa"/>
            <w:gridSpan w:val="3"/>
            <w:tcBorders>
              <w:top w:val="single" w:sz="4" w:space="0" w:color="auto"/>
              <w:bottom w:val="single" w:sz="4" w:space="0" w:color="auto"/>
            </w:tcBorders>
          </w:tcPr>
          <w:p w14:paraId="07FF8C91"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mean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SD or n (%)</w:t>
            </w:r>
          </w:p>
        </w:tc>
        <w:tc>
          <w:tcPr>
            <w:tcW w:w="878" w:type="dxa"/>
            <w:tcBorders>
              <w:top w:val="nil"/>
              <w:bottom w:val="single" w:sz="4" w:space="0" w:color="auto"/>
            </w:tcBorders>
          </w:tcPr>
          <w:p w14:paraId="71C0426E" w14:textId="77777777" w:rsidR="00AB41D8" w:rsidRPr="00004558" w:rsidRDefault="00AB41D8" w:rsidP="00EF17EB">
            <w:pPr>
              <w:pStyle w:val="NoSpacing"/>
              <w:jc w:val="center"/>
              <w:rPr>
                <w:rFonts w:ascii="Times New Roman" w:hAnsi="Times New Roman"/>
                <w:sz w:val="20"/>
                <w:szCs w:val="20"/>
                <w:lang w:val="en-GB"/>
              </w:rPr>
            </w:pPr>
          </w:p>
        </w:tc>
        <w:tc>
          <w:tcPr>
            <w:tcW w:w="4206" w:type="dxa"/>
            <w:gridSpan w:val="3"/>
            <w:tcBorders>
              <w:top w:val="single" w:sz="4" w:space="0" w:color="auto"/>
              <w:bottom w:val="single" w:sz="4" w:space="0" w:color="auto"/>
            </w:tcBorders>
          </w:tcPr>
          <w:p w14:paraId="77C17928"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mean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SD or n (%)</w:t>
            </w:r>
          </w:p>
        </w:tc>
        <w:tc>
          <w:tcPr>
            <w:tcW w:w="779" w:type="dxa"/>
            <w:tcBorders>
              <w:top w:val="nil"/>
              <w:bottom w:val="single" w:sz="4" w:space="0" w:color="auto"/>
            </w:tcBorders>
          </w:tcPr>
          <w:p w14:paraId="5451F5D5" w14:textId="77777777" w:rsidR="00AB41D8" w:rsidRPr="00004558" w:rsidRDefault="00AB41D8" w:rsidP="00EF17EB">
            <w:pPr>
              <w:pStyle w:val="NoSpacing"/>
              <w:jc w:val="center"/>
              <w:rPr>
                <w:rFonts w:ascii="Times New Roman" w:hAnsi="Times New Roman"/>
                <w:sz w:val="20"/>
                <w:szCs w:val="20"/>
                <w:lang w:val="en-GB"/>
              </w:rPr>
            </w:pPr>
          </w:p>
        </w:tc>
      </w:tr>
      <w:tr w:rsidR="00AB41D8" w:rsidRPr="00004558" w14:paraId="41F7093C" w14:textId="77777777" w:rsidTr="00EF17EB">
        <w:tc>
          <w:tcPr>
            <w:tcW w:w="3546" w:type="dxa"/>
            <w:gridSpan w:val="2"/>
            <w:tcBorders>
              <w:top w:val="single" w:sz="4" w:space="0" w:color="auto"/>
            </w:tcBorders>
          </w:tcPr>
          <w:p w14:paraId="20192C4B" w14:textId="77777777" w:rsidR="00AB41D8" w:rsidRPr="00004558" w:rsidRDefault="00AB41D8" w:rsidP="00EF17EB">
            <w:pPr>
              <w:pStyle w:val="NoSpacing"/>
              <w:rPr>
                <w:rFonts w:ascii="Times New Roman" w:hAnsi="Times New Roman"/>
                <w:sz w:val="20"/>
                <w:szCs w:val="20"/>
                <w:lang w:val="en-GB"/>
              </w:rPr>
            </w:pPr>
            <w:r w:rsidRPr="00004558">
              <w:rPr>
                <w:rFonts w:ascii="Times New Roman" w:hAnsi="Times New Roman"/>
                <w:sz w:val="20"/>
                <w:szCs w:val="20"/>
                <w:lang w:val="en-GB"/>
              </w:rPr>
              <w:t>Age, years</w:t>
            </w:r>
          </w:p>
        </w:tc>
        <w:tc>
          <w:tcPr>
            <w:tcW w:w="1256" w:type="dxa"/>
            <w:tcBorders>
              <w:top w:val="single" w:sz="4" w:space="0" w:color="auto"/>
            </w:tcBorders>
          </w:tcPr>
          <w:p w14:paraId="00C50DD8"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30.77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3.74</w:t>
            </w:r>
          </w:p>
        </w:tc>
        <w:tc>
          <w:tcPr>
            <w:tcW w:w="1250" w:type="dxa"/>
            <w:tcBorders>
              <w:top w:val="single" w:sz="4" w:space="0" w:color="auto"/>
            </w:tcBorders>
          </w:tcPr>
          <w:p w14:paraId="22B0CDB8"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30.70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3.76</w:t>
            </w:r>
          </w:p>
        </w:tc>
        <w:tc>
          <w:tcPr>
            <w:tcW w:w="1268" w:type="dxa"/>
            <w:tcBorders>
              <w:top w:val="single" w:sz="4" w:space="0" w:color="auto"/>
            </w:tcBorders>
          </w:tcPr>
          <w:p w14:paraId="73D0D2CD"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31.05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3.68</w:t>
            </w:r>
          </w:p>
        </w:tc>
        <w:tc>
          <w:tcPr>
            <w:tcW w:w="878" w:type="dxa"/>
            <w:tcBorders>
              <w:top w:val="single" w:sz="4" w:space="0" w:color="auto"/>
            </w:tcBorders>
          </w:tcPr>
          <w:p w14:paraId="2D33E857"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0.228</w:t>
            </w:r>
          </w:p>
        </w:tc>
        <w:tc>
          <w:tcPr>
            <w:tcW w:w="1409" w:type="dxa"/>
            <w:tcBorders>
              <w:top w:val="single" w:sz="4" w:space="0" w:color="auto"/>
            </w:tcBorders>
          </w:tcPr>
          <w:p w14:paraId="3B651604"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29.90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3.56</w:t>
            </w:r>
          </w:p>
        </w:tc>
        <w:tc>
          <w:tcPr>
            <w:tcW w:w="1399" w:type="dxa"/>
            <w:tcBorders>
              <w:top w:val="single" w:sz="4" w:space="0" w:color="auto"/>
            </w:tcBorders>
          </w:tcPr>
          <w:p w14:paraId="300A6B13"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31.55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3.61</w:t>
            </w:r>
          </w:p>
        </w:tc>
        <w:tc>
          <w:tcPr>
            <w:tcW w:w="1398" w:type="dxa"/>
            <w:tcBorders>
              <w:top w:val="single" w:sz="4" w:space="0" w:color="auto"/>
            </w:tcBorders>
          </w:tcPr>
          <w:p w14:paraId="1ABA86A8"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31.48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3.67</w:t>
            </w:r>
          </w:p>
        </w:tc>
        <w:tc>
          <w:tcPr>
            <w:tcW w:w="779" w:type="dxa"/>
            <w:tcBorders>
              <w:top w:val="single" w:sz="4" w:space="0" w:color="auto"/>
            </w:tcBorders>
          </w:tcPr>
          <w:p w14:paraId="00CC8AD7"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0.024</w:t>
            </w:r>
          </w:p>
        </w:tc>
      </w:tr>
      <w:tr w:rsidR="00AB41D8" w:rsidRPr="00004558" w14:paraId="2E3D3867" w14:textId="77777777" w:rsidTr="00EF17EB">
        <w:tc>
          <w:tcPr>
            <w:tcW w:w="3546" w:type="dxa"/>
            <w:gridSpan w:val="2"/>
          </w:tcPr>
          <w:p w14:paraId="3D2A264E" w14:textId="77777777" w:rsidR="00AB41D8" w:rsidRPr="00004558" w:rsidRDefault="00AB41D8" w:rsidP="00EF17EB">
            <w:pPr>
              <w:pStyle w:val="NoSpacing"/>
              <w:rPr>
                <w:rFonts w:ascii="Times New Roman" w:hAnsi="Times New Roman"/>
                <w:sz w:val="20"/>
                <w:szCs w:val="20"/>
                <w:lang w:val="en-GB"/>
              </w:rPr>
            </w:pPr>
            <w:r w:rsidRPr="00004558">
              <w:rPr>
                <w:rFonts w:ascii="Times New Roman" w:hAnsi="Times New Roman"/>
                <w:sz w:val="20"/>
                <w:szCs w:val="20"/>
                <w:lang w:val="en-GB"/>
              </w:rPr>
              <w:t>Ethnicity</w:t>
            </w:r>
          </w:p>
        </w:tc>
        <w:tc>
          <w:tcPr>
            <w:tcW w:w="1256" w:type="dxa"/>
          </w:tcPr>
          <w:p w14:paraId="150C45AC" w14:textId="77777777" w:rsidR="00AB41D8" w:rsidRPr="00004558" w:rsidRDefault="00AB41D8" w:rsidP="00EF17EB">
            <w:pPr>
              <w:pStyle w:val="NoSpacing"/>
              <w:jc w:val="center"/>
              <w:rPr>
                <w:rFonts w:ascii="Times New Roman" w:hAnsi="Times New Roman"/>
                <w:sz w:val="20"/>
                <w:szCs w:val="20"/>
                <w:lang w:val="en-GB"/>
              </w:rPr>
            </w:pPr>
          </w:p>
        </w:tc>
        <w:tc>
          <w:tcPr>
            <w:tcW w:w="1250" w:type="dxa"/>
          </w:tcPr>
          <w:p w14:paraId="12D987F7" w14:textId="77777777" w:rsidR="00AB41D8" w:rsidRPr="00004558" w:rsidRDefault="00AB41D8" w:rsidP="00EF17EB">
            <w:pPr>
              <w:pStyle w:val="NoSpacing"/>
              <w:jc w:val="center"/>
              <w:rPr>
                <w:rFonts w:ascii="Times New Roman" w:hAnsi="Times New Roman"/>
                <w:sz w:val="20"/>
                <w:szCs w:val="20"/>
                <w:lang w:val="en-GB"/>
              </w:rPr>
            </w:pPr>
          </w:p>
        </w:tc>
        <w:tc>
          <w:tcPr>
            <w:tcW w:w="1268" w:type="dxa"/>
          </w:tcPr>
          <w:p w14:paraId="3E41D636" w14:textId="77777777" w:rsidR="00AB41D8" w:rsidRPr="00004558" w:rsidRDefault="00AB41D8" w:rsidP="00EF17EB">
            <w:pPr>
              <w:pStyle w:val="NoSpacing"/>
              <w:jc w:val="center"/>
              <w:rPr>
                <w:rFonts w:ascii="Times New Roman" w:hAnsi="Times New Roman"/>
                <w:sz w:val="20"/>
                <w:szCs w:val="20"/>
                <w:lang w:val="en-GB"/>
              </w:rPr>
            </w:pPr>
          </w:p>
        </w:tc>
        <w:tc>
          <w:tcPr>
            <w:tcW w:w="878" w:type="dxa"/>
          </w:tcPr>
          <w:p w14:paraId="7EC3BA64" w14:textId="77777777" w:rsidR="00AB41D8" w:rsidRPr="00004558" w:rsidRDefault="00AB41D8" w:rsidP="00EF17EB">
            <w:pPr>
              <w:pStyle w:val="NoSpacing"/>
              <w:jc w:val="center"/>
              <w:rPr>
                <w:rFonts w:ascii="Times New Roman" w:hAnsi="Times New Roman"/>
                <w:sz w:val="20"/>
                <w:szCs w:val="20"/>
                <w:lang w:val="en-GB"/>
              </w:rPr>
            </w:pPr>
          </w:p>
        </w:tc>
        <w:tc>
          <w:tcPr>
            <w:tcW w:w="1409" w:type="dxa"/>
          </w:tcPr>
          <w:p w14:paraId="35D29A4C" w14:textId="77777777" w:rsidR="00AB41D8" w:rsidRPr="00004558" w:rsidRDefault="00AB41D8" w:rsidP="00EF17EB">
            <w:pPr>
              <w:pStyle w:val="NoSpacing"/>
              <w:jc w:val="center"/>
              <w:rPr>
                <w:rFonts w:ascii="Times New Roman" w:hAnsi="Times New Roman"/>
                <w:sz w:val="20"/>
                <w:szCs w:val="20"/>
                <w:lang w:val="en-GB"/>
              </w:rPr>
            </w:pPr>
          </w:p>
        </w:tc>
        <w:tc>
          <w:tcPr>
            <w:tcW w:w="1399" w:type="dxa"/>
          </w:tcPr>
          <w:p w14:paraId="6B7614C6" w14:textId="77777777" w:rsidR="00AB41D8" w:rsidRPr="00004558" w:rsidRDefault="00AB41D8" w:rsidP="00EF17EB">
            <w:pPr>
              <w:pStyle w:val="NoSpacing"/>
              <w:jc w:val="center"/>
              <w:rPr>
                <w:rFonts w:ascii="Times New Roman" w:hAnsi="Times New Roman"/>
                <w:sz w:val="20"/>
                <w:szCs w:val="20"/>
                <w:lang w:val="en-GB"/>
              </w:rPr>
            </w:pPr>
          </w:p>
        </w:tc>
        <w:tc>
          <w:tcPr>
            <w:tcW w:w="1398" w:type="dxa"/>
          </w:tcPr>
          <w:p w14:paraId="2C07CE7E" w14:textId="77777777" w:rsidR="00AB41D8" w:rsidRPr="00004558" w:rsidRDefault="00AB41D8" w:rsidP="00EF17EB">
            <w:pPr>
              <w:pStyle w:val="NoSpacing"/>
              <w:jc w:val="center"/>
              <w:rPr>
                <w:rFonts w:ascii="Times New Roman" w:hAnsi="Times New Roman"/>
                <w:sz w:val="20"/>
                <w:szCs w:val="20"/>
                <w:lang w:val="en-GB"/>
              </w:rPr>
            </w:pPr>
          </w:p>
        </w:tc>
        <w:tc>
          <w:tcPr>
            <w:tcW w:w="779" w:type="dxa"/>
          </w:tcPr>
          <w:p w14:paraId="4289743E" w14:textId="77777777" w:rsidR="00AB41D8" w:rsidRPr="00004558" w:rsidRDefault="00AB41D8" w:rsidP="00EF17EB">
            <w:pPr>
              <w:pStyle w:val="NoSpacing"/>
              <w:jc w:val="center"/>
              <w:rPr>
                <w:rFonts w:ascii="Times New Roman" w:hAnsi="Times New Roman"/>
                <w:sz w:val="20"/>
                <w:szCs w:val="20"/>
                <w:lang w:val="en-GB"/>
              </w:rPr>
            </w:pPr>
          </w:p>
        </w:tc>
      </w:tr>
      <w:tr w:rsidR="00AB41D8" w:rsidRPr="00004558" w14:paraId="5C5BA9F3" w14:textId="77777777" w:rsidTr="00EF17EB">
        <w:tc>
          <w:tcPr>
            <w:tcW w:w="420" w:type="dxa"/>
          </w:tcPr>
          <w:p w14:paraId="7DA9A500" w14:textId="77777777" w:rsidR="00AB41D8" w:rsidRPr="00004558" w:rsidRDefault="00AB41D8" w:rsidP="00EF17EB">
            <w:pPr>
              <w:pStyle w:val="NoSpacing"/>
              <w:rPr>
                <w:rFonts w:ascii="Times New Roman" w:hAnsi="Times New Roman"/>
                <w:sz w:val="20"/>
                <w:szCs w:val="20"/>
                <w:lang w:val="en-GB"/>
              </w:rPr>
            </w:pPr>
          </w:p>
        </w:tc>
        <w:tc>
          <w:tcPr>
            <w:tcW w:w="3126" w:type="dxa"/>
          </w:tcPr>
          <w:p w14:paraId="702BEC2E" w14:textId="77777777" w:rsidR="00AB41D8" w:rsidRPr="00004558" w:rsidRDefault="00AB41D8" w:rsidP="00EF17EB">
            <w:pPr>
              <w:pStyle w:val="NoSpacing"/>
              <w:rPr>
                <w:rFonts w:ascii="Times New Roman" w:hAnsi="Times New Roman"/>
                <w:sz w:val="20"/>
                <w:szCs w:val="20"/>
                <w:lang w:val="en-GB"/>
              </w:rPr>
            </w:pPr>
            <w:r w:rsidRPr="00004558">
              <w:rPr>
                <w:rFonts w:ascii="Times New Roman" w:hAnsi="Times New Roman"/>
                <w:sz w:val="20"/>
                <w:szCs w:val="20"/>
                <w:lang w:val="en-GB"/>
              </w:rPr>
              <w:t>Chinese</w:t>
            </w:r>
          </w:p>
        </w:tc>
        <w:tc>
          <w:tcPr>
            <w:tcW w:w="1256" w:type="dxa"/>
          </w:tcPr>
          <w:p w14:paraId="6010923A"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711 (72.2)</w:t>
            </w:r>
          </w:p>
        </w:tc>
        <w:tc>
          <w:tcPr>
            <w:tcW w:w="1250" w:type="dxa"/>
          </w:tcPr>
          <w:p w14:paraId="76C69C19"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589 (76.4)</w:t>
            </w:r>
          </w:p>
        </w:tc>
        <w:tc>
          <w:tcPr>
            <w:tcW w:w="1268" w:type="dxa"/>
          </w:tcPr>
          <w:p w14:paraId="3C5F73E7"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122 (57.0)</w:t>
            </w:r>
          </w:p>
        </w:tc>
        <w:tc>
          <w:tcPr>
            <w:tcW w:w="878" w:type="dxa"/>
          </w:tcPr>
          <w:p w14:paraId="34EE3278"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&lt;0.001</w:t>
            </w:r>
          </w:p>
        </w:tc>
        <w:tc>
          <w:tcPr>
            <w:tcW w:w="1409" w:type="dxa"/>
          </w:tcPr>
          <w:p w14:paraId="3112FF5C"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24 (39.3)</w:t>
            </w:r>
          </w:p>
        </w:tc>
        <w:tc>
          <w:tcPr>
            <w:tcW w:w="1399" w:type="dxa"/>
          </w:tcPr>
          <w:p w14:paraId="40DB3720"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38 (69.1)</w:t>
            </w:r>
          </w:p>
        </w:tc>
        <w:tc>
          <w:tcPr>
            <w:tcW w:w="1398" w:type="dxa"/>
          </w:tcPr>
          <w:p w14:paraId="34DEA423"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60 (61.2)</w:t>
            </w:r>
          </w:p>
        </w:tc>
        <w:tc>
          <w:tcPr>
            <w:tcW w:w="779" w:type="dxa"/>
          </w:tcPr>
          <w:p w14:paraId="5C4BA090"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&lt;0.001</w:t>
            </w:r>
          </w:p>
        </w:tc>
      </w:tr>
      <w:tr w:rsidR="00AB41D8" w:rsidRPr="00004558" w14:paraId="20282FE9" w14:textId="77777777" w:rsidTr="00EF17EB">
        <w:tc>
          <w:tcPr>
            <w:tcW w:w="420" w:type="dxa"/>
          </w:tcPr>
          <w:p w14:paraId="4393AFDC" w14:textId="77777777" w:rsidR="00AB41D8" w:rsidRPr="00004558" w:rsidRDefault="00AB41D8" w:rsidP="00EF17EB">
            <w:pPr>
              <w:pStyle w:val="NoSpacing"/>
              <w:rPr>
                <w:rFonts w:ascii="Times New Roman" w:hAnsi="Times New Roman"/>
                <w:sz w:val="20"/>
                <w:szCs w:val="20"/>
                <w:lang w:val="en-GB"/>
              </w:rPr>
            </w:pPr>
          </w:p>
        </w:tc>
        <w:tc>
          <w:tcPr>
            <w:tcW w:w="3126" w:type="dxa"/>
          </w:tcPr>
          <w:p w14:paraId="13CE69EF" w14:textId="77777777" w:rsidR="00AB41D8" w:rsidRPr="00004558" w:rsidRDefault="00AB41D8" w:rsidP="00EF17EB">
            <w:pPr>
              <w:pStyle w:val="NoSpacing"/>
              <w:rPr>
                <w:rFonts w:ascii="Times New Roman" w:hAnsi="Times New Roman"/>
                <w:sz w:val="20"/>
                <w:szCs w:val="20"/>
                <w:lang w:val="en-GB"/>
              </w:rPr>
            </w:pPr>
            <w:r w:rsidRPr="00004558">
              <w:rPr>
                <w:rFonts w:ascii="Times New Roman" w:hAnsi="Times New Roman"/>
                <w:sz w:val="20"/>
                <w:szCs w:val="20"/>
                <w:lang w:val="en-GB"/>
              </w:rPr>
              <w:t>Malay</w:t>
            </w:r>
          </w:p>
        </w:tc>
        <w:tc>
          <w:tcPr>
            <w:tcW w:w="1256" w:type="dxa"/>
          </w:tcPr>
          <w:p w14:paraId="70C2B596"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152 (15.4)</w:t>
            </w:r>
          </w:p>
        </w:tc>
        <w:tc>
          <w:tcPr>
            <w:tcW w:w="1250" w:type="dxa"/>
          </w:tcPr>
          <w:p w14:paraId="78BD2B6F"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104 (13.5)</w:t>
            </w:r>
          </w:p>
        </w:tc>
        <w:tc>
          <w:tcPr>
            <w:tcW w:w="1268" w:type="dxa"/>
          </w:tcPr>
          <w:p w14:paraId="0C38298E"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48 (22.4)</w:t>
            </w:r>
          </w:p>
        </w:tc>
        <w:tc>
          <w:tcPr>
            <w:tcW w:w="878" w:type="dxa"/>
          </w:tcPr>
          <w:p w14:paraId="619ED32C" w14:textId="77777777" w:rsidR="00AB41D8" w:rsidRPr="00004558" w:rsidRDefault="00AB41D8" w:rsidP="00EF17EB">
            <w:pPr>
              <w:pStyle w:val="NoSpacing"/>
              <w:jc w:val="center"/>
              <w:rPr>
                <w:rFonts w:ascii="Times New Roman" w:hAnsi="Times New Roman"/>
                <w:sz w:val="20"/>
                <w:szCs w:val="20"/>
                <w:lang w:val="en-GB"/>
              </w:rPr>
            </w:pPr>
          </w:p>
        </w:tc>
        <w:tc>
          <w:tcPr>
            <w:tcW w:w="1409" w:type="dxa"/>
          </w:tcPr>
          <w:p w14:paraId="25182DBB"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14 (23.0)</w:t>
            </w:r>
          </w:p>
        </w:tc>
        <w:tc>
          <w:tcPr>
            <w:tcW w:w="1399" w:type="dxa"/>
          </w:tcPr>
          <w:p w14:paraId="2B9F243E"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9 (16.4)</w:t>
            </w:r>
          </w:p>
        </w:tc>
        <w:tc>
          <w:tcPr>
            <w:tcW w:w="1398" w:type="dxa"/>
          </w:tcPr>
          <w:p w14:paraId="133E390A"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25 (25.5)</w:t>
            </w:r>
          </w:p>
        </w:tc>
        <w:tc>
          <w:tcPr>
            <w:tcW w:w="779" w:type="dxa"/>
          </w:tcPr>
          <w:p w14:paraId="551EF84B" w14:textId="77777777" w:rsidR="00AB41D8" w:rsidRPr="00004558" w:rsidRDefault="00AB41D8" w:rsidP="00EF17EB">
            <w:pPr>
              <w:pStyle w:val="NoSpacing"/>
              <w:jc w:val="center"/>
              <w:rPr>
                <w:rFonts w:ascii="Times New Roman" w:hAnsi="Times New Roman"/>
                <w:sz w:val="20"/>
                <w:szCs w:val="20"/>
                <w:lang w:val="en-GB"/>
              </w:rPr>
            </w:pPr>
          </w:p>
        </w:tc>
      </w:tr>
      <w:tr w:rsidR="00AB41D8" w:rsidRPr="00004558" w14:paraId="1CA82206" w14:textId="77777777" w:rsidTr="00EF17EB">
        <w:tc>
          <w:tcPr>
            <w:tcW w:w="420" w:type="dxa"/>
          </w:tcPr>
          <w:p w14:paraId="40C2CF3E" w14:textId="77777777" w:rsidR="00AB41D8" w:rsidRPr="00004558" w:rsidRDefault="00AB41D8" w:rsidP="00EF17EB">
            <w:pPr>
              <w:pStyle w:val="NoSpacing"/>
              <w:rPr>
                <w:rFonts w:ascii="Times New Roman" w:hAnsi="Times New Roman"/>
                <w:sz w:val="20"/>
                <w:szCs w:val="20"/>
                <w:lang w:val="en-GB"/>
              </w:rPr>
            </w:pPr>
          </w:p>
        </w:tc>
        <w:tc>
          <w:tcPr>
            <w:tcW w:w="3126" w:type="dxa"/>
          </w:tcPr>
          <w:p w14:paraId="0C954FF3" w14:textId="77777777" w:rsidR="00AB41D8" w:rsidRPr="00004558" w:rsidRDefault="00AB41D8" w:rsidP="00EF17EB">
            <w:pPr>
              <w:pStyle w:val="NoSpacing"/>
              <w:rPr>
                <w:rFonts w:ascii="Times New Roman" w:hAnsi="Times New Roman"/>
                <w:sz w:val="20"/>
                <w:szCs w:val="20"/>
                <w:lang w:val="en-GB"/>
              </w:rPr>
            </w:pPr>
            <w:r w:rsidRPr="00004558">
              <w:rPr>
                <w:rFonts w:ascii="Times New Roman" w:hAnsi="Times New Roman"/>
                <w:sz w:val="20"/>
                <w:szCs w:val="20"/>
                <w:lang w:val="en-GB"/>
              </w:rPr>
              <w:t>Indian</w:t>
            </w:r>
          </w:p>
        </w:tc>
        <w:tc>
          <w:tcPr>
            <w:tcW w:w="1256" w:type="dxa"/>
          </w:tcPr>
          <w:p w14:paraId="5728C942"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89 (9.0)</w:t>
            </w:r>
          </w:p>
        </w:tc>
        <w:tc>
          <w:tcPr>
            <w:tcW w:w="1250" w:type="dxa"/>
          </w:tcPr>
          <w:p w14:paraId="52BDDAB8"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57 (7.4)</w:t>
            </w:r>
          </w:p>
        </w:tc>
        <w:tc>
          <w:tcPr>
            <w:tcW w:w="1268" w:type="dxa"/>
          </w:tcPr>
          <w:p w14:paraId="587C9457"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32 (15.0)</w:t>
            </w:r>
          </w:p>
        </w:tc>
        <w:tc>
          <w:tcPr>
            <w:tcW w:w="878" w:type="dxa"/>
          </w:tcPr>
          <w:p w14:paraId="3E53C318" w14:textId="77777777" w:rsidR="00AB41D8" w:rsidRPr="00004558" w:rsidRDefault="00AB41D8" w:rsidP="00EF17EB">
            <w:pPr>
              <w:pStyle w:val="NoSpacing"/>
              <w:jc w:val="center"/>
              <w:rPr>
                <w:rFonts w:ascii="Times New Roman" w:hAnsi="Times New Roman"/>
                <w:sz w:val="20"/>
                <w:szCs w:val="20"/>
                <w:lang w:val="en-GB"/>
              </w:rPr>
            </w:pPr>
          </w:p>
        </w:tc>
        <w:tc>
          <w:tcPr>
            <w:tcW w:w="1409" w:type="dxa"/>
          </w:tcPr>
          <w:p w14:paraId="2E70425E"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16 (26.2)</w:t>
            </w:r>
          </w:p>
        </w:tc>
        <w:tc>
          <w:tcPr>
            <w:tcW w:w="1399" w:type="dxa"/>
          </w:tcPr>
          <w:p w14:paraId="23AED10A"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7 (12.7)</w:t>
            </w:r>
          </w:p>
        </w:tc>
        <w:tc>
          <w:tcPr>
            <w:tcW w:w="1398" w:type="dxa"/>
          </w:tcPr>
          <w:p w14:paraId="04962BA7"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9 (9.2)</w:t>
            </w:r>
          </w:p>
        </w:tc>
        <w:tc>
          <w:tcPr>
            <w:tcW w:w="779" w:type="dxa"/>
          </w:tcPr>
          <w:p w14:paraId="10154FEE" w14:textId="77777777" w:rsidR="00AB41D8" w:rsidRPr="00004558" w:rsidRDefault="00AB41D8" w:rsidP="00EF17EB">
            <w:pPr>
              <w:pStyle w:val="NoSpacing"/>
              <w:jc w:val="center"/>
              <w:rPr>
                <w:rFonts w:ascii="Times New Roman" w:hAnsi="Times New Roman"/>
                <w:sz w:val="20"/>
                <w:szCs w:val="20"/>
                <w:lang w:val="en-GB"/>
              </w:rPr>
            </w:pPr>
          </w:p>
        </w:tc>
      </w:tr>
      <w:tr w:rsidR="00AB41D8" w:rsidRPr="00004558" w14:paraId="1B9A1519" w14:textId="77777777" w:rsidTr="00EF17EB">
        <w:tc>
          <w:tcPr>
            <w:tcW w:w="420" w:type="dxa"/>
          </w:tcPr>
          <w:p w14:paraId="792DFB5F" w14:textId="77777777" w:rsidR="00AB41D8" w:rsidRPr="00004558" w:rsidRDefault="00AB41D8" w:rsidP="00EF17EB">
            <w:pPr>
              <w:pStyle w:val="NoSpacing"/>
              <w:rPr>
                <w:rFonts w:ascii="Times New Roman" w:hAnsi="Times New Roman"/>
                <w:sz w:val="20"/>
                <w:szCs w:val="20"/>
                <w:lang w:val="en-GB"/>
              </w:rPr>
            </w:pPr>
          </w:p>
        </w:tc>
        <w:tc>
          <w:tcPr>
            <w:tcW w:w="3126" w:type="dxa"/>
          </w:tcPr>
          <w:p w14:paraId="74115861" w14:textId="77777777" w:rsidR="00AB41D8" w:rsidRPr="00004558" w:rsidRDefault="00AB41D8" w:rsidP="00EF17EB">
            <w:pPr>
              <w:pStyle w:val="NoSpacing"/>
              <w:rPr>
                <w:rFonts w:ascii="Times New Roman" w:hAnsi="Times New Roman"/>
                <w:sz w:val="20"/>
                <w:szCs w:val="20"/>
                <w:lang w:val="en-GB"/>
              </w:rPr>
            </w:pPr>
            <w:r w:rsidRPr="00004558">
              <w:rPr>
                <w:rFonts w:ascii="Times New Roman" w:hAnsi="Times New Roman"/>
                <w:sz w:val="20"/>
                <w:szCs w:val="20"/>
                <w:lang w:val="en-GB"/>
              </w:rPr>
              <w:t>Mixed</w:t>
            </w:r>
          </w:p>
        </w:tc>
        <w:tc>
          <w:tcPr>
            <w:tcW w:w="1256" w:type="dxa"/>
          </w:tcPr>
          <w:p w14:paraId="58787E98"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33 (3.4)</w:t>
            </w:r>
          </w:p>
        </w:tc>
        <w:tc>
          <w:tcPr>
            <w:tcW w:w="1250" w:type="dxa"/>
          </w:tcPr>
          <w:p w14:paraId="219D62B7"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21 (2.7)</w:t>
            </w:r>
          </w:p>
        </w:tc>
        <w:tc>
          <w:tcPr>
            <w:tcW w:w="1268" w:type="dxa"/>
          </w:tcPr>
          <w:p w14:paraId="2DE0C3A0"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12 (5.6)</w:t>
            </w:r>
          </w:p>
        </w:tc>
        <w:tc>
          <w:tcPr>
            <w:tcW w:w="878" w:type="dxa"/>
          </w:tcPr>
          <w:p w14:paraId="22BD8CFF" w14:textId="77777777" w:rsidR="00AB41D8" w:rsidRPr="00004558" w:rsidRDefault="00AB41D8" w:rsidP="00EF17EB">
            <w:pPr>
              <w:pStyle w:val="NoSpacing"/>
              <w:jc w:val="center"/>
              <w:rPr>
                <w:rFonts w:ascii="Times New Roman" w:hAnsi="Times New Roman"/>
                <w:sz w:val="20"/>
                <w:szCs w:val="20"/>
                <w:lang w:val="en-GB"/>
              </w:rPr>
            </w:pPr>
          </w:p>
        </w:tc>
        <w:tc>
          <w:tcPr>
            <w:tcW w:w="1409" w:type="dxa"/>
          </w:tcPr>
          <w:p w14:paraId="5CD6CB22"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7 (11.5)</w:t>
            </w:r>
          </w:p>
        </w:tc>
        <w:tc>
          <w:tcPr>
            <w:tcW w:w="1399" w:type="dxa"/>
          </w:tcPr>
          <w:p w14:paraId="373BAF8B"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1 (1.8)</w:t>
            </w:r>
          </w:p>
        </w:tc>
        <w:tc>
          <w:tcPr>
            <w:tcW w:w="1398" w:type="dxa"/>
          </w:tcPr>
          <w:p w14:paraId="07CA3952"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4 (4.1)</w:t>
            </w:r>
          </w:p>
        </w:tc>
        <w:tc>
          <w:tcPr>
            <w:tcW w:w="779" w:type="dxa"/>
          </w:tcPr>
          <w:p w14:paraId="7405BFC0" w14:textId="77777777" w:rsidR="00AB41D8" w:rsidRPr="00004558" w:rsidRDefault="00AB41D8" w:rsidP="00EF17EB">
            <w:pPr>
              <w:pStyle w:val="NoSpacing"/>
              <w:jc w:val="center"/>
              <w:rPr>
                <w:rFonts w:ascii="Times New Roman" w:hAnsi="Times New Roman"/>
                <w:sz w:val="20"/>
                <w:szCs w:val="20"/>
                <w:lang w:val="en-GB"/>
              </w:rPr>
            </w:pPr>
          </w:p>
        </w:tc>
      </w:tr>
      <w:tr w:rsidR="00AB41D8" w:rsidRPr="00004558" w14:paraId="4224C416" w14:textId="77777777" w:rsidTr="00EF17EB">
        <w:tc>
          <w:tcPr>
            <w:tcW w:w="3546" w:type="dxa"/>
            <w:gridSpan w:val="2"/>
          </w:tcPr>
          <w:p w14:paraId="01282CBD" w14:textId="77777777" w:rsidR="00AB41D8" w:rsidRPr="00004558" w:rsidRDefault="00AB41D8" w:rsidP="00EF17EB">
            <w:pPr>
              <w:pStyle w:val="NoSpacing"/>
              <w:rPr>
                <w:rFonts w:ascii="Times New Roman" w:hAnsi="Times New Roman"/>
                <w:sz w:val="20"/>
                <w:szCs w:val="20"/>
                <w:lang w:val="en-GB"/>
              </w:rPr>
            </w:pPr>
            <w:r w:rsidRPr="00004558">
              <w:rPr>
                <w:rFonts w:ascii="Times New Roman" w:hAnsi="Times New Roman"/>
                <w:sz w:val="20"/>
                <w:szCs w:val="20"/>
                <w:lang w:val="en-GB"/>
              </w:rPr>
              <w:t>Hb, g/dL</w:t>
            </w:r>
          </w:p>
        </w:tc>
        <w:tc>
          <w:tcPr>
            <w:tcW w:w="1256" w:type="dxa"/>
          </w:tcPr>
          <w:p w14:paraId="7D48FB2A"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12.92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1.18</w:t>
            </w:r>
          </w:p>
        </w:tc>
        <w:tc>
          <w:tcPr>
            <w:tcW w:w="1250" w:type="dxa"/>
          </w:tcPr>
          <w:p w14:paraId="73D8766A"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13.33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0.75</w:t>
            </w:r>
          </w:p>
        </w:tc>
        <w:tc>
          <w:tcPr>
            <w:tcW w:w="1268" w:type="dxa"/>
          </w:tcPr>
          <w:p w14:paraId="5243A523"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11.46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1.25</w:t>
            </w:r>
          </w:p>
        </w:tc>
        <w:tc>
          <w:tcPr>
            <w:tcW w:w="878" w:type="dxa"/>
          </w:tcPr>
          <w:p w14:paraId="08230776"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&lt;0.001</w:t>
            </w:r>
          </w:p>
        </w:tc>
        <w:tc>
          <w:tcPr>
            <w:tcW w:w="1409" w:type="dxa"/>
          </w:tcPr>
          <w:p w14:paraId="42E1E1E1"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12.76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0.70</w:t>
            </w:r>
          </w:p>
        </w:tc>
        <w:tc>
          <w:tcPr>
            <w:tcW w:w="1399" w:type="dxa"/>
          </w:tcPr>
          <w:p w14:paraId="6EA34E6D"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11.42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0.47</w:t>
            </w:r>
          </w:p>
        </w:tc>
        <w:tc>
          <w:tcPr>
            <w:tcW w:w="1398" w:type="dxa"/>
          </w:tcPr>
          <w:p w14:paraId="0A0495B3"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10.66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1.13</w:t>
            </w:r>
          </w:p>
        </w:tc>
        <w:tc>
          <w:tcPr>
            <w:tcW w:w="779" w:type="dxa"/>
          </w:tcPr>
          <w:p w14:paraId="6CEFAF4B"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&lt;0.001</w:t>
            </w:r>
          </w:p>
        </w:tc>
      </w:tr>
      <w:tr w:rsidR="00AB41D8" w:rsidRPr="00004558" w14:paraId="32CC55A3" w14:textId="77777777" w:rsidTr="00EF17EB">
        <w:tc>
          <w:tcPr>
            <w:tcW w:w="420" w:type="dxa"/>
          </w:tcPr>
          <w:p w14:paraId="178352F1" w14:textId="77777777" w:rsidR="00AB41D8" w:rsidRPr="00004558" w:rsidRDefault="00AB41D8" w:rsidP="00EF17EB">
            <w:pPr>
              <w:pStyle w:val="NoSpacing"/>
              <w:rPr>
                <w:rFonts w:ascii="Times New Roman" w:hAnsi="Times New Roman"/>
                <w:sz w:val="20"/>
                <w:szCs w:val="20"/>
                <w:lang w:val="en-GB"/>
              </w:rPr>
            </w:pPr>
          </w:p>
        </w:tc>
        <w:tc>
          <w:tcPr>
            <w:tcW w:w="3126" w:type="dxa"/>
          </w:tcPr>
          <w:p w14:paraId="24119DF3" w14:textId="77777777" w:rsidR="00AB41D8" w:rsidRPr="00004558" w:rsidRDefault="00AB41D8" w:rsidP="00EF17EB">
            <w:pPr>
              <w:pStyle w:val="NoSpacing"/>
              <w:rPr>
                <w:rFonts w:ascii="Times New Roman" w:hAnsi="Times New Roman"/>
                <w:sz w:val="20"/>
                <w:szCs w:val="20"/>
                <w:lang w:val="en-GB"/>
              </w:rPr>
            </w:pPr>
            <w:r w:rsidRPr="00004558">
              <w:rPr>
                <w:rFonts w:ascii="Times New Roman" w:hAnsi="Times New Roman"/>
                <w:sz w:val="20"/>
                <w:szCs w:val="20"/>
                <w:lang w:val="en-GB"/>
              </w:rPr>
              <w:t>Normal ≥12 g/dL</w:t>
            </w:r>
          </w:p>
        </w:tc>
        <w:tc>
          <w:tcPr>
            <w:tcW w:w="1256" w:type="dxa"/>
          </w:tcPr>
          <w:p w14:paraId="52E5482C"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832 (84.5)</w:t>
            </w:r>
          </w:p>
        </w:tc>
        <w:tc>
          <w:tcPr>
            <w:tcW w:w="1250" w:type="dxa"/>
          </w:tcPr>
          <w:p w14:paraId="410E921B"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771 (100.0)</w:t>
            </w:r>
          </w:p>
        </w:tc>
        <w:tc>
          <w:tcPr>
            <w:tcW w:w="1268" w:type="dxa"/>
          </w:tcPr>
          <w:p w14:paraId="6707F2A5"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61 (28.5)</w:t>
            </w:r>
          </w:p>
        </w:tc>
        <w:tc>
          <w:tcPr>
            <w:tcW w:w="878" w:type="dxa"/>
          </w:tcPr>
          <w:p w14:paraId="36F47FCE"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&lt;0.001</w:t>
            </w:r>
          </w:p>
        </w:tc>
        <w:tc>
          <w:tcPr>
            <w:tcW w:w="1409" w:type="dxa"/>
          </w:tcPr>
          <w:p w14:paraId="5CD7CFD6"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61 (100.0)</w:t>
            </w:r>
          </w:p>
        </w:tc>
        <w:tc>
          <w:tcPr>
            <w:tcW w:w="1399" w:type="dxa"/>
          </w:tcPr>
          <w:p w14:paraId="5E4D21F4"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0</w:t>
            </w:r>
          </w:p>
        </w:tc>
        <w:tc>
          <w:tcPr>
            <w:tcW w:w="1398" w:type="dxa"/>
          </w:tcPr>
          <w:p w14:paraId="501C65FB"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0</w:t>
            </w:r>
          </w:p>
        </w:tc>
        <w:tc>
          <w:tcPr>
            <w:tcW w:w="779" w:type="dxa"/>
          </w:tcPr>
          <w:p w14:paraId="6C812DF1"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&lt;0.001</w:t>
            </w:r>
          </w:p>
        </w:tc>
      </w:tr>
      <w:tr w:rsidR="00AB41D8" w:rsidRPr="00004558" w14:paraId="0544B306" w14:textId="77777777" w:rsidTr="00EF17EB">
        <w:tc>
          <w:tcPr>
            <w:tcW w:w="420" w:type="dxa"/>
          </w:tcPr>
          <w:p w14:paraId="63FE1505" w14:textId="77777777" w:rsidR="00AB41D8" w:rsidRPr="00004558" w:rsidRDefault="00AB41D8" w:rsidP="00EF17EB">
            <w:pPr>
              <w:pStyle w:val="NoSpacing"/>
              <w:rPr>
                <w:rFonts w:ascii="Times New Roman" w:hAnsi="Times New Roman"/>
                <w:sz w:val="20"/>
                <w:szCs w:val="20"/>
                <w:lang w:val="en-GB"/>
              </w:rPr>
            </w:pPr>
          </w:p>
        </w:tc>
        <w:tc>
          <w:tcPr>
            <w:tcW w:w="3126" w:type="dxa"/>
          </w:tcPr>
          <w:p w14:paraId="2579539C" w14:textId="77777777" w:rsidR="00AB41D8" w:rsidRPr="00004558" w:rsidRDefault="00AB41D8" w:rsidP="00EF17EB">
            <w:pPr>
              <w:pStyle w:val="NoSpacing"/>
              <w:rPr>
                <w:rFonts w:ascii="Times New Roman" w:hAnsi="Times New Roman"/>
                <w:sz w:val="20"/>
                <w:szCs w:val="20"/>
                <w:lang w:val="en-GB"/>
              </w:rPr>
            </w:pPr>
            <w:r w:rsidRPr="00004558">
              <w:rPr>
                <w:rFonts w:ascii="Times New Roman" w:hAnsi="Times New Roman"/>
                <w:sz w:val="20"/>
                <w:szCs w:val="20"/>
                <w:lang w:val="en-GB"/>
              </w:rPr>
              <w:t>Low &lt;12 g/dL</w:t>
            </w:r>
          </w:p>
        </w:tc>
        <w:tc>
          <w:tcPr>
            <w:tcW w:w="1256" w:type="dxa"/>
          </w:tcPr>
          <w:p w14:paraId="3A8945A3"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153 (15.5)</w:t>
            </w:r>
          </w:p>
        </w:tc>
        <w:tc>
          <w:tcPr>
            <w:tcW w:w="1250" w:type="dxa"/>
          </w:tcPr>
          <w:p w14:paraId="3F41605F"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0</w:t>
            </w:r>
          </w:p>
        </w:tc>
        <w:tc>
          <w:tcPr>
            <w:tcW w:w="1268" w:type="dxa"/>
          </w:tcPr>
          <w:p w14:paraId="4A1AF467"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153 (71.5)</w:t>
            </w:r>
          </w:p>
        </w:tc>
        <w:tc>
          <w:tcPr>
            <w:tcW w:w="878" w:type="dxa"/>
          </w:tcPr>
          <w:p w14:paraId="071EEFBC" w14:textId="77777777" w:rsidR="00AB41D8" w:rsidRPr="00004558" w:rsidRDefault="00AB41D8" w:rsidP="00EF17EB">
            <w:pPr>
              <w:pStyle w:val="NoSpacing"/>
              <w:jc w:val="center"/>
              <w:rPr>
                <w:rFonts w:ascii="Times New Roman" w:hAnsi="Times New Roman"/>
                <w:sz w:val="20"/>
                <w:szCs w:val="20"/>
                <w:lang w:val="en-GB"/>
              </w:rPr>
            </w:pPr>
          </w:p>
        </w:tc>
        <w:tc>
          <w:tcPr>
            <w:tcW w:w="1409" w:type="dxa"/>
          </w:tcPr>
          <w:p w14:paraId="48DFAA61"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0</w:t>
            </w:r>
          </w:p>
        </w:tc>
        <w:tc>
          <w:tcPr>
            <w:tcW w:w="1399" w:type="dxa"/>
          </w:tcPr>
          <w:p w14:paraId="47983616"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55 (100.0)</w:t>
            </w:r>
          </w:p>
        </w:tc>
        <w:tc>
          <w:tcPr>
            <w:tcW w:w="1398" w:type="dxa"/>
          </w:tcPr>
          <w:p w14:paraId="355FC495"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98 (100.0)</w:t>
            </w:r>
          </w:p>
        </w:tc>
        <w:tc>
          <w:tcPr>
            <w:tcW w:w="779" w:type="dxa"/>
          </w:tcPr>
          <w:p w14:paraId="360552C2" w14:textId="77777777" w:rsidR="00AB41D8" w:rsidRPr="00004558" w:rsidRDefault="00AB41D8" w:rsidP="00EF17EB">
            <w:pPr>
              <w:pStyle w:val="NoSpacing"/>
              <w:jc w:val="center"/>
              <w:rPr>
                <w:rFonts w:ascii="Times New Roman" w:hAnsi="Times New Roman"/>
                <w:sz w:val="20"/>
                <w:szCs w:val="20"/>
                <w:lang w:val="en-GB"/>
              </w:rPr>
            </w:pPr>
          </w:p>
        </w:tc>
      </w:tr>
      <w:tr w:rsidR="00AB41D8" w:rsidRPr="00004558" w14:paraId="36675787" w14:textId="77777777" w:rsidTr="00EF17EB">
        <w:tc>
          <w:tcPr>
            <w:tcW w:w="3546" w:type="dxa"/>
            <w:gridSpan w:val="2"/>
          </w:tcPr>
          <w:p w14:paraId="379498CA" w14:textId="77777777" w:rsidR="00AB41D8" w:rsidRPr="00004558" w:rsidRDefault="00AB41D8" w:rsidP="00EF17EB">
            <w:pPr>
              <w:pStyle w:val="NoSpacing"/>
              <w:rPr>
                <w:rFonts w:ascii="Times New Roman" w:hAnsi="Times New Roman"/>
                <w:sz w:val="20"/>
                <w:szCs w:val="20"/>
                <w:lang w:val="en-GB"/>
              </w:rPr>
            </w:pPr>
            <w:r w:rsidRPr="00004558">
              <w:rPr>
                <w:rFonts w:ascii="Times New Roman" w:hAnsi="Times New Roman"/>
                <w:sz w:val="20"/>
                <w:szCs w:val="20"/>
                <w:lang w:val="en-GB"/>
              </w:rPr>
              <w:t>MCV, fL</w:t>
            </w:r>
          </w:p>
        </w:tc>
        <w:tc>
          <w:tcPr>
            <w:tcW w:w="1256" w:type="dxa"/>
          </w:tcPr>
          <w:p w14:paraId="5AB64C48"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84.92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7.17</w:t>
            </w:r>
          </w:p>
        </w:tc>
        <w:tc>
          <w:tcPr>
            <w:tcW w:w="1250" w:type="dxa"/>
          </w:tcPr>
          <w:p w14:paraId="1E994A43"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87.62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3.53</w:t>
            </w:r>
          </w:p>
        </w:tc>
        <w:tc>
          <w:tcPr>
            <w:tcW w:w="1268" w:type="dxa"/>
          </w:tcPr>
          <w:p w14:paraId="79C2B996"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75.20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8.45</w:t>
            </w:r>
          </w:p>
        </w:tc>
        <w:tc>
          <w:tcPr>
            <w:tcW w:w="878" w:type="dxa"/>
          </w:tcPr>
          <w:p w14:paraId="3E56BA1C"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&lt;0.001</w:t>
            </w:r>
          </w:p>
        </w:tc>
        <w:tc>
          <w:tcPr>
            <w:tcW w:w="1409" w:type="dxa"/>
          </w:tcPr>
          <w:p w14:paraId="202E9F83"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74.78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5.32</w:t>
            </w:r>
          </w:p>
        </w:tc>
        <w:tc>
          <w:tcPr>
            <w:tcW w:w="1399" w:type="dxa"/>
          </w:tcPr>
          <w:p w14:paraId="37AA282D"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85.72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3.58</w:t>
            </w:r>
          </w:p>
        </w:tc>
        <w:tc>
          <w:tcPr>
            <w:tcW w:w="1398" w:type="dxa"/>
          </w:tcPr>
          <w:p w14:paraId="15D41A0C"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69.54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6.09</w:t>
            </w:r>
          </w:p>
        </w:tc>
        <w:tc>
          <w:tcPr>
            <w:tcW w:w="779" w:type="dxa"/>
          </w:tcPr>
          <w:p w14:paraId="04F7EDB8"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&lt;0.001</w:t>
            </w:r>
          </w:p>
        </w:tc>
      </w:tr>
      <w:tr w:rsidR="00AB41D8" w:rsidRPr="00004558" w14:paraId="4B8A8735" w14:textId="77777777" w:rsidTr="00EF17EB">
        <w:tc>
          <w:tcPr>
            <w:tcW w:w="420" w:type="dxa"/>
          </w:tcPr>
          <w:p w14:paraId="3595ABE9" w14:textId="77777777" w:rsidR="00AB41D8" w:rsidRPr="00004558" w:rsidRDefault="00AB41D8" w:rsidP="00EF17EB">
            <w:pPr>
              <w:pStyle w:val="NoSpacing"/>
              <w:rPr>
                <w:rFonts w:ascii="Times New Roman" w:hAnsi="Times New Roman"/>
                <w:sz w:val="20"/>
                <w:szCs w:val="20"/>
                <w:lang w:val="en-GB"/>
              </w:rPr>
            </w:pPr>
          </w:p>
        </w:tc>
        <w:tc>
          <w:tcPr>
            <w:tcW w:w="3126" w:type="dxa"/>
          </w:tcPr>
          <w:p w14:paraId="49F0E9A1" w14:textId="77777777" w:rsidR="00AB41D8" w:rsidRPr="00004558" w:rsidRDefault="00AB41D8" w:rsidP="00EF17EB">
            <w:pPr>
              <w:pStyle w:val="NoSpacing"/>
              <w:rPr>
                <w:rFonts w:ascii="Times New Roman" w:hAnsi="Times New Roman"/>
                <w:sz w:val="20"/>
                <w:szCs w:val="20"/>
                <w:lang w:val="en-GB"/>
              </w:rPr>
            </w:pPr>
            <w:r w:rsidRPr="00004558">
              <w:rPr>
                <w:rFonts w:ascii="Times New Roman" w:hAnsi="Times New Roman"/>
                <w:sz w:val="20"/>
                <w:szCs w:val="20"/>
                <w:lang w:val="en-GB"/>
              </w:rPr>
              <w:t>Normal 80-100 fL</w:t>
            </w:r>
          </w:p>
        </w:tc>
        <w:tc>
          <w:tcPr>
            <w:tcW w:w="1256" w:type="dxa"/>
          </w:tcPr>
          <w:p w14:paraId="3A3F931D"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826 (83.9)</w:t>
            </w:r>
          </w:p>
        </w:tc>
        <w:tc>
          <w:tcPr>
            <w:tcW w:w="1250" w:type="dxa"/>
          </w:tcPr>
          <w:p w14:paraId="33FBA045"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771 (100.0)</w:t>
            </w:r>
          </w:p>
        </w:tc>
        <w:tc>
          <w:tcPr>
            <w:tcW w:w="1268" w:type="dxa"/>
          </w:tcPr>
          <w:p w14:paraId="57403DA6"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55 (25.7)</w:t>
            </w:r>
          </w:p>
        </w:tc>
        <w:tc>
          <w:tcPr>
            <w:tcW w:w="878" w:type="dxa"/>
          </w:tcPr>
          <w:p w14:paraId="5689E730"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&lt;0.001</w:t>
            </w:r>
          </w:p>
        </w:tc>
        <w:tc>
          <w:tcPr>
            <w:tcW w:w="1409" w:type="dxa"/>
          </w:tcPr>
          <w:p w14:paraId="03770D22"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0</w:t>
            </w:r>
          </w:p>
        </w:tc>
        <w:tc>
          <w:tcPr>
            <w:tcW w:w="1399" w:type="dxa"/>
          </w:tcPr>
          <w:p w14:paraId="093F8C06"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55 (100.0)</w:t>
            </w:r>
          </w:p>
        </w:tc>
        <w:tc>
          <w:tcPr>
            <w:tcW w:w="1398" w:type="dxa"/>
          </w:tcPr>
          <w:p w14:paraId="65EB7E45"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0</w:t>
            </w:r>
          </w:p>
        </w:tc>
        <w:tc>
          <w:tcPr>
            <w:tcW w:w="779" w:type="dxa"/>
          </w:tcPr>
          <w:p w14:paraId="165810D5"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&lt;0.001</w:t>
            </w:r>
          </w:p>
        </w:tc>
      </w:tr>
      <w:tr w:rsidR="00AB41D8" w:rsidRPr="00004558" w14:paraId="4558E644" w14:textId="77777777" w:rsidTr="00EF17EB">
        <w:tc>
          <w:tcPr>
            <w:tcW w:w="420" w:type="dxa"/>
          </w:tcPr>
          <w:p w14:paraId="1C71CF34" w14:textId="77777777" w:rsidR="00AB41D8" w:rsidRPr="00004558" w:rsidRDefault="00AB41D8" w:rsidP="00EF17EB">
            <w:pPr>
              <w:pStyle w:val="NoSpacing"/>
              <w:rPr>
                <w:rFonts w:ascii="Times New Roman" w:hAnsi="Times New Roman"/>
                <w:sz w:val="20"/>
                <w:szCs w:val="20"/>
                <w:lang w:val="en-GB"/>
              </w:rPr>
            </w:pPr>
          </w:p>
        </w:tc>
        <w:tc>
          <w:tcPr>
            <w:tcW w:w="3126" w:type="dxa"/>
          </w:tcPr>
          <w:p w14:paraId="5526B44A" w14:textId="77777777" w:rsidR="00AB41D8" w:rsidRPr="00004558" w:rsidRDefault="00AB41D8" w:rsidP="00EF17EB">
            <w:pPr>
              <w:pStyle w:val="NoSpacing"/>
              <w:rPr>
                <w:rFonts w:ascii="Times New Roman" w:hAnsi="Times New Roman"/>
                <w:sz w:val="20"/>
                <w:szCs w:val="20"/>
                <w:lang w:val="en-GB"/>
              </w:rPr>
            </w:pPr>
            <w:r w:rsidRPr="00004558">
              <w:rPr>
                <w:rFonts w:ascii="Times New Roman" w:hAnsi="Times New Roman"/>
                <w:sz w:val="20"/>
                <w:szCs w:val="20"/>
                <w:lang w:val="en-GB"/>
              </w:rPr>
              <w:t>Low &lt;80 fL</w:t>
            </w:r>
          </w:p>
        </w:tc>
        <w:tc>
          <w:tcPr>
            <w:tcW w:w="1256" w:type="dxa"/>
          </w:tcPr>
          <w:p w14:paraId="48DF4FC7"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159 (16.1)</w:t>
            </w:r>
          </w:p>
        </w:tc>
        <w:tc>
          <w:tcPr>
            <w:tcW w:w="1250" w:type="dxa"/>
          </w:tcPr>
          <w:p w14:paraId="3A04576A"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0</w:t>
            </w:r>
          </w:p>
        </w:tc>
        <w:tc>
          <w:tcPr>
            <w:tcW w:w="1268" w:type="dxa"/>
          </w:tcPr>
          <w:p w14:paraId="539A5A58"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159 (74.3)</w:t>
            </w:r>
          </w:p>
        </w:tc>
        <w:tc>
          <w:tcPr>
            <w:tcW w:w="878" w:type="dxa"/>
          </w:tcPr>
          <w:p w14:paraId="6388BDD4" w14:textId="77777777" w:rsidR="00AB41D8" w:rsidRPr="00004558" w:rsidRDefault="00AB41D8" w:rsidP="00EF17EB">
            <w:pPr>
              <w:pStyle w:val="NoSpacing"/>
              <w:jc w:val="center"/>
              <w:rPr>
                <w:rFonts w:ascii="Times New Roman" w:hAnsi="Times New Roman"/>
                <w:sz w:val="20"/>
                <w:szCs w:val="20"/>
                <w:lang w:val="en-GB"/>
              </w:rPr>
            </w:pPr>
          </w:p>
        </w:tc>
        <w:tc>
          <w:tcPr>
            <w:tcW w:w="1409" w:type="dxa"/>
          </w:tcPr>
          <w:p w14:paraId="0FE76262"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61 (100.0)</w:t>
            </w:r>
          </w:p>
        </w:tc>
        <w:tc>
          <w:tcPr>
            <w:tcW w:w="1399" w:type="dxa"/>
          </w:tcPr>
          <w:p w14:paraId="3AB60073"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0</w:t>
            </w:r>
          </w:p>
        </w:tc>
        <w:tc>
          <w:tcPr>
            <w:tcW w:w="1398" w:type="dxa"/>
          </w:tcPr>
          <w:p w14:paraId="733C141D"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98 (100.0)</w:t>
            </w:r>
          </w:p>
        </w:tc>
        <w:tc>
          <w:tcPr>
            <w:tcW w:w="779" w:type="dxa"/>
          </w:tcPr>
          <w:p w14:paraId="62DCA2A8" w14:textId="77777777" w:rsidR="00AB41D8" w:rsidRPr="00004558" w:rsidRDefault="00AB41D8" w:rsidP="00EF17EB">
            <w:pPr>
              <w:pStyle w:val="NoSpacing"/>
              <w:jc w:val="center"/>
              <w:rPr>
                <w:rFonts w:ascii="Times New Roman" w:hAnsi="Times New Roman"/>
                <w:sz w:val="20"/>
                <w:szCs w:val="20"/>
                <w:lang w:val="en-GB"/>
              </w:rPr>
            </w:pPr>
          </w:p>
        </w:tc>
      </w:tr>
      <w:tr w:rsidR="00AB41D8" w:rsidRPr="00004558" w14:paraId="6A73E8AA" w14:textId="77777777" w:rsidTr="00EF17EB">
        <w:tc>
          <w:tcPr>
            <w:tcW w:w="3546" w:type="dxa"/>
            <w:gridSpan w:val="2"/>
          </w:tcPr>
          <w:p w14:paraId="7E86935E" w14:textId="77777777" w:rsidR="00AB41D8" w:rsidRPr="00004558" w:rsidRDefault="00AB41D8" w:rsidP="00EF17EB">
            <w:pPr>
              <w:pStyle w:val="NoSpacing"/>
              <w:rPr>
                <w:rFonts w:ascii="Times New Roman" w:hAnsi="Times New Roman"/>
                <w:sz w:val="20"/>
                <w:szCs w:val="20"/>
                <w:lang w:val="en-GB"/>
              </w:rPr>
            </w:pPr>
            <w:r w:rsidRPr="00004558">
              <w:rPr>
                <w:rFonts w:ascii="Times New Roman" w:hAnsi="Times New Roman"/>
                <w:sz w:val="20"/>
                <w:szCs w:val="20"/>
                <w:lang w:val="en-GB"/>
              </w:rPr>
              <w:t>HbA1c, %</w:t>
            </w:r>
          </w:p>
        </w:tc>
        <w:tc>
          <w:tcPr>
            <w:tcW w:w="1256" w:type="dxa"/>
          </w:tcPr>
          <w:p w14:paraId="0BD08718"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5.14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0.46</w:t>
            </w:r>
          </w:p>
        </w:tc>
        <w:tc>
          <w:tcPr>
            <w:tcW w:w="1250" w:type="dxa"/>
          </w:tcPr>
          <w:p w14:paraId="59DB66A1"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5.13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0.48</w:t>
            </w:r>
          </w:p>
        </w:tc>
        <w:tc>
          <w:tcPr>
            <w:tcW w:w="1268" w:type="dxa"/>
          </w:tcPr>
          <w:p w14:paraId="50FD1032"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5.17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0.40</w:t>
            </w:r>
          </w:p>
        </w:tc>
        <w:tc>
          <w:tcPr>
            <w:tcW w:w="878" w:type="dxa"/>
          </w:tcPr>
          <w:p w14:paraId="1763229C"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0.277</w:t>
            </w:r>
          </w:p>
        </w:tc>
        <w:tc>
          <w:tcPr>
            <w:tcW w:w="1409" w:type="dxa"/>
          </w:tcPr>
          <w:p w14:paraId="51338959"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5.28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0.59</w:t>
            </w:r>
          </w:p>
        </w:tc>
        <w:tc>
          <w:tcPr>
            <w:tcW w:w="1399" w:type="dxa"/>
          </w:tcPr>
          <w:p w14:paraId="4128EA88"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5.09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0.26</w:t>
            </w:r>
          </w:p>
        </w:tc>
        <w:tc>
          <w:tcPr>
            <w:tcW w:w="1398" w:type="dxa"/>
          </w:tcPr>
          <w:p w14:paraId="59BA3D05"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5.14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0.28</w:t>
            </w:r>
          </w:p>
        </w:tc>
        <w:tc>
          <w:tcPr>
            <w:tcW w:w="779" w:type="dxa"/>
          </w:tcPr>
          <w:p w14:paraId="58C3CBF2"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0.069</w:t>
            </w:r>
          </w:p>
        </w:tc>
      </w:tr>
      <w:tr w:rsidR="00AB41D8" w:rsidRPr="00004558" w14:paraId="26AB541C" w14:textId="77777777" w:rsidTr="00EF17EB">
        <w:tc>
          <w:tcPr>
            <w:tcW w:w="3546" w:type="dxa"/>
            <w:gridSpan w:val="2"/>
          </w:tcPr>
          <w:p w14:paraId="7BB1B538" w14:textId="77777777" w:rsidR="00AB41D8" w:rsidRPr="00004558" w:rsidRDefault="00AB41D8" w:rsidP="00EF17EB">
            <w:pPr>
              <w:pStyle w:val="NoSpacing"/>
              <w:rPr>
                <w:rFonts w:ascii="Times New Roman" w:hAnsi="Times New Roman"/>
                <w:sz w:val="20"/>
                <w:szCs w:val="20"/>
                <w:lang w:val="en-GB"/>
              </w:rPr>
            </w:pPr>
            <w:r w:rsidRPr="00004558">
              <w:rPr>
                <w:rFonts w:ascii="Times New Roman" w:hAnsi="Times New Roman"/>
                <w:sz w:val="20"/>
                <w:szCs w:val="20"/>
                <w:lang w:val="en-GB"/>
              </w:rPr>
              <w:t xml:space="preserve">Fasting plasma glucose, mmol/L </w:t>
            </w:r>
          </w:p>
        </w:tc>
        <w:tc>
          <w:tcPr>
            <w:tcW w:w="1256" w:type="dxa"/>
          </w:tcPr>
          <w:p w14:paraId="6B822206"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4.82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0.74</w:t>
            </w:r>
          </w:p>
        </w:tc>
        <w:tc>
          <w:tcPr>
            <w:tcW w:w="1250" w:type="dxa"/>
          </w:tcPr>
          <w:p w14:paraId="7A60239B"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4.81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0.74</w:t>
            </w:r>
          </w:p>
        </w:tc>
        <w:tc>
          <w:tcPr>
            <w:tcW w:w="1268" w:type="dxa"/>
          </w:tcPr>
          <w:p w14:paraId="5542F302"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4.87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0.71</w:t>
            </w:r>
          </w:p>
        </w:tc>
        <w:tc>
          <w:tcPr>
            <w:tcW w:w="878" w:type="dxa"/>
          </w:tcPr>
          <w:p w14:paraId="04717DC1"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0.339</w:t>
            </w:r>
          </w:p>
        </w:tc>
        <w:tc>
          <w:tcPr>
            <w:tcW w:w="1409" w:type="dxa"/>
          </w:tcPr>
          <w:p w14:paraId="10F2096B"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5.03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1.17</w:t>
            </w:r>
          </w:p>
        </w:tc>
        <w:tc>
          <w:tcPr>
            <w:tcW w:w="1399" w:type="dxa"/>
          </w:tcPr>
          <w:p w14:paraId="305FF91B"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4.67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0.34</w:t>
            </w:r>
          </w:p>
        </w:tc>
        <w:tc>
          <w:tcPr>
            <w:tcW w:w="1398" w:type="dxa"/>
          </w:tcPr>
          <w:p w14:paraId="6CE4533A"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4.87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0.40</w:t>
            </w:r>
          </w:p>
        </w:tc>
        <w:tc>
          <w:tcPr>
            <w:tcW w:w="779" w:type="dxa"/>
          </w:tcPr>
          <w:p w14:paraId="0E59D0C8"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0.050</w:t>
            </w:r>
          </w:p>
        </w:tc>
      </w:tr>
      <w:tr w:rsidR="00AB41D8" w:rsidRPr="00004558" w14:paraId="489ECCF3" w14:textId="77777777" w:rsidTr="00EF17EB">
        <w:tc>
          <w:tcPr>
            <w:tcW w:w="3546" w:type="dxa"/>
            <w:gridSpan w:val="2"/>
          </w:tcPr>
          <w:p w14:paraId="15C68CA4" w14:textId="77777777" w:rsidR="00AB41D8" w:rsidRPr="00004558" w:rsidRDefault="00AB41D8" w:rsidP="00EF17EB">
            <w:pPr>
              <w:pStyle w:val="NoSpacing"/>
              <w:rPr>
                <w:rFonts w:ascii="Times New Roman" w:hAnsi="Times New Roman"/>
                <w:sz w:val="20"/>
                <w:szCs w:val="20"/>
                <w:lang w:val="en-GB"/>
              </w:rPr>
            </w:pPr>
            <w:r w:rsidRPr="00004558">
              <w:rPr>
                <w:rFonts w:ascii="Times New Roman" w:hAnsi="Times New Roman"/>
                <w:sz w:val="20"/>
                <w:szCs w:val="20"/>
                <w:lang w:val="en-GB"/>
              </w:rPr>
              <w:t>2h post-load plasma glucose, mmol/L</w:t>
            </w:r>
          </w:p>
        </w:tc>
        <w:tc>
          <w:tcPr>
            <w:tcW w:w="1256" w:type="dxa"/>
          </w:tcPr>
          <w:p w14:paraId="7D0E3A94"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6.01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2.07</w:t>
            </w:r>
          </w:p>
        </w:tc>
        <w:tc>
          <w:tcPr>
            <w:tcW w:w="1250" w:type="dxa"/>
          </w:tcPr>
          <w:p w14:paraId="25EA3927"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5.94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2.02</w:t>
            </w:r>
          </w:p>
        </w:tc>
        <w:tc>
          <w:tcPr>
            <w:tcW w:w="1268" w:type="dxa"/>
          </w:tcPr>
          <w:p w14:paraId="259F4A89"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6.26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2.24</w:t>
            </w:r>
          </w:p>
        </w:tc>
        <w:tc>
          <w:tcPr>
            <w:tcW w:w="878" w:type="dxa"/>
          </w:tcPr>
          <w:p w14:paraId="6AFB3A8A"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0.041</w:t>
            </w:r>
          </w:p>
        </w:tc>
        <w:tc>
          <w:tcPr>
            <w:tcW w:w="1409" w:type="dxa"/>
          </w:tcPr>
          <w:p w14:paraId="4301B8FE"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6.80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3.37</w:t>
            </w:r>
          </w:p>
        </w:tc>
        <w:tc>
          <w:tcPr>
            <w:tcW w:w="1399" w:type="dxa"/>
          </w:tcPr>
          <w:p w14:paraId="3422C1AA"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5.95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1.24</w:t>
            </w:r>
          </w:p>
        </w:tc>
        <w:tc>
          <w:tcPr>
            <w:tcW w:w="1398" w:type="dxa"/>
          </w:tcPr>
          <w:p w14:paraId="346C64FC"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 xml:space="preserve">6.11 </w:t>
            </w:r>
            <w:r w:rsidRPr="00004558">
              <w:rPr>
                <w:rFonts w:ascii="Times New Roman" w:hAnsi="Times New Roman"/>
                <w:sz w:val="20"/>
                <w:szCs w:val="20"/>
                <w:u w:val="single"/>
                <w:lang w:val="en-GB"/>
              </w:rPr>
              <w:t>+</w:t>
            </w:r>
            <w:r w:rsidRPr="00004558">
              <w:rPr>
                <w:rFonts w:ascii="Times New Roman" w:hAnsi="Times New Roman"/>
                <w:sz w:val="20"/>
                <w:szCs w:val="20"/>
                <w:lang w:val="en-GB"/>
              </w:rPr>
              <w:t xml:space="preserve"> 1.68</w:t>
            </w:r>
          </w:p>
        </w:tc>
        <w:tc>
          <w:tcPr>
            <w:tcW w:w="779" w:type="dxa"/>
          </w:tcPr>
          <w:p w14:paraId="3D6AE34D"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0.019</w:t>
            </w:r>
          </w:p>
        </w:tc>
      </w:tr>
      <w:tr w:rsidR="00AB41D8" w:rsidRPr="00004558" w14:paraId="36E32804" w14:textId="77777777" w:rsidTr="00EF17EB">
        <w:tc>
          <w:tcPr>
            <w:tcW w:w="3546" w:type="dxa"/>
            <w:gridSpan w:val="2"/>
          </w:tcPr>
          <w:p w14:paraId="0F29672A" w14:textId="77777777" w:rsidR="00AB41D8" w:rsidRPr="00004558" w:rsidRDefault="00AB41D8" w:rsidP="00EF17EB">
            <w:pPr>
              <w:pStyle w:val="NoSpacing"/>
              <w:rPr>
                <w:rFonts w:ascii="Times New Roman" w:hAnsi="Times New Roman"/>
                <w:sz w:val="20"/>
                <w:szCs w:val="20"/>
                <w:lang w:val="en-GB"/>
              </w:rPr>
            </w:pPr>
            <w:r w:rsidRPr="00004558">
              <w:rPr>
                <w:rFonts w:ascii="Times New Roman" w:hAnsi="Times New Roman"/>
                <w:sz w:val="20"/>
                <w:szCs w:val="20"/>
                <w:lang w:val="en-GB"/>
              </w:rPr>
              <w:t>Dysglycaemia</w:t>
            </w:r>
          </w:p>
        </w:tc>
        <w:tc>
          <w:tcPr>
            <w:tcW w:w="1256" w:type="dxa"/>
          </w:tcPr>
          <w:p w14:paraId="4267646A" w14:textId="77777777" w:rsidR="00AB41D8" w:rsidRPr="00004558" w:rsidRDefault="00AB41D8" w:rsidP="00EF17EB">
            <w:pPr>
              <w:pStyle w:val="NoSpacing"/>
              <w:jc w:val="center"/>
              <w:rPr>
                <w:rFonts w:ascii="Times New Roman" w:hAnsi="Times New Roman"/>
                <w:sz w:val="20"/>
                <w:szCs w:val="20"/>
                <w:lang w:val="en-GB"/>
              </w:rPr>
            </w:pPr>
          </w:p>
        </w:tc>
        <w:tc>
          <w:tcPr>
            <w:tcW w:w="1250" w:type="dxa"/>
          </w:tcPr>
          <w:p w14:paraId="13840C27" w14:textId="77777777" w:rsidR="00AB41D8" w:rsidRPr="00004558" w:rsidRDefault="00AB41D8" w:rsidP="00EF17EB">
            <w:pPr>
              <w:pStyle w:val="NoSpacing"/>
              <w:jc w:val="center"/>
              <w:rPr>
                <w:rFonts w:ascii="Times New Roman" w:hAnsi="Times New Roman"/>
                <w:sz w:val="20"/>
                <w:szCs w:val="20"/>
                <w:lang w:val="en-GB"/>
              </w:rPr>
            </w:pPr>
          </w:p>
        </w:tc>
        <w:tc>
          <w:tcPr>
            <w:tcW w:w="1268" w:type="dxa"/>
          </w:tcPr>
          <w:p w14:paraId="4BD2FF3F" w14:textId="77777777" w:rsidR="00AB41D8" w:rsidRPr="00004558" w:rsidRDefault="00AB41D8" w:rsidP="00EF17EB">
            <w:pPr>
              <w:pStyle w:val="NoSpacing"/>
              <w:jc w:val="center"/>
              <w:rPr>
                <w:rFonts w:ascii="Times New Roman" w:hAnsi="Times New Roman"/>
                <w:sz w:val="20"/>
                <w:szCs w:val="20"/>
                <w:lang w:val="en-GB"/>
              </w:rPr>
            </w:pPr>
          </w:p>
        </w:tc>
        <w:tc>
          <w:tcPr>
            <w:tcW w:w="878" w:type="dxa"/>
          </w:tcPr>
          <w:p w14:paraId="7896EDDF" w14:textId="77777777" w:rsidR="00AB41D8" w:rsidRPr="00004558" w:rsidRDefault="00AB41D8" w:rsidP="00EF17EB">
            <w:pPr>
              <w:pStyle w:val="NoSpacing"/>
              <w:jc w:val="center"/>
              <w:rPr>
                <w:rFonts w:ascii="Times New Roman" w:hAnsi="Times New Roman"/>
                <w:sz w:val="20"/>
                <w:szCs w:val="20"/>
                <w:lang w:val="en-GB"/>
              </w:rPr>
            </w:pPr>
          </w:p>
        </w:tc>
        <w:tc>
          <w:tcPr>
            <w:tcW w:w="1409" w:type="dxa"/>
          </w:tcPr>
          <w:p w14:paraId="513089FC" w14:textId="77777777" w:rsidR="00AB41D8" w:rsidRPr="00004558" w:rsidRDefault="00AB41D8" w:rsidP="00EF17EB">
            <w:pPr>
              <w:pStyle w:val="NoSpacing"/>
              <w:jc w:val="center"/>
              <w:rPr>
                <w:rFonts w:ascii="Times New Roman" w:hAnsi="Times New Roman"/>
                <w:sz w:val="20"/>
                <w:szCs w:val="20"/>
                <w:lang w:val="en-GB"/>
              </w:rPr>
            </w:pPr>
          </w:p>
        </w:tc>
        <w:tc>
          <w:tcPr>
            <w:tcW w:w="1399" w:type="dxa"/>
          </w:tcPr>
          <w:p w14:paraId="4E2A59B2" w14:textId="77777777" w:rsidR="00AB41D8" w:rsidRPr="00004558" w:rsidRDefault="00AB41D8" w:rsidP="00EF17EB">
            <w:pPr>
              <w:pStyle w:val="NoSpacing"/>
              <w:jc w:val="center"/>
              <w:rPr>
                <w:rFonts w:ascii="Times New Roman" w:hAnsi="Times New Roman"/>
                <w:sz w:val="20"/>
                <w:szCs w:val="20"/>
                <w:lang w:val="en-GB"/>
              </w:rPr>
            </w:pPr>
          </w:p>
        </w:tc>
        <w:tc>
          <w:tcPr>
            <w:tcW w:w="1398" w:type="dxa"/>
          </w:tcPr>
          <w:p w14:paraId="49BFD0A3" w14:textId="77777777" w:rsidR="00AB41D8" w:rsidRPr="00004558" w:rsidRDefault="00AB41D8" w:rsidP="00EF17EB">
            <w:pPr>
              <w:pStyle w:val="NoSpacing"/>
              <w:jc w:val="center"/>
              <w:rPr>
                <w:rFonts w:ascii="Times New Roman" w:hAnsi="Times New Roman"/>
                <w:sz w:val="20"/>
                <w:szCs w:val="20"/>
                <w:lang w:val="en-GB"/>
              </w:rPr>
            </w:pPr>
          </w:p>
        </w:tc>
        <w:tc>
          <w:tcPr>
            <w:tcW w:w="779" w:type="dxa"/>
          </w:tcPr>
          <w:p w14:paraId="5EB3E849" w14:textId="77777777" w:rsidR="00AB41D8" w:rsidRPr="00004558" w:rsidRDefault="00AB41D8" w:rsidP="00EF17EB">
            <w:pPr>
              <w:pStyle w:val="NoSpacing"/>
              <w:jc w:val="center"/>
              <w:rPr>
                <w:rFonts w:ascii="Times New Roman" w:hAnsi="Times New Roman"/>
                <w:sz w:val="20"/>
                <w:szCs w:val="20"/>
                <w:lang w:val="en-GB"/>
              </w:rPr>
            </w:pPr>
          </w:p>
        </w:tc>
      </w:tr>
      <w:tr w:rsidR="00AB41D8" w:rsidRPr="00004558" w14:paraId="52388A5C" w14:textId="77777777" w:rsidTr="00EF17EB">
        <w:tc>
          <w:tcPr>
            <w:tcW w:w="420" w:type="dxa"/>
          </w:tcPr>
          <w:p w14:paraId="4382DFB8" w14:textId="77777777" w:rsidR="00AB41D8" w:rsidRPr="00004558" w:rsidRDefault="00AB41D8" w:rsidP="00EF17EB">
            <w:pPr>
              <w:pStyle w:val="NoSpacing"/>
              <w:rPr>
                <w:rFonts w:ascii="Times New Roman" w:hAnsi="Times New Roman"/>
                <w:sz w:val="20"/>
                <w:szCs w:val="20"/>
                <w:lang w:val="en-GB"/>
              </w:rPr>
            </w:pPr>
          </w:p>
        </w:tc>
        <w:tc>
          <w:tcPr>
            <w:tcW w:w="3126" w:type="dxa"/>
          </w:tcPr>
          <w:p w14:paraId="0ECD6D83" w14:textId="77777777" w:rsidR="00AB41D8" w:rsidRPr="00004558" w:rsidRDefault="00AB41D8" w:rsidP="00EF17EB">
            <w:pPr>
              <w:pStyle w:val="NoSpacing"/>
              <w:rPr>
                <w:rFonts w:ascii="Times New Roman" w:hAnsi="Times New Roman"/>
                <w:sz w:val="20"/>
                <w:szCs w:val="20"/>
                <w:lang w:val="en-GB"/>
              </w:rPr>
            </w:pPr>
            <w:r w:rsidRPr="00004558">
              <w:rPr>
                <w:rFonts w:ascii="Times New Roman" w:hAnsi="Times New Roman"/>
                <w:sz w:val="20"/>
                <w:szCs w:val="20"/>
                <w:lang w:val="en-GB"/>
              </w:rPr>
              <w:t>No</w:t>
            </w:r>
          </w:p>
        </w:tc>
        <w:tc>
          <w:tcPr>
            <w:tcW w:w="1256" w:type="dxa"/>
          </w:tcPr>
          <w:p w14:paraId="79EF01FE"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877 (89.0)</w:t>
            </w:r>
          </w:p>
        </w:tc>
        <w:tc>
          <w:tcPr>
            <w:tcW w:w="1250" w:type="dxa"/>
          </w:tcPr>
          <w:p w14:paraId="612C7172"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688 (89.2)</w:t>
            </w:r>
          </w:p>
        </w:tc>
        <w:tc>
          <w:tcPr>
            <w:tcW w:w="1268" w:type="dxa"/>
          </w:tcPr>
          <w:p w14:paraId="01090C24"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189 (88.3)</w:t>
            </w:r>
          </w:p>
        </w:tc>
        <w:tc>
          <w:tcPr>
            <w:tcW w:w="878" w:type="dxa"/>
          </w:tcPr>
          <w:p w14:paraId="53237FDE"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0.711</w:t>
            </w:r>
          </w:p>
        </w:tc>
        <w:tc>
          <w:tcPr>
            <w:tcW w:w="1409" w:type="dxa"/>
          </w:tcPr>
          <w:p w14:paraId="13ED49BC"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49 (80.3)</w:t>
            </w:r>
          </w:p>
        </w:tc>
        <w:tc>
          <w:tcPr>
            <w:tcW w:w="1399" w:type="dxa"/>
          </w:tcPr>
          <w:p w14:paraId="11326753"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51 (92.7)</w:t>
            </w:r>
          </w:p>
        </w:tc>
        <w:tc>
          <w:tcPr>
            <w:tcW w:w="1398" w:type="dxa"/>
          </w:tcPr>
          <w:p w14:paraId="55B28D34"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89 (90.8)</w:t>
            </w:r>
          </w:p>
        </w:tc>
        <w:tc>
          <w:tcPr>
            <w:tcW w:w="779" w:type="dxa"/>
          </w:tcPr>
          <w:p w14:paraId="3DDFEA9E"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0.151</w:t>
            </w:r>
          </w:p>
        </w:tc>
      </w:tr>
      <w:tr w:rsidR="00AB41D8" w:rsidRPr="00004558" w14:paraId="2B2C1240" w14:textId="77777777" w:rsidTr="00EF17EB">
        <w:tc>
          <w:tcPr>
            <w:tcW w:w="420" w:type="dxa"/>
          </w:tcPr>
          <w:p w14:paraId="5E20D8E4" w14:textId="77777777" w:rsidR="00AB41D8" w:rsidRPr="00004558" w:rsidRDefault="00AB41D8" w:rsidP="00EF17EB">
            <w:pPr>
              <w:pStyle w:val="NoSpacing"/>
              <w:rPr>
                <w:rFonts w:ascii="Times New Roman" w:hAnsi="Times New Roman"/>
                <w:sz w:val="20"/>
                <w:szCs w:val="20"/>
                <w:lang w:val="en-GB"/>
              </w:rPr>
            </w:pPr>
          </w:p>
        </w:tc>
        <w:tc>
          <w:tcPr>
            <w:tcW w:w="3126" w:type="dxa"/>
          </w:tcPr>
          <w:p w14:paraId="2D2D8B21" w14:textId="77777777" w:rsidR="00AB41D8" w:rsidRPr="00004558" w:rsidRDefault="00AB41D8" w:rsidP="00EF17EB">
            <w:pPr>
              <w:pStyle w:val="NoSpacing"/>
              <w:rPr>
                <w:rFonts w:ascii="Times New Roman" w:hAnsi="Times New Roman"/>
                <w:sz w:val="20"/>
                <w:szCs w:val="20"/>
                <w:lang w:val="en-GB"/>
              </w:rPr>
            </w:pPr>
            <w:r w:rsidRPr="00004558">
              <w:rPr>
                <w:rFonts w:ascii="Times New Roman" w:hAnsi="Times New Roman"/>
                <w:sz w:val="20"/>
                <w:szCs w:val="20"/>
                <w:lang w:val="en-GB"/>
              </w:rPr>
              <w:t>Yes</w:t>
            </w:r>
          </w:p>
        </w:tc>
        <w:tc>
          <w:tcPr>
            <w:tcW w:w="1256" w:type="dxa"/>
          </w:tcPr>
          <w:p w14:paraId="473F44D5"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108 (11.0)</w:t>
            </w:r>
          </w:p>
        </w:tc>
        <w:tc>
          <w:tcPr>
            <w:tcW w:w="1250" w:type="dxa"/>
          </w:tcPr>
          <w:p w14:paraId="61408308"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83 (10.8)</w:t>
            </w:r>
          </w:p>
        </w:tc>
        <w:tc>
          <w:tcPr>
            <w:tcW w:w="1268" w:type="dxa"/>
          </w:tcPr>
          <w:p w14:paraId="02EFBA14"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25 (11.7)</w:t>
            </w:r>
          </w:p>
        </w:tc>
        <w:tc>
          <w:tcPr>
            <w:tcW w:w="878" w:type="dxa"/>
          </w:tcPr>
          <w:p w14:paraId="41C24185" w14:textId="77777777" w:rsidR="00AB41D8" w:rsidRPr="00004558" w:rsidRDefault="00AB41D8" w:rsidP="00EF17EB">
            <w:pPr>
              <w:pStyle w:val="NoSpacing"/>
              <w:jc w:val="center"/>
              <w:rPr>
                <w:rFonts w:ascii="Times New Roman" w:hAnsi="Times New Roman"/>
                <w:sz w:val="20"/>
                <w:szCs w:val="20"/>
                <w:lang w:val="en-GB"/>
              </w:rPr>
            </w:pPr>
          </w:p>
        </w:tc>
        <w:tc>
          <w:tcPr>
            <w:tcW w:w="1409" w:type="dxa"/>
          </w:tcPr>
          <w:p w14:paraId="54586442"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12 (19.7)</w:t>
            </w:r>
          </w:p>
        </w:tc>
        <w:tc>
          <w:tcPr>
            <w:tcW w:w="1399" w:type="dxa"/>
          </w:tcPr>
          <w:p w14:paraId="5E0B19C2"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4 (7.3)</w:t>
            </w:r>
          </w:p>
        </w:tc>
        <w:tc>
          <w:tcPr>
            <w:tcW w:w="1398" w:type="dxa"/>
          </w:tcPr>
          <w:p w14:paraId="6AE802E3" w14:textId="77777777" w:rsidR="00AB41D8" w:rsidRPr="00004558" w:rsidRDefault="00AB41D8" w:rsidP="00EF17EB">
            <w:pPr>
              <w:pStyle w:val="NoSpacing"/>
              <w:jc w:val="center"/>
              <w:rPr>
                <w:rFonts w:ascii="Times New Roman" w:hAnsi="Times New Roman"/>
                <w:sz w:val="20"/>
                <w:szCs w:val="20"/>
                <w:lang w:val="en-GB"/>
              </w:rPr>
            </w:pPr>
            <w:r w:rsidRPr="00004558">
              <w:rPr>
                <w:rFonts w:ascii="Times New Roman" w:hAnsi="Times New Roman"/>
                <w:sz w:val="20"/>
                <w:szCs w:val="20"/>
                <w:lang w:val="en-GB"/>
              </w:rPr>
              <w:t>9 (9.2)</w:t>
            </w:r>
          </w:p>
        </w:tc>
        <w:tc>
          <w:tcPr>
            <w:tcW w:w="779" w:type="dxa"/>
          </w:tcPr>
          <w:p w14:paraId="61C3AF61" w14:textId="77777777" w:rsidR="00AB41D8" w:rsidRPr="00004558" w:rsidRDefault="00AB41D8" w:rsidP="00EF17EB">
            <w:pPr>
              <w:pStyle w:val="NoSpacing"/>
              <w:jc w:val="center"/>
              <w:rPr>
                <w:rFonts w:ascii="Times New Roman" w:hAnsi="Times New Roman"/>
                <w:sz w:val="20"/>
                <w:szCs w:val="20"/>
                <w:lang w:val="en-GB"/>
              </w:rPr>
            </w:pPr>
          </w:p>
        </w:tc>
      </w:tr>
    </w:tbl>
    <w:p w14:paraId="54C4FE4F" w14:textId="77777777" w:rsidR="00AB41D8" w:rsidRPr="00004558" w:rsidRDefault="00AB41D8" w:rsidP="00AB41D8">
      <w:pPr>
        <w:pStyle w:val="NoSpacing"/>
        <w:spacing w:line="480" w:lineRule="auto"/>
        <w:rPr>
          <w:rFonts w:ascii="Times New Roman" w:hAnsi="Times New Roman"/>
          <w:sz w:val="20"/>
          <w:szCs w:val="20"/>
          <w:lang w:val="en-GB"/>
        </w:rPr>
      </w:pPr>
      <w:r w:rsidRPr="00004558">
        <w:rPr>
          <w:rFonts w:ascii="Times New Roman" w:hAnsi="Times New Roman"/>
          <w:sz w:val="20"/>
          <w:szCs w:val="20"/>
          <w:lang w:val="en-GB"/>
        </w:rPr>
        <w:t xml:space="preserve">Hb, haemoglobin; HbA1c, glycated haemoglobin; MCV, mean corpuscular volume; RBC, red blood cells; SD, standard deviation; S-PRESTO, Singapore PREconception Study of long-Term maternal and child Outcomes. </w:t>
      </w:r>
    </w:p>
    <w:p w14:paraId="245D0D78" w14:textId="77777777" w:rsidR="00AB41D8" w:rsidRPr="00004558" w:rsidRDefault="00AB41D8" w:rsidP="00AB41D8">
      <w:pPr>
        <w:pStyle w:val="NoSpacing"/>
        <w:spacing w:line="480" w:lineRule="auto"/>
        <w:rPr>
          <w:lang w:val="en-GB"/>
        </w:rPr>
      </w:pPr>
      <w:r w:rsidRPr="00004558">
        <w:rPr>
          <w:rFonts w:ascii="Times New Roman" w:eastAsia="Times New Roman" w:hAnsi="Times New Roman"/>
          <w:sz w:val="24"/>
          <w:szCs w:val="24"/>
          <w:vertAlign w:val="superscript"/>
          <w:lang w:val="en-GB"/>
        </w:rPr>
        <w:t>*</w:t>
      </w:r>
      <w:r w:rsidRPr="00004558">
        <w:rPr>
          <w:rFonts w:ascii="Times New Roman" w:hAnsi="Times New Roman"/>
          <w:sz w:val="20"/>
          <w:szCs w:val="20"/>
          <w:lang w:val="en-GB"/>
        </w:rPr>
        <w:t xml:space="preserve">By independent sample t-test or one-way ANOVA for continuous variable, and Fisher’s exact test for categorical variable. </w:t>
      </w:r>
    </w:p>
    <w:p w14:paraId="680E6503" w14:textId="0C69115C" w:rsidR="00AB41D8" w:rsidRPr="00004558" w:rsidRDefault="00AB41D8">
      <w:pPr>
        <w:spacing w:after="0" w:line="240" w:lineRule="auto"/>
        <w:rPr>
          <w:rFonts w:ascii="Times New Roman" w:hAnsi="Times New Roman"/>
          <w:sz w:val="24"/>
          <w:szCs w:val="24"/>
          <w:lang w:val="en-GB"/>
        </w:rPr>
      </w:pPr>
      <w:r w:rsidRPr="00004558">
        <w:rPr>
          <w:rFonts w:ascii="Times New Roman" w:hAnsi="Times New Roman"/>
          <w:sz w:val="24"/>
          <w:szCs w:val="24"/>
          <w:lang w:val="en-GB"/>
        </w:rPr>
        <w:br w:type="page"/>
      </w:r>
    </w:p>
    <w:p w14:paraId="3AE67F82" w14:textId="77777777" w:rsidR="00AB41D8" w:rsidRPr="00004558" w:rsidRDefault="00AB41D8" w:rsidP="00AB41D8">
      <w:pPr>
        <w:pStyle w:val="NoSpacing"/>
        <w:rPr>
          <w:rFonts w:ascii="Times New Roman" w:hAnsi="Times New Roman"/>
          <w:sz w:val="24"/>
          <w:szCs w:val="24"/>
          <w:lang w:val="en-GB"/>
        </w:rPr>
        <w:sectPr w:rsidR="00AB41D8" w:rsidRPr="00004558" w:rsidSect="00EF17EB">
          <w:footerReference w:type="default" r:id="rId18"/>
          <w:pgSz w:w="15840" w:h="12240" w:orient="landscape"/>
          <w:pgMar w:top="1701" w:right="1701" w:bottom="1701" w:left="1701" w:header="720" w:footer="720" w:gutter="0"/>
          <w:cols w:space="720"/>
          <w:docGrid w:linePitch="360"/>
        </w:sectPr>
      </w:pPr>
    </w:p>
    <w:p w14:paraId="6CA630BE" w14:textId="77777777" w:rsidR="00AB41D8" w:rsidRPr="00004558" w:rsidRDefault="00AB41D8" w:rsidP="00AB41D8">
      <w:pPr>
        <w:spacing w:after="0"/>
        <w:rPr>
          <w:rFonts w:ascii="Times New Roman" w:hAnsi="Times New Roman"/>
          <w:sz w:val="24"/>
          <w:szCs w:val="24"/>
          <w:lang w:val="en-GB"/>
        </w:rPr>
      </w:pPr>
      <w:r w:rsidRPr="00004558">
        <w:rPr>
          <w:rFonts w:ascii="Times New Roman" w:hAnsi="Times New Roman"/>
          <w:b/>
          <w:sz w:val="24"/>
          <w:szCs w:val="24"/>
          <w:lang w:val="en-GB"/>
        </w:rPr>
        <w:t>Table 2.</w:t>
      </w:r>
      <w:r w:rsidRPr="00004558">
        <w:rPr>
          <w:rFonts w:ascii="Times New Roman" w:hAnsi="Times New Roman"/>
          <w:sz w:val="24"/>
          <w:szCs w:val="24"/>
          <w:lang w:val="en-GB"/>
        </w:rPr>
        <w:t xml:space="preserve"> Haematological parameters of women from S-PRESTO study with normal and abnormal RBC indices, stratified by ethnic group</w:t>
      </w:r>
    </w:p>
    <w:tbl>
      <w:tblPr>
        <w:tblW w:w="9200" w:type="dxa"/>
        <w:tblLayout w:type="fixed"/>
        <w:tblLook w:val="04A0" w:firstRow="1" w:lastRow="0" w:firstColumn="1" w:lastColumn="0" w:noHBand="0" w:noVBand="1"/>
      </w:tblPr>
      <w:tblGrid>
        <w:gridCol w:w="279"/>
        <w:gridCol w:w="328"/>
        <w:gridCol w:w="1982"/>
        <w:gridCol w:w="567"/>
        <w:gridCol w:w="1985"/>
        <w:gridCol w:w="236"/>
        <w:gridCol w:w="614"/>
        <w:gridCol w:w="2268"/>
        <w:gridCol w:w="941"/>
      </w:tblGrid>
      <w:tr w:rsidR="00AB41D8" w:rsidRPr="00004558" w14:paraId="65C1305A" w14:textId="77777777" w:rsidTr="00EF17EB">
        <w:trPr>
          <w:trHeight w:val="300"/>
        </w:trPr>
        <w:tc>
          <w:tcPr>
            <w:tcW w:w="279" w:type="dxa"/>
            <w:tcBorders>
              <w:top w:val="single" w:sz="4" w:space="0" w:color="auto"/>
            </w:tcBorders>
            <w:shd w:val="clear" w:color="auto" w:fill="auto"/>
            <w:noWrap/>
            <w:vAlign w:val="center"/>
            <w:hideMark/>
          </w:tcPr>
          <w:p w14:paraId="3EA8D18C" w14:textId="77777777" w:rsidR="00AB41D8" w:rsidRPr="00004558" w:rsidRDefault="00AB41D8" w:rsidP="00EF17EB">
            <w:pPr>
              <w:spacing w:after="0" w:line="240" w:lineRule="auto"/>
              <w:rPr>
                <w:rFonts w:ascii="Times New Roman" w:eastAsia="Times New Roman" w:hAnsi="Times New Roman"/>
                <w:sz w:val="20"/>
                <w:szCs w:val="20"/>
                <w:lang w:val="en-GB"/>
              </w:rPr>
            </w:pPr>
          </w:p>
        </w:tc>
        <w:tc>
          <w:tcPr>
            <w:tcW w:w="328" w:type="dxa"/>
            <w:tcBorders>
              <w:top w:val="single" w:sz="4" w:space="0" w:color="auto"/>
            </w:tcBorders>
            <w:shd w:val="clear" w:color="auto" w:fill="auto"/>
            <w:noWrap/>
            <w:vAlign w:val="center"/>
            <w:hideMark/>
          </w:tcPr>
          <w:p w14:paraId="6D7BD0AE" w14:textId="77777777" w:rsidR="00AB41D8" w:rsidRPr="00004558" w:rsidRDefault="00AB41D8" w:rsidP="00EF17EB">
            <w:pPr>
              <w:spacing w:after="0" w:line="240" w:lineRule="auto"/>
              <w:rPr>
                <w:rFonts w:ascii="Times New Roman" w:eastAsia="Times New Roman" w:hAnsi="Times New Roman"/>
                <w:sz w:val="20"/>
                <w:szCs w:val="20"/>
                <w:lang w:val="en-GB"/>
              </w:rPr>
            </w:pPr>
          </w:p>
        </w:tc>
        <w:tc>
          <w:tcPr>
            <w:tcW w:w="1982" w:type="dxa"/>
            <w:tcBorders>
              <w:top w:val="single" w:sz="4" w:space="0" w:color="auto"/>
            </w:tcBorders>
            <w:shd w:val="clear" w:color="auto" w:fill="auto"/>
            <w:noWrap/>
            <w:vAlign w:val="center"/>
            <w:hideMark/>
          </w:tcPr>
          <w:p w14:paraId="4201A7D6" w14:textId="77777777" w:rsidR="00AB41D8" w:rsidRPr="00004558" w:rsidRDefault="00AB41D8" w:rsidP="00EF17EB">
            <w:pPr>
              <w:spacing w:after="0" w:line="240" w:lineRule="auto"/>
              <w:rPr>
                <w:rFonts w:ascii="Times New Roman" w:eastAsia="Times New Roman" w:hAnsi="Times New Roman"/>
                <w:sz w:val="20"/>
                <w:szCs w:val="20"/>
                <w:lang w:val="en-GB"/>
              </w:rPr>
            </w:pPr>
          </w:p>
        </w:tc>
        <w:tc>
          <w:tcPr>
            <w:tcW w:w="2552" w:type="dxa"/>
            <w:gridSpan w:val="2"/>
            <w:tcBorders>
              <w:top w:val="single" w:sz="4" w:space="0" w:color="auto"/>
              <w:bottom w:val="single" w:sz="4" w:space="0" w:color="auto"/>
            </w:tcBorders>
            <w:vAlign w:val="center"/>
          </w:tcPr>
          <w:p w14:paraId="549083B3"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Normal RBC indices</w:t>
            </w:r>
          </w:p>
        </w:tc>
        <w:tc>
          <w:tcPr>
            <w:tcW w:w="236" w:type="dxa"/>
            <w:tcBorders>
              <w:top w:val="single" w:sz="4" w:space="0" w:color="auto"/>
            </w:tcBorders>
            <w:shd w:val="clear" w:color="auto" w:fill="auto"/>
            <w:noWrap/>
            <w:vAlign w:val="center"/>
          </w:tcPr>
          <w:p w14:paraId="47194464"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p>
        </w:tc>
        <w:tc>
          <w:tcPr>
            <w:tcW w:w="2882" w:type="dxa"/>
            <w:gridSpan w:val="2"/>
            <w:tcBorders>
              <w:top w:val="single" w:sz="4" w:space="0" w:color="auto"/>
              <w:bottom w:val="single" w:sz="4" w:space="0" w:color="auto"/>
            </w:tcBorders>
            <w:vAlign w:val="center"/>
          </w:tcPr>
          <w:p w14:paraId="2F618C6B"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Abnormal RBC indices</w:t>
            </w:r>
          </w:p>
        </w:tc>
        <w:tc>
          <w:tcPr>
            <w:tcW w:w="941" w:type="dxa"/>
            <w:tcBorders>
              <w:top w:val="single" w:sz="4" w:space="0" w:color="auto"/>
            </w:tcBorders>
            <w:shd w:val="clear" w:color="auto" w:fill="auto"/>
            <w:noWrap/>
            <w:vAlign w:val="center"/>
            <w:hideMark/>
          </w:tcPr>
          <w:p w14:paraId="4C54A16A"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p>
        </w:tc>
      </w:tr>
      <w:tr w:rsidR="00AB41D8" w:rsidRPr="00004558" w14:paraId="405835A8" w14:textId="77777777" w:rsidTr="00EF17EB">
        <w:trPr>
          <w:trHeight w:val="300"/>
        </w:trPr>
        <w:tc>
          <w:tcPr>
            <w:tcW w:w="2589" w:type="dxa"/>
            <w:gridSpan w:val="3"/>
            <w:tcBorders>
              <w:bottom w:val="single" w:sz="4" w:space="0" w:color="auto"/>
            </w:tcBorders>
            <w:shd w:val="clear" w:color="auto" w:fill="auto"/>
            <w:noWrap/>
            <w:vAlign w:val="center"/>
            <w:hideMark/>
          </w:tcPr>
          <w:p w14:paraId="3F68EC86" w14:textId="77777777" w:rsidR="00AB41D8" w:rsidRPr="00004558" w:rsidRDefault="00AB41D8" w:rsidP="00EF17EB">
            <w:pPr>
              <w:spacing w:after="0" w:line="240" w:lineRule="auto"/>
              <w:rPr>
                <w:rFonts w:ascii="Times New Roman" w:eastAsia="Times New Roman" w:hAnsi="Times New Roman"/>
                <w:color w:val="000000"/>
                <w:sz w:val="20"/>
                <w:szCs w:val="20"/>
                <w:lang w:val="en-GB"/>
              </w:rPr>
            </w:pPr>
          </w:p>
        </w:tc>
        <w:tc>
          <w:tcPr>
            <w:tcW w:w="567" w:type="dxa"/>
            <w:tcBorders>
              <w:top w:val="single" w:sz="4" w:space="0" w:color="auto"/>
              <w:bottom w:val="single" w:sz="4" w:space="0" w:color="auto"/>
            </w:tcBorders>
            <w:vAlign w:val="center"/>
          </w:tcPr>
          <w:p w14:paraId="3746A5E0"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n</w:t>
            </w:r>
          </w:p>
        </w:tc>
        <w:tc>
          <w:tcPr>
            <w:tcW w:w="1985" w:type="dxa"/>
            <w:tcBorders>
              <w:top w:val="single" w:sz="4" w:space="0" w:color="auto"/>
              <w:bottom w:val="single" w:sz="4" w:space="0" w:color="auto"/>
            </w:tcBorders>
            <w:shd w:val="clear" w:color="auto" w:fill="auto"/>
            <w:noWrap/>
            <w:vAlign w:val="center"/>
            <w:hideMark/>
          </w:tcPr>
          <w:p w14:paraId="2C564A02" w14:textId="079AB4A9" w:rsidR="00AB41D8" w:rsidRPr="00004558" w:rsidRDefault="00DD2D9E"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mean ± SD / %</w:t>
            </w:r>
          </w:p>
        </w:tc>
        <w:tc>
          <w:tcPr>
            <w:tcW w:w="236" w:type="dxa"/>
            <w:tcBorders>
              <w:bottom w:val="single" w:sz="4" w:space="0" w:color="auto"/>
            </w:tcBorders>
            <w:shd w:val="clear" w:color="auto" w:fill="auto"/>
            <w:noWrap/>
            <w:vAlign w:val="center"/>
          </w:tcPr>
          <w:p w14:paraId="0561FB15"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p>
        </w:tc>
        <w:tc>
          <w:tcPr>
            <w:tcW w:w="614" w:type="dxa"/>
            <w:tcBorders>
              <w:top w:val="single" w:sz="4" w:space="0" w:color="auto"/>
              <w:bottom w:val="single" w:sz="4" w:space="0" w:color="auto"/>
            </w:tcBorders>
            <w:vAlign w:val="center"/>
          </w:tcPr>
          <w:p w14:paraId="1AEA0BA1"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n</w:t>
            </w:r>
          </w:p>
        </w:tc>
        <w:tc>
          <w:tcPr>
            <w:tcW w:w="2268" w:type="dxa"/>
            <w:tcBorders>
              <w:top w:val="single" w:sz="4" w:space="0" w:color="auto"/>
              <w:bottom w:val="single" w:sz="4" w:space="0" w:color="auto"/>
            </w:tcBorders>
            <w:shd w:val="clear" w:color="auto" w:fill="auto"/>
            <w:noWrap/>
            <w:vAlign w:val="center"/>
            <w:hideMark/>
          </w:tcPr>
          <w:p w14:paraId="1FCCDF68" w14:textId="256CF68F" w:rsidR="00AB41D8" w:rsidRPr="00004558" w:rsidRDefault="00DD2D9E"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mean ± SD / %</w:t>
            </w:r>
          </w:p>
        </w:tc>
        <w:tc>
          <w:tcPr>
            <w:tcW w:w="941" w:type="dxa"/>
            <w:tcBorders>
              <w:bottom w:val="single" w:sz="4" w:space="0" w:color="auto"/>
            </w:tcBorders>
            <w:shd w:val="clear" w:color="auto" w:fill="auto"/>
            <w:noWrap/>
            <w:vAlign w:val="center"/>
            <w:hideMark/>
          </w:tcPr>
          <w:p w14:paraId="11A349F0"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p</w:t>
            </w:r>
            <w:r w:rsidRPr="00004558">
              <w:rPr>
                <w:rFonts w:ascii="Times New Roman" w:eastAsia="Times New Roman" w:hAnsi="Times New Roman"/>
                <w:color w:val="000000"/>
                <w:sz w:val="20"/>
                <w:szCs w:val="20"/>
                <w:vertAlign w:val="superscript"/>
                <w:lang w:val="en-GB"/>
              </w:rPr>
              <w:t>*</w:t>
            </w:r>
          </w:p>
        </w:tc>
      </w:tr>
      <w:tr w:rsidR="00AB41D8" w:rsidRPr="00004558" w14:paraId="6F66D1F2" w14:textId="77777777" w:rsidTr="00EF17EB">
        <w:trPr>
          <w:trHeight w:val="300"/>
        </w:trPr>
        <w:tc>
          <w:tcPr>
            <w:tcW w:w="2589" w:type="dxa"/>
            <w:gridSpan w:val="3"/>
            <w:tcBorders>
              <w:top w:val="single" w:sz="4" w:space="0" w:color="auto"/>
              <w:bottom w:val="single" w:sz="4" w:space="0" w:color="auto"/>
            </w:tcBorders>
            <w:shd w:val="clear" w:color="auto" w:fill="auto"/>
            <w:noWrap/>
            <w:vAlign w:val="center"/>
          </w:tcPr>
          <w:p w14:paraId="130F5416" w14:textId="77777777" w:rsidR="00AB41D8" w:rsidRPr="00004558" w:rsidRDefault="00AB41D8" w:rsidP="00EF17EB">
            <w:pPr>
              <w:spacing w:after="0" w:line="240" w:lineRule="auto"/>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Chinese</w:t>
            </w:r>
          </w:p>
        </w:tc>
        <w:tc>
          <w:tcPr>
            <w:tcW w:w="567" w:type="dxa"/>
            <w:tcBorders>
              <w:top w:val="single" w:sz="4" w:space="0" w:color="auto"/>
              <w:bottom w:val="single" w:sz="4" w:space="0" w:color="auto"/>
            </w:tcBorders>
            <w:vAlign w:val="center"/>
          </w:tcPr>
          <w:p w14:paraId="4E19929A"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p>
        </w:tc>
        <w:tc>
          <w:tcPr>
            <w:tcW w:w="1985" w:type="dxa"/>
            <w:tcBorders>
              <w:top w:val="single" w:sz="4" w:space="0" w:color="auto"/>
              <w:bottom w:val="single" w:sz="4" w:space="0" w:color="auto"/>
            </w:tcBorders>
            <w:shd w:val="clear" w:color="auto" w:fill="auto"/>
            <w:noWrap/>
            <w:vAlign w:val="center"/>
          </w:tcPr>
          <w:p w14:paraId="461A0A24"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p>
        </w:tc>
        <w:tc>
          <w:tcPr>
            <w:tcW w:w="236" w:type="dxa"/>
            <w:tcBorders>
              <w:top w:val="single" w:sz="4" w:space="0" w:color="auto"/>
              <w:bottom w:val="single" w:sz="4" w:space="0" w:color="auto"/>
            </w:tcBorders>
            <w:shd w:val="clear" w:color="auto" w:fill="auto"/>
            <w:noWrap/>
            <w:vAlign w:val="center"/>
          </w:tcPr>
          <w:p w14:paraId="7003EC01"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p>
        </w:tc>
        <w:tc>
          <w:tcPr>
            <w:tcW w:w="614" w:type="dxa"/>
            <w:tcBorders>
              <w:top w:val="single" w:sz="4" w:space="0" w:color="auto"/>
              <w:bottom w:val="single" w:sz="4" w:space="0" w:color="auto"/>
            </w:tcBorders>
            <w:vAlign w:val="center"/>
          </w:tcPr>
          <w:p w14:paraId="6181D5E7"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p>
        </w:tc>
        <w:tc>
          <w:tcPr>
            <w:tcW w:w="2268" w:type="dxa"/>
            <w:tcBorders>
              <w:top w:val="single" w:sz="4" w:space="0" w:color="auto"/>
              <w:bottom w:val="single" w:sz="4" w:space="0" w:color="auto"/>
            </w:tcBorders>
            <w:shd w:val="clear" w:color="auto" w:fill="auto"/>
            <w:noWrap/>
            <w:vAlign w:val="center"/>
          </w:tcPr>
          <w:p w14:paraId="4CF7DC5A"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p>
        </w:tc>
        <w:tc>
          <w:tcPr>
            <w:tcW w:w="941" w:type="dxa"/>
            <w:tcBorders>
              <w:top w:val="single" w:sz="4" w:space="0" w:color="auto"/>
              <w:bottom w:val="single" w:sz="4" w:space="0" w:color="auto"/>
            </w:tcBorders>
            <w:shd w:val="clear" w:color="auto" w:fill="auto"/>
            <w:noWrap/>
            <w:vAlign w:val="center"/>
          </w:tcPr>
          <w:p w14:paraId="5BCD55F0"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p>
        </w:tc>
      </w:tr>
      <w:tr w:rsidR="00DD2D9E" w:rsidRPr="00004558" w14:paraId="21C2173F" w14:textId="77777777" w:rsidTr="00DD2D9E">
        <w:trPr>
          <w:trHeight w:val="300"/>
        </w:trPr>
        <w:tc>
          <w:tcPr>
            <w:tcW w:w="279" w:type="dxa"/>
            <w:tcBorders>
              <w:top w:val="single" w:sz="4" w:space="0" w:color="auto"/>
            </w:tcBorders>
            <w:shd w:val="clear" w:color="auto" w:fill="auto"/>
            <w:noWrap/>
            <w:vAlign w:val="center"/>
          </w:tcPr>
          <w:p w14:paraId="4D8573D0" w14:textId="77777777" w:rsidR="00DD2D9E" w:rsidRPr="00004558" w:rsidRDefault="00DD2D9E" w:rsidP="00EF17EB">
            <w:pPr>
              <w:spacing w:after="0" w:line="240" w:lineRule="auto"/>
              <w:jc w:val="center"/>
              <w:rPr>
                <w:rFonts w:ascii="Times New Roman" w:eastAsia="Times New Roman" w:hAnsi="Times New Roman"/>
                <w:sz w:val="20"/>
                <w:szCs w:val="20"/>
                <w:lang w:val="en-GB"/>
              </w:rPr>
            </w:pPr>
          </w:p>
        </w:tc>
        <w:tc>
          <w:tcPr>
            <w:tcW w:w="2310" w:type="dxa"/>
            <w:gridSpan w:val="2"/>
            <w:tcBorders>
              <w:top w:val="single" w:sz="4" w:space="0" w:color="auto"/>
            </w:tcBorders>
            <w:shd w:val="clear" w:color="auto" w:fill="auto"/>
            <w:noWrap/>
            <w:vAlign w:val="center"/>
          </w:tcPr>
          <w:p w14:paraId="13B8DDA3" w14:textId="26BFC9B6" w:rsidR="00DD2D9E" w:rsidRPr="00004558" w:rsidRDefault="00DD2D9E" w:rsidP="00EF17EB">
            <w:pPr>
              <w:spacing w:after="0" w:line="240" w:lineRule="auto"/>
              <w:rPr>
                <w:rFonts w:ascii="Times New Roman" w:eastAsia="Times New Roman" w:hAnsi="Times New Roman"/>
                <w:color w:val="000000"/>
                <w:sz w:val="20"/>
                <w:szCs w:val="20"/>
                <w:lang w:val="en-GB"/>
              </w:rPr>
            </w:pPr>
            <w:r w:rsidRPr="00004558">
              <w:rPr>
                <w:rFonts w:ascii="Times New Roman" w:hAnsi="Times New Roman"/>
                <w:sz w:val="20"/>
                <w:szCs w:val="20"/>
                <w:lang w:val="en-GB"/>
              </w:rPr>
              <w:t>Dysglycaemia</w:t>
            </w:r>
          </w:p>
        </w:tc>
        <w:tc>
          <w:tcPr>
            <w:tcW w:w="567" w:type="dxa"/>
            <w:tcBorders>
              <w:top w:val="single" w:sz="4" w:space="0" w:color="auto"/>
            </w:tcBorders>
            <w:vAlign w:val="center"/>
          </w:tcPr>
          <w:p w14:paraId="361B7F59" w14:textId="22591847" w:rsidR="00DD2D9E" w:rsidRPr="00004558" w:rsidRDefault="00DD2D9E" w:rsidP="00EF17EB">
            <w:pPr>
              <w:spacing w:after="0" w:line="240" w:lineRule="auto"/>
              <w:jc w:val="center"/>
              <w:rPr>
                <w:rFonts w:ascii="Times New Roman" w:eastAsia="Times New Roman" w:hAnsi="Times New Roman"/>
                <w:color w:val="000000"/>
                <w:sz w:val="20"/>
                <w:szCs w:val="20"/>
                <w:lang w:val="en-GB"/>
              </w:rPr>
            </w:pPr>
          </w:p>
        </w:tc>
        <w:tc>
          <w:tcPr>
            <w:tcW w:w="1985" w:type="dxa"/>
            <w:tcBorders>
              <w:top w:val="single" w:sz="4" w:space="0" w:color="auto"/>
            </w:tcBorders>
            <w:shd w:val="clear" w:color="auto" w:fill="auto"/>
            <w:noWrap/>
            <w:vAlign w:val="center"/>
          </w:tcPr>
          <w:p w14:paraId="57F13799" w14:textId="78D761CB" w:rsidR="00DD2D9E" w:rsidRPr="00004558" w:rsidRDefault="00DD2D9E" w:rsidP="00EF17EB">
            <w:pPr>
              <w:spacing w:after="0" w:line="240" w:lineRule="auto"/>
              <w:jc w:val="center"/>
              <w:rPr>
                <w:rFonts w:ascii="Times New Roman" w:eastAsia="Times New Roman" w:hAnsi="Times New Roman"/>
                <w:color w:val="000000"/>
                <w:sz w:val="20"/>
                <w:szCs w:val="20"/>
                <w:lang w:val="en-GB"/>
              </w:rPr>
            </w:pPr>
          </w:p>
        </w:tc>
        <w:tc>
          <w:tcPr>
            <w:tcW w:w="236" w:type="dxa"/>
            <w:tcBorders>
              <w:top w:val="single" w:sz="4" w:space="0" w:color="auto"/>
            </w:tcBorders>
            <w:shd w:val="clear" w:color="auto" w:fill="auto"/>
            <w:noWrap/>
            <w:vAlign w:val="center"/>
          </w:tcPr>
          <w:p w14:paraId="5BEEC03F" w14:textId="77777777" w:rsidR="00DD2D9E" w:rsidRPr="00004558" w:rsidRDefault="00DD2D9E" w:rsidP="00EF17EB">
            <w:pPr>
              <w:spacing w:after="0" w:line="240" w:lineRule="auto"/>
              <w:jc w:val="center"/>
              <w:rPr>
                <w:rFonts w:ascii="Times New Roman" w:eastAsia="Times New Roman" w:hAnsi="Times New Roman"/>
                <w:color w:val="000000"/>
                <w:sz w:val="20"/>
                <w:szCs w:val="20"/>
                <w:lang w:val="en-GB"/>
              </w:rPr>
            </w:pPr>
          </w:p>
        </w:tc>
        <w:tc>
          <w:tcPr>
            <w:tcW w:w="614" w:type="dxa"/>
            <w:tcBorders>
              <w:top w:val="single" w:sz="4" w:space="0" w:color="auto"/>
            </w:tcBorders>
            <w:vAlign w:val="center"/>
          </w:tcPr>
          <w:p w14:paraId="71521EA7" w14:textId="35774EEE" w:rsidR="00DD2D9E" w:rsidRPr="00004558" w:rsidRDefault="00DD2D9E" w:rsidP="00EF17EB">
            <w:pPr>
              <w:spacing w:after="0" w:line="240" w:lineRule="auto"/>
              <w:jc w:val="center"/>
              <w:rPr>
                <w:rFonts w:ascii="Times New Roman" w:eastAsia="Times New Roman" w:hAnsi="Times New Roman"/>
                <w:color w:val="000000"/>
                <w:sz w:val="20"/>
                <w:szCs w:val="20"/>
                <w:lang w:val="en-GB"/>
              </w:rPr>
            </w:pPr>
          </w:p>
        </w:tc>
        <w:tc>
          <w:tcPr>
            <w:tcW w:w="2268" w:type="dxa"/>
            <w:tcBorders>
              <w:top w:val="single" w:sz="4" w:space="0" w:color="auto"/>
            </w:tcBorders>
            <w:shd w:val="clear" w:color="auto" w:fill="auto"/>
            <w:noWrap/>
            <w:vAlign w:val="center"/>
          </w:tcPr>
          <w:p w14:paraId="766EF0D7" w14:textId="77777777" w:rsidR="00DD2D9E" w:rsidRPr="00004558" w:rsidRDefault="00DD2D9E" w:rsidP="00EF17EB">
            <w:pPr>
              <w:spacing w:after="0" w:line="240" w:lineRule="auto"/>
              <w:jc w:val="center"/>
              <w:rPr>
                <w:rFonts w:ascii="Times New Roman" w:eastAsia="Times New Roman" w:hAnsi="Times New Roman"/>
                <w:color w:val="000000"/>
                <w:sz w:val="20"/>
                <w:szCs w:val="20"/>
                <w:lang w:val="en-GB"/>
              </w:rPr>
            </w:pPr>
          </w:p>
        </w:tc>
        <w:tc>
          <w:tcPr>
            <w:tcW w:w="941" w:type="dxa"/>
            <w:tcBorders>
              <w:top w:val="single" w:sz="4" w:space="0" w:color="auto"/>
            </w:tcBorders>
            <w:shd w:val="clear" w:color="auto" w:fill="auto"/>
            <w:noWrap/>
            <w:vAlign w:val="center"/>
          </w:tcPr>
          <w:p w14:paraId="191A51D5" w14:textId="6E9F5DE5" w:rsidR="00DD2D9E" w:rsidRPr="00004558" w:rsidRDefault="00B01B09"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0.131</w:t>
            </w:r>
          </w:p>
        </w:tc>
      </w:tr>
      <w:tr w:rsidR="00DD2D9E" w:rsidRPr="00004558" w14:paraId="731054CB" w14:textId="77777777" w:rsidTr="00DD2D9E">
        <w:trPr>
          <w:trHeight w:val="300"/>
        </w:trPr>
        <w:tc>
          <w:tcPr>
            <w:tcW w:w="279" w:type="dxa"/>
            <w:shd w:val="clear" w:color="auto" w:fill="auto"/>
            <w:noWrap/>
            <w:vAlign w:val="center"/>
          </w:tcPr>
          <w:p w14:paraId="74FD7771" w14:textId="77777777" w:rsidR="00DD2D9E" w:rsidRPr="00004558" w:rsidRDefault="00DD2D9E" w:rsidP="00EF17EB">
            <w:pPr>
              <w:spacing w:after="0" w:line="240" w:lineRule="auto"/>
              <w:jc w:val="center"/>
              <w:rPr>
                <w:rFonts w:ascii="Times New Roman" w:eastAsia="Times New Roman" w:hAnsi="Times New Roman"/>
                <w:sz w:val="20"/>
                <w:szCs w:val="20"/>
                <w:lang w:val="en-GB"/>
              </w:rPr>
            </w:pPr>
          </w:p>
        </w:tc>
        <w:tc>
          <w:tcPr>
            <w:tcW w:w="2310" w:type="dxa"/>
            <w:gridSpan w:val="2"/>
            <w:shd w:val="clear" w:color="auto" w:fill="auto"/>
            <w:noWrap/>
            <w:vAlign w:val="center"/>
          </w:tcPr>
          <w:p w14:paraId="3ADC143A" w14:textId="29CDFF75" w:rsidR="00DD2D9E" w:rsidRPr="00004558" w:rsidRDefault="00DD2D9E" w:rsidP="00EF17EB">
            <w:pPr>
              <w:spacing w:after="0" w:line="240" w:lineRule="auto"/>
              <w:rPr>
                <w:rFonts w:ascii="Times New Roman" w:hAnsi="Times New Roman"/>
                <w:sz w:val="20"/>
                <w:szCs w:val="20"/>
                <w:lang w:val="en-GB"/>
              </w:rPr>
            </w:pPr>
            <w:r w:rsidRPr="00004558">
              <w:rPr>
                <w:rFonts w:ascii="Times New Roman" w:hAnsi="Times New Roman"/>
                <w:sz w:val="20"/>
                <w:szCs w:val="20"/>
                <w:lang w:val="en-GB"/>
              </w:rPr>
              <w:t xml:space="preserve">     No</w:t>
            </w:r>
          </w:p>
        </w:tc>
        <w:tc>
          <w:tcPr>
            <w:tcW w:w="567" w:type="dxa"/>
            <w:vAlign w:val="center"/>
          </w:tcPr>
          <w:p w14:paraId="2800B762" w14:textId="68A43556" w:rsidR="00DD2D9E" w:rsidRPr="00004558" w:rsidRDefault="00DD2D9E"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536</w:t>
            </w:r>
          </w:p>
        </w:tc>
        <w:tc>
          <w:tcPr>
            <w:tcW w:w="1985" w:type="dxa"/>
            <w:shd w:val="clear" w:color="auto" w:fill="auto"/>
            <w:noWrap/>
            <w:vAlign w:val="center"/>
          </w:tcPr>
          <w:p w14:paraId="3E87FAED" w14:textId="7505F86F" w:rsidR="00DD2D9E" w:rsidRPr="00004558" w:rsidRDefault="00DD2D9E"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91.0</w:t>
            </w:r>
          </w:p>
        </w:tc>
        <w:tc>
          <w:tcPr>
            <w:tcW w:w="236" w:type="dxa"/>
            <w:shd w:val="clear" w:color="auto" w:fill="auto"/>
            <w:noWrap/>
            <w:vAlign w:val="center"/>
          </w:tcPr>
          <w:p w14:paraId="01B22527" w14:textId="77777777" w:rsidR="00DD2D9E" w:rsidRPr="00004558" w:rsidRDefault="00DD2D9E" w:rsidP="00EF17EB">
            <w:pPr>
              <w:spacing w:after="0" w:line="240" w:lineRule="auto"/>
              <w:jc w:val="center"/>
              <w:rPr>
                <w:rFonts w:ascii="Times New Roman" w:eastAsia="Times New Roman" w:hAnsi="Times New Roman"/>
                <w:color w:val="000000"/>
                <w:sz w:val="20"/>
                <w:szCs w:val="20"/>
                <w:lang w:val="en-GB"/>
              </w:rPr>
            </w:pPr>
          </w:p>
        </w:tc>
        <w:tc>
          <w:tcPr>
            <w:tcW w:w="614" w:type="dxa"/>
            <w:vAlign w:val="center"/>
          </w:tcPr>
          <w:p w14:paraId="2A47EE7C" w14:textId="57A3EB8A" w:rsidR="00DD2D9E" w:rsidRPr="00004558" w:rsidRDefault="00DD2D9E"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105</w:t>
            </w:r>
          </w:p>
        </w:tc>
        <w:tc>
          <w:tcPr>
            <w:tcW w:w="2268" w:type="dxa"/>
            <w:shd w:val="clear" w:color="auto" w:fill="auto"/>
            <w:noWrap/>
            <w:vAlign w:val="center"/>
          </w:tcPr>
          <w:p w14:paraId="2494D00F" w14:textId="53E531C7" w:rsidR="00DD2D9E" w:rsidRPr="00004558" w:rsidRDefault="00DD2D9E"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86.1</w:t>
            </w:r>
          </w:p>
        </w:tc>
        <w:tc>
          <w:tcPr>
            <w:tcW w:w="941" w:type="dxa"/>
            <w:shd w:val="clear" w:color="auto" w:fill="auto"/>
            <w:noWrap/>
            <w:vAlign w:val="center"/>
          </w:tcPr>
          <w:p w14:paraId="7BFEA517" w14:textId="77777777" w:rsidR="00DD2D9E" w:rsidRPr="00004558" w:rsidRDefault="00DD2D9E" w:rsidP="00EF17EB">
            <w:pPr>
              <w:spacing w:after="0" w:line="240" w:lineRule="auto"/>
              <w:jc w:val="center"/>
              <w:rPr>
                <w:rFonts w:ascii="Times New Roman" w:eastAsia="Times New Roman" w:hAnsi="Times New Roman"/>
                <w:color w:val="000000"/>
                <w:sz w:val="20"/>
                <w:szCs w:val="20"/>
                <w:lang w:val="en-GB"/>
              </w:rPr>
            </w:pPr>
          </w:p>
        </w:tc>
      </w:tr>
      <w:tr w:rsidR="00DD2D9E" w:rsidRPr="00004558" w14:paraId="40C6F72D" w14:textId="77777777" w:rsidTr="00DD2D9E">
        <w:trPr>
          <w:trHeight w:val="300"/>
        </w:trPr>
        <w:tc>
          <w:tcPr>
            <w:tcW w:w="279" w:type="dxa"/>
            <w:shd w:val="clear" w:color="auto" w:fill="auto"/>
            <w:noWrap/>
            <w:vAlign w:val="center"/>
          </w:tcPr>
          <w:p w14:paraId="1D35D67C" w14:textId="77777777" w:rsidR="00DD2D9E" w:rsidRPr="00004558" w:rsidRDefault="00DD2D9E" w:rsidP="00EF17EB">
            <w:pPr>
              <w:spacing w:after="0" w:line="240" w:lineRule="auto"/>
              <w:jc w:val="center"/>
              <w:rPr>
                <w:rFonts w:ascii="Times New Roman" w:eastAsia="Times New Roman" w:hAnsi="Times New Roman"/>
                <w:sz w:val="20"/>
                <w:szCs w:val="20"/>
                <w:lang w:val="en-GB"/>
              </w:rPr>
            </w:pPr>
          </w:p>
        </w:tc>
        <w:tc>
          <w:tcPr>
            <w:tcW w:w="2310" w:type="dxa"/>
            <w:gridSpan w:val="2"/>
            <w:shd w:val="clear" w:color="auto" w:fill="auto"/>
            <w:noWrap/>
            <w:vAlign w:val="center"/>
          </w:tcPr>
          <w:p w14:paraId="35722206" w14:textId="7F8013E8" w:rsidR="00DD2D9E" w:rsidRPr="00004558" w:rsidRDefault="00DD2D9E" w:rsidP="00EF17EB">
            <w:pPr>
              <w:spacing w:after="0" w:line="240" w:lineRule="auto"/>
              <w:rPr>
                <w:rFonts w:ascii="Times New Roman" w:hAnsi="Times New Roman"/>
                <w:sz w:val="20"/>
                <w:szCs w:val="20"/>
                <w:lang w:val="en-GB"/>
              </w:rPr>
            </w:pPr>
            <w:r w:rsidRPr="00004558">
              <w:rPr>
                <w:rFonts w:ascii="Times New Roman" w:hAnsi="Times New Roman"/>
                <w:sz w:val="20"/>
                <w:szCs w:val="20"/>
                <w:lang w:val="en-GB"/>
              </w:rPr>
              <w:t xml:space="preserve">     Yes</w:t>
            </w:r>
          </w:p>
        </w:tc>
        <w:tc>
          <w:tcPr>
            <w:tcW w:w="567" w:type="dxa"/>
            <w:vAlign w:val="center"/>
          </w:tcPr>
          <w:p w14:paraId="769004E3" w14:textId="01656DF6" w:rsidR="00DD2D9E" w:rsidRPr="00004558" w:rsidRDefault="00DD2D9E"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53</w:t>
            </w:r>
          </w:p>
        </w:tc>
        <w:tc>
          <w:tcPr>
            <w:tcW w:w="1985" w:type="dxa"/>
            <w:shd w:val="clear" w:color="auto" w:fill="auto"/>
            <w:noWrap/>
            <w:vAlign w:val="center"/>
          </w:tcPr>
          <w:p w14:paraId="0E1867F6" w14:textId="14F4F02E" w:rsidR="00DD2D9E" w:rsidRPr="00004558" w:rsidRDefault="00DD2D9E"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9.0</w:t>
            </w:r>
          </w:p>
        </w:tc>
        <w:tc>
          <w:tcPr>
            <w:tcW w:w="236" w:type="dxa"/>
            <w:shd w:val="clear" w:color="auto" w:fill="auto"/>
            <w:noWrap/>
            <w:vAlign w:val="center"/>
          </w:tcPr>
          <w:p w14:paraId="595906A2" w14:textId="77777777" w:rsidR="00DD2D9E" w:rsidRPr="00004558" w:rsidRDefault="00DD2D9E" w:rsidP="00EF17EB">
            <w:pPr>
              <w:spacing w:after="0" w:line="240" w:lineRule="auto"/>
              <w:jc w:val="center"/>
              <w:rPr>
                <w:rFonts w:ascii="Times New Roman" w:eastAsia="Times New Roman" w:hAnsi="Times New Roman"/>
                <w:color w:val="000000"/>
                <w:sz w:val="20"/>
                <w:szCs w:val="20"/>
                <w:lang w:val="en-GB"/>
              </w:rPr>
            </w:pPr>
          </w:p>
        </w:tc>
        <w:tc>
          <w:tcPr>
            <w:tcW w:w="614" w:type="dxa"/>
            <w:vAlign w:val="center"/>
          </w:tcPr>
          <w:p w14:paraId="47604C84" w14:textId="33B015F2" w:rsidR="00DD2D9E" w:rsidRPr="00004558" w:rsidRDefault="00DD2D9E"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17</w:t>
            </w:r>
          </w:p>
        </w:tc>
        <w:tc>
          <w:tcPr>
            <w:tcW w:w="2268" w:type="dxa"/>
            <w:shd w:val="clear" w:color="auto" w:fill="auto"/>
            <w:noWrap/>
            <w:vAlign w:val="center"/>
          </w:tcPr>
          <w:p w14:paraId="546451B9" w14:textId="62421ED3" w:rsidR="00DD2D9E" w:rsidRPr="00004558" w:rsidRDefault="00DD2D9E"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13.9</w:t>
            </w:r>
          </w:p>
        </w:tc>
        <w:tc>
          <w:tcPr>
            <w:tcW w:w="941" w:type="dxa"/>
            <w:shd w:val="clear" w:color="auto" w:fill="auto"/>
            <w:noWrap/>
            <w:vAlign w:val="center"/>
          </w:tcPr>
          <w:p w14:paraId="27A00405" w14:textId="77777777" w:rsidR="00DD2D9E" w:rsidRPr="00004558" w:rsidRDefault="00DD2D9E" w:rsidP="00EF17EB">
            <w:pPr>
              <w:spacing w:after="0" w:line="240" w:lineRule="auto"/>
              <w:jc w:val="center"/>
              <w:rPr>
                <w:rFonts w:ascii="Times New Roman" w:eastAsia="Times New Roman" w:hAnsi="Times New Roman"/>
                <w:color w:val="000000"/>
                <w:sz w:val="20"/>
                <w:szCs w:val="20"/>
                <w:lang w:val="en-GB"/>
              </w:rPr>
            </w:pPr>
          </w:p>
        </w:tc>
      </w:tr>
      <w:tr w:rsidR="00AB41D8" w:rsidRPr="00004558" w14:paraId="7346AC9E" w14:textId="77777777" w:rsidTr="00DD2D9E">
        <w:trPr>
          <w:trHeight w:val="300"/>
        </w:trPr>
        <w:tc>
          <w:tcPr>
            <w:tcW w:w="279" w:type="dxa"/>
            <w:shd w:val="clear" w:color="auto" w:fill="auto"/>
            <w:noWrap/>
            <w:vAlign w:val="center"/>
            <w:hideMark/>
          </w:tcPr>
          <w:p w14:paraId="5691111F" w14:textId="77777777" w:rsidR="00AB41D8" w:rsidRPr="00004558" w:rsidRDefault="00AB41D8" w:rsidP="00EF17EB">
            <w:pPr>
              <w:spacing w:after="0" w:line="240" w:lineRule="auto"/>
              <w:jc w:val="center"/>
              <w:rPr>
                <w:rFonts w:ascii="Times New Roman" w:eastAsia="Times New Roman" w:hAnsi="Times New Roman"/>
                <w:sz w:val="20"/>
                <w:szCs w:val="20"/>
                <w:lang w:val="en-GB"/>
              </w:rPr>
            </w:pPr>
          </w:p>
        </w:tc>
        <w:tc>
          <w:tcPr>
            <w:tcW w:w="2310" w:type="dxa"/>
            <w:gridSpan w:val="2"/>
            <w:shd w:val="clear" w:color="auto" w:fill="auto"/>
            <w:noWrap/>
            <w:vAlign w:val="center"/>
            <w:hideMark/>
          </w:tcPr>
          <w:p w14:paraId="164AB4CC" w14:textId="77777777" w:rsidR="00AB41D8" w:rsidRPr="00004558" w:rsidRDefault="00AB41D8" w:rsidP="00EF17EB">
            <w:pPr>
              <w:spacing w:after="0" w:line="240" w:lineRule="auto"/>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HbA1c, %</w:t>
            </w:r>
          </w:p>
        </w:tc>
        <w:tc>
          <w:tcPr>
            <w:tcW w:w="567" w:type="dxa"/>
            <w:vAlign w:val="center"/>
          </w:tcPr>
          <w:p w14:paraId="4B06A41D"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589</w:t>
            </w:r>
          </w:p>
        </w:tc>
        <w:tc>
          <w:tcPr>
            <w:tcW w:w="1985" w:type="dxa"/>
            <w:shd w:val="clear" w:color="auto" w:fill="auto"/>
            <w:noWrap/>
            <w:vAlign w:val="center"/>
            <w:hideMark/>
          </w:tcPr>
          <w:p w14:paraId="58D2DA9B"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5.11 ± 0.46</w:t>
            </w:r>
          </w:p>
        </w:tc>
        <w:tc>
          <w:tcPr>
            <w:tcW w:w="236" w:type="dxa"/>
            <w:shd w:val="clear" w:color="auto" w:fill="auto"/>
            <w:noWrap/>
            <w:vAlign w:val="center"/>
          </w:tcPr>
          <w:p w14:paraId="2C193FA1"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p>
        </w:tc>
        <w:tc>
          <w:tcPr>
            <w:tcW w:w="614" w:type="dxa"/>
            <w:vAlign w:val="center"/>
          </w:tcPr>
          <w:p w14:paraId="5FAADCBA"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122</w:t>
            </w:r>
          </w:p>
        </w:tc>
        <w:tc>
          <w:tcPr>
            <w:tcW w:w="2268" w:type="dxa"/>
            <w:shd w:val="clear" w:color="auto" w:fill="auto"/>
            <w:noWrap/>
            <w:vAlign w:val="center"/>
            <w:hideMark/>
          </w:tcPr>
          <w:p w14:paraId="38E2B239"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5.14 ± 0.32</w:t>
            </w:r>
          </w:p>
        </w:tc>
        <w:tc>
          <w:tcPr>
            <w:tcW w:w="941" w:type="dxa"/>
            <w:shd w:val="clear" w:color="auto" w:fill="auto"/>
            <w:noWrap/>
            <w:vAlign w:val="center"/>
            <w:hideMark/>
          </w:tcPr>
          <w:p w14:paraId="6BDC08B3"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0.516</w:t>
            </w:r>
          </w:p>
        </w:tc>
      </w:tr>
      <w:tr w:rsidR="00AB41D8" w:rsidRPr="00004558" w14:paraId="14980378" w14:textId="77777777" w:rsidTr="00EF17EB">
        <w:trPr>
          <w:trHeight w:val="300"/>
        </w:trPr>
        <w:tc>
          <w:tcPr>
            <w:tcW w:w="279" w:type="dxa"/>
            <w:shd w:val="clear" w:color="auto" w:fill="auto"/>
            <w:noWrap/>
            <w:vAlign w:val="center"/>
            <w:hideMark/>
          </w:tcPr>
          <w:p w14:paraId="79591152"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p>
        </w:tc>
        <w:tc>
          <w:tcPr>
            <w:tcW w:w="2310" w:type="dxa"/>
            <w:gridSpan w:val="2"/>
            <w:shd w:val="clear" w:color="auto" w:fill="auto"/>
            <w:noWrap/>
            <w:vAlign w:val="center"/>
            <w:hideMark/>
          </w:tcPr>
          <w:p w14:paraId="68FA7497" w14:textId="77777777" w:rsidR="00AB41D8" w:rsidRPr="00004558" w:rsidRDefault="00AB41D8" w:rsidP="00EF17EB">
            <w:pPr>
              <w:spacing w:after="0" w:line="240" w:lineRule="auto"/>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HbA1c, mmol/mol</w:t>
            </w:r>
          </w:p>
        </w:tc>
        <w:tc>
          <w:tcPr>
            <w:tcW w:w="567" w:type="dxa"/>
            <w:vAlign w:val="center"/>
          </w:tcPr>
          <w:p w14:paraId="6B57C428"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589</w:t>
            </w:r>
          </w:p>
        </w:tc>
        <w:tc>
          <w:tcPr>
            <w:tcW w:w="1985" w:type="dxa"/>
            <w:shd w:val="clear" w:color="auto" w:fill="auto"/>
            <w:noWrap/>
            <w:vAlign w:val="center"/>
            <w:hideMark/>
          </w:tcPr>
          <w:p w14:paraId="210D23AD"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32.21 ± 5.06</w:t>
            </w:r>
          </w:p>
        </w:tc>
        <w:tc>
          <w:tcPr>
            <w:tcW w:w="236" w:type="dxa"/>
            <w:shd w:val="clear" w:color="auto" w:fill="auto"/>
            <w:noWrap/>
            <w:vAlign w:val="center"/>
          </w:tcPr>
          <w:p w14:paraId="101E621E"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p>
        </w:tc>
        <w:tc>
          <w:tcPr>
            <w:tcW w:w="614" w:type="dxa"/>
            <w:vAlign w:val="center"/>
          </w:tcPr>
          <w:p w14:paraId="78A6CA33"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122</w:t>
            </w:r>
          </w:p>
        </w:tc>
        <w:tc>
          <w:tcPr>
            <w:tcW w:w="2268" w:type="dxa"/>
            <w:shd w:val="clear" w:color="auto" w:fill="auto"/>
            <w:noWrap/>
            <w:vAlign w:val="center"/>
            <w:hideMark/>
          </w:tcPr>
          <w:p w14:paraId="31A7F44C"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32.57 ± 3.56</w:t>
            </w:r>
          </w:p>
        </w:tc>
        <w:tc>
          <w:tcPr>
            <w:tcW w:w="941" w:type="dxa"/>
            <w:shd w:val="clear" w:color="auto" w:fill="auto"/>
            <w:noWrap/>
            <w:vAlign w:val="center"/>
            <w:hideMark/>
          </w:tcPr>
          <w:p w14:paraId="1353E57F"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0.461</w:t>
            </w:r>
          </w:p>
        </w:tc>
      </w:tr>
      <w:tr w:rsidR="00AB41D8" w:rsidRPr="00004558" w14:paraId="1BB4861F" w14:textId="77777777" w:rsidTr="00EF17EB">
        <w:trPr>
          <w:trHeight w:val="300"/>
        </w:trPr>
        <w:tc>
          <w:tcPr>
            <w:tcW w:w="279" w:type="dxa"/>
            <w:shd w:val="clear" w:color="auto" w:fill="auto"/>
            <w:noWrap/>
            <w:vAlign w:val="center"/>
            <w:hideMark/>
          </w:tcPr>
          <w:p w14:paraId="26C9CD44"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p>
        </w:tc>
        <w:tc>
          <w:tcPr>
            <w:tcW w:w="2310" w:type="dxa"/>
            <w:gridSpan w:val="2"/>
            <w:shd w:val="clear" w:color="auto" w:fill="auto"/>
            <w:noWrap/>
            <w:vAlign w:val="center"/>
            <w:hideMark/>
          </w:tcPr>
          <w:p w14:paraId="26D465CC" w14:textId="77777777" w:rsidR="00AB41D8" w:rsidRPr="00004558" w:rsidRDefault="00AB41D8" w:rsidP="00EF17EB">
            <w:pPr>
              <w:spacing w:after="0" w:line="240" w:lineRule="auto"/>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Hb, g/dL</w:t>
            </w:r>
          </w:p>
        </w:tc>
        <w:tc>
          <w:tcPr>
            <w:tcW w:w="567" w:type="dxa"/>
            <w:vAlign w:val="center"/>
          </w:tcPr>
          <w:p w14:paraId="3D521083"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589</w:t>
            </w:r>
          </w:p>
        </w:tc>
        <w:tc>
          <w:tcPr>
            <w:tcW w:w="1985" w:type="dxa"/>
            <w:shd w:val="clear" w:color="auto" w:fill="auto"/>
            <w:noWrap/>
            <w:vAlign w:val="center"/>
            <w:hideMark/>
          </w:tcPr>
          <w:p w14:paraId="10503D6C"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13.33 ± 0.77</w:t>
            </w:r>
          </w:p>
        </w:tc>
        <w:tc>
          <w:tcPr>
            <w:tcW w:w="236" w:type="dxa"/>
            <w:shd w:val="clear" w:color="auto" w:fill="auto"/>
            <w:noWrap/>
            <w:vAlign w:val="center"/>
          </w:tcPr>
          <w:p w14:paraId="715104D0"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p>
        </w:tc>
        <w:tc>
          <w:tcPr>
            <w:tcW w:w="614" w:type="dxa"/>
            <w:vAlign w:val="center"/>
          </w:tcPr>
          <w:p w14:paraId="4C32A2B0"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122</w:t>
            </w:r>
          </w:p>
        </w:tc>
        <w:tc>
          <w:tcPr>
            <w:tcW w:w="2268" w:type="dxa"/>
            <w:shd w:val="clear" w:color="auto" w:fill="auto"/>
            <w:noWrap/>
            <w:vAlign w:val="center"/>
            <w:hideMark/>
          </w:tcPr>
          <w:p w14:paraId="4D980EFB"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11.28 ± 1.20</w:t>
            </w:r>
          </w:p>
        </w:tc>
        <w:tc>
          <w:tcPr>
            <w:tcW w:w="941" w:type="dxa"/>
            <w:shd w:val="clear" w:color="auto" w:fill="auto"/>
            <w:noWrap/>
            <w:vAlign w:val="center"/>
            <w:hideMark/>
          </w:tcPr>
          <w:p w14:paraId="5D83933D"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&lt;0.001</w:t>
            </w:r>
          </w:p>
        </w:tc>
      </w:tr>
      <w:tr w:rsidR="00AB41D8" w:rsidRPr="00004558" w14:paraId="4CC24FD5" w14:textId="77777777" w:rsidTr="00EF17EB">
        <w:trPr>
          <w:trHeight w:val="300"/>
        </w:trPr>
        <w:tc>
          <w:tcPr>
            <w:tcW w:w="279" w:type="dxa"/>
            <w:shd w:val="clear" w:color="auto" w:fill="auto"/>
            <w:noWrap/>
            <w:vAlign w:val="center"/>
            <w:hideMark/>
          </w:tcPr>
          <w:p w14:paraId="778A0982"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p>
        </w:tc>
        <w:tc>
          <w:tcPr>
            <w:tcW w:w="2310" w:type="dxa"/>
            <w:gridSpan w:val="2"/>
            <w:shd w:val="clear" w:color="auto" w:fill="auto"/>
            <w:noWrap/>
            <w:vAlign w:val="center"/>
            <w:hideMark/>
          </w:tcPr>
          <w:p w14:paraId="059BAD8D" w14:textId="77777777" w:rsidR="00AB41D8" w:rsidRPr="00004558" w:rsidRDefault="00AB41D8" w:rsidP="00EF17EB">
            <w:pPr>
              <w:spacing w:after="0" w:line="240" w:lineRule="auto"/>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MCV, fL</w:t>
            </w:r>
          </w:p>
        </w:tc>
        <w:tc>
          <w:tcPr>
            <w:tcW w:w="567" w:type="dxa"/>
            <w:vAlign w:val="center"/>
          </w:tcPr>
          <w:p w14:paraId="405DAE4C"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589</w:t>
            </w:r>
          </w:p>
        </w:tc>
        <w:tc>
          <w:tcPr>
            <w:tcW w:w="1985" w:type="dxa"/>
            <w:shd w:val="clear" w:color="auto" w:fill="auto"/>
            <w:noWrap/>
            <w:vAlign w:val="center"/>
            <w:hideMark/>
          </w:tcPr>
          <w:p w14:paraId="64F47CAA"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88.17 ± 3.36</w:t>
            </w:r>
          </w:p>
        </w:tc>
        <w:tc>
          <w:tcPr>
            <w:tcW w:w="236" w:type="dxa"/>
            <w:shd w:val="clear" w:color="auto" w:fill="auto"/>
            <w:noWrap/>
            <w:vAlign w:val="center"/>
          </w:tcPr>
          <w:p w14:paraId="125F648C"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p>
        </w:tc>
        <w:tc>
          <w:tcPr>
            <w:tcW w:w="614" w:type="dxa"/>
            <w:vAlign w:val="center"/>
          </w:tcPr>
          <w:p w14:paraId="70A0F9B7"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122</w:t>
            </w:r>
          </w:p>
        </w:tc>
        <w:tc>
          <w:tcPr>
            <w:tcW w:w="2268" w:type="dxa"/>
            <w:shd w:val="clear" w:color="auto" w:fill="auto"/>
            <w:noWrap/>
            <w:vAlign w:val="center"/>
            <w:hideMark/>
          </w:tcPr>
          <w:p w14:paraId="6A98DDC9"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74.80 ± 9.79</w:t>
            </w:r>
          </w:p>
        </w:tc>
        <w:tc>
          <w:tcPr>
            <w:tcW w:w="941" w:type="dxa"/>
            <w:shd w:val="clear" w:color="auto" w:fill="auto"/>
            <w:noWrap/>
            <w:vAlign w:val="center"/>
            <w:hideMark/>
          </w:tcPr>
          <w:p w14:paraId="05814F0D"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&lt;0.001</w:t>
            </w:r>
          </w:p>
        </w:tc>
      </w:tr>
      <w:tr w:rsidR="00AB41D8" w:rsidRPr="00004558" w14:paraId="2F5CE1C3" w14:textId="77777777" w:rsidTr="00EF17EB">
        <w:trPr>
          <w:trHeight w:val="300"/>
        </w:trPr>
        <w:tc>
          <w:tcPr>
            <w:tcW w:w="279" w:type="dxa"/>
            <w:shd w:val="clear" w:color="auto" w:fill="auto"/>
            <w:noWrap/>
            <w:vAlign w:val="center"/>
            <w:hideMark/>
          </w:tcPr>
          <w:p w14:paraId="557D7B5D"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p>
        </w:tc>
        <w:tc>
          <w:tcPr>
            <w:tcW w:w="2310" w:type="dxa"/>
            <w:gridSpan w:val="2"/>
            <w:shd w:val="clear" w:color="auto" w:fill="auto"/>
            <w:noWrap/>
            <w:vAlign w:val="center"/>
            <w:hideMark/>
          </w:tcPr>
          <w:p w14:paraId="49F28895" w14:textId="77777777" w:rsidR="00AB41D8" w:rsidRPr="00004558" w:rsidRDefault="00AB41D8" w:rsidP="00EF17EB">
            <w:pPr>
              <w:spacing w:after="0" w:line="240" w:lineRule="auto"/>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RBC count, x10</w:t>
            </w:r>
            <w:r w:rsidRPr="00004558">
              <w:rPr>
                <w:rFonts w:ascii="Times New Roman" w:eastAsia="Times New Roman" w:hAnsi="Times New Roman"/>
                <w:color w:val="000000"/>
                <w:sz w:val="20"/>
                <w:szCs w:val="20"/>
                <w:vertAlign w:val="superscript"/>
                <w:lang w:val="en-GB"/>
              </w:rPr>
              <w:t>6</w:t>
            </w:r>
            <w:r w:rsidRPr="00004558">
              <w:rPr>
                <w:rFonts w:ascii="Times New Roman" w:eastAsia="Times New Roman" w:hAnsi="Times New Roman"/>
                <w:color w:val="000000"/>
                <w:sz w:val="20"/>
                <w:szCs w:val="20"/>
                <w:lang w:val="en-GB"/>
              </w:rPr>
              <w:t>µL</w:t>
            </w:r>
            <w:r w:rsidRPr="00004558">
              <w:rPr>
                <w:rFonts w:ascii="Times New Roman" w:eastAsia="Times New Roman" w:hAnsi="Times New Roman"/>
                <w:color w:val="000000"/>
                <w:sz w:val="20"/>
                <w:szCs w:val="20"/>
                <w:vertAlign w:val="superscript"/>
                <w:lang w:val="en-GB"/>
              </w:rPr>
              <w:t>-1</w:t>
            </w:r>
          </w:p>
        </w:tc>
        <w:tc>
          <w:tcPr>
            <w:tcW w:w="567" w:type="dxa"/>
            <w:vAlign w:val="center"/>
          </w:tcPr>
          <w:p w14:paraId="786EA83F"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589</w:t>
            </w:r>
          </w:p>
        </w:tc>
        <w:tc>
          <w:tcPr>
            <w:tcW w:w="1985" w:type="dxa"/>
            <w:shd w:val="clear" w:color="auto" w:fill="auto"/>
            <w:noWrap/>
            <w:vAlign w:val="center"/>
            <w:hideMark/>
          </w:tcPr>
          <w:p w14:paraId="48397D36"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4.54 ± 0.29</w:t>
            </w:r>
          </w:p>
        </w:tc>
        <w:tc>
          <w:tcPr>
            <w:tcW w:w="236" w:type="dxa"/>
            <w:shd w:val="clear" w:color="auto" w:fill="auto"/>
            <w:noWrap/>
            <w:vAlign w:val="center"/>
          </w:tcPr>
          <w:p w14:paraId="60855210"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p>
        </w:tc>
        <w:tc>
          <w:tcPr>
            <w:tcW w:w="614" w:type="dxa"/>
            <w:vAlign w:val="center"/>
          </w:tcPr>
          <w:p w14:paraId="75AA1AA8"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122</w:t>
            </w:r>
          </w:p>
        </w:tc>
        <w:tc>
          <w:tcPr>
            <w:tcW w:w="2268" w:type="dxa"/>
            <w:shd w:val="clear" w:color="auto" w:fill="auto"/>
            <w:noWrap/>
            <w:vAlign w:val="center"/>
            <w:hideMark/>
          </w:tcPr>
          <w:p w14:paraId="19CD9FFC"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4.80 ± 0.74</w:t>
            </w:r>
          </w:p>
        </w:tc>
        <w:tc>
          <w:tcPr>
            <w:tcW w:w="941" w:type="dxa"/>
            <w:shd w:val="clear" w:color="auto" w:fill="auto"/>
            <w:noWrap/>
            <w:vAlign w:val="center"/>
            <w:hideMark/>
          </w:tcPr>
          <w:p w14:paraId="007F5141"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&lt;0.001</w:t>
            </w:r>
          </w:p>
        </w:tc>
      </w:tr>
      <w:tr w:rsidR="00AB41D8" w:rsidRPr="00004558" w14:paraId="2F2DDEC9" w14:textId="77777777" w:rsidTr="00EF17EB">
        <w:trPr>
          <w:trHeight w:val="300"/>
        </w:trPr>
        <w:tc>
          <w:tcPr>
            <w:tcW w:w="279" w:type="dxa"/>
            <w:shd w:val="clear" w:color="auto" w:fill="auto"/>
            <w:noWrap/>
            <w:vAlign w:val="center"/>
            <w:hideMark/>
          </w:tcPr>
          <w:p w14:paraId="194DC3B2"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p>
        </w:tc>
        <w:tc>
          <w:tcPr>
            <w:tcW w:w="2310" w:type="dxa"/>
            <w:gridSpan w:val="2"/>
            <w:shd w:val="clear" w:color="auto" w:fill="auto"/>
            <w:noWrap/>
            <w:vAlign w:val="center"/>
            <w:hideMark/>
          </w:tcPr>
          <w:p w14:paraId="57593813" w14:textId="77777777" w:rsidR="00AB41D8" w:rsidRPr="00004558" w:rsidRDefault="00AB41D8" w:rsidP="00EF17EB">
            <w:pPr>
              <w:spacing w:after="0" w:line="240" w:lineRule="auto"/>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Mentzer Index</w:t>
            </w:r>
          </w:p>
        </w:tc>
        <w:tc>
          <w:tcPr>
            <w:tcW w:w="567" w:type="dxa"/>
            <w:vAlign w:val="center"/>
          </w:tcPr>
          <w:p w14:paraId="14C92023"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589</w:t>
            </w:r>
          </w:p>
        </w:tc>
        <w:tc>
          <w:tcPr>
            <w:tcW w:w="1985" w:type="dxa"/>
            <w:shd w:val="clear" w:color="auto" w:fill="auto"/>
            <w:noWrap/>
            <w:vAlign w:val="center"/>
            <w:hideMark/>
          </w:tcPr>
          <w:p w14:paraId="02E297D0"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19.54 ± 1.77</w:t>
            </w:r>
          </w:p>
        </w:tc>
        <w:tc>
          <w:tcPr>
            <w:tcW w:w="236" w:type="dxa"/>
            <w:shd w:val="clear" w:color="auto" w:fill="auto"/>
            <w:noWrap/>
            <w:vAlign w:val="center"/>
          </w:tcPr>
          <w:p w14:paraId="49E6C9C6"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p>
        </w:tc>
        <w:tc>
          <w:tcPr>
            <w:tcW w:w="614" w:type="dxa"/>
            <w:vAlign w:val="center"/>
          </w:tcPr>
          <w:p w14:paraId="35D78826"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122</w:t>
            </w:r>
          </w:p>
        </w:tc>
        <w:tc>
          <w:tcPr>
            <w:tcW w:w="2268" w:type="dxa"/>
            <w:shd w:val="clear" w:color="auto" w:fill="auto"/>
            <w:noWrap/>
            <w:vAlign w:val="center"/>
            <w:hideMark/>
          </w:tcPr>
          <w:p w14:paraId="288EF4C5"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16.20 ± 4.39</w:t>
            </w:r>
          </w:p>
        </w:tc>
        <w:tc>
          <w:tcPr>
            <w:tcW w:w="941" w:type="dxa"/>
            <w:shd w:val="clear" w:color="auto" w:fill="auto"/>
            <w:noWrap/>
            <w:vAlign w:val="center"/>
            <w:hideMark/>
          </w:tcPr>
          <w:p w14:paraId="0F50F0AD"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&lt;0.001</w:t>
            </w:r>
          </w:p>
        </w:tc>
      </w:tr>
      <w:tr w:rsidR="00AB41D8" w:rsidRPr="00004558" w14:paraId="4DC34078" w14:textId="77777777" w:rsidTr="00EF17EB">
        <w:trPr>
          <w:trHeight w:val="300"/>
        </w:trPr>
        <w:tc>
          <w:tcPr>
            <w:tcW w:w="279" w:type="dxa"/>
            <w:shd w:val="clear" w:color="auto" w:fill="auto"/>
            <w:noWrap/>
            <w:vAlign w:val="center"/>
            <w:hideMark/>
          </w:tcPr>
          <w:p w14:paraId="0DC898DE"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p>
        </w:tc>
        <w:tc>
          <w:tcPr>
            <w:tcW w:w="328" w:type="dxa"/>
            <w:shd w:val="clear" w:color="auto" w:fill="auto"/>
            <w:noWrap/>
            <w:vAlign w:val="center"/>
            <w:hideMark/>
          </w:tcPr>
          <w:p w14:paraId="639D39F0" w14:textId="77777777" w:rsidR="00AB41D8" w:rsidRPr="00004558" w:rsidRDefault="00AB41D8" w:rsidP="00EF17EB">
            <w:pPr>
              <w:spacing w:after="0" w:line="240" w:lineRule="auto"/>
              <w:rPr>
                <w:rFonts w:ascii="Times New Roman" w:eastAsia="Times New Roman" w:hAnsi="Times New Roman"/>
                <w:sz w:val="20"/>
                <w:szCs w:val="20"/>
                <w:lang w:val="en-GB"/>
              </w:rPr>
            </w:pPr>
          </w:p>
        </w:tc>
        <w:tc>
          <w:tcPr>
            <w:tcW w:w="1982" w:type="dxa"/>
            <w:shd w:val="clear" w:color="auto" w:fill="auto"/>
            <w:noWrap/>
            <w:vAlign w:val="center"/>
            <w:hideMark/>
          </w:tcPr>
          <w:p w14:paraId="21C49C5B" w14:textId="77777777" w:rsidR="00AB41D8" w:rsidRPr="00004558" w:rsidRDefault="00AB41D8" w:rsidP="00EF17EB">
            <w:pPr>
              <w:spacing w:after="0" w:line="240" w:lineRule="auto"/>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Beta thalassaemia</w:t>
            </w:r>
          </w:p>
        </w:tc>
        <w:tc>
          <w:tcPr>
            <w:tcW w:w="567" w:type="dxa"/>
            <w:vAlign w:val="center"/>
          </w:tcPr>
          <w:p w14:paraId="0EAF25AE"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w:t>
            </w:r>
          </w:p>
        </w:tc>
        <w:tc>
          <w:tcPr>
            <w:tcW w:w="1985" w:type="dxa"/>
            <w:shd w:val="clear" w:color="auto" w:fill="auto"/>
            <w:noWrap/>
            <w:vAlign w:val="center"/>
          </w:tcPr>
          <w:p w14:paraId="704536C9"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w:t>
            </w:r>
          </w:p>
        </w:tc>
        <w:tc>
          <w:tcPr>
            <w:tcW w:w="236" w:type="dxa"/>
            <w:shd w:val="clear" w:color="auto" w:fill="auto"/>
            <w:noWrap/>
            <w:vAlign w:val="center"/>
          </w:tcPr>
          <w:p w14:paraId="2A53AE2A"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p>
        </w:tc>
        <w:tc>
          <w:tcPr>
            <w:tcW w:w="614" w:type="dxa"/>
            <w:vAlign w:val="center"/>
          </w:tcPr>
          <w:p w14:paraId="674D3F85"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37</w:t>
            </w:r>
          </w:p>
        </w:tc>
        <w:tc>
          <w:tcPr>
            <w:tcW w:w="2268" w:type="dxa"/>
            <w:shd w:val="clear" w:color="auto" w:fill="auto"/>
            <w:noWrap/>
            <w:vAlign w:val="center"/>
            <w:hideMark/>
          </w:tcPr>
          <w:p w14:paraId="198ACF59" w14:textId="42381D31" w:rsidR="00AB41D8" w:rsidRPr="00004558" w:rsidRDefault="00DD2D9E"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30.3</w:t>
            </w:r>
          </w:p>
        </w:tc>
        <w:tc>
          <w:tcPr>
            <w:tcW w:w="941" w:type="dxa"/>
            <w:shd w:val="clear" w:color="auto" w:fill="auto"/>
            <w:noWrap/>
            <w:vAlign w:val="center"/>
            <w:hideMark/>
          </w:tcPr>
          <w:p w14:paraId="7D4150BC"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p>
        </w:tc>
      </w:tr>
      <w:tr w:rsidR="00AB41D8" w:rsidRPr="00004558" w14:paraId="61410BB9" w14:textId="77777777" w:rsidTr="00EF17EB">
        <w:trPr>
          <w:trHeight w:val="300"/>
        </w:trPr>
        <w:tc>
          <w:tcPr>
            <w:tcW w:w="279" w:type="dxa"/>
            <w:tcBorders>
              <w:bottom w:val="single" w:sz="4" w:space="0" w:color="auto"/>
            </w:tcBorders>
            <w:shd w:val="clear" w:color="auto" w:fill="auto"/>
            <w:noWrap/>
            <w:vAlign w:val="center"/>
            <w:hideMark/>
          </w:tcPr>
          <w:p w14:paraId="568D2551"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p>
        </w:tc>
        <w:tc>
          <w:tcPr>
            <w:tcW w:w="328" w:type="dxa"/>
            <w:tcBorders>
              <w:bottom w:val="single" w:sz="4" w:space="0" w:color="auto"/>
            </w:tcBorders>
            <w:shd w:val="clear" w:color="auto" w:fill="auto"/>
            <w:noWrap/>
            <w:vAlign w:val="center"/>
            <w:hideMark/>
          </w:tcPr>
          <w:p w14:paraId="7FDD7993" w14:textId="77777777" w:rsidR="00AB41D8" w:rsidRPr="00004558" w:rsidRDefault="00AB41D8" w:rsidP="00EF17EB">
            <w:pPr>
              <w:spacing w:after="0" w:line="240" w:lineRule="auto"/>
              <w:rPr>
                <w:rFonts w:ascii="Times New Roman" w:eastAsia="Times New Roman" w:hAnsi="Times New Roman"/>
                <w:sz w:val="20"/>
                <w:szCs w:val="20"/>
                <w:lang w:val="en-GB"/>
              </w:rPr>
            </w:pPr>
          </w:p>
        </w:tc>
        <w:tc>
          <w:tcPr>
            <w:tcW w:w="1982" w:type="dxa"/>
            <w:tcBorders>
              <w:bottom w:val="single" w:sz="4" w:space="0" w:color="auto"/>
            </w:tcBorders>
            <w:shd w:val="clear" w:color="auto" w:fill="auto"/>
            <w:noWrap/>
            <w:vAlign w:val="center"/>
            <w:hideMark/>
          </w:tcPr>
          <w:p w14:paraId="6E8E04D8" w14:textId="77777777" w:rsidR="00AB41D8" w:rsidRPr="00004558" w:rsidRDefault="00AB41D8" w:rsidP="00EF17EB">
            <w:pPr>
              <w:spacing w:after="0" w:line="240" w:lineRule="auto"/>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IDA</w:t>
            </w:r>
          </w:p>
        </w:tc>
        <w:tc>
          <w:tcPr>
            <w:tcW w:w="567" w:type="dxa"/>
            <w:tcBorders>
              <w:bottom w:val="single" w:sz="4" w:space="0" w:color="auto"/>
            </w:tcBorders>
            <w:vAlign w:val="center"/>
          </w:tcPr>
          <w:p w14:paraId="595CC9D4"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w:t>
            </w:r>
          </w:p>
        </w:tc>
        <w:tc>
          <w:tcPr>
            <w:tcW w:w="1985" w:type="dxa"/>
            <w:tcBorders>
              <w:bottom w:val="single" w:sz="4" w:space="0" w:color="auto"/>
            </w:tcBorders>
            <w:shd w:val="clear" w:color="auto" w:fill="auto"/>
            <w:noWrap/>
            <w:vAlign w:val="center"/>
          </w:tcPr>
          <w:p w14:paraId="57B7B17E"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w:t>
            </w:r>
          </w:p>
        </w:tc>
        <w:tc>
          <w:tcPr>
            <w:tcW w:w="236" w:type="dxa"/>
            <w:tcBorders>
              <w:bottom w:val="single" w:sz="4" w:space="0" w:color="auto"/>
            </w:tcBorders>
            <w:shd w:val="clear" w:color="auto" w:fill="auto"/>
            <w:noWrap/>
            <w:vAlign w:val="center"/>
          </w:tcPr>
          <w:p w14:paraId="3D2102B2"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p>
        </w:tc>
        <w:tc>
          <w:tcPr>
            <w:tcW w:w="614" w:type="dxa"/>
            <w:tcBorders>
              <w:bottom w:val="single" w:sz="4" w:space="0" w:color="auto"/>
            </w:tcBorders>
            <w:vAlign w:val="center"/>
          </w:tcPr>
          <w:p w14:paraId="36712AED"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85</w:t>
            </w:r>
          </w:p>
        </w:tc>
        <w:tc>
          <w:tcPr>
            <w:tcW w:w="2268" w:type="dxa"/>
            <w:tcBorders>
              <w:bottom w:val="single" w:sz="4" w:space="0" w:color="auto"/>
            </w:tcBorders>
            <w:shd w:val="clear" w:color="auto" w:fill="auto"/>
            <w:noWrap/>
            <w:vAlign w:val="center"/>
            <w:hideMark/>
          </w:tcPr>
          <w:p w14:paraId="2E888BC8" w14:textId="2ABB7A90" w:rsidR="00AB41D8" w:rsidRPr="00004558" w:rsidRDefault="00154232"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69.7</w:t>
            </w:r>
          </w:p>
        </w:tc>
        <w:tc>
          <w:tcPr>
            <w:tcW w:w="941" w:type="dxa"/>
            <w:tcBorders>
              <w:bottom w:val="single" w:sz="4" w:space="0" w:color="auto"/>
            </w:tcBorders>
            <w:shd w:val="clear" w:color="auto" w:fill="auto"/>
            <w:noWrap/>
            <w:vAlign w:val="center"/>
            <w:hideMark/>
          </w:tcPr>
          <w:p w14:paraId="47674EA6" w14:textId="77777777" w:rsidR="00AB41D8" w:rsidRPr="00004558" w:rsidRDefault="00AB41D8" w:rsidP="00EF17EB">
            <w:pPr>
              <w:spacing w:after="0" w:line="240" w:lineRule="auto"/>
              <w:jc w:val="center"/>
              <w:rPr>
                <w:rFonts w:ascii="Times New Roman" w:eastAsia="Times New Roman" w:hAnsi="Times New Roman"/>
                <w:color w:val="000000"/>
                <w:sz w:val="20"/>
                <w:szCs w:val="20"/>
                <w:lang w:val="en-GB"/>
              </w:rPr>
            </w:pPr>
          </w:p>
        </w:tc>
      </w:tr>
      <w:tr w:rsidR="00AB41D8" w:rsidRPr="00004558" w14:paraId="78092D9E" w14:textId="77777777" w:rsidTr="00EF17EB">
        <w:trPr>
          <w:trHeight w:val="300"/>
        </w:trPr>
        <w:tc>
          <w:tcPr>
            <w:tcW w:w="2589" w:type="dxa"/>
            <w:gridSpan w:val="3"/>
            <w:tcBorders>
              <w:top w:val="single" w:sz="4" w:space="0" w:color="auto"/>
              <w:bottom w:val="single" w:sz="4" w:space="0" w:color="auto"/>
            </w:tcBorders>
            <w:shd w:val="clear" w:color="auto" w:fill="auto"/>
            <w:noWrap/>
            <w:vAlign w:val="center"/>
            <w:hideMark/>
          </w:tcPr>
          <w:p w14:paraId="176B94BF" w14:textId="77777777" w:rsidR="00AB41D8" w:rsidRPr="00004558" w:rsidRDefault="00AB41D8" w:rsidP="00EF17EB">
            <w:pPr>
              <w:spacing w:after="0" w:line="240" w:lineRule="auto"/>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Malay</w:t>
            </w:r>
          </w:p>
        </w:tc>
        <w:tc>
          <w:tcPr>
            <w:tcW w:w="567" w:type="dxa"/>
            <w:tcBorders>
              <w:top w:val="single" w:sz="4" w:space="0" w:color="auto"/>
              <w:bottom w:val="single" w:sz="4" w:space="0" w:color="auto"/>
            </w:tcBorders>
            <w:vAlign w:val="center"/>
          </w:tcPr>
          <w:p w14:paraId="15362361" w14:textId="77777777" w:rsidR="00AB41D8" w:rsidRPr="00004558" w:rsidRDefault="00AB41D8" w:rsidP="00EF17EB">
            <w:pPr>
              <w:spacing w:after="0" w:line="240" w:lineRule="auto"/>
              <w:jc w:val="center"/>
              <w:rPr>
                <w:rFonts w:ascii="Times New Roman" w:eastAsia="Times New Roman" w:hAnsi="Times New Roman"/>
                <w:sz w:val="20"/>
                <w:szCs w:val="20"/>
                <w:lang w:val="en-GB"/>
              </w:rPr>
            </w:pPr>
          </w:p>
        </w:tc>
        <w:tc>
          <w:tcPr>
            <w:tcW w:w="1985" w:type="dxa"/>
            <w:tcBorders>
              <w:top w:val="single" w:sz="4" w:space="0" w:color="auto"/>
              <w:bottom w:val="single" w:sz="4" w:space="0" w:color="auto"/>
            </w:tcBorders>
            <w:shd w:val="clear" w:color="auto" w:fill="auto"/>
            <w:noWrap/>
            <w:vAlign w:val="center"/>
            <w:hideMark/>
          </w:tcPr>
          <w:p w14:paraId="58F7F85C" w14:textId="77777777" w:rsidR="00AB41D8" w:rsidRPr="00004558" w:rsidRDefault="00AB41D8" w:rsidP="00EF17EB">
            <w:pPr>
              <w:spacing w:after="0" w:line="240" w:lineRule="auto"/>
              <w:jc w:val="center"/>
              <w:rPr>
                <w:rFonts w:ascii="Times New Roman" w:eastAsia="Times New Roman" w:hAnsi="Times New Roman"/>
                <w:sz w:val="20"/>
                <w:szCs w:val="20"/>
                <w:lang w:val="en-GB"/>
              </w:rPr>
            </w:pPr>
          </w:p>
        </w:tc>
        <w:tc>
          <w:tcPr>
            <w:tcW w:w="236" w:type="dxa"/>
            <w:tcBorders>
              <w:top w:val="single" w:sz="4" w:space="0" w:color="auto"/>
              <w:bottom w:val="single" w:sz="4" w:space="0" w:color="auto"/>
            </w:tcBorders>
            <w:shd w:val="clear" w:color="auto" w:fill="auto"/>
            <w:noWrap/>
            <w:vAlign w:val="center"/>
          </w:tcPr>
          <w:p w14:paraId="3BFFBD22" w14:textId="77777777" w:rsidR="00AB41D8" w:rsidRPr="00004558" w:rsidRDefault="00AB41D8" w:rsidP="00EF17EB">
            <w:pPr>
              <w:spacing w:after="0" w:line="240" w:lineRule="auto"/>
              <w:jc w:val="center"/>
              <w:rPr>
                <w:rFonts w:ascii="Times New Roman" w:eastAsia="Times New Roman" w:hAnsi="Times New Roman"/>
                <w:sz w:val="20"/>
                <w:szCs w:val="20"/>
                <w:lang w:val="en-GB"/>
              </w:rPr>
            </w:pPr>
          </w:p>
        </w:tc>
        <w:tc>
          <w:tcPr>
            <w:tcW w:w="614" w:type="dxa"/>
            <w:tcBorders>
              <w:top w:val="single" w:sz="4" w:space="0" w:color="auto"/>
              <w:bottom w:val="single" w:sz="4" w:space="0" w:color="auto"/>
            </w:tcBorders>
            <w:vAlign w:val="center"/>
          </w:tcPr>
          <w:p w14:paraId="5D07A7C7" w14:textId="77777777" w:rsidR="00AB41D8" w:rsidRPr="00004558" w:rsidRDefault="00AB41D8" w:rsidP="00EF17EB">
            <w:pPr>
              <w:spacing w:after="0" w:line="240" w:lineRule="auto"/>
              <w:jc w:val="center"/>
              <w:rPr>
                <w:rFonts w:ascii="Times New Roman" w:eastAsia="Times New Roman" w:hAnsi="Times New Roman"/>
                <w:sz w:val="20"/>
                <w:szCs w:val="20"/>
                <w:lang w:val="en-GB"/>
              </w:rPr>
            </w:pPr>
          </w:p>
        </w:tc>
        <w:tc>
          <w:tcPr>
            <w:tcW w:w="2268" w:type="dxa"/>
            <w:tcBorders>
              <w:top w:val="single" w:sz="4" w:space="0" w:color="auto"/>
              <w:bottom w:val="single" w:sz="4" w:space="0" w:color="auto"/>
            </w:tcBorders>
            <w:shd w:val="clear" w:color="auto" w:fill="auto"/>
            <w:noWrap/>
            <w:vAlign w:val="center"/>
            <w:hideMark/>
          </w:tcPr>
          <w:p w14:paraId="09BC62C0" w14:textId="77777777" w:rsidR="00AB41D8" w:rsidRPr="00004558" w:rsidRDefault="00AB41D8" w:rsidP="00EF17EB">
            <w:pPr>
              <w:spacing w:after="0" w:line="240" w:lineRule="auto"/>
              <w:jc w:val="center"/>
              <w:rPr>
                <w:rFonts w:ascii="Times New Roman" w:eastAsia="Times New Roman" w:hAnsi="Times New Roman"/>
                <w:sz w:val="20"/>
                <w:szCs w:val="20"/>
                <w:lang w:val="en-GB"/>
              </w:rPr>
            </w:pPr>
          </w:p>
        </w:tc>
        <w:tc>
          <w:tcPr>
            <w:tcW w:w="941" w:type="dxa"/>
            <w:tcBorders>
              <w:top w:val="single" w:sz="4" w:space="0" w:color="auto"/>
              <w:bottom w:val="single" w:sz="4" w:space="0" w:color="auto"/>
            </w:tcBorders>
            <w:shd w:val="clear" w:color="auto" w:fill="auto"/>
            <w:noWrap/>
            <w:vAlign w:val="center"/>
            <w:hideMark/>
          </w:tcPr>
          <w:p w14:paraId="1B2510FB" w14:textId="77777777" w:rsidR="00AB41D8" w:rsidRPr="00004558" w:rsidRDefault="00AB41D8" w:rsidP="00EF17EB">
            <w:pPr>
              <w:spacing w:after="0" w:line="240" w:lineRule="auto"/>
              <w:jc w:val="center"/>
              <w:rPr>
                <w:rFonts w:ascii="Times New Roman" w:eastAsia="Times New Roman" w:hAnsi="Times New Roman"/>
                <w:sz w:val="20"/>
                <w:szCs w:val="20"/>
                <w:lang w:val="en-GB"/>
              </w:rPr>
            </w:pPr>
          </w:p>
        </w:tc>
      </w:tr>
      <w:tr w:rsidR="00DD2D9E" w:rsidRPr="00004558" w14:paraId="6B810F84" w14:textId="77777777" w:rsidTr="00154232">
        <w:trPr>
          <w:trHeight w:val="300"/>
        </w:trPr>
        <w:tc>
          <w:tcPr>
            <w:tcW w:w="279" w:type="dxa"/>
            <w:tcBorders>
              <w:top w:val="single" w:sz="4" w:space="0" w:color="auto"/>
            </w:tcBorders>
            <w:shd w:val="clear" w:color="auto" w:fill="auto"/>
            <w:noWrap/>
            <w:vAlign w:val="center"/>
          </w:tcPr>
          <w:p w14:paraId="09E40A95" w14:textId="77777777" w:rsidR="00DD2D9E" w:rsidRPr="00004558" w:rsidRDefault="00DD2D9E" w:rsidP="00EF17EB">
            <w:pPr>
              <w:spacing w:after="0" w:line="240" w:lineRule="auto"/>
              <w:jc w:val="center"/>
              <w:rPr>
                <w:rFonts w:ascii="Times New Roman" w:eastAsia="Times New Roman" w:hAnsi="Times New Roman"/>
                <w:sz w:val="20"/>
                <w:szCs w:val="20"/>
                <w:lang w:val="en-GB"/>
              </w:rPr>
            </w:pPr>
          </w:p>
        </w:tc>
        <w:tc>
          <w:tcPr>
            <w:tcW w:w="2310" w:type="dxa"/>
            <w:gridSpan w:val="2"/>
            <w:tcBorders>
              <w:top w:val="single" w:sz="4" w:space="0" w:color="auto"/>
            </w:tcBorders>
            <w:shd w:val="clear" w:color="auto" w:fill="auto"/>
            <w:noWrap/>
            <w:vAlign w:val="center"/>
          </w:tcPr>
          <w:p w14:paraId="0C76B932" w14:textId="4E4EAD4A" w:rsidR="00DD2D9E" w:rsidRPr="00004558" w:rsidRDefault="00DD2D9E" w:rsidP="00EF17EB">
            <w:pPr>
              <w:spacing w:after="0" w:line="240" w:lineRule="auto"/>
              <w:rPr>
                <w:rFonts w:ascii="Times New Roman" w:eastAsia="Times New Roman" w:hAnsi="Times New Roman"/>
                <w:color w:val="000000"/>
                <w:sz w:val="20"/>
                <w:szCs w:val="20"/>
                <w:lang w:val="en-GB"/>
              </w:rPr>
            </w:pPr>
            <w:r w:rsidRPr="00004558">
              <w:rPr>
                <w:rFonts w:ascii="Times New Roman" w:hAnsi="Times New Roman"/>
                <w:sz w:val="20"/>
                <w:szCs w:val="20"/>
                <w:lang w:val="en-GB"/>
              </w:rPr>
              <w:t>Dysglycaemia</w:t>
            </w:r>
          </w:p>
        </w:tc>
        <w:tc>
          <w:tcPr>
            <w:tcW w:w="567" w:type="dxa"/>
            <w:tcBorders>
              <w:top w:val="single" w:sz="4" w:space="0" w:color="auto"/>
            </w:tcBorders>
            <w:vAlign w:val="center"/>
          </w:tcPr>
          <w:p w14:paraId="41AB6195" w14:textId="77777777" w:rsidR="00DD2D9E" w:rsidRPr="00004558" w:rsidRDefault="00DD2D9E" w:rsidP="00EF17EB">
            <w:pPr>
              <w:spacing w:after="0" w:line="240" w:lineRule="auto"/>
              <w:jc w:val="center"/>
              <w:rPr>
                <w:rFonts w:ascii="Times New Roman" w:eastAsia="Times New Roman" w:hAnsi="Times New Roman"/>
                <w:color w:val="000000"/>
                <w:sz w:val="20"/>
                <w:szCs w:val="20"/>
                <w:lang w:val="en-GB"/>
              </w:rPr>
            </w:pPr>
          </w:p>
        </w:tc>
        <w:tc>
          <w:tcPr>
            <w:tcW w:w="1985" w:type="dxa"/>
            <w:tcBorders>
              <w:top w:val="single" w:sz="4" w:space="0" w:color="auto"/>
            </w:tcBorders>
            <w:shd w:val="clear" w:color="auto" w:fill="auto"/>
            <w:noWrap/>
            <w:vAlign w:val="center"/>
          </w:tcPr>
          <w:p w14:paraId="66CB6BFA" w14:textId="77777777" w:rsidR="00DD2D9E" w:rsidRPr="00004558" w:rsidRDefault="00DD2D9E" w:rsidP="00EF17EB">
            <w:pPr>
              <w:spacing w:after="0" w:line="240" w:lineRule="auto"/>
              <w:jc w:val="center"/>
              <w:rPr>
                <w:rFonts w:ascii="Times New Roman" w:eastAsia="Times New Roman" w:hAnsi="Times New Roman"/>
                <w:color w:val="000000"/>
                <w:sz w:val="20"/>
                <w:szCs w:val="20"/>
                <w:lang w:val="en-GB"/>
              </w:rPr>
            </w:pPr>
          </w:p>
        </w:tc>
        <w:tc>
          <w:tcPr>
            <w:tcW w:w="236" w:type="dxa"/>
            <w:tcBorders>
              <w:top w:val="single" w:sz="4" w:space="0" w:color="auto"/>
            </w:tcBorders>
            <w:shd w:val="clear" w:color="auto" w:fill="auto"/>
            <w:noWrap/>
            <w:vAlign w:val="center"/>
          </w:tcPr>
          <w:p w14:paraId="24FA4C0F" w14:textId="77777777" w:rsidR="00DD2D9E" w:rsidRPr="00004558" w:rsidRDefault="00DD2D9E" w:rsidP="00EF17EB">
            <w:pPr>
              <w:spacing w:after="0" w:line="240" w:lineRule="auto"/>
              <w:jc w:val="center"/>
              <w:rPr>
                <w:rFonts w:ascii="Times New Roman" w:eastAsia="Times New Roman" w:hAnsi="Times New Roman"/>
                <w:color w:val="000000"/>
                <w:sz w:val="20"/>
                <w:szCs w:val="20"/>
                <w:lang w:val="en-GB"/>
              </w:rPr>
            </w:pPr>
          </w:p>
        </w:tc>
        <w:tc>
          <w:tcPr>
            <w:tcW w:w="614" w:type="dxa"/>
            <w:tcBorders>
              <w:top w:val="single" w:sz="4" w:space="0" w:color="auto"/>
            </w:tcBorders>
            <w:vAlign w:val="center"/>
          </w:tcPr>
          <w:p w14:paraId="3144A70E" w14:textId="77777777" w:rsidR="00DD2D9E" w:rsidRPr="00004558" w:rsidRDefault="00DD2D9E" w:rsidP="00EF17EB">
            <w:pPr>
              <w:spacing w:after="0" w:line="240" w:lineRule="auto"/>
              <w:jc w:val="center"/>
              <w:rPr>
                <w:rFonts w:ascii="Times New Roman" w:eastAsia="Times New Roman" w:hAnsi="Times New Roman"/>
                <w:color w:val="000000"/>
                <w:sz w:val="20"/>
                <w:szCs w:val="20"/>
                <w:lang w:val="en-GB"/>
              </w:rPr>
            </w:pPr>
          </w:p>
        </w:tc>
        <w:tc>
          <w:tcPr>
            <w:tcW w:w="2268" w:type="dxa"/>
            <w:tcBorders>
              <w:top w:val="single" w:sz="4" w:space="0" w:color="auto"/>
            </w:tcBorders>
            <w:shd w:val="clear" w:color="auto" w:fill="auto"/>
            <w:noWrap/>
            <w:vAlign w:val="center"/>
          </w:tcPr>
          <w:p w14:paraId="31C98221" w14:textId="77777777" w:rsidR="00DD2D9E" w:rsidRPr="00004558" w:rsidRDefault="00DD2D9E" w:rsidP="00EF17EB">
            <w:pPr>
              <w:spacing w:after="0" w:line="240" w:lineRule="auto"/>
              <w:jc w:val="center"/>
              <w:rPr>
                <w:rFonts w:ascii="Times New Roman" w:eastAsia="Times New Roman" w:hAnsi="Times New Roman"/>
                <w:color w:val="000000"/>
                <w:sz w:val="20"/>
                <w:szCs w:val="20"/>
                <w:lang w:val="en-GB"/>
              </w:rPr>
            </w:pPr>
          </w:p>
        </w:tc>
        <w:tc>
          <w:tcPr>
            <w:tcW w:w="941" w:type="dxa"/>
            <w:tcBorders>
              <w:top w:val="single" w:sz="4" w:space="0" w:color="auto"/>
            </w:tcBorders>
            <w:shd w:val="clear" w:color="auto" w:fill="auto"/>
            <w:noWrap/>
            <w:vAlign w:val="center"/>
          </w:tcPr>
          <w:p w14:paraId="1A91EEC1" w14:textId="34D5C518" w:rsidR="00DD2D9E" w:rsidRPr="00004558" w:rsidRDefault="00B01B09" w:rsidP="00EF17EB">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0.336</w:t>
            </w:r>
          </w:p>
        </w:tc>
      </w:tr>
      <w:tr w:rsidR="00154232" w:rsidRPr="00004558" w14:paraId="4E11350D" w14:textId="77777777" w:rsidTr="00154232">
        <w:trPr>
          <w:trHeight w:val="300"/>
        </w:trPr>
        <w:tc>
          <w:tcPr>
            <w:tcW w:w="279" w:type="dxa"/>
            <w:shd w:val="clear" w:color="auto" w:fill="auto"/>
            <w:noWrap/>
            <w:vAlign w:val="center"/>
          </w:tcPr>
          <w:p w14:paraId="48DB171D" w14:textId="77777777" w:rsidR="00154232" w:rsidRPr="00004558" w:rsidRDefault="00154232" w:rsidP="00154232">
            <w:pPr>
              <w:spacing w:after="0" w:line="240" w:lineRule="auto"/>
              <w:jc w:val="center"/>
              <w:rPr>
                <w:rFonts w:ascii="Times New Roman" w:eastAsia="Times New Roman" w:hAnsi="Times New Roman"/>
                <w:sz w:val="20"/>
                <w:szCs w:val="20"/>
                <w:lang w:val="en-GB"/>
              </w:rPr>
            </w:pPr>
          </w:p>
        </w:tc>
        <w:tc>
          <w:tcPr>
            <w:tcW w:w="2310" w:type="dxa"/>
            <w:gridSpan w:val="2"/>
            <w:shd w:val="clear" w:color="auto" w:fill="auto"/>
            <w:noWrap/>
            <w:vAlign w:val="center"/>
          </w:tcPr>
          <w:p w14:paraId="18128E93" w14:textId="76AE24C6" w:rsidR="00154232" w:rsidRPr="00004558" w:rsidRDefault="00154232" w:rsidP="00154232">
            <w:pPr>
              <w:spacing w:after="0" w:line="240" w:lineRule="auto"/>
              <w:rPr>
                <w:rFonts w:ascii="Times New Roman" w:hAnsi="Times New Roman"/>
                <w:sz w:val="20"/>
                <w:szCs w:val="20"/>
                <w:lang w:val="en-GB"/>
              </w:rPr>
            </w:pPr>
            <w:r w:rsidRPr="00004558">
              <w:rPr>
                <w:rFonts w:ascii="Times New Roman" w:hAnsi="Times New Roman"/>
                <w:sz w:val="20"/>
                <w:szCs w:val="20"/>
                <w:lang w:val="en-GB"/>
              </w:rPr>
              <w:t xml:space="preserve">     No</w:t>
            </w:r>
          </w:p>
        </w:tc>
        <w:tc>
          <w:tcPr>
            <w:tcW w:w="567" w:type="dxa"/>
            <w:vAlign w:val="center"/>
          </w:tcPr>
          <w:p w14:paraId="1AF46B7B" w14:textId="2753E1FD"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86</w:t>
            </w:r>
          </w:p>
        </w:tc>
        <w:tc>
          <w:tcPr>
            <w:tcW w:w="1985" w:type="dxa"/>
            <w:shd w:val="clear" w:color="auto" w:fill="auto"/>
            <w:noWrap/>
            <w:vAlign w:val="center"/>
          </w:tcPr>
          <w:p w14:paraId="2DCC0B80" w14:textId="1F838701"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82.7</w:t>
            </w:r>
          </w:p>
        </w:tc>
        <w:tc>
          <w:tcPr>
            <w:tcW w:w="236" w:type="dxa"/>
            <w:shd w:val="clear" w:color="auto" w:fill="auto"/>
            <w:noWrap/>
            <w:vAlign w:val="center"/>
          </w:tcPr>
          <w:p w14:paraId="07E201B9"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p>
        </w:tc>
        <w:tc>
          <w:tcPr>
            <w:tcW w:w="614" w:type="dxa"/>
            <w:vAlign w:val="center"/>
          </w:tcPr>
          <w:p w14:paraId="0468CFFB" w14:textId="55C025AF"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43</w:t>
            </w:r>
          </w:p>
        </w:tc>
        <w:tc>
          <w:tcPr>
            <w:tcW w:w="2268" w:type="dxa"/>
            <w:shd w:val="clear" w:color="auto" w:fill="auto"/>
            <w:noWrap/>
            <w:vAlign w:val="center"/>
          </w:tcPr>
          <w:p w14:paraId="43FF8562" w14:textId="5A59EF27" w:rsidR="00154232" w:rsidRPr="00004558" w:rsidRDefault="00647CD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89.6</w:t>
            </w:r>
          </w:p>
        </w:tc>
        <w:tc>
          <w:tcPr>
            <w:tcW w:w="941" w:type="dxa"/>
            <w:shd w:val="clear" w:color="auto" w:fill="auto"/>
            <w:noWrap/>
            <w:vAlign w:val="center"/>
          </w:tcPr>
          <w:p w14:paraId="3CACD918"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p>
        </w:tc>
      </w:tr>
      <w:tr w:rsidR="00154232" w:rsidRPr="00004558" w14:paraId="3311CB92" w14:textId="77777777" w:rsidTr="00154232">
        <w:trPr>
          <w:trHeight w:val="300"/>
        </w:trPr>
        <w:tc>
          <w:tcPr>
            <w:tcW w:w="279" w:type="dxa"/>
            <w:shd w:val="clear" w:color="auto" w:fill="auto"/>
            <w:noWrap/>
            <w:vAlign w:val="center"/>
          </w:tcPr>
          <w:p w14:paraId="6639234E" w14:textId="77777777" w:rsidR="00154232" w:rsidRPr="00004558" w:rsidRDefault="00154232" w:rsidP="00154232">
            <w:pPr>
              <w:spacing w:after="0" w:line="240" w:lineRule="auto"/>
              <w:jc w:val="center"/>
              <w:rPr>
                <w:rFonts w:ascii="Times New Roman" w:eastAsia="Times New Roman" w:hAnsi="Times New Roman"/>
                <w:sz w:val="20"/>
                <w:szCs w:val="20"/>
                <w:lang w:val="en-GB"/>
              </w:rPr>
            </w:pPr>
          </w:p>
        </w:tc>
        <w:tc>
          <w:tcPr>
            <w:tcW w:w="2310" w:type="dxa"/>
            <w:gridSpan w:val="2"/>
            <w:shd w:val="clear" w:color="auto" w:fill="auto"/>
            <w:noWrap/>
            <w:vAlign w:val="center"/>
          </w:tcPr>
          <w:p w14:paraId="390C5DF3" w14:textId="11C5BB91" w:rsidR="00154232" w:rsidRPr="00004558" w:rsidRDefault="00154232" w:rsidP="00154232">
            <w:pPr>
              <w:spacing w:after="0" w:line="240" w:lineRule="auto"/>
              <w:rPr>
                <w:rFonts w:ascii="Times New Roman" w:hAnsi="Times New Roman"/>
                <w:sz w:val="20"/>
                <w:szCs w:val="20"/>
                <w:lang w:val="en-GB"/>
              </w:rPr>
            </w:pPr>
            <w:r w:rsidRPr="00004558">
              <w:rPr>
                <w:rFonts w:ascii="Times New Roman" w:hAnsi="Times New Roman"/>
                <w:sz w:val="20"/>
                <w:szCs w:val="20"/>
                <w:lang w:val="en-GB"/>
              </w:rPr>
              <w:t xml:space="preserve">     Yes</w:t>
            </w:r>
          </w:p>
        </w:tc>
        <w:tc>
          <w:tcPr>
            <w:tcW w:w="567" w:type="dxa"/>
            <w:vAlign w:val="center"/>
          </w:tcPr>
          <w:p w14:paraId="2A7CFB5C" w14:textId="095C1AF6"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18</w:t>
            </w:r>
          </w:p>
        </w:tc>
        <w:tc>
          <w:tcPr>
            <w:tcW w:w="1985" w:type="dxa"/>
            <w:shd w:val="clear" w:color="auto" w:fill="auto"/>
            <w:noWrap/>
            <w:vAlign w:val="center"/>
          </w:tcPr>
          <w:p w14:paraId="17C3C839" w14:textId="1C88817B"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17.3</w:t>
            </w:r>
          </w:p>
        </w:tc>
        <w:tc>
          <w:tcPr>
            <w:tcW w:w="236" w:type="dxa"/>
            <w:shd w:val="clear" w:color="auto" w:fill="auto"/>
            <w:noWrap/>
            <w:vAlign w:val="center"/>
          </w:tcPr>
          <w:p w14:paraId="4CE4F757"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p>
        </w:tc>
        <w:tc>
          <w:tcPr>
            <w:tcW w:w="614" w:type="dxa"/>
            <w:vAlign w:val="center"/>
          </w:tcPr>
          <w:p w14:paraId="06F1AD22" w14:textId="4C7C6C6A"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5</w:t>
            </w:r>
          </w:p>
        </w:tc>
        <w:tc>
          <w:tcPr>
            <w:tcW w:w="2268" w:type="dxa"/>
            <w:shd w:val="clear" w:color="auto" w:fill="auto"/>
            <w:noWrap/>
            <w:vAlign w:val="center"/>
          </w:tcPr>
          <w:p w14:paraId="008BB3BE" w14:textId="39DAF9BE" w:rsidR="00154232" w:rsidRPr="00004558" w:rsidRDefault="00647CD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10.4</w:t>
            </w:r>
          </w:p>
        </w:tc>
        <w:tc>
          <w:tcPr>
            <w:tcW w:w="941" w:type="dxa"/>
            <w:shd w:val="clear" w:color="auto" w:fill="auto"/>
            <w:noWrap/>
            <w:vAlign w:val="center"/>
          </w:tcPr>
          <w:p w14:paraId="0A7B30F5"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p>
        </w:tc>
      </w:tr>
      <w:tr w:rsidR="00154232" w:rsidRPr="00004558" w14:paraId="39C210D9" w14:textId="77777777" w:rsidTr="00DD2D9E">
        <w:trPr>
          <w:trHeight w:val="300"/>
        </w:trPr>
        <w:tc>
          <w:tcPr>
            <w:tcW w:w="279" w:type="dxa"/>
            <w:shd w:val="clear" w:color="auto" w:fill="auto"/>
            <w:noWrap/>
            <w:vAlign w:val="center"/>
            <w:hideMark/>
          </w:tcPr>
          <w:p w14:paraId="13280EB2" w14:textId="77777777" w:rsidR="00154232" w:rsidRPr="00004558" w:rsidRDefault="00154232" w:rsidP="00154232">
            <w:pPr>
              <w:spacing w:after="0" w:line="240" w:lineRule="auto"/>
              <w:jc w:val="center"/>
              <w:rPr>
                <w:rFonts w:ascii="Times New Roman" w:eastAsia="Times New Roman" w:hAnsi="Times New Roman"/>
                <w:sz w:val="20"/>
                <w:szCs w:val="20"/>
                <w:lang w:val="en-GB"/>
              </w:rPr>
            </w:pPr>
          </w:p>
        </w:tc>
        <w:tc>
          <w:tcPr>
            <w:tcW w:w="2310" w:type="dxa"/>
            <w:gridSpan w:val="2"/>
            <w:shd w:val="clear" w:color="auto" w:fill="auto"/>
            <w:noWrap/>
            <w:vAlign w:val="center"/>
            <w:hideMark/>
          </w:tcPr>
          <w:p w14:paraId="02C885BB" w14:textId="77777777" w:rsidR="00154232" w:rsidRPr="00004558" w:rsidRDefault="00154232" w:rsidP="00154232">
            <w:pPr>
              <w:spacing w:after="0" w:line="240" w:lineRule="auto"/>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HbA1c, %</w:t>
            </w:r>
          </w:p>
        </w:tc>
        <w:tc>
          <w:tcPr>
            <w:tcW w:w="567" w:type="dxa"/>
            <w:vAlign w:val="center"/>
          </w:tcPr>
          <w:p w14:paraId="61BEF9D9"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104</w:t>
            </w:r>
          </w:p>
        </w:tc>
        <w:tc>
          <w:tcPr>
            <w:tcW w:w="1985" w:type="dxa"/>
            <w:shd w:val="clear" w:color="auto" w:fill="auto"/>
            <w:noWrap/>
            <w:vAlign w:val="center"/>
            <w:hideMark/>
          </w:tcPr>
          <w:p w14:paraId="7683EC66"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5.20 ± 0.63</w:t>
            </w:r>
          </w:p>
        </w:tc>
        <w:tc>
          <w:tcPr>
            <w:tcW w:w="236" w:type="dxa"/>
            <w:shd w:val="clear" w:color="auto" w:fill="auto"/>
            <w:noWrap/>
            <w:vAlign w:val="center"/>
          </w:tcPr>
          <w:p w14:paraId="3E10EB7B"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p>
        </w:tc>
        <w:tc>
          <w:tcPr>
            <w:tcW w:w="614" w:type="dxa"/>
            <w:vAlign w:val="center"/>
          </w:tcPr>
          <w:p w14:paraId="2A26B337"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48</w:t>
            </w:r>
          </w:p>
        </w:tc>
        <w:tc>
          <w:tcPr>
            <w:tcW w:w="2268" w:type="dxa"/>
            <w:shd w:val="clear" w:color="auto" w:fill="auto"/>
            <w:noWrap/>
            <w:vAlign w:val="center"/>
            <w:hideMark/>
          </w:tcPr>
          <w:p w14:paraId="29B5FD2E"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5.17 ± 0.40</w:t>
            </w:r>
          </w:p>
        </w:tc>
        <w:tc>
          <w:tcPr>
            <w:tcW w:w="941" w:type="dxa"/>
            <w:shd w:val="clear" w:color="auto" w:fill="auto"/>
            <w:noWrap/>
            <w:vAlign w:val="center"/>
            <w:hideMark/>
          </w:tcPr>
          <w:p w14:paraId="45BE8A07"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0.799</w:t>
            </w:r>
          </w:p>
        </w:tc>
      </w:tr>
      <w:tr w:rsidR="00154232" w:rsidRPr="00004558" w14:paraId="57160C92" w14:textId="77777777" w:rsidTr="00EF17EB">
        <w:trPr>
          <w:trHeight w:val="300"/>
        </w:trPr>
        <w:tc>
          <w:tcPr>
            <w:tcW w:w="279" w:type="dxa"/>
            <w:shd w:val="clear" w:color="auto" w:fill="auto"/>
            <w:noWrap/>
            <w:vAlign w:val="center"/>
            <w:hideMark/>
          </w:tcPr>
          <w:p w14:paraId="650D3AA8"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p>
        </w:tc>
        <w:tc>
          <w:tcPr>
            <w:tcW w:w="2310" w:type="dxa"/>
            <w:gridSpan w:val="2"/>
            <w:shd w:val="clear" w:color="auto" w:fill="auto"/>
            <w:noWrap/>
            <w:vAlign w:val="center"/>
            <w:hideMark/>
          </w:tcPr>
          <w:p w14:paraId="47903977" w14:textId="77777777" w:rsidR="00154232" w:rsidRPr="00004558" w:rsidRDefault="00154232" w:rsidP="00154232">
            <w:pPr>
              <w:spacing w:after="0" w:line="240" w:lineRule="auto"/>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HbA1c, mmol/mol</w:t>
            </w:r>
          </w:p>
        </w:tc>
        <w:tc>
          <w:tcPr>
            <w:tcW w:w="567" w:type="dxa"/>
            <w:vAlign w:val="center"/>
          </w:tcPr>
          <w:p w14:paraId="02F95C6E"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104</w:t>
            </w:r>
          </w:p>
        </w:tc>
        <w:tc>
          <w:tcPr>
            <w:tcW w:w="1985" w:type="dxa"/>
            <w:shd w:val="clear" w:color="auto" w:fill="auto"/>
            <w:noWrap/>
            <w:vAlign w:val="center"/>
            <w:hideMark/>
          </w:tcPr>
          <w:p w14:paraId="335BA567"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33.27 ± 6.88</w:t>
            </w:r>
          </w:p>
        </w:tc>
        <w:tc>
          <w:tcPr>
            <w:tcW w:w="236" w:type="dxa"/>
            <w:shd w:val="clear" w:color="auto" w:fill="auto"/>
            <w:noWrap/>
            <w:vAlign w:val="center"/>
          </w:tcPr>
          <w:p w14:paraId="5DE53829"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p>
        </w:tc>
        <w:tc>
          <w:tcPr>
            <w:tcW w:w="614" w:type="dxa"/>
            <w:vAlign w:val="center"/>
          </w:tcPr>
          <w:p w14:paraId="3DA86246"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48</w:t>
            </w:r>
          </w:p>
        </w:tc>
        <w:tc>
          <w:tcPr>
            <w:tcW w:w="2268" w:type="dxa"/>
            <w:shd w:val="clear" w:color="auto" w:fill="auto"/>
            <w:noWrap/>
            <w:vAlign w:val="center"/>
            <w:hideMark/>
          </w:tcPr>
          <w:p w14:paraId="7FCEE80D"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32.94 ± 4.38</w:t>
            </w:r>
          </w:p>
        </w:tc>
        <w:tc>
          <w:tcPr>
            <w:tcW w:w="941" w:type="dxa"/>
            <w:shd w:val="clear" w:color="auto" w:fill="auto"/>
            <w:noWrap/>
            <w:vAlign w:val="center"/>
            <w:hideMark/>
          </w:tcPr>
          <w:p w14:paraId="3FA925A5"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0.760</w:t>
            </w:r>
          </w:p>
        </w:tc>
      </w:tr>
      <w:tr w:rsidR="00154232" w:rsidRPr="00004558" w14:paraId="2A987BC7" w14:textId="77777777" w:rsidTr="00EF17EB">
        <w:trPr>
          <w:trHeight w:val="300"/>
        </w:trPr>
        <w:tc>
          <w:tcPr>
            <w:tcW w:w="279" w:type="dxa"/>
            <w:shd w:val="clear" w:color="auto" w:fill="auto"/>
            <w:noWrap/>
            <w:vAlign w:val="center"/>
            <w:hideMark/>
          </w:tcPr>
          <w:p w14:paraId="03ED30E2"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p>
        </w:tc>
        <w:tc>
          <w:tcPr>
            <w:tcW w:w="2310" w:type="dxa"/>
            <w:gridSpan w:val="2"/>
            <w:shd w:val="clear" w:color="auto" w:fill="auto"/>
            <w:noWrap/>
            <w:vAlign w:val="center"/>
            <w:hideMark/>
          </w:tcPr>
          <w:p w14:paraId="3D78FA89" w14:textId="77777777" w:rsidR="00154232" w:rsidRPr="00004558" w:rsidRDefault="00154232" w:rsidP="00154232">
            <w:pPr>
              <w:spacing w:after="0" w:line="240" w:lineRule="auto"/>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Hb, g/dL</w:t>
            </w:r>
          </w:p>
        </w:tc>
        <w:tc>
          <w:tcPr>
            <w:tcW w:w="567" w:type="dxa"/>
            <w:vAlign w:val="center"/>
          </w:tcPr>
          <w:p w14:paraId="65302898"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104</w:t>
            </w:r>
          </w:p>
        </w:tc>
        <w:tc>
          <w:tcPr>
            <w:tcW w:w="1985" w:type="dxa"/>
            <w:shd w:val="clear" w:color="auto" w:fill="auto"/>
            <w:noWrap/>
            <w:vAlign w:val="center"/>
            <w:hideMark/>
          </w:tcPr>
          <w:p w14:paraId="03922C5C"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13.39 ± 0.70</w:t>
            </w:r>
          </w:p>
        </w:tc>
        <w:tc>
          <w:tcPr>
            <w:tcW w:w="236" w:type="dxa"/>
            <w:shd w:val="clear" w:color="auto" w:fill="auto"/>
            <w:noWrap/>
            <w:vAlign w:val="center"/>
          </w:tcPr>
          <w:p w14:paraId="19BC706F"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p>
        </w:tc>
        <w:tc>
          <w:tcPr>
            <w:tcW w:w="614" w:type="dxa"/>
            <w:vAlign w:val="center"/>
          </w:tcPr>
          <w:p w14:paraId="6D320FD7"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48</w:t>
            </w:r>
          </w:p>
        </w:tc>
        <w:tc>
          <w:tcPr>
            <w:tcW w:w="2268" w:type="dxa"/>
            <w:shd w:val="clear" w:color="auto" w:fill="auto"/>
            <w:noWrap/>
            <w:vAlign w:val="center"/>
            <w:hideMark/>
          </w:tcPr>
          <w:p w14:paraId="349689D1"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11.46 ± 1.32</w:t>
            </w:r>
          </w:p>
        </w:tc>
        <w:tc>
          <w:tcPr>
            <w:tcW w:w="941" w:type="dxa"/>
            <w:shd w:val="clear" w:color="auto" w:fill="auto"/>
            <w:noWrap/>
            <w:vAlign w:val="center"/>
            <w:hideMark/>
          </w:tcPr>
          <w:p w14:paraId="0E31E12F"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&lt;0.001</w:t>
            </w:r>
          </w:p>
        </w:tc>
      </w:tr>
      <w:tr w:rsidR="00154232" w:rsidRPr="00004558" w14:paraId="4D50C5F3" w14:textId="77777777" w:rsidTr="00EF17EB">
        <w:trPr>
          <w:trHeight w:val="300"/>
        </w:trPr>
        <w:tc>
          <w:tcPr>
            <w:tcW w:w="279" w:type="dxa"/>
            <w:shd w:val="clear" w:color="auto" w:fill="auto"/>
            <w:noWrap/>
            <w:vAlign w:val="center"/>
            <w:hideMark/>
          </w:tcPr>
          <w:p w14:paraId="36D14182"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p>
        </w:tc>
        <w:tc>
          <w:tcPr>
            <w:tcW w:w="2310" w:type="dxa"/>
            <w:gridSpan w:val="2"/>
            <w:shd w:val="clear" w:color="auto" w:fill="auto"/>
            <w:noWrap/>
            <w:vAlign w:val="center"/>
            <w:hideMark/>
          </w:tcPr>
          <w:p w14:paraId="14CAE541" w14:textId="77777777" w:rsidR="00154232" w:rsidRPr="00004558" w:rsidRDefault="00154232" w:rsidP="00154232">
            <w:pPr>
              <w:spacing w:after="0" w:line="240" w:lineRule="auto"/>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MCV, fL</w:t>
            </w:r>
          </w:p>
        </w:tc>
        <w:tc>
          <w:tcPr>
            <w:tcW w:w="567" w:type="dxa"/>
            <w:vAlign w:val="center"/>
          </w:tcPr>
          <w:p w14:paraId="46C9BDF6"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104</w:t>
            </w:r>
          </w:p>
        </w:tc>
        <w:tc>
          <w:tcPr>
            <w:tcW w:w="1985" w:type="dxa"/>
            <w:shd w:val="clear" w:color="auto" w:fill="auto"/>
            <w:noWrap/>
            <w:vAlign w:val="center"/>
            <w:hideMark/>
          </w:tcPr>
          <w:p w14:paraId="44896DEB"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86.01 ± 3.47</w:t>
            </w:r>
          </w:p>
        </w:tc>
        <w:tc>
          <w:tcPr>
            <w:tcW w:w="236" w:type="dxa"/>
            <w:shd w:val="clear" w:color="auto" w:fill="auto"/>
            <w:noWrap/>
            <w:vAlign w:val="center"/>
          </w:tcPr>
          <w:p w14:paraId="674AAB42"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p>
        </w:tc>
        <w:tc>
          <w:tcPr>
            <w:tcW w:w="614" w:type="dxa"/>
            <w:vAlign w:val="center"/>
          </w:tcPr>
          <w:p w14:paraId="3698E97B"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48</w:t>
            </w:r>
          </w:p>
        </w:tc>
        <w:tc>
          <w:tcPr>
            <w:tcW w:w="2268" w:type="dxa"/>
            <w:shd w:val="clear" w:color="auto" w:fill="auto"/>
            <w:noWrap/>
            <w:vAlign w:val="center"/>
            <w:hideMark/>
          </w:tcPr>
          <w:p w14:paraId="2341D9BE"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75.43 ± 6.49</w:t>
            </w:r>
          </w:p>
        </w:tc>
        <w:tc>
          <w:tcPr>
            <w:tcW w:w="941" w:type="dxa"/>
            <w:shd w:val="clear" w:color="auto" w:fill="auto"/>
            <w:noWrap/>
            <w:vAlign w:val="center"/>
            <w:hideMark/>
          </w:tcPr>
          <w:p w14:paraId="304B217F"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&lt;0.001</w:t>
            </w:r>
          </w:p>
        </w:tc>
      </w:tr>
      <w:tr w:rsidR="00154232" w:rsidRPr="00004558" w14:paraId="2478DDF6" w14:textId="77777777" w:rsidTr="00EF17EB">
        <w:trPr>
          <w:trHeight w:val="300"/>
        </w:trPr>
        <w:tc>
          <w:tcPr>
            <w:tcW w:w="279" w:type="dxa"/>
            <w:shd w:val="clear" w:color="auto" w:fill="auto"/>
            <w:noWrap/>
            <w:vAlign w:val="center"/>
            <w:hideMark/>
          </w:tcPr>
          <w:p w14:paraId="2EC6D9B0"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p>
        </w:tc>
        <w:tc>
          <w:tcPr>
            <w:tcW w:w="2310" w:type="dxa"/>
            <w:gridSpan w:val="2"/>
            <w:shd w:val="clear" w:color="auto" w:fill="auto"/>
            <w:noWrap/>
            <w:vAlign w:val="center"/>
            <w:hideMark/>
          </w:tcPr>
          <w:p w14:paraId="1D9A09AF" w14:textId="77777777" w:rsidR="00154232" w:rsidRPr="00004558" w:rsidRDefault="00154232" w:rsidP="00154232">
            <w:pPr>
              <w:spacing w:after="0" w:line="240" w:lineRule="auto"/>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RBC count, x10</w:t>
            </w:r>
            <w:r w:rsidRPr="00004558">
              <w:rPr>
                <w:rFonts w:ascii="Times New Roman" w:eastAsia="Times New Roman" w:hAnsi="Times New Roman"/>
                <w:color w:val="000000"/>
                <w:sz w:val="20"/>
                <w:szCs w:val="20"/>
                <w:vertAlign w:val="superscript"/>
                <w:lang w:val="en-GB"/>
              </w:rPr>
              <w:t>6</w:t>
            </w:r>
            <w:r w:rsidRPr="00004558">
              <w:rPr>
                <w:rFonts w:ascii="Times New Roman" w:eastAsia="Times New Roman" w:hAnsi="Times New Roman"/>
                <w:color w:val="000000"/>
                <w:sz w:val="20"/>
                <w:szCs w:val="20"/>
                <w:lang w:val="en-GB"/>
              </w:rPr>
              <w:t>µL</w:t>
            </w:r>
            <w:r w:rsidRPr="00004558">
              <w:rPr>
                <w:rFonts w:ascii="Times New Roman" w:eastAsia="Times New Roman" w:hAnsi="Times New Roman"/>
                <w:color w:val="000000"/>
                <w:sz w:val="20"/>
                <w:szCs w:val="20"/>
                <w:vertAlign w:val="superscript"/>
                <w:lang w:val="en-GB"/>
              </w:rPr>
              <w:t>-1</w:t>
            </w:r>
          </w:p>
        </w:tc>
        <w:tc>
          <w:tcPr>
            <w:tcW w:w="567" w:type="dxa"/>
            <w:vAlign w:val="center"/>
          </w:tcPr>
          <w:p w14:paraId="397242C2"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104</w:t>
            </w:r>
          </w:p>
        </w:tc>
        <w:tc>
          <w:tcPr>
            <w:tcW w:w="1985" w:type="dxa"/>
            <w:shd w:val="clear" w:color="auto" w:fill="auto"/>
            <w:noWrap/>
            <w:vAlign w:val="center"/>
            <w:hideMark/>
          </w:tcPr>
          <w:p w14:paraId="6F77F18D"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4.70 ± 0.28</w:t>
            </w:r>
          </w:p>
        </w:tc>
        <w:tc>
          <w:tcPr>
            <w:tcW w:w="236" w:type="dxa"/>
            <w:shd w:val="clear" w:color="auto" w:fill="auto"/>
            <w:noWrap/>
            <w:vAlign w:val="center"/>
          </w:tcPr>
          <w:p w14:paraId="677AAFB2"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p>
        </w:tc>
        <w:tc>
          <w:tcPr>
            <w:tcW w:w="614" w:type="dxa"/>
            <w:vAlign w:val="center"/>
          </w:tcPr>
          <w:p w14:paraId="68B33B12"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48</w:t>
            </w:r>
          </w:p>
        </w:tc>
        <w:tc>
          <w:tcPr>
            <w:tcW w:w="2268" w:type="dxa"/>
            <w:shd w:val="clear" w:color="auto" w:fill="auto"/>
            <w:noWrap/>
            <w:vAlign w:val="center"/>
            <w:hideMark/>
          </w:tcPr>
          <w:p w14:paraId="3EEE0199"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4.77 ± 0.49</w:t>
            </w:r>
          </w:p>
        </w:tc>
        <w:tc>
          <w:tcPr>
            <w:tcW w:w="941" w:type="dxa"/>
            <w:shd w:val="clear" w:color="auto" w:fill="auto"/>
            <w:noWrap/>
            <w:vAlign w:val="center"/>
            <w:hideMark/>
          </w:tcPr>
          <w:p w14:paraId="4BC01F2D"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0.375</w:t>
            </w:r>
          </w:p>
        </w:tc>
      </w:tr>
      <w:tr w:rsidR="00154232" w:rsidRPr="00004558" w14:paraId="7066B8E7" w14:textId="77777777" w:rsidTr="00EF17EB">
        <w:trPr>
          <w:trHeight w:val="300"/>
        </w:trPr>
        <w:tc>
          <w:tcPr>
            <w:tcW w:w="279" w:type="dxa"/>
            <w:shd w:val="clear" w:color="auto" w:fill="auto"/>
            <w:noWrap/>
            <w:vAlign w:val="center"/>
            <w:hideMark/>
          </w:tcPr>
          <w:p w14:paraId="4BE7ED53"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p>
        </w:tc>
        <w:tc>
          <w:tcPr>
            <w:tcW w:w="2310" w:type="dxa"/>
            <w:gridSpan w:val="2"/>
            <w:shd w:val="clear" w:color="auto" w:fill="auto"/>
            <w:noWrap/>
            <w:vAlign w:val="center"/>
            <w:hideMark/>
          </w:tcPr>
          <w:p w14:paraId="1B886385" w14:textId="77777777" w:rsidR="00154232" w:rsidRPr="00004558" w:rsidRDefault="00154232" w:rsidP="00154232">
            <w:pPr>
              <w:spacing w:after="0" w:line="240" w:lineRule="auto"/>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Mentzer Index</w:t>
            </w:r>
          </w:p>
        </w:tc>
        <w:tc>
          <w:tcPr>
            <w:tcW w:w="567" w:type="dxa"/>
            <w:vAlign w:val="center"/>
          </w:tcPr>
          <w:p w14:paraId="5A5E9B0A"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104</w:t>
            </w:r>
          </w:p>
        </w:tc>
        <w:tc>
          <w:tcPr>
            <w:tcW w:w="1985" w:type="dxa"/>
            <w:shd w:val="clear" w:color="auto" w:fill="auto"/>
            <w:noWrap/>
            <w:vAlign w:val="center"/>
            <w:hideMark/>
          </w:tcPr>
          <w:p w14:paraId="7A6EB189"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18.39 ± 1.63</w:t>
            </w:r>
          </w:p>
        </w:tc>
        <w:tc>
          <w:tcPr>
            <w:tcW w:w="236" w:type="dxa"/>
            <w:shd w:val="clear" w:color="auto" w:fill="auto"/>
            <w:noWrap/>
            <w:vAlign w:val="center"/>
          </w:tcPr>
          <w:p w14:paraId="039DCBFC"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p>
        </w:tc>
        <w:tc>
          <w:tcPr>
            <w:tcW w:w="614" w:type="dxa"/>
            <w:vAlign w:val="center"/>
          </w:tcPr>
          <w:p w14:paraId="57A735B9"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48</w:t>
            </w:r>
          </w:p>
        </w:tc>
        <w:tc>
          <w:tcPr>
            <w:tcW w:w="2268" w:type="dxa"/>
            <w:shd w:val="clear" w:color="auto" w:fill="auto"/>
            <w:noWrap/>
            <w:vAlign w:val="center"/>
            <w:hideMark/>
          </w:tcPr>
          <w:p w14:paraId="44C4D65E"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16.05 ± 2.66</w:t>
            </w:r>
          </w:p>
        </w:tc>
        <w:tc>
          <w:tcPr>
            <w:tcW w:w="941" w:type="dxa"/>
            <w:shd w:val="clear" w:color="auto" w:fill="auto"/>
            <w:noWrap/>
            <w:vAlign w:val="center"/>
            <w:hideMark/>
          </w:tcPr>
          <w:p w14:paraId="4E60BE06"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&lt;0.001</w:t>
            </w:r>
          </w:p>
        </w:tc>
      </w:tr>
      <w:tr w:rsidR="00154232" w:rsidRPr="00004558" w14:paraId="6D25CFEB" w14:textId="77777777" w:rsidTr="00EF17EB">
        <w:trPr>
          <w:trHeight w:val="300"/>
        </w:trPr>
        <w:tc>
          <w:tcPr>
            <w:tcW w:w="279" w:type="dxa"/>
            <w:shd w:val="clear" w:color="auto" w:fill="auto"/>
            <w:noWrap/>
            <w:vAlign w:val="center"/>
            <w:hideMark/>
          </w:tcPr>
          <w:p w14:paraId="2FD0761F"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p>
        </w:tc>
        <w:tc>
          <w:tcPr>
            <w:tcW w:w="328" w:type="dxa"/>
            <w:shd w:val="clear" w:color="auto" w:fill="auto"/>
            <w:noWrap/>
            <w:vAlign w:val="center"/>
            <w:hideMark/>
          </w:tcPr>
          <w:p w14:paraId="6B505502" w14:textId="77777777" w:rsidR="00154232" w:rsidRPr="00004558" w:rsidRDefault="00154232" w:rsidP="00154232">
            <w:pPr>
              <w:spacing w:after="0" w:line="240" w:lineRule="auto"/>
              <w:rPr>
                <w:rFonts w:ascii="Times New Roman" w:eastAsia="Times New Roman" w:hAnsi="Times New Roman"/>
                <w:sz w:val="20"/>
                <w:szCs w:val="20"/>
                <w:lang w:val="en-GB"/>
              </w:rPr>
            </w:pPr>
          </w:p>
        </w:tc>
        <w:tc>
          <w:tcPr>
            <w:tcW w:w="1982" w:type="dxa"/>
            <w:shd w:val="clear" w:color="auto" w:fill="auto"/>
            <w:noWrap/>
            <w:vAlign w:val="center"/>
            <w:hideMark/>
          </w:tcPr>
          <w:p w14:paraId="03DA0E17" w14:textId="77777777" w:rsidR="00154232" w:rsidRPr="00004558" w:rsidRDefault="00154232" w:rsidP="00154232">
            <w:pPr>
              <w:spacing w:after="0" w:line="240" w:lineRule="auto"/>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Beta thalassaemia</w:t>
            </w:r>
          </w:p>
        </w:tc>
        <w:tc>
          <w:tcPr>
            <w:tcW w:w="567" w:type="dxa"/>
            <w:vAlign w:val="center"/>
          </w:tcPr>
          <w:p w14:paraId="5F5B2C3F"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w:t>
            </w:r>
          </w:p>
        </w:tc>
        <w:tc>
          <w:tcPr>
            <w:tcW w:w="1985" w:type="dxa"/>
            <w:shd w:val="clear" w:color="auto" w:fill="auto"/>
            <w:noWrap/>
            <w:vAlign w:val="center"/>
          </w:tcPr>
          <w:p w14:paraId="47BD46F3"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w:t>
            </w:r>
          </w:p>
        </w:tc>
        <w:tc>
          <w:tcPr>
            <w:tcW w:w="236" w:type="dxa"/>
            <w:shd w:val="clear" w:color="auto" w:fill="auto"/>
            <w:noWrap/>
            <w:vAlign w:val="center"/>
          </w:tcPr>
          <w:p w14:paraId="4357BEDB"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p>
        </w:tc>
        <w:tc>
          <w:tcPr>
            <w:tcW w:w="614" w:type="dxa"/>
            <w:vAlign w:val="center"/>
          </w:tcPr>
          <w:p w14:paraId="1841A496"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5</w:t>
            </w:r>
          </w:p>
        </w:tc>
        <w:tc>
          <w:tcPr>
            <w:tcW w:w="2268" w:type="dxa"/>
            <w:shd w:val="clear" w:color="auto" w:fill="auto"/>
            <w:noWrap/>
            <w:vAlign w:val="center"/>
            <w:hideMark/>
          </w:tcPr>
          <w:p w14:paraId="2953DDD8" w14:textId="29579875"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10.4</w:t>
            </w:r>
          </w:p>
        </w:tc>
        <w:tc>
          <w:tcPr>
            <w:tcW w:w="941" w:type="dxa"/>
            <w:shd w:val="clear" w:color="auto" w:fill="auto"/>
            <w:noWrap/>
            <w:vAlign w:val="center"/>
            <w:hideMark/>
          </w:tcPr>
          <w:p w14:paraId="117268A9"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p>
        </w:tc>
      </w:tr>
      <w:tr w:rsidR="00154232" w:rsidRPr="00004558" w14:paraId="49844787" w14:textId="77777777" w:rsidTr="00EF17EB">
        <w:trPr>
          <w:trHeight w:val="300"/>
        </w:trPr>
        <w:tc>
          <w:tcPr>
            <w:tcW w:w="279" w:type="dxa"/>
            <w:tcBorders>
              <w:bottom w:val="single" w:sz="4" w:space="0" w:color="auto"/>
            </w:tcBorders>
            <w:shd w:val="clear" w:color="auto" w:fill="auto"/>
            <w:noWrap/>
            <w:vAlign w:val="center"/>
            <w:hideMark/>
          </w:tcPr>
          <w:p w14:paraId="5EA650DF"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p>
        </w:tc>
        <w:tc>
          <w:tcPr>
            <w:tcW w:w="328" w:type="dxa"/>
            <w:tcBorders>
              <w:bottom w:val="single" w:sz="4" w:space="0" w:color="auto"/>
            </w:tcBorders>
            <w:shd w:val="clear" w:color="auto" w:fill="auto"/>
            <w:noWrap/>
            <w:vAlign w:val="center"/>
            <w:hideMark/>
          </w:tcPr>
          <w:p w14:paraId="2D79676F" w14:textId="77777777" w:rsidR="00154232" w:rsidRPr="00004558" w:rsidRDefault="00154232" w:rsidP="00154232">
            <w:pPr>
              <w:spacing w:after="0" w:line="240" w:lineRule="auto"/>
              <w:rPr>
                <w:rFonts w:ascii="Times New Roman" w:eastAsia="Times New Roman" w:hAnsi="Times New Roman"/>
                <w:sz w:val="20"/>
                <w:szCs w:val="20"/>
                <w:lang w:val="en-GB"/>
              </w:rPr>
            </w:pPr>
          </w:p>
        </w:tc>
        <w:tc>
          <w:tcPr>
            <w:tcW w:w="1982" w:type="dxa"/>
            <w:tcBorders>
              <w:bottom w:val="single" w:sz="4" w:space="0" w:color="auto"/>
            </w:tcBorders>
            <w:shd w:val="clear" w:color="auto" w:fill="auto"/>
            <w:noWrap/>
            <w:vAlign w:val="center"/>
            <w:hideMark/>
          </w:tcPr>
          <w:p w14:paraId="2581E0CC" w14:textId="77777777" w:rsidR="00154232" w:rsidRPr="00004558" w:rsidRDefault="00154232" w:rsidP="00154232">
            <w:pPr>
              <w:spacing w:after="0" w:line="240" w:lineRule="auto"/>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IDA</w:t>
            </w:r>
          </w:p>
        </w:tc>
        <w:tc>
          <w:tcPr>
            <w:tcW w:w="567" w:type="dxa"/>
            <w:tcBorders>
              <w:bottom w:val="single" w:sz="4" w:space="0" w:color="auto"/>
            </w:tcBorders>
            <w:vAlign w:val="center"/>
          </w:tcPr>
          <w:p w14:paraId="0299B2ED"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w:t>
            </w:r>
          </w:p>
        </w:tc>
        <w:tc>
          <w:tcPr>
            <w:tcW w:w="1985" w:type="dxa"/>
            <w:tcBorders>
              <w:bottom w:val="single" w:sz="4" w:space="0" w:color="auto"/>
            </w:tcBorders>
            <w:shd w:val="clear" w:color="auto" w:fill="auto"/>
            <w:noWrap/>
            <w:vAlign w:val="center"/>
          </w:tcPr>
          <w:p w14:paraId="5D71E624"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w:t>
            </w:r>
          </w:p>
        </w:tc>
        <w:tc>
          <w:tcPr>
            <w:tcW w:w="236" w:type="dxa"/>
            <w:tcBorders>
              <w:bottom w:val="single" w:sz="4" w:space="0" w:color="auto"/>
            </w:tcBorders>
            <w:shd w:val="clear" w:color="auto" w:fill="auto"/>
            <w:noWrap/>
            <w:vAlign w:val="center"/>
          </w:tcPr>
          <w:p w14:paraId="7596EE2F"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p>
        </w:tc>
        <w:tc>
          <w:tcPr>
            <w:tcW w:w="614" w:type="dxa"/>
            <w:tcBorders>
              <w:bottom w:val="single" w:sz="4" w:space="0" w:color="auto"/>
            </w:tcBorders>
            <w:vAlign w:val="center"/>
          </w:tcPr>
          <w:p w14:paraId="3A3C82A0"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43</w:t>
            </w:r>
          </w:p>
        </w:tc>
        <w:tc>
          <w:tcPr>
            <w:tcW w:w="2268" w:type="dxa"/>
            <w:tcBorders>
              <w:bottom w:val="single" w:sz="4" w:space="0" w:color="auto"/>
            </w:tcBorders>
            <w:shd w:val="clear" w:color="auto" w:fill="auto"/>
            <w:noWrap/>
            <w:vAlign w:val="center"/>
            <w:hideMark/>
          </w:tcPr>
          <w:p w14:paraId="3E6C1036" w14:textId="00B69342"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89.6</w:t>
            </w:r>
          </w:p>
        </w:tc>
        <w:tc>
          <w:tcPr>
            <w:tcW w:w="941" w:type="dxa"/>
            <w:tcBorders>
              <w:bottom w:val="single" w:sz="4" w:space="0" w:color="auto"/>
            </w:tcBorders>
            <w:shd w:val="clear" w:color="auto" w:fill="auto"/>
            <w:noWrap/>
            <w:vAlign w:val="center"/>
            <w:hideMark/>
          </w:tcPr>
          <w:p w14:paraId="52B6CA86"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p>
        </w:tc>
      </w:tr>
      <w:tr w:rsidR="00154232" w:rsidRPr="00004558" w14:paraId="44492B50" w14:textId="77777777" w:rsidTr="00EF17EB">
        <w:trPr>
          <w:trHeight w:val="300"/>
        </w:trPr>
        <w:tc>
          <w:tcPr>
            <w:tcW w:w="2589" w:type="dxa"/>
            <w:gridSpan w:val="3"/>
            <w:tcBorders>
              <w:top w:val="single" w:sz="4" w:space="0" w:color="auto"/>
              <w:bottom w:val="single" w:sz="4" w:space="0" w:color="auto"/>
            </w:tcBorders>
            <w:shd w:val="clear" w:color="auto" w:fill="auto"/>
            <w:noWrap/>
            <w:vAlign w:val="center"/>
            <w:hideMark/>
          </w:tcPr>
          <w:p w14:paraId="72B8DF81" w14:textId="77777777" w:rsidR="00154232" w:rsidRPr="00004558" w:rsidRDefault="00154232" w:rsidP="00154232">
            <w:pPr>
              <w:spacing w:after="0" w:line="240" w:lineRule="auto"/>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Indian</w:t>
            </w:r>
          </w:p>
        </w:tc>
        <w:tc>
          <w:tcPr>
            <w:tcW w:w="567" w:type="dxa"/>
            <w:tcBorders>
              <w:top w:val="single" w:sz="4" w:space="0" w:color="auto"/>
              <w:bottom w:val="single" w:sz="4" w:space="0" w:color="auto"/>
            </w:tcBorders>
            <w:vAlign w:val="center"/>
          </w:tcPr>
          <w:p w14:paraId="3963536C" w14:textId="77777777" w:rsidR="00154232" w:rsidRPr="00004558" w:rsidRDefault="00154232" w:rsidP="00154232">
            <w:pPr>
              <w:spacing w:after="0" w:line="240" w:lineRule="auto"/>
              <w:jc w:val="center"/>
              <w:rPr>
                <w:rFonts w:ascii="Times New Roman" w:eastAsia="Times New Roman" w:hAnsi="Times New Roman"/>
                <w:sz w:val="20"/>
                <w:szCs w:val="20"/>
                <w:lang w:val="en-GB"/>
              </w:rPr>
            </w:pPr>
          </w:p>
        </w:tc>
        <w:tc>
          <w:tcPr>
            <w:tcW w:w="1985" w:type="dxa"/>
            <w:tcBorders>
              <w:top w:val="single" w:sz="4" w:space="0" w:color="auto"/>
              <w:bottom w:val="single" w:sz="4" w:space="0" w:color="auto"/>
            </w:tcBorders>
            <w:shd w:val="clear" w:color="auto" w:fill="auto"/>
            <w:noWrap/>
            <w:vAlign w:val="center"/>
            <w:hideMark/>
          </w:tcPr>
          <w:p w14:paraId="32841DF1" w14:textId="77777777" w:rsidR="00154232" w:rsidRPr="00004558" w:rsidRDefault="00154232" w:rsidP="00154232">
            <w:pPr>
              <w:spacing w:after="0" w:line="240" w:lineRule="auto"/>
              <w:jc w:val="center"/>
              <w:rPr>
                <w:rFonts w:ascii="Times New Roman" w:eastAsia="Times New Roman" w:hAnsi="Times New Roman"/>
                <w:sz w:val="20"/>
                <w:szCs w:val="20"/>
                <w:lang w:val="en-GB"/>
              </w:rPr>
            </w:pPr>
          </w:p>
        </w:tc>
        <w:tc>
          <w:tcPr>
            <w:tcW w:w="236" w:type="dxa"/>
            <w:tcBorders>
              <w:top w:val="single" w:sz="4" w:space="0" w:color="auto"/>
              <w:bottom w:val="single" w:sz="4" w:space="0" w:color="auto"/>
            </w:tcBorders>
            <w:shd w:val="clear" w:color="auto" w:fill="auto"/>
            <w:noWrap/>
            <w:vAlign w:val="center"/>
          </w:tcPr>
          <w:p w14:paraId="117D79E0" w14:textId="77777777" w:rsidR="00154232" w:rsidRPr="00004558" w:rsidRDefault="00154232" w:rsidP="00154232">
            <w:pPr>
              <w:spacing w:after="0" w:line="240" w:lineRule="auto"/>
              <w:jc w:val="center"/>
              <w:rPr>
                <w:rFonts w:ascii="Times New Roman" w:eastAsia="Times New Roman" w:hAnsi="Times New Roman"/>
                <w:sz w:val="20"/>
                <w:szCs w:val="20"/>
                <w:lang w:val="en-GB"/>
              </w:rPr>
            </w:pPr>
          </w:p>
        </w:tc>
        <w:tc>
          <w:tcPr>
            <w:tcW w:w="614" w:type="dxa"/>
            <w:tcBorders>
              <w:top w:val="single" w:sz="4" w:space="0" w:color="auto"/>
              <w:bottom w:val="single" w:sz="4" w:space="0" w:color="auto"/>
            </w:tcBorders>
            <w:vAlign w:val="center"/>
          </w:tcPr>
          <w:p w14:paraId="15B93941" w14:textId="77777777" w:rsidR="00154232" w:rsidRPr="00004558" w:rsidRDefault="00154232" w:rsidP="00154232">
            <w:pPr>
              <w:spacing w:after="0" w:line="240" w:lineRule="auto"/>
              <w:jc w:val="center"/>
              <w:rPr>
                <w:rFonts w:ascii="Times New Roman" w:eastAsia="Times New Roman" w:hAnsi="Times New Roman"/>
                <w:sz w:val="20"/>
                <w:szCs w:val="20"/>
                <w:lang w:val="en-GB"/>
              </w:rPr>
            </w:pPr>
          </w:p>
        </w:tc>
        <w:tc>
          <w:tcPr>
            <w:tcW w:w="2268" w:type="dxa"/>
            <w:tcBorders>
              <w:top w:val="single" w:sz="4" w:space="0" w:color="auto"/>
              <w:bottom w:val="single" w:sz="4" w:space="0" w:color="auto"/>
            </w:tcBorders>
            <w:shd w:val="clear" w:color="auto" w:fill="auto"/>
            <w:noWrap/>
            <w:vAlign w:val="center"/>
            <w:hideMark/>
          </w:tcPr>
          <w:p w14:paraId="7DD632E6" w14:textId="77777777" w:rsidR="00154232" w:rsidRPr="00004558" w:rsidRDefault="00154232" w:rsidP="00154232">
            <w:pPr>
              <w:spacing w:after="0" w:line="240" w:lineRule="auto"/>
              <w:jc w:val="center"/>
              <w:rPr>
                <w:rFonts w:ascii="Times New Roman" w:eastAsia="Times New Roman" w:hAnsi="Times New Roman"/>
                <w:sz w:val="20"/>
                <w:szCs w:val="20"/>
                <w:lang w:val="en-GB"/>
              </w:rPr>
            </w:pPr>
          </w:p>
        </w:tc>
        <w:tc>
          <w:tcPr>
            <w:tcW w:w="941" w:type="dxa"/>
            <w:tcBorders>
              <w:top w:val="single" w:sz="4" w:space="0" w:color="auto"/>
              <w:bottom w:val="single" w:sz="4" w:space="0" w:color="auto"/>
            </w:tcBorders>
            <w:shd w:val="clear" w:color="auto" w:fill="auto"/>
            <w:noWrap/>
            <w:vAlign w:val="center"/>
            <w:hideMark/>
          </w:tcPr>
          <w:p w14:paraId="1D6B9BEA" w14:textId="77777777" w:rsidR="00154232" w:rsidRPr="00004558" w:rsidRDefault="00154232" w:rsidP="00154232">
            <w:pPr>
              <w:spacing w:after="0" w:line="240" w:lineRule="auto"/>
              <w:jc w:val="center"/>
              <w:rPr>
                <w:rFonts w:ascii="Times New Roman" w:eastAsia="Times New Roman" w:hAnsi="Times New Roman"/>
                <w:sz w:val="20"/>
                <w:szCs w:val="20"/>
                <w:lang w:val="en-GB"/>
              </w:rPr>
            </w:pPr>
          </w:p>
        </w:tc>
      </w:tr>
      <w:tr w:rsidR="00154232" w:rsidRPr="00004558" w14:paraId="51F78A17" w14:textId="77777777" w:rsidTr="00883711">
        <w:trPr>
          <w:trHeight w:val="300"/>
        </w:trPr>
        <w:tc>
          <w:tcPr>
            <w:tcW w:w="279" w:type="dxa"/>
            <w:tcBorders>
              <w:top w:val="single" w:sz="4" w:space="0" w:color="auto"/>
            </w:tcBorders>
            <w:shd w:val="clear" w:color="auto" w:fill="auto"/>
            <w:noWrap/>
            <w:vAlign w:val="center"/>
          </w:tcPr>
          <w:p w14:paraId="4D68CC33" w14:textId="77777777" w:rsidR="00154232" w:rsidRPr="00004558" w:rsidRDefault="00154232" w:rsidP="00154232">
            <w:pPr>
              <w:spacing w:after="0" w:line="240" w:lineRule="auto"/>
              <w:jc w:val="center"/>
              <w:rPr>
                <w:rFonts w:ascii="Times New Roman" w:eastAsia="Times New Roman" w:hAnsi="Times New Roman"/>
                <w:sz w:val="20"/>
                <w:szCs w:val="20"/>
                <w:lang w:val="en-GB"/>
              </w:rPr>
            </w:pPr>
          </w:p>
        </w:tc>
        <w:tc>
          <w:tcPr>
            <w:tcW w:w="2310" w:type="dxa"/>
            <w:gridSpan w:val="2"/>
            <w:tcBorders>
              <w:top w:val="single" w:sz="4" w:space="0" w:color="auto"/>
            </w:tcBorders>
            <w:shd w:val="clear" w:color="auto" w:fill="auto"/>
            <w:noWrap/>
            <w:vAlign w:val="center"/>
          </w:tcPr>
          <w:p w14:paraId="486E9A37" w14:textId="2151989E" w:rsidR="00154232" w:rsidRPr="00004558" w:rsidRDefault="00154232" w:rsidP="00154232">
            <w:pPr>
              <w:spacing w:after="0" w:line="240" w:lineRule="auto"/>
              <w:rPr>
                <w:rFonts w:ascii="Times New Roman" w:eastAsia="Times New Roman" w:hAnsi="Times New Roman"/>
                <w:color w:val="000000"/>
                <w:sz w:val="20"/>
                <w:szCs w:val="20"/>
                <w:lang w:val="en-GB"/>
              </w:rPr>
            </w:pPr>
            <w:r w:rsidRPr="00004558">
              <w:rPr>
                <w:rFonts w:ascii="Times New Roman" w:hAnsi="Times New Roman"/>
                <w:sz w:val="20"/>
                <w:szCs w:val="20"/>
                <w:lang w:val="en-GB"/>
              </w:rPr>
              <w:t>Dysglycaemia</w:t>
            </w:r>
          </w:p>
        </w:tc>
        <w:tc>
          <w:tcPr>
            <w:tcW w:w="567" w:type="dxa"/>
            <w:tcBorders>
              <w:top w:val="single" w:sz="4" w:space="0" w:color="auto"/>
            </w:tcBorders>
            <w:vAlign w:val="center"/>
          </w:tcPr>
          <w:p w14:paraId="561F1A14"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p>
        </w:tc>
        <w:tc>
          <w:tcPr>
            <w:tcW w:w="1985" w:type="dxa"/>
            <w:tcBorders>
              <w:top w:val="single" w:sz="4" w:space="0" w:color="auto"/>
            </w:tcBorders>
            <w:shd w:val="clear" w:color="auto" w:fill="auto"/>
            <w:noWrap/>
            <w:vAlign w:val="center"/>
          </w:tcPr>
          <w:p w14:paraId="023852E7"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p>
        </w:tc>
        <w:tc>
          <w:tcPr>
            <w:tcW w:w="236" w:type="dxa"/>
            <w:tcBorders>
              <w:top w:val="single" w:sz="4" w:space="0" w:color="auto"/>
            </w:tcBorders>
            <w:shd w:val="clear" w:color="auto" w:fill="auto"/>
            <w:noWrap/>
            <w:vAlign w:val="center"/>
          </w:tcPr>
          <w:p w14:paraId="45D10F08"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p>
        </w:tc>
        <w:tc>
          <w:tcPr>
            <w:tcW w:w="614" w:type="dxa"/>
            <w:tcBorders>
              <w:top w:val="single" w:sz="4" w:space="0" w:color="auto"/>
            </w:tcBorders>
            <w:vAlign w:val="center"/>
          </w:tcPr>
          <w:p w14:paraId="003A78B5"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p>
        </w:tc>
        <w:tc>
          <w:tcPr>
            <w:tcW w:w="2268" w:type="dxa"/>
            <w:tcBorders>
              <w:top w:val="single" w:sz="4" w:space="0" w:color="auto"/>
            </w:tcBorders>
            <w:shd w:val="clear" w:color="auto" w:fill="auto"/>
            <w:noWrap/>
            <w:vAlign w:val="center"/>
          </w:tcPr>
          <w:p w14:paraId="5E357737" w14:textId="77777777" w:rsidR="00154232" w:rsidRPr="00004558" w:rsidRDefault="00154232" w:rsidP="00154232">
            <w:pPr>
              <w:spacing w:after="0" w:line="240" w:lineRule="auto"/>
              <w:jc w:val="center"/>
              <w:rPr>
                <w:rFonts w:ascii="Times New Roman" w:eastAsia="Times New Roman" w:hAnsi="Times New Roman"/>
                <w:color w:val="000000"/>
                <w:sz w:val="20"/>
                <w:szCs w:val="20"/>
                <w:lang w:val="en-GB"/>
              </w:rPr>
            </w:pPr>
          </w:p>
        </w:tc>
        <w:tc>
          <w:tcPr>
            <w:tcW w:w="941" w:type="dxa"/>
            <w:tcBorders>
              <w:top w:val="single" w:sz="4" w:space="0" w:color="auto"/>
            </w:tcBorders>
            <w:shd w:val="clear" w:color="auto" w:fill="auto"/>
            <w:noWrap/>
            <w:vAlign w:val="center"/>
          </w:tcPr>
          <w:p w14:paraId="442B736A" w14:textId="08707471" w:rsidR="00154232" w:rsidRPr="00004558" w:rsidRDefault="00B01B09" w:rsidP="00154232">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0.525</w:t>
            </w:r>
          </w:p>
        </w:tc>
      </w:tr>
      <w:tr w:rsidR="00883711" w:rsidRPr="00004558" w14:paraId="17EF754C" w14:textId="77777777" w:rsidTr="00883711">
        <w:trPr>
          <w:trHeight w:val="300"/>
        </w:trPr>
        <w:tc>
          <w:tcPr>
            <w:tcW w:w="279" w:type="dxa"/>
            <w:shd w:val="clear" w:color="auto" w:fill="auto"/>
            <w:noWrap/>
            <w:vAlign w:val="center"/>
          </w:tcPr>
          <w:p w14:paraId="327534B2" w14:textId="77777777" w:rsidR="00883711" w:rsidRPr="00004558" w:rsidRDefault="00883711" w:rsidP="00883711">
            <w:pPr>
              <w:spacing w:after="0" w:line="240" w:lineRule="auto"/>
              <w:jc w:val="center"/>
              <w:rPr>
                <w:rFonts w:ascii="Times New Roman" w:eastAsia="Times New Roman" w:hAnsi="Times New Roman"/>
                <w:sz w:val="20"/>
                <w:szCs w:val="20"/>
                <w:lang w:val="en-GB"/>
              </w:rPr>
            </w:pPr>
          </w:p>
        </w:tc>
        <w:tc>
          <w:tcPr>
            <w:tcW w:w="2310" w:type="dxa"/>
            <w:gridSpan w:val="2"/>
            <w:shd w:val="clear" w:color="auto" w:fill="auto"/>
            <w:noWrap/>
            <w:vAlign w:val="center"/>
          </w:tcPr>
          <w:p w14:paraId="55736841" w14:textId="762F6611" w:rsidR="00883711" w:rsidRPr="00004558" w:rsidRDefault="00883711" w:rsidP="00883711">
            <w:pPr>
              <w:spacing w:after="0" w:line="240" w:lineRule="auto"/>
              <w:rPr>
                <w:rFonts w:ascii="Times New Roman" w:hAnsi="Times New Roman"/>
                <w:sz w:val="20"/>
                <w:szCs w:val="20"/>
                <w:lang w:val="en-GB"/>
              </w:rPr>
            </w:pPr>
            <w:r w:rsidRPr="00004558">
              <w:rPr>
                <w:rFonts w:ascii="Times New Roman" w:hAnsi="Times New Roman"/>
                <w:sz w:val="20"/>
                <w:szCs w:val="20"/>
                <w:lang w:val="en-GB"/>
              </w:rPr>
              <w:t xml:space="preserve">     No</w:t>
            </w:r>
          </w:p>
        </w:tc>
        <w:tc>
          <w:tcPr>
            <w:tcW w:w="567" w:type="dxa"/>
            <w:vAlign w:val="center"/>
          </w:tcPr>
          <w:p w14:paraId="47736C6A" w14:textId="3E82197D"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48</w:t>
            </w:r>
          </w:p>
        </w:tc>
        <w:tc>
          <w:tcPr>
            <w:tcW w:w="1985" w:type="dxa"/>
            <w:shd w:val="clear" w:color="auto" w:fill="auto"/>
            <w:noWrap/>
            <w:vAlign w:val="center"/>
          </w:tcPr>
          <w:p w14:paraId="32130071" w14:textId="0E76A7A4"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84.2</w:t>
            </w:r>
          </w:p>
        </w:tc>
        <w:tc>
          <w:tcPr>
            <w:tcW w:w="236" w:type="dxa"/>
            <w:shd w:val="clear" w:color="auto" w:fill="auto"/>
            <w:noWrap/>
            <w:vAlign w:val="center"/>
          </w:tcPr>
          <w:p w14:paraId="1E04B20A"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p>
        </w:tc>
        <w:tc>
          <w:tcPr>
            <w:tcW w:w="614" w:type="dxa"/>
            <w:vAlign w:val="center"/>
          </w:tcPr>
          <w:p w14:paraId="352EEBF2" w14:textId="344A1145"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29</w:t>
            </w:r>
          </w:p>
        </w:tc>
        <w:tc>
          <w:tcPr>
            <w:tcW w:w="2268" w:type="dxa"/>
            <w:shd w:val="clear" w:color="auto" w:fill="auto"/>
            <w:noWrap/>
            <w:vAlign w:val="center"/>
          </w:tcPr>
          <w:p w14:paraId="641E733C" w14:textId="26B882AB"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90.6</w:t>
            </w:r>
          </w:p>
        </w:tc>
        <w:tc>
          <w:tcPr>
            <w:tcW w:w="941" w:type="dxa"/>
            <w:shd w:val="clear" w:color="auto" w:fill="auto"/>
            <w:noWrap/>
            <w:vAlign w:val="center"/>
          </w:tcPr>
          <w:p w14:paraId="7F37BA35"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p>
        </w:tc>
      </w:tr>
      <w:tr w:rsidR="00883711" w:rsidRPr="00004558" w14:paraId="46D050F0" w14:textId="77777777" w:rsidTr="00883711">
        <w:trPr>
          <w:trHeight w:val="300"/>
        </w:trPr>
        <w:tc>
          <w:tcPr>
            <w:tcW w:w="279" w:type="dxa"/>
            <w:shd w:val="clear" w:color="auto" w:fill="auto"/>
            <w:noWrap/>
            <w:vAlign w:val="center"/>
          </w:tcPr>
          <w:p w14:paraId="1659D28D" w14:textId="77777777" w:rsidR="00883711" w:rsidRPr="00004558" w:rsidRDefault="00883711" w:rsidP="00883711">
            <w:pPr>
              <w:spacing w:after="0" w:line="240" w:lineRule="auto"/>
              <w:jc w:val="center"/>
              <w:rPr>
                <w:rFonts w:ascii="Times New Roman" w:eastAsia="Times New Roman" w:hAnsi="Times New Roman"/>
                <w:sz w:val="20"/>
                <w:szCs w:val="20"/>
                <w:lang w:val="en-GB"/>
              </w:rPr>
            </w:pPr>
          </w:p>
        </w:tc>
        <w:tc>
          <w:tcPr>
            <w:tcW w:w="2310" w:type="dxa"/>
            <w:gridSpan w:val="2"/>
            <w:shd w:val="clear" w:color="auto" w:fill="auto"/>
            <w:noWrap/>
            <w:vAlign w:val="center"/>
          </w:tcPr>
          <w:p w14:paraId="0EEF279E" w14:textId="136B864D" w:rsidR="00883711" w:rsidRPr="00004558" w:rsidRDefault="00883711" w:rsidP="00883711">
            <w:pPr>
              <w:spacing w:after="0" w:line="240" w:lineRule="auto"/>
              <w:rPr>
                <w:rFonts w:ascii="Times New Roman" w:hAnsi="Times New Roman"/>
                <w:sz w:val="20"/>
                <w:szCs w:val="20"/>
                <w:lang w:val="en-GB"/>
              </w:rPr>
            </w:pPr>
            <w:r w:rsidRPr="00004558">
              <w:rPr>
                <w:rFonts w:ascii="Times New Roman" w:hAnsi="Times New Roman"/>
                <w:sz w:val="20"/>
                <w:szCs w:val="20"/>
                <w:lang w:val="en-GB"/>
              </w:rPr>
              <w:t xml:space="preserve">     Yes</w:t>
            </w:r>
          </w:p>
        </w:tc>
        <w:tc>
          <w:tcPr>
            <w:tcW w:w="567" w:type="dxa"/>
            <w:vAlign w:val="center"/>
          </w:tcPr>
          <w:p w14:paraId="07CF9B50" w14:textId="79143B18"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9</w:t>
            </w:r>
          </w:p>
        </w:tc>
        <w:tc>
          <w:tcPr>
            <w:tcW w:w="1985" w:type="dxa"/>
            <w:shd w:val="clear" w:color="auto" w:fill="auto"/>
            <w:noWrap/>
            <w:vAlign w:val="center"/>
          </w:tcPr>
          <w:p w14:paraId="42860768" w14:textId="3EE178F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15.8</w:t>
            </w:r>
          </w:p>
        </w:tc>
        <w:tc>
          <w:tcPr>
            <w:tcW w:w="236" w:type="dxa"/>
            <w:shd w:val="clear" w:color="auto" w:fill="auto"/>
            <w:noWrap/>
            <w:vAlign w:val="center"/>
          </w:tcPr>
          <w:p w14:paraId="2AD6F53A"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p>
        </w:tc>
        <w:tc>
          <w:tcPr>
            <w:tcW w:w="614" w:type="dxa"/>
            <w:vAlign w:val="center"/>
          </w:tcPr>
          <w:p w14:paraId="138A80C0" w14:textId="5194DB70"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3</w:t>
            </w:r>
          </w:p>
        </w:tc>
        <w:tc>
          <w:tcPr>
            <w:tcW w:w="2268" w:type="dxa"/>
            <w:shd w:val="clear" w:color="auto" w:fill="auto"/>
            <w:noWrap/>
            <w:vAlign w:val="center"/>
          </w:tcPr>
          <w:p w14:paraId="4379EE96" w14:textId="3942A7CD"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9.4</w:t>
            </w:r>
          </w:p>
        </w:tc>
        <w:tc>
          <w:tcPr>
            <w:tcW w:w="941" w:type="dxa"/>
            <w:shd w:val="clear" w:color="auto" w:fill="auto"/>
            <w:noWrap/>
            <w:vAlign w:val="center"/>
          </w:tcPr>
          <w:p w14:paraId="37C2CA1B"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p>
        </w:tc>
      </w:tr>
      <w:tr w:rsidR="00883711" w:rsidRPr="00004558" w14:paraId="03BA7768" w14:textId="77777777" w:rsidTr="00DD2D9E">
        <w:trPr>
          <w:trHeight w:val="300"/>
        </w:trPr>
        <w:tc>
          <w:tcPr>
            <w:tcW w:w="279" w:type="dxa"/>
            <w:shd w:val="clear" w:color="auto" w:fill="auto"/>
            <w:noWrap/>
            <w:vAlign w:val="center"/>
            <w:hideMark/>
          </w:tcPr>
          <w:p w14:paraId="460F6498" w14:textId="77777777" w:rsidR="00883711" w:rsidRPr="00004558" w:rsidRDefault="00883711" w:rsidP="00883711">
            <w:pPr>
              <w:spacing w:after="0" w:line="240" w:lineRule="auto"/>
              <w:jc w:val="center"/>
              <w:rPr>
                <w:rFonts w:ascii="Times New Roman" w:eastAsia="Times New Roman" w:hAnsi="Times New Roman"/>
                <w:sz w:val="20"/>
                <w:szCs w:val="20"/>
                <w:lang w:val="en-GB"/>
              </w:rPr>
            </w:pPr>
          </w:p>
        </w:tc>
        <w:tc>
          <w:tcPr>
            <w:tcW w:w="2310" w:type="dxa"/>
            <w:gridSpan w:val="2"/>
            <w:shd w:val="clear" w:color="auto" w:fill="auto"/>
            <w:noWrap/>
            <w:vAlign w:val="center"/>
            <w:hideMark/>
          </w:tcPr>
          <w:p w14:paraId="5792EE77" w14:textId="77777777" w:rsidR="00883711" w:rsidRPr="00004558" w:rsidRDefault="00883711" w:rsidP="00883711">
            <w:pPr>
              <w:spacing w:after="0" w:line="240" w:lineRule="auto"/>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HbA1c, %</w:t>
            </w:r>
          </w:p>
        </w:tc>
        <w:tc>
          <w:tcPr>
            <w:tcW w:w="567" w:type="dxa"/>
            <w:vAlign w:val="center"/>
          </w:tcPr>
          <w:p w14:paraId="3AD31D81"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57</w:t>
            </w:r>
          </w:p>
        </w:tc>
        <w:tc>
          <w:tcPr>
            <w:tcW w:w="1985" w:type="dxa"/>
            <w:shd w:val="clear" w:color="auto" w:fill="auto"/>
            <w:noWrap/>
            <w:vAlign w:val="center"/>
            <w:hideMark/>
          </w:tcPr>
          <w:p w14:paraId="501FA246"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5.15 ± 0.30</w:t>
            </w:r>
          </w:p>
        </w:tc>
        <w:tc>
          <w:tcPr>
            <w:tcW w:w="236" w:type="dxa"/>
            <w:shd w:val="clear" w:color="auto" w:fill="auto"/>
            <w:noWrap/>
            <w:vAlign w:val="center"/>
          </w:tcPr>
          <w:p w14:paraId="68A12B0C"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p>
        </w:tc>
        <w:tc>
          <w:tcPr>
            <w:tcW w:w="614" w:type="dxa"/>
            <w:vAlign w:val="center"/>
          </w:tcPr>
          <w:p w14:paraId="09FD607A"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32</w:t>
            </w:r>
          </w:p>
        </w:tc>
        <w:tc>
          <w:tcPr>
            <w:tcW w:w="2268" w:type="dxa"/>
            <w:shd w:val="clear" w:color="auto" w:fill="auto"/>
            <w:noWrap/>
            <w:vAlign w:val="center"/>
            <w:hideMark/>
          </w:tcPr>
          <w:p w14:paraId="586AD820"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5.24 ± 0.63</w:t>
            </w:r>
          </w:p>
        </w:tc>
        <w:tc>
          <w:tcPr>
            <w:tcW w:w="941" w:type="dxa"/>
            <w:shd w:val="clear" w:color="auto" w:fill="auto"/>
            <w:noWrap/>
            <w:vAlign w:val="center"/>
            <w:hideMark/>
          </w:tcPr>
          <w:p w14:paraId="15F2191F"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0.365</w:t>
            </w:r>
          </w:p>
        </w:tc>
      </w:tr>
      <w:tr w:rsidR="00883711" w:rsidRPr="00004558" w14:paraId="5CEF2B4A" w14:textId="77777777" w:rsidTr="00EF17EB">
        <w:trPr>
          <w:trHeight w:val="300"/>
        </w:trPr>
        <w:tc>
          <w:tcPr>
            <w:tcW w:w="279" w:type="dxa"/>
            <w:shd w:val="clear" w:color="auto" w:fill="auto"/>
            <w:noWrap/>
            <w:vAlign w:val="center"/>
            <w:hideMark/>
          </w:tcPr>
          <w:p w14:paraId="23838CA7"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p>
        </w:tc>
        <w:tc>
          <w:tcPr>
            <w:tcW w:w="2310" w:type="dxa"/>
            <w:gridSpan w:val="2"/>
            <w:shd w:val="clear" w:color="auto" w:fill="auto"/>
            <w:noWrap/>
            <w:vAlign w:val="center"/>
            <w:hideMark/>
          </w:tcPr>
          <w:p w14:paraId="08B79B2B" w14:textId="77777777" w:rsidR="00883711" w:rsidRPr="00004558" w:rsidRDefault="00883711" w:rsidP="00883711">
            <w:pPr>
              <w:spacing w:after="0" w:line="240" w:lineRule="auto"/>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HbA1c, mmol/mol</w:t>
            </w:r>
          </w:p>
        </w:tc>
        <w:tc>
          <w:tcPr>
            <w:tcW w:w="567" w:type="dxa"/>
            <w:vAlign w:val="center"/>
          </w:tcPr>
          <w:p w14:paraId="06C87274"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57</w:t>
            </w:r>
          </w:p>
        </w:tc>
        <w:tc>
          <w:tcPr>
            <w:tcW w:w="1985" w:type="dxa"/>
            <w:shd w:val="clear" w:color="auto" w:fill="auto"/>
            <w:noWrap/>
            <w:vAlign w:val="center"/>
            <w:hideMark/>
          </w:tcPr>
          <w:p w14:paraId="52DB7799"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32.7 ± 3.33</w:t>
            </w:r>
          </w:p>
        </w:tc>
        <w:tc>
          <w:tcPr>
            <w:tcW w:w="236" w:type="dxa"/>
            <w:shd w:val="clear" w:color="auto" w:fill="auto"/>
            <w:noWrap/>
            <w:vAlign w:val="center"/>
          </w:tcPr>
          <w:p w14:paraId="48880FE8"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p>
        </w:tc>
        <w:tc>
          <w:tcPr>
            <w:tcW w:w="614" w:type="dxa"/>
            <w:vAlign w:val="center"/>
          </w:tcPr>
          <w:p w14:paraId="26D723A1"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32</w:t>
            </w:r>
          </w:p>
        </w:tc>
        <w:tc>
          <w:tcPr>
            <w:tcW w:w="2268" w:type="dxa"/>
            <w:shd w:val="clear" w:color="auto" w:fill="auto"/>
            <w:noWrap/>
            <w:vAlign w:val="center"/>
            <w:hideMark/>
          </w:tcPr>
          <w:p w14:paraId="267EA3FE"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33.69 ± 6.82</w:t>
            </w:r>
          </w:p>
        </w:tc>
        <w:tc>
          <w:tcPr>
            <w:tcW w:w="941" w:type="dxa"/>
            <w:shd w:val="clear" w:color="auto" w:fill="auto"/>
            <w:noWrap/>
            <w:vAlign w:val="center"/>
            <w:hideMark/>
          </w:tcPr>
          <w:p w14:paraId="63660C35"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0.362</w:t>
            </w:r>
          </w:p>
        </w:tc>
      </w:tr>
      <w:tr w:rsidR="00883711" w:rsidRPr="00004558" w14:paraId="3E376605" w14:textId="77777777" w:rsidTr="00EF17EB">
        <w:trPr>
          <w:trHeight w:val="300"/>
        </w:trPr>
        <w:tc>
          <w:tcPr>
            <w:tcW w:w="279" w:type="dxa"/>
            <w:shd w:val="clear" w:color="auto" w:fill="auto"/>
            <w:noWrap/>
            <w:vAlign w:val="center"/>
            <w:hideMark/>
          </w:tcPr>
          <w:p w14:paraId="5E5C8E26"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p>
        </w:tc>
        <w:tc>
          <w:tcPr>
            <w:tcW w:w="2310" w:type="dxa"/>
            <w:gridSpan w:val="2"/>
            <w:shd w:val="clear" w:color="auto" w:fill="auto"/>
            <w:noWrap/>
            <w:vAlign w:val="center"/>
            <w:hideMark/>
          </w:tcPr>
          <w:p w14:paraId="1FC62099" w14:textId="77777777" w:rsidR="00883711" w:rsidRPr="00004558" w:rsidRDefault="00883711" w:rsidP="00883711">
            <w:pPr>
              <w:spacing w:after="0" w:line="240" w:lineRule="auto"/>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Hb, g/dL</w:t>
            </w:r>
          </w:p>
        </w:tc>
        <w:tc>
          <w:tcPr>
            <w:tcW w:w="567" w:type="dxa"/>
            <w:vAlign w:val="center"/>
          </w:tcPr>
          <w:p w14:paraId="0EDD4A6D"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57</w:t>
            </w:r>
          </w:p>
        </w:tc>
        <w:tc>
          <w:tcPr>
            <w:tcW w:w="1985" w:type="dxa"/>
            <w:shd w:val="clear" w:color="auto" w:fill="auto"/>
            <w:noWrap/>
            <w:vAlign w:val="center"/>
            <w:hideMark/>
          </w:tcPr>
          <w:p w14:paraId="5A7CFDF4"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13.12 ± 0.72</w:t>
            </w:r>
          </w:p>
        </w:tc>
        <w:tc>
          <w:tcPr>
            <w:tcW w:w="236" w:type="dxa"/>
            <w:shd w:val="clear" w:color="auto" w:fill="auto"/>
            <w:noWrap/>
            <w:vAlign w:val="center"/>
          </w:tcPr>
          <w:p w14:paraId="082768FD"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p>
        </w:tc>
        <w:tc>
          <w:tcPr>
            <w:tcW w:w="614" w:type="dxa"/>
            <w:vAlign w:val="center"/>
          </w:tcPr>
          <w:p w14:paraId="6AF3623D"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32</w:t>
            </w:r>
          </w:p>
        </w:tc>
        <w:tc>
          <w:tcPr>
            <w:tcW w:w="2268" w:type="dxa"/>
            <w:shd w:val="clear" w:color="auto" w:fill="auto"/>
            <w:noWrap/>
            <w:vAlign w:val="center"/>
            <w:hideMark/>
          </w:tcPr>
          <w:p w14:paraId="160C9E12"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11.94 ± 1.15</w:t>
            </w:r>
          </w:p>
        </w:tc>
        <w:tc>
          <w:tcPr>
            <w:tcW w:w="941" w:type="dxa"/>
            <w:shd w:val="clear" w:color="auto" w:fill="auto"/>
            <w:noWrap/>
            <w:vAlign w:val="center"/>
            <w:hideMark/>
          </w:tcPr>
          <w:p w14:paraId="7D18DF31"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&lt;0.001</w:t>
            </w:r>
          </w:p>
        </w:tc>
      </w:tr>
      <w:tr w:rsidR="00883711" w:rsidRPr="00004558" w14:paraId="115F6229" w14:textId="77777777" w:rsidTr="00EF17EB">
        <w:trPr>
          <w:trHeight w:val="300"/>
        </w:trPr>
        <w:tc>
          <w:tcPr>
            <w:tcW w:w="279" w:type="dxa"/>
            <w:shd w:val="clear" w:color="auto" w:fill="auto"/>
            <w:noWrap/>
            <w:vAlign w:val="center"/>
            <w:hideMark/>
          </w:tcPr>
          <w:p w14:paraId="6E51942C"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p>
        </w:tc>
        <w:tc>
          <w:tcPr>
            <w:tcW w:w="2310" w:type="dxa"/>
            <w:gridSpan w:val="2"/>
            <w:shd w:val="clear" w:color="auto" w:fill="auto"/>
            <w:noWrap/>
            <w:vAlign w:val="center"/>
            <w:hideMark/>
          </w:tcPr>
          <w:p w14:paraId="4AAE4B54" w14:textId="77777777" w:rsidR="00883711" w:rsidRPr="00004558" w:rsidRDefault="00883711" w:rsidP="00883711">
            <w:pPr>
              <w:spacing w:after="0" w:line="240" w:lineRule="auto"/>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MCV, fL</w:t>
            </w:r>
          </w:p>
        </w:tc>
        <w:tc>
          <w:tcPr>
            <w:tcW w:w="567" w:type="dxa"/>
            <w:vAlign w:val="center"/>
          </w:tcPr>
          <w:p w14:paraId="1B8CAC5C"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57</w:t>
            </w:r>
          </w:p>
        </w:tc>
        <w:tc>
          <w:tcPr>
            <w:tcW w:w="1985" w:type="dxa"/>
            <w:shd w:val="clear" w:color="auto" w:fill="auto"/>
            <w:noWrap/>
            <w:vAlign w:val="center"/>
            <w:hideMark/>
          </w:tcPr>
          <w:p w14:paraId="7EBD0CE6"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85.14 ± 2.97</w:t>
            </w:r>
          </w:p>
        </w:tc>
        <w:tc>
          <w:tcPr>
            <w:tcW w:w="236" w:type="dxa"/>
            <w:shd w:val="clear" w:color="auto" w:fill="auto"/>
            <w:noWrap/>
            <w:vAlign w:val="center"/>
          </w:tcPr>
          <w:p w14:paraId="35A4DEB3"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p>
        </w:tc>
        <w:tc>
          <w:tcPr>
            <w:tcW w:w="614" w:type="dxa"/>
            <w:vAlign w:val="center"/>
          </w:tcPr>
          <w:p w14:paraId="11003858"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32</w:t>
            </w:r>
          </w:p>
        </w:tc>
        <w:tc>
          <w:tcPr>
            <w:tcW w:w="2268" w:type="dxa"/>
            <w:shd w:val="clear" w:color="auto" w:fill="auto"/>
            <w:noWrap/>
            <w:vAlign w:val="center"/>
            <w:hideMark/>
          </w:tcPr>
          <w:p w14:paraId="507E4E1A"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77.06 ± 5.56</w:t>
            </w:r>
          </w:p>
        </w:tc>
        <w:tc>
          <w:tcPr>
            <w:tcW w:w="941" w:type="dxa"/>
            <w:shd w:val="clear" w:color="auto" w:fill="auto"/>
            <w:noWrap/>
            <w:vAlign w:val="center"/>
            <w:hideMark/>
          </w:tcPr>
          <w:p w14:paraId="188715E3"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&lt;0.001</w:t>
            </w:r>
          </w:p>
        </w:tc>
      </w:tr>
      <w:tr w:rsidR="00883711" w:rsidRPr="00004558" w14:paraId="79985BBB" w14:textId="77777777" w:rsidTr="00EF17EB">
        <w:trPr>
          <w:trHeight w:val="300"/>
        </w:trPr>
        <w:tc>
          <w:tcPr>
            <w:tcW w:w="279" w:type="dxa"/>
            <w:shd w:val="clear" w:color="auto" w:fill="auto"/>
            <w:noWrap/>
            <w:vAlign w:val="center"/>
            <w:hideMark/>
          </w:tcPr>
          <w:p w14:paraId="13457752"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p>
        </w:tc>
        <w:tc>
          <w:tcPr>
            <w:tcW w:w="2310" w:type="dxa"/>
            <w:gridSpan w:val="2"/>
            <w:shd w:val="clear" w:color="auto" w:fill="auto"/>
            <w:noWrap/>
            <w:vAlign w:val="center"/>
            <w:hideMark/>
          </w:tcPr>
          <w:p w14:paraId="6AFF2FA5" w14:textId="77777777" w:rsidR="00883711" w:rsidRPr="00004558" w:rsidRDefault="00883711" w:rsidP="00883711">
            <w:pPr>
              <w:spacing w:after="0" w:line="240" w:lineRule="auto"/>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RBC count, x10</w:t>
            </w:r>
            <w:r w:rsidRPr="00004558">
              <w:rPr>
                <w:rFonts w:ascii="Times New Roman" w:eastAsia="Times New Roman" w:hAnsi="Times New Roman"/>
                <w:color w:val="000000"/>
                <w:sz w:val="20"/>
                <w:szCs w:val="20"/>
                <w:vertAlign w:val="superscript"/>
                <w:lang w:val="en-GB"/>
              </w:rPr>
              <w:t>6</w:t>
            </w:r>
            <w:r w:rsidRPr="00004558">
              <w:rPr>
                <w:rFonts w:ascii="Times New Roman" w:eastAsia="Times New Roman" w:hAnsi="Times New Roman"/>
                <w:color w:val="000000"/>
                <w:sz w:val="20"/>
                <w:szCs w:val="20"/>
                <w:lang w:val="en-GB"/>
              </w:rPr>
              <w:t>µL</w:t>
            </w:r>
            <w:r w:rsidRPr="00004558">
              <w:rPr>
                <w:rFonts w:ascii="Times New Roman" w:eastAsia="Times New Roman" w:hAnsi="Times New Roman"/>
                <w:color w:val="000000"/>
                <w:sz w:val="20"/>
                <w:szCs w:val="20"/>
                <w:vertAlign w:val="superscript"/>
                <w:lang w:val="en-GB"/>
              </w:rPr>
              <w:t>-1</w:t>
            </w:r>
          </w:p>
        </w:tc>
        <w:tc>
          <w:tcPr>
            <w:tcW w:w="567" w:type="dxa"/>
            <w:vAlign w:val="center"/>
          </w:tcPr>
          <w:p w14:paraId="5AD3C93F"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57</w:t>
            </w:r>
          </w:p>
        </w:tc>
        <w:tc>
          <w:tcPr>
            <w:tcW w:w="1985" w:type="dxa"/>
            <w:shd w:val="clear" w:color="auto" w:fill="auto"/>
            <w:noWrap/>
            <w:vAlign w:val="center"/>
            <w:hideMark/>
          </w:tcPr>
          <w:p w14:paraId="09DC5CEB"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4.65 ± 0.31</w:t>
            </w:r>
          </w:p>
        </w:tc>
        <w:tc>
          <w:tcPr>
            <w:tcW w:w="236" w:type="dxa"/>
            <w:shd w:val="clear" w:color="auto" w:fill="auto"/>
            <w:noWrap/>
            <w:vAlign w:val="center"/>
          </w:tcPr>
          <w:p w14:paraId="65E54D7B"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p>
        </w:tc>
        <w:tc>
          <w:tcPr>
            <w:tcW w:w="614" w:type="dxa"/>
            <w:vAlign w:val="center"/>
          </w:tcPr>
          <w:p w14:paraId="28DA44AC"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32</w:t>
            </w:r>
          </w:p>
        </w:tc>
        <w:tc>
          <w:tcPr>
            <w:tcW w:w="2268" w:type="dxa"/>
            <w:shd w:val="clear" w:color="auto" w:fill="auto"/>
            <w:noWrap/>
            <w:vAlign w:val="center"/>
            <w:hideMark/>
          </w:tcPr>
          <w:p w14:paraId="58893DEB"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4.81 ± 0.45</w:t>
            </w:r>
          </w:p>
        </w:tc>
        <w:tc>
          <w:tcPr>
            <w:tcW w:w="941" w:type="dxa"/>
            <w:shd w:val="clear" w:color="auto" w:fill="auto"/>
            <w:noWrap/>
            <w:vAlign w:val="center"/>
            <w:hideMark/>
          </w:tcPr>
          <w:p w14:paraId="24194C7F"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0.092</w:t>
            </w:r>
          </w:p>
        </w:tc>
      </w:tr>
      <w:tr w:rsidR="00883711" w:rsidRPr="00004558" w14:paraId="6A110BCA" w14:textId="77777777" w:rsidTr="00EF17EB">
        <w:trPr>
          <w:trHeight w:val="300"/>
        </w:trPr>
        <w:tc>
          <w:tcPr>
            <w:tcW w:w="279" w:type="dxa"/>
            <w:shd w:val="clear" w:color="auto" w:fill="auto"/>
            <w:noWrap/>
            <w:vAlign w:val="center"/>
            <w:hideMark/>
          </w:tcPr>
          <w:p w14:paraId="65040C98"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p>
        </w:tc>
        <w:tc>
          <w:tcPr>
            <w:tcW w:w="2310" w:type="dxa"/>
            <w:gridSpan w:val="2"/>
            <w:shd w:val="clear" w:color="auto" w:fill="auto"/>
            <w:noWrap/>
            <w:vAlign w:val="center"/>
            <w:hideMark/>
          </w:tcPr>
          <w:p w14:paraId="67640034" w14:textId="77777777" w:rsidR="00883711" w:rsidRPr="00004558" w:rsidRDefault="00883711" w:rsidP="00883711">
            <w:pPr>
              <w:spacing w:after="0" w:line="240" w:lineRule="auto"/>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Mentzer Index</w:t>
            </w:r>
          </w:p>
        </w:tc>
        <w:tc>
          <w:tcPr>
            <w:tcW w:w="567" w:type="dxa"/>
            <w:vAlign w:val="center"/>
          </w:tcPr>
          <w:p w14:paraId="0268B4B2"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57</w:t>
            </w:r>
          </w:p>
        </w:tc>
        <w:tc>
          <w:tcPr>
            <w:tcW w:w="1985" w:type="dxa"/>
            <w:shd w:val="clear" w:color="auto" w:fill="auto"/>
            <w:noWrap/>
            <w:vAlign w:val="center"/>
            <w:hideMark/>
          </w:tcPr>
          <w:p w14:paraId="05E8B010"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18.4 ± 1.69</w:t>
            </w:r>
          </w:p>
        </w:tc>
        <w:tc>
          <w:tcPr>
            <w:tcW w:w="236" w:type="dxa"/>
            <w:shd w:val="clear" w:color="auto" w:fill="auto"/>
            <w:noWrap/>
            <w:vAlign w:val="center"/>
          </w:tcPr>
          <w:p w14:paraId="4AB70D69"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p>
        </w:tc>
        <w:tc>
          <w:tcPr>
            <w:tcW w:w="614" w:type="dxa"/>
            <w:vAlign w:val="center"/>
          </w:tcPr>
          <w:p w14:paraId="6B8A5D6F"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32</w:t>
            </w:r>
          </w:p>
        </w:tc>
        <w:tc>
          <w:tcPr>
            <w:tcW w:w="2268" w:type="dxa"/>
            <w:shd w:val="clear" w:color="auto" w:fill="auto"/>
            <w:noWrap/>
            <w:vAlign w:val="center"/>
            <w:hideMark/>
          </w:tcPr>
          <w:p w14:paraId="362F563F"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16.22 ± 2.37</w:t>
            </w:r>
          </w:p>
        </w:tc>
        <w:tc>
          <w:tcPr>
            <w:tcW w:w="941" w:type="dxa"/>
            <w:shd w:val="clear" w:color="auto" w:fill="auto"/>
            <w:noWrap/>
            <w:vAlign w:val="center"/>
            <w:hideMark/>
          </w:tcPr>
          <w:p w14:paraId="510C9084"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&lt;0.001</w:t>
            </w:r>
          </w:p>
        </w:tc>
      </w:tr>
      <w:tr w:rsidR="00883711" w:rsidRPr="00004558" w14:paraId="74FD3A2E" w14:textId="77777777" w:rsidTr="00EF17EB">
        <w:trPr>
          <w:trHeight w:val="300"/>
        </w:trPr>
        <w:tc>
          <w:tcPr>
            <w:tcW w:w="279" w:type="dxa"/>
            <w:shd w:val="clear" w:color="auto" w:fill="auto"/>
            <w:noWrap/>
            <w:vAlign w:val="center"/>
            <w:hideMark/>
          </w:tcPr>
          <w:p w14:paraId="2AFE3D8B"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p>
        </w:tc>
        <w:tc>
          <w:tcPr>
            <w:tcW w:w="328" w:type="dxa"/>
            <w:shd w:val="clear" w:color="auto" w:fill="auto"/>
            <w:noWrap/>
            <w:vAlign w:val="center"/>
            <w:hideMark/>
          </w:tcPr>
          <w:p w14:paraId="768BCC51" w14:textId="77777777" w:rsidR="00883711" w:rsidRPr="00004558" w:rsidRDefault="00883711" w:rsidP="00883711">
            <w:pPr>
              <w:spacing w:after="0" w:line="240" w:lineRule="auto"/>
              <w:rPr>
                <w:rFonts w:ascii="Times New Roman" w:eastAsia="Times New Roman" w:hAnsi="Times New Roman"/>
                <w:sz w:val="20"/>
                <w:szCs w:val="20"/>
                <w:lang w:val="en-GB"/>
              </w:rPr>
            </w:pPr>
          </w:p>
        </w:tc>
        <w:tc>
          <w:tcPr>
            <w:tcW w:w="1982" w:type="dxa"/>
            <w:shd w:val="clear" w:color="auto" w:fill="auto"/>
            <w:noWrap/>
            <w:vAlign w:val="center"/>
            <w:hideMark/>
          </w:tcPr>
          <w:p w14:paraId="6C2A42EC" w14:textId="77777777" w:rsidR="00883711" w:rsidRPr="00004558" w:rsidRDefault="00883711" w:rsidP="00883711">
            <w:pPr>
              <w:spacing w:after="0" w:line="240" w:lineRule="auto"/>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Beta thalassaemia</w:t>
            </w:r>
          </w:p>
        </w:tc>
        <w:tc>
          <w:tcPr>
            <w:tcW w:w="567" w:type="dxa"/>
            <w:vAlign w:val="center"/>
          </w:tcPr>
          <w:p w14:paraId="2C564F8C"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w:t>
            </w:r>
          </w:p>
        </w:tc>
        <w:tc>
          <w:tcPr>
            <w:tcW w:w="1985" w:type="dxa"/>
            <w:shd w:val="clear" w:color="auto" w:fill="auto"/>
            <w:noWrap/>
            <w:vAlign w:val="center"/>
          </w:tcPr>
          <w:p w14:paraId="0636726C"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w:t>
            </w:r>
          </w:p>
        </w:tc>
        <w:tc>
          <w:tcPr>
            <w:tcW w:w="236" w:type="dxa"/>
            <w:shd w:val="clear" w:color="auto" w:fill="auto"/>
            <w:noWrap/>
            <w:vAlign w:val="center"/>
          </w:tcPr>
          <w:p w14:paraId="71D0546D"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p>
        </w:tc>
        <w:tc>
          <w:tcPr>
            <w:tcW w:w="614" w:type="dxa"/>
            <w:vAlign w:val="center"/>
          </w:tcPr>
          <w:p w14:paraId="6043C678"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3</w:t>
            </w:r>
          </w:p>
        </w:tc>
        <w:tc>
          <w:tcPr>
            <w:tcW w:w="2268" w:type="dxa"/>
            <w:shd w:val="clear" w:color="auto" w:fill="auto"/>
            <w:noWrap/>
            <w:vAlign w:val="center"/>
            <w:hideMark/>
          </w:tcPr>
          <w:p w14:paraId="2321C096" w14:textId="0194840D"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9.4</w:t>
            </w:r>
          </w:p>
        </w:tc>
        <w:tc>
          <w:tcPr>
            <w:tcW w:w="941" w:type="dxa"/>
            <w:shd w:val="clear" w:color="auto" w:fill="auto"/>
            <w:noWrap/>
            <w:vAlign w:val="center"/>
            <w:hideMark/>
          </w:tcPr>
          <w:p w14:paraId="60E60FE9"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p>
        </w:tc>
      </w:tr>
      <w:tr w:rsidR="00883711" w:rsidRPr="00004558" w14:paraId="3C4BD3BB" w14:textId="77777777" w:rsidTr="00EF17EB">
        <w:trPr>
          <w:trHeight w:val="300"/>
        </w:trPr>
        <w:tc>
          <w:tcPr>
            <w:tcW w:w="279" w:type="dxa"/>
            <w:tcBorders>
              <w:bottom w:val="single" w:sz="4" w:space="0" w:color="auto"/>
            </w:tcBorders>
            <w:shd w:val="clear" w:color="auto" w:fill="auto"/>
            <w:noWrap/>
            <w:vAlign w:val="center"/>
            <w:hideMark/>
          </w:tcPr>
          <w:p w14:paraId="31ADDD10"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p>
        </w:tc>
        <w:tc>
          <w:tcPr>
            <w:tcW w:w="328" w:type="dxa"/>
            <w:tcBorders>
              <w:bottom w:val="single" w:sz="4" w:space="0" w:color="auto"/>
            </w:tcBorders>
            <w:shd w:val="clear" w:color="auto" w:fill="auto"/>
            <w:noWrap/>
            <w:vAlign w:val="center"/>
            <w:hideMark/>
          </w:tcPr>
          <w:p w14:paraId="76068D72" w14:textId="77777777" w:rsidR="00883711" w:rsidRPr="00004558" w:rsidRDefault="00883711" w:rsidP="00883711">
            <w:pPr>
              <w:spacing w:after="0" w:line="240" w:lineRule="auto"/>
              <w:rPr>
                <w:rFonts w:ascii="Times New Roman" w:eastAsia="Times New Roman" w:hAnsi="Times New Roman"/>
                <w:sz w:val="20"/>
                <w:szCs w:val="20"/>
                <w:lang w:val="en-GB"/>
              </w:rPr>
            </w:pPr>
          </w:p>
        </w:tc>
        <w:tc>
          <w:tcPr>
            <w:tcW w:w="1982" w:type="dxa"/>
            <w:tcBorders>
              <w:bottom w:val="single" w:sz="4" w:space="0" w:color="auto"/>
            </w:tcBorders>
            <w:shd w:val="clear" w:color="auto" w:fill="auto"/>
            <w:noWrap/>
            <w:vAlign w:val="center"/>
            <w:hideMark/>
          </w:tcPr>
          <w:p w14:paraId="746D380F" w14:textId="77777777" w:rsidR="00883711" w:rsidRPr="00004558" w:rsidRDefault="00883711" w:rsidP="00883711">
            <w:pPr>
              <w:spacing w:after="0" w:line="240" w:lineRule="auto"/>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IDA</w:t>
            </w:r>
          </w:p>
        </w:tc>
        <w:tc>
          <w:tcPr>
            <w:tcW w:w="567" w:type="dxa"/>
            <w:tcBorders>
              <w:bottom w:val="single" w:sz="4" w:space="0" w:color="auto"/>
            </w:tcBorders>
            <w:vAlign w:val="center"/>
          </w:tcPr>
          <w:p w14:paraId="1D0C9C26"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w:t>
            </w:r>
          </w:p>
        </w:tc>
        <w:tc>
          <w:tcPr>
            <w:tcW w:w="1985" w:type="dxa"/>
            <w:tcBorders>
              <w:bottom w:val="single" w:sz="4" w:space="0" w:color="auto"/>
            </w:tcBorders>
            <w:shd w:val="clear" w:color="auto" w:fill="auto"/>
            <w:noWrap/>
            <w:vAlign w:val="center"/>
          </w:tcPr>
          <w:p w14:paraId="07CF2BA9"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w:t>
            </w:r>
          </w:p>
        </w:tc>
        <w:tc>
          <w:tcPr>
            <w:tcW w:w="236" w:type="dxa"/>
            <w:tcBorders>
              <w:bottom w:val="single" w:sz="4" w:space="0" w:color="auto"/>
            </w:tcBorders>
            <w:shd w:val="clear" w:color="auto" w:fill="auto"/>
            <w:noWrap/>
            <w:vAlign w:val="center"/>
          </w:tcPr>
          <w:p w14:paraId="31CA9B4E"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p>
        </w:tc>
        <w:tc>
          <w:tcPr>
            <w:tcW w:w="614" w:type="dxa"/>
            <w:tcBorders>
              <w:bottom w:val="single" w:sz="4" w:space="0" w:color="auto"/>
            </w:tcBorders>
            <w:vAlign w:val="center"/>
          </w:tcPr>
          <w:p w14:paraId="44B4DFEB"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29</w:t>
            </w:r>
          </w:p>
        </w:tc>
        <w:tc>
          <w:tcPr>
            <w:tcW w:w="2268" w:type="dxa"/>
            <w:tcBorders>
              <w:bottom w:val="single" w:sz="4" w:space="0" w:color="auto"/>
            </w:tcBorders>
            <w:shd w:val="clear" w:color="auto" w:fill="auto"/>
            <w:noWrap/>
            <w:vAlign w:val="center"/>
            <w:hideMark/>
          </w:tcPr>
          <w:p w14:paraId="69FF1961" w14:textId="7837A96F"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r w:rsidRPr="00004558">
              <w:rPr>
                <w:rFonts w:ascii="Times New Roman" w:eastAsia="Times New Roman" w:hAnsi="Times New Roman"/>
                <w:color w:val="000000"/>
                <w:sz w:val="20"/>
                <w:szCs w:val="20"/>
                <w:lang w:val="en-GB"/>
              </w:rPr>
              <w:t>90.6</w:t>
            </w:r>
          </w:p>
        </w:tc>
        <w:tc>
          <w:tcPr>
            <w:tcW w:w="941" w:type="dxa"/>
            <w:tcBorders>
              <w:bottom w:val="single" w:sz="4" w:space="0" w:color="auto"/>
            </w:tcBorders>
            <w:shd w:val="clear" w:color="auto" w:fill="auto"/>
            <w:noWrap/>
            <w:vAlign w:val="center"/>
            <w:hideMark/>
          </w:tcPr>
          <w:p w14:paraId="7A7D845D" w14:textId="77777777" w:rsidR="00883711" w:rsidRPr="00004558" w:rsidRDefault="00883711" w:rsidP="00883711">
            <w:pPr>
              <w:spacing w:after="0" w:line="240" w:lineRule="auto"/>
              <w:jc w:val="center"/>
              <w:rPr>
                <w:rFonts w:ascii="Times New Roman" w:eastAsia="Times New Roman" w:hAnsi="Times New Roman"/>
                <w:color w:val="000000"/>
                <w:sz w:val="20"/>
                <w:szCs w:val="20"/>
                <w:lang w:val="en-GB"/>
              </w:rPr>
            </w:pPr>
          </w:p>
        </w:tc>
      </w:tr>
    </w:tbl>
    <w:p w14:paraId="44066ECC" w14:textId="77777777" w:rsidR="00AB41D8" w:rsidRPr="00004558" w:rsidRDefault="00AB41D8" w:rsidP="00263F26">
      <w:pPr>
        <w:spacing w:after="0" w:line="480" w:lineRule="auto"/>
        <w:rPr>
          <w:rFonts w:ascii="Times New Roman" w:hAnsi="Times New Roman"/>
          <w:sz w:val="20"/>
          <w:szCs w:val="20"/>
          <w:lang w:val="en-GB"/>
        </w:rPr>
      </w:pPr>
      <w:r w:rsidRPr="00004558">
        <w:rPr>
          <w:rFonts w:ascii="Times New Roman" w:hAnsi="Times New Roman"/>
          <w:sz w:val="20"/>
          <w:szCs w:val="20"/>
          <w:lang w:val="en-GB"/>
        </w:rPr>
        <w:t xml:space="preserve">Values are presented as </w:t>
      </w:r>
      <w:r w:rsidRPr="00004558">
        <w:rPr>
          <w:rFonts w:ascii="Times New Roman" w:eastAsia="Times New Roman" w:hAnsi="Times New Roman"/>
          <w:color w:val="000000"/>
          <w:sz w:val="20"/>
          <w:szCs w:val="20"/>
          <w:lang w:val="en-GB"/>
        </w:rPr>
        <w:t xml:space="preserve">mean ± SD or n (%). </w:t>
      </w:r>
      <w:r w:rsidRPr="00004558">
        <w:rPr>
          <w:rFonts w:ascii="Times New Roman" w:hAnsi="Times New Roman"/>
          <w:sz w:val="20"/>
          <w:szCs w:val="20"/>
          <w:lang w:val="en-GB"/>
        </w:rPr>
        <w:t>Hb, haemoglobin; HbA1c, glycated haemoglobin; IDA, iron deficiency anaemia; MCV, mean corpuscular volume; RBC, red blood cell; S-PRESTO, Singapore PREconception Study of long-Term maternal and child Outcomes.</w:t>
      </w:r>
    </w:p>
    <w:p w14:paraId="35CBB091" w14:textId="282A1C6E" w:rsidR="002E4299" w:rsidRDefault="00AB41D8" w:rsidP="00334955">
      <w:pPr>
        <w:spacing w:after="0" w:line="480" w:lineRule="auto"/>
        <w:rPr>
          <w:rFonts w:ascii="Times New Roman" w:hAnsi="Times New Roman"/>
          <w:sz w:val="20"/>
          <w:szCs w:val="20"/>
          <w:lang w:val="en-GB"/>
        </w:rPr>
      </w:pPr>
      <w:r w:rsidRPr="00004558">
        <w:rPr>
          <w:rFonts w:ascii="Times New Roman" w:hAnsi="Times New Roman"/>
          <w:sz w:val="20"/>
          <w:szCs w:val="20"/>
          <w:vertAlign w:val="superscript"/>
          <w:lang w:val="en-GB"/>
        </w:rPr>
        <w:t>*</w:t>
      </w:r>
      <w:r w:rsidRPr="00004558">
        <w:rPr>
          <w:rFonts w:ascii="Times New Roman" w:hAnsi="Times New Roman"/>
          <w:sz w:val="20"/>
          <w:szCs w:val="20"/>
          <w:lang w:val="en-GB"/>
        </w:rPr>
        <w:t>By independent sample t-test</w:t>
      </w:r>
      <w:r w:rsidR="00B01B09" w:rsidRPr="00004558">
        <w:rPr>
          <w:rFonts w:ascii="Times New Roman" w:hAnsi="Times New Roman"/>
          <w:sz w:val="20"/>
          <w:szCs w:val="20"/>
          <w:lang w:val="en-GB"/>
        </w:rPr>
        <w:t xml:space="preserve"> or Fisher’s exact test, as appropriate</w:t>
      </w:r>
      <w:r w:rsidRPr="00004558">
        <w:rPr>
          <w:rFonts w:ascii="Times New Roman" w:hAnsi="Times New Roman"/>
          <w:sz w:val="20"/>
          <w:szCs w:val="20"/>
          <w:lang w:val="en-GB"/>
        </w:rPr>
        <w:t>.</w:t>
      </w:r>
      <w:r w:rsidRPr="000258FA">
        <w:rPr>
          <w:rFonts w:ascii="Times New Roman" w:hAnsi="Times New Roman"/>
          <w:sz w:val="20"/>
          <w:szCs w:val="20"/>
          <w:lang w:val="en-GB"/>
        </w:rPr>
        <w:t xml:space="preserve"> </w:t>
      </w:r>
    </w:p>
    <w:p w14:paraId="2CDEED67" w14:textId="77777777" w:rsidR="002E4299" w:rsidRPr="002344C5" w:rsidRDefault="002E4299" w:rsidP="002E4299">
      <w:pPr>
        <w:pStyle w:val="NoSpacing"/>
        <w:rPr>
          <w:rFonts w:ascii="Times New Roman" w:hAnsi="Times New Roman"/>
          <w:b/>
          <w:bCs/>
          <w:sz w:val="24"/>
          <w:szCs w:val="24"/>
          <w:lang w:val="en-GB"/>
        </w:rPr>
      </w:pPr>
      <w:r w:rsidRPr="00343FD1">
        <w:rPr>
          <w:rFonts w:ascii="Times New Roman" w:hAnsi="Times New Roman"/>
          <w:b/>
          <w:color w:val="000000"/>
          <w:sz w:val="24"/>
          <w:szCs w:val="24"/>
        </w:rPr>
        <w:t xml:space="preserve">Influence of red blood cell indices on </w:t>
      </w:r>
      <w:r>
        <w:rPr>
          <w:rFonts w:ascii="Times New Roman" w:hAnsi="Times New Roman"/>
          <w:b/>
          <w:color w:val="000000"/>
          <w:sz w:val="24"/>
          <w:szCs w:val="24"/>
        </w:rPr>
        <w:t xml:space="preserve">HbA1c </w:t>
      </w:r>
      <w:r w:rsidRPr="00343FD1">
        <w:rPr>
          <w:rFonts w:ascii="Times New Roman" w:hAnsi="Times New Roman"/>
          <w:b/>
          <w:color w:val="000000"/>
          <w:sz w:val="24"/>
          <w:szCs w:val="24"/>
        </w:rPr>
        <w:t>performance in detecting dysglycaemia in a Singapore preconception cohort study</w:t>
      </w:r>
    </w:p>
    <w:p w14:paraId="7F4641E2" w14:textId="77777777" w:rsidR="002E4299" w:rsidRPr="004F5AEC" w:rsidRDefault="002E4299" w:rsidP="002E4299">
      <w:pPr>
        <w:pStyle w:val="NoSpacing"/>
        <w:rPr>
          <w:rFonts w:ascii="Times New Roman" w:hAnsi="Times New Roman"/>
          <w:bCs/>
          <w:sz w:val="24"/>
          <w:szCs w:val="24"/>
          <w:lang w:val="en-GB"/>
        </w:rPr>
      </w:pPr>
    </w:p>
    <w:p w14:paraId="455A8784" w14:textId="77777777" w:rsidR="002E4299" w:rsidRPr="004F5AEC" w:rsidRDefault="002E4299" w:rsidP="002E4299">
      <w:pPr>
        <w:pStyle w:val="NoSpacing"/>
        <w:rPr>
          <w:rFonts w:ascii="Times New Roman" w:hAnsi="Times New Roman"/>
          <w:sz w:val="24"/>
          <w:szCs w:val="24"/>
          <w:vertAlign w:val="superscript"/>
          <w:lang w:val="en-GB"/>
        </w:rPr>
      </w:pPr>
      <w:r w:rsidRPr="004F5AEC">
        <w:rPr>
          <w:rFonts w:ascii="Times New Roman" w:hAnsi="Times New Roman"/>
          <w:sz w:val="24"/>
          <w:szCs w:val="24"/>
          <w:lang w:val="en-GB"/>
        </w:rPr>
        <w:t xml:space="preserve">See Ling Loy, Jinjie Lin, Yin Bun Cheung, Aravind Venkatesh Sreedharan, Xinyi Chin, Keith M. Godfrey, Kok Hian Tan, Lynette Pei-Chi Shek, Yap Seng Chong, </w:t>
      </w:r>
      <w:r w:rsidRPr="004F5AEC">
        <w:rPr>
          <w:rFonts w:ascii="Times New Roman" w:hAnsi="Times New Roman"/>
          <w:color w:val="000000"/>
          <w:sz w:val="24"/>
          <w:szCs w:val="24"/>
          <w:lang w:val="en-GB"/>
        </w:rPr>
        <w:t>Melvin Khee-Shing Leow</w:t>
      </w:r>
      <w:r w:rsidRPr="004F5AEC">
        <w:rPr>
          <w:rFonts w:ascii="Times New Roman" w:hAnsi="Times New Roman"/>
          <w:sz w:val="24"/>
          <w:szCs w:val="24"/>
          <w:lang w:val="en-GB"/>
        </w:rPr>
        <w:t>, Chin Meng Khoo, Yung Seng Lee, Shiao-Yng Chan, Ngee Lek, Jerry Kok Yen Chan, Fabian Yap</w:t>
      </w:r>
      <w:r w:rsidRPr="004A4AC5">
        <w:rPr>
          <w:rFonts w:ascii="Times New Roman" w:hAnsi="Times New Roman"/>
          <w:sz w:val="24"/>
          <w:szCs w:val="24"/>
          <w:vertAlign w:val="superscript"/>
          <w:lang w:val="en-GB"/>
        </w:rPr>
        <w:t>*</w:t>
      </w:r>
    </w:p>
    <w:p w14:paraId="3D0DBC14" w14:textId="77777777" w:rsidR="002E4299" w:rsidRPr="002344C5" w:rsidRDefault="002E4299" w:rsidP="002E4299">
      <w:pPr>
        <w:pStyle w:val="NoSpacing"/>
        <w:spacing w:line="480" w:lineRule="auto"/>
        <w:rPr>
          <w:rFonts w:ascii="Times New Roman" w:hAnsi="Times New Roman"/>
          <w:b/>
          <w:bCs/>
          <w:sz w:val="24"/>
          <w:szCs w:val="24"/>
          <w:lang w:val="en-GB"/>
        </w:rPr>
      </w:pPr>
    </w:p>
    <w:p w14:paraId="52F51F09" w14:textId="77777777" w:rsidR="002E4299" w:rsidRPr="00B05776" w:rsidRDefault="002E4299" w:rsidP="002E4299">
      <w:pPr>
        <w:pStyle w:val="NoSpacing"/>
        <w:spacing w:line="480" w:lineRule="auto"/>
        <w:rPr>
          <w:rFonts w:ascii="Times New Roman" w:hAnsi="Times New Roman"/>
          <w:sz w:val="24"/>
          <w:szCs w:val="24"/>
        </w:rPr>
      </w:pPr>
      <w:r>
        <w:rPr>
          <w:rFonts w:ascii="Times New Roman" w:hAnsi="Times New Roman"/>
          <w:b/>
          <w:bCs/>
          <w:sz w:val="24"/>
          <w:szCs w:val="24"/>
        </w:rPr>
        <w:t>Supplementary Table S1</w:t>
      </w:r>
      <w:r w:rsidRPr="00B05776">
        <w:rPr>
          <w:rFonts w:ascii="Times New Roman" w:hAnsi="Times New Roman"/>
          <w:bCs/>
          <w:sz w:val="24"/>
          <w:szCs w:val="24"/>
        </w:rPr>
        <w:t xml:space="preserve"> </w:t>
      </w:r>
      <w:r w:rsidRPr="00B05776">
        <w:rPr>
          <w:rFonts w:ascii="Times New Roman" w:hAnsi="Times New Roman"/>
          <w:sz w:val="24"/>
          <w:szCs w:val="24"/>
        </w:rPr>
        <w:t xml:space="preserve">Sensitivities and specificities of HbA1c </w:t>
      </w:r>
      <w:r>
        <w:rPr>
          <w:rFonts w:ascii="Times New Roman" w:hAnsi="Times New Roman"/>
          <w:sz w:val="24"/>
          <w:szCs w:val="24"/>
        </w:rPr>
        <w:t>in</w:t>
      </w:r>
      <w:r w:rsidRPr="00B05776">
        <w:rPr>
          <w:rFonts w:ascii="Times New Roman" w:hAnsi="Times New Roman"/>
          <w:sz w:val="24"/>
          <w:szCs w:val="24"/>
        </w:rPr>
        <w:t xml:space="preserve"> detecting </w:t>
      </w:r>
      <w:r>
        <w:rPr>
          <w:rFonts w:ascii="Times New Roman" w:hAnsi="Times New Roman"/>
          <w:sz w:val="24"/>
          <w:szCs w:val="24"/>
        </w:rPr>
        <w:t>dysglycaemia</w:t>
      </w:r>
      <w:r w:rsidRPr="00B05776">
        <w:rPr>
          <w:rFonts w:ascii="Times New Roman" w:hAnsi="Times New Roman"/>
          <w:sz w:val="24"/>
          <w:szCs w:val="24"/>
        </w:rPr>
        <w:t xml:space="preserve"> in women with normal and abnormal RBC indices</w:t>
      </w:r>
    </w:p>
    <w:tbl>
      <w:tblPr>
        <w:tblStyle w:val="TableGrid"/>
        <w:tblW w:w="86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4"/>
        <w:gridCol w:w="1766"/>
        <w:gridCol w:w="1892"/>
        <w:gridCol w:w="233"/>
        <w:gridCol w:w="1923"/>
        <w:gridCol w:w="1589"/>
      </w:tblGrid>
      <w:tr w:rsidR="002E4299" w:rsidRPr="008C1059" w14:paraId="5C8DF794" w14:textId="77777777" w:rsidTr="005744E1">
        <w:tc>
          <w:tcPr>
            <w:tcW w:w="1244" w:type="dxa"/>
            <w:tcBorders>
              <w:bottom w:val="nil"/>
            </w:tcBorders>
          </w:tcPr>
          <w:p w14:paraId="20B478F5" w14:textId="77777777" w:rsidR="002E4299" w:rsidRPr="008C1059" w:rsidRDefault="002E4299" w:rsidP="005744E1">
            <w:pPr>
              <w:pStyle w:val="NoSpacing"/>
              <w:rPr>
                <w:rFonts w:ascii="Times New Roman" w:hAnsi="Times New Roman"/>
                <w:sz w:val="20"/>
                <w:szCs w:val="20"/>
              </w:rPr>
            </w:pPr>
          </w:p>
        </w:tc>
        <w:tc>
          <w:tcPr>
            <w:tcW w:w="3658" w:type="dxa"/>
            <w:gridSpan w:val="2"/>
            <w:tcBorders>
              <w:top w:val="single" w:sz="4" w:space="0" w:color="auto"/>
              <w:bottom w:val="single" w:sz="4" w:space="0" w:color="auto"/>
            </w:tcBorders>
          </w:tcPr>
          <w:p w14:paraId="46911CEE" w14:textId="77777777" w:rsidR="002E4299" w:rsidRPr="008C1059" w:rsidRDefault="002E4299" w:rsidP="005744E1">
            <w:pPr>
              <w:pStyle w:val="NoSpacing"/>
              <w:jc w:val="center"/>
              <w:rPr>
                <w:rFonts w:ascii="Times New Roman" w:hAnsi="Times New Roman"/>
                <w:sz w:val="20"/>
                <w:szCs w:val="20"/>
              </w:rPr>
            </w:pPr>
            <w:r w:rsidRPr="008C1059">
              <w:rPr>
                <w:rFonts w:ascii="Times New Roman" w:hAnsi="Times New Roman"/>
                <w:sz w:val="20"/>
                <w:szCs w:val="20"/>
              </w:rPr>
              <w:t>Normal RBC indices</w:t>
            </w:r>
          </w:p>
        </w:tc>
        <w:tc>
          <w:tcPr>
            <w:tcW w:w="233" w:type="dxa"/>
            <w:tcBorders>
              <w:bottom w:val="nil"/>
            </w:tcBorders>
          </w:tcPr>
          <w:p w14:paraId="480FACB4" w14:textId="77777777" w:rsidR="002E4299" w:rsidRPr="008C1059" w:rsidRDefault="002E4299" w:rsidP="005744E1">
            <w:pPr>
              <w:pStyle w:val="NoSpacing"/>
              <w:jc w:val="center"/>
              <w:rPr>
                <w:rFonts w:ascii="Times New Roman" w:hAnsi="Times New Roman"/>
                <w:sz w:val="20"/>
                <w:szCs w:val="20"/>
              </w:rPr>
            </w:pPr>
          </w:p>
        </w:tc>
        <w:tc>
          <w:tcPr>
            <w:tcW w:w="3512" w:type="dxa"/>
            <w:gridSpan w:val="2"/>
            <w:tcBorders>
              <w:top w:val="single" w:sz="4" w:space="0" w:color="auto"/>
              <w:bottom w:val="single" w:sz="4" w:space="0" w:color="auto"/>
            </w:tcBorders>
          </w:tcPr>
          <w:p w14:paraId="1C6151DB" w14:textId="77777777" w:rsidR="002E4299" w:rsidRPr="008C1059" w:rsidRDefault="002E4299" w:rsidP="005744E1">
            <w:pPr>
              <w:pStyle w:val="NoSpacing"/>
              <w:jc w:val="center"/>
              <w:rPr>
                <w:rFonts w:ascii="Times New Roman" w:hAnsi="Times New Roman"/>
                <w:sz w:val="20"/>
                <w:szCs w:val="20"/>
              </w:rPr>
            </w:pPr>
            <w:r w:rsidRPr="008C1059">
              <w:rPr>
                <w:rFonts w:ascii="Times New Roman" w:hAnsi="Times New Roman"/>
                <w:sz w:val="20"/>
                <w:szCs w:val="20"/>
              </w:rPr>
              <w:t>Abnormal RBC indices</w:t>
            </w:r>
          </w:p>
        </w:tc>
      </w:tr>
      <w:tr w:rsidR="002E4299" w:rsidRPr="008C1059" w14:paraId="6DE66BDC" w14:textId="77777777" w:rsidTr="005744E1">
        <w:tc>
          <w:tcPr>
            <w:tcW w:w="1244" w:type="dxa"/>
            <w:tcBorders>
              <w:top w:val="nil"/>
              <w:bottom w:val="single" w:sz="4" w:space="0" w:color="auto"/>
            </w:tcBorders>
          </w:tcPr>
          <w:p w14:paraId="4D5FCB5F" w14:textId="77777777" w:rsidR="002E4299" w:rsidRPr="008C1059" w:rsidRDefault="002E4299" w:rsidP="005744E1">
            <w:pPr>
              <w:pStyle w:val="NoSpacing"/>
              <w:rPr>
                <w:rFonts w:ascii="Times New Roman" w:hAnsi="Times New Roman"/>
                <w:sz w:val="20"/>
                <w:szCs w:val="20"/>
              </w:rPr>
            </w:pPr>
            <w:r w:rsidRPr="008C1059">
              <w:rPr>
                <w:rFonts w:ascii="Times New Roman" w:hAnsi="Times New Roman"/>
                <w:sz w:val="20"/>
                <w:szCs w:val="20"/>
              </w:rPr>
              <w:t>HbA1c (%)</w:t>
            </w:r>
          </w:p>
        </w:tc>
        <w:tc>
          <w:tcPr>
            <w:tcW w:w="1766" w:type="dxa"/>
            <w:tcBorders>
              <w:top w:val="single" w:sz="4" w:space="0" w:color="auto"/>
              <w:bottom w:val="single" w:sz="4" w:space="0" w:color="auto"/>
            </w:tcBorders>
          </w:tcPr>
          <w:p w14:paraId="6F09D6D9" w14:textId="77777777" w:rsidR="002E4299" w:rsidRPr="008C1059" w:rsidRDefault="002E4299" w:rsidP="005744E1">
            <w:pPr>
              <w:pStyle w:val="NoSpacing"/>
              <w:jc w:val="center"/>
              <w:rPr>
                <w:rFonts w:ascii="Times New Roman" w:hAnsi="Times New Roman"/>
                <w:sz w:val="20"/>
                <w:szCs w:val="20"/>
              </w:rPr>
            </w:pPr>
            <w:r w:rsidRPr="008C1059">
              <w:rPr>
                <w:rFonts w:ascii="Times New Roman" w:hAnsi="Times New Roman"/>
                <w:sz w:val="20"/>
                <w:szCs w:val="20"/>
              </w:rPr>
              <w:t>Sensitivity</w:t>
            </w:r>
          </w:p>
        </w:tc>
        <w:tc>
          <w:tcPr>
            <w:tcW w:w="1892" w:type="dxa"/>
            <w:tcBorders>
              <w:top w:val="single" w:sz="4" w:space="0" w:color="auto"/>
              <w:bottom w:val="single" w:sz="4" w:space="0" w:color="auto"/>
            </w:tcBorders>
          </w:tcPr>
          <w:p w14:paraId="67842CC7" w14:textId="77777777" w:rsidR="002E4299" w:rsidRPr="008C1059" w:rsidRDefault="002E4299" w:rsidP="005744E1">
            <w:pPr>
              <w:pStyle w:val="NoSpacing"/>
              <w:jc w:val="center"/>
              <w:rPr>
                <w:rFonts w:ascii="Times New Roman" w:hAnsi="Times New Roman"/>
                <w:sz w:val="20"/>
                <w:szCs w:val="20"/>
              </w:rPr>
            </w:pPr>
            <w:r w:rsidRPr="008C1059">
              <w:rPr>
                <w:rFonts w:ascii="Times New Roman" w:hAnsi="Times New Roman"/>
                <w:sz w:val="20"/>
                <w:szCs w:val="20"/>
              </w:rPr>
              <w:t>Specificity</w:t>
            </w:r>
          </w:p>
        </w:tc>
        <w:tc>
          <w:tcPr>
            <w:tcW w:w="233" w:type="dxa"/>
            <w:tcBorders>
              <w:top w:val="nil"/>
              <w:bottom w:val="single" w:sz="4" w:space="0" w:color="auto"/>
            </w:tcBorders>
          </w:tcPr>
          <w:p w14:paraId="54B6C880" w14:textId="77777777" w:rsidR="002E4299" w:rsidRPr="008C1059" w:rsidRDefault="002E4299" w:rsidP="005744E1">
            <w:pPr>
              <w:pStyle w:val="NoSpacing"/>
              <w:jc w:val="center"/>
              <w:rPr>
                <w:rFonts w:ascii="Times New Roman" w:hAnsi="Times New Roman"/>
                <w:sz w:val="20"/>
                <w:szCs w:val="20"/>
              </w:rPr>
            </w:pPr>
          </w:p>
        </w:tc>
        <w:tc>
          <w:tcPr>
            <w:tcW w:w="1923" w:type="dxa"/>
            <w:tcBorders>
              <w:top w:val="single" w:sz="4" w:space="0" w:color="auto"/>
              <w:bottom w:val="single" w:sz="4" w:space="0" w:color="auto"/>
            </w:tcBorders>
          </w:tcPr>
          <w:p w14:paraId="0336BA29" w14:textId="77777777" w:rsidR="002E4299" w:rsidRPr="008C1059" w:rsidRDefault="002E4299" w:rsidP="005744E1">
            <w:pPr>
              <w:pStyle w:val="NoSpacing"/>
              <w:jc w:val="center"/>
              <w:rPr>
                <w:rFonts w:ascii="Times New Roman" w:hAnsi="Times New Roman"/>
                <w:sz w:val="20"/>
                <w:szCs w:val="20"/>
              </w:rPr>
            </w:pPr>
            <w:r w:rsidRPr="008C1059">
              <w:rPr>
                <w:rFonts w:ascii="Times New Roman" w:hAnsi="Times New Roman"/>
                <w:sz w:val="20"/>
                <w:szCs w:val="20"/>
              </w:rPr>
              <w:t>Sensitivity</w:t>
            </w:r>
          </w:p>
        </w:tc>
        <w:tc>
          <w:tcPr>
            <w:tcW w:w="1589" w:type="dxa"/>
            <w:tcBorders>
              <w:top w:val="single" w:sz="4" w:space="0" w:color="auto"/>
              <w:bottom w:val="single" w:sz="4" w:space="0" w:color="auto"/>
            </w:tcBorders>
          </w:tcPr>
          <w:p w14:paraId="65905A55" w14:textId="77777777" w:rsidR="002E4299" w:rsidRPr="008C1059" w:rsidRDefault="002E4299" w:rsidP="005744E1">
            <w:pPr>
              <w:pStyle w:val="NoSpacing"/>
              <w:jc w:val="center"/>
              <w:rPr>
                <w:rFonts w:ascii="Times New Roman" w:hAnsi="Times New Roman"/>
                <w:sz w:val="20"/>
                <w:szCs w:val="20"/>
              </w:rPr>
            </w:pPr>
            <w:r w:rsidRPr="008C1059">
              <w:rPr>
                <w:rFonts w:ascii="Times New Roman" w:hAnsi="Times New Roman"/>
                <w:sz w:val="20"/>
                <w:szCs w:val="20"/>
              </w:rPr>
              <w:t>Specificity</w:t>
            </w:r>
          </w:p>
        </w:tc>
      </w:tr>
      <w:tr w:rsidR="002E4299" w:rsidRPr="008C1059" w14:paraId="70ABAEBD" w14:textId="77777777" w:rsidTr="005744E1">
        <w:tc>
          <w:tcPr>
            <w:tcW w:w="1244" w:type="dxa"/>
            <w:tcBorders>
              <w:top w:val="single" w:sz="4" w:space="0" w:color="auto"/>
            </w:tcBorders>
          </w:tcPr>
          <w:p w14:paraId="3BC4C6DE" w14:textId="77777777" w:rsidR="002E4299" w:rsidRDefault="002E4299" w:rsidP="005744E1">
            <w:pPr>
              <w:pStyle w:val="NoSpacing"/>
              <w:rPr>
                <w:rFonts w:ascii="Times New Roman" w:hAnsi="Times New Roman"/>
                <w:sz w:val="20"/>
                <w:szCs w:val="20"/>
              </w:rPr>
            </w:pPr>
            <w:r>
              <w:rPr>
                <w:rFonts w:ascii="Times New Roman" w:hAnsi="Times New Roman"/>
                <w:sz w:val="20"/>
                <w:szCs w:val="20"/>
              </w:rPr>
              <w:t>4.6</w:t>
            </w:r>
          </w:p>
        </w:tc>
        <w:tc>
          <w:tcPr>
            <w:tcW w:w="1766" w:type="dxa"/>
            <w:tcBorders>
              <w:top w:val="single" w:sz="4" w:space="0" w:color="auto"/>
            </w:tcBorders>
          </w:tcPr>
          <w:p w14:paraId="070DF484" w14:textId="77777777" w:rsidR="002E4299" w:rsidRDefault="002E4299" w:rsidP="005744E1">
            <w:pPr>
              <w:pStyle w:val="NoSpacing"/>
              <w:jc w:val="center"/>
              <w:rPr>
                <w:rFonts w:ascii="Times New Roman" w:hAnsi="Times New Roman"/>
                <w:sz w:val="20"/>
                <w:szCs w:val="20"/>
              </w:rPr>
            </w:pPr>
            <w:r>
              <w:rPr>
                <w:rFonts w:ascii="Times New Roman" w:hAnsi="Times New Roman"/>
                <w:sz w:val="20"/>
                <w:szCs w:val="20"/>
              </w:rPr>
              <w:t>0.99</w:t>
            </w:r>
          </w:p>
        </w:tc>
        <w:tc>
          <w:tcPr>
            <w:tcW w:w="1892" w:type="dxa"/>
            <w:tcBorders>
              <w:top w:val="single" w:sz="4" w:space="0" w:color="auto"/>
            </w:tcBorders>
          </w:tcPr>
          <w:p w14:paraId="3D6A1277" w14:textId="77777777" w:rsidR="002E4299" w:rsidRDefault="002E4299" w:rsidP="005744E1">
            <w:pPr>
              <w:pStyle w:val="NoSpacing"/>
              <w:jc w:val="center"/>
              <w:rPr>
                <w:rFonts w:ascii="Times New Roman" w:hAnsi="Times New Roman"/>
                <w:sz w:val="20"/>
                <w:szCs w:val="20"/>
              </w:rPr>
            </w:pPr>
            <w:r>
              <w:rPr>
                <w:rFonts w:ascii="Times New Roman" w:hAnsi="Times New Roman"/>
                <w:sz w:val="20"/>
                <w:szCs w:val="20"/>
              </w:rPr>
              <w:t>0.02</w:t>
            </w:r>
          </w:p>
        </w:tc>
        <w:tc>
          <w:tcPr>
            <w:tcW w:w="233" w:type="dxa"/>
            <w:tcBorders>
              <w:top w:val="single" w:sz="4" w:space="0" w:color="auto"/>
            </w:tcBorders>
          </w:tcPr>
          <w:p w14:paraId="29534702" w14:textId="77777777" w:rsidR="002E4299" w:rsidRPr="008C1059" w:rsidRDefault="002E4299" w:rsidP="005744E1">
            <w:pPr>
              <w:pStyle w:val="NoSpacing"/>
              <w:jc w:val="center"/>
              <w:rPr>
                <w:rFonts w:ascii="Times New Roman" w:hAnsi="Times New Roman"/>
                <w:sz w:val="20"/>
                <w:szCs w:val="20"/>
              </w:rPr>
            </w:pPr>
          </w:p>
        </w:tc>
        <w:tc>
          <w:tcPr>
            <w:tcW w:w="1923" w:type="dxa"/>
            <w:tcBorders>
              <w:top w:val="single" w:sz="4" w:space="0" w:color="auto"/>
            </w:tcBorders>
          </w:tcPr>
          <w:p w14:paraId="7AD7E127"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1.00</w:t>
            </w:r>
          </w:p>
        </w:tc>
        <w:tc>
          <w:tcPr>
            <w:tcW w:w="1589" w:type="dxa"/>
            <w:tcBorders>
              <w:top w:val="single" w:sz="4" w:space="0" w:color="auto"/>
            </w:tcBorders>
          </w:tcPr>
          <w:p w14:paraId="46E595AB"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0.04</w:t>
            </w:r>
          </w:p>
        </w:tc>
      </w:tr>
      <w:tr w:rsidR="002E4299" w:rsidRPr="008C1059" w14:paraId="66CCA718" w14:textId="77777777" w:rsidTr="005744E1">
        <w:tc>
          <w:tcPr>
            <w:tcW w:w="1244" w:type="dxa"/>
          </w:tcPr>
          <w:p w14:paraId="055B7EE7" w14:textId="77777777" w:rsidR="002E4299" w:rsidRDefault="002E4299" w:rsidP="005744E1">
            <w:pPr>
              <w:pStyle w:val="NoSpacing"/>
              <w:rPr>
                <w:rFonts w:ascii="Times New Roman" w:hAnsi="Times New Roman"/>
                <w:sz w:val="20"/>
                <w:szCs w:val="20"/>
              </w:rPr>
            </w:pPr>
            <w:r>
              <w:rPr>
                <w:rFonts w:ascii="Times New Roman" w:hAnsi="Times New Roman"/>
                <w:sz w:val="20"/>
                <w:szCs w:val="20"/>
              </w:rPr>
              <w:t>4.7</w:t>
            </w:r>
          </w:p>
        </w:tc>
        <w:tc>
          <w:tcPr>
            <w:tcW w:w="1766" w:type="dxa"/>
          </w:tcPr>
          <w:p w14:paraId="2220094F" w14:textId="77777777" w:rsidR="002E4299" w:rsidRDefault="002E4299" w:rsidP="005744E1">
            <w:pPr>
              <w:pStyle w:val="NoSpacing"/>
              <w:jc w:val="center"/>
              <w:rPr>
                <w:rFonts w:ascii="Times New Roman" w:hAnsi="Times New Roman"/>
                <w:sz w:val="20"/>
                <w:szCs w:val="20"/>
              </w:rPr>
            </w:pPr>
            <w:r>
              <w:rPr>
                <w:rFonts w:ascii="Times New Roman" w:hAnsi="Times New Roman"/>
                <w:sz w:val="20"/>
                <w:szCs w:val="20"/>
              </w:rPr>
              <w:t>0.99</w:t>
            </w:r>
          </w:p>
        </w:tc>
        <w:tc>
          <w:tcPr>
            <w:tcW w:w="1892" w:type="dxa"/>
          </w:tcPr>
          <w:p w14:paraId="4211E7AD" w14:textId="77777777" w:rsidR="002E4299" w:rsidRDefault="002E4299" w:rsidP="005744E1">
            <w:pPr>
              <w:pStyle w:val="NoSpacing"/>
              <w:jc w:val="center"/>
              <w:rPr>
                <w:rFonts w:ascii="Times New Roman" w:hAnsi="Times New Roman"/>
                <w:sz w:val="20"/>
                <w:szCs w:val="20"/>
              </w:rPr>
            </w:pPr>
            <w:r>
              <w:rPr>
                <w:rFonts w:ascii="Times New Roman" w:hAnsi="Times New Roman"/>
                <w:sz w:val="20"/>
                <w:szCs w:val="20"/>
              </w:rPr>
              <w:t>0.04</w:t>
            </w:r>
          </w:p>
        </w:tc>
        <w:tc>
          <w:tcPr>
            <w:tcW w:w="233" w:type="dxa"/>
          </w:tcPr>
          <w:p w14:paraId="43F1B8BB" w14:textId="77777777" w:rsidR="002E4299" w:rsidRPr="008C1059" w:rsidRDefault="002E4299" w:rsidP="005744E1">
            <w:pPr>
              <w:pStyle w:val="NoSpacing"/>
              <w:jc w:val="center"/>
              <w:rPr>
                <w:rFonts w:ascii="Times New Roman" w:hAnsi="Times New Roman"/>
                <w:sz w:val="20"/>
                <w:szCs w:val="20"/>
              </w:rPr>
            </w:pPr>
          </w:p>
        </w:tc>
        <w:tc>
          <w:tcPr>
            <w:tcW w:w="1923" w:type="dxa"/>
          </w:tcPr>
          <w:p w14:paraId="2B48B274"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1.00</w:t>
            </w:r>
          </w:p>
        </w:tc>
        <w:tc>
          <w:tcPr>
            <w:tcW w:w="1589" w:type="dxa"/>
          </w:tcPr>
          <w:p w14:paraId="1EF2E1C9"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0.07</w:t>
            </w:r>
          </w:p>
        </w:tc>
      </w:tr>
      <w:tr w:rsidR="002E4299" w:rsidRPr="008C1059" w14:paraId="3856BE62" w14:textId="77777777" w:rsidTr="005744E1">
        <w:tc>
          <w:tcPr>
            <w:tcW w:w="1244" w:type="dxa"/>
          </w:tcPr>
          <w:p w14:paraId="54334412" w14:textId="77777777" w:rsidR="002E4299" w:rsidRPr="008C1059" w:rsidRDefault="002E4299" w:rsidP="005744E1">
            <w:pPr>
              <w:pStyle w:val="NoSpacing"/>
              <w:rPr>
                <w:rFonts w:ascii="Times New Roman" w:hAnsi="Times New Roman"/>
                <w:sz w:val="20"/>
                <w:szCs w:val="20"/>
              </w:rPr>
            </w:pPr>
            <w:r>
              <w:rPr>
                <w:rFonts w:ascii="Times New Roman" w:hAnsi="Times New Roman"/>
                <w:sz w:val="20"/>
                <w:szCs w:val="20"/>
              </w:rPr>
              <w:t>4.8</w:t>
            </w:r>
          </w:p>
        </w:tc>
        <w:tc>
          <w:tcPr>
            <w:tcW w:w="1766" w:type="dxa"/>
          </w:tcPr>
          <w:p w14:paraId="4DC74626"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0.98</w:t>
            </w:r>
          </w:p>
        </w:tc>
        <w:tc>
          <w:tcPr>
            <w:tcW w:w="1892" w:type="dxa"/>
          </w:tcPr>
          <w:p w14:paraId="70DAF0F3"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0.07</w:t>
            </w:r>
          </w:p>
        </w:tc>
        <w:tc>
          <w:tcPr>
            <w:tcW w:w="233" w:type="dxa"/>
          </w:tcPr>
          <w:p w14:paraId="1A5A8F9E" w14:textId="77777777" w:rsidR="002E4299" w:rsidRPr="008C1059" w:rsidRDefault="002E4299" w:rsidP="005744E1">
            <w:pPr>
              <w:pStyle w:val="NoSpacing"/>
              <w:jc w:val="center"/>
              <w:rPr>
                <w:rFonts w:ascii="Times New Roman" w:hAnsi="Times New Roman"/>
                <w:sz w:val="20"/>
                <w:szCs w:val="20"/>
              </w:rPr>
            </w:pPr>
          </w:p>
        </w:tc>
        <w:tc>
          <w:tcPr>
            <w:tcW w:w="1923" w:type="dxa"/>
          </w:tcPr>
          <w:p w14:paraId="1F446543"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1.00</w:t>
            </w:r>
          </w:p>
        </w:tc>
        <w:tc>
          <w:tcPr>
            <w:tcW w:w="1589" w:type="dxa"/>
          </w:tcPr>
          <w:p w14:paraId="1DED6C0C"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0.11</w:t>
            </w:r>
          </w:p>
        </w:tc>
      </w:tr>
      <w:tr w:rsidR="002E4299" w:rsidRPr="008C1059" w14:paraId="4947427F" w14:textId="77777777" w:rsidTr="005744E1">
        <w:tc>
          <w:tcPr>
            <w:tcW w:w="1244" w:type="dxa"/>
          </w:tcPr>
          <w:p w14:paraId="72D28E04" w14:textId="77777777" w:rsidR="002E4299" w:rsidRPr="008C1059" w:rsidRDefault="002E4299" w:rsidP="005744E1">
            <w:pPr>
              <w:pStyle w:val="NoSpacing"/>
              <w:rPr>
                <w:rFonts w:ascii="Times New Roman" w:hAnsi="Times New Roman"/>
                <w:sz w:val="20"/>
                <w:szCs w:val="20"/>
              </w:rPr>
            </w:pPr>
            <w:r>
              <w:rPr>
                <w:rFonts w:ascii="Times New Roman" w:hAnsi="Times New Roman"/>
                <w:sz w:val="20"/>
                <w:szCs w:val="20"/>
              </w:rPr>
              <w:t>4.9</w:t>
            </w:r>
          </w:p>
        </w:tc>
        <w:tc>
          <w:tcPr>
            <w:tcW w:w="1766" w:type="dxa"/>
          </w:tcPr>
          <w:p w14:paraId="129F162F"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0.95</w:t>
            </w:r>
          </w:p>
        </w:tc>
        <w:tc>
          <w:tcPr>
            <w:tcW w:w="1892" w:type="dxa"/>
          </w:tcPr>
          <w:p w14:paraId="7C22BDBF"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0.15</w:t>
            </w:r>
          </w:p>
        </w:tc>
        <w:tc>
          <w:tcPr>
            <w:tcW w:w="233" w:type="dxa"/>
          </w:tcPr>
          <w:p w14:paraId="5BD63CD3" w14:textId="77777777" w:rsidR="002E4299" w:rsidRPr="008C1059" w:rsidRDefault="002E4299" w:rsidP="005744E1">
            <w:pPr>
              <w:pStyle w:val="NoSpacing"/>
              <w:jc w:val="center"/>
              <w:rPr>
                <w:rFonts w:ascii="Times New Roman" w:hAnsi="Times New Roman"/>
                <w:sz w:val="20"/>
                <w:szCs w:val="20"/>
              </w:rPr>
            </w:pPr>
          </w:p>
        </w:tc>
        <w:tc>
          <w:tcPr>
            <w:tcW w:w="1923" w:type="dxa"/>
          </w:tcPr>
          <w:p w14:paraId="44E84EFB"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1.00</w:t>
            </w:r>
          </w:p>
        </w:tc>
        <w:tc>
          <w:tcPr>
            <w:tcW w:w="1589" w:type="dxa"/>
          </w:tcPr>
          <w:p w14:paraId="1F2AD558"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0.16</w:t>
            </w:r>
          </w:p>
        </w:tc>
      </w:tr>
      <w:tr w:rsidR="002E4299" w:rsidRPr="008C1059" w14:paraId="365068C2" w14:textId="77777777" w:rsidTr="005744E1">
        <w:tc>
          <w:tcPr>
            <w:tcW w:w="1244" w:type="dxa"/>
          </w:tcPr>
          <w:p w14:paraId="4DCEDE73" w14:textId="77777777" w:rsidR="002E4299" w:rsidRPr="008C1059" w:rsidRDefault="002E4299" w:rsidP="005744E1">
            <w:pPr>
              <w:pStyle w:val="NoSpacing"/>
              <w:rPr>
                <w:rFonts w:ascii="Times New Roman" w:hAnsi="Times New Roman"/>
                <w:sz w:val="20"/>
                <w:szCs w:val="20"/>
              </w:rPr>
            </w:pPr>
            <w:r>
              <w:rPr>
                <w:rFonts w:ascii="Times New Roman" w:hAnsi="Times New Roman"/>
                <w:sz w:val="20"/>
                <w:szCs w:val="20"/>
              </w:rPr>
              <w:t>5.0</w:t>
            </w:r>
          </w:p>
        </w:tc>
        <w:tc>
          <w:tcPr>
            <w:tcW w:w="1766" w:type="dxa"/>
          </w:tcPr>
          <w:p w14:paraId="1438B33A"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0.89</w:t>
            </w:r>
          </w:p>
        </w:tc>
        <w:tc>
          <w:tcPr>
            <w:tcW w:w="1892" w:type="dxa"/>
          </w:tcPr>
          <w:p w14:paraId="5E407C8E"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0.28</w:t>
            </w:r>
          </w:p>
        </w:tc>
        <w:tc>
          <w:tcPr>
            <w:tcW w:w="233" w:type="dxa"/>
          </w:tcPr>
          <w:p w14:paraId="6AF72E2C" w14:textId="77777777" w:rsidR="002E4299" w:rsidRPr="008C1059" w:rsidRDefault="002E4299" w:rsidP="005744E1">
            <w:pPr>
              <w:pStyle w:val="NoSpacing"/>
              <w:jc w:val="center"/>
              <w:rPr>
                <w:rFonts w:ascii="Times New Roman" w:hAnsi="Times New Roman"/>
                <w:sz w:val="20"/>
                <w:szCs w:val="20"/>
              </w:rPr>
            </w:pPr>
          </w:p>
        </w:tc>
        <w:tc>
          <w:tcPr>
            <w:tcW w:w="1923" w:type="dxa"/>
          </w:tcPr>
          <w:p w14:paraId="27B33EFA"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0.92</w:t>
            </w:r>
          </w:p>
        </w:tc>
        <w:tc>
          <w:tcPr>
            <w:tcW w:w="1589" w:type="dxa"/>
          </w:tcPr>
          <w:p w14:paraId="2283D35D"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0.23</w:t>
            </w:r>
          </w:p>
        </w:tc>
      </w:tr>
      <w:tr w:rsidR="002E4299" w:rsidRPr="008C1059" w14:paraId="47DCE91B" w14:textId="77777777" w:rsidTr="005744E1">
        <w:tc>
          <w:tcPr>
            <w:tcW w:w="1244" w:type="dxa"/>
          </w:tcPr>
          <w:p w14:paraId="45CFA960" w14:textId="77777777" w:rsidR="002E4299" w:rsidRPr="008C1059" w:rsidRDefault="002E4299" w:rsidP="005744E1">
            <w:pPr>
              <w:pStyle w:val="NoSpacing"/>
              <w:rPr>
                <w:rFonts w:ascii="Times New Roman" w:hAnsi="Times New Roman"/>
                <w:sz w:val="20"/>
                <w:szCs w:val="20"/>
              </w:rPr>
            </w:pPr>
            <w:r>
              <w:rPr>
                <w:rFonts w:ascii="Times New Roman" w:hAnsi="Times New Roman"/>
                <w:sz w:val="20"/>
                <w:szCs w:val="20"/>
              </w:rPr>
              <w:t>5.1</w:t>
            </w:r>
          </w:p>
        </w:tc>
        <w:tc>
          <w:tcPr>
            <w:tcW w:w="1766" w:type="dxa"/>
          </w:tcPr>
          <w:p w14:paraId="4AA1ABFB"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0.84</w:t>
            </w:r>
          </w:p>
        </w:tc>
        <w:tc>
          <w:tcPr>
            <w:tcW w:w="1892" w:type="dxa"/>
          </w:tcPr>
          <w:p w14:paraId="374F896F"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0.48</w:t>
            </w:r>
          </w:p>
        </w:tc>
        <w:tc>
          <w:tcPr>
            <w:tcW w:w="233" w:type="dxa"/>
          </w:tcPr>
          <w:p w14:paraId="01584B95" w14:textId="77777777" w:rsidR="002E4299" w:rsidRPr="008C1059" w:rsidRDefault="002E4299" w:rsidP="005744E1">
            <w:pPr>
              <w:pStyle w:val="NoSpacing"/>
              <w:jc w:val="center"/>
              <w:rPr>
                <w:rFonts w:ascii="Times New Roman" w:hAnsi="Times New Roman"/>
                <w:sz w:val="20"/>
                <w:szCs w:val="20"/>
              </w:rPr>
            </w:pPr>
          </w:p>
        </w:tc>
        <w:tc>
          <w:tcPr>
            <w:tcW w:w="1923" w:type="dxa"/>
          </w:tcPr>
          <w:p w14:paraId="335847F4"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0.88</w:t>
            </w:r>
          </w:p>
        </w:tc>
        <w:tc>
          <w:tcPr>
            <w:tcW w:w="1589" w:type="dxa"/>
          </w:tcPr>
          <w:p w14:paraId="5CCD37A7"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0.41</w:t>
            </w:r>
          </w:p>
        </w:tc>
      </w:tr>
      <w:tr w:rsidR="002E4299" w:rsidRPr="008C1059" w14:paraId="27919596" w14:textId="77777777" w:rsidTr="005744E1">
        <w:tc>
          <w:tcPr>
            <w:tcW w:w="1244" w:type="dxa"/>
          </w:tcPr>
          <w:p w14:paraId="00E79478" w14:textId="77777777" w:rsidR="002E4299" w:rsidRPr="008C1059" w:rsidRDefault="002E4299" w:rsidP="005744E1">
            <w:pPr>
              <w:pStyle w:val="NoSpacing"/>
              <w:rPr>
                <w:rFonts w:ascii="Times New Roman" w:hAnsi="Times New Roman"/>
                <w:sz w:val="20"/>
                <w:szCs w:val="20"/>
              </w:rPr>
            </w:pPr>
            <w:r>
              <w:rPr>
                <w:rFonts w:ascii="Times New Roman" w:hAnsi="Times New Roman"/>
                <w:sz w:val="20"/>
                <w:szCs w:val="20"/>
              </w:rPr>
              <w:t>5.2</w:t>
            </w:r>
          </w:p>
        </w:tc>
        <w:tc>
          <w:tcPr>
            <w:tcW w:w="1766" w:type="dxa"/>
          </w:tcPr>
          <w:p w14:paraId="4F376309"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0.71</w:t>
            </w:r>
          </w:p>
        </w:tc>
        <w:tc>
          <w:tcPr>
            <w:tcW w:w="1892" w:type="dxa"/>
          </w:tcPr>
          <w:p w14:paraId="1ADF26E4"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0.66</w:t>
            </w:r>
          </w:p>
        </w:tc>
        <w:tc>
          <w:tcPr>
            <w:tcW w:w="233" w:type="dxa"/>
          </w:tcPr>
          <w:p w14:paraId="7DE3B6DE" w14:textId="77777777" w:rsidR="002E4299" w:rsidRPr="008C1059" w:rsidRDefault="002E4299" w:rsidP="005744E1">
            <w:pPr>
              <w:pStyle w:val="NoSpacing"/>
              <w:jc w:val="center"/>
              <w:rPr>
                <w:rFonts w:ascii="Times New Roman" w:hAnsi="Times New Roman"/>
                <w:sz w:val="20"/>
                <w:szCs w:val="20"/>
              </w:rPr>
            </w:pPr>
          </w:p>
        </w:tc>
        <w:tc>
          <w:tcPr>
            <w:tcW w:w="1923" w:type="dxa"/>
          </w:tcPr>
          <w:p w14:paraId="23EB4BC6"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0.88</w:t>
            </w:r>
          </w:p>
        </w:tc>
        <w:tc>
          <w:tcPr>
            <w:tcW w:w="1589" w:type="dxa"/>
          </w:tcPr>
          <w:p w14:paraId="14C6BEC7"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0.57</w:t>
            </w:r>
          </w:p>
        </w:tc>
      </w:tr>
      <w:tr w:rsidR="002E4299" w:rsidRPr="008C1059" w14:paraId="3814C06D" w14:textId="77777777" w:rsidTr="005744E1">
        <w:tc>
          <w:tcPr>
            <w:tcW w:w="1244" w:type="dxa"/>
          </w:tcPr>
          <w:p w14:paraId="1724654D" w14:textId="77777777" w:rsidR="002E4299" w:rsidRPr="008C1059" w:rsidRDefault="002E4299" w:rsidP="005744E1">
            <w:pPr>
              <w:pStyle w:val="NoSpacing"/>
              <w:rPr>
                <w:rFonts w:ascii="Times New Roman" w:hAnsi="Times New Roman"/>
                <w:sz w:val="20"/>
                <w:szCs w:val="20"/>
              </w:rPr>
            </w:pPr>
            <w:r>
              <w:rPr>
                <w:rFonts w:ascii="Times New Roman" w:hAnsi="Times New Roman"/>
                <w:sz w:val="20"/>
                <w:szCs w:val="20"/>
              </w:rPr>
              <w:t>5.3</w:t>
            </w:r>
          </w:p>
        </w:tc>
        <w:tc>
          <w:tcPr>
            <w:tcW w:w="1766" w:type="dxa"/>
          </w:tcPr>
          <w:p w14:paraId="6A4EEB39"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0.55</w:t>
            </w:r>
          </w:p>
        </w:tc>
        <w:tc>
          <w:tcPr>
            <w:tcW w:w="1892" w:type="dxa"/>
          </w:tcPr>
          <w:p w14:paraId="70A2E902"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0.81</w:t>
            </w:r>
          </w:p>
        </w:tc>
        <w:tc>
          <w:tcPr>
            <w:tcW w:w="233" w:type="dxa"/>
          </w:tcPr>
          <w:p w14:paraId="34D1E2DF" w14:textId="77777777" w:rsidR="002E4299" w:rsidRPr="008C1059" w:rsidRDefault="002E4299" w:rsidP="005744E1">
            <w:pPr>
              <w:pStyle w:val="NoSpacing"/>
              <w:jc w:val="center"/>
              <w:rPr>
                <w:rFonts w:ascii="Times New Roman" w:hAnsi="Times New Roman"/>
                <w:sz w:val="20"/>
                <w:szCs w:val="20"/>
              </w:rPr>
            </w:pPr>
          </w:p>
        </w:tc>
        <w:tc>
          <w:tcPr>
            <w:tcW w:w="1923" w:type="dxa"/>
          </w:tcPr>
          <w:p w14:paraId="72F94346"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0.80</w:t>
            </w:r>
          </w:p>
        </w:tc>
        <w:tc>
          <w:tcPr>
            <w:tcW w:w="1589" w:type="dxa"/>
          </w:tcPr>
          <w:p w14:paraId="5F96D275"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0.70</w:t>
            </w:r>
          </w:p>
        </w:tc>
      </w:tr>
      <w:tr w:rsidR="002E4299" w:rsidRPr="008C1059" w14:paraId="2D3A8005" w14:textId="77777777" w:rsidTr="005744E1">
        <w:tc>
          <w:tcPr>
            <w:tcW w:w="1244" w:type="dxa"/>
          </w:tcPr>
          <w:p w14:paraId="0F26DAFC" w14:textId="77777777" w:rsidR="002E4299" w:rsidRPr="008C1059" w:rsidRDefault="002E4299" w:rsidP="005744E1">
            <w:pPr>
              <w:pStyle w:val="NoSpacing"/>
              <w:rPr>
                <w:rFonts w:ascii="Times New Roman" w:hAnsi="Times New Roman"/>
                <w:sz w:val="20"/>
                <w:szCs w:val="20"/>
              </w:rPr>
            </w:pPr>
            <w:r>
              <w:rPr>
                <w:rFonts w:ascii="Times New Roman" w:hAnsi="Times New Roman"/>
                <w:sz w:val="20"/>
                <w:szCs w:val="20"/>
              </w:rPr>
              <w:t>5.4</w:t>
            </w:r>
          </w:p>
        </w:tc>
        <w:tc>
          <w:tcPr>
            <w:tcW w:w="1766" w:type="dxa"/>
          </w:tcPr>
          <w:p w14:paraId="60ABB0AA"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0.47</w:t>
            </w:r>
          </w:p>
        </w:tc>
        <w:tc>
          <w:tcPr>
            <w:tcW w:w="1892" w:type="dxa"/>
          </w:tcPr>
          <w:p w14:paraId="35A54FA9"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0.90</w:t>
            </w:r>
          </w:p>
        </w:tc>
        <w:tc>
          <w:tcPr>
            <w:tcW w:w="233" w:type="dxa"/>
          </w:tcPr>
          <w:p w14:paraId="21EDE16F" w14:textId="77777777" w:rsidR="002E4299" w:rsidRPr="008C1059" w:rsidRDefault="002E4299" w:rsidP="005744E1">
            <w:pPr>
              <w:pStyle w:val="NoSpacing"/>
              <w:jc w:val="center"/>
              <w:rPr>
                <w:rFonts w:ascii="Times New Roman" w:hAnsi="Times New Roman"/>
                <w:sz w:val="20"/>
                <w:szCs w:val="20"/>
              </w:rPr>
            </w:pPr>
          </w:p>
        </w:tc>
        <w:tc>
          <w:tcPr>
            <w:tcW w:w="1923" w:type="dxa"/>
          </w:tcPr>
          <w:p w14:paraId="3DEE2D66"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0.56</w:t>
            </w:r>
          </w:p>
        </w:tc>
        <w:tc>
          <w:tcPr>
            <w:tcW w:w="1589" w:type="dxa"/>
          </w:tcPr>
          <w:p w14:paraId="7550863B"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0.83</w:t>
            </w:r>
          </w:p>
        </w:tc>
      </w:tr>
      <w:tr w:rsidR="002E4299" w:rsidRPr="008C1059" w14:paraId="0DE5A76B" w14:textId="77777777" w:rsidTr="005744E1">
        <w:tc>
          <w:tcPr>
            <w:tcW w:w="1244" w:type="dxa"/>
          </w:tcPr>
          <w:p w14:paraId="384DF996" w14:textId="77777777" w:rsidR="002E4299" w:rsidRPr="008C1059" w:rsidRDefault="002E4299" w:rsidP="005744E1">
            <w:pPr>
              <w:pStyle w:val="NoSpacing"/>
              <w:rPr>
                <w:rFonts w:ascii="Times New Roman" w:hAnsi="Times New Roman"/>
                <w:sz w:val="20"/>
                <w:szCs w:val="20"/>
              </w:rPr>
            </w:pPr>
            <w:r>
              <w:rPr>
                <w:rFonts w:ascii="Times New Roman" w:hAnsi="Times New Roman"/>
                <w:sz w:val="20"/>
                <w:szCs w:val="20"/>
              </w:rPr>
              <w:t>5.5</w:t>
            </w:r>
          </w:p>
        </w:tc>
        <w:tc>
          <w:tcPr>
            <w:tcW w:w="1766" w:type="dxa"/>
          </w:tcPr>
          <w:p w14:paraId="226CCB0F"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0.36</w:t>
            </w:r>
          </w:p>
        </w:tc>
        <w:tc>
          <w:tcPr>
            <w:tcW w:w="1892" w:type="dxa"/>
          </w:tcPr>
          <w:p w14:paraId="42B6B094"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0.95</w:t>
            </w:r>
          </w:p>
        </w:tc>
        <w:tc>
          <w:tcPr>
            <w:tcW w:w="233" w:type="dxa"/>
          </w:tcPr>
          <w:p w14:paraId="75A0E518" w14:textId="77777777" w:rsidR="002E4299" w:rsidRPr="008C1059" w:rsidRDefault="002E4299" w:rsidP="005744E1">
            <w:pPr>
              <w:pStyle w:val="NoSpacing"/>
              <w:jc w:val="center"/>
              <w:rPr>
                <w:rFonts w:ascii="Times New Roman" w:hAnsi="Times New Roman"/>
                <w:sz w:val="20"/>
                <w:szCs w:val="20"/>
              </w:rPr>
            </w:pPr>
          </w:p>
        </w:tc>
        <w:tc>
          <w:tcPr>
            <w:tcW w:w="1923" w:type="dxa"/>
          </w:tcPr>
          <w:p w14:paraId="3881C6ED"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0.40</w:t>
            </w:r>
          </w:p>
        </w:tc>
        <w:tc>
          <w:tcPr>
            <w:tcW w:w="1589" w:type="dxa"/>
          </w:tcPr>
          <w:p w14:paraId="65B939A7"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0.92</w:t>
            </w:r>
          </w:p>
        </w:tc>
      </w:tr>
      <w:tr w:rsidR="002E4299" w:rsidRPr="008C1059" w14:paraId="7D8AFFB0" w14:textId="77777777" w:rsidTr="005744E1">
        <w:tc>
          <w:tcPr>
            <w:tcW w:w="1244" w:type="dxa"/>
          </w:tcPr>
          <w:p w14:paraId="3E546EFD" w14:textId="77777777" w:rsidR="002E4299" w:rsidRPr="008C1059" w:rsidRDefault="002E4299" w:rsidP="005744E1">
            <w:pPr>
              <w:pStyle w:val="NoSpacing"/>
              <w:rPr>
                <w:rFonts w:ascii="Times New Roman" w:hAnsi="Times New Roman"/>
                <w:sz w:val="20"/>
                <w:szCs w:val="20"/>
              </w:rPr>
            </w:pPr>
            <w:r>
              <w:rPr>
                <w:rFonts w:ascii="Times New Roman" w:hAnsi="Times New Roman"/>
                <w:sz w:val="20"/>
                <w:szCs w:val="20"/>
              </w:rPr>
              <w:t>5.6</w:t>
            </w:r>
          </w:p>
        </w:tc>
        <w:tc>
          <w:tcPr>
            <w:tcW w:w="1766" w:type="dxa"/>
          </w:tcPr>
          <w:p w14:paraId="4832C5D0"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0.27</w:t>
            </w:r>
          </w:p>
        </w:tc>
        <w:tc>
          <w:tcPr>
            <w:tcW w:w="1892" w:type="dxa"/>
          </w:tcPr>
          <w:p w14:paraId="5EDB9799"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0.97</w:t>
            </w:r>
          </w:p>
        </w:tc>
        <w:tc>
          <w:tcPr>
            <w:tcW w:w="233" w:type="dxa"/>
          </w:tcPr>
          <w:p w14:paraId="2953BD06" w14:textId="77777777" w:rsidR="002E4299" w:rsidRPr="008C1059" w:rsidRDefault="002E4299" w:rsidP="005744E1">
            <w:pPr>
              <w:pStyle w:val="NoSpacing"/>
              <w:jc w:val="center"/>
              <w:rPr>
                <w:rFonts w:ascii="Times New Roman" w:hAnsi="Times New Roman"/>
                <w:sz w:val="20"/>
                <w:szCs w:val="20"/>
              </w:rPr>
            </w:pPr>
          </w:p>
        </w:tc>
        <w:tc>
          <w:tcPr>
            <w:tcW w:w="1923" w:type="dxa"/>
          </w:tcPr>
          <w:p w14:paraId="0C874D00"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0.40</w:t>
            </w:r>
          </w:p>
        </w:tc>
        <w:tc>
          <w:tcPr>
            <w:tcW w:w="1589" w:type="dxa"/>
          </w:tcPr>
          <w:p w14:paraId="3DA1A6DB"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0.95</w:t>
            </w:r>
          </w:p>
        </w:tc>
      </w:tr>
      <w:tr w:rsidR="002E4299" w:rsidRPr="008C1059" w14:paraId="443E7721" w14:textId="77777777" w:rsidTr="005744E1">
        <w:tc>
          <w:tcPr>
            <w:tcW w:w="1244" w:type="dxa"/>
          </w:tcPr>
          <w:p w14:paraId="588004DD" w14:textId="77777777" w:rsidR="002E4299" w:rsidRPr="008C1059" w:rsidRDefault="002E4299" w:rsidP="005744E1">
            <w:pPr>
              <w:pStyle w:val="NoSpacing"/>
              <w:rPr>
                <w:rFonts w:ascii="Times New Roman" w:hAnsi="Times New Roman"/>
                <w:sz w:val="20"/>
                <w:szCs w:val="20"/>
              </w:rPr>
            </w:pPr>
            <w:r>
              <w:rPr>
                <w:rFonts w:ascii="Times New Roman" w:hAnsi="Times New Roman"/>
                <w:sz w:val="20"/>
                <w:szCs w:val="20"/>
              </w:rPr>
              <w:t>5.7</w:t>
            </w:r>
          </w:p>
        </w:tc>
        <w:tc>
          <w:tcPr>
            <w:tcW w:w="1766" w:type="dxa"/>
          </w:tcPr>
          <w:p w14:paraId="42476AED"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0.23</w:t>
            </w:r>
          </w:p>
        </w:tc>
        <w:tc>
          <w:tcPr>
            <w:tcW w:w="1892" w:type="dxa"/>
          </w:tcPr>
          <w:p w14:paraId="48DDDB5E"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0.99</w:t>
            </w:r>
          </w:p>
        </w:tc>
        <w:tc>
          <w:tcPr>
            <w:tcW w:w="233" w:type="dxa"/>
          </w:tcPr>
          <w:p w14:paraId="023573C1" w14:textId="77777777" w:rsidR="002E4299" w:rsidRPr="008C1059" w:rsidRDefault="002E4299" w:rsidP="005744E1">
            <w:pPr>
              <w:pStyle w:val="NoSpacing"/>
              <w:jc w:val="center"/>
              <w:rPr>
                <w:rFonts w:ascii="Times New Roman" w:hAnsi="Times New Roman"/>
                <w:sz w:val="20"/>
                <w:szCs w:val="20"/>
              </w:rPr>
            </w:pPr>
          </w:p>
        </w:tc>
        <w:tc>
          <w:tcPr>
            <w:tcW w:w="1923" w:type="dxa"/>
          </w:tcPr>
          <w:p w14:paraId="57A654FB"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0.32</w:t>
            </w:r>
          </w:p>
        </w:tc>
        <w:tc>
          <w:tcPr>
            <w:tcW w:w="1589" w:type="dxa"/>
          </w:tcPr>
          <w:p w14:paraId="2316FEEC"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0.97</w:t>
            </w:r>
          </w:p>
        </w:tc>
      </w:tr>
      <w:tr w:rsidR="002E4299" w:rsidRPr="008C1059" w14:paraId="590CC014" w14:textId="77777777" w:rsidTr="005744E1">
        <w:tc>
          <w:tcPr>
            <w:tcW w:w="1244" w:type="dxa"/>
          </w:tcPr>
          <w:p w14:paraId="2B6D0D33" w14:textId="77777777" w:rsidR="002E4299" w:rsidRDefault="002E4299" w:rsidP="005744E1">
            <w:pPr>
              <w:pStyle w:val="NoSpacing"/>
              <w:rPr>
                <w:rFonts w:ascii="Times New Roman" w:hAnsi="Times New Roman"/>
                <w:sz w:val="20"/>
                <w:szCs w:val="20"/>
              </w:rPr>
            </w:pPr>
            <w:r>
              <w:rPr>
                <w:rFonts w:ascii="Times New Roman" w:hAnsi="Times New Roman"/>
                <w:sz w:val="20"/>
                <w:szCs w:val="20"/>
              </w:rPr>
              <w:t>5.8</w:t>
            </w:r>
          </w:p>
        </w:tc>
        <w:tc>
          <w:tcPr>
            <w:tcW w:w="1766" w:type="dxa"/>
          </w:tcPr>
          <w:p w14:paraId="11A019B3"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0.20</w:t>
            </w:r>
          </w:p>
        </w:tc>
        <w:tc>
          <w:tcPr>
            <w:tcW w:w="1892" w:type="dxa"/>
          </w:tcPr>
          <w:p w14:paraId="46069609"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0.99</w:t>
            </w:r>
          </w:p>
        </w:tc>
        <w:tc>
          <w:tcPr>
            <w:tcW w:w="233" w:type="dxa"/>
          </w:tcPr>
          <w:p w14:paraId="05B69EFB" w14:textId="77777777" w:rsidR="002E4299" w:rsidRPr="008C1059" w:rsidRDefault="002E4299" w:rsidP="005744E1">
            <w:pPr>
              <w:pStyle w:val="NoSpacing"/>
              <w:jc w:val="center"/>
              <w:rPr>
                <w:rFonts w:ascii="Times New Roman" w:hAnsi="Times New Roman"/>
                <w:sz w:val="20"/>
                <w:szCs w:val="20"/>
              </w:rPr>
            </w:pPr>
          </w:p>
        </w:tc>
        <w:tc>
          <w:tcPr>
            <w:tcW w:w="1923" w:type="dxa"/>
          </w:tcPr>
          <w:p w14:paraId="49FDB024"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0.28</w:t>
            </w:r>
          </w:p>
        </w:tc>
        <w:tc>
          <w:tcPr>
            <w:tcW w:w="1589" w:type="dxa"/>
          </w:tcPr>
          <w:p w14:paraId="245B2E52"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1.00</w:t>
            </w:r>
          </w:p>
        </w:tc>
      </w:tr>
      <w:tr w:rsidR="002E4299" w:rsidRPr="008C1059" w14:paraId="3CC55FD6" w14:textId="77777777" w:rsidTr="005744E1">
        <w:tc>
          <w:tcPr>
            <w:tcW w:w="1244" w:type="dxa"/>
          </w:tcPr>
          <w:p w14:paraId="59319342" w14:textId="77777777" w:rsidR="002E4299" w:rsidRDefault="002E4299" w:rsidP="005744E1">
            <w:pPr>
              <w:pStyle w:val="NoSpacing"/>
              <w:rPr>
                <w:rFonts w:ascii="Times New Roman" w:hAnsi="Times New Roman"/>
                <w:sz w:val="20"/>
                <w:szCs w:val="20"/>
              </w:rPr>
            </w:pPr>
            <w:r>
              <w:rPr>
                <w:rFonts w:ascii="Times New Roman" w:hAnsi="Times New Roman"/>
                <w:sz w:val="20"/>
                <w:szCs w:val="20"/>
              </w:rPr>
              <w:t>5.9</w:t>
            </w:r>
          </w:p>
        </w:tc>
        <w:tc>
          <w:tcPr>
            <w:tcW w:w="1766" w:type="dxa"/>
          </w:tcPr>
          <w:p w14:paraId="5DEB3C91"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0.17</w:t>
            </w:r>
          </w:p>
        </w:tc>
        <w:tc>
          <w:tcPr>
            <w:tcW w:w="1892" w:type="dxa"/>
          </w:tcPr>
          <w:p w14:paraId="247F6E9A"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0.99</w:t>
            </w:r>
          </w:p>
        </w:tc>
        <w:tc>
          <w:tcPr>
            <w:tcW w:w="233" w:type="dxa"/>
          </w:tcPr>
          <w:p w14:paraId="47C2E150" w14:textId="77777777" w:rsidR="002E4299" w:rsidRPr="008C1059" w:rsidRDefault="002E4299" w:rsidP="005744E1">
            <w:pPr>
              <w:pStyle w:val="NoSpacing"/>
              <w:jc w:val="center"/>
              <w:rPr>
                <w:rFonts w:ascii="Times New Roman" w:hAnsi="Times New Roman"/>
                <w:sz w:val="20"/>
                <w:szCs w:val="20"/>
              </w:rPr>
            </w:pPr>
          </w:p>
        </w:tc>
        <w:tc>
          <w:tcPr>
            <w:tcW w:w="1923" w:type="dxa"/>
          </w:tcPr>
          <w:p w14:paraId="1A4A8BF6"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0.24</w:t>
            </w:r>
          </w:p>
        </w:tc>
        <w:tc>
          <w:tcPr>
            <w:tcW w:w="1589" w:type="dxa"/>
          </w:tcPr>
          <w:p w14:paraId="38E8244D"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1.00</w:t>
            </w:r>
          </w:p>
        </w:tc>
      </w:tr>
      <w:tr w:rsidR="002E4299" w:rsidRPr="008C1059" w14:paraId="347131A6" w14:textId="77777777" w:rsidTr="005744E1">
        <w:tc>
          <w:tcPr>
            <w:tcW w:w="1244" w:type="dxa"/>
          </w:tcPr>
          <w:p w14:paraId="7AFA619E" w14:textId="77777777" w:rsidR="002E4299" w:rsidRDefault="002E4299" w:rsidP="005744E1">
            <w:pPr>
              <w:pStyle w:val="NoSpacing"/>
              <w:rPr>
                <w:rFonts w:ascii="Times New Roman" w:hAnsi="Times New Roman"/>
                <w:sz w:val="20"/>
                <w:szCs w:val="20"/>
              </w:rPr>
            </w:pPr>
            <w:r>
              <w:rPr>
                <w:rFonts w:ascii="Times New Roman" w:hAnsi="Times New Roman"/>
                <w:sz w:val="20"/>
                <w:szCs w:val="20"/>
              </w:rPr>
              <w:t>6.0</w:t>
            </w:r>
          </w:p>
        </w:tc>
        <w:tc>
          <w:tcPr>
            <w:tcW w:w="1766" w:type="dxa"/>
          </w:tcPr>
          <w:p w14:paraId="727FD22C"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0.14</w:t>
            </w:r>
          </w:p>
        </w:tc>
        <w:tc>
          <w:tcPr>
            <w:tcW w:w="1892" w:type="dxa"/>
          </w:tcPr>
          <w:p w14:paraId="2CAED1DB"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1.00</w:t>
            </w:r>
          </w:p>
        </w:tc>
        <w:tc>
          <w:tcPr>
            <w:tcW w:w="233" w:type="dxa"/>
          </w:tcPr>
          <w:p w14:paraId="49B57961" w14:textId="77777777" w:rsidR="002E4299" w:rsidRPr="008C1059" w:rsidRDefault="002E4299" w:rsidP="005744E1">
            <w:pPr>
              <w:pStyle w:val="NoSpacing"/>
              <w:jc w:val="center"/>
              <w:rPr>
                <w:rFonts w:ascii="Times New Roman" w:hAnsi="Times New Roman"/>
                <w:sz w:val="20"/>
                <w:szCs w:val="20"/>
              </w:rPr>
            </w:pPr>
          </w:p>
        </w:tc>
        <w:tc>
          <w:tcPr>
            <w:tcW w:w="1923" w:type="dxa"/>
          </w:tcPr>
          <w:p w14:paraId="51FE4844"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0.22</w:t>
            </w:r>
          </w:p>
        </w:tc>
        <w:tc>
          <w:tcPr>
            <w:tcW w:w="1589" w:type="dxa"/>
          </w:tcPr>
          <w:p w14:paraId="2327443A"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1.00</w:t>
            </w:r>
          </w:p>
        </w:tc>
      </w:tr>
      <w:tr w:rsidR="002E4299" w:rsidRPr="008C1059" w14:paraId="794DAE20" w14:textId="77777777" w:rsidTr="005744E1">
        <w:tc>
          <w:tcPr>
            <w:tcW w:w="1244" w:type="dxa"/>
          </w:tcPr>
          <w:p w14:paraId="758A7934" w14:textId="77777777" w:rsidR="002E4299" w:rsidRDefault="002E4299" w:rsidP="005744E1">
            <w:pPr>
              <w:pStyle w:val="NoSpacing"/>
              <w:rPr>
                <w:rFonts w:ascii="Times New Roman" w:hAnsi="Times New Roman"/>
                <w:sz w:val="20"/>
                <w:szCs w:val="20"/>
              </w:rPr>
            </w:pPr>
            <w:r>
              <w:rPr>
                <w:rFonts w:ascii="Times New Roman" w:hAnsi="Times New Roman"/>
                <w:sz w:val="20"/>
                <w:szCs w:val="20"/>
              </w:rPr>
              <w:t>6.1</w:t>
            </w:r>
          </w:p>
        </w:tc>
        <w:tc>
          <w:tcPr>
            <w:tcW w:w="1766" w:type="dxa"/>
          </w:tcPr>
          <w:p w14:paraId="5C58C02B"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0.10</w:t>
            </w:r>
          </w:p>
        </w:tc>
        <w:tc>
          <w:tcPr>
            <w:tcW w:w="1892" w:type="dxa"/>
          </w:tcPr>
          <w:p w14:paraId="53D10A43"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1.00</w:t>
            </w:r>
          </w:p>
        </w:tc>
        <w:tc>
          <w:tcPr>
            <w:tcW w:w="233" w:type="dxa"/>
          </w:tcPr>
          <w:p w14:paraId="1583819C" w14:textId="77777777" w:rsidR="002E4299" w:rsidRPr="008C1059" w:rsidRDefault="002E4299" w:rsidP="005744E1">
            <w:pPr>
              <w:pStyle w:val="NoSpacing"/>
              <w:jc w:val="center"/>
              <w:rPr>
                <w:rFonts w:ascii="Times New Roman" w:hAnsi="Times New Roman"/>
                <w:sz w:val="20"/>
                <w:szCs w:val="20"/>
              </w:rPr>
            </w:pPr>
          </w:p>
        </w:tc>
        <w:tc>
          <w:tcPr>
            <w:tcW w:w="1923" w:type="dxa"/>
          </w:tcPr>
          <w:p w14:paraId="71100C45"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0.20</w:t>
            </w:r>
          </w:p>
        </w:tc>
        <w:tc>
          <w:tcPr>
            <w:tcW w:w="1589" w:type="dxa"/>
          </w:tcPr>
          <w:p w14:paraId="0FB3A1AA" w14:textId="77777777" w:rsidR="002E4299" w:rsidRPr="008C1059" w:rsidRDefault="002E4299" w:rsidP="005744E1">
            <w:pPr>
              <w:pStyle w:val="NoSpacing"/>
              <w:jc w:val="center"/>
              <w:rPr>
                <w:rFonts w:ascii="Times New Roman" w:hAnsi="Times New Roman"/>
                <w:sz w:val="20"/>
                <w:szCs w:val="20"/>
              </w:rPr>
            </w:pPr>
            <w:r>
              <w:rPr>
                <w:rFonts w:ascii="Times New Roman" w:hAnsi="Times New Roman"/>
                <w:sz w:val="20"/>
                <w:szCs w:val="20"/>
              </w:rPr>
              <w:t>1.00</w:t>
            </w:r>
          </w:p>
        </w:tc>
      </w:tr>
    </w:tbl>
    <w:p w14:paraId="341E0ABF" w14:textId="77777777" w:rsidR="002E4299" w:rsidRPr="00FB658F" w:rsidRDefault="002E4299" w:rsidP="002E4299">
      <w:pPr>
        <w:pStyle w:val="NoSpacing"/>
        <w:spacing w:line="480" w:lineRule="auto"/>
        <w:rPr>
          <w:rFonts w:ascii="Times New Roman" w:hAnsi="Times New Roman"/>
          <w:sz w:val="20"/>
          <w:szCs w:val="20"/>
        </w:rPr>
      </w:pPr>
      <w:r>
        <w:rPr>
          <w:rFonts w:ascii="Times New Roman" w:hAnsi="Times New Roman"/>
          <w:sz w:val="20"/>
          <w:szCs w:val="20"/>
        </w:rPr>
        <w:t>HbA1c, glycated hemoglobin; RBC, red blood cell.</w:t>
      </w:r>
    </w:p>
    <w:p w14:paraId="7F8F0472" w14:textId="77777777" w:rsidR="002E4299" w:rsidRDefault="002E4299" w:rsidP="002E4299">
      <w:pPr>
        <w:pStyle w:val="NoSpacing"/>
      </w:pPr>
    </w:p>
    <w:p w14:paraId="7291731C" w14:textId="2D2970D4" w:rsidR="002E4299" w:rsidRPr="002E4299" w:rsidRDefault="002E4299">
      <w:pPr>
        <w:spacing w:after="0" w:line="240" w:lineRule="auto"/>
        <w:rPr>
          <w:rFonts w:ascii="Times New Roman" w:hAnsi="Times New Roman"/>
          <w:sz w:val="20"/>
          <w:szCs w:val="20"/>
        </w:rPr>
      </w:pPr>
    </w:p>
    <w:p w14:paraId="57F3344C" w14:textId="77777777" w:rsidR="008E032F" w:rsidRPr="000258FA" w:rsidRDefault="008E032F" w:rsidP="00334955">
      <w:pPr>
        <w:spacing w:after="0" w:line="480" w:lineRule="auto"/>
        <w:rPr>
          <w:rFonts w:ascii="Times New Roman" w:hAnsi="Times New Roman"/>
          <w:sz w:val="24"/>
          <w:szCs w:val="24"/>
          <w:lang w:val="en-GB"/>
        </w:rPr>
      </w:pPr>
    </w:p>
    <w:sectPr w:rsidR="008E032F" w:rsidRPr="000258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A0602" w14:textId="77777777" w:rsidR="009962B7" w:rsidRDefault="009962B7" w:rsidP="0061686B">
      <w:pPr>
        <w:spacing w:after="0" w:line="240" w:lineRule="auto"/>
      </w:pPr>
      <w:r>
        <w:separator/>
      </w:r>
    </w:p>
  </w:endnote>
  <w:endnote w:type="continuationSeparator" w:id="0">
    <w:p w14:paraId="04161884" w14:textId="77777777" w:rsidR="009962B7" w:rsidRDefault="009962B7" w:rsidP="00616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nionPro-Regular">
    <w:altName w:val="MS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806A1" w14:textId="7AD753D8" w:rsidR="00AB780C" w:rsidRDefault="00AB780C">
    <w:pPr>
      <w:pStyle w:val="Footer"/>
      <w:jc w:val="right"/>
    </w:pPr>
    <w:r>
      <w:fldChar w:fldCharType="begin"/>
    </w:r>
    <w:r>
      <w:instrText xml:space="preserve"> PAGE   \* MERGEFORMAT </w:instrText>
    </w:r>
    <w:r>
      <w:fldChar w:fldCharType="separate"/>
    </w:r>
    <w:r w:rsidR="00F2334B">
      <w:rPr>
        <w:noProof/>
      </w:rPr>
      <w:t>4</w:t>
    </w:r>
    <w:r>
      <w:rPr>
        <w:noProof/>
      </w:rPr>
      <w:fldChar w:fldCharType="end"/>
    </w:r>
  </w:p>
  <w:p w14:paraId="6773367D" w14:textId="77777777" w:rsidR="00AB780C" w:rsidRDefault="00AB780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A763C" w14:textId="77777777" w:rsidR="00AB780C" w:rsidRDefault="00AB780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49D02" w14:textId="77777777" w:rsidR="009962B7" w:rsidRDefault="009962B7" w:rsidP="0061686B">
      <w:pPr>
        <w:spacing w:after="0" w:line="240" w:lineRule="auto"/>
      </w:pPr>
      <w:r>
        <w:separator/>
      </w:r>
    </w:p>
  </w:footnote>
  <w:footnote w:type="continuationSeparator" w:id="0">
    <w:p w14:paraId="3D2DE7F1" w14:textId="77777777" w:rsidR="009962B7" w:rsidRDefault="009962B7" w:rsidP="006168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3F03D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70EBF"/>
    <w:multiLevelType w:val="hybridMultilevel"/>
    <w:tmpl w:val="8AA2DDDE"/>
    <w:lvl w:ilvl="0" w:tplc="6F64E50C">
      <w:start w:val="19"/>
      <w:numFmt w:val="bullet"/>
      <w:lvlText w:val="-"/>
      <w:lvlJc w:val="left"/>
      <w:pPr>
        <w:ind w:left="720" w:hanging="360"/>
      </w:pPr>
      <w:rPr>
        <w:rFonts w:ascii="Calibri" w:eastAsia="Calibr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1F694545"/>
    <w:multiLevelType w:val="hybridMultilevel"/>
    <w:tmpl w:val="44A619B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21E22274"/>
    <w:multiLevelType w:val="hybridMultilevel"/>
    <w:tmpl w:val="7716FEBC"/>
    <w:lvl w:ilvl="0" w:tplc="30DAA042">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13FD2"/>
    <w:multiLevelType w:val="hybridMultilevel"/>
    <w:tmpl w:val="A4D2946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40234C3E"/>
    <w:multiLevelType w:val="hybridMultilevel"/>
    <w:tmpl w:val="6AD4A11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44B35969"/>
    <w:multiLevelType w:val="hybridMultilevel"/>
    <w:tmpl w:val="7020E43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4F43767C"/>
    <w:multiLevelType w:val="hybridMultilevel"/>
    <w:tmpl w:val="ECBC815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F44215E"/>
    <w:multiLevelType w:val="hybridMultilevel"/>
    <w:tmpl w:val="FD400E2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5C811138"/>
    <w:multiLevelType w:val="hybridMultilevel"/>
    <w:tmpl w:val="7EF634B2"/>
    <w:lvl w:ilvl="0" w:tplc="18F848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
  </w:num>
  <w:num w:numId="4">
    <w:abstractNumId w:val="4"/>
  </w:num>
  <w:num w:numId="5">
    <w:abstractNumId w:val="7"/>
  </w:num>
  <w:num w:numId="6">
    <w:abstractNumId w:val="8"/>
  </w:num>
  <w:num w:numId="7">
    <w:abstractNumId w:val="6"/>
  </w:num>
  <w:num w:numId="8">
    <w:abstractNumId w:val="0"/>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092"/>
    <w:rsid w:val="00000041"/>
    <w:rsid w:val="0000102F"/>
    <w:rsid w:val="00001F2D"/>
    <w:rsid w:val="000033BA"/>
    <w:rsid w:val="0000417B"/>
    <w:rsid w:val="00004558"/>
    <w:rsid w:val="00004675"/>
    <w:rsid w:val="0000524E"/>
    <w:rsid w:val="000062A0"/>
    <w:rsid w:val="000066C7"/>
    <w:rsid w:val="00006CC0"/>
    <w:rsid w:val="000074BA"/>
    <w:rsid w:val="00010541"/>
    <w:rsid w:val="0001199D"/>
    <w:rsid w:val="0001203D"/>
    <w:rsid w:val="0001330F"/>
    <w:rsid w:val="000148ED"/>
    <w:rsid w:val="0001547A"/>
    <w:rsid w:val="00015D4D"/>
    <w:rsid w:val="00016DC4"/>
    <w:rsid w:val="000205CA"/>
    <w:rsid w:val="000209AB"/>
    <w:rsid w:val="00022C78"/>
    <w:rsid w:val="000230B9"/>
    <w:rsid w:val="000258FA"/>
    <w:rsid w:val="00025DE9"/>
    <w:rsid w:val="00027762"/>
    <w:rsid w:val="00030385"/>
    <w:rsid w:val="00031984"/>
    <w:rsid w:val="0003435D"/>
    <w:rsid w:val="0003478D"/>
    <w:rsid w:val="00034832"/>
    <w:rsid w:val="00034B6A"/>
    <w:rsid w:val="00036688"/>
    <w:rsid w:val="00036EB1"/>
    <w:rsid w:val="00040210"/>
    <w:rsid w:val="00040350"/>
    <w:rsid w:val="00040970"/>
    <w:rsid w:val="00040B71"/>
    <w:rsid w:val="00042880"/>
    <w:rsid w:val="00042F1C"/>
    <w:rsid w:val="0004430B"/>
    <w:rsid w:val="000454C0"/>
    <w:rsid w:val="00046488"/>
    <w:rsid w:val="00046762"/>
    <w:rsid w:val="00046A19"/>
    <w:rsid w:val="00053053"/>
    <w:rsid w:val="00055BDE"/>
    <w:rsid w:val="000561C0"/>
    <w:rsid w:val="000615BD"/>
    <w:rsid w:val="00061691"/>
    <w:rsid w:val="00062519"/>
    <w:rsid w:val="00063D01"/>
    <w:rsid w:val="00065781"/>
    <w:rsid w:val="000660B4"/>
    <w:rsid w:val="000664EC"/>
    <w:rsid w:val="00066D28"/>
    <w:rsid w:val="00067DD2"/>
    <w:rsid w:val="000707F5"/>
    <w:rsid w:val="0007195D"/>
    <w:rsid w:val="00071A9C"/>
    <w:rsid w:val="00071B1A"/>
    <w:rsid w:val="000729DE"/>
    <w:rsid w:val="00072B6C"/>
    <w:rsid w:val="00073ECE"/>
    <w:rsid w:val="00075081"/>
    <w:rsid w:val="00076319"/>
    <w:rsid w:val="00076F8A"/>
    <w:rsid w:val="00080672"/>
    <w:rsid w:val="00080BFA"/>
    <w:rsid w:val="00080E3A"/>
    <w:rsid w:val="00081358"/>
    <w:rsid w:val="00082653"/>
    <w:rsid w:val="00082A16"/>
    <w:rsid w:val="00084BB8"/>
    <w:rsid w:val="0008506A"/>
    <w:rsid w:val="00086304"/>
    <w:rsid w:val="00086C7C"/>
    <w:rsid w:val="00087447"/>
    <w:rsid w:val="0008773F"/>
    <w:rsid w:val="000901FE"/>
    <w:rsid w:val="00090962"/>
    <w:rsid w:val="00090DAA"/>
    <w:rsid w:val="000910E4"/>
    <w:rsid w:val="000915CD"/>
    <w:rsid w:val="00091CAF"/>
    <w:rsid w:val="000923BE"/>
    <w:rsid w:val="000929C7"/>
    <w:rsid w:val="00093320"/>
    <w:rsid w:val="00093494"/>
    <w:rsid w:val="000939B7"/>
    <w:rsid w:val="00093B67"/>
    <w:rsid w:val="000946D3"/>
    <w:rsid w:val="00095D21"/>
    <w:rsid w:val="00096820"/>
    <w:rsid w:val="000973A8"/>
    <w:rsid w:val="000A0EA1"/>
    <w:rsid w:val="000A2765"/>
    <w:rsid w:val="000A2C23"/>
    <w:rsid w:val="000A3E05"/>
    <w:rsid w:val="000A5ACD"/>
    <w:rsid w:val="000A68E4"/>
    <w:rsid w:val="000B1866"/>
    <w:rsid w:val="000B1D00"/>
    <w:rsid w:val="000B224B"/>
    <w:rsid w:val="000B24F0"/>
    <w:rsid w:val="000B2A0A"/>
    <w:rsid w:val="000B47B6"/>
    <w:rsid w:val="000B54AB"/>
    <w:rsid w:val="000B58FE"/>
    <w:rsid w:val="000C14C2"/>
    <w:rsid w:val="000C1CE5"/>
    <w:rsid w:val="000C2206"/>
    <w:rsid w:val="000C38C5"/>
    <w:rsid w:val="000C42DA"/>
    <w:rsid w:val="000C46BA"/>
    <w:rsid w:val="000C56C1"/>
    <w:rsid w:val="000C57BE"/>
    <w:rsid w:val="000C6475"/>
    <w:rsid w:val="000C656E"/>
    <w:rsid w:val="000C68F0"/>
    <w:rsid w:val="000D007F"/>
    <w:rsid w:val="000D0A00"/>
    <w:rsid w:val="000D0E05"/>
    <w:rsid w:val="000D2924"/>
    <w:rsid w:val="000D449B"/>
    <w:rsid w:val="000D48FB"/>
    <w:rsid w:val="000D6984"/>
    <w:rsid w:val="000E01B1"/>
    <w:rsid w:val="000E04AB"/>
    <w:rsid w:val="000E195E"/>
    <w:rsid w:val="000E2264"/>
    <w:rsid w:val="000E55B9"/>
    <w:rsid w:val="000E69A1"/>
    <w:rsid w:val="000E69DF"/>
    <w:rsid w:val="000F0359"/>
    <w:rsid w:val="000F0E3B"/>
    <w:rsid w:val="000F1B96"/>
    <w:rsid w:val="000F1D01"/>
    <w:rsid w:val="000F2FAD"/>
    <w:rsid w:val="000F3481"/>
    <w:rsid w:val="000F3C83"/>
    <w:rsid w:val="000F4A7F"/>
    <w:rsid w:val="000F565E"/>
    <w:rsid w:val="000F572D"/>
    <w:rsid w:val="000F5B9E"/>
    <w:rsid w:val="000F7AEF"/>
    <w:rsid w:val="001019EC"/>
    <w:rsid w:val="001027BF"/>
    <w:rsid w:val="00102AAF"/>
    <w:rsid w:val="00102E2A"/>
    <w:rsid w:val="00102F0F"/>
    <w:rsid w:val="00103EC3"/>
    <w:rsid w:val="00104939"/>
    <w:rsid w:val="0010526F"/>
    <w:rsid w:val="00105337"/>
    <w:rsid w:val="00105932"/>
    <w:rsid w:val="00106FBF"/>
    <w:rsid w:val="00107D93"/>
    <w:rsid w:val="00107E59"/>
    <w:rsid w:val="00111055"/>
    <w:rsid w:val="0011256F"/>
    <w:rsid w:val="00112B90"/>
    <w:rsid w:val="0011446A"/>
    <w:rsid w:val="00114CF8"/>
    <w:rsid w:val="001152D8"/>
    <w:rsid w:val="00115580"/>
    <w:rsid w:val="001158A9"/>
    <w:rsid w:val="00115968"/>
    <w:rsid w:val="00116E15"/>
    <w:rsid w:val="001171FA"/>
    <w:rsid w:val="00122B96"/>
    <w:rsid w:val="00123925"/>
    <w:rsid w:val="00123C8C"/>
    <w:rsid w:val="00124318"/>
    <w:rsid w:val="00124920"/>
    <w:rsid w:val="0012574B"/>
    <w:rsid w:val="00126A5A"/>
    <w:rsid w:val="00126F5D"/>
    <w:rsid w:val="00130099"/>
    <w:rsid w:val="00130952"/>
    <w:rsid w:val="00130A34"/>
    <w:rsid w:val="00131173"/>
    <w:rsid w:val="00131B1A"/>
    <w:rsid w:val="00131FCB"/>
    <w:rsid w:val="0013296D"/>
    <w:rsid w:val="00132E34"/>
    <w:rsid w:val="00133128"/>
    <w:rsid w:val="00133778"/>
    <w:rsid w:val="0013512A"/>
    <w:rsid w:val="001404F6"/>
    <w:rsid w:val="0014095B"/>
    <w:rsid w:val="00142E9E"/>
    <w:rsid w:val="0014569C"/>
    <w:rsid w:val="0014766D"/>
    <w:rsid w:val="0015064D"/>
    <w:rsid w:val="00151C94"/>
    <w:rsid w:val="00152C22"/>
    <w:rsid w:val="00152F8C"/>
    <w:rsid w:val="00153775"/>
    <w:rsid w:val="00154232"/>
    <w:rsid w:val="00154490"/>
    <w:rsid w:val="00154E54"/>
    <w:rsid w:val="001551BE"/>
    <w:rsid w:val="00155726"/>
    <w:rsid w:val="00155932"/>
    <w:rsid w:val="00156044"/>
    <w:rsid w:val="00160B12"/>
    <w:rsid w:val="00160D1E"/>
    <w:rsid w:val="00160E08"/>
    <w:rsid w:val="0016171C"/>
    <w:rsid w:val="00161E44"/>
    <w:rsid w:val="00162B62"/>
    <w:rsid w:val="00162D2D"/>
    <w:rsid w:val="0016447E"/>
    <w:rsid w:val="001648A5"/>
    <w:rsid w:val="00165DEA"/>
    <w:rsid w:val="0016722F"/>
    <w:rsid w:val="00167EB1"/>
    <w:rsid w:val="0017040B"/>
    <w:rsid w:val="0017082B"/>
    <w:rsid w:val="00171B3B"/>
    <w:rsid w:val="00171C36"/>
    <w:rsid w:val="0017336D"/>
    <w:rsid w:val="00174093"/>
    <w:rsid w:val="00175523"/>
    <w:rsid w:val="0017575C"/>
    <w:rsid w:val="00175E30"/>
    <w:rsid w:val="001760B7"/>
    <w:rsid w:val="001769B8"/>
    <w:rsid w:val="00177CFB"/>
    <w:rsid w:val="00180031"/>
    <w:rsid w:val="00182E23"/>
    <w:rsid w:val="00182F1C"/>
    <w:rsid w:val="00185055"/>
    <w:rsid w:val="00185144"/>
    <w:rsid w:val="001863FA"/>
    <w:rsid w:val="00187207"/>
    <w:rsid w:val="001877B0"/>
    <w:rsid w:val="0019331D"/>
    <w:rsid w:val="00193D41"/>
    <w:rsid w:val="0019529E"/>
    <w:rsid w:val="001956F9"/>
    <w:rsid w:val="001957B2"/>
    <w:rsid w:val="0019666D"/>
    <w:rsid w:val="00197281"/>
    <w:rsid w:val="001A0CBA"/>
    <w:rsid w:val="001A1103"/>
    <w:rsid w:val="001A218A"/>
    <w:rsid w:val="001A34AD"/>
    <w:rsid w:val="001A3AB5"/>
    <w:rsid w:val="001A3EF5"/>
    <w:rsid w:val="001A4BA1"/>
    <w:rsid w:val="001A5455"/>
    <w:rsid w:val="001A5BFA"/>
    <w:rsid w:val="001A786E"/>
    <w:rsid w:val="001A7EF4"/>
    <w:rsid w:val="001B0E9C"/>
    <w:rsid w:val="001B1140"/>
    <w:rsid w:val="001B1E22"/>
    <w:rsid w:val="001B2540"/>
    <w:rsid w:val="001B39A5"/>
    <w:rsid w:val="001B53AA"/>
    <w:rsid w:val="001B6672"/>
    <w:rsid w:val="001B6B3E"/>
    <w:rsid w:val="001C2026"/>
    <w:rsid w:val="001C205E"/>
    <w:rsid w:val="001C2D67"/>
    <w:rsid w:val="001C2FCD"/>
    <w:rsid w:val="001C3153"/>
    <w:rsid w:val="001C5CFE"/>
    <w:rsid w:val="001C5E9A"/>
    <w:rsid w:val="001C67A2"/>
    <w:rsid w:val="001D0F2B"/>
    <w:rsid w:val="001D3671"/>
    <w:rsid w:val="001D5561"/>
    <w:rsid w:val="001D55E3"/>
    <w:rsid w:val="001D6861"/>
    <w:rsid w:val="001D70A5"/>
    <w:rsid w:val="001D7B3C"/>
    <w:rsid w:val="001E058D"/>
    <w:rsid w:val="001E17BC"/>
    <w:rsid w:val="001E1AB0"/>
    <w:rsid w:val="001E3662"/>
    <w:rsid w:val="001E40CD"/>
    <w:rsid w:val="001E4482"/>
    <w:rsid w:val="001E4854"/>
    <w:rsid w:val="001E48E7"/>
    <w:rsid w:val="001E6FD9"/>
    <w:rsid w:val="001E74F4"/>
    <w:rsid w:val="001E76C9"/>
    <w:rsid w:val="001F001C"/>
    <w:rsid w:val="001F036F"/>
    <w:rsid w:val="001F2035"/>
    <w:rsid w:val="001F2B1B"/>
    <w:rsid w:val="001F2D66"/>
    <w:rsid w:val="001F4ED1"/>
    <w:rsid w:val="001F5591"/>
    <w:rsid w:val="001F666A"/>
    <w:rsid w:val="001F6A56"/>
    <w:rsid w:val="001F7094"/>
    <w:rsid w:val="002012E6"/>
    <w:rsid w:val="00201B76"/>
    <w:rsid w:val="00201DE3"/>
    <w:rsid w:val="00201F1C"/>
    <w:rsid w:val="00203656"/>
    <w:rsid w:val="00204FA4"/>
    <w:rsid w:val="00205AF3"/>
    <w:rsid w:val="00211AD8"/>
    <w:rsid w:val="002121C1"/>
    <w:rsid w:val="00212270"/>
    <w:rsid w:val="00212F9C"/>
    <w:rsid w:val="002148CA"/>
    <w:rsid w:val="00214F26"/>
    <w:rsid w:val="002155D3"/>
    <w:rsid w:val="002158CB"/>
    <w:rsid w:val="00216CE4"/>
    <w:rsid w:val="0022015B"/>
    <w:rsid w:val="002213B1"/>
    <w:rsid w:val="00221E1E"/>
    <w:rsid w:val="00222DAF"/>
    <w:rsid w:val="00224376"/>
    <w:rsid w:val="00225225"/>
    <w:rsid w:val="00225A01"/>
    <w:rsid w:val="0022638A"/>
    <w:rsid w:val="002306FC"/>
    <w:rsid w:val="002309F6"/>
    <w:rsid w:val="00231433"/>
    <w:rsid w:val="0023182D"/>
    <w:rsid w:val="002338DD"/>
    <w:rsid w:val="00234903"/>
    <w:rsid w:val="00234E47"/>
    <w:rsid w:val="00236126"/>
    <w:rsid w:val="002374A9"/>
    <w:rsid w:val="00237B19"/>
    <w:rsid w:val="00243A5C"/>
    <w:rsid w:val="00243EE5"/>
    <w:rsid w:val="0024462B"/>
    <w:rsid w:val="0024572E"/>
    <w:rsid w:val="002460CD"/>
    <w:rsid w:val="00246552"/>
    <w:rsid w:val="00246843"/>
    <w:rsid w:val="00247CE9"/>
    <w:rsid w:val="00252DC8"/>
    <w:rsid w:val="0025388F"/>
    <w:rsid w:val="002542B5"/>
    <w:rsid w:val="00254F80"/>
    <w:rsid w:val="002552D2"/>
    <w:rsid w:val="00255448"/>
    <w:rsid w:val="00255A72"/>
    <w:rsid w:val="00257FE6"/>
    <w:rsid w:val="00260E08"/>
    <w:rsid w:val="00263A4B"/>
    <w:rsid w:val="00263F26"/>
    <w:rsid w:val="00264011"/>
    <w:rsid w:val="00264397"/>
    <w:rsid w:val="00264ECC"/>
    <w:rsid w:val="00267FA9"/>
    <w:rsid w:val="0027028E"/>
    <w:rsid w:val="002710F5"/>
    <w:rsid w:val="00275A38"/>
    <w:rsid w:val="00275C59"/>
    <w:rsid w:val="00277D3E"/>
    <w:rsid w:val="002807BD"/>
    <w:rsid w:val="00282780"/>
    <w:rsid w:val="0028427B"/>
    <w:rsid w:val="002855A4"/>
    <w:rsid w:val="00286740"/>
    <w:rsid w:val="00286818"/>
    <w:rsid w:val="00292814"/>
    <w:rsid w:val="002956D3"/>
    <w:rsid w:val="00295F71"/>
    <w:rsid w:val="002971EB"/>
    <w:rsid w:val="00297533"/>
    <w:rsid w:val="00297786"/>
    <w:rsid w:val="00297F29"/>
    <w:rsid w:val="002A0033"/>
    <w:rsid w:val="002A0245"/>
    <w:rsid w:val="002A103C"/>
    <w:rsid w:val="002A105D"/>
    <w:rsid w:val="002A1A10"/>
    <w:rsid w:val="002A359E"/>
    <w:rsid w:val="002A38EC"/>
    <w:rsid w:val="002A4E35"/>
    <w:rsid w:val="002A5D5E"/>
    <w:rsid w:val="002A783B"/>
    <w:rsid w:val="002A7FA3"/>
    <w:rsid w:val="002B04A8"/>
    <w:rsid w:val="002B05F4"/>
    <w:rsid w:val="002B12DF"/>
    <w:rsid w:val="002B3D2B"/>
    <w:rsid w:val="002B466C"/>
    <w:rsid w:val="002B4CD6"/>
    <w:rsid w:val="002C08B2"/>
    <w:rsid w:val="002C0A08"/>
    <w:rsid w:val="002C0B5F"/>
    <w:rsid w:val="002C0D5B"/>
    <w:rsid w:val="002C0D7B"/>
    <w:rsid w:val="002C13B5"/>
    <w:rsid w:val="002C1B40"/>
    <w:rsid w:val="002C1D26"/>
    <w:rsid w:val="002C1E4E"/>
    <w:rsid w:val="002C2734"/>
    <w:rsid w:val="002C4B9E"/>
    <w:rsid w:val="002C6DB5"/>
    <w:rsid w:val="002C7D3D"/>
    <w:rsid w:val="002D035B"/>
    <w:rsid w:val="002D24D5"/>
    <w:rsid w:val="002D28DF"/>
    <w:rsid w:val="002D3097"/>
    <w:rsid w:val="002D3385"/>
    <w:rsid w:val="002D467F"/>
    <w:rsid w:val="002D54D8"/>
    <w:rsid w:val="002D7736"/>
    <w:rsid w:val="002D7939"/>
    <w:rsid w:val="002E0EAE"/>
    <w:rsid w:val="002E2020"/>
    <w:rsid w:val="002E230C"/>
    <w:rsid w:val="002E2E6E"/>
    <w:rsid w:val="002E32E9"/>
    <w:rsid w:val="002E35A8"/>
    <w:rsid w:val="002E3AF9"/>
    <w:rsid w:val="002E4299"/>
    <w:rsid w:val="002E4479"/>
    <w:rsid w:val="002E58A6"/>
    <w:rsid w:val="002E679F"/>
    <w:rsid w:val="002E7150"/>
    <w:rsid w:val="002E7D12"/>
    <w:rsid w:val="002E7FEF"/>
    <w:rsid w:val="002F0308"/>
    <w:rsid w:val="002F078C"/>
    <w:rsid w:val="002F07B9"/>
    <w:rsid w:val="002F19E1"/>
    <w:rsid w:val="002F2455"/>
    <w:rsid w:val="002F302B"/>
    <w:rsid w:val="002F40B3"/>
    <w:rsid w:val="002F40DB"/>
    <w:rsid w:val="002F43AB"/>
    <w:rsid w:val="002F67AE"/>
    <w:rsid w:val="00301033"/>
    <w:rsid w:val="00301BB8"/>
    <w:rsid w:val="00303BBC"/>
    <w:rsid w:val="003040DC"/>
    <w:rsid w:val="00304144"/>
    <w:rsid w:val="003060B4"/>
    <w:rsid w:val="003062AD"/>
    <w:rsid w:val="00306557"/>
    <w:rsid w:val="003070C2"/>
    <w:rsid w:val="00310BDE"/>
    <w:rsid w:val="00310F0B"/>
    <w:rsid w:val="00311039"/>
    <w:rsid w:val="00312F71"/>
    <w:rsid w:val="003134F4"/>
    <w:rsid w:val="003137A2"/>
    <w:rsid w:val="00313D70"/>
    <w:rsid w:val="003145C8"/>
    <w:rsid w:val="00315928"/>
    <w:rsid w:val="003165CB"/>
    <w:rsid w:val="00316775"/>
    <w:rsid w:val="00317FA3"/>
    <w:rsid w:val="003208FF"/>
    <w:rsid w:val="00320A33"/>
    <w:rsid w:val="003217A4"/>
    <w:rsid w:val="0032289A"/>
    <w:rsid w:val="00322A58"/>
    <w:rsid w:val="003234C7"/>
    <w:rsid w:val="00324BB1"/>
    <w:rsid w:val="00325F62"/>
    <w:rsid w:val="0032603E"/>
    <w:rsid w:val="00326F5F"/>
    <w:rsid w:val="00330C07"/>
    <w:rsid w:val="00332515"/>
    <w:rsid w:val="0033384D"/>
    <w:rsid w:val="00333985"/>
    <w:rsid w:val="00334955"/>
    <w:rsid w:val="00335DAF"/>
    <w:rsid w:val="00336219"/>
    <w:rsid w:val="00336C82"/>
    <w:rsid w:val="0033727C"/>
    <w:rsid w:val="00337EDF"/>
    <w:rsid w:val="003404E9"/>
    <w:rsid w:val="00340B17"/>
    <w:rsid w:val="003415A8"/>
    <w:rsid w:val="0034187D"/>
    <w:rsid w:val="0034242C"/>
    <w:rsid w:val="00342A73"/>
    <w:rsid w:val="00342ED6"/>
    <w:rsid w:val="003438A5"/>
    <w:rsid w:val="00343FD1"/>
    <w:rsid w:val="003450EE"/>
    <w:rsid w:val="0034525C"/>
    <w:rsid w:val="00345BC8"/>
    <w:rsid w:val="00346525"/>
    <w:rsid w:val="00347D92"/>
    <w:rsid w:val="0035020C"/>
    <w:rsid w:val="0035073E"/>
    <w:rsid w:val="00350873"/>
    <w:rsid w:val="00350E99"/>
    <w:rsid w:val="00352145"/>
    <w:rsid w:val="00353B00"/>
    <w:rsid w:val="00353C00"/>
    <w:rsid w:val="00357242"/>
    <w:rsid w:val="00357FA3"/>
    <w:rsid w:val="00360FD8"/>
    <w:rsid w:val="00363E9B"/>
    <w:rsid w:val="00365AD7"/>
    <w:rsid w:val="00366131"/>
    <w:rsid w:val="00366438"/>
    <w:rsid w:val="00366D9B"/>
    <w:rsid w:val="003723BF"/>
    <w:rsid w:val="003734B0"/>
    <w:rsid w:val="003735D9"/>
    <w:rsid w:val="00373CA2"/>
    <w:rsid w:val="00374B93"/>
    <w:rsid w:val="003762EA"/>
    <w:rsid w:val="003801EF"/>
    <w:rsid w:val="00381FB4"/>
    <w:rsid w:val="003822E9"/>
    <w:rsid w:val="00382BC1"/>
    <w:rsid w:val="00382CA4"/>
    <w:rsid w:val="0038371A"/>
    <w:rsid w:val="00385E44"/>
    <w:rsid w:val="00386FEB"/>
    <w:rsid w:val="0039146F"/>
    <w:rsid w:val="00394A3D"/>
    <w:rsid w:val="00394DB9"/>
    <w:rsid w:val="003968A8"/>
    <w:rsid w:val="00397803"/>
    <w:rsid w:val="00397E0E"/>
    <w:rsid w:val="003A00EC"/>
    <w:rsid w:val="003A2618"/>
    <w:rsid w:val="003A4ECC"/>
    <w:rsid w:val="003A54A6"/>
    <w:rsid w:val="003A6DB5"/>
    <w:rsid w:val="003A78D0"/>
    <w:rsid w:val="003B020B"/>
    <w:rsid w:val="003B0974"/>
    <w:rsid w:val="003B2030"/>
    <w:rsid w:val="003B2239"/>
    <w:rsid w:val="003B3241"/>
    <w:rsid w:val="003B4647"/>
    <w:rsid w:val="003B4F59"/>
    <w:rsid w:val="003B6695"/>
    <w:rsid w:val="003B7B88"/>
    <w:rsid w:val="003C0C8F"/>
    <w:rsid w:val="003C2555"/>
    <w:rsid w:val="003C28E9"/>
    <w:rsid w:val="003C2914"/>
    <w:rsid w:val="003C334B"/>
    <w:rsid w:val="003C3FAA"/>
    <w:rsid w:val="003C5A31"/>
    <w:rsid w:val="003C65A2"/>
    <w:rsid w:val="003C6D32"/>
    <w:rsid w:val="003C782F"/>
    <w:rsid w:val="003C7CAC"/>
    <w:rsid w:val="003D29E5"/>
    <w:rsid w:val="003D3882"/>
    <w:rsid w:val="003D3E44"/>
    <w:rsid w:val="003D49F4"/>
    <w:rsid w:val="003E083D"/>
    <w:rsid w:val="003E0B52"/>
    <w:rsid w:val="003E1811"/>
    <w:rsid w:val="003E23E3"/>
    <w:rsid w:val="003E32E3"/>
    <w:rsid w:val="003E4984"/>
    <w:rsid w:val="003E7D1F"/>
    <w:rsid w:val="003F0218"/>
    <w:rsid w:val="003F0D82"/>
    <w:rsid w:val="003F0F01"/>
    <w:rsid w:val="003F27B7"/>
    <w:rsid w:val="003F28D2"/>
    <w:rsid w:val="003F693C"/>
    <w:rsid w:val="003F7A6D"/>
    <w:rsid w:val="003F7B8A"/>
    <w:rsid w:val="00400327"/>
    <w:rsid w:val="004009C0"/>
    <w:rsid w:val="004037FC"/>
    <w:rsid w:val="00403DE7"/>
    <w:rsid w:val="00403F82"/>
    <w:rsid w:val="00404B09"/>
    <w:rsid w:val="00405127"/>
    <w:rsid w:val="004053BA"/>
    <w:rsid w:val="00406D6F"/>
    <w:rsid w:val="00407759"/>
    <w:rsid w:val="004077EB"/>
    <w:rsid w:val="00410466"/>
    <w:rsid w:val="00410816"/>
    <w:rsid w:val="004121DA"/>
    <w:rsid w:val="004124D2"/>
    <w:rsid w:val="00413A35"/>
    <w:rsid w:val="00414155"/>
    <w:rsid w:val="00414301"/>
    <w:rsid w:val="0041580F"/>
    <w:rsid w:val="0041615A"/>
    <w:rsid w:val="00420FC9"/>
    <w:rsid w:val="00421644"/>
    <w:rsid w:val="00422EB5"/>
    <w:rsid w:val="00424C8D"/>
    <w:rsid w:val="004258AF"/>
    <w:rsid w:val="0042677A"/>
    <w:rsid w:val="004301DC"/>
    <w:rsid w:val="00430237"/>
    <w:rsid w:val="00430C74"/>
    <w:rsid w:val="00433FCC"/>
    <w:rsid w:val="00434C12"/>
    <w:rsid w:val="00434D2B"/>
    <w:rsid w:val="004353D0"/>
    <w:rsid w:val="00435DA4"/>
    <w:rsid w:val="004371B9"/>
    <w:rsid w:val="00437AC6"/>
    <w:rsid w:val="00437D69"/>
    <w:rsid w:val="00440D4D"/>
    <w:rsid w:val="00440D5D"/>
    <w:rsid w:val="0044108D"/>
    <w:rsid w:val="0044128D"/>
    <w:rsid w:val="00442420"/>
    <w:rsid w:val="00444012"/>
    <w:rsid w:val="004442D2"/>
    <w:rsid w:val="004446A0"/>
    <w:rsid w:val="00444AEF"/>
    <w:rsid w:val="00445443"/>
    <w:rsid w:val="004465E3"/>
    <w:rsid w:val="00446D94"/>
    <w:rsid w:val="004476A5"/>
    <w:rsid w:val="00451AFA"/>
    <w:rsid w:val="004522DE"/>
    <w:rsid w:val="00452A10"/>
    <w:rsid w:val="00453337"/>
    <w:rsid w:val="0045386C"/>
    <w:rsid w:val="00453DD6"/>
    <w:rsid w:val="00454654"/>
    <w:rsid w:val="0045490F"/>
    <w:rsid w:val="00454A51"/>
    <w:rsid w:val="00454BDA"/>
    <w:rsid w:val="00455E95"/>
    <w:rsid w:val="004565B9"/>
    <w:rsid w:val="00460590"/>
    <w:rsid w:val="004617ED"/>
    <w:rsid w:val="004620B8"/>
    <w:rsid w:val="0046252B"/>
    <w:rsid w:val="004632CD"/>
    <w:rsid w:val="00463774"/>
    <w:rsid w:val="00464060"/>
    <w:rsid w:val="00464A87"/>
    <w:rsid w:val="004663C0"/>
    <w:rsid w:val="0047085F"/>
    <w:rsid w:val="00470AAE"/>
    <w:rsid w:val="004726B9"/>
    <w:rsid w:val="004727D1"/>
    <w:rsid w:val="00473285"/>
    <w:rsid w:val="00473A16"/>
    <w:rsid w:val="00473BC3"/>
    <w:rsid w:val="004751FD"/>
    <w:rsid w:val="0047599B"/>
    <w:rsid w:val="00475E10"/>
    <w:rsid w:val="00475F0D"/>
    <w:rsid w:val="004770E7"/>
    <w:rsid w:val="00480BB9"/>
    <w:rsid w:val="00481245"/>
    <w:rsid w:val="00481472"/>
    <w:rsid w:val="0048148A"/>
    <w:rsid w:val="00482745"/>
    <w:rsid w:val="004827EC"/>
    <w:rsid w:val="00483654"/>
    <w:rsid w:val="00484303"/>
    <w:rsid w:val="00484A9B"/>
    <w:rsid w:val="00485AFC"/>
    <w:rsid w:val="00485FAA"/>
    <w:rsid w:val="004860B5"/>
    <w:rsid w:val="004860FA"/>
    <w:rsid w:val="00486805"/>
    <w:rsid w:val="00486877"/>
    <w:rsid w:val="00486AC2"/>
    <w:rsid w:val="004904FC"/>
    <w:rsid w:val="0049278B"/>
    <w:rsid w:val="004930D0"/>
    <w:rsid w:val="00494614"/>
    <w:rsid w:val="00495E6D"/>
    <w:rsid w:val="004970C2"/>
    <w:rsid w:val="004978B5"/>
    <w:rsid w:val="00497A1E"/>
    <w:rsid w:val="00497EC7"/>
    <w:rsid w:val="004A0CDB"/>
    <w:rsid w:val="004A195B"/>
    <w:rsid w:val="004A22FB"/>
    <w:rsid w:val="004A2410"/>
    <w:rsid w:val="004A2B01"/>
    <w:rsid w:val="004A30AD"/>
    <w:rsid w:val="004A3505"/>
    <w:rsid w:val="004A38E4"/>
    <w:rsid w:val="004A3AE5"/>
    <w:rsid w:val="004A4220"/>
    <w:rsid w:val="004A48E4"/>
    <w:rsid w:val="004A4AC5"/>
    <w:rsid w:val="004A52FD"/>
    <w:rsid w:val="004A5B13"/>
    <w:rsid w:val="004A5DDC"/>
    <w:rsid w:val="004A73E7"/>
    <w:rsid w:val="004B040F"/>
    <w:rsid w:val="004B052A"/>
    <w:rsid w:val="004B2766"/>
    <w:rsid w:val="004B2CE2"/>
    <w:rsid w:val="004B4208"/>
    <w:rsid w:val="004B4660"/>
    <w:rsid w:val="004B49BC"/>
    <w:rsid w:val="004B5422"/>
    <w:rsid w:val="004B788F"/>
    <w:rsid w:val="004C025D"/>
    <w:rsid w:val="004C2AE6"/>
    <w:rsid w:val="004C2CC8"/>
    <w:rsid w:val="004C3B5D"/>
    <w:rsid w:val="004C3EB0"/>
    <w:rsid w:val="004C45F0"/>
    <w:rsid w:val="004C4702"/>
    <w:rsid w:val="004C5214"/>
    <w:rsid w:val="004C5497"/>
    <w:rsid w:val="004C66A8"/>
    <w:rsid w:val="004C6D42"/>
    <w:rsid w:val="004D1F44"/>
    <w:rsid w:val="004D3C27"/>
    <w:rsid w:val="004D4AAC"/>
    <w:rsid w:val="004D729C"/>
    <w:rsid w:val="004E0505"/>
    <w:rsid w:val="004E0DB7"/>
    <w:rsid w:val="004E10D3"/>
    <w:rsid w:val="004E35BA"/>
    <w:rsid w:val="004E4AD7"/>
    <w:rsid w:val="004E5BCA"/>
    <w:rsid w:val="004E6B05"/>
    <w:rsid w:val="004E70C0"/>
    <w:rsid w:val="004E76B1"/>
    <w:rsid w:val="004F00A8"/>
    <w:rsid w:val="004F146D"/>
    <w:rsid w:val="004F1794"/>
    <w:rsid w:val="004F2A5B"/>
    <w:rsid w:val="004F37F3"/>
    <w:rsid w:val="004F5AEC"/>
    <w:rsid w:val="004F69A9"/>
    <w:rsid w:val="004F78ED"/>
    <w:rsid w:val="00500BF7"/>
    <w:rsid w:val="005012C6"/>
    <w:rsid w:val="00502ED1"/>
    <w:rsid w:val="00503748"/>
    <w:rsid w:val="00504819"/>
    <w:rsid w:val="005055FD"/>
    <w:rsid w:val="00506705"/>
    <w:rsid w:val="00506E68"/>
    <w:rsid w:val="00507C53"/>
    <w:rsid w:val="005105A9"/>
    <w:rsid w:val="005110A8"/>
    <w:rsid w:val="00511AEA"/>
    <w:rsid w:val="005154C3"/>
    <w:rsid w:val="0051590C"/>
    <w:rsid w:val="00516E64"/>
    <w:rsid w:val="00517054"/>
    <w:rsid w:val="005207EC"/>
    <w:rsid w:val="005221A5"/>
    <w:rsid w:val="00524832"/>
    <w:rsid w:val="005261ED"/>
    <w:rsid w:val="005278C2"/>
    <w:rsid w:val="00527976"/>
    <w:rsid w:val="00530C09"/>
    <w:rsid w:val="00532FD0"/>
    <w:rsid w:val="00533FB0"/>
    <w:rsid w:val="005352F9"/>
    <w:rsid w:val="005353E6"/>
    <w:rsid w:val="005362E2"/>
    <w:rsid w:val="0053677D"/>
    <w:rsid w:val="00536987"/>
    <w:rsid w:val="00536D0F"/>
    <w:rsid w:val="00537E5F"/>
    <w:rsid w:val="0054039E"/>
    <w:rsid w:val="00542930"/>
    <w:rsid w:val="00543041"/>
    <w:rsid w:val="00543EE3"/>
    <w:rsid w:val="005442F9"/>
    <w:rsid w:val="00544C81"/>
    <w:rsid w:val="00546077"/>
    <w:rsid w:val="00547468"/>
    <w:rsid w:val="00547A7E"/>
    <w:rsid w:val="0055035E"/>
    <w:rsid w:val="00550B73"/>
    <w:rsid w:val="00553A60"/>
    <w:rsid w:val="005552D3"/>
    <w:rsid w:val="005559D1"/>
    <w:rsid w:val="005568F7"/>
    <w:rsid w:val="00556E97"/>
    <w:rsid w:val="005572DA"/>
    <w:rsid w:val="0056039B"/>
    <w:rsid w:val="00560960"/>
    <w:rsid w:val="00560F49"/>
    <w:rsid w:val="00562B6A"/>
    <w:rsid w:val="00565A7B"/>
    <w:rsid w:val="00565F6D"/>
    <w:rsid w:val="00567611"/>
    <w:rsid w:val="00571017"/>
    <w:rsid w:val="0057447E"/>
    <w:rsid w:val="00575263"/>
    <w:rsid w:val="005753C4"/>
    <w:rsid w:val="0057548B"/>
    <w:rsid w:val="00575D7A"/>
    <w:rsid w:val="0057758E"/>
    <w:rsid w:val="0058070F"/>
    <w:rsid w:val="0058371E"/>
    <w:rsid w:val="005837D0"/>
    <w:rsid w:val="005859B8"/>
    <w:rsid w:val="00585A73"/>
    <w:rsid w:val="00586172"/>
    <w:rsid w:val="0058620D"/>
    <w:rsid w:val="00587028"/>
    <w:rsid w:val="00590981"/>
    <w:rsid w:val="00591148"/>
    <w:rsid w:val="0059130C"/>
    <w:rsid w:val="00591918"/>
    <w:rsid w:val="00591934"/>
    <w:rsid w:val="00591D1F"/>
    <w:rsid w:val="00591D40"/>
    <w:rsid w:val="00592FCF"/>
    <w:rsid w:val="00593D29"/>
    <w:rsid w:val="00594FEE"/>
    <w:rsid w:val="0059591F"/>
    <w:rsid w:val="00595E45"/>
    <w:rsid w:val="00596125"/>
    <w:rsid w:val="00596CEC"/>
    <w:rsid w:val="005A143F"/>
    <w:rsid w:val="005A1C65"/>
    <w:rsid w:val="005A2B70"/>
    <w:rsid w:val="005A2EA8"/>
    <w:rsid w:val="005A3A43"/>
    <w:rsid w:val="005A3C5E"/>
    <w:rsid w:val="005A5BF8"/>
    <w:rsid w:val="005A5E45"/>
    <w:rsid w:val="005A630E"/>
    <w:rsid w:val="005A6325"/>
    <w:rsid w:val="005B2415"/>
    <w:rsid w:val="005B2494"/>
    <w:rsid w:val="005B432E"/>
    <w:rsid w:val="005B5D3D"/>
    <w:rsid w:val="005B64BE"/>
    <w:rsid w:val="005C10C3"/>
    <w:rsid w:val="005C1C64"/>
    <w:rsid w:val="005C20D3"/>
    <w:rsid w:val="005C32B3"/>
    <w:rsid w:val="005C3A1D"/>
    <w:rsid w:val="005C3F27"/>
    <w:rsid w:val="005C4E73"/>
    <w:rsid w:val="005C631E"/>
    <w:rsid w:val="005C7233"/>
    <w:rsid w:val="005C7412"/>
    <w:rsid w:val="005C7528"/>
    <w:rsid w:val="005D1A64"/>
    <w:rsid w:val="005D31FA"/>
    <w:rsid w:val="005D3F5C"/>
    <w:rsid w:val="005D6351"/>
    <w:rsid w:val="005D6CC5"/>
    <w:rsid w:val="005D6F8F"/>
    <w:rsid w:val="005D771F"/>
    <w:rsid w:val="005D7E45"/>
    <w:rsid w:val="005E07C8"/>
    <w:rsid w:val="005E2A4A"/>
    <w:rsid w:val="005E4EEB"/>
    <w:rsid w:val="005E540A"/>
    <w:rsid w:val="005E64FE"/>
    <w:rsid w:val="005E747E"/>
    <w:rsid w:val="005E7602"/>
    <w:rsid w:val="005E7B58"/>
    <w:rsid w:val="005E7B76"/>
    <w:rsid w:val="005F0329"/>
    <w:rsid w:val="005F098D"/>
    <w:rsid w:val="005F15B0"/>
    <w:rsid w:val="005F335E"/>
    <w:rsid w:val="005F373F"/>
    <w:rsid w:val="00600B19"/>
    <w:rsid w:val="00600D55"/>
    <w:rsid w:val="006011E8"/>
    <w:rsid w:val="0060400D"/>
    <w:rsid w:val="006045FE"/>
    <w:rsid w:val="00604A87"/>
    <w:rsid w:val="00607810"/>
    <w:rsid w:val="00610150"/>
    <w:rsid w:val="0061055E"/>
    <w:rsid w:val="006114B0"/>
    <w:rsid w:val="00612283"/>
    <w:rsid w:val="006135D4"/>
    <w:rsid w:val="0061487B"/>
    <w:rsid w:val="00614C09"/>
    <w:rsid w:val="006165A0"/>
    <w:rsid w:val="0061686B"/>
    <w:rsid w:val="00616AC6"/>
    <w:rsid w:val="00616E3A"/>
    <w:rsid w:val="00622B36"/>
    <w:rsid w:val="00622D92"/>
    <w:rsid w:val="006230A0"/>
    <w:rsid w:val="006244B2"/>
    <w:rsid w:val="00624B50"/>
    <w:rsid w:val="006302F0"/>
    <w:rsid w:val="006306A6"/>
    <w:rsid w:val="00630C37"/>
    <w:rsid w:val="006338A3"/>
    <w:rsid w:val="006340CF"/>
    <w:rsid w:val="0063456D"/>
    <w:rsid w:val="006352B0"/>
    <w:rsid w:val="00635EF5"/>
    <w:rsid w:val="00636691"/>
    <w:rsid w:val="006374C1"/>
    <w:rsid w:val="0063755F"/>
    <w:rsid w:val="00640073"/>
    <w:rsid w:val="00642595"/>
    <w:rsid w:val="00644016"/>
    <w:rsid w:val="00644FC3"/>
    <w:rsid w:val="006453D6"/>
    <w:rsid w:val="00645ACC"/>
    <w:rsid w:val="006474CD"/>
    <w:rsid w:val="00647CD2"/>
    <w:rsid w:val="0065087C"/>
    <w:rsid w:val="00650C52"/>
    <w:rsid w:val="00652A77"/>
    <w:rsid w:val="006539CF"/>
    <w:rsid w:val="00654952"/>
    <w:rsid w:val="00654B41"/>
    <w:rsid w:val="00655554"/>
    <w:rsid w:val="00655BB0"/>
    <w:rsid w:val="006608A1"/>
    <w:rsid w:val="00660C34"/>
    <w:rsid w:val="006616E6"/>
    <w:rsid w:val="00661757"/>
    <w:rsid w:val="006621F5"/>
    <w:rsid w:val="00662C92"/>
    <w:rsid w:val="00662CF3"/>
    <w:rsid w:val="00662E0F"/>
    <w:rsid w:val="00662EBA"/>
    <w:rsid w:val="00662EFE"/>
    <w:rsid w:val="0066376B"/>
    <w:rsid w:val="00666182"/>
    <w:rsid w:val="00667E40"/>
    <w:rsid w:val="0067073A"/>
    <w:rsid w:val="00670A55"/>
    <w:rsid w:val="00671700"/>
    <w:rsid w:val="0067305F"/>
    <w:rsid w:val="006732CC"/>
    <w:rsid w:val="0067541C"/>
    <w:rsid w:val="006802D2"/>
    <w:rsid w:val="00680BB4"/>
    <w:rsid w:val="00680C61"/>
    <w:rsid w:val="00681771"/>
    <w:rsid w:val="00681FDD"/>
    <w:rsid w:val="00682223"/>
    <w:rsid w:val="0068529F"/>
    <w:rsid w:val="00686763"/>
    <w:rsid w:val="00686F90"/>
    <w:rsid w:val="006870C5"/>
    <w:rsid w:val="006875FE"/>
    <w:rsid w:val="00691804"/>
    <w:rsid w:val="00691AD5"/>
    <w:rsid w:val="00694C4E"/>
    <w:rsid w:val="00695C42"/>
    <w:rsid w:val="00695E29"/>
    <w:rsid w:val="00696859"/>
    <w:rsid w:val="006A134F"/>
    <w:rsid w:val="006A1434"/>
    <w:rsid w:val="006A1907"/>
    <w:rsid w:val="006A2205"/>
    <w:rsid w:val="006A3219"/>
    <w:rsid w:val="006A3709"/>
    <w:rsid w:val="006A4309"/>
    <w:rsid w:val="006A6213"/>
    <w:rsid w:val="006A6660"/>
    <w:rsid w:val="006A669F"/>
    <w:rsid w:val="006A6FB2"/>
    <w:rsid w:val="006A702B"/>
    <w:rsid w:val="006A733E"/>
    <w:rsid w:val="006B062B"/>
    <w:rsid w:val="006B1D38"/>
    <w:rsid w:val="006B258F"/>
    <w:rsid w:val="006B38FB"/>
    <w:rsid w:val="006B5493"/>
    <w:rsid w:val="006B587B"/>
    <w:rsid w:val="006B5AE1"/>
    <w:rsid w:val="006B652B"/>
    <w:rsid w:val="006B79F0"/>
    <w:rsid w:val="006B7E37"/>
    <w:rsid w:val="006B7E53"/>
    <w:rsid w:val="006C017D"/>
    <w:rsid w:val="006C0A39"/>
    <w:rsid w:val="006C1C62"/>
    <w:rsid w:val="006C49B9"/>
    <w:rsid w:val="006C4BB3"/>
    <w:rsid w:val="006C5700"/>
    <w:rsid w:val="006D1230"/>
    <w:rsid w:val="006D2D0C"/>
    <w:rsid w:val="006D446F"/>
    <w:rsid w:val="006D5A0D"/>
    <w:rsid w:val="006D6DB0"/>
    <w:rsid w:val="006D6DD6"/>
    <w:rsid w:val="006E0A43"/>
    <w:rsid w:val="006E0A52"/>
    <w:rsid w:val="006E1A7A"/>
    <w:rsid w:val="006E221B"/>
    <w:rsid w:val="006E2C64"/>
    <w:rsid w:val="006E494C"/>
    <w:rsid w:val="006E4B70"/>
    <w:rsid w:val="006E51B3"/>
    <w:rsid w:val="006E6190"/>
    <w:rsid w:val="006E6B2C"/>
    <w:rsid w:val="006E6B40"/>
    <w:rsid w:val="006E7504"/>
    <w:rsid w:val="006E7F30"/>
    <w:rsid w:val="006F01D4"/>
    <w:rsid w:val="006F2FB0"/>
    <w:rsid w:val="006F4484"/>
    <w:rsid w:val="006F5262"/>
    <w:rsid w:val="006F5C27"/>
    <w:rsid w:val="006F6199"/>
    <w:rsid w:val="006F7E81"/>
    <w:rsid w:val="007001AD"/>
    <w:rsid w:val="00700DD9"/>
    <w:rsid w:val="0070136B"/>
    <w:rsid w:val="00702E8C"/>
    <w:rsid w:val="00704105"/>
    <w:rsid w:val="0070444C"/>
    <w:rsid w:val="00705858"/>
    <w:rsid w:val="00706C78"/>
    <w:rsid w:val="00707024"/>
    <w:rsid w:val="007107B1"/>
    <w:rsid w:val="00712E94"/>
    <w:rsid w:val="00713609"/>
    <w:rsid w:val="00713774"/>
    <w:rsid w:val="00717F89"/>
    <w:rsid w:val="007217FE"/>
    <w:rsid w:val="00721BBF"/>
    <w:rsid w:val="00722EB2"/>
    <w:rsid w:val="00723715"/>
    <w:rsid w:val="0072575C"/>
    <w:rsid w:val="007274BB"/>
    <w:rsid w:val="00727DBA"/>
    <w:rsid w:val="00732323"/>
    <w:rsid w:val="00732501"/>
    <w:rsid w:val="00732899"/>
    <w:rsid w:val="00733688"/>
    <w:rsid w:val="007351AB"/>
    <w:rsid w:val="007351F3"/>
    <w:rsid w:val="00735C66"/>
    <w:rsid w:val="0073686D"/>
    <w:rsid w:val="00740F6D"/>
    <w:rsid w:val="007426C7"/>
    <w:rsid w:val="00742F25"/>
    <w:rsid w:val="00746FD4"/>
    <w:rsid w:val="00750A4E"/>
    <w:rsid w:val="00754545"/>
    <w:rsid w:val="00755039"/>
    <w:rsid w:val="0075529F"/>
    <w:rsid w:val="00756084"/>
    <w:rsid w:val="00756AA6"/>
    <w:rsid w:val="00757DEB"/>
    <w:rsid w:val="0076159C"/>
    <w:rsid w:val="007616DB"/>
    <w:rsid w:val="00761703"/>
    <w:rsid w:val="00761926"/>
    <w:rsid w:val="007620F9"/>
    <w:rsid w:val="00764AD0"/>
    <w:rsid w:val="00765552"/>
    <w:rsid w:val="00766AC1"/>
    <w:rsid w:val="00767E63"/>
    <w:rsid w:val="007709F5"/>
    <w:rsid w:val="00771073"/>
    <w:rsid w:val="00772D3D"/>
    <w:rsid w:val="0077342B"/>
    <w:rsid w:val="00774112"/>
    <w:rsid w:val="00776BED"/>
    <w:rsid w:val="00776DAD"/>
    <w:rsid w:val="00781B1A"/>
    <w:rsid w:val="00781B8A"/>
    <w:rsid w:val="007820EF"/>
    <w:rsid w:val="00783AE6"/>
    <w:rsid w:val="00784810"/>
    <w:rsid w:val="0078721F"/>
    <w:rsid w:val="007909BE"/>
    <w:rsid w:val="00790C52"/>
    <w:rsid w:val="0079161D"/>
    <w:rsid w:val="00791BD3"/>
    <w:rsid w:val="00792DC5"/>
    <w:rsid w:val="0079360E"/>
    <w:rsid w:val="00793661"/>
    <w:rsid w:val="0079421A"/>
    <w:rsid w:val="0079499A"/>
    <w:rsid w:val="00794E42"/>
    <w:rsid w:val="00796872"/>
    <w:rsid w:val="0079753A"/>
    <w:rsid w:val="00797F1F"/>
    <w:rsid w:val="00797FB8"/>
    <w:rsid w:val="007A0C92"/>
    <w:rsid w:val="007A0D1A"/>
    <w:rsid w:val="007A0DC7"/>
    <w:rsid w:val="007A19A8"/>
    <w:rsid w:val="007A1DCE"/>
    <w:rsid w:val="007A484C"/>
    <w:rsid w:val="007A485B"/>
    <w:rsid w:val="007A48F7"/>
    <w:rsid w:val="007A54BC"/>
    <w:rsid w:val="007A5C17"/>
    <w:rsid w:val="007A6171"/>
    <w:rsid w:val="007A6CCA"/>
    <w:rsid w:val="007B0174"/>
    <w:rsid w:val="007B1BCB"/>
    <w:rsid w:val="007B1ED4"/>
    <w:rsid w:val="007B3E25"/>
    <w:rsid w:val="007B43BE"/>
    <w:rsid w:val="007B4824"/>
    <w:rsid w:val="007B5764"/>
    <w:rsid w:val="007B5BF2"/>
    <w:rsid w:val="007B62CC"/>
    <w:rsid w:val="007B7A9B"/>
    <w:rsid w:val="007C1E05"/>
    <w:rsid w:val="007C4A05"/>
    <w:rsid w:val="007C6C20"/>
    <w:rsid w:val="007C7D8C"/>
    <w:rsid w:val="007D273D"/>
    <w:rsid w:val="007D33ED"/>
    <w:rsid w:val="007D44FC"/>
    <w:rsid w:val="007D4E2E"/>
    <w:rsid w:val="007D6749"/>
    <w:rsid w:val="007E0BA8"/>
    <w:rsid w:val="007E41F8"/>
    <w:rsid w:val="007E6052"/>
    <w:rsid w:val="007E6765"/>
    <w:rsid w:val="007F0892"/>
    <w:rsid w:val="007F1798"/>
    <w:rsid w:val="007F1E40"/>
    <w:rsid w:val="007F36E1"/>
    <w:rsid w:val="007F3773"/>
    <w:rsid w:val="007F4271"/>
    <w:rsid w:val="007F4E9A"/>
    <w:rsid w:val="007F6090"/>
    <w:rsid w:val="00801E15"/>
    <w:rsid w:val="00802858"/>
    <w:rsid w:val="0080298D"/>
    <w:rsid w:val="008062CD"/>
    <w:rsid w:val="00810266"/>
    <w:rsid w:val="0081080A"/>
    <w:rsid w:val="00810A6A"/>
    <w:rsid w:val="00810AF8"/>
    <w:rsid w:val="008114E5"/>
    <w:rsid w:val="00811E91"/>
    <w:rsid w:val="008123FB"/>
    <w:rsid w:val="00812959"/>
    <w:rsid w:val="00812A9D"/>
    <w:rsid w:val="00813A7B"/>
    <w:rsid w:val="0081429C"/>
    <w:rsid w:val="00816CC5"/>
    <w:rsid w:val="00817143"/>
    <w:rsid w:val="00821795"/>
    <w:rsid w:val="008228C4"/>
    <w:rsid w:val="0082334F"/>
    <w:rsid w:val="0082370A"/>
    <w:rsid w:val="00823C77"/>
    <w:rsid w:val="00825753"/>
    <w:rsid w:val="00825D49"/>
    <w:rsid w:val="00826D5A"/>
    <w:rsid w:val="00827386"/>
    <w:rsid w:val="00830573"/>
    <w:rsid w:val="00830EE1"/>
    <w:rsid w:val="00832439"/>
    <w:rsid w:val="0083244E"/>
    <w:rsid w:val="008327A9"/>
    <w:rsid w:val="00835342"/>
    <w:rsid w:val="00835C9D"/>
    <w:rsid w:val="00835CA4"/>
    <w:rsid w:val="008366A7"/>
    <w:rsid w:val="00837151"/>
    <w:rsid w:val="00841573"/>
    <w:rsid w:val="008418BA"/>
    <w:rsid w:val="00842798"/>
    <w:rsid w:val="00842A35"/>
    <w:rsid w:val="00844591"/>
    <w:rsid w:val="00844AC1"/>
    <w:rsid w:val="00844BA1"/>
    <w:rsid w:val="008458D3"/>
    <w:rsid w:val="0084648B"/>
    <w:rsid w:val="00847FB2"/>
    <w:rsid w:val="00850223"/>
    <w:rsid w:val="00850C56"/>
    <w:rsid w:val="00851904"/>
    <w:rsid w:val="00853CFB"/>
    <w:rsid w:val="008558AF"/>
    <w:rsid w:val="008568BE"/>
    <w:rsid w:val="008573F1"/>
    <w:rsid w:val="0085773A"/>
    <w:rsid w:val="00857E74"/>
    <w:rsid w:val="00861D0E"/>
    <w:rsid w:val="00862D90"/>
    <w:rsid w:val="008657BE"/>
    <w:rsid w:val="008667E0"/>
    <w:rsid w:val="00867BB0"/>
    <w:rsid w:val="00870435"/>
    <w:rsid w:val="00870CB9"/>
    <w:rsid w:val="00872964"/>
    <w:rsid w:val="00872CCA"/>
    <w:rsid w:val="00872D6D"/>
    <w:rsid w:val="008733BA"/>
    <w:rsid w:val="00874D11"/>
    <w:rsid w:val="00880302"/>
    <w:rsid w:val="00880D34"/>
    <w:rsid w:val="0088272B"/>
    <w:rsid w:val="00882DA7"/>
    <w:rsid w:val="008832F3"/>
    <w:rsid w:val="00883711"/>
    <w:rsid w:val="008841E8"/>
    <w:rsid w:val="00887CAC"/>
    <w:rsid w:val="008908FC"/>
    <w:rsid w:val="00891C92"/>
    <w:rsid w:val="00892DC7"/>
    <w:rsid w:val="008958B0"/>
    <w:rsid w:val="00895BCD"/>
    <w:rsid w:val="0089673B"/>
    <w:rsid w:val="00896CA1"/>
    <w:rsid w:val="0089722B"/>
    <w:rsid w:val="00897931"/>
    <w:rsid w:val="00897B3D"/>
    <w:rsid w:val="008A0CB9"/>
    <w:rsid w:val="008A2582"/>
    <w:rsid w:val="008A2944"/>
    <w:rsid w:val="008A4763"/>
    <w:rsid w:val="008A6FB7"/>
    <w:rsid w:val="008A72F0"/>
    <w:rsid w:val="008A7D2A"/>
    <w:rsid w:val="008A7DFF"/>
    <w:rsid w:val="008B0B3A"/>
    <w:rsid w:val="008B3516"/>
    <w:rsid w:val="008B357B"/>
    <w:rsid w:val="008B3589"/>
    <w:rsid w:val="008B482D"/>
    <w:rsid w:val="008B5489"/>
    <w:rsid w:val="008B5F1F"/>
    <w:rsid w:val="008B6CBD"/>
    <w:rsid w:val="008B7171"/>
    <w:rsid w:val="008C0453"/>
    <w:rsid w:val="008C07CF"/>
    <w:rsid w:val="008C213B"/>
    <w:rsid w:val="008C2C69"/>
    <w:rsid w:val="008C2EE3"/>
    <w:rsid w:val="008C3108"/>
    <w:rsid w:val="008C3D41"/>
    <w:rsid w:val="008D0771"/>
    <w:rsid w:val="008D0A66"/>
    <w:rsid w:val="008D1558"/>
    <w:rsid w:val="008D218A"/>
    <w:rsid w:val="008D2DB9"/>
    <w:rsid w:val="008D2F71"/>
    <w:rsid w:val="008D322C"/>
    <w:rsid w:val="008D514A"/>
    <w:rsid w:val="008D5A0D"/>
    <w:rsid w:val="008D6383"/>
    <w:rsid w:val="008E0171"/>
    <w:rsid w:val="008E032F"/>
    <w:rsid w:val="008E0F2A"/>
    <w:rsid w:val="008E3403"/>
    <w:rsid w:val="008E42FD"/>
    <w:rsid w:val="008E4E47"/>
    <w:rsid w:val="008E5FA8"/>
    <w:rsid w:val="008E6417"/>
    <w:rsid w:val="008E7028"/>
    <w:rsid w:val="008E7133"/>
    <w:rsid w:val="008E747B"/>
    <w:rsid w:val="008F29CB"/>
    <w:rsid w:val="008F336D"/>
    <w:rsid w:val="008F3753"/>
    <w:rsid w:val="008F3CA9"/>
    <w:rsid w:val="008F4415"/>
    <w:rsid w:val="008F4998"/>
    <w:rsid w:val="00900128"/>
    <w:rsid w:val="0090021B"/>
    <w:rsid w:val="00902814"/>
    <w:rsid w:val="00902DC5"/>
    <w:rsid w:val="00903148"/>
    <w:rsid w:val="00903914"/>
    <w:rsid w:val="0090538F"/>
    <w:rsid w:val="00906D91"/>
    <w:rsid w:val="009109A4"/>
    <w:rsid w:val="00913D88"/>
    <w:rsid w:val="00915090"/>
    <w:rsid w:val="009157C9"/>
    <w:rsid w:val="00915967"/>
    <w:rsid w:val="00915F66"/>
    <w:rsid w:val="009162A2"/>
    <w:rsid w:val="0091646B"/>
    <w:rsid w:val="00917923"/>
    <w:rsid w:val="009204BE"/>
    <w:rsid w:val="00922BBA"/>
    <w:rsid w:val="00923998"/>
    <w:rsid w:val="009259AC"/>
    <w:rsid w:val="00926524"/>
    <w:rsid w:val="00926537"/>
    <w:rsid w:val="00927283"/>
    <w:rsid w:val="00927C64"/>
    <w:rsid w:val="009303BD"/>
    <w:rsid w:val="00930909"/>
    <w:rsid w:val="009309E3"/>
    <w:rsid w:val="00930B4D"/>
    <w:rsid w:val="00932DB5"/>
    <w:rsid w:val="009342BD"/>
    <w:rsid w:val="00934C03"/>
    <w:rsid w:val="00935F79"/>
    <w:rsid w:val="009414EB"/>
    <w:rsid w:val="00941FE3"/>
    <w:rsid w:val="00942642"/>
    <w:rsid w:val="009430B5"/>
    <w:rsid w:val="0094461D"/>
    <w:rsid w:val="00946440"/>
    <w:rsid w:val="0094755A"/>
    <w:rsid w:val="0095086F"/>
    <w:rsid w:val="00950C50"/>
    <w:rsid w:val="00950D56"/>
    <w:rsid w:val="009510DA"/>
    <w:rsid w:val="00951E33"/>
    <w:rsid w:val="00951EE4"/>
    <w:rsid w:val="0095210E"/>
    <w:rsid w:val="009528CD"/>
    <w:rsid w:val="00952A2E"/>
    <w:rsid w:val="00952E36"/>
    <w:rsid w:val="0095330E"/>
    <w:rsid w:val="00953344"/>
    <w:rsid w:val="00956A4D"/>
    <w:rsid w:val="00956C78"/>
    <w:rsid w:val="00956CBE"/>
    <w:rsid w:val="00956DFD"/>
    <w:rsid w:val="00957ECA"/>
    <w:rsid w:val="009616DC"/>
    <w:rsid w:val="00962B5D"/>
    <w:rsid w:val="00963DFB"/>
    <w:rsid w:val="00966AB2"/>
    <w:rsid w:val="00966E0E"/>
    <w:rsid w:val="00966FBB"/>
    <w:rsid w:val="0096760F"/>
    <w:rsid w:val="009701BE"/>
    <w:rsid w:val="0097338C"/>
    <w:rsid w:val="0097586A"/>
    <w:rsid w:val="00975BC3"/>
    <w:rsid w:val="00975DC7"/>
    <w:rsid w:val="009777DA"/>
    <w:rsid w:val="00977C7C"/>
    <w:rsid w:val="00980E6B"/>
    <w:rsid w:val="009812FA"/>
    <w:rsid w:val="00982055"/>
    <w:rsid w:val="0098256A"/>
    <w:rsid w:val="00984096"/>
    <w:rsid w:val="00984F90"/>
    <w:rsid w:val="0098733B"/>
    <w:rsid w:val="00990538"/>
    <w:rsid w:val="0099221B"/>
    <w:rsid w:val="00992EBC"/>
    <w:rsid w:val="009934FE"/>
    <w:rsid w:val="00993F4C"/>
    <w:rsid w:val="009962B7"/>
    <w:rsid w:val="00996914"/>
    <w:rsid w:val="0099798C"/>
    <w:rsid w:val="009A1A9B"/>
    <w:rsid w:val="009A2711"/>
    <w:rsid w:val="009A52AE"/>
    <w:rsid w:val="009A6E78"/>
    <w:rsid w:val="009A7BD8"/>
    <w:rsid w:val="009B046B"/>
    <w:rsid w:val="009B09B3"/>
    <w:rsid w:val="009B1D88"/>
    <w:rsid w:val="009B45A2"/>
    <w:rsid w:val="009B523B"/>
    <w:rsid w:val="009B69F2"/>
    <w:rsid w:val="009B6A25"/>
    <w:rsid w:val="009B6A69"/>
    <w:rsid w:val="009B6C5E"/>
    <w:rsid w:val="009B7818"/>
    <w:rsid w:val="009C0D7E"/>
    <w:rsid w:val="009C1BBE"/>
    <w:rsid w:val="009C1C93"/>
    <w:rsid w:val="009C3146"/>
    <w:rsid w:val="009C395E"/>
    <w:rsid w:val="009C4064"/>
    <w:rsid w:val="009C471A"/>
    <w:rsid w:val="009C64D5"/>
    <w:rsid w:val="009D0299"/>
    <w:rsid w:val="009D2C5D"/>
    <w:rsid w:val="009D2CA3"/>
    <w:rsid w:val="009D395B"/>
    <w:rsid w:val="009D3EA4"/>
    <w:rsid w:val="009D78F5"/>
    <w:rsid w:val="009E234B"/>
    <w:rsid w:val="009E573B"/>
    <w:rsid w:val="009E5EE8"/>
    <w:rsid w:val="009E6C45"/>
    <w:rsid w:val="009E74C8"/>
    <w:rsid w:val="009E76B7"/>
    <w:rsid w:val="009F0143"/>
    <w:rsid w:val="009F0762"/>
    <w:rsid w:val="009F080E"/>
    <w:rsid w:val="009F26E0"/>
    <w:rsid w:val="009F36BD"/>
    <w:rsid w:val="009F459D"/>
    <w:rsid w:val="009F4E09"/>
    <w:rsid w:val="009F4E65"/>
    <w:rsid w:val="009F51E1"/>
    <w:rsid w:val="009F7426"/>
    <w:rsid w:val="00A0036C"/>
    <w:rsid w:val="00A00FEB"/>
    <w:rsid w:val="00A0313F"/>
    <w:rsid w:val="00A051BD"/>
    <w:rsid w:val="00A06BBF"/>
    <w:rsid w:val="00A07900"/>
    <w:rsid w:val="00A10880"/>
    <w:rsid w:val="00A11C4E"/>
    <w:rsid w:val="00A1461F"/>
    <w:rsid w:val="00A15975"/>
    <w:rsid w:val="00A15C85"/>
    <w:rsid w:val="00A16EF8"/>
    <w:rsid w:val="00A17437"/>
    <w:rsid w:val="00A17AB6"/>
    <w:rsid w:val="00A21193"/>
    <w:rsid w:val="00A21887"/>
    <w:rsid w:val="00A22E44"/>
    <w:rsid w:val="00A236C9"/>
    <w:rsid w:val="00A24E29"/>
    <w:rsid w:val="00A25484"/>
    <w:rsid w:val="00A26392"/>
    <w:rsid w:val="00A2669D"/>
    <w:rsid w:val="00A276F6"/>
    <w:rsid w:val="00A2799E"/>
    <w:rsid w:val="00A31F0F"/>
    <w:rsid w:val="00A32DEB"/>
    <w:rsid w:val="00A33DCD"/>
    <w:rsid w:val="00A3433D"/>
    <w:rsid w:val="00A35F22"/>
    <w:rsid w:val="00A35F6C"/>
    <w:rsid w:val="00A3648A"/>
    <w:rsid w:val="00A364A5"/>
    <w:rsid w:val="00A36BCC"/>
    <w:rsid w:val="00A36C98"/>
    <w:rsid w:val="00A412DC"/>
    <w:rsid w:val="00A41793"/>
    <w:rsid w:val="00A41905"/>
    <w:rsid w:val="00A43E66"/>
    <w:rsid w:val="00A4578A"/>
    <w:rsid w:val="00A4604A"/>
    <w:rsid w:val="00A461DF"/>
    <w:rsid w:val="00A46576"/>
    <w:rsid w:val="00A46839"/>
    <w:rsid w:val="00A475BE"/>
    <w:rsid w:val="00A47DE5"/>
    <w:rsid w:val="00A51427"/>
    <w:rsid w:val="00A51EF1"/>
    <w:rsid w:val="00A5415C"/>
    <w:rsid w:val="00A544C2"/>
    <w:rsid w:val="00A552FD"/>
    <w:rsid w:val="00A5576E"/>
    <w:rsid w:val="00A55AA4"/>
    <w:rsid w:val="00A565D6"/>
    <w:rsid w:val="00A57D7B"/>
    <w:rsid w:val="00A6092E"/>
    <w:rsid w:val="00A61F83"/>
    <w:rsid w:val="00A635A6"/>
    <w:rsid w:val="00A642AC"/>
    <w:rsid w:val="00A64B72"/>
    <w:rsid w:val="00A65804"/>
    <w:rsid w:val="00A65870"/>
    <w:rsid w:val="00A665C7"/>
    <w:rsid w:val="00A676B2"/>
    <w:rsid w:val="00A67D98"/>
    <w:rsid w:val="00A70B53"/>
    <w:rsid w:val="00A71A46"/>
    <w:rsid w:val="00A71F3C"/>
    <w:rsid w:val="00A722D9"/>
    <w:rsid w:val="00A72314"/>
    <w:rsid w:val="00A72420"/>
    <w:rsid w:val="00A74231"/>
    <w:rsid w:val="00A743BC"/>
    <w:rsid w:val="00A7456C"/>
    <w:rsid w:val="00A74A66"/>
    <w:rsid w:val="00A75AC1"/>
    <w:rsid w:val="00A75FD6"/>
    <w:rsid w:val="00A76CF4"/>
    <w:rsid w:val="00A77303"/>
    <w:rsid w:val="00A80676"/>
    <w:rsid w:val="00A80A19"/>
    <w:rsid w:val="00A81C64"/>
    <w:rsid w:val="00A82650"/>
    <w:rsid w:val="00A83373"/>
    <w:rsid w:val="00A8380F"/>
    <w:rsid w:val="00A8536E"/>
    <w:rsid w:val="00A873B0"/>
    <w:rsid w:val="00A91FBE"/>
    <w:rsid w:val="00A92324"/>
    <w:rsid w:val="00A928CE"/>
    <w:rsid w:val="00A9439B"/>
    <w:rsid w:val="00A944ED"/>
    <w:rsid w:val="00A94C13"/>
    <w:rsid w:val="00A94D94"/>
    <w:rsid w:val="00A962F1"/>
    <w:rsid w:val="00A96DDB"/>
    <w:rsid w:val="00A97CAE"/>
    <w:rsid w:val="00AA0C9D"/>
    <w:rsid w:val="00AA12AB"/>
    <w:rsid w:val="00AA1867"/>
    <w:rsid w:val="00AA1DC0"/>
    <w:rsid w:val="00AA2177"/>
    <w:rsid w:val="00AA2C96"/>
    <w:rsid w:val="00AA3BD6"/>
    <w:rsid w:val="00AA3BF6"/>
    <w:rsid w:val="00AA46A0"/>
    <w:rsid w:val="00AA5259"/>
    <w:rsid w:val="00AA5F7B"/>
    <w:rsid w:val="00AA6244"/>
    <w:rsid w:val="00AA66FD"/>
    <w:rsid w:val="00AA6D02"/>
    <w:rsid w:val="00AB2EC2"/>
    <w:rsid w:val="00AB3384"/>
    <w:rsid w:val="00AB3C03"/>
    <w:rsid w:val="00AB41D8"/>
    <w:rsid w:val="00AB780C"/>
    <w:rsid w:val="00AC1100"/>
    <w:rsid w:val="00AC7242"/>
    <w:rsid w:val="00AD0140"/>
    <w:rsid w:val="00AD125A"/>
    <w:rsid w:val="00AD1383"/>
    <w:rsid w:val="00AD1A83"/>
    <w:rsid w:val="00AD2915"/>
    <w:rsid w:val="00AD29C5"/>
    <w:rsid w:val="00AD40DB"/>
    <w:rsid w:val="00AD41D3"/>
    <w:rsid w:val="00AD5BEB"/>
    <w:rsid w:val="00AD5D3A"/>
    <w:rsid w:val="00AD658E"/>
    <w:rsid w:val="00AE0073"/>
    <w:rsid w:val="00AE08F8"/>
    <w:rsid w:val="00AE2BD0"/>
    <w:rsid w:val="00AE31F5"/>
    <w:rsid w:val="00AE370E"/>
    <w:rsid w:val="00AE4234"/>
    <w:rsid w:val="00AE47C3"/>
    <w:rsid w:val="00AE56DB"/>
    <w:rsid w:val="00AE6280"/>
    <w:rsid w:val="00AE6EDF"/>
    <w:rsid w:val="00AE7265"/>
    <w:rsid w:val="00AE7E4C"/>
    <w:rsid w:val="00AF0021"/>
    <w:rsid w:val="00AF136D"/>
    <w:rsid w:val="00AF1FA7"/>
    <w:rsid w:val="00AF2B61"/>
    <w:rsid w:val="00AF2C5E"/>
    <w:rsid w:val="00AF3382"/>
    <w:rsid w:val="00AF525F"/>
    <w:rsid w:val="00AF5300"/>
    <w:rsid w:val="00AF5991"/>
    <w:rsid w:val="00AF6387"/>
    <w:rsid w:val="00AF6E04"/>
    <w:rsid w:val="00B00CC1"/>
    <w:rsid w:val="00B014D4"/>
    <w:rsid w:val="00B01B09"/>
    <w:rsid w:val="00B025B8"/>
    <w:rsid w:val="00B049E4"/>
    <w:rsid w:val="00B05AF1"/>
    <w:rsid w:val="00B05C13"/>
    <w:rsid w:val="00B061F4"/>
    <w:rsid w:val="00B06569"/>
    <w:rsid w:val="00B077EF"/>
    <w:rsid w:val="00B1056F"/>
    <w:rsid w:val="00B1098D"/>
    <w:rsid w:val="00B12072"/>
    <w:rsid w:val="00B12BA0"/>
    <w:rsid w:val="00B12C91"/>
    <w:rsid w:val="00B13021"/>
    <w:rsid w:val="00B13651"/>
    <w:rsid w:val="00B14188"/>
    <w:rsid w:val="00B1451F"/>
    <w:rsid w:val="00B1598F"/>
    <w:rsid w:val="00B15F74"/>
    <w:rsid w:val="00B2034F"/>
    <w:rsid w:val="00B21350"/>
    <w:rsid w:val="00B250B4"/>
    <w:rsid w:val="00B253A6"/>
    <w:rsid w:val="00B26F7F"/>
    <w:rsid w:val="00B279F0"/>
    <w:rsid w:val="00B31F5D"/>
    <w:rsid w:val="00B32032"/>
    <w:rsid w:val="00B335A7"/>
    <w:rsid w:val="00B33885"/>
    <w:rsid w:val="00B33E8B"/>
    <w:rsid w:val="00B35665"/>
    <w:rsid w:val="00B35FB6"/>
    <w:rsid w:val="00B40373"/>
    <w:rsid w:val="00B403F1"/>
    <w:rsid w:val="00B4060E"/>
    <w:rsid w:val="00B40697"/>
    <w:rsid w:val="00B40C37"/>
    <w:rsid w:val="00B4128A"/>
    <w:rsid w:val="00B4159A"/>
    <w:rsid w:val="00B418AF"/>
    <w:rsid w:val="00B42514"/>
    <w:rsid w:val="00B43AC4"/>
    <w:rsid w:val="00B44D10"/>
    <w:rsid w:val="00B45294"/>
    <w:rsid w:val="00B4566C"/>
    <w:rsid w:val="00B46321"/>
    <w:rsid w:val="00B46869"/>
    <w:rsid w:val="00B509B1"/>
    <w:rsid w:val="00B5132F"/>
    <w:rsid w:val="00B517C1"/>
    <w:rsid w:val="00B5182D"/>
    <w:rsid w:val="00B518FA"/>
    <w:rsid w:val="00B52B2F"/>
    <w:rsid w:val="00B53889"/>
    <w:rsid w:val="00B539D3"/>
    <w:rsid w:val="00B53F1C"/>
    <w:rsid w:val="00B54472"/>
    <w:rsid w:val="00B5566B"/>
    <w:rsid w:val="00B57092"/>
    <w:rsid w:val="00B5748D"/>
    <w:rsid w:val="00B57845"/>
    <w:rsid w:val="00B6052B"/>
    <w:rsid w:val="00B61E0E"/>
    <w:rsid w:val="00B65890"/>
    <w:rsid w:val="00B66B03"/>
    <w:rsid w:val="00B67C5F"/>
    <w:rsid w:val="00B7279B"/>
    <w:rsid w:val="00B752EA"/>
    <w:rsid w:val="00B8149E"/>
    <w:rsid w:val="00B81B69"/>
    <w:rsid w:val="00B85619"/>
    <w:rsid w:val="00B85A5E"/>
    <w:rsid w:val="00B86AAC"/>
    <w:rsid w:val="00B912A0"/>
    <w:rsid w:val="00B9182C"/>
    <w:rsid w:val="00B918F9"/>
    <w:rsid w:val="00B91B7F"/>
    <w:rsid w:val="00B92C99"/>
    <w:rsid w:val="00B92FF4"/>
    <w:rsid w:val="00B93186"/>
    <w:rsid w:val="00B93367"/>
    <w:rsid w:val="00B938CA"/>
    <w:rsid w:val="00B93AAE"/>
    <w:rsid w:val="00B967E2"/>
    <w:rsid w:val="00B96C7C"/>
    <w:rsid w:val="00B9790B"/>
    <w:rsid w:val="00BA008A"/>
    <w:rsid w:val="00BA0E64"/>
    <w:rsid w:val="00BA1840"/>
    <w:rsid w:val="00BA1CF6"/>
    <w:rsid w:val="00BA31C8"/>
    <w:rsid w:val="00BA3332"/>
    <w:rsid w:val="00BA356D"/>
    <w:rsid w:val="00BA4038"/>
    <w:rsid w:val="00BA49B6"/>
    <w:rsid w:val="00BA5631"/>
    <w:rsid w:val="00BA754B"/>
    <w:rsid w:val="00BB02DD"/>
    <w:rsid w:val="00BB0610"/>
    <w:rsid w:val="00BB49D5"/>
    <w:rsid w:val="00BB4FA3"/>
    <w:rsid w:val="00BB597E"/>
    <w:rsid w:val="00BB70A7"/>
    <w:rsid w:val="00BC108C"/>
    <w:rsid w:val="00BC17CF"/>
    <w:rsid w:val="00BC214B"/>
    <w:rsid w:val="00BC3011"/>
    <w:rsid w:val="00BC3460"/>
    <w:rsid w:val="00BC38B4"/>
    <w:rsid w:val="00BC4ABD"/>
    <w:rsid w:val="00BC4BA9"/>
    <w:rsid w:val="00BC6902"/>
    <w:rsid w:val="00BC71A8"/>
    <w:rsid w:val="00BC753F"/>
    <w:rsid w:val="00BC78E6"/>
    <w:rsid w:val="00BD15DC"/>
    <w:rsid w:val="00BD1928"/>
    <w:rsid w:val="00BD2263"/>
    <w:rsid w:val="00BD2E8B"/>
    <w:rsid w:val="00BD3C0C"/>
    <w:rsid w:val="00BD54E6"/>
    <w:rsid w:val="00BD5712"/>
    <w:rsid w:val="00BD6F10"/>
    <w:rsid w:val="00BD763F"/>
    <w:rsid w:val="00BD7EA5"/>
    <w:rsid w:val="00BE06F2"/>
    <w:rsid w:val="00BE1BB0"/>
    <w:rsid w:val="00BE2C58"/>
    <w:rsid w:val="00BE4F58"/>
    <w:rsid w:val="00BE5549"/>
    <w:rsid w:val="00BE59BD"/>
    <w:rsid w:val="00BE5C10"/>
    <w:rsid w:val="00BE67C8"/>
    <w:rsid w:val="00BE703C"/>
    <w:rsid w:val="00BE7273"/>
    <w:rsid w:val="00BE761F"/>
    <w:rsid w:val="00BF005D"/>
    <w:rsid w:val="00BF0310"/>
    <w:rsid w:val="00BF0D50"/>
    <w:rsid w:val="00BF2538"/>
    <w:rsid w:val="00BF2E72"/>
    <w:rsid w:val="00BF332A"/>
    <w:rsid w:val="00BF3540"/>
    <w:rsid w:val="00BF3672"/>
    <w:rsid w:val="00BF6B86"/>
    <w:rsid w:val="00BF75BF"/>
    <w:rsid w:val="00BF7F6E"/>
    <w:rsid w:val="00C0012D"/>
    <w:rsid w:val="00C00711"/>
    <w:rsid w:val="00C01E1F"/>
    <w:rsid w:val="00C02045"/>
    <w:rsid w:val="00C02A7E"/>
    <w:rsid w:val="00C02F9B"/>
    <w:rsid w:val="00C03424"/>
    <w:rsid w:val="00C03632"/>
    <w:rsid w:val="00C04ECE"/>
    <w:rsid w:val="00C05091"/>
    <w:rsid w:val="00C064CF"/>
    <w:rsid w:val="00C06E05"/>
    <w:rsid w:val="00C10DAA"/>
    <w:rsid w:val="00C115F7"/>
    <w:rsid w:val="00C11829"/>
    <w:rsid w:val="00C139F0"/>
    <w:rsid w:val="00C1497F"/>
    <w:rsid w:val="00C162D6"/>
    <w:rsid w:val="00C163A8"/>
    <w:rsid w:val="00C168E3"/>
    <w:rsid w:val="00C17723"/>
    <w:rsid w:val="00C20024"/>
    <w:rsid w:val="00C20772"/>
    <w:rsid w:val="00C26DA3"/>
    <w:rsid w:val="00C30F1D"/>
    <w:rsid w:val="00C3208F"/>
    <w:rsid w:val="00C3345A"/>
    <w:rsid w:val="00C3378C"/>
    <w:rsid w:val="00C35722"/>
    <w:rsid w:val="00C35FF8"/>
    <w:rsid w:val="00C361DC"/>
    <w:rsid w:val="00C36829"/>
    <w:rsid w:val="00C36BB2"/>
    <w:rsid w:val="00C37431"/>
    <w:rsid w:val="00C37B88"/>
    <w:rsid w:val="00C40E5C"/>
    <w:rsid w:val="00C412BF"/>
    <w:rsid w:val="00C42DD4"/>
    <w:rsid w:val="00C46161"/>
    <w:rsid w:val="00C472FF"/>
    <w:rsid w:val="00C50774"/>
    <w:rsid w:val="00C52E86"/>
    <w:rsid w:val="00C5317F"/>
    <w:rsid w:val="00C533AD"/>
    <w:rsid w:val="00C541C5"/>
    <w:rsid w:val="00C54643"/>
    <w:rsid w:val="00C546AC"/>
    <w:rsid w:val="00C54ABE"/>
    <w:rsid w:val="00C56391"/>
    <w:rsid w:val="00C56B71"/>
    <w:rsid w:val="00C574B8"/>
    <w:rsid w:val="00C60D1E"/>
    <w:rsid w:val="00C63E4C"/>
    <w:rsid w:val="00C64A26"/>
    <w:rsid w:val="00C65AB5"/>
    <w:rsid w:val="00C66B02"/>
    <w:rsid w:val="00C70757"/>
    <w:rsid w:val="00C73C7C"/>
    <w:rsid w:val="00C73C93"/>
    <w:rsid w:val="00C73FEB"/>
    <w:rsid w:val="00C74335"/>
    <w:rsid w:val="00C743F7"/>
    <w:rsid w:val="00C749CF"/>
    <w:rsid w:val="00C74C44"/>
    <w:rsid w:val="00C760B1"/>
    <w:rsid w:val="00C76ECD"/>
    <w:rsid w:val="00C77D05"/>
    <w:rsid w:val="00C82D1D"/>
    <w:rsid w:val="00C844DC"/>
    <w:rsid w:val="00C90002"/>
    <w:rsid w:val="00C9093A"/>
    <w:rsid w:val="00C90E08"/>
    <w:rsid w:val="00C91A6C"/>
    <w:rsid w:val="00C931E3"/>
    <w:rsid w:val="00C94DDE"/>
    <w:rsid w:val="00C95045"/>
    <w:rsid w:val="00C97DFA"/>
    <w:rsid w:val="00CA05B0"/>
    <w:rsid w:val="00CA09A1"/>
    <w:rsid w:val="00CA125B"/>
    <w:rsid w:val="00CA21E0"/>
    <w:rsid w:val="00CA2ECD"/>
    <w:rsid w:val="00CA33B7"/>
    <w:rsid w:val="00CA3862"/>
    <w:rsid w:val="00CA4B41"/>
    <w:rsid w:val="00CA5042"/>
    <w:rsid w:val="00CA5766"/>
    <w:rsid w:val="00CA5A95"/>
    <w:rsid w:val="00CA653F"/>
    <w:rsid w:val="00CA765C"/>
    <w:rsid w:val="00CB07F3"/>
    <w:rsid w:val="00CB379C"/>
    <w:rsid w:val="00CB4507"/>
    <w:rsid w:val="00CB6399"/>
    <w:rsid w:val="00CB6A8A"/>
    <w:rsid w:val="00CC0021"/>
    <w:rsid w:val="00CC1E8B"/>
    <w:rsid w:val="00CC2379"/>
    <w:rsid w:val="00CC34B9"/>
    <w:rsid w:val="00CC49BC"/>
    <w:rsid w:val="00CC6A96"/>
    <w:rsid w:val="00CC762D"/>
    <w:rsid w:val="00CC7AA6"/>
    <w:rsid w:val="00CD1C13"/>
    <w:rsid w:val="00CD27DB"/>
    <w:rsid w:val="00CD315D"/>
    <w:rsid w:val="00CD3D99"/>
    <w:rsid w:val="00CD4428"/>
    <w:rsid w:val="00CD471B"/>
    <w:rsid w:val="00CD533E"/>
    <w:rsid w:val="00CD54DE"/>
    <w:rsid w:val="00CD5AD6"/>
    <w:rsid w:val="00CD5F22"/>
    <w:rsid w:val="00CD61BD"/>
    <w:rsid w:val="00CD7112"/>
    <w:rsid w:val="00CD7464"/>
    <w:rsid w:val="00CE0200"/>
    <w:rsid w:val="00CE14BB"/>
    <w:rsid w:val="00CE1B43"/>
    <w:rsid w:val="00CE1EB4"/>
    <w:rsid w:val="00CE24DE"/>
    <w:rsid w:val="00CE2710"/>
    <w:rsid w:val="00CE2898"/>
    <w:rsid w:val="00CE2C5C"/>
    <w:rsid w:val="00CE3FD9"/>
    <w:rsid w:val="00CE4DD6"/>
    <w:rsid w:val="00CF002D"/>
    <w:rsid w:val="00CF0EEB"/>
    <w:rsid w:val="00CF107A"/>
    <w:rsid w:val="00CF127E"/>
    <w:rsid w:val="00CF2F14"/>
    <w:rsid w:val="00CF3256"/>
    <w:rsid w:val="00CF4FAC"/>
    <w:rsid w:val="00CF515A"/>
    <w:rsid w:val="00CF5685"/>
    <w:rsid w:val="00CF589E"/>
    <w:rsid w:val="00CF64FC"/>
    <w:rsid w:val="00CF6A68"/>
    <w:rsid w:val="00D004F6"/>
    <w:rsid w:val="00D0170D"/>
    <w:rsid w:val="00D01FFD"/>
    <w:rsid w:val="00D0482C"/>
    <w:rsid w:val="00D048E6"/>
    <w:rsid w:val="00D05B3B"/>
    <w:rsid w:val="00D05C16"/>
    <w:rsid w:val="00D0771D"/>
    <w:rsid w:val="00D114A4"/>
    <w:rsid w:val="00D11A72"/>
    <w:rsid w:val="00D12015"/>
    <w:rsid w:val="00D1223A"/>
    <w:rsid w:val="00D1624F"/>
    <w:rsid w:val="00D175DE"/>
    <w:rsid w:val="00D17C39"/>
    <w:rsid w:val="00D20CBC"/>
    <w:rsid w:val="00D20E37"/>
    <w:rsid w:val="00D2104B"/>
    <w:rsid w:val="00D223AE"/>
    <w:rsid w:val="00D24A9C"/>
    <w:rsid w:val="00D254EB"/>
    <w:rsid w:val="00D264C1"/>
    <w:rsid w:val="00D27064"/>
    <w:rsid w:val="00D27D50"/>
    <w:rsid w:val="00D31983"/>
    <w:rsid w:val="00D3271D"/>
    <w:rsid w:val="00D3271E"/>
    <w:rsid w:val="00D32DFD"/>
    <w:rsid w:val="00D32F2D"/>
    <w:rsid w:val="00D34946"/>
    <w:rsid w:val="00D37C49"/>
    <w:rsid w:val="00D37F79"/>
    <w:rsid w:val="00D40B6A"/>
    <w:rsid w:val="00D43B6E"/>
    <w:rsid w:val="00D44C56"/>
    <w:rsid w:val="00D44EDF"/>
    <w:rsid w:val="00D45B87"/>
    <w:rsid w:val="00D45ED8"/>
    <w:rsid w:val="00D45FD6"/>
    <w:rsid w:val="00D46476"/>
    <w:rsid w:val="00D467A8"/>
    <w:rsid w:val="00D50FCD"/>
    <w:rsid w:val="00D5187B"/>
    <w:rsid w:val="00D51C1E"/>
    <w:rsid w:val="00D523A3"/>
    <w:rsid w:val="00D530BD"/>
    <w:rsid w:val="00D53177"/>
    <w:rsid w:val="00D53DCC"/>
    <w:rsid w:val="00D5475C"/>
    <w:rsid w:val="00D559EE"/>
    <w:rsid w:val="00D57346"/>
    <w:rsid w:val="00D57C84"/>
    <w:rsid w:val="00D57D1D"/>
    <w:rsid w:val="00D57E47"/>
    <w:rsid w:val="00D60AFB"/>
    <w:rsid w:val="00D6199C"/>
    <w:rsid w:val="00D61B97"/>
    <w:rsid w:val="00D621A3"/>
    <w:rsid w:val="00D6276F"/>
    <w:rsid w:val="00D62B71"/>
    <w:rsid w:val="00D63276"/>
    <w:rsid w:val="00D637AF"/>
    <w:rsid w:val="00D64058"/>
    <w:rsid w:val="00D64551"/>
    <w:rsid w:val="00D6599F"/>
    <w:rsid w:val="00D672CB"/>
    <w:rsid w:val="00D70724"/>
    <w:rsid w:val="00D70BE6"/>
    <w:rsid w:val="00D7164D"/>
    <w:rsid w:val="00D71FDE"/>
    <w:rsid w:val="00D73038"/>
    <w:rsid w:val="00D7343A"/>
    <w:rsid w:val="00D74B2D"/>
    <w:rsid w:val="00D769B9"/>
    <w:rsid w:val="00D77776"/>
    <w:rsid w:val="00D77B6F"/>
    <w:rsid w:val="00D8012C"/>
    <w:rsid w:val="00D806C1"/>
    <w:rsid w:val="00D82892"/>
    <w:rsid w:val="00D83693"/>
    <w:rsid w:val="00D837DD"/>
    <w:rsid w:val="00D83C94"/>
    <w:rsid w:val="00D83DDE"/>
    <w:rsid w:val="00D84729"/>
    <w:rsid w:val="00D92193"/>
    <w:rsid w:val="00D94143"/>
    <w:rsid w:val="00D95CF9"/>
    <w:rsid w:val="00D963A9"/>
    <w:rsid w:val="00D96BFC"/>
    <w:rsid w:val="00D97625"/>
    <w:rsid w:val="00DA2B1E"/>
    <w:rsid w:val="00DA310E"/>
    <w:rsid w:val="00DA375B"/>
    <w:rsid w:val="00DA4F74"/>
    <w:rsid w:val="00DA5776"/>
    <w:rsid w:val="00DA590E"/>
    <w:rsid w:val="00DA6ED0"/>
    <w:rsid w:val="00DA70F7"/>
    <w:rsid w:val="00DA742D"/>
    <w:rsid w:val="00DA7451"/>
    <w:rsid w:val="00DA7D00"/>
    <w:rsid w:val="00DB1612"/>
    <w:rsid w:val="00DB1F0A"/>
    <w:rsid w:val="00DB2C98"/>
    <w:rsid w:val="00DB37C2"/>
    <w:rsid w:val="00DB3961"/>
    <w:rsid w:val="00DB431B"/>
    <w:rsid w:val="00DB520C"/>
    <w:rsid w:val="00DB56B5"/>
    <w:rsid w:val="00DB78C5"/>
    <w:rsid w:val="00DC07B4"/>
    <w:rsid w:val="00DC2619"/>
    <w:rsid w:val="00DC3888"/>
    <w:rsid w:val="00DC39B7"/>
    <w:rsid w:val="00DC6BCC"/>
    <w:rsid w:val="00DC715F"/>
    <w:rsid w:val="00DC7896"/>
    <w:rsid w:val="00DD0096"/>
    <w:rsid w:val="00DD01D5"/>
    <w:rsid w:val="00DD1740"/>
    <w:rsid w:val="00DD191B"/>
    <w:rsid w:val="00DD2D9E"/>
    <w:rsid w:val="00DD3CA6"/>
    <w:rsid w:val="00DD3CB9"/>
    <w:rsid w:val="00DD4A64"/>
    <w:rsid w:val="00DD541C"/>
    <w:rsid w:val="00DD71DE"/>
    <w:rsid w:val="00DE05F8"/>
    <w:rsid w:val="00DE06ED"/>
    <w:rsid w:val="00DE3578"/>
    <w:rsid w:val="00DE4CFB"/>
    <w:rsid w:val="00DE6110"/>
    <w:rsid w:val="00DE65EB"/>
    <w:rsid w:val="00DE6B09"/>
    <w:rsid w:val="00DE701A"/>
    <w:rsid w:val="00DF03F7"/>
    <w:rsid w:val="00DF242E"/>
    <w:rsid w:val="00DF25CC"/>
    <w:rsid w:val="00DF4618"/>
    <w:rsid w:val="00DF4A77"/>
    <w:rsid w:val="00DF504A"/>
    <w:rsid w:val="00DF5E8B"/>
    <w:rsid w:val="00DF7ED5"/>
    <w:rsid w:val="00E011C0"/>
    <w:rsid w:val="00E013D5"/>
    <w:rsid w:val="00E01B88"/>
    <w:rsid w:val="00E020DF"/>
    <w:rsid w:val="00E02C4E"/>
    <w:rsid w:val="00E0401E"/>
    <w:rsid w:val="00E0442D"/>
    <w:rsid w:val="00E04551"/>
    <w:rsid w:val="00E046ED"/>
    <w:rsid w:val="00E050DA"/>
    <w:rsid w:val="00E066FC"/>
    <w:rsid w:val="00E076D0"/>
    <w:rsid w:val="00E10EFE"/>
    <w:rsid w:val="00E1176A"/>
    <w:rsid w:val="00E13873"/>
    <w:rsid w:val="00E13DC9"/>
    <w:rsid w:val="00E13E4E"/>
    <w:rsid w:val="00E14330"/>
    <w:rsid w:val="00E15383"/>
    <w:rsid w:val="00E15CF4"/>
    <w:rsid w:val="00E169BE"/>
    <w:rsid w:val="00E200DB"/>
    <w:rsid w:val="00E221CE"/>
    <w:rsid w:val="00E22C9F"/>
    <w:rsid w:val="00E24245"/>
    <w:rsid w:val="00E25B45"/>
    <w:rsid w:val="00E2628C"/>
    <w:rsid w:val="00E26333"/>
    <w:rsid w:val="00E26D2D"/>
    <w:rsid w:val="00E31E1C"/>
    <w:rsid w:val="00E320F3"/>
    <w:rsid w:val="00E33794"/>
    <w:rsid w:val="00E34BD3"/>
    <w:rsid w:val="00E34D1A"/>
    <w:rsid w:val="00E3532D"/>
    <w:rsid w:val="00E355FF"/>
    <w:rsid w:val="00E357D7"/>
    <w:rsid w:val="00E359D7"/>
    <w:rsid w:val="00E35DC3"/>
    <w:rsid w:val="00E36152"/>
    <w:rsid w:val="00E432A5"/>
    <w:rsid w:val="00E4380B"/>
    <w:rsid w:val="00E46FCA"/>
    <w:rsid w:val="00E504BD"/>
    <w:rsid w:val="00E5107B"/>
    <w:rsid w:val="00E5114F"/>
    <w:rsid w:val="00E52F72"/>
    <w:rsid w:val="00E5350D"/>
    <w:rsid w:val="00E53DCA"/>
    <w:rsid w:val="00E54ABD"/>
    <w:rsid w:val="00E55393"/>
    <w:rsid w:val="00E55C02"/>
    <w:rsid w:val="00E56A5F"/>
    <w:rsid w:val="00E5769C"/>
    <w:rsid w:val="00E6351E"/>
    <w:rsid w:val="00E65615"/>
    <w:rsid w:val="00E65A5E"/>
    <w:rsid w:val="00E65CE3"/>
    <w:rsid w:val="00E702BD"/>
    <w:rsid w:val="00E702BF"/>
    <w:rsid w:val="00E70A3C"/>
    <w:rsid w:val="00E71C73"/>
    <w:rsid w:val="00E71F7A"/>
    <w:rsid w:val="00E7205D"/>
    <w:rsid w:val="00E73DC2"/>
    <w:rsid w:val="00E7558F"/>
    <w:rsid w:val="00E75CD2"/>
    <w:rsid w:val="00E7612A"/>
    <w:rsid w:val="00E77BF9"/>
    <w:rsid w:val="00E80DC2"/>
    <w:rsid w:val="00E81A76"/>
    <w:rsid w:val="00E829B3"/>
    <w:rsid w:val="00E83CE6"/>
    <w:rsid w:val="00E840BD"/>
    <w:rsid w:val="00E849D8"/>
    <w:rsid w:val="00E84F79"/>
    <w:rsid w:val="00E87A4A"/>
    <w:rsid w:val="00E90EDF"/>
    <w:rsid w:val="00E917CC"/>
    <w:rsid w:val="00E92406"/>
    <w:rsid w:val="00E9319E"/>
    <w:rsid w:val="00E93D76"/>
    <w:rsid w:val="00E93D94"/>
    <w:rsid w:val="00E93FD6"/>
    <w:rsid w:val="00E97A83"/>
    <w:rsid w:val="00E97ECD"/>
    <w:rsid w:val="00EA12AC"/>
    <w:rsid w:val="00EA187D"/>
    <w:rsid w:val="00EA2ED3"/>
    <w:rsid w:val="00EA405F"/>
    <w:rsid w:val="00EA4A96"/>
    <w:rsid w:val="00EA5256"/>
    <w:rsid w:val="00EA67D8"/>
    <w:rsid w:val="00EA72DE"/>
    <w:rsid w:val="00EB089F"/>
    <w:rsid w:val="00EB13A6"/>
    <w:rsid w:val="00EB1E14"/>
    <w:rsid w:val="00EB2C44"/>
    <w:rsid w:val="00EB4525"/>
    <w:rsid w:val="00EB6049"/>
    <w:rsid w:val="00EB71A4"/>
    <w:rsid w:val="00EB7304"/>
    <w:rsid w:val="00EC017B"/>
    <w:rsid w:val="00EC02C4"/>
    <w:rsid w:val="00EC067A"/>
    <w:rsid w:val="00EC0BD5"/>
    <w:rsid w:val="00EC0C4B"/>
    <w:rsid w:val="00EC1438"/>
    <w:rsid w:val="00EC1799"/>
    <w:rsid w:val="00EC2A9B"/>
    <w:rsid w:val="00EC40C4"/>
    <w:rsid w:val="00EC4B82"/>
    <w:rsid w:val="00EC5270"/>
    <w:rsid w:val="00EC5457"/>
    <w:rsid w:val="00EC6712"/>
    <w:rsid w:val="00EC6EAF"/>
    <w:rsid w:val="00EC7754"/>
    <w:rsid w:val="00ED17E7"/>
    <w:rsid w:val="00ED22E6"/>
    <w:rsid w:val="00ED2958"/>
    <w:rsid w:val="00ED2DE8"/>
    <w:rsid w:val="00ED309A"/>
    <w:rsid w:val="00ED448E"/>
    <w:rsid w:val="00ED45F2"/>
    <w:rsid w:val="00ED5FF9"/>
    <w:rsid w:val="00ED622C"/>
    <w:rsid w:val="00ED7F8E"/>
    <w:rsid w:val="00EE07BB"/>
    <w:rsid w:val="00EE1556"/>
    <w:rsid w:val="00EE2AE6"/>
    <w:rsid w:val="00EE2FF7"/>
    <w:rsid w:val="00EE320D"/>
    <w:rsid w:val="00EE344D"/>
    <w:rsid w:val="00EE3A8A"/>
    <w:rsid w:val="00EE3B70"/>
    <w:rsid w:val="00EE3D3D"/>
    <w:rsid w:val="00EE4658"/>
    <w:rsid w:val="00EE533E"/>
    <w:rsid w:val="00EE597F"/>
    <w:rsid w:val="00EF023F"/>
    <w:rsid w:val="00EF0494"/>
    <w:rsid w:val="00EF05AE"/>
    <w:rsid w:val="00EF17EB"/>
    <w:rsid w:val="00EF3872"/>
    <w:rsid w:val="00EF7A96"/>
    <w:rsid w:val="00EF7BEA"/>
    <w:rsid w:val="00F00461"/>
    <w:rsid w:val="00F00526"/>
    <w:rsid w:val="00F00CE5"/>
    <w:rsid w:val="00F00D33"/>
    <w:rsid w:val="00F00EBF"/>
    <w:rsid w:val="00F01753"/>
    <w:rsid w:val="00F03890"/>
    <w:rsid w:val="00F0391D"/>
    <w:rsid w:val="00F03A5A"/>
    <w:rsid w:val="00F046BE"/>
    <w:rsid w:val="00F04920"/>
    <w:rsid w:val="00F107E6"/>
    <w:rsid w:val="00F117D9"/>
    <w:rsid w:val="00F123E2"/>
    <w:rsid w:val="00F12996"/>
    <w:rsid w:val="00F15A49"/>
    <w:rsid w:val="00F15AE8"/>
    <w:rsid w:val="00F17A84"/>
    <w:rsid w:val="00F2130C"/>
    <w:rsid w:val="00F214F6"/>
    <w:rsid w:val="00F21DDE"/>
    <w:rsid w:val="00F2334B"/>
    <w:rsid w:val="00F259F7"/>
    <w:rsid w:val="00F26060"/>
    <w:rsid w:val="00F26257"/>
    <w:rsid w:val="00F266C1"/>
    <w:rsid w:val="00F26C7F"/>
    <w:rsid w:val="00F270FD"/>
    <w:rsid w:val="00F277B5"/>
    <w:rsid w:val="00F3100C"/>
    <w:rsid w:val="00F342E3"/>
    <w:rsid w:val="00F349B3"/>
    <w:rsid w:val="00F34B71"/>
    <w:rsid w:val="00F358D5"/>
    <w:rsid w:val="00F3660B"/>
    <w:rsid w:val="00F4039A"/>
    <w:rsid w:val="00F409D9"/>
    <w:rsid w:val="00F41480"/>
    <w:rsid w:val="00F42ABD"/>
    <w:rsid w:val="00F43779"/>
    <w:rsid w:val="00F442B1"/>
    <w:rsid w:val="00F443A6"/>
    <w:rsid w:val="00F444F6"/>
    <w:rsid w:val="00F44DDF"/>
    <w:rsid w:val="00F451A5"/>
    <w:rsid w:val="00F468BC"/>
    <w:rsid w:val="00F46DE0"/>
    <w:rsid w:val="00F47988"/>
    <w:rsid w:val="00F51188"/>
    <w:rsid w:val="00F52238"/>
    <w:rsid w:val="00F524F9"/>
    <w:rsid w:val="00F52BC4"/>
    <w:rsid w:val="00F52DF9"/>
    <w:rsid w:val="00F5325B"/>
    <w:rsid w:val="00F53FA0"/>
    <w:rsid w:val="00F5578F"/>
    <w:rsid w:val="00F56CD3"/>
    <w:rsid w:val="00F5770D"/>
    <w:rsid w:val="00F602B7"/>
    <w:rsid w:val="00F604E2"/>
    <w:rsid w:val="00F624CB"/>
    <w:rsid w:val="00F625F5"/>
    <w:rsid w:val="00F63BA5"/>
    <w:rsid w:val="00F63E32"/>
    <w:rsid w:val="00F65BCE"/>
    <w:rsid w:val="00F65C66"/>
    <w:rsid w:val="00F675EE"/>
    <w:rsid w:val="00F7061F"/>
    <w:rsid w:val="00F72306"/>
    <w:rsid w:val="00F72F35"/>
    <w:rsid w:val="00F72F3A"/>
    <w:rsid w:val="00F73A7F"/>
    <w:rsid w:val="00F748EB"/>
    <w:rsid w:val="00F74936"/>
    <w:rsid w:val="00F76B9C"/>
    <w:rsid w:val="00F76FD5"/>
    <w:rsid w:val="00F77111"/>
    <w:rsid w:val="00F7784F"/>
    <w:rsid w:val="00F812AC"/>
    <w:rsid w:val="00F813DA"/>
    <w:rsid w:val="00F81B32"/>
    <w:rsid w:val="00F82C98"/>
    <w:rsid w:val="00F8362F"/>
    <w:rsid w:val="00F8586F"/>
    <w:rsid w:val="00F85DF7"/>
    <w:rsid w:val="00F85E6B"/>
    <w:rsid w:val="00F87093"/>
    <w:rsid w:val="00F87E6A"/>
    <w:rsid w:val="00F907BA"/>
    <w:rsid w:val="00F916DE"/>
    <w:rsid w:val="00F91FF5"/>
    <w:rsid w:val="00F921F6"/>
    <w:rsid w:val="00F92359"/>
    <w:rsid w:val="00F9298E"/>
    <w:rsid w:val="00F94867"/>
    <w:rsid w:val="00F97A69"/>
    <w:rsid w:val="00FA058B"/>
    <w:rsid w:val="00FA0918"/>
    <w:rsid w:val="00FA091F"/>
    <w:rsid w:val="00FA095C"/>
    <w:rsid w:val="00FA0C03"/>
    <w:rsid w:val="00FA3132"/>
    <w:rsid w:val="00FA33DA"/>
    <w:rsid w:val="00FA47BB"/>
    <w:rsid w:val="00FA5252"/>
    <w:rsid w:val="00FA52AE"/>
    <w:rsid w:val="00FA5A21"/>
    <w:rsid w:val="00FA60CF"/>
    <w:rsid w:val="00FA6FE9"/>
    <w:rsid w:val="00FA7750"/>
    <w:rsid w:val="00FA7A7D"/>
    <w:rsid w:val="00FA7B52"/>
    <w:rsid w:val="00FA7E44"/>
    <w:rsid w:val="00FB06DF"/>
    <w:rsid w:val="00FB07DB"/>
    <w:rsid w:val="00FB1102"/>
    <w:rsid w:val="00FB2476"/>
    <w:rsid w:val="00FB2902"/>
    <w:rsid w:val="00FB3574"/>
    <w:rsid w:val="00FB4E91"/>
    <w:rsid w:val="00FB6183"/>
    <w:rsid w:val="00FB658F"/>
    <w:rsid w:val="00FB7354"/>
    <w:rsid w:val="00FB7A6A"/>
    <w:rsid w:val="00FB7AD3"/>
    <w:rsid w:val="00FC0990"/>
    <w:rsid w:val="00FC20EA"/>
    <w:rsid w:val="00FC2102"/>
    <w:rsid w:val="00FC2538"/>
    <w:rsid w:val="00FC46C7"/>
    <w:rsid w:val="00FC5D5F"/>
    <w:rsid w:val="00FC750E"/>
    <w:rsid w:val="00FC7AA9"/>
    <w:rsid w:val="00FC7B28"/>
    <w:rsid w:val="00FC7BF1"/>
    <w:rsid w:val="00FD012F"/>
    <w:rsid w:val="00FD046A"/>
    <w:rsid w:val="00FD05C0"/>
    <w:rsid w:val="00FD16F0"/>
    <w:rsid w:val="00FD2788"/>
    <w:rsid w:val="00FD3488"/>
    <w:rsid w:val="00FD37F8"/>
    <w:rsid w:val="00FD385B"/>
    <w:rsid w:val="00FD3F36"/>
    <w:rsid w:val="00FD476F"/>
    <w:rsid w:val="00FD5D1A"/>
    <w:rsid w:val="00FD6DC7"/>
    <w:rsid w:val="00FD7836"/>
    <w:rsid w:val="00FE158E"/>
    <w:rsid w:val="00FE2916"/>
    <w:rsid w:val="00FE2EFE"/>
    <w:rsid w:val="00FE3516"/>
    <w:rsid w:val="00FE3927"/>
    <w:rsid w:val="00FE5AE8"/>
    <w:rsid w:val="00FE667B"/>
    <w:rsid w:val="00FE66AD"/>
    <w:rsid w:val="00FE770F"/>
    <w:rsid w:val="00FE789B"/>
    <w:rsid w:val="00FE7DB1"/>
    <w:rsid w:val="00FF1054"/>
    <w:rsid w:val="00FF1A17"/>
    <w:rsid w:val="00FF3293"/>
    <w:rsid w:val="00FF46D3"/>
    <w:rsid w:val="00FF5132"/>
    <w:rsid w:val="00FF5B7A"/>
    <w:rsid w:val="00FF75F7"/>
  </w:rsids>
  <m:mathPr>
    <m:mathFont m:val="Cambria Math"/>
    <m:brkBin m:val="before"/>
    <m:brkBinSub m:val="--"/>
    <m:smallFrac/>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style="mso-width-relative:margin;mso-height-relative:margin" fillcolor="white">
      <v:fill color="white" opacity="0"/>
    </o:shapedefaults>
    <o:shapelayout v:ext="edit">
      <o:idmap v:ext="edit" data="1"/>
    </o:shapelayout>
  </w:shapeDefaults>
  <w:decimalSymbol w:val="."/>
  <w:listSeparator w:val=","/>
  <w14:docId w14:val="63D10804"/>
  <w15:docId w15:val="{B6DBEA20-903D-4147-84EC-8228E539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SG"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17F"/>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A923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57092"/>
    <w:rPr>
      <w:sz w:val="22"/>
      <w:szCs w:val="22"/>
      <w:lang w:val="en-US" w:eastAsia="en-US"/>
    </w:rPr>
  </w:style>
  <w:style w:type="character" w:customStyle="1" w:styleId="xbe">
    <w:name w:val="_xbe"/>
    <w:basedOn w:val="DefaultParagraphFont"/>
    <w:rsid w:val="00DD191B"/>
  </w:style>
  <w:style w:type="character" w:styleId="Hyperlink">
    <w:name w:val="Hyperlink"/>
    <w:uiPriority w:val="99"/>
    <w:unhideWhenUsed/>
    <w:rsid w:val="009812FA"/>
    <w:rPr>
      <w:color w:val="0000FF"/>
      <w:u w:val="single"/>
    </w:rPr>
  </w:style>
  <w:style w:type="character" w:styleId="CommentReference">
    <w:name w:val="annotation reference"/>
    <w:uiPriority w:val="99"/>
    <w:semiHidden/>
    <w:unhideWhenUsed/>
    <w:rsid w:val="004F00A8"/>
    <w:rPr>
      <w:sz w:val="16"/>
      <w:szCs w:val="16"/>
    </w:rPr>
  </w:style>
  <w:style w:type="paragraph" w:styleId="CommentText">
    <w:name w:val="annotation text"/>
    <w:basedOn w:val="Normal"/>
    <w:link w:val="CommentTextChar"/>
    <w:uiPriority w:val="99"/>
    <w:semiHidden/>
    <w:unhideWhenUsed/>
    <w:rsid w:val="004F00A8"/>
    <w:pPr>
      <w:spacing w:line="240" w:lineRule="auto"/>
    </w:pPr>
    <w:rPr>
      <w:sz w:val="20"/>
      <w:szCs w:val="20"/>
      <w:lang w:val="x-none" w:eastAsia="x-none"/>
    </w:rPr>
  </w:style>
  <w:style w:type="character" w:customStyle="1" w:styleId="CommentTextChar">
    <w:name w:val="Comment Text Char"/>
    <w:link w:val="CommentText"/>
    <w:uiPriority w:val="99"/>
    <w:semiHidden/>
    <w:rsid w:val="004F00A8"/>
    <w:rPr>
      <w:sz w:val="20"/>
      <w:szCs w:val="20"/>
    </w:rPr>
  </w:style>
  <w:style w:type="paragraph" w:styleId="CommentSubject">
    <w:name w:val="annotation subject"/>
    <w:basedOn w:val="CommentText"/>
    <w:next w:val="CommentText"/>
    <w:link w:val="CommentSubjectChar"/>
    <w:uiPriority w:val="99"/>
    <w:semiHidden/>
    <w:unhideWhenUsed/>
    <w:rsid w:val="004F00A8"/>
    <w:rPr>
      <w:b/>
      <w:bCs/>
    </w:rPr>
  </w:style>
  <w:style w:type="character" w:customStyle="1" w:styleId="CommentSubjectChar">
    <w:name w:val="Comment Subject Char"/>
    <w:link w:val="CommentSubject"/>
    <w:uiPriority w:val="99"/>
    <w:semiHidden/>
    <w:rsid w:val="004F00A8"/>
    <w:rPr>
      <w:b/>
      <w:bCs/>
      <w:sz w:val="20"/>
      <w:szCs w:val="20"/>
    </w:rPr>
  </w:style>
  <w:style w:type="paragraph" w:styleId="BalloonText">
    <w:name w:val="Balloon Text"/>
    <w:basedOn w:val="Normal"/>
    <w:link w:val="BalloonTextChar"/>
    <w:uiPriority w:val="99"/>
    <w:semiHidden/>
    <w:unhideWhenUsed/>
    <w:rsid w:val="004F00A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00A8"/>
    <w:rPr>
      <w:rFonts w:ascii="Tahoma" w:hAnsi="Tahoma" w:cs="Tahoma"/>
      <w:sz w:val="16"/>
      <w:szCs w:val="16"/>
    </w:rPr>
  </w:style>
  <w:style w:type="character" w:styleId="LineNumber">
    <w:name w:val="line number"/>
    <w:basedOn w:val="DefaultParagraphFont"/>
    <w:uiPriority w:val="99"/>
    <w:semiHidden/>
    <w:unhideWhenUsed/>
    <w:rsid w:val="001C2D67"/>
  </w:style>
  <w:style w:type="paragraph" w:styleId="Revision">
    <w:name w:val="Revision"/>
    <w:hidden/>
    <w:uiPriority w:val="99"/>
    <w:semiHidden/>
    <w:rsid w:val="00246843"/>
    <w:rPr>
      <w:sz w:val="22"/>
      <w:szCs w:val="22"/>
      <w:lang w:val="en-US" w:eastAsia="en-US"/>
    </w:rPr>
  </w:style>
  <w:style w:type="character" w:styleId="PlaceholderText">
    <w:name w:val="Placeholder Text"/>
    <w:uiPriority w:val="99"/>
    <w:semiHidden/>
    <w:rsid w:val="009204BE"/>
    <w:rPr>
      <w:color w:val="808080"/>
    </w:rPr>
  </w:style>
  <w:style w:type="paragraph" w:styleId="Header">
    <w:name w:val="header"/>
    <w:basedOn w:val="Normal"/>
    <w:link w:val="HeaderChar"/>
    <w:uiPriority w:val="99"/>
    <w:unhideWhenUsed/>
    <w:rsid w:val="0061686B"/>
    <w:pPr>
      <w:tabs>
        <w:tab w:val="center" w:pos="4680"/>
        <w:tab w:val="right" w:pos="9360"/>
      </w:tabs>
    </w:pPr>
    <w:rPr>
      <w:lang w:val="x-none" w:eastAsia="x-none"/>
    </w:rPr>
  </w:style>
  <w:style w:type="character" w:customStyle="1" w:styleId="HeaderChar">
    <w:name w:val="Header Char"/>
    <w:link w:val="Header"/>
    <w:uiPriority w:val="99"/>
    <w:rsid w:val="0061686B"/>
    <w:rPr>
      <w:sz w:val="22"/>
      <w:szCs w:val="22"/>
    </w:rPr>
  </w:style>
  <w:style w:type="paragraph" w:styleId="Footer">
    <w:name w:val="footer"/>
    <w:basedOn w:val="Normal"/>
    <w:link w:val="FooterChar"/>
    <w:uiPriority w:val="99"/>
    <w:unhideWhenUsed/>
    <w:rsid w:val="0061686B"/>
    <w:pPr>
      <w:tabs>
        <w:tab w:val="center" w:pos="4680"/>
        <w:tab w:val="right" w:pos="9360"/>
      </w:tabs>
    </w:pPr>
    <w:rPr>
      <w:lang w:val="x-none" w:eastAsia="x-none"/>
    </w:rPr>
  </w:style>
  <w:style w:type="character" w:customStyle="1" w:styleId="FooterChar">
    <w:name w:val="Footer Char"/>
    <w:link w:val="Footer"/>
    <w:uiPriority w:val="99"/>
    <w:rsid w:val="0061686B"/>
    <w:rPr>
      <w:sz w:val="22"/>
      <w:szCs w:val="22"/>
    </w:rPr>
  </w:style>
  <w:style w:type="table" w:styleId="TableGrid">
    <w:name w:val="Table Grid"/>
    <w:basedOn w:val="TableNormal"/>
    <w:uiPriority w:val="39"/>
    <w:unhideWhenUsed/>
    <w:rsid w:val="00B12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0D48FB"/>
    <w:pPr>
      <w:tabs>
        <w:tab w:val="left" w:pos="504"/>
      </w:tabs>
      <w:spacing w:after="0" w:line="240" w:lineRule="auto"/>
      <w:ind w:left="504" w:hanging="504"/>
    </w:pPr>
  </w:style>
  <w:style w:type="character" w:customStyle="1" w:styleId="UnresolvedMention1">
    <w:name w:val="Unresolved Mention1"/>
    <w:basedOn w:val="DefaultParagraphFont"/>
    <w:uiPriority w:val="99"/>
    <w:semiHidden/>
    <w:unhideWhenUsed/>
    <w:rsid w:val="00B1451F"/>
    <w:rPr>
      <w:color w:val="605E5C"/>
      <w:shd w:val="clear" w:color="auto" w:fill="E1DFDD"/>
    </w:rPr>
  </w:style>
  <w:style w:type="character" w:customStyle="1" w:styleId="UnresolvedMention2">
    <w:name w:val="Unresolved Mention2"/>
    <w:basedOn w:val="DefaultParagraphFont"/>
    <w:uiPriority w:val="99"/>
    <w:semiHidden/>
    <w:unhideWhenUsed/>
    <w:rsid w:val="008C3D41"/>
    <w:rPr>
      <w:color w:val="605E5C"/>
      <w:shd w:val="clear" w:color="auto" w:fill="E1DFDD"/>
    </w:rPr>
  </w:style>
  <w:style w:type="paragraph" w:styleId="ListBullet">
    <w:name w:val="List Bullet"/>
    <w:basedOn w:val="Normal"/>
    <w:uiPriority w:val="99"/>
    <w:unhideWhenUsed/>
    <w:rsid w:val="003F7A6D"/>
    <w:pPr>
      <w:numPr>
        <w:numId w:val="8"/>
      </w:numPr>
      <w:contextualSpacing/>
    </w:pPr>
  </w:style>
  <w:style w:type="character" w:customStyle="1" w:styleId="Heading1Char">
    <w:name w:val="Heading 1 Char"/>
    <w:basedOn w:val="DefaultParagraphFont"/>
    <w:link w:val="Heading1"/>
    <w:uiPriority w:val="9"/>
    <w:rsid w:val="00A92324"/>
    <w:rPr>
      <w:rFonts w:asciiTheme="majorHAnsi" w:eastAsiaTheme="majorEastAsia" w:hAnsiTheme="majorHAnsi" w:cstheme="majorBidi"/>
      <w:color w:val="2F5496" w:themeColor="accent1" w:themeShade="BF"/>
      <w:sz w:val="32"/>
      <w:szCs w:val="32"/>
      <w:lang w:val="en-US" w:eastAsia="en-US"/>
    </w:rPr>
  </w:style>
  <w:style w:type="paragraph" w:styleId="FootnoteText">
    <w:name w:val="footnote text"/>
    <w:basedOn w:val="Normal"/>
    <w:link w:val="FootnoteTextChar"/>
    <w:uiPriority w:val="99"/>
    <w:semiHidden/>
    <w:unhideWhenUsed/>
    <w:rsid w:val="00CA65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653F"/>
    <w:rPr>
      <w:lang w:val="en-US" w:eastAsia="en-US"/>
    </w:rPr>
  </w:style>
  <w:style w:type="character" w:styleId="FootnoteReference">
    <w:name w:val="footnote reference"/>
    <w:basedOn w:val="DefaultParagraphFont"/>
    <w:uiPriority w:val="99"/>
    <w:semiHidden/>
    <w:unhideWhenUsed/>
    <w:rsid w:val="00CA653F"/>
    <w:rPr>
      <w:vertAlign w:val="superscript"/>
    </w:rPr>
  </w:style>
  <w:style w:type="paragraph" w:styleId="Title">
    <w:name w:val="Title"/>
    <w:basedOn w:val="Normal"/>
    <w:next w:val="Normal"/>
    <w:link w:val="TitleChar"/>
    <w:uiPriority w:val="10"/>
    <w:qFormat/>
    <w:rsid w:val="00076F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F8A"/>
    <w:rPr>
      <w:rFonts w:asciiTheme="majorHAnsi" w:eastAsiaTheme="majorEastAsia" w:hAnsiTheme="majorHAnsi" w:cstheme="majorBidi"/>
      <w:spacing w:val="-10"/>
      <w:kern w:val="28"/>
      <w:sz w:val="56"/>
      <w:szCs w:val="56"/>
      <w:lang w:val="en-US" w:eastAsia="en-US"/>
    </w:rPr>
  </w:style>
  <w:style w:type="paragraph" w:customStyle="1" w:styleId="xmsonormal">
    <w:name w:val="x_msonormal"/>
    <w:basedOn w:val="Normal"/>
    <w:rsid w:val="00B5566B"/>
    <w:pPr>
      <w:spacing w:before="100" w:beforeAutospacing="1" w:after="100" w:afterAutospacing="1" w:line="240" w:lineRule="auto"/>
    </w:pPr>
    <w:rPr>
      <w:rFonts w:ascii="Times New Roman" w:eastAsia="Times New Roman" w:hAnsi="Times New Roman"/>
      <w:sz w:val="24"/>
      <w:szCs w:val="24"/>
      <w:lang w:val="en-SG" w:eastAsia="zh-CN"/>
    </w:rPr>
  </w:style>
  <w:style w:type="character" w:customStyle="1" w:styleId="UnresolvedMention">
    <w:name w:val="Unresolved Mention"/>
    <w:basedOn w:val="DefaultParagraphFont"/>
    <w:uiPriority w:val="99"/>
    <w:semiHidden/>
    <w:unhideWhenUsed/>
    <w:rsid w:val="00DD1740"/>
    <w:rPr>
      <w:color w:val="605E5C"/>
      <w:shd w:val="clear" w:color="auto" w:fill="E1DFDD"/>
    </w:rPr>
  </w:style>
  <w:style w:type="character" w:customStyle="1" w:styleId="NoSpacingChar">
    <w:name w:val="No Spacing Char"/>
    <w:basedOn w:val="DefaultParagraphFont"/>
    <w:link w:val="NoSpacing"/>
    <w:uiPriority w:val="1"/>
    <w:rsid w:val="00CD4428"/>
    <w:rPr>
      <w:sz w:val="22"/>
      <w:szCs w:val="22"/>
      <w:lang w:val="en-US" w:eastAsia="en-US"/>
    </w:rPr>
  </w:style>
  <w:style w:type="character" w:customStyle="1" w:styleId="allowtextselection">
    <w:name w:val="allowtextselection"/>
    <w:basedOn w:val="DefaultParagraphFont"/>
    <w:rsid w:val="001E17BC"/>
  </w:style>
  <w:style w:type="character" w:customStyle="1" w:styleId="docsum-authors">
    <w:name w:val="docsum-authors"/>
    <w:basedOn w:val="DefaultParagraphFont"/>
    <w:rsid w:val="00C37431"/>
  </w:style>
  <w:style w:type="character" w:customStyle="1" w:styleId="docsum-journal-citation">
    <w:name w:val="docsum-journal-citation"/>
    <w:basedOn w:val="DefaultParagraphFont"/>
    <w:rsid w:val="00C37431"/>
  </w:style>
  <w:style w:type="paragraph" w:styleId="ListParagraph">
    <w:name w:val="List Paragraph"/>
    <w:basedOn w:val="Normal"/>
    <w:uiPriority w:val="34"/>
    <w:qFormat/>
    <w:rsid w:val="005C3A1D"/>
    <w:pPr>
      <w:ind w:left="720"/>
      <w:contextualSpacing/>
    </w:pPr>
  </w:style>
  <w:style w:type="character" w:customStyle="1" w:styleId="citation-doi">
    <w:name w:val="citation-doi"/>
    <w:basedOn w:val="DefaultParagraphFont"/>
    <w:rsid w:val="00ED622C"/>
  </w:style>
  <w:style w:type="paragraph" w:styleId="NormalWeb">
    <w:name w:val="Normal (Web)"/>
    <w:basedOn w:val="Normal"/>
    <w:uiPriority w:val="99"/>
    <w:semiHidden/>
    <w:unhideWhenUsed/>
    <w:rsid w:val="00464A87"/>
    <w:pPr>
      <w:spacing w:before="100" w:beforeAutospacing="1" w:after="100" w:afterAutospacing="1" w:line="240" w:lineRule="auto"/>
    </w:pPr>
    <w:rPr>
      <w:rFonts w:ascii="Times New Roman" w:eastAsiaTheme="minorEastAsia" w:hAnsi="Times New Roman"/>
      <w:sz w:val="24"/>
      <w:szCs w:val="24"/>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58875">
      <w:bodyDiv w:val="1"/>
      <w:marLeft w:val="0"/>
      <w:marRight w:val="0"/>
      <w:marTop w:val="0"/>
      <w:marBottom w:val="0"/>
      <w:divBdr>
        <w:top w:val="none" w:sz="0" w:space="0" w:color="auto"/>
        <w:left w:val="none" w:sz="0" w:space="0" w:color="auto"/>
        <w:bottom w:val="none" w:sz="0" w:space="0" w:color="auto"/>
        <w:right w:val="none" w:sz="0" w:space="0" w:color="auto"/>
      </w:divBdr>
      <w:divsChild>
        <w:div w:id="1814248158">
          <w:marLeft w:val="0"/>
          <w:marRight w:val="0"/>
          <w:marTop w:val="0"/>
          <w:marBottom w:val="0"/>
          <w:divBdr>
            <w:top w:val="none" w:sz="0" w:space="0" w:color="auto"/>
            <w:left w:val="none" w:sz="0" w:space="0" w:color="auto"/>
            <w:bottom w:val="none" w:sz="0" w:space="0" w:color="auto"/>
            <w:right w:val="none" w:sz="0" w:space="0" w:color="auto"/>
          </w:divBdr>
        </w:div>
      </w:divsChild>
    </w:div>
    <w:div w:id="290137902">
      <w:bodyDiv w:val="1"/>
      <w:marLeft w:val="0"/>
      <w:marRight w:val="0"/>
      <w:marTop w:val="0"/>
      <w:marBottom w:val="0"/>
      <w:divBdr>
        <w:top w:val="none" w:sz="0" w:space="0" w:color="auto"/>
        <w:left w:val="none" w:sz="0" w:space="0" w:color="auto"/>
        <w:bottom w:val="none" w:sz="0" w:space="0" w:color="auto"/>
        <w:right w:val="none" w:sz="0" w:space="0" w:color="auto"/>
      </w:divBdr>
      <w:divsChild>
        <w:div w:id="340933613">
          <w:marLeft w:val="0"/>
          <w:marRight w:val="0"/>
          <w:marTop w:val="0"/>
          <w:marBottom w:val="0"/>
          <w:divBdr>
            <w:top w:val="none" w:sz="0" w:space="0" w:color="auto"/>
            <w:left w:val="none" w:sz="0" w:space="0" w:color="auto"/>
            <w:bottom w:val="none" w:sz="0" w:space="0" w:color="auto"/>
            <w:right w:val="none" w:sz="0" w:space="0" w:color="auto"/>
          </w:divBdr>
        </w:div>
      </w:divsChild>
    </w:div>
    <w:div w:id="765660064">
      <w:bodyDiv w:val="1"/>
      <w:marLeft w:val="0"/>
      <w:marRight w:val="0"/>
      <w:marTop w:val="0"/>
      <w:marBottom w:val="0"/>
      <w:divBdr>
        <w:top w:val="none" w:sz="0" w:space="0" w:color="auto"/>
        <w:left w:val="none" w:sz="0" w:space="0" w:color="auto"/>
        <w:bottom w:val="none" w:sz="0" w:space="0" w:color="auto"/>
        <w:right w:val="none" w:sz="0" w:space="0" w:color="auto"/>
      </w:divBdr>
      <w:divsChild>
        <w:div w:id="1781024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178081">
              <w:marLeft w:val="0"/>
              <w:marRight w:val="0"/>
              <w:marTop w:val="0"/>
              <w:marBottom w:val="0"/>
              <w:divBdr>
                <w:top w:val="none" w:sz="0" w:space="0" w:color="auto"/>
                <w:left w:val="none" w:sz="0" w:space="0" w:color="auto"/>
                <w:bottom w:val="none" w:sz="0" w:space="0" w:color="auto"/>
                <w:right w:val="none" w:sz="0" w:space="0" w:color="auto"/>
              </w:divBdr>
              <w:divsChild>
                <w:div w:id="1217619219">
                  <w:marLeft w:val="0"/>
                  <w:marRight w:val="0"/>
                  <w:marTop w:val="0"/>
                  <w:marBottom w:val="0"/>
                  <w:divBdr>
                    <w:top w:val="none" w:sz="0" w:space="0" w:color="auto"/>
                    <w:left w:val="none" w:sz="0" w:space="0" w:color="auto"/>
                    <w:bottom w:val="none" w:sz="0" w:space="0" w:color="auto"/>
                    <w:right w:val="none" w:sz="0" w:space="0" w:color="auto"/>
                  </w:divBdr>
                  <w:divsChild>
                    <w:div w:id="653218096">
                      <w:marLeft w:val="0"/>
                      <w:marRight w:val="0"/>
                      <w:marTop w:val="0"/>
                      <w:marBottom w:val="0"/>
                      <w:divBdr>
                        <w:top w:val="none" w:sz="0" w:space="0" w:color="auto"/>
                        <w:left w:val="none" w:sz="0" w:space="0" w:color="auto"/>
                        <w:bottom w:val="none" w:sz="0" w:space="0" w:color="auto"/>
                        <w:right w:val="none" w:sz="0" w:space="0" w:color="auto"/>
                      </w:divBdr>
                      <w:divsChild>
                        <w:div w:id="159393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226843">
      <w:bodyDiv w:val="1"/>
      <w:marLeft w:val="0"/>
      <w:marRight w:val="0"/>
      <w:marTop w:val="0"/>
      <w:marBottom w:val="0"/>
      <w:divBdr>
        <w:top w:val="none" w:sz="0" w:space="0" w:color="auto"/>
        <w:left w:val="none" w:sz="0" w:space="0" w:color="auto"/>
        <w:bottom w:val="none" w:sz="0" w:space="0" w:color="auto"/>
        <w:right w:val="none" w:sz="0" w:space="0" w:color="auto"/>
      </w:divBdr>
    </w:div>
    <w:div w:id="1786583282">
      <w:bodyDiv w:val="1"/>
      <w:marLeft w:val="0"/>
      <w:marRight w:val="0"/>
      <w:marTop w:val="0"/>
      <w:marBottom w:val="0"/>
      <w:divBdr>
        <w:top w:val="none" w:sz="0" w:space="0" w:color="auto"/>
        <w:left w:val="none" w:sz="0" w:space="0" w:color="auto"/>
        <w:bottom w:val="none" w:sz="0" w:space="0" w:color="auto"/>
        <w:right w:val="none" w:sz="0" w:space="0" w:color="auto"/>
      </w:divBdr>
      <w:divsChild>
        <w:div w:id="1566339012">
          <w:marLeft w:val="0"/>
          <w:marRight w:val="0"/>
          <w:marTop w:val="0"/>
          <w:marBottom w:val="0"/>
          <w:divBdr>
            <w:top w:val="none" w:sz="0" w:space="0" w:color="auto"/>
            <w:left w:val="none" w:sz="0" w:space="0" w:color="auto"/>
            <w:bottom w:val="none" w:sz="0" w:space="0" w:color="auto"/>
            <w:right w:val="none" w:sz="0" w:space="0" w:color="auto"/>
          </w:divBdr>
          <w:divsChild>
            <w:div w:id="764614126">
              <w:marLeft w:val="0"/>
              <w:marRight w:val="0"/>
              <w:marTop w:val="0"/>
              <w:marBottom w:val="0"/>
              <w:divBdr>
                <w:top w:val="none" w:sz="0" w:space="0" w:color="auto"/>
                <w:left w:val="none" w:sz="0" w:space="0" w:color="auto"/>
                <w:bottom w:val="none" w:sz="0" w:space="0" w:color="auto"/>
                <w:right w:val="none" w:sz="0" w:space="0" w:color="auto"/>
              </w:divBdr>
              <w:divsChild>
                <w:div w:id="27212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s://pubmed-ncbi-nlm-nih-gov.libproxy1.nus.edu.sg/2403789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med.ncbi.nlm.nih.gov/2559993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tif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who.int/iris/handle/10665/43588" TargetMode="External"/><Relationship Id="rId5" Type="http://schemas.openxmlformats.org/officeDocument/2006/relationships/webSettings" Target="webSettings.xml"/><Relationship Id="rId15" Type="http://schemas.openxmlformats.org/officeDocument/2006/relationships/hyperlink" Target="https://pubmed-ncbi-nlm-nih-gov.libproxy1.nus.edu.sg/32367627/" TargetMode="External"/><Relationship Id="rId10" Type="http://schemas.openxmlformats.org/officeDocument/2006/relationships/hyperlink" Target="https://pubmed-ncbi-nlm-nih-gov.libproxy1.nus.edu.sg/3322205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oy.see.ling@kkh.com.sg" TargetMode="External"/><Relationship Id="rId14" Type="http://schemas.openxmlformats.org/officeDocument/2006/relationships/hyperlink" Target="https://pubmed-ncbi-nlm-nih-gov.libproxy1.nus.edu.sg/31754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44B62-3EC8-4B7E-BE8C-243F0E723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5724</Words>
  <Characters>32628</Characters>
  <Application>Microsoft Office Word</Application>
  <DocSecurity>4</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KKH</Company>
  <LinksUpToDate>false</LinksUpToDate>
  <CharactersWithSpaces>38276</CharactersWithSpaces>
  <SharedDoc>false</SharedDoc>
  <HLinks>
    <vt:vector size="6" baseType="variant">
      <vt:variant>
        <vt:i4>1703985</vt:i4>
      </vt:variant>
      <vt:variant>
        <vt:i4>0</vt:i4>
      </vt:variant>
      <vt:variant>
        <vt:i4>0</vt:i4>
      </vt:variant>
      <vt:variant>
        <vt:i4>5</vt:i4>
      </vt:variant>
      <vt:variant>
        <vt:lpwstr>mailto:fabian.yap.k.p@singhealth.com.sg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Karen Drake</cp:lastModifiedBy>
  <cp:revision>2</cp:revision>
  <cp:lastPrinted>2021-10-12T08:48:00Z</cp:lastPrinted>
  <dcterms:created xsi:type="dcterms:W3CDTF">2021-10-12T10:08:00Z</dcterms:created>
  <dcterms:modified xsi:type="dcterms:W3CDTF">2021-10-12T10:08:00Z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zotero-version="5.0.64"&gt;&lt;session id="I0srADPZ"/&gt;&lt;style id="http://www.zotero.org/styles/diabetes-research-and-clinical-practice" hasBibliography="1" bibliographyStyleHasBeenSet="1"/&gt;&lt;prefs&gt;&lt;pref name="fieldType" value="Field"/&gt;&lt;/pre</vt:lpwstr>
  </property>
  <property fmtid="{D5CDD505-2E9C-101B-9397-08002B2CF9AE}" pid="3" name="ZOTERO_PREF_2">
    <vt:lpwstr>fs&gt;&lt;/data&gt;</vt:lpwstr>
  </property>
</Properties>
</file>