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1F9C32" w14:textId="74E64BC6" w:rsidR="006F2B67" w:rsidRPr="009824AD" w:rsidRDefault="006F2B67" w:rsidP="00B37364">
      <w:pPr>
        <w:jc w:val="both"/>
        <w:rPr>
          <w:rFonts w:ascii="Helvetica" w:hAnsi="Helvetica" w:cs="Calibri"/>
          <w:b/>
          <w:bCs/>
          <w:sz w:val="22"/>
          <w:szCs w:val="22"/>
          <w:lang w:val="en-US"/>
        </w:rPr>
      </w:pPr>
      <w:r w:rsidRPr="009824AD">
        <w:rPr>
          <w:rFonts w:ascii="Helvetica" w:hAnsi="Helvetica" w:cs="Calibri"/>
          <w:b/>
          <w:bCs/>
          <w:sz w:val="22"/>
          <w:szCs w:val="22"/>
          <w:lang w:val="en-US"/>
        </w:rPr>
        <w:t xml:space="preserve">Original article </w:t>
      </w:r>
    </w:p>
    <w:p w14:paraId="41F5F1A7" w14:textId="77777777" w:rsidR="006F2B67" w:rsidRPr="009824AD" w:rsidRDefault="006F2B67" w:rsidP="00B37364">
      <w:pPr>
        <w:jc w:val="both"/>
        <w:rPr>
          <w:rFonts w:ascii="Helvetica" w:hAnsi="Helvetica" w:cs="Calibri"/>
          <w:b/>
          <w:bCs/>
          <w:sz w:val="36"/>
          <w:szCs w:val="36"/>
          <w:lang w:val="en-US"/>
        </w:rPr>
      </w:pPr>
    </w:p>
    <w:p w14:paraId="6BC56B52" w14:textId="44307197" w:rsidR="00B37364" w:rsidRPr="009824AD" w:rsidRDefault="00D42C41" w:rsidP="00B37364">
      <w:pPr>
        <w:jc w:val="both"/>
        <w:rPr>
          <w:rFonts w:ascii="Helvetica" w:eastAsia="Times New Roman" w:hAnsi="Helvetica" w:cs="Calibri"/>
          <w:b/>
          <w:bCs/>
          <w:sz w:val="36"/>
          <w:szCs w:val="36"/>
          <w:lang w:val="en-US" w:eastAsia="nl-NL"/>
        </w:rPr>
      </w:pPr>
      <w:r w:rsidRPr="009824AD">
        <w:rPr>
          <w:rFonts w:ascii="Helvetica" w:hAnsi="Helvetica" w:cs="Calibri"/>
          <w:b/>
          <w:bCs/>
          <w:sz w:val="36"/>
          <w:szCs w:val="36"/>
          <w:lang w:val="en-US"/>
        </w:rPr>
        <w:t>Bile leakage after laparoscopic and open liver resection; i</w:t>
      </w:r>
      <w:r w:rsidR="00B37364" w:rsidRPr="009824AD">
        <w:rPr>
          <w:rFonts w:ascii="Helvetica" w:hAnsi="Helvetica" w:cs="Calibri"/>
          <w:b/>
          <w:bCs/>
          <w:sz w:val="36"/>
          <w:szCs w:val="36"/>
          <w:lang w:val="en-US"/>
        </w:rPr>
        <w:t>ncidence and clinical impact</w:t>
      </w:r>
      <w:r w:rsidRPr="009824AD">
        <w:rPr>
          <w:rFonts w:ascii="Helvetica" w:hAnsi="Helvetica" w:cs="Calibri"/>
          <w:b/>
          <w:bCs/>
          <w:sz w:val="36"/>
          <w:szCs w:val="36"/>
          <w:lang w:val="en-US"/>
        </w:rPr>
        <w:t>:</w:t>
      </w:r>
      <w:r w:rsidR="00B37364" w:rsidRPr="009824AD">
        <w:rPr>
          <w:rFonts w:ascii="Helvetica" w:hAnsi="Helvetica" w:cs="Calibri"/>
          <w:b/>
          <w:bCs/>
          <w:sz w:val="36"/>
          <w:szCs w:val="36"/>
          <w:lang w:val="en-US"/>
        </w:rPr>
        <w:t xml:space="preserve"> an international multi</w:t>
      </w:r>
      <w:r w:rsidR="004951C2" w:rsidRPr="009824AD">
        <w:rPr>
          <w:rFonts w:ascii="Helvetica" w:hAnsi="Helvetica" w:cs="Calibri"/>
          <w:b/>
          <w:bCs/>
          <w:sz w:val="36"/>
          <w:szCs w:val="36"/>
          <w:lang w:val="en-US"/>
        </w:rPr>
        <w:t>cente</w:t>
      </w:r>
      <w:r w:rsidR="00CB7EDE" w:rsidRPr="009824AD">
        <w:rPr>
          <w:rFonts w:ascii="Helvetica" w:hAnsi="Helvetica" w:cs="Calibri"/>
          <w:b/>
          <w:bCs/>
          <w:sz w:val="36"/>
          <w:szCs w:val="36"/>
          <w:lang w:val="en-US"/>
        </w:rPr>
        <w:t>r</w:t>
      </w:r>
      <w:r w:rsidR="00C02A49" w:rsidRPr="009824AD">
        <w:rPr>
          <w:rFonts w:ascii="Helvetica" w:hAnsi="Helvetica" w:cs="Calibri"/>
          <w:b/>
          <w:bCs/>
          <w:sz w:val="36"/>
          <w:szCs w:val="36"/>
          <w:lang w:val="en-US"/>
        </w:rPr>
        <w:t xml:space="preserve"> </w:t>
      </w:r>
      <w:r w:rsidR="00615B21" w:rsidRPr="009824AD">
        <w:rPr>
          <w:rFonts w:ascii="Helvetica" w:hAnsi="Helvetica" w:cs="Calibri"/>
          <w:b/>
          <w:bCs/>
          <w:sz w:val="36"/>
          <w:szCs w:val="36"/>
          <w:lang w:val="en-US"/>
        </w:rPr>
        <w:t>p</w:t>
      </w:r>
      <w:r w:rsidR="00C02A49" w:rsidRPr="009824AD">
        <w:rPr>
          <w:rFonts w:ascii="Helvetica" w:hAnsi="Helvetica" w:cs="Calibri"/>
          <w:b/>
          <w:bCs/>
          <w:sz w:val="36"/>
          <w:szCs w:val="36"/>
          <w:lang w:val="en-US"/>
        </w:rPr>
        <w:t xml:space="preserve">ropensity </w:t>
      </w:r>
      <w:r w:rsidR="00615B21" w:rsidRPr="009824AD">
        <w:rPr>
          <w:rFonts w:ascii="Helvetica" w:hAnsi="Helvetica" w:cs="Calibri"/>
          <w:b/>
          <w:bCs/>
          <w:sz w:val="36"/>
          <w:szCs w:val="36"/>
          <w:lang w:val="en-US"/>
        </w:rPr>
        <w:t>s</w:t>
      </w:r>
      <w:r w:rsidR="00C02A49" w:rsidRPr="009824AD">
        <w:rPr>
          <w:rFonts w:ascii="Helvetica" w:hAnsi="Helvetica" w:cs="Calibri"/>
          <w:b/>
          <w:bCs/>
          <w:sz w:val="36"/>
          <w:szCs w:val="36"/>
          <w:lang w:val="en-US"/>
        </w:rPr>
        <w:t>core-matched</w:t>
      </w:r>
      <w:r w:rsidR="00B37364" w:rsidRPr="009824AD">
        <w:rPr>
          <w:rFonts w:ascii="Helvetica" w:hAnsi="Helvetica" w:cs="Calibri"/>
          <w:b/>
          <w:bCs/>
          <w:sz w:val="36"/>
          <w:szCs w:val="36"/>
          <w:lang w:val="en-US"/>
        </w:rPr>
        <w:t xml:space="preserve"> study </w:t>
      </w:r>
      <w:r w:rsidR="00B37364" w:rsidRPr="009824AD">
        <w:rPr>
          <w:rFonts w:ascii="Helvetica" w:eastAsia="Times New Roman" w:hAnsi="Helvetica" w:cs="Calibri"/>
          <w:b/>
          <w:bCs/>
          <w:sz w:val="36"/>
          <w:szCs w:val="36"/>
          <w:lang w:val="en-US" w:eastAsia="nl-NL"/>
        </w:rPr>
        <w:t>of 13,379 patients</w:t>
      </w:r>
    </w:p>
    <w:p w14:paraId="1F671B8D" w14:textId="77777777" w:rsidR="00766948" w:rsidRPr="009824AD" w:rsidRDefault="00766948" w:rsidP="00296578">
      <w:pPr>
        <w:spacing w:line="276" w:lineRule="auto"/>
        <w:jc w:val="both"/>
        <w:rPr>
          <w:rFonts w:ascii="Helvetica" w:eastAsia="Calibri" w:hAnsi="Helvetica" w:cs="Calibri"/>
          <w:sz w:val="22"/>
          <w:szCs w:val="22"/>
          <w:lang w:val="en-US"/>
        </w:rPr>
      </w:pPr>
    </w:p>
    <w:p w14:paraId="37EA9BEE" w14:textId="149ABECD" w:rsidR="00CD1443" w:rsidRPr="009824AD" w:rsidRDefault="00CD1443" w:rsidP="00D31821">
      <w:pPr>
        <w:tabs>
          <w:tab w:val="left" w:pos="3014"/>
        </w:tabs>
        <w:spacing w:line="360" w:lineRule="auto"/>
        <w:jc w:val="both"/>
        <w:rPr>
          <w:rFonts w:ascii="Helvetica" w:eastAsia="Calibri" w:hAnsi="Helvetica" w:cs="Calibri"/>
          <w:sz w:val="22"/>
          <w:szCs w:val="22"/>
          <w:lang w:val="en-US"/>
        </w:rPr>
      </w:pPr>
      <w:r w:rsidRPr="009824AD">
        <w:rPr>
          <w:rFonts w:ascii="Helvetica" w:eastAsia="Calibri" w:hAnsi="Helvetica" w:cs="Calibri"/>
          <w:sz w:val="22"/>
          <w:szCs w:val="22"/>
          <w:lang w:val="en-US"/>
        </w:rPr>
        <w:t>Burak Görgec, MD</w:t>
      </w:r>
      <w:r w:rsidRPr="009824AD">
        <w:rPr>
          <w:rFonts w:ascii="Helvetica" w:eastAsia="Calibri" w:hAnsi="Helvetica" w:cs="Calibri"/>
          <w:sz w:val="22"/>
          <w:szCs w:val="22"/>
          <w:vertAlign w:val="superscript"/>
          <w:lang w:val="en-US"/>
        </w:rPr>
        <w:t>1,2,3</w:t>
      </w:r>
      <w:r w:rsidR="00670322">
        <w:rPr>
          <w:rFonts w:ascii="Helvetica" w:eastAsia="Calibri" w:hAnsi="Helvetica" w:cs="Calibri"/>
          <w:sz w:val="22"/>
          <w:szCs w:val="22"/>
          <w:lang w:val="en-US"/>
        </w:rPr>
        <w:t>*,</w:t>
      </w:r>
      <w:r w:rsidRPr="009824AD">
        <w:rPr>
          <w:rFonts w:ascii="Helvetica" w:eastAsia="Calibri" w:hAnsi="Helvetica" w:cs="Calibri"/>
          <w:sz w:val="22"/>
          <w:szCs w:val="22"/>
          <w:lang w:val="en-US"/>
        </w:rPr>
        <w:t xml:space="preserve"> Andrea Benedetti Cacciaguerra, MD</w:t>
      </w:r>
      <w:r w:rsidRPr="009824AD">
        <w:rPr>
          <w:rFonts w:ascii="Helvetica" w:eastAsia="Calibri" w:hAnsi="Helvetica" w:cs="Calibri"/>
          <w:sz w:val="22"/>
          <w:szCs w:val="22"/>
          <w:vertAlign w:val="superscript"/>
          <w:lang w:val="en-US"/>
        </w:rPr>
        <w:t>1,2</w:t>
      </w:r>
      <w:r w:rsidR="00670322">
        <w:rPr>
          <w:rFonts w:ascii="Helvetica" w:eastAsia="Calibri" w:hAnsi="Helvetica" w:cs="Calibri"/>
          <w:sz w:val="22"/>
          <w:szCs w:val="22"/>
          <w:lang w:val="en-US"/>
        </w:rPr>
        <w:t>*,</w:t>
      </w:r>
      <w:r w:rsidRPr="009824AD">
        <w:rPr>
          <w:rFonts w:ascii="Helvetica" w:eastAsia="Calibri" w:hAnsi="Helvetica" w:cs="Calibri"/>
          <w:sz w:val="22"/>
          <w:szCs w:val="22"/>
          <w:lang w:val="en-US"/>
        </w:rPr>
        <w:t xml:space="preserve"> Federica Cipriani, MD</w:t>
      </w:r>
      <w:r w:rsidRPr="009824AD">
        <w:rPr>
          <w:rFonts w:ascii="Helvetica" w:eastAsia="Calibri" w:hAnsi="Helvetica" w:cs="Calibri"/>
          <w:sz w:val="22"/>
          <w:szCs w:val="22"/>
          <w:vertAlign w:val="superscript"/>
          <w:lang w:val="en-US"/>
        </w:rPr>
        <w:t>4</w:t>
      </w:r>
      <w:r w:rsidRPr="009824AD">
        <w:rPr>
          <w:rFonts w:ascii="Helvetica" w:eastAsia="Calibri" w:hAnsi="Helvetica" w:cs="Calibri"/>
          <w:sz w:val="22"/>
          <w:szCs w:val="22"/>
          <w:lang w:val="en-US"/>
        </w:rPr>
        <w:t>, Francesca Ratti, MD</w:t>
      </w:r>
      <w:r w:rsidRPr="009824AD">
        <w:rPr>
          <w:rFonts w:ascii="Helvetica" w:eastAsia="Calibri" w:hAnsi="Helvetica" w:cs="Calibri"/>
          <w:sz w:val="22"/>
          <w:szCs w:val="22"/>
          <w:vertAlign w:val="superscript"/>
          <w:lang w:val="en-US"/>
        </w:rPr>
        <w:t>4</w:t>
      </w:r>
      <w:r w:rsidRPr="009824AD">
        <w:rPr>
          <w:rFonts w:ascii="Helvetica" w:eastAsia="Calibri" w:hAnsi="Helvetica" w:cs="Calibri"/>
          <w:sz w:val="22"/>
          <w:szCs w:val="22"/>
          <w:lang w:val="en-US"/>
        </w:rPr>
        <w:t>, Nadia Russolillo, MD PhD</w:t>
      </w:r>
      <w:r w:rsidRPr="009824AD">
        <w:rPr>
          <w:rFonts w:ascii="Helvetica" w:eastAsia="Calibri" w:hAnsi="Helvetica" w:cs="Calibri"/>
          <w:sz w:val="22"/>
          <w:szCs w:val="22"/>
          <w:vertAlign w:val="superscript"/>
          <w:lang w:val="en-US"/>
        </w:rPr>
        <w:t>5</w:t>
      </w:r>
      <w:r w:rsidRPr="009824AD">
        <w:rPr>
          <w:rFonts w:ascii="Helvetica" w:eastAsia="Calibri" w:hAnsi="Helvetica" w:cs="Calibri"/>
          <w:sz w:val="22"/>
          <w:szCs w:val="22"/>
          <w:lang w:val="en-US"/>
        </w:rPr>
        <w:t>, Jacopo Lanari, MD</w:t>
      </w:r>
      <w:r w:rsidRPr="009824AD">
        <w:rPr>
          <w:rFonts w:ascii="Helvetica" w:eastAsia="Calibri" w:hAnsi="Helvetica" w:cs="Calibri"/>
          <w:sz w:val="22"/>
          <w:szCs w:val="22"/>
          <w:vertAlign w:val="superscript"/>
          <w:lang w:val="en-US"/>
        </w:rPr>
        <w:t>6</w:t>
      </w:r>
      <w:r w:rsidRPr="009824AD">
        <w:rPr>
          <w:rFonts w:ascii="Helvetica" w:eastAsia="Calibri" w:hAnsi="Helvetica" w:cs="Calibri"/>
          <w:sz w:val="22"/>
          <w:szCs w:val="22"/>
          <w:lang w:val="en-US"/>
        </w:rPr>
        <w:t>, Ra’ed Al-Jarrah, MD</w:t>
      </w:r>
      <w:r w:rsidRPr="009824AD">
        <w:rPr>
          <w:rFonts w:ascii="Helvetica" w:eastAsia="Calibri" w:hAnsi="Helvetica" w:cs="Calibri"/>
          <w:sz w:val="22"/>
          <w:szCs w:val="22"/>
          <w:vertAlign w:val="superscript"/>
          <w:lang w:val="en-US"/>
        </w:rPr>
        <w:t>2</w:t>
      </w:r>
      <w:r w:rsidRPr="009824AD">
        <w:rPr>
          <w:rFonts w:ascii="Helvetica" w:eastAsia="Calibri" w:hAnsi="Helvetica" w:cs="Calibri"/>
          <w:sz w:val="22"/>
          <w:szCs w:val="22"/>
          <w:lang w:val="en-US"/>
        </w:rPr>
        <w:t xml:space="preserve">, </w:t>
      </w:r>
      <w:r w:rsidRPr="009824AD">
        <w:rPr>
          <w:rFonts w:ascii="Helvetica" w:hAnsi="Helvetica" w:cs="Calibri"/>
          <w:sz w:val="22"/>
          <w:szCs w:val="22"/>
          <w:lang w:val="en-US"/>
        </w:rPr>
        <w:t>Davit Aghayan, MD</w:t>
      </w:r>
      <w:r w:rsidRPr="009824AD">
        <w:rPr>
          <w:rFonts w:ascii="Helvetica" w:hAnsi="Helvetica" w:cs="Calibri"/>
          <w:sz w:val="22"/>
          <w:szCs w:val="22"/>
          <w:vertAlign w:val="superscript"/>
          <w:lang w:val="en-US"/>
        </w:rPr>
        <w:t>7,8,9</w:t>
      </w:r>
      <w:r w:rsidRPr="009824AD">
        <w:rPr>
          <w:rFonts w:ascii="Helvetica" w:eastAsia="Calibri" w:hAnsi="Helvetica" w:cs="Calibri"/>
          <w:sz w:val="22"/>
          <w:szCs w:val="22"/>
          <w:lang w:val="en-US"/>
        </w:rPr>
        <w:t>, John N Primrose, MD PhD</w:t>
      </w:r>
      <w:r w:rsidRPr="009824AD">
        <w:rPr>
          <w:rFonts w:ascii="Helvetica" w:eastAsia="Calibri" w:hAnsi="Helvetica" w:cs="Calibri"/>
          <w:sz w:val="22"/>
          <w:szCs w:val="22"/>
          <w:vertAlign w:val="superscript"/>
          <w:lang w:val="en-US"/>
        </w:rPr>
        <w:t>2</w:t>
      </w:r>
      <w:r w:rsidRPr="009824AD">
        <w:rPr>
          <w:rFonts w:ascii="Helvetica" w:eastAsia="Calibri" w:hAnsi="Helvetica" w:cs="Calibri"/>
          <w:sz w:val="22"/>
          <w:szCs w:val="22"/>
          <w:lang w:val="en-US"/>
        </w:rPr>
        <w:t>, Felice Giuliante, MD PhD</w:t>
      </w:r>
      <w:r w:rsidRPr="009824AD">
        <w:rPr>
          <w:rFonts w:ascii="Helvetica" w:eastAsia="Calibri" w:hAnsi="Helvetica" w:cs="Calibri"/>
          <w:sz w:val="22"/>
          <w:szCs w:val="22"/>
          <w:vertAlign w:val="superscript"/>
          <w:lang w:val="en-US"/>
        </w:rPr>
        <w:t>10</w:t>
      </w:r>
      <w:r w:rsidRPr="009824AD">
        <w:rPr>
          <w:rFonts w:ascii="Helvetica" w:eastAsia="Calibri" w:hAnsi="Helvetica" w:cs="Calibri"/>
          <w:sz w:val="22"/>
          <w:szCs w:val="22"/>
          <w:lang w:val="en-US"/>
        </w:rPr>
        <w:t>,  Mathieu D’Hondt, MD PhD</w:t>
      </w:r>
      <w:r w:rsidRPr="009824AD">
        <w:rPr>
          <w:rFonts w:ascii="Helvetica" w:eastAsia="Calibri" w:hAnsi="Helvetica" w:cs="Calibri"/>
          <w:sz w:val="22"/>
          <w:szCs w:val="22"/>
          <w:vertAlign w:val="superscript"/>
          <w:lang w:val="en-US"/>
        </w:rPr>
        <w:t>11</w:t>
      </w:r>
      <w:r w:rsidRPr="009824AD">
        <w:rPr>
          <w:rFonts w:ascii="Helvetica" w:eastAsia="Calibri" w:hAnsi="Helvetica" w:cs="Calibri"/>
          <w:sz w:val="22"/>
          <w:szCs w:val="22"/>
          <w:lang w:val="en-US"/>
        </w:rPr>
        <w:t>, Fernando Rotellar, MD PhD</w:t>
      </w:r>
      <w:r w:rsidRPr="009824AD">
        <w:rPr>
          <w:rFonts w:ascii="Helvetica" w:eastAsia="Calibri" w:hAnsi="Helvetica" w:cs="Calibri"/>
          <w:sz w:val="22"/>
          <w:szCs w:val="22"/>
          <w:vertAlign w:val="superscript"/>
          <w:lang w:val="en-US"/>
        </w:rPr>
        <w:t>12</w:t>
      </w:r>
      <w:r w:rsidRPr="009824AD">
        <w:rPr>
          <w:rFonts w:ascii="Helvetica" w:eastAsia="Calibri" w:hAnsi="Helvetica" w:cs="Calibri"/>
          <w:sz w:val="22"/>
          <w:szCs w:val="22"/>
          <w:lang w:val="en-US"/>
        </w:rPr>
        <w:t>, David Fuks, MD PhD</w:t>
      </w:r>
      <w:r w:rsidRPr="009824AD">
        <w:rPr>
          <w:rFonts w:ascii="Helvetica" w:eastAsia="Calibri" w:hAnsi="Helvetica" w:cs="Calibri"/>
          <w:sz w:val="22"/>
          <w:szCs w:val="22"/>
          <w:vertAlign w:val="superscript"/>
          <w:lang w:val="en-US"/>
        </w:rPr>
        <w:t>13</w:t>
      </w:r>
      <w:r w:rsidRPr="009824AD">
        <w:rPr>
          <w:rFonts w:ascii="Helvetica" w:eastAsia="Calibri" w:hAnsi="Helvetica" w:cs="Calibri"/>
          <w:sz w:val="22"/>
          <w:szCs w:val="22"/>
          <w:lang w:val="en-US"/>
        </w:rPr>
        <w:t>, Santiago Lopez-Ben</w:t>
      </w:r>
      <w:r w:rsidRPr="009824AD">
        <w:rPr>
          <w:rFonts w:ascii="Helvetica" w:eastAsia="Calibri" w:hAnsi="Helvetica" w:cs="Calibri"/>
          <w:sz w:val="22"/>
          <w:szCs w:val="22"/>
          <w:vertAlign w:val="superscript"/>
          <w:lang w:val="en-US"/>
        </w:rPr>
        <w:t>14</w:t>
      </w:r>
      <w:r w:rsidRPr="009824AD">
        <w:rPr>
          <w:rFonts w:ascii="Helvetica" w:eastAsia="Calibri" w:hAnsi="Helvetica" w:cs="Calibri"/>
          <w:sz w:val="22"/>
          <w:szCs w:val="22"/>
          <w:lang w:val="en-US"/>
        </w:rPr>
        <w:t>, MD, Marco Vivarelli, MD PhD</w:t>
      </w:r>
      <w:r w:rsidRPr="009824AD">
        <w:rPr>
          <w:rFonts w:ascii="Helvetica" w:eastAsia="Calibri" w:hAnsi="Helvetica" w:cs="Calibri"/>
          <w:sz w:val="22"/>
          <w:szCs w:val="22"/>
          <w:vertAlign w:val="superscript"/>
          <w:lang w:val="en-US"/>
        </w:rPr>
        <w:t>15</w:t>
      </w:r>
      <w:r w:rsidRPr="009824AD">
        <w:rPr>
          <w:rFonts w:ascii="Helvetica" w:eastAsia="Calibri" w:hAnsi="Helvetica" w:cs="Calibri"/>
          <w:sz w:val="22"/>
          <w:szCs w:val="22"/>
          <w:lang w:val="en-US"/>
        </w:rPr>
        <w:t>, Bjørn Edwin, MD PhD</w:t>
      </w:r>
      <w:r w:rsidRPr="009824AD">
        <w:rPr>
          <w:rFonts w:ascii="Helvetica" w:eastAsia="Calibri" w:hAnsi="Helvetica" w:cs="Calibri"/>
          <w:sz w:val="22"/>
          <w:szCs w:val="22"/>
          <w:vertAlign w:val="superscript"/>
          <w:lang w:val="en-US"/>
        </w:rPr>
        <w:t>7,8</w:t>
      </w:r>
      <w:r w:rsidRPr="009824AD">
        <w:rPr>
          <w:rFonts w:ascii="Helvetica" w:eastAsia="Calibri" w:hAnsi="Helvetica" w:cs="Calibri"/>
          <w:sz w:val="22"/>
          <w:szCs w:val="22"/>
          <w:lang w:val="en-US"/>
        </w:rPr>
        <w:t>, Umberto Cillo, MD PhD</w:t>
      </w:r>
      <w:r w:rsidRPr="009824AD">
        <w:rPr>
          <w:rFonts w:ascii="Helvetica" w:eastAsia="Calibri" w:hAnsi="Helvetica" w:cs="Calibri"/>
          <w:sz w:val="22"/>
          <w:szCs w:val="22"/>
          <w:vertAlign w:val="superscript"/>
          <w:lang w:val="en-US"/>
        </w:rPr>
        <w:t>6</w:t>
      </w:r>
      <w:r w:rsidRPr="009824AD">
        <w:rPr>
          <w:rFonts w:ascii="Helvetica" w:eastAsia="Calibri" w:hAnsi="Helvetica" w:cs="Calibri"/>
          <w:sz w:val="22"/>
          <w:szCs w:val="22"/>
          <w:lang w:val="en-US"/>
        </w:rPr>
        <w:t>, Alessandro Ferrero, MD PhD</w:t>
      </w:r>
      <w:r w:rsidRPr="009824AD">
        <w:rPr>
          <w:rFonts w:ascii="Helvetica" w:eastAsia="Calibri" w:hAnsi="Helvetica" w:cs="Calibri"/>
          <w:sz w:val="22"/>
          <w:szCs w:val="22"/>
          <w:vertAlign w:val="superscript"/>
          <w:lang w:val="en-US"/>
        </w:rPr>
        <w:t>5</w:t>
      </w:r>
      <w:r w:rsidRPr="009824AD">
        <w:rPr>
          <w:rFonts w:ascii="Helvetica" w:eastAsia="Calibri" w:hAnsi="Helvetica" w:cs="Calibri"/>
          <w:sz w:val="22"/>
          <w:szCs w:val="22"/>
          <w:lang w:val="en-US"/>
        </w:rPr>
        <w:t>, Luca A. Aldrighetti, MD PhD</w:t>
      </w:r>
      <w:r w:rsidRPr="009824AD">
        <w:rPr>
          <w:rFonts w:ascii="Helvetica" w:eastAsia="Calibri" w:hAnsi="Helvetica" w:cs="Calibri"/>
          <w:sz w:val="22"/>
          <w:szCs w:val="22"/>
          <w:vertAlign w:val="superscript"/>
          <w:lang w:val="en-US"/>
        </w:rPr>
        <w:t>4</w:t>
      </w:r>
      <w:r w:rsidRPr="009824AD">
        <w:rPr>
          <w:rFonts w:ascii="Helvetica" w:eastAsia="Calibri" w:hAnsi="Helvetica" w:cs="Calibri"/>
          <w:sz w:val="22"/>
          <w:szCs w:val="22"/>
          <w:lang w:val="en-US"/>
        </w:rPr>
        <w:t xml:space="preserve">, Marc G. Besselink, MD </w:t>
      </w:r>
      <w:r w:rsidR="00246759">
        <w:rPr>
          <w:rFonts w:ascii="Helvetica" w:eastAsia="Calibri" w:hAnsi="Helvetica" w:cs="Calibri"/>
          <w:sz w:val="22"/>
          <w:szCs w:val="22"/>
          <w:lang w:val="en-US"/>
        </w:rPr>
        <w:t xml:space="preserve">MSc </w:t>
      </w:r>
      <w:r w:rsidRPr="009824AD">
        <w:rPr>
          <w:rFonts w:ascii="Helvetica" w:eastAsia="Calibri" w:hAnsi="Helvetica" w:cs="Calibri"/>
          <w:sz w:val="22"/>
          <w:szCs w:val="22"/>
          <w:lang w:val="en-US"/>
        </w:rPr>
        <w:t>PhD</w:t>
      </w:r>
      <w:r w:rsidRPr="009824AD">
        <w:rPr>
          <w:rFonts w:ascii="Helvetica" w:eastAsia="Calibri" w:hAnsi="Helvetica" w:cs="Calibri"/>
          <w:sz w:val="22"/>
          <w:szCs w:val="22"/>
          <w:vertAlign w:val="superscript"/>
          <w:lang w:val="en-US"/>
        </w:rPr>
        <w:t>3</w:t>
      </w:r>
      <w:r w:rsidRPr="009824AD">
        <w:rPr>
          <w:rFonts w:ascii="Helvetica" w:eastAsia="Calibri" w:hAnsi="Helvetica" w:cs="Calibri"/>
          <w:sz w:val="22"/>
          <w:szCs w:val="22"/>
          <w:lang w:val="en-US"/>
        </w:rPr>
        <w:t>, Mohammed Abu Hilal, MD FRCS FACS PhD</w:t>
      </w:r>
      <w:r w:rsidRPr="009824AD">
        <w:rPr>
          <w:rFonts w:ascii="Helvetica" w:eastAsia="Calibri" w:hAnsi="Helvetica" w:cs="Calibri"/>
          <w:sz w:val="22"/>
          <w:szCs w:val="22"/>
          <w:vertAlign w:val="superscript"/>
          <w:lang w:val="en-US"/>
        </w:rPr>
        <w:t>1,2</w:t>
      </w:r>
    </w:p>
    <w:p w14:paraId="6C05AB12" w14:textId="40F0ABC6" w:rsidR="00486805" w:rsidRPr="009824AD" w:rsidRDefault="00E368C7" w:rsidP="004912D9">
      <w:pPr>
        <w:spacing w:after="200" w:line="276" w:lineRule="auto"/>
        <w:jc w:val="both"/>
        <w:rPr>
          <w:rFonts w:ascii="Helvetica" w:eastAsia="Calibri" w:hAnsi="Helvetica" w:cs="Calibri"/>
          <w:b/>
          <w:sz w:val="20"/>
          <w:szCs w:val="20"/>
          <w:lang w:val="en-US"/>
        </w:rPr>
      </w:pPr>
      <w:r w:rsidRPr="009824AD">
        <w:rPr>
          <w:rFonts w:ascii="Helvetica" w:eastAsia="Calibri" w:hAnsi="Helvetica" w:cs="Calibri"/>
          <w:sz w:val="20"/>
          <w:szCs w:val="20"/>
          <w:vertAlign w:val="superscript"/>
          <w:lang w:val="en-US"/>
        </w:rPr>
        <w:t>1</w:t>
      </w:r>
      <w:r w:rsidRPr="009824AD">
        <w:rPr>
          <w:rFonts w:ascii="Helvetica" w:eastAsia="Calibri" w:hAnsi="Helvetica" w:cs="Calibri"/>
          <w:sz w:val="20"/>
          <w:szCs w:val="20"/>
          <w:lang w:val="en-US"/>
        </w:rPr>
        <w:t xml:space="preserve">Department of Surgery, Poliambulanza Foundation Hospital, Brescia, Italy, </w:t>
      </w:r>
      <w:r w:rsidRPr="009824AD">
        <w:rPr>
          <w:rFonts w:ascii="Helvetica" w:eastAsia="Calibri" w:hAnsi="Helvetica" w:cs="Calibri"/>
          <w:sz w:val="20"/>
          <w:szCs w:val="20"/>
          <w:vertAlign w:val="superscript"/>
          <w:lang w:val="en-US"/>
        </w:rPr>
        <w:t>2</w:t>
      </w:r>
      <w:r w:rsidR="004A0FD0" w:rsidRPr="009824AD">
        <w:rPr>
          <w:rFonts w:ascii="Helvetica" w:eastAsia="Calibri" w:hAnsi="Helvetica" w:cs="Calibri"/>
          <w:sz w:val="20"/>
          <w:szCs w:val="20"/>
          <w:lang w:val="en-US"/>
        </w:rPr>
        <w:t>Department of Surgery, University Hospital Southampton NHS Foundation Trust, Southampton, U</w:t>
      </w:r>
      <w:r w:rsidR="00DE1057" w:rsidRPr="009824AD">
        <w:rPr>
          <w:rFonts w:ascii="Helvetica" w:eastAsia="Calibri" w:hAnsi="Helvetica" w:cs="Calibri"/>
          <w:sz w:val="20"/>
          <w:szCs w:val="20"/>
          <w:lang w:val="en-US"/>
        </w:rPr>
        <w:t>nited Kingdom</w:t>
      </w:r>
      <w:r w:rsidR="00486805" w:rsidRPr="009824AD">
        <w:rPr>
          <w:rFonts w:ascii="Helvetica" w:eastAsia="Calibri" w:hAnsi="Helvetica" w:cs="Calibri"/>
          <w:sz w:val="20"/>
          <w:szCs w:val="20"/>
          <w:lang w:val="en-US"/>
        </w:rPr>
        <w:t>.</w:t>
      </w:r>
      <w:r w:rsidR="008110E3" w:rsidRPr="009824AD">
        <w:rPr>
          <w:rFonts w:ascii="Helvetica" w:eastAsia="Calibri" w:hAnsi="Helvetica" w:cs="Calibri"/>
          <w:sz w:val="20"/>
          <w:szCs w:val="20"/>
          <w:lang w:val="en-US"/>
        </w:rPr>
        <w:t xml:space="preserve"> </w:t>
      </w:r>
      <w:r w:rsidR="008D6D17" w:rsidRPr="009824AD">
        <w:rPr>
          <w:rFonts w:ascii="Helvetica" w:hAnsi="Helvetica" w:cs="Calibri"/>
          <w:sz w:val="20"/>
          <w:szCs w:val="20"/>
          <w:vertAlign w:val="superscript"/>
          <w:lang w:val="en-US"/>
        </w:rPr>
        <w:t>3</w:t>
      </w:r>
      <w:r w:rsidR="00340B5C" w:rsidRPr="009824AD">
        <w:rPr>
          <w:rFonts w:ascii="Helvetica" w:hAnsi="Helvetica" w:cs="Calibri"/>
          <w:sz w:val="20"/>
          <w:szCs w:val="20"/>
          <w:vertAlign w:val="superscript"/>
          <w:lang w:val="en-US"/>
        </w:rPr>
        <w:t xml:space="preserve"> </w:t>
      </w:r>
      <w:r w:rsidR="008D6D17" w:rsidRPr="009824AD">
        <w:rPr>
          <w:rFonts w:ascii="Helvetica" w:hAnsi="Helvetica" w:cs="Calibri"/>
          <w:sz w:val="20"/>
          <w:szCs w:val="20"/>
          <w:lang w:val="en-US"/>
        </w:rPr>
        <w:t xml:space="preserve">Department of Surgery, Amsterdam UMC, University of Amsterdam, </w:t>
      </w:r>
      <w:r w:rsidR="00246759" w:rsidRPr="009824AD">
        <w:rPr>
          <w:rFonts w:ascii="Helvetica" w:hAnsi="Helvetica" w:cs="Calibri"/>
          <w:sz w:val="20"/>
          <w:szCs w:val="20"/>
          <w:lang w:val="en-US"/>
        </w:rPr>
        <w:t xml:space="preserve">Cancer Center Amsterdam, </w:t>
      </w:r>
      <w:r w:rsidR="008D6D17" w:rsidRPr="009824AD">
        <w:rPr>
          <w:rFonts w:ascii="Helvetica" w:hAnsi="Helvetica" w:cs="Calibri"/>
          <w:sz w:val="20"/>
          <w:szCs w:val="20"/>
          <w:lang w:val="en-US"/>
        </w:rPr>
        <w:t>the Netherlands</w:t>
      </w:r>
      <w:r w:rsidR="008110E3" w:rsidRPr="009824AD">
        <w:rPr>
          <w:rFonts w:ascii="Helvetica" w:eastAsia="Calibri" w:hAnsi="Helvetica" w:cs="Calibri"/>
          <w:sz w:val="20"/>
          <w:szCs w:val="20"/>
          <w:lang w:val="en-US"/>
        </w:rPr>
        <w:t xml:space="preserve">. </w:t>
      </w:r>
      <w:r w:rsidR="00374A56" w:rsidRPr="009824AD">
        <w:rPr>
          <w:rFonts w:ascii="Helvetica" w:hAnsi="Helvetica" w:cs="Calibri"/>
          <w:sz w:val="20"/>
          <w:szCs w:val="20"/>
          <w:vertAlign w:val="superscript"/>
          <w:lang w:val="en-US"/>
        </w:rPr>
        <w:t>4</w:t>
      </w:r>
      <w:r w:rsidR="00374A56" w:rsidRPr="009824AD">
        <w:rPr>
          <w:rFonts w:ascii="Helvetica" w:hAnsi="Helvetica" w:cs="Calibri"/>
          <w:sz w:val="20"/>
          <w:szCs w:val="20"/>
          <w:lang w:val="en-US"/>
        </w:rPr>
        <w:t>Hepatobiliary Surgery Division, IRCCS San Raffaele Hospital, Milan, Italy.</w:t>
      </w:r>
      <w:r w:rsidR="00374A56" w:rsidRPr="009824AD">
        <w:rPr>
          <w:rFonts w:ascii="Helvetica" w:eastAsia="Times New Roman" w:hAnsi="Helvetica" w:cs="Calibri"/>
          <w:sz w:val="20"/>
          <w:szCs w:val="20"/>
          <w:shd w:val="clear" w:color="auto" w:fill="FFFFFF"/>
          <w:vertAlign w:val="superscript"/>
          <w:lang w:val="en-US" w:eastAsia="nl-NL"/>
        </w:rPr>
        <w:t xml:space="preserve"> 5</w:t>
      </w:r>
      <w:r w:rsidR="00374A56" w:rsidRPr="009824AD">
        <w:rPr>
          <w:rFonts w:ascii="Helvetica" w:eastAsia="Times New Roman" w:hAnsi="Helvetica" w:cs="Calibri"/>
          <w:sz w:val="20"/>
          <w:szCs w:val="20"/>
          <w:shd w:val="clear" w:color="auto" w:fill="FFFFFF"/>
          <w:lang w:val="en-US" w:eastAsia="nl-NL"/>
        </w:rPr>
        <w:t>Department of General and Oncological Surgery, Umberto I Mauriziano Hospital, Largo Turati 62, 10128, Turin, Italy</w:t>
      </w:r>
      <w:r w:rsidR="00374A56" w:rsidRPr="009824AD">
        <w:rPr>
          <w:rFonts w:ascii="Helvetica" w:eastAsia="Calibri" w:hAnsi="Helvetica" w:cs="Calibri"/>
          <w:sz w:val="20"/>
          <w:szCs w:val="20"/>
          <w:lang w:val="en-US"/>
        </w:rPr>
        <w:t xml:space="preserve">. </w:t>
      </w:r>
      <w:r w:rsidR="00374A56" w:rsidRPr="009824AD">
        <w:rPr>
          <w:rFonts w:ascii="Helvetica" w:eastAsia="Times New Roman" w:hAnsi="Helvetica" w:cs="Calibri"/>
          <w:sz w:val="20"/>
          <w:szCs w:val="20"/>
          <w:shd w:val="clear" w:color="auto" w:fill="FFFFFF"/>
          <w:vertAlign w:val="superscript"/>
          <w:lang w:val="en-US" w:eastAsia="nl-NL"/>
        </w:rPr>
        <w:t>6</w:t>
      </w:r>
      <w:r w:rsidR="00623424" w:rsidRPr="009824AD">
        <w:rPr>
          <w:rFonts w:ascii="Helvetica" w:eastAsia="Times New Roman" w:hAnsi="Helvetica" w:cs="Calibri"/>
          <w:sz w:val="20"/>
          <w:szCs w:val="20"/>
          <w:shd w:val="clear" w:color="auto" w:fill="FFFFFF"/>
          <w:lang w:val="en-US" w:eastAsia="nl-NL"/>
        </w:rPr>
        <w:t>Department of Surgery, Oncology and Gastroenterology, Hepatobiliary Surgery and Liver Transplantation Unit, Padova University Hospital, Padova, Italy</w:t>
      </w:r>
      <w:r w:rsidR="008110E3" w:rsidRPr="009824AD">
        <w:rPr>
          <w:rFonts w:ascii="Helvetica" w:eastAsia="Calibri" w:hAnsi="Helvetica" w:cs="Calibri"/>
          <w:sz w:val="20"/>
          <w:szCs w:val="20"/>
          <w:lang w:val="en-US"/>
        </w:rPr>
        <w:t xml:space="preserve">. </w:t>
      </w:r>
      <w:r w:rsidR="00486805" w:rsidRPr="009824AD">
        <w:rPr>
          <w:rFonts w:ascii="Helvetica" w:hAnsi="Helvetica" w:cs="Calibri"/>
          <w:sz w:val="20"/>
          <w:szCs w:val="20"/>
          <w:vertAlign w:val="superscript"/>
          <w:lang w:val="en-US"/>
        </w:rPr>
        <w:t>7</w:t>
      </w:r>
      <w:r w:rsidR="00623424" w:rsidRPr="009824AD">
        <w:rPr>
          <w:rFonts w:ascii="Helvetica" w:hAnsi="Helvetica" w:cs="Calibri"/>
          <w:sz w:val="20"/>
          <w:szCs w:val="20"/>
          <w:lang w:val="en-US"/>
        </w:rPr>
        <w:t>Department of Hepato-Pancreato-Biliary Surgery</w:t>
      </w:r>
      <w:r w:rsidR="00DA4B0E" w:rsidRPr="009824AD">
        <w:rPr>
          <w:rFonts w:ascii="Helvetica" w:hAnsi="Helvetica" w:cs="Calibri"/>
          <w:sz w:val="20"/>
          <w:szCs w:val="20"/>
          <w:lang w:val="en-US"/>
        </w:rPr>
        <w:t xml:space="preserve"> </w:t>
      </w:r>
      <w:r w:rsidR="00BF5C93" w:rsidRPr="009824AD">
        <w:rPr>
          <w:rFonts w:ascii="Helvetica" w:hAnsi="Helvetica" w:cs="Calibri"/>
          <w:sz w:val="20"/>
          <w:szCs w:val="20"/>
          <w:lang w:val="en-US"/>
        </w:rPr>
        <w:t>and</w:t>
      </w:r>
      <w:r w:rsidR="00623424" w:rsidRPr="009824AD">
        <w:rPr>
          <w:rFonts w:ascii="Helvetica" w:hAnsi="Helvetica" w:cs="Calibri"/>
          <w:sz w:val="20"/>
          <w:szCs w:val="20"/>
          <w:lang w:val="en-US"/>
        </w:rPr>
        <w:t xml:space="preserve"> The Intervention </w:t>
      </w:r>
      <w:r w:rsidR="000B7DA3" w:rsidRPr="009824AD">
        <w:rPr>
          <w:rFonts w:ascii="Helvetica" w:hAnsi="Helvetica" w:cs="Calibri"/>
          <w:sz w:val="20"/>
          <w:szCs w:val="20"/>
          <w:lang w:val="en-US"/>
        </w:rPr>
        <w:t>Center</w:t>
      </w:r>
      <w:r w:rsidR="00623424" w:rsidRPr="009824AD">
        <w:rPr>
          <w:rFonts w:ascii="Helvetica" w:hAnsi="Helvetica" w:cs="Calibri"/>
          <w:sz w:val="20"/>
          <w:szCs w:val="20"/>
          <w:lang w:val="en-US"/>
        </w:rPr>
        <w:t xml:space="preserve">, Oslo University Hospital Oslo, Norway. </w:t>
      </w:r>
      <w:r w:rsidR="00BF5C93" w:rsidRPr="009824AD">
        <w:rPr>
          <w:rFonts w:ascii="Helvetica" w:hAnsi="Helvetica" w:cs="Calibri"/>
          <w:sz w:val="20"/>
          <w:szCs w:val="20"/>
          <w:vertAlign w:val="superscript"/>
          <w:lang w:val="en-US"/>
        </w:rPr>
        <w:t>8</w:t>
      </w:r>
      <w:r w:rsidR="00623424" w:rsidRPr="009824AD">
        <w:rPr>
          <w:rFonts w:ascii="Helvetica" w:hAnsi="Helvetica" w:cs="Calibri"/>
          <w:sz w:val="20"/>
          <w:szCs w:val="20"/>
          <w:lang w:val="en-US"/>
        </w:rPr>
        <w:t>Institute of Clinical Medicine, Medical Faculty, University of Oslo, Norway</w:t>
      </w:r>
      <w:r w:rsidR="00BF5C93" w:rsidRPr="009824AD">
        <w:rPr>
          <w:rFonts w:ascii="Helvetica" w:hAnsi="Helvetica" w:cs="Calibri"/>
          <w:sz w:val="20"/>
          <w:szCs w:val="20"/>
          <w:lang w:val="en-US"/>
        </w:rPr>
        <w:t xml:space="preserve">, </w:t>
      </w:r>
      <w:r w:rsidR="00BF5C93" w:rsidRPr="009824AD">
        <w:rPr>
          <w:rFonts w:ascii="Helvetica" w:eastAsia="Calibri" w:hAnsi="Helvetica" w:cs="Calibri"/>
          <w:sz w:val="20"/>
          <w:szCs w:val="20"/>
          <w:vertAlign w:val="superscript"/>
          <w:lang w:val="en-US"/>
        </w:rPr>
        <w:t>9</w:t>
      </w:r>
      <w:r w:rsidR="00BF5C93" w:rsidRPr="009824AD">
        <w:rPr>
          <w:rFonts w:ascii="Helvetica" w:eastAsia="Calibri" w:hAnsi="Helvetica" w:cs="Calibri"/>
          <w:sz w:val="20"/>
          <w:szCs w:val="20"/>
          <w:lang w:val="en-US"/>
        </w:rPr>
        <w:t>Department of Surgery N1, Yerevan State Medical University, Yerevan, Armenia.</w:t>
      </w:r>
      <w:r w:rsidR="008110E3" w:rsidRPr="009824AD">
        <w:rPr>
          <w:rFonts w:ascii="Helvetica" w:eastAsia="Calibri" w:hAnsi="Helvetica" w:cs="Calibri"/>
          <w:sz w:val="20"/>
          <w:szCs w:val="20"/>
          <w:lang w:val="en-US"/>
        </w:rPr>
        <w:t xml:space="preserve"> </w:t>
      </w:r>
      <w:r w:rsidR="00486805" w:rsidRPr="009824AD">
        <w:rPr>
          <w:rFonts w:ascii="Helvetica" w:eastAsia="Times New Roman" w:hAnsi="Helvetica" w:cs="Calibri"/>
          <w:sz w:val="20"/>
          <w:szCs w:val="20"/>
          <w:shd w:val="clear" w:color="auto" w:fill="FFFFFF"/>
          <w:vertAlign w:val="superscript"/>
          <w:lang w:val="en-US" w:eastAsia="nl-NL"/>
        </w:rPr>
        <w:t>1</w:t>
      </w:r>
      <w:r w:rsidR="008E617C" w:rsidRPr="009824AD">
        <w:rPr>
          <w:rFonts w:ascii="Helvetica" w:eastAsia="Times New Roman" w:hAnsi="Helvetica" w:cs="Calibri"/>
          <w:sz w:val="20"/>
          <w:szCs w:val="20"/>
          <w:shd w:val="clear" w:color="auto" w:fill="FFFFFF"/>
          <w:vertAlign w:val="superscript"/>
          <w:lang w:val="en-US" w:eastAsia="nl-NL"/>
        </w:rPr>
        <w:t>0</w:t>
      </w:r>
      <w:r w:rsidR="00486805" w:rsidRPr="009824AD">
        <w:rPr>
          <w:rFonts w:ascii="Helvetica" w:eastAsia="Times New Roman" w:hAnsi="Helvetica" w:cs="Calibri"/>
          <w:sz w:val="20"/>
          <w:szCs w:val="20"/>
          <w:shd w:val="clear" w:color="auto" w:fill="FFFFFF"/>
          <w:lang w:val="en-US" w:eastAsia="nl-NL"/>
        </w:rPr>
        <w:t>Chirurgia Epatobiliare, Università Cattolica del Sacro Cuore-IRCCS, Rome, Italy</w:t>
      </w:r>
      <w:r w:rsidR="008110E3" w:rsidRPr="009824AD">
        <w:rPr>
          <w:rFonts w:ascii="Helvetica" w:eastAsia="Calibri" w:hAnsi="Helvetica" w:cs="Calibri"/>
          <w:sz w:val="20"/>
          <w:szCs w:val="20"/>
          <w:lang w:val="en-US"/>
        </w:rPr>
        <w:t xml:space="preserve">. </w:t>
      </w:r>
      <w:r w:rsidR="008E617C" w:rsidRPr="009824AD">
        <w:rPr>
          <w:rFonts w:ascii="Helvetica" w:eastAsia="Times New Roman" w:hAnsi="Helvetica" w:cs="Calibri"/>
          <w:sz w:val="20"/>
          <w:szCs w:val="20"/>
          <w:shd w:val="clear" w:color="auto" w:fill="FFFFFF"/>
          <w:vertAlign w:val="superscript"/>
          <w:lang w:val="en-US" w:eastAsia="nl-NL"/>
        </w:rPr>
        <w:t>11</w:t>
      </w:r>
      <w:r w:rsidR="008E617C" w:rsidRPr="009824AD">
        <w:rPr>
          <w:rFonts w:ascii="Helvetica" w:eastAsia="Times New Roman" w:hAnsi="Helvetica" w:cs="Calibri"/>
          <w:sz w:val="20"/>
          <w:szCs w:val="20"/>
          <w:shd w:val="clear" w:color="auto" w:fill="FFFFFF"/>
          <w:lang w:val="en-US" w:eastAsia="nl-NL"/>
        </w:rPr>
        <w:t>Department of Digestive and Hepatobiliary/Pancreatic Surgery, Groeninge Hospital, Kortrijk, Belgium.</w:t>
      </w:r>
      <w:r w:rsidR="008E617C" w:rsidRPr="009824AD">
        <w:rPr>
          <w:rFonts w:ascii="Helvetica" w:eastAsia="Times New Roman" w:hAnsi="Helvetica" w:cs="Calibri"/>
          <w:sz w:val="20"/>
          <w:szCs w:val="20"/>
          <w:shd w:val="clear" w:color="auto" w:fill="FFFFFF"/>
          <w:vertAlign w:val="superscript"/>
          <w:lang w:val="en-US" w:eastAsia="nl-NL"/>
        </w:rPr>
        <w:t xml:space="preserve"> 12</w:t>
      </w:r>
      <w:r w:rsidR="008E617C" w:rsidRPr="009824AD">
        <w:rPr>
          <w:rFonts w:ascii="Helvetica" w:eastAsia="Times New Roman" w:hAnsi="Helvetica" w:cs="Calibri"/>
          <w:sz w:val="20"/>
          <w:szCs w:val="20"/>
          <w:shd w:val="clear" w:color="auto" w:fill="FFFFFF"/>
          <w:lang w:val="en-US" w:eastAsia="nl-NL"/>
        </w:rPr>
        <w:t xml:space="preserve">Department of General and Digestive Surgery, Clinica Universidad de Navarra, Pamplona, Spain. </w:t>
      </w:r>
      <w:r w:rsidR="00486805" w:rsidRPr="009824AD">
        <w:rPr>
          <w:rFonts w:ascii="Helvetica" w:eastAsia="Times New Roman" w:hAnsi="Helvetica" w:cs="Calibri"/>
          <w:sz w:val="20"/>
          <w:szCs w:val="20"/>
          <w:shd w:val="clear" w:color="auto" w:fill="FFFFFF"/>
          <w:vertAlign w:val="superscript"/>
          <w:lang w:val="en-US" w:eastAsia="nl-NL"/>
        </w:rPr>
        <w:t>1</w:t>
      </w:r>
      <w:r w:rsidR="008E617C" w:rsidRPr="009824AD">
        <w:rPr>
          <w:rFonts w:ascii="Helvetica" w:eastAsia="Times New Roman" w:hAnsi="Helvetica" w:cs="Calibri"/>
          <w:sz w:val="20"/>
          <w:szCs w:val="20"/>
          <w:shd w:val="clear" w:color="auto" w:fill="FFFFFF"/>
          <w:vertAlign w:val="superscript"/>
          <w:lang w:val="en-US" w:eastAsia="nl-NL"/>
        </w:rPr>
        <w:t>3</w:t>
      </w:r>
      <w:r w:rsidR="00486805" w:rsidRPr="009824AD">
        <w:rPr>
          <w:rFonts w:ascii="Helvetica" w:eastAsia="Times New Roman" w:hAnsi="Helvetica" w:cs="Calibri"/>
          <w:sz w:val="20"/>
          <w:szCs w:val="20"/>
          <w:shd w:val="clear" w:color="auto" w:fill="FFFFFF"/>
          <w:lang w:val="en-US" w:eastAsia="nl-NL"/>
        </w:rPr>
        <w:t>Department of Digestive, Oncologic and Metabolic Surgery, Institut Mutualiste Montsouris, Université Paris Descartes, Paris 75014, France</w:t>
      </w:r>
      <w:r w:rsidR="008110E3" w:rsidRPr="009824AD">
        <w:rPr>
          <w:rFonts w:ascii="Helvetica" w:eastAsia="Calibri" w:hAnsi="Helvetica" w:cs="Calibri"/>
          <w:sz w:val="20"/>
          <w:szCs w:val="20"/>
          <w:lang w:val="en-US"/>
        </w:rPr>
        <w:t xml:space="preserve">. </w:t>
      </w:r>
      <w:r w:rsidR="008E617C" w:rsidRPr="009824AD">
        <w:rPr>
          <w:rFonts w:ascii="Helvetica" w:eastAsia="Calibri" w:hAnsi="Helvetica" w:cs="Calibri"/>
          <w:sz w:val="20"/>
          <w:szCs w:val="20"/>
          <w:vertAlign w:val="superscript"/>
          <w:lang w:val="en-US"/>
        </w:rPr>
        <w:t>14</w:t>
      </w:r>
      <w:r w:rsidR="008E617C" w:rsidRPr="009824AD">
        <w:rPr>
          <w:rFonts w:ascii="Helvetica" w:eastAsia="Calibri" w:hAnsi="Helvetica" w:cs="Calibri"/>
          <w:sz w:val="20"/>
          <w:szCs w:val="20"/>
          <w:lang w:val="en-US"/>
        </w:rPr>
        <w:t xml:space="preserve">Unit of Hepato-Biliary and Pancreatic Surgery, Department of General Surgery, Hospital Universitari de Girona Dr. Josep Trueta, Girona, Catalonia, Spain. </w:t>
      </w:r>
      <w:r w:rsidR="00486805" w:rsidRPr="009824AD">
        <w:rPr>
          <w:rFonts w:ascii="Helvetica" w:eastAsia="Times New Roman" w:hAnsi="Helvetica" w:cs="Calibri"/>
          <w:sz w:val="20"/>
          <w:szCs w:val="20"/>
          <w:shd w:val="clear" w:color="auto" w:fill="FFFFFF"/>
          <w:vertAlign w:val="superscript"/>
          <w:lang w:val="en-US" w:eastAsia="nl-NL"/>
        </w:rPr>
        <w:t>1</w:t>
      </w:r>
      <w:r w:rsidR="008E617C" w:rsidRPr="009824AD">
        <w:rPr>
          <w:rFonts w:ascii="Helvetica" w:eastAsia="Times New Roman" w:hAnsi="Helvetica" w:cs="Calibri"/>
          <w:sz w:val="20"/>
          <w:szCs w:val="20"/>
          <w:shd w:val="clear" w:color="auto" w:fill="FFFFFF"/>
          <w:vertAlign w:val="superscript"/>
          <w:lang w:val="en-US" w:eastAsia="nl-NL"/>
        </w:rPr>
        <w:t>5</w:t>
      </w:r>
      <w:r w:rsidR="00486805" w:rsidRPr="009824AD">
        <w:rPr>
          <w:rFonts w:ascii="Helvetica" w:eastAsia="Times New Roman" w:hAnsi="Helvetica" w:cs="Calibri"/>
          <w:sz w:val="20"/>
          <w:szCs w:val="20"/>
          <w:shd w:val="clear" w:color="auto" w:fill="FFFFFF"/>
          <w:lang w:val="en-US" w:eastAsia="nl-NL"/>
        </w:rPr>
        <w:t>Hepatobiliary and Abdominal Transplantation Surgery, Department of Experimental and Clinical Medicine, Riuniti Hospital, Polytechnic University of Marche, Ancona, Italy</w:t>
      </w:r>
      <w:r w:rsidR="008110E3" w:rsidRPr="009824AD">
        <w:rPr>
          <w:rFonts w:ascii="Helvetica" w:eastAsia="Times New Roman" w:hAnsi="Helvetica" w:cs="Calibri"/>
          <w:sz w:val="20"/>
          <w:szCs w:val="20"/>
          <w:shd w:val="clear" w:color="auto" w:fill="FFFFFF"/>
          <w:lang w:val="en-US" w:eastAsia="nl-NL"/>
        </w:rPr>
        <w:t>.</w:t>
      </w:r>
    </w:p>
    <w:p w14:paraId="5E4F0564" w14:textId="77777777" w:rsidR="00670322" w:rsidRDefault="00670322" w:rsidP="00296578">
      <w:pPr>
        <w:spacing w:after="200" w:line="276" w:lineRule="auto"/>
        <w:rPr>
          <w:rFonts w:ascii="Helvetica" w:eastAsia="Calibri" w:hAnsi="Helvetica" w:cs="Calibri"/>
          <w:bCs/>
          <w:sz w:val="22"/>
          <w:szCs w:val="22"/>
          <w:lang w:val="en-US"/>
        </w:rPr>
      </w:pPr>
    </w:p>
    <w:p w14:paraId="3080C24F" w14:textId="5555F96F" w:rsidR="00486805" w:rsidRPr="00670322" w:rsidRDefault="00670322" w:rsidP="00296578">
      <w:pPr>
        <w:spacing w:after="200" w:line="276" w:lineRule="auto"/>
        <w:rPr>
          <w:rFonts w:ascii="Helvetica" w:eastAsia="Calibri" w:hAnsi="Helvetica" w:cs="Calibri"/>
          <w:bCs/>
          <w:sz w:val="22"/>
          <w:szCs w:val="22"/>
          <w:lang w:val="en-US"/>
        </w:rPr>
      </w:pPr>
      <w:r w:rsidRPr="00670322">
        <w:rPr>
          <w:rFonts w:ascii="Helvetica" w:eastAsia="Calibri" w:hAnsi="Helvetica" w:cs="Calibri"/>
          <w:bCs/>
          <w:sz w:val="22"/>
          <w:szCs w:val="22"/>
          <w:lang w:val="en-US"/>
        </w:rPr>
        <w:t>* Shared first authorship</w:t>
      </w:r>
    </w:p>
    <w:p w14:paraId="7BEE2B72" w14:textId="77777777" w:rsidR="008110E3" w:rsidRPr="009824AD" w:rsidRDefault="008110E3" w:rsidP="004A0FD0">
      <w:pPr>
        <w:pStyle w:val="StandaardLatijnsArial"/>
        <w:spacing w:line="360" w:lineRule="auto"/>
        <w:rPr>
          <w:rFonts w:ascii="Helvetica" w:hAnsi="Helvetica" w:cs="Calibri"/>
          <w:sz w:val="22"/>
          <w:szCs w:val="22"/>
        </w:rPr>
      </w:pPr>
    </w:p>
    <w:p w14:paraId="7B05A46E" w14:textId="77777777" w:rsidR="008110E3" w:rsidRPr="009824AD" w:rsidRDefault="008110E3" w:rsidP="004A0FD0">
      <w:pPr>
        <w:pStyle w:val="StandaardLatijnsArial"/>
        <w:spacing w:line="360" w:lineRule="auto"/>
        <w:rPr>
          <w:rFonts w:ascii="Helvetica" w:hAnsi="Helvetica" w:cs="Calibri"/>
          <w:sz w:val="22"/>
          <w:szCs w:val="22"/>
        </w:rPr>
      </w:pPr>
    </w:p>
    <w:p w14:paraId="7B4314E3" w14:textId="0EE3160F" w:rsidR="00D31821" w:rsidRPr="009824AD" w:rsidRDefault="00D31821" w:rsidP="004A0FD0">
      <w:pPr>
        <w:pStyle w:val="StandaardLatijnsArial"/>
        <w:spacing w:line="360" w:lineRule="auto"/>
        <w:rPr>
          <w:rFonts w:ascii="Helvetica" w:hAnsi="Helvetica" w:cs="Calibri"/>
          <w:sz w:val="22"/>
          <w:szCs w:val="22"/>
        </w:rPr>
      </w:pPr>
    </w:p>
    <w:p w14:paraId="38D1EBC1" w14:textId="684E2EB1" w:rsidR="00720DE7" w:rsidRPr="009824AD" w:rsidRDefault="00720DE7" w:rsidP="004A0FD0">
      <w:pPr>
        <w:pStyle w:val="StandaardLatijnsArial"/>
        <w:spacing w:line="360" w:lineRule="auto"/>
        <w:rPr>
          <w:rFonts w:ascii="Helvetica" w:hAnsi="Helvetica" w:cs="Calibri"/>
          <w:sz w:val="22"/>
          <w:szCs w:val="22"/>
        </w:rPr>
      </w:pPr>
    </w:p>
    <w:p w14:paraId="1A622581" w14:textId="42457A3D" w:rsidR="00720DE7" w:rsidRPr="009824AD" w:rsidRDefault="00720DE7" w:rsidP="004A0FD0">
      <w:pPr>
        <w:pStyle w:val="StandaardLatijnsArial"/>
        <w:spacing w:line="360" w:lineRule="auto"/>
        <w:rPr>
          <w:rFonts w:ascii="Helvetica" w:hAnsi="Helvetica" w:cs="Calibri"/>
          <w:sz w:val="22"/>
          <w:szCs w:val="22"/>
        </w:rPr>
      </w:pPr>
    </w:p>
    <w:p w14:paraId="74F2E997" w14:textId="1C2B6950" w:rsidR="00D31821" w:rsidRPr="009824AD" w:rsidRDefault="00D31821" w:rsidP="004A0FD0">
      <w:pPr>
        <w:pStyle w:val="StandaardLatijnsArial"/>
        <w:spacing w:line="360" w:lineRule="auto"/>
        <w:rPr>
          <w:rFonts w:ascii="Helvetica" w:hAnsi="Helvetica" w:cs="Calibri"/>
          <w:sz w:val="22"/>
          <w:szCs w:val="22"/>
        </w:rPr>
      </w:pPr>
    </w:p>
    <w:p w14:paraId="4873DAA2" w14:textId="1F975803" w:rsidR="00EC76F6" w:rsidRPr="009824AD" w:rsidRDefault="00EC76F6" w:rsidP="004A0FD0">
      <w:pPr>
        <w:pStyle w:val="StandaardLatijnsArial"/>
        <w:spacing w:line="360" w:lineRule="auto"/>
        <w:rPr>
          <w:rFonts w:ascii="Helvetica" w:hAnsi="Helvetica" w:cs="Calibri"/>
          <w:sz w:val="22"/>
          <w:szCs w:val="22"/>
        </w:rPr>
      </w:pPr>
    </w:p>
    <w:p w14:paraId="0C1838CB" w14:textId="18478516" w:rsidR="00EC76F6" w:rsidRPr="009824AD" w:rsidRDefault="00EC76F6" w:rsidP="004A0FD0">
      <w:pPr>
        <w:pStyle w:val="StandaardLatijnsArial"/>
        <w:spacing w:line="360" w:lineRule="auto"/>
        <w:rPr>
          <w:rFonts w:ascii="Helvetica" w:hAnsi="Helvetica" w:cs="Calibri"/>
          <w:sz w:val="22"/>
          <w:szCs w:val="22"/>
        </w:rPr>
      </w:pPr>
    </w:p>
    <w:p w14:paraId="0AC95F75" w14:textId="77777777" w:rsidR="00EC76F6" w:rsidRPr="009824AD" w:rsidRDefault="00EC76F6" w:rsidP="004A0FD0">
      <w:pPr>
        <w:pStyle w:val="StandaardLatijnsArial"/>
        <w:spacing w:line="360" w:lineRule="auto"/>
        <w:rPr>
          <w:rFonts w:ascii="Helvetica" w:hAnsi="Helvetica" w:cs="Calibri"/>
          <w:sz w:val="22"/>
          <w:szCs w:val="22"/>
        </w:rPr>
      </w:pPr>
    </w:p>
    <w:p w14:paraId="2E9E8A07" w14:textId="77777777" w:rsidR="000B7DA3" w:rsidRPr="009824AD" w:rsidRDefault="000B7DA3" w:rsidP="004A0FD0">
      <w:pPr>
        <w:pStyle w:val="StandaardLatijnsArial"/>
        <w:spacing w:line="360" w:lineRule="auto"/>
        <w:rPr>
          <w:rFonts w:ascii="Helvetica" w:hAnsi="Helvetica" w:cs="Calibri"/>
          <w:sz w:val="22"/>
          <w:szCs w:val="22"/>
        </w:rPr>
      </w:pPr>
    </w:p>
    <w:tbl>
      <w:tblPr>
        <w:tblStyle w:val="Tabelraster"/>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961"/>
      </w:tblGrid>
      <w:tr w:rsidR="00FD21BF" w:rsidRPr="009824AD" w14:paraId="7D5E2D49" w14:textId="77777777" w:rsidTr="00AE73D0">
        <w:tc>
          <w:tcPr>
            <w:tcW w:w="5240" w:type="dxa"/>
          </w:tcPr>
          <w:p w14:paraId="016479AE" w14:textId="77777777" w:rsidR="00FD21BF" w:rsidRPr="009824AD" w:rsidRDefault="00FD21BF" w:rsidP="00FD21BF">
            <w:pPr>
              <w:pStyle w:val="StandaardLatijnsArial"/>
              <w:spacing w:line="360" w:lineRule="auto"/>
              <w:rPr>
                <w:rFonts w:ascii="Helvetica" w:hAnsi="Helvetica" w:cs="Calibri"/>
              </w:rPr>
            </w:pPr>
            <w:r w:rsidRPr="009824AD">
              <w:rPr>
                <w:rFonts w:ascii="Helvetica" w:hAnsi="Helvetica" w:cs="Calibri"/>
              </w:rPr>
              <w:t xml:space="preserve">CORRESPONDING AUTHOR: </w:t>
            </w:r>
          </w:p>
          <w:p w14:paraId="069CAD3B" w14:textId="77777777" w:rsidR="00FD21BF" w:rsidRPr="009824AD" w:rsidRDefault="00FD21BF" w:rsidP="00FD21BF">
            <w:pPr>
              <w:pStyle w:val="StandaardLatijnsArial"/>
              <w:spacing w:line="360" w:lineRule="auto"/>
              <w:rPr>
                <w:rFonts w:ascii="Helvetica" w:hAnsi="Helvetica" w:cs="Calibri"/>
                <w:b w:val="0"/>
              </w:rPr>
            </w:pPr>
            <w:r w:rsidRPr="009824AD">
              <w:rPr>
                <w:rFonts w:ascii="Helvetica" w:hAnsi="Helvetica" w:cs="Calibri"/>
                <w:b w:val="0"/>
              </w:rPr>
              <w:t xml:space="preserve">Prof. Mohammed Abu Hilal, MD, PhD, FACS, FRCS </w:t>
            </w:r>
          </w:p>
          <w:p w14:paraId="43AE5992" w14:textId="77777777" w:rsidR="00FD21BF" w:rsidRPr="009824AD" w:rsidRDefault="00FD21BF" w:rsidP="00FD21BF">
            <w:pPr>
              <w:pStyle w:val="StandaardLatijnsArial"/>
              <w:spacing w:line="360" w:lineRule="auto"/>
              <w:rPr>
                <w:rFonts w:ascii="Helvetica" w:hAnsi="Helvetica" w:cs="Calibri"/>
                <w:b w:val="0"/>
              </w:rPr>
            </w:pPr>
            <w:r w:rsidRPr="009824AD">
              <w:rPr>
                <w:rFonts w:ascii="Helvetica" w:hAnsi="Helvetica" w:cs="Calibri"/>
                <w:b w:val="0"/>
              </w:rPr>
              <w:t>Department of Surgery</w:t>
            </w:r>
          </w:p>
          <w:p w14:paraId="12AF10AA" w14:textId="77777777" w:rsidR="00FD21BF" w:rsidRPr="009824AD" w:rsidRDefault="00FD21BF" w:rsidP="00FD21BF">
            <w:pPr>
              <w:pStyle w:val="StandaardLatijnsArial"/>
              <w:spacing w:line="360" w:lineRule="auto"/>
              <w:rPr>
                <w:rFonts w:ascii="Helvetica" w:hAnsi="Helvetica" w:cs="Calibri"/>
                <w:b w:val="0"/>
              </w:rPr>
            </w:pPr>
            <w:r w:rsidRPr="009824AD">
              <w:rPr>
                <w:rFonts w:ascii="Helvetica" w:hAnsi="Helvetica" w:cs="Calibri"/>
                <w:b w:val="0"/>
              </w:rPr>
              <w:t>Poliambulanza Foundation Hospital Brescia</w:t>
            </w:r>
          </w:p>
          <w:p w14:paraId="611EFD15" w14:textId="77777777" w:rsidR="00FD21BF" w:rsidRPr="009824AD" w:rsidRDefault="00FD21BF" w:rsidP="00FD21BF">
            <w:pPr>
              <w:pStyle w:val="StandaardLatijnsArial"/>
              <w:spacing w:line="360" w:lineRule="auto"/>
              <w:rPr>
                <w:rFonts w:ascii="Helvetica" w:hAnsi="Helvetica" w:cs="Calibri"/>
                <w:b w:val="0"/>
              </w:rPr>
            </w:pPr>
            <w:r w:rsidRPr="009824AD">
              <w:rPr>
                <w:rFonts w:ascii="Helvetica" w:hAnsi="Helvetica" w:cs="Calibri"/>
                <w:b w:val="0"/>
              </w:rPr>
              <w:t>Via Bissolati, 57, 25124, Brescia</w:t>
            </w:r>
          </w:p>
          <w:p w14:paraId="7CDFF8B9" w14:textId="64858DDC" w:rsidR="00FD21BF" w:rsidRPr="009824AD" w:rsidRDefault="00FD21BF" w:rsidP="00FD21BF">
            <w:pPr>
              <w:pStyle w:val="StandaardLatijnsArial"/>
              <w:spacing w:line="360" w:lineRule="auto"/>
              <w:rPr>
                <w:rFonts w:ascii="Helvetica" w:hAnsi="Helvetica" w:cs="Calibri"/>
                <w:b w:val="0"/>
              </w:rPr>
            </w:pPr>
            <w:r w:rsidRPr="009824AD">
              <w:rPr>
                <w:rFonts w:ascii="Helvetica" w:hAnsi="Helvetica" w:cs="Calibri"/>
                <w:b w:val="0"/>
              </w:rPr>
              <w:t>Phone: +39 (0) 3756326711</w:t>
            </w:r>
          </w:p>
          <w:p w14:paraId="3755D934" w14:textId="2495C643" w:rsidR="00FD21BF" w:rsidRPr="009824AD" w:rsidRDefault="00FD21BF" w:rsidP="00FD21BF">
            <w:pPr>
              <w:pStyle w:val="StandaardLatijnsArial"/>
              <w:spacing w:line="360" w:lineRule="auto"/>
              <w:rPr>
                <w:rStyle w:val="Hyperlink"/>
                <w:rFonts w:ascii="Helvetica" w:hAnsi="Helvetica" w:cs="Calibri"/>
                <w:b w:val="0"/>
                <w:color w:val="auto"/>
              </w:rPr>
            </w:pPr>
            <w:r w:rsidRPr="009824AD">
              <w:rPr>
                <w:rFonts w:ascii="Helvetica" w:hAnsi="Helvetica" w:cs="Calibri"/>
                <w:b w:val="0"/>
              </w:rPr>
              <w:t>Email: abuhilal9@gmail.com</w:t>
            </w:r>
          </w:p>
          <w:p w14:paraId="08885CE6" w14:textId="77777777" w:rsidR="00FD21BF" w:rsidRPr="009824AD" w:rsidRDefault="00FD21BF" w:rsidP="000D399E">
            <w:pPr>
              <w:pStyle w:val="StandaardLatijnsArial"/>
              <w:spacing w:line="360" w:lineRule="auto"/>
              <w:rPr>
                <w:rFonts w:ascii="Helvetica" w:hAnsi="Helvetica" w:cs="Calibri"/>
              </w:rPr>
            </w:pPr>
          </w:p>
        </w:tc>
        <w:tc>
          <w:tcPr>
            <w:tcW w:w="4961" w:type="dxa"/>
          </w:tcPr>
          <w:p w14:paraId="1600BDB5" w14:textId="77777777" w:rsidR="00FD21BF" w:rsidRPr="009824AD" w:rsidRDefault="00FD21BF" w:rsidP="00FD21BF">
            <w:pPr>
              <w:pStyle w:val="StandaardLatijnsArial"/>
              <w:spacing w:line="360" w:lineRule="auto"/>
              <w:rPr>
                <w:rFonts w:ascii="Helvetica" w:hAnsi="Helvetica" w:cs="Calibri"/>
              </w:rPr>
            </w:pPr>
            <w:r w:rsidRPr="009824AD">
              <w:rPr>
                <w:rFonts w:ascii="Helvetica" w:hAnsi="Helvetica" w:cs="Calibri"/>
              </w:rPr>
              <w:t xml:space="preserve">CORRESPONDING AUTHOR DURING REVIEW PROCESS: </w:t>
            </w:r>
          </w:p>
          <w:p w14:paraId="357A74BD" w14:textId="3576E996" w:rsidR="00FD21BF" w:rsidRPr="009824AD" w:rsidRDefault="00FD21BF" w:rsidP="00FD21BF">
            <w:pPr>
              <w:pStyle w:val="StandaardLatijnsArial"/>
              <w:spacing w:line="360" w:lineRule="auto"/>
              <w:rPr>
                <w:rFonts w:ascii="Helvetica" w:hAnsi="Helvetica" w:cs="Calibri"/>
                <w:b w:val="0"/>
              </w:rPr>
            </w:pPr>
            <w:r w:rsidRPr="009824AD">
              <w:rPr>
                <w:rFonts w:ascii="Helvetica" w:hAnsi="Helvetica" w:cs="Calibri"/>
                <w:b w:val="0"/>
              </w:rPr>
              <w:t>Burak Görgec, MD</w:t>
            </w:r>
          </w:p>
          <w:p w14:paraId="6A0128C3" w14:textId="45D65052" w:rsidR="00FD21BF" w:rsidRPr="009824AD" w:rsidRDefault="00FD21BF" w:rsidP="00FD21BF">
            <w:pPr>
              <w:pStyle w:val="StandaardLatijnsArial"/>
              <w:spacing w:line="360" w:lineRule="auto"/>
              <w:rPr>
                <w:rFonts w:ascii="Helvetica" w:hAnsi="Helvetica" w:cs="Calibri"/>
                <w:b w:val="0"/>
              </w:rPr>
            </w:pPr>
            <w:r w:rsidRPr="009824AD">
              <w:rPr>
                <w:rFonts w:ascii="Helvetica" w:hAnsi="Helvetica" w:cs="Calibri"/>
                <w:b w:val="0"/>
              </w:rPr>
              <w:t xml:space="preserve">Department of Surgery, </w:t>
            </w:r>
            <w:r w:rsidR="00246759" w:rsidRPr="0089742D">
              <w:rPr>
                <w:rFonts w:ascii="Helvetica" w:hAnsi="Helvetica" w:cs="Calibri"/>
                <w:b w:val="0"/>
              </w:rPr>
              <w:t>Amsterdam UMC</w:t>
            </w:r>
          </w:p>
          <w:p w14:paraId="49859D87" w14:textId="49D42C5C" w:rsidR="00FD21BF" w:rsidRPr="009824AD" w:rsidRDefault="00FD21BF" w:rsidP="00FD21BF">
            <w:pPr>
              <w:pStyle w:val="StandaardLatijnsArial"/>
              <w:spacing w:line="360" w:lineRule="auto"/>
              <w:rPr>
                <w:rFonts w:ascii="Helvetica" w:hAnsi="Helvetica" w:cs="Calibri"/>
                <w:b w:val="0"/>
                <w:lang w:val="nl-NL"/>
              </w:rPr>
            </w:pPr>
            <w:r w:rsidRPr="009824AD">
              <w:rPr>
                <w:rFonts w:ascii="Helvetica" w:hAnsi="Helvetica" w:cs="Calibri"/>
                <w:b w:val="0"/>
                <w:lang w:val="nl-NL"/>
              </w:rPr>
              <w:t>University of Amsterdam</w:t>
            </w:r>
            <w:r w:rsidR="00246759">
              <w:rPr>
                <w:rFonts w:ascii="Helvetica" w:hAnsi="Helvetica" w:cs="Calibri"/>
                <w:b w:val="0"/>
                <w:lang w:val="nl-NL"/>
              </w:rPr>
              <w:t>,</w:t>
            </w:r>
            <w:r w:rsidR="00246759" w:rsidRPr="0089742D">
              <w:rPr>
                <w:rFonts w:ascii="Helvetica" w:hAnsi="Helvetica" w:cs="Calibri"/>
                <w:b w:val="0"/>
                <w:lang w:val="nl-NL"/>
              </w:rPr>
              <w:t xml:space="preserve"> Cancer Center Amsterdam</w:t>
            </w:r>
          </w:p>
          <w:p w14:paraId="2612DB7E" w14:textId="6BB6A5B4" w:rsidR="00FD21BF" w:rsidRPr="009824AD" w:rsidRDefault="00246759" w:rsidP="00FD21BF">
            <w:pPr>
              <w:pStyle w:val="StandaardLatijnsArial"/>
              <w:spacing w:line="360" w:lineRule="auto"/>
              <w:rPr>
                <w:rFonts w:ascii="Helvetica" w:hAnsi="Helvetica" w:cs="Calibri"/>
                <w:b w:val="0"/>
                <w:lang w:val="nl-NL"/>
              </w:rPr>
            </w:pPr>
            <w:r>
              <w:rPr>
                <w:rFonts w:ascii="Helvetica" w:hAnsi="Helvetica" w:cs="Calibri"/>
                <w:b w:val="0"/>
                <w:lang w:val="nl-NL"/>
              </w:rPr>
              <w:t>De Boelelaan 1117, 1081 HV</w:t>
            </w:r>
            <w:r w:rsidR="00FD21BF" w:rsidRPr="009824AD">
              <w:rPr>
                <w:rFonts w:ascii="Helvetica" w:hAnsi="Helvetica" w:cs="Calibri"/>
                <w:b w:val="0"/>
                <w:lang w:val="nl-NL"/>
              </w:rPr>
              <w:t xml:space="preserve"> Amsterdam</w:t>
            </w:r>
          </w:p>
          <w:p w14:paraId="5BA0579E" w14:textId="0A832906" w:rsidR="00FD21BF" w:rsidRPr="009824AD" w:rsidRDefault="00FD21BF" w:rsidP="00FD21BF">
            <w:pPr>
              <w:pStyle w:val="StandaardLatijnsArial"/>
              <w:spacing w:line="360" w:lineRule="auto"/>
              <w:rPr>
                <w:rFonts w:ascii="Helvetica" w:hAnsi="Helvetica" w:cs="Calibri"/>
                <w:b w:val="0"/>
              </w:rPr>
            </w:pPr>
            <w:r w:rsidRPr="009824AD">
              <w:rPr>
                <w:rFonts w:ascii="Helvetica" w:hAnsi="Helvetica" w:cs="Calibri"/>
                <w:b w:val="0"/>
              </w:rPr>
              <w:t>Phone: +31624152635</w:t>
            </w:r>
          </w:p>
          <w:p w14:paraId="7624290E" w14:textId="58FFD3E3" w:rsidR="00FD21BF" w:rsidRPr="009824AD" w:rsidRDefault="00FD21BF" w:rsidP="00FD21BF">
            <w:pPr>
              <w:pStyle w:val="StandaardLatijnsArial"/>
              <w:spacing w:line="360" w:lineRule="auto"/>
              <w:rPr>
                <w:rStyle w:val="Hyperlink"/>
                <w:rFonts w:ascii="Helvetica" w:hAnsi="Helvetica" w:cs="Calibri"/>
                <w:b w:val="0"/>
                <w:color w:val="auto"/>
              </w:rPr>
            </w:pPr>
            <w:r w:rsidRPr="009824AD">
              <w:rPr>
                <w:rFonts w:ascii="Helvetica" w:hAnsi="Helvetica" w:cs="Calibri"/>
                <w:b w:val="0"/>
              </w:rPr>
              <w:t xml:space="preserve">Email: </w:t>
            </w:r>
            <w:r w:rsidRPr="009824AD">
              <w:rPr>
                <w:rFonts w:ascii="Helvetica" w:hAnsi="Helvetica" w:cs="Calibri"/>
                <w:b w:val="0"/>
                <w:bCs/>
              </w:rPr>
              <w:t>b.gorgec@</w:t>
            </w:r>
            <w:r w:rsidR="00246759" w:rsidRPr="009824AD">
              <w:rPr>
                <w:rFonts w:ascii="Helvetica" w:hAnsi="Helvetica" w:cs="Calibri"/>
                <w:b w:val="0"/>
                <w:bCs/>
              </w:rPr>
              <w:t>amsterdam</w:t>
            </w:r>
            <w:r w:rsidR="00246759">
              <w:rPr>
                <w:rFonts w:ascii="Helvetica" w:hAnsi="Helvetica" w:cs="Calibri"/>
                <w:b w:val="0"/>
                <w:bCs/>
              </w:rPr>
              <w:t>UMC</w:t>
            </w:r>
            <w:r w:rsidRPr="009824AD">
              <w:rPr>
                <w:rFonts w:ascii="Helvetica" w:hAnsi="Helvetica" w:cs="Calibri"/>
                <w:b w:val="0"/>
                <w:bCs/>
              </w:rPr>
              <w:t>.nl</w:t>
            </w:r>
          </w:p>
          <w:p w14:paraId="72608F16" w14:textId="77777777" w:rsidR="00FD21BF" w:rsidRPr="009824AD" w:rsidRDefault="00FD21BF" w:rsidP="00FD21BF">
            <w:pPr>
              <w:pStyle w:val="StandaardLatijnsArial"/>
              <w:spacing w:line="360" w:lineRule="auto"/>
              <w:rPr>
                <w:rFonts w:ascii="Helvetica" w:hAnsi="Helvetica" w:cs="Calibri"/>
              </w:rPr>
            </w:pPr>
          </w:p>
        </w:tc>
      </w:tr>
    </w:tbl>
    <w:p w14:paraId="2B7CAEFE" w14:textId="77777777" w:rsidR="00FD21BF" w:rsidRPr="009824AD" w:rsidRDefault="00FD21BF" w:rsidP="004A0FD0">
      <w:pPr>
        <w:pStyle w:val="StandaardLatijnsArial"/>
        <w:spacing w:line="360" w:lineRule="auto"/>
        <w:rPr>
          <w:rFonts w:ascii="Helvetica" w:hAnsi="Helvetica" w:cs="Calibri"/>
          <w:sz w:val="22"/>
          <w:szCs w:val="22"/>
        </w:rPr>
      </w:pPr>
    </w:p>
    <w:p w14:paraId="30FE8E0F" w14:textId="6B198259" w:rsidR="00515BA2" w:rsidRPr="009824AD" w:rsidRDefault="00515BA2" w:rsidP="009C1511">
      <w:pPr>
        <w:pStyle w:val="StandaardLatijnsArial"/>
        <w:spacing w:line="360" w:lineRule="auto"/>
        <w:rPr>
          <w:rFonts w:ascii="Helvetica" w:hAnsi="Helvetica" w:cs="Calibri"/>
          <w:b w:val="0"/>
          <w:sz w:val="22"/>
          <w:szCs w:val="22"/>
        </w:rPr>
      </w:pPr>
    </w:p>
    <w:p w14:paraId="711960FF" w14:textId="77777777" w:rsidR="00296578" w:rsidRPr="009824AD" w:rsidRDefault="00296578" w:rsidP="004A3B46">
      <w:pPr>
        <w:spacing w:line="360" w:lineRule="auto"/>
        <w:jc w:val="both"/>
        <w:rPr>
          <w:rFonts w:ascii="Helvetica" w:hAnsi="Helvetica" w:cs="Calibri"/>
          <w:b/>
          <w:bCs/>
          <w:sz w:val="22"/>
          <w:szCs w:val="22"/>
          <w:lang w:val="en-US"/>
        </w:rPr>
      </w:pPr>
    </w:p>
    <w:p w14:paraId="7378B0DA" w14:textId="2BF6FFDB" w:rsidR="00CD1443" w:rsidRPr="009824AD" w:rsidRDefault="00CD1443" w:rsidP="00002C7D">
      <w:pPr>
        <w:jc w:val="both"/>
        <w:rPr>
          <w:rFonts w:ascii="Helvetica" w:eastAsia="Times New Roman" w:hAnsi="Helvetica" w:cs="Times New Roman"/>
          <w:b/>
          <w:sz w:val="22"/>
          <w:szCs w:val="22"/>
          <w:lang w:val="en-US" w:eastAsia="nl-NL"/>
        </w:rPr>
      </w:pPr>
      <w:r w:rsidRPr="009824AD">
        <w:rPr>
          <w:rFonts w:ascii="Helvetica" w:hAnsi="Helvetica"/>
          <w:b/>
          <w:sz w:val="22"/>
          <w:szCs w:val="22"/>
          <w:lang w:val="en-US"/>
        </w:rPr>
        <w:t>This paper was presented at</w:t>
      </w:r>
      <w:r w:rsidR="006C4EBD" w:rsidRPr="009824AD">
        <w:rPr>
          <w:rFonts w:ascii="Helvetica" w:hAnsi="Helvetica"/>
          <w:b/>
          <w:sz w:val="22"/>
          <w:szCs w:val="22"/>
          <w:lang w:val="en-US"/>
        </w:rPr>
        <w:t xml:space="preserve"> </w:t>
      </w:r>
      <w:r w:rsidRPr="009824AD">
        <w:rPr>
          <w:rFonts w:ascii="Helvetica" w:eastAsia="Times New Roman" w:hAnsi="Helvetica" w:cs="Times New Roman"/>
          <w:b/>
          <w:spacing w:val="5"/>
          <w:sz w:val="22"/>
          <w:szCs w:val="22"/>
          <w:shd w:val="clear" w:color="auto" w:fill="FFFFFF"/>
          <w:lang w:val="en-US" w:eastAsia="nl-NL"/>
        </w:rPr>
        <w:t xml:space="preserve">the 3rd </w:t>
      </w:r>
      <w:r w:rsidR="006C4EBD" w:rsidRPr="009824AD">
        <w:rPr>
          <w:rFonts w:ascii="Helvetica" w:eastAsia="Times New Roman" w:hAnsi="Helvetica" w:cs="Times New Roman"/>
          <w:b/>
          <w:spacing w:val="5"/>
          <w:sz w:val="22"/>
          <w:szCs w:val="22"/>
          <w:shd w:val="clear" w:color="auto" w:fill="FFFFFF"/>
          <w:lang w:val="en-US" w:eastAsia="nl-NL"/>
        </w:rPr>
        <w:t xml:space="preserve">Virtual </w:t>
      </w:r>
      <w:r w:rsidRPr="009824AD">
        <w:rPr>
          <w:rFonts w:ascii="Helvetica" w:eastAsia="Times New Roman" w:hAnsi="Helvetica" w:cs="Times New Roman"/>
          <w:b/>
          <w:spacing w:val="5"/>
          <w:sz w:val="22"/>
          <w:szCs w:val="22"/>
          <w:shd w:val="clear" w:color="auto" w:fill="FFFFFF"/>
          <w:lang w:val="en-US" w:eastAsia="nl-NL"/>
        </w:rPr>
        <w:t>World Congress of International Laparoscopic Liver Society (ILLS)</w:t>
      </w:r>
      <w:r w:rsidRPr="009824AD">
        <w:rPr>
          <w:rFonts w:ascii="Helvetica" w:eastAsia="Times New Roman" w:hAnsi="Helvetica" w:cs="Times New Roman"/>
          <w:b/>
          <w:sz w:val="22"/>
          <w:szCs w:val="22"/>
          <w:lang w:val="en-US" w:eastAsia="nl-NL"/>
        </w:rPr>
        <w:t xml:space="preserve"> during </w:t>
      </w:r>
      <w:r w:rsidRPr="009824AD">
        <w:rPr>
          <w:rFonts w:ascii="Helvetica" w:hAnsi="Helvetica"/>
          <w:b/>
          <w:sz w:val="22"/>
          <w:szCs w:val="22"/>
          <w:lang w:val="en-US"/>
        </w:rPr>
        <w:t>the Best Selected Papers session in June 2021 and has been awarded third place</w:t>
      </w:r>
    </w:p>
    <w:p w14:paraId="4EF3C668" w14:textId="42B2D41B" w:rsidR="0015169E" w:rsidRPr="009824AD" w:rsidRDefault="0015169E" w:rsidP="004A3B46">
      <w:pPr>
        <w:spacing w:line="360" w:lineRule="auto"/>
        <w:jc w:val="both"/>
        <w:rPr>
          <w:rFonts w:ascii="Helvetica" w:hAnsi="Helvetica" w:cs="Calibri"/>
          <w:b/>
          <w:bCs/>
          <w:sz w:val="22"/>
          <w:szCs w:val="22"/>
          <w:lang w:val="en-US"/>
        </w:rPr>
      </w:pPr>
    </w:p>
    <w:p w14:paraId="0DDDC013" w14:textId="5DDFA36C" w:rsidR="006F2B67" w:rsidRPr="009824AD" w:rsidRDefault="006C4EBD" w:rsidP="006F2B67">
      <w:pPr>
        <w:spacing w:line="360" w:lineRule="auto"/>
        <w:jc w:val="both"/>
        <w:rPr>
          <w:rFonts w:ascii="Helvetica" w:hAnsi="Helvetica" w:cs="Calibri"/>
          <w:b/>
          <w:bCs/>
          <w:sz w:val="22"/>
          <w:szCs w:val="22"/>
          <w:lang w:val="en-US"/>
        </w:rPr>
      </w:pPr>
      <w:r w:rsidRPr="009824AD">
        <w:rPr>
          <w:rFonts w:ascii="Helvetica" w:hAnsi="Helvetica" w:cs="Calibri"/>
          <w:b/>
          <w:bCs/>
          <w:sz w:val="22"/>
          <w:szCs w:val="22"/>
          <w:lang w:val="en-US"/>
        </w:rPr>
        <w:t>Brief Title</w:t>
      </w:r>
      <w:r w:rsidR="006F2B67" w:rsidRPr="009824AD">
        <w:rPr>
          <w:rFonts w:ascii="Helvetica" w:hAnsi="Helvetica" w:cs="Calibri"/>
          <w:b/>
          <w:bCs/>
          <w:sz w:val="22"/>
          <w:szCs w:val="22"/>
          <w:lang w:val="en-US"/>
        </w:rPr>
        <w:t xml:space="preserve">: </w:t>
      </w:r>
      <w:r w:rsidR="006F2B67" w:rsidRPr="009824AD">
        <w:rPr>
          <w:rFonts w:ascii="Helvetica" w:hAnsi="Helvetica" w:cs="Calibri"/>
          <w:sz w:val="22"/>
          <w:szCs w:val="22"/>
          <w:lang w:val="en-US"/>
        </w:rPr>
        <w:t xml:space="preserve">Bile leakage after laparoscopic and open liver </w:t>
      </w:r>
      <w:r w:rsidR="00256842" w:rsidRPr="009824AD">
        <w:rPr>
          <w:rFonts w:ascii="Helvetica" w:hAnsi="Helvetica" w:cs="Calibri"/>
          <w:sz w:val="22"/>
          <w:szCs w:val="22"/>
          <w:lang w:val="en-US"/>
        </w:rPr>
        <w:t>surgery</w:t>
      </w:r>
    </w:p>
    <w:p w14:paraId="4E3B2476" w14:textId="4DF2A865" w:rsidR="009554AB" w:rsidRPr="009824AD" w:rsidRDefault="009554AB" w:rsidP="004A3B46">
      <w:pPr>
        <w:spacing w:line="360" w:lineRule="auto"/>
        <w:jc w:val="both"/>
        <w:rPr>
          <w:rFonts w:ascii="Helvetica" w:hAnsi="Helvetica" w:cs="Calibri"/>
          <w:b/>
          <w:bCs/>
          <w:sz w:val="28"/>
          <w:szCs w:val="28"/>
          <w:lang w:val="en-US"/>
        </w:rPr>
      </w:pPr>
    </w:p>
    <w:p w14:paraId="0E0792D8" w14:textId="6909C90D" w:rsidR="009554AB" w:rsidRPr="009824AD" w:rsidRDefault="006F2B67" w:rsidP="009554AB">
      <w:pPr>
        <w:pStyle w:val="Body"/>
        <w:spacing w:line="360" w:lineRule="auto"/>
        <w:jc w:val="both"/>
        <w:rPr>
          <w:rFonts w:ascii="Helvetica" w:eastAsia="Arial" w:hAnsi="Helvetica" w:cs="Calibri"/>
          <w:bCs/>
          <w:color w:val="auto"/>
          <w:sz w:val="22"/>
          <w:szCs w:val="22"/>
        </w:rPr>
      </w:pPr>
      <w:r w:rsidRPr="009824AD">
        <w:rPr>
          <w:rFonts w:ascii="Helvetica" w:eastAsia="Arial" w:hAnsi="Helvetica" w:cs="Calibri"/>
          <w:b/>
          <w:bCs/>
          <w:color w:val="auto"/>
          <w:sz w:val="22"/>
          <w:szCs w:val="22"/>
        </w:rPr>
        <w:t>Conflicts of interest and source of funding:</w:t>
      </w:r>
      <w:r w:rsidR="009554AB" w:rsidRPr="009824AD">
        <w:rPr>
          <w:rFonts w:ascii="Helvetica" w:eastAsia="Arial" w:hAnsi="Helvetica" w:cs="Calibri"/>
          <w:bCs/>
          <w:color w:val="auto"/>
          <w:sz w:val="22"/>
          <w:szCs w:val="22"/>
        </w:rPr>
        <w:t xml:space="preserve"> </w:t>
      </w:r>
      <w:r w:rsidRPr="009824AD">
        <w:rPr>
          <w:rFonts w:ascii="Helvetica" w:eastAsia="Arial" w:hAnsi="Helvetica" w:cs="Calibri"/>
          <w:bCs/>
          <w:color w:val="auto"/>
          <w:sz w:val="22"/>
          <w:szCs w:val="22"/>
        </w:rPr>
        <w:t xml:space="preserve"> </w:t>
      </w:r>
      <w:r w:rsidR="009554AB" w:rsidRPr="009824AD">
        <w:rPr>
          <w:rFonts w:ascii="Helvetica" w:eastAsia="Arial" w:hAnsi="Helvetica" w:cs="Calibri"/>
          <w:bCs/>
          <w:color w:val="auto"/>
          <w:sz w:val="22"/>
          <w:szCs w:val="22"/>
        </w:rPr>
        <w:t>None were declared</w:t>
      </w:r>
    </w:p>
    <w:p w14:paraId="71330940" w14:textId="7E75EEE7" w:rsidR="009554AB" w:rsidRPr="009824AD" w:rsidRDefault="009554AB" w:rsidP="004A3B46">
      <w:pPr>
        <w:spacing w:line="360" w:lineRule="auto"/>
        <w:jc w:val="both"/>
        <w:rPr>
          <w:rFonts w:ascii="Helvetica" w:hAnsi="Helvetica" w:cs="Calibri"/>
          <w:b/>
          <w:bCs/>
          <w:sz w:val="28"/>
          <w:szCs w:val="28"/>
          <w:lang w:val="en-US"/>
        </w:rPr>
      </w:pPr>
    </w:p>
    <w:p w14:paraId="1AAA5EA4" w14:textId="1A1B1F2C" w:rsidR="006F2B67" w:rsidRPr="009824AD" w:rsidRDefault="006F2B67" w:rsidP="006F2B6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ind w:right="232"/>
        <w:jc w:val="both"/>
        <w:rPr>
          <w:rFonts w:ascii="Helvetica" w:hAnsi="Helvetica" w:cs="Calibri"/>
          <w:sz w:val="22"/>
          <w:szCs w:val="22"/>
          <w:lang w:val="en-US"/>
        </w:rPr>
      </w:pPr>
      <w:r w:rsidRPr="009824AD">
        <w:rPr>
          <w:rFonts w:ascii="Helvetica" w:hAnsi="Helvetica" w:cs="Calibri"/>
          <w:b/>
          <w:bCs/>
          <w:sz w:val="22"/>
          <w:szCs w:val="22"/>
          <w:lang w:val="en-US"/>
        </w:rPr>
        <w:t>Word Count:</w:t>
      </w:r>
      <w:r w:rsidRPr="009824AD">
        <w:rPr>
          <w:rFonts w:ascii="Helvetica" w:hAnsi="Helvetica" w:cs="Calibri"/>
          <w:sz w:val="22"/>
          <w:szCs w:val="22"/>
          <w:lang w:val="en-US"/>
        </w:rPr>
        <w:t xml:space="preserve"> </w:t>
      </w:r>
      <w:r w:rsidR="00900E85" w:rsidRPr="009824AD">
        <w:rPr>
          <w:rFonts w:ascii="Helvetica" w:hAnsi="Helvetica" w:cs="Calibri"/>
          <w:sz w:val="22"/>
          <w:szCs w:val="22"/>
          <w:lang w:val="en-US"/>
        </w:rPr>
        <w:t>3</w:t>
      </w:r>
      <w:r w:rsidR="00A00615">
        <w:rPr>
          <w:rFonts w:ascii="Helvetica" w:hAnsi="Helvetica" w:cs="Calibri"/>
          <w:sz w:val="22"/>
          <w:szCs w:val="22"/>
          <w:lang w:val="en-US"/>
        </w:rPr>
        <w:t>890</w:t>
      </w:r>
      <w:r w:rsidR="00900E85" w:rsidRPr="009824AD">
        <w:rPr>
          <w:rFonts w:ascii="Helvetica" w:hAnsi="Helvetica" w:cs="Calibri"/>
          <w:sz w:val="22"/>
          <w:szCs w:val="22"/>
          <w:lang w:val="en-US"/>
        </w:rPr>
        <w:t xml:space="preserve"> </w:t>
      </w:r>
      <w:r w:rsidRPr="009824AD">
        <w:rPr>
          <w:rFonts w:ascii="Helvetica" w:hAnsi="Helvetica" w:cs="Calibri"/>
          <w:sz w:val="22"/>
          <w:szCs w:val="22"/>
          <w:lang w:val="en-US"/>
        </w:rPr>
        <w:t>words</w:t>
      </w:r>
    </w:p>
    <w:p w14:paraId="7E265A8E" w14:textId="77777777" w:rsidR="00D1211B" w:rsidRPr="009824AD" w:rsidRDefault="00D1211B" w:rsidP="004A3B46">
      <w:pPr>
        <w:spacing w:line="360" w:lineRule="auto"/>
        <w:jc w:val="both"/>
        <w:rPr>
          <w:rFonts w:ascii="Helvetica" w:hAnsi="Helvetica" w:cs="Calibri"/>
          <w:b/>
          <w:bCs/>
          <w:sz w:val="28"/>
          <w:szCs w:val="28"/>
          <w:lang w:val="en-US"/>
        </w:rPr>
      </w:pPr>
    </w:p>
    <w:p w14:paraId="206CE3D6" w14:textId="77777777" w:rsidR="008110E3" w:rsidRPr="009824AD" w:rsidRDefault="008110E3" w:rsidP="004A3B46">
      <w:pPr>
        <w:spacing w:line="360" w:lineRule="auto"/>
        <w:jc w:val="both"/>
        <w:rPr>
          <w:rFonts w:ascii="Helvetica" w:hAnsi="Helvetica" w:cs="Calibri"/>
          <w:b/>
          <w:bCs/>
          <w:sz w:val="28"/>
          <w:szCs w:val="28"/>
          <w:lang w:val="en-US"/>
        </w:rPr>
      </w:pPr>
    </w:p>
    <w:p w14:paraId="0C6D521A" w14:textId="77777777" w:rsidR="008110E3" w:rsidRPr="009824AD" w:rsidRDefault="008110E3" w:rsidP="004A3B46">
      <w:pPr>
        <w:spacing w:line="360" w:lineRule="auto"/>
        <w:jc w:val="both"/>
        <w:rPr>
          <w:rFonts w:ascii="Helvetica" w:hAnsi="Helvetica" w:cs="Calibri"/>
          <w:b/>
          <w:bCs/>
          <w:sz w:val="28"/>
          <w:szCs w:val="28"/>
          <w:lang w:val="en-US"/>
        </w:rPr>
      </w:pPr>
    </w:p>
    <w:p w14:paraId="58F35C40" w14:textId="77777777" w:rsidR="008110E3" w:rsidRPr="009824AD" w:rsidRDefault="008110E3" w:rsidP="004A3B46">
      <w:pPr>
        <w:spacing w:line="360" w:lineRule="auto"/>
        <w:jc w:val="both"/>
        <w:rPr>
          <w:rFonts w:ascii="Helvetica" w:hAnsi="Helvetica" w:cs="Calibri"/>
          <w:b/>
          <w:bCs/>
          <w:sz w:val="28"/>
          <w:szCs w:val="28"/>
          <w:lang w:val="en-US"/>
        </w:rPr>
      </w:pPr>
    </w:p>
    <w:p w14:paraId="0B26F4EB" w14:textId="77777777" w:rsidR="008110E3" w:rsidRPr="009824AD" w:rsidRDefault="008110E3" w:rsidP="004A3B46">
      <w:pPr>
        <w:spacing w:line="360" w:lineRule="auto"/>
        <w:jc w:val="both"/>
        <w:rPr>
          <w:rFonts w:ascii="Helvetica" w:hAnsi="Helvetica" w:cs="Calibri"/>
          <w:b/>
          <w:bCs/>
          <w:sz w:val="28"/>
          <w:szCs w:val="28"/>
          <w:lang w:val="en-US"/>
        </w:rPr>
      </w:pPr>
    </w:p>
    <w:p w14:paraId="708EA3E6" w14:textId="77777777" w:rsidR="008110E3" w:rsidRPr="009824AD" w:rsidRDefault="008110E3" w:rsidP="004A3B46">
      <w:pPr>
        <w:spacing w:line="360" w:lineRule="auto"/>
        <w:jc w:val="both"/>
        <w:rPr>
          <w:rFonts w:ascii="Helvetica" w:hAnsi="Helvetica" w:cs="Calibri"/>
          <w:b/>
          <w:bCs/>
          <w:sz w:val="28"/>
          <w:szCs w:val="28"/>
          <w:lang w:val="en-US"/>
        </w:rPr>
      </w:pPr>
    </w:p>
    <w:p w14:paraId="76ABB348" w14:textId="270AB427" w:rsidR="00E254DB" w:rsidRPr="009824AD" w:rsidRDefault="00E254DB" w:rsidP="00D916C1">
      <w:pPr>
        <w:spacing w:line="360" w:lineRule="auto"/>
        <w:jc w:val="both"/>
        <w:rPr>
          <w:rFonts w:ascii="Helvetica" w:hAnsi="Helvetica" w:cs="Calibri"/>
          <w:b/>
          <w:bCs/>
          <w:sz w:val="28"/>
          <w:szCs w:val="28"/>
          <w:lang w:val="en-US"/>
        </w:rPr>
      </w:pPr>
    </w:p>
    <w:p w14:paraId="60ADFE54" w14:textId="0E02D0C5" w:rsidR="000D44B8" w:rsidRPr="009824AD" w:rsidRDefault="000D44B8" w:rsidP="00D916C1">
      <w:pPr>
        <w:spacing w:line="360" w:lineRule="auto"/>
        <w:jc w:val="both"/>
        <w:rPr>
          <w:rFonts w:ascii="Helvetica" w:hAnsi="Helvetica" w:cs="Calibri"/>
          <w:b/>
          <w:bCs/>
          <w:sz w:val="28"/>
          <w:szCs w:val="28"/>
          <w:lang w:val="en-US"/>
        </w:rPr>
      </w:pPr>
    </w:p>
    <w:p w14:paraId="334B626B" w14:textId="77777777" w:rsidR="002D4AAD" w:rsidRPr="009824AD" w:rsidRDefault="002D4AAD" w:rsidP="00D916C1">
      <w:pPr>
        <w:spacing w:line="360" w:lineRule="auto"/>
        <w:jc w:val="both"/>
        <w:rPr>
          <w:rFonts w:ascii="Helvetica" w:hAnsi="Helvetica" w:cs="Calibri"/>
          <w:b/>
          <w:bCs/>
          <w:color w:val="000000" w:themeColor="text1"/>
          <w:sz w:val="28"/>
          <w:szCs w:val="28"/>
          <w:lang w:val="en-US"/>
        </w:rPr>
      </w:pPr>
    </w:p>
    <w:p w14:paraId="5E1FB3E5" w14:textId="77777777" w:rsidR="009824AD" w:rsidRPr="009824AD" w:rsidRDefault="009824AD" w:rsidP="00D916C1">
      <w:pPr>
        <w:spacing w:line="360" w:lineRule="auto"/>
        <w:jc w:val="both"/>
        <w:rPr>
          <w:rFonts w:ascii="Helvetica" w:hAnsi="Helvetica" w:cs="Calibri"/>
          <w:b/>
          <w:bCs/>
          <w:color w:val="000000" w:themeColor="text1"/>
          <w:sz w:val="28"/>
          <w:szCs w:val="28"/>
          <w:lang w:val="en-US"/>
        </w:rPr>
        <w:sectPr w:rsidR="009824AD" w:rsidRPr="009824AD" w:rsidSect="00CA02C7">
          <w:headerReference w:type="even" r:id="rId8"/>
          <w:headerReference w:type="default" r:id="rId9"/>
          <w:footerReference w:type="even" r:id="rId10"/>
          <w:footerReference w:type="default" r:id="rId11"/>
          <w:pgSz w:w="11900" w:h="16840"/>
          <w:pgMar w:top="1417" w:right="1417" w:bottom="1417" w:left="1417" w:header="708" w:footer="708" w:gutter="0"/>
          <w:cols w:space="708"/>
          <w:docGrid w:linePitch="360"/>
        </w:sectPr>
      </w:pPr>
    </w:p>
    <w:p w14:paraId="03CF306E" w14:textId="77777777" w:rsidR="00256842" w:rsidRPr="009824AD" w:rsidRDefault="00256842" w:rsidP="00EC12A5">
      <w:pPr>
        <w:pStyle w:val="Kop1"/>
        <w:rPr>
          <w:rFonts w:ascii="Helvetica" w:hAnsi="Helvetica"/>
          <w:lang w:val="en-US"/>
        </w:rPr>
      </w:pPr>
      <w:r w:rsidRPr="009824AD">
        <w:rPr>
          <w:rFonts w:ascii="Helvetica" w:hAnsi="Helvetica"/>
          <w:lang w:val="en-US"/>
        </w:rPr>
        <w:lastRenderedPageBreak/>
        <w:t>ABSTRACT</w:t>
      </w:r>
    </w:p>
    <w:p w14:paraId="0E2A5939" w14:textId="616D198F" w:rsidR="00256842" w:rsidRPr="009824AD" w:rsidRDefault="00256842" w:rsidP="00256842">
      <w:pPr>
        <w:pStyle w:val="Geenafstand"/>
        <w:spacing w:line="480" w:lineRule="auto"/>
        <w:jc w:val="both"/>
        <w:rPr>
          <w:rFonts w:ascii="Helvetica" w:hAnsi="Helvetica" w:cs="Calibri"/>
          <w:color w:val="000000" w:themeColor="text1"/>
          <w:lang w:val="en-US"/>
        </w:rPr>
      </w:pPr>
      <w:r w:rsidRPr="009824AD">
        <w:rPr>
          <w:rFonts w:ascii="Helvetica" w:hAnsi="Helvetica" w:cs="Calibri"/>
          <w:b/>
          <w:bCs/>
          <w:color w:val="000000" w:themeColor="text1"/>
          <w:lang w:val="en-US"/>
        </w:rPr>
        <w:t xml:space="preserve">Background </w:t>
      </w:r>
      <w:r w:rsidRPr="009824AD">
        <w:rPr>
          <w:rFonts w:ascii="Helvetica" w:hAnsi="Helvetica" w:cs="Calibri"/>
          <w:color w:val="000000" w:themeColor="text1"/>
          <w:lang w:val="en-US"/>
        </w:rPr>
        <w:t xml:space="preserve">Despite many developments, </w:t>
      </w:r>
      <w:r w:rsidR="00922B19" w:rsidRPr="009824AD">
        <w:rPr>
          <w:rFonts w:ascii="Helvetica" w:hAnsi="Helvetica" w:cs="Calibri"/>
          <w:color w:val="000000" w:themeColor="text1"/>
          <w:lang w:val="en-US"/>
        </w:rPr>
        <w:t>postoperative bile leakage (</w:t>
      </w:r>
      <w:r w:rsidRPr="009824AD">
        <w:rPr>
          <w:rFonts w:ascii="Helvetica" w:hAnsi="Helvetica" w:cs="Calibri"/>
          <w:color w:val="000000" w:themeColor="text1"/>
          <w:lang w:val="en-US"/>
        </w:rPr>
        <w:t>POBL</w:t>
      </w:r>
      <w:r w:rsidR="00922B19" w:rsidRPr="009824AD">
        <w:rPr>
          <w:rFonts w:ascii="Helvetica" w:hAnsi="Helvetica" w:cs="Calibri"/>
          <w:color w:val="000000" w:themeColor="text1"/>
          <w:lang w:val="en-US"/>
        </w:rPr>
        <w:t>)</w:t>
      </w:r>
      <w:r w:rsidRPr="009824AD">
        <w:rPr>
          <w:rFonts w:ascii="Helvetica" w:hAnsi="Helvetica" w:cs="Calibri"/>
          <w:color w:val="000000" w:themeColor="text1"/>
          <w:lang w:val="en-US"/>
        </w:rPr>
        <w:t xml:space="preserve"> remains a relatively common postoperative complication after </w:t>
      </w:r>
      <w:r w:rsidR="00922B19" w:rsidRPr="009824AD">
        <w:rPr>
          <w:rFonts w:ascii="Helvetica" w:hAnsi="Helvetica" w:cs="Calibri"/>
          <w:color w:val="000000" w:themeColor="text1"/>
          <w:lang w:val="en-US"/>
        </w:rPr>
        <w:t>laparoscopic liver resection (LLR) and open liver resection (OLR)</w:t>
      </w:r>
      <w:r w:rsidRPr="009824AD">
        <w:rPr>
          <w:rFonts w:ascii="Helvetica" w:hAnsi="Helvetica" w:cs="Calibri"/>
          <w:color w:val="000000" w:themeColor="text1"/>
          <w:lang w:val="en-US"/>
        </w:rPr>
        <w:t xml:space="preserve">. This study aimed to </w:t>
      </w:r>
      <w:r w:rsidR="00A32A02" w:rsidRPr="009824AD">
        <w:rPr>
          <w:rFonts w:ascii="Helvetica" w:hAnsi="Helvetica" w:cs="Calibri"/>
          <w:color w:val="000000" w:themeColor="text1"/>
          <w:lang w:val="en-US"/>
        </w:rPr>
        <w:t xml:space="preserve">assess </w:t>
      </w:r>
      <w:r w:rsidRPr="009824AD">
        <w:rPr>
          <w:rFonts w:ascii="Helvetica" w:hAnsi="Helvetica" w:cs="Calibri"/>
          <w:color w:val="000000" w:themeColor="text1"/>
          <w:lang w:val="en-US"/>
        </w:rPr>
        <w:t>the incidence and clinical impact of POBL</w:t>
      </w:r>
      <w:r w:rsidR="00922B19" w:rsidRPr="009824AD">
        <w:rPr>
          <w:rFonts w:ascii="Helvetica" w:hAnsi="Helvetica" w:cs="Calibri"/>
          <w:color w:val="000000" w:themeColor="text1"/>
          <w:lang w:val="en-US"/>
        </w:rPr>
        <w:t xml:space="preserve"> </w:t>
      </w:r>
      <w:r w:rsidR="00A32A02" w:rsidRPr="009824AD">
        <w:rPr>
          <w:rFonts w:ascii="Helvetica" w:hAnsi="Helvetica" w:cs="Calibri"/>
          <w:color w:val="000000" w:themeColor="text1"/>
          <w:lang w:val="en-US"/>
        </w:rPr>
        <w:t xml:space="preserve">in </w:t>
      </w:r>
      <w:r w:rsidRPr="009824AD">
        <w:rPr>
          <w:rFonts w:ascii="Helvetica" w:hAnsi="Helvetica" w:cs="Calibri"/>
          <w:color w:val="000000" w:themeColor="text1"/>
          <w:lang w:val="en-US"/>
        </w:rPr>
        <w:t>patients undergoing LLR and OLR in a large international multi</w:t>
      </w:r>
      <w:r w:rsidR="000B7DA3" w:rsidRPr="009824AD">
        <w:rPr>
          <w:rFonts w:ascii="Helvetica" w:hAnsi="Helvetica" w:cs="Calibri"/>
          <w:color w:val="000000" w:themeColor="text1"/>
          <w:lang w:val="en-US"/>
        </w:rPr>
        <w:t>center</w:t>
      </w:r>
      <w:r w:rsidRPr="009824AD">
        <w:rPr>
          <w:rFonts w:ascii="Helvetica" w:hAnsi="Helvetica" w:cs="Calibri"/>
          <w:color w:val="000000" w:themeColor="text1"/>
          <w:lang w:val="en-US"/>
        </w:rPr>
        <w:t xml:space="preserve"> cohort using a propensity score matched analysis. </w:t>
      </w:r>
    </w:p>
    <w:p w14:paraId="09ADA851" w14:textId="7C6B6B66" w:rsidR="00256842" w:rsidRPr="009824AD" w:rsidRDefault="006C4EBD" w:rsidP="00256842">
      <w:pPr>
        <w:pStyle w:val="Geenafstand"/>
        <w:spacing w:line="480" w:lineRule="auto"/>
        <w:jc w:val="both"/>
        <w:rPr>
          <w:rFonts w:ascii="Helvetica" w:hAnsi="Helvetica" w:cs="Calibri"/>
          <w:color w:val="000000" w:themeColor="text1"/>
          <w:lang w:val="en-US"/>
        </w:rPr>
      </w:pPr>
      <w:r w:rsidRPr="009824AD">
        <w:rPr>
          <w:rFonts w:ascii="Helvetica" w:hAnsi="Helvetica" w:cs="Calibri"/>
          <w:b/>
          <w:bCs/>
          <w:color w:val="000000" w:themeColor="text1"/>
          <w:lang w:val="en-US"/>
        </w:rPr>
        <w:t xml:space="preserve">Study Design </w:t>
      </w:r>
      <w:r w:rsidR="00256842" w:rsidRPr="009824AD">
        <w:rPr>
          <w:rFonts w:ascii="Helvetica" w:hAnsi="Helvetica" w:cs="Calibri"/>
          <w:color w:val="000000" w:themeColor="text1"/>
          <w:lang w:val="en-US"/>
        </w:rPr>
        <w:t xml:space="preserve">Patients undergoing LLR or OLR for all indications between January 2000 and October 2019 were </w:t>
      </w:r>
      <w:r w:rsidR="00A32A02" w:rsidRPr="009824AD">
        <w:rPr>
          <w:rFonts w:ascii="Helvetica" w:hAnsi="Helvetica" w:cs="Calibri"/>
          <w:color w:val="000000" w:themeColor="text1"/>
          <w:lang w:val="en-US"/>
        </w:rPr>
        <w:t xml:space="preserve">retrospectively </w:t>
      </w:r>
      <w:r w:rsidR="00256842" w:rsidRPr="009824AD">
        <w:rPr>
          <w:rFonts w:ascii="Helvetica" w:hAnsi="Helvetica" w:cs="Calibri"/>
          <w:color w:val="000000" w:themeColor="text1"/>
          <w:lang w:val="en-US"/>
        </w:rPr>
        <w:t>analyzed using a large, international multi</w:t>
      </w:r>
      <w:r w:rsidR="000B7DA3" w:rsidRPr="009824AD">
        <w:rPr>
          <w:rFonts w:ascii="Helvetica" w:hAnsi="Helvetica" w:cs="Calibri"/>
          <w:color w:val="000000" w:themeColor="text1"/>
          <w:lang w:val="en-US"/>
        </w:rPr>
        <w:t>center</w:t>
      </w:r>
      <w:r w:rsidR="00256842" w:rsidRPr="009824AD">
        <w:rPr>
          <w:rFonts w:ascii="Helvetica" w:hAnsi="Helvetica" w:cs="Calibri"/>
          <w:color w:val="000000" w:themeColor="text1"/>
          <w:lang w:val="en-US"/>
        </w:rPr>
        <w:t xml:space="preserve"> liver database including data from 15 tertiary referral </w:t>
      </w:r>
      <w:r w:rsidR="000B7DA3" w:rsidRPr="009824AD">
        <w:rPr>
          <w:rFonts w:ascii="Helvetica" w:hAnsi="Helvetica" w:cs="Calibri"/>
          <w:color w:val="000000" w:themeColor="text1"/>
          <w:lang w:val="en-US"/>
        </w:rPr>
        <w:t>center</w:t>
      </w:r>
      <w:r w:rsidR="00256842" w:rsidRPr="009824AD">
        <w:rPr>
          <w:rFonts w:ascii="Helvetica" w:hAnsi="Helvetica" w:cs="Calibri"/>
          <w:color w:val="000000" w:themeColor="text1"/>
          <w:lang w:val="en-US"/>
        </w:rPr>
        <w:t xml:space="preserve">s. Primary outcome was clinically relevant POBL (CR-POBL), defined as Grade B/C POBL. </w:t>
      </w:r>
    </w:p>
    <w:p w14:paraId="661EDF46" w14:textId="74BED200" w:rsidR="00256842" w:rsidRPr="009824AD" w:rsidRDefault="00256842" w:rsidP="00A32A02">
      <w:pPr>
        <w:pStyle w:val="Geenafstand"/>
        <w:spacing w:line="480" w:lineRule="auto"/>
        <w:jc w:val="both"/>
        <w:rPr>
          <w:rFonts w:ascii="Helvetica" w:hAnsi="Helvetica" w:cs="Calibri"/>
          <w:color w:val="000000" w:themeColor="text1"/>
          <w:lang w:val="en-US"/>
        </w:rPr>
      </w:pPr>
      <w:r w:rsidRPr="009824AD">
        <w:rPr>
          <w:rFonts w:ascii="Helvetica" w:hAnsi="Helvetica" w:cs="Calibri"/>
          <w:b/>
          <w:bCs/>
          <w:color w:val="000000" w:themeColor="text1"/>
          <w:lang w:val="en-US"/>
        </w:rPr>
        <w:t>Results</w:t>
      </w:r>
      <w:r w:rsidRPr="009824AD">
        <w:rPr>
          <w:rFonts w:ascii="Helvetica" w:hAnsi="Helvetica" w:cs="Calibri"/>
          <w:color w:val="000000" w:themeColor="text1"/>
          <w:lang w:val="en-US"/>
        </w:rPr>
        <w:t xml:space="preserve"> Overall, </w:t>
      </w:r>
      <w:r w:rsidRPr="009824AD">
        <w:rPr>
          <w:rFonts w:ascii="Helvetica" w:hAnsi="Helvetica" w:cs="Calibri"/>
          <w:color w:val="000000" w:themeColor="text1"/>
          <w:shd w:val="clear" w:color="auto" w:fill="FFFFFF"/>
          <w:lang w:val="en-US"/>
        </w:rPr>
        <w:t xml:space="preserve">13,379 </w:t>
      </w:r>
      <w:r w:rsidRPr="009824AD">
        <w:rPr>
          <w:rFonts w:ascii="Helvetica" w:hAnsi="Helvetica" w:cs="Calibri"/>
          <w:color w:val="000000" w:themeColor="text1"/>
          <w:lang w:val="en-US"/>
        </w:rPr>
        <w:t>patients met the inclusion criteria and were included in the analysis (6,369 LLR and 7,010 OLR), with 6.0</w:t>
      </w:r>
      <w:r w:rsidR="000B7DA3" w:rsidRPr="009824AD">
        <w:rPr>
          <w:rFonts w:ascii="Helvetica" w:hAnsi="Helvetica" w:cs="Calibri"/>
          <w:color w:val="000000" w:themeColor="text1"/>
          <w:lang w:val="en-US"/>
        </w:rPr>
        <w:t>%</w:t>
      </w:r>
      <w:r w:rsidRPr="009824AD">
        <w:rPr>
          <w:rFonts w:ascii="Helvetica" w:hAnsi="Helvetica" w:cs="Calibri"/>
          <w:color w:val="000000" w:themeColor="text1"/>
          <w:lang w:val="en-US"/>
        </w:rPr>
        <w:t xml:space="preserve"> POBL. After PSM, a total of 3,563 LLR patients were matched to 3,563 OLR patients</w:t>
      </w:r>
      <w:r w:rsidR="00F32683">
        <w:rPr>
          <w:rFonts w:ascii="Helvetica" w:hAnsi="Helvetica" w:cs="Calibri"/>
          <w:color w:val="000000" w:themeColor="text1"/>
          <w:lang w:val="en-US"/>
        </w:rPr>
        <w:t>. In both groups, PSM accounted for</w:t>
      </w:r>
      <w:r w:rsidR="00F32683">
        <w:rPr>
          <w:rFonts w:ascii="Helvetica" w:hAnsi="Helvetica" w:cs="Calibri"/>
          <w:lang w:val="en-US"/>
        </w:rPr>
        <w:t xml:space="preserve"> similar extent and types of resections</w:t>
      </w:r>
      <w:r w:rsidRPr="009824AD">
        <w:rPr>
          <w:rFonts w:ascii="Helvetica" w:hAnsi="Helvetica" w:cs="Calibri"/>
          <w:color w:val="000000" w:themeColor="text1"/>
          <w:lang w:val="en-US"/>
        </w:rPr>
        <w:t>. The incidence of CR-POBL was significantly lower in patients after LLR as compared to patients after OLR (2.6</w:t>
      </w:r>
      <w:r w:rsidR="000B7DA3" w:rsidRPr="009824AD">
        <w:rPr>
          <w:rFonts w:ascii="Helvetica" w:hAnsi="Helvetica" w:cs="Calibri"/>
          <w:color w:val="000000" w:themeColor="text1"/>
          <w:lang w:val="en-US"/>
        </w:rPr>
        <w:t>%</w:t>
      </w:r>
      <w:r w:rsidRPr="009824AD">
        <w:rPr>
          <w:rFonts w:ascii="Helvetica" w:hAnsi="Helvetica" w:cs="Calibri"/>
          <w:color w:val="000000" w:themeColor="text1"/>
          <w:lang w:val="en-US"/>
        </w:rPr>
        <w:t xml:space="preserve"> vs. 6.</w:t>
      </w:r>
      <w:r w:rsidR="000B7DA3" w:rsidRPr="009824AD">
        <w:rPr>
          <w:rFonts w:ascii="Helvetica" w:hAnsi="Helvetica" w:cs="Calibri"/>
          <w:color w:val="000000" w:themeColor="text1"/>
          <w:lang w:val="en-US"/>
        </w:rPr>
        <w:t>0%</w:t>
      </w:r>
      <w:r w:rsidRPr="009824AD">
        <w:rPr>
          <w:rFonts w:ascii="Helvetica" w:hAnsi="Helvetica" w:cs="Calibri"/>
          <w:color w:val="000000" w:themeColor="text1"/>
          <w:lang w:val="en-US"/>
        </w:rPr>
        <w:t xml:space="preserve">; </w:t>
      </w:r>
      <w:r w:rsidRPr="009824AD">
        <w:rPr>
          <w:rFonts w:ascii="Helvetica" w:hAnsi="Helvetica" w:cs="Calibri"/>
          <w:i/>
          <w:iCs/>
          <w:color w:val="000000" w:themeColor="text1"/>
          <w:lang w:val="en-US"/>
        </w:rPr>
        <w:t>P</w:t>
      </w:r>
      <w:r w:rsidRPr="009824AD">
        <w:rPr>
          <w:rFonts w:ascii="Helvetica" w:hAnsi="Helvetica" w:cs="Calibri"/>
          <w:color w:val="000000" w:themeColor="text1"/>
          <w:lang w:val="en-US"/>
        </w:rPr>
        <w:t>&lt;0.001). Among the subgroup of patients with CR-POBL, patients after LLR experienced less severe (non-POBL) postoperative complications (10.1</w:t>
      </w:r>
      <w:r w:rsidR="000B7DA3" w:rsidRPr="009824AD">
        <w:rPr>
          <w:rFonts w:ascii="Helvetica" w:hAnsi="Helvetica" w:cs="Calibri"/>
          <w:color w:val="000000" w:themeColor="text1"/>
          <w:lang w:val="en-US"/>
        </w:rPr>
        <w:t>%</w:t>
      </w:r>
      <w:r w:rsidR="004951C2" w:rsidRPr="009824AD">
        <w:rPr>
          <w:rFonts w:ascii="Helvetica" w:hAnsi="Helvetica" w:cs="Calibri"/>
          <w:color w:val="000000" w:themeColor="text1"/>
          <w:lang w:val="en-US"/>
        </w:rPr>
        <w:t xml:space="preserve"> </w:t>
      </w:r>
      <w:r w:rsidRPr="009824AD">
        <w:rPr>
          <w:rFonts w:ascii="Helvetica" w:hAnsi="Helvetica" w:cs="Calibri"/>
          <w:color w:val="000000" w:themeColor="text1"/>
          <w:lang w:val="en-US"/>
        </w:rPr>
        <w:t>vs. 20.9</w:t>
      </w:r>
      <w:r w:rsidR="000B7DA3" w:rsidRPr="009824AD">
        <w:rPr>
          <w:rFonts w:ascii="Helvetica" w:hAnsi="Helvetica" w:cs="Calibri"/>
          <w:color w:val="000000" w:themeColor="text1"/>
          <w:lang w:val="en-US"/>
        </w:rPr>
        <w:t>%</w:t>
      </w:r>
      <w:r w:rsidRPr="009824AD">
        <w:rPr>
          <w:rFonts w:ascii="Helvetica" w:hAnsi="Helvetica" w:cs="Calibri"/>
          <w:color w:val="000000" w:themeColor="text1"/>
          <w:lang w:val="en-US"/>
        </w:rPr>
        <w:t xml:space="preserve">; </w:t>
      </w:r>
      <w:r w:rsidRPr="009824AD">
        <w:rPr>
          <w:rFonts w:ascii="Helvetica" w:hAnsi="Helvetica" w:cs="Calibri"/>
          <w:i/>
          <w:iCs/>
          <w:color w:val="000000" w:themeColor="text1"/>
          <w:lang w:val="en-US"/>
        </w:rPr>
        <w:t>P</w:t>
      </w:r>
      <w:r w:rsidRPr="009824AD">
        <w:rPr>
          <w:rFonts w:ascii="Helvetica" w:hAnsi="Helvetica" w:cs="Calibri"/>
          <w:color w:val="000000" w:themeColor="text1"/>
          <w:lang w:val="en-US"/>
        </w:rPr>
        <w:t xml:space="preserve">=0.028), a shorter hospital stay (12.5 vs. 17 days; </w:t>
      </w:r>
      <w:r w:rsidRPr="009824AD">
        <w:rPr>
          <w:rFonts w:ascii="Helvetica" w:hAnsi="Helvetica" w:cs="Calibri"/>
          <w:i/>
          <w:iCs/>
          <w:color w:val="000000" w:themeColor="text1"/>
          <w:lang w:val="en-US"/>
        </w:rPr>
        <w:t>P</w:t>
      </w:r>
      <w:r w:rsidRPr="009824AD">
        <w:rPr>
          <w:rFonts w:ascii="Helvetica" w:hAnsi="Helvetica" w:cs="Calibri"/>
          <w:color w:val="000000" w:themeColor="text1"/>
          <w:lang w:val="en-US"/>
        </w:rPr>
        <w:t>=0.001), and a lower 90-day/in-hospital mortality (0</w:t>
      </w:r>
      <w:r w:rsidR="000B7DA3" w:rsidRPr="009824AD">
        <w:rPr>
          <w:rFonts w:ascii="Helvetica" w:hAnsi="Helvetica" w:cs="Calibri"/>
          <w:color w:val="000000" w:themeColor="text1"/>
          <w:lang w:val="en-US"/>
        </w:rPr>
        <w:t>%</w:t>
      </w:r>
      <w:r w:rsidRPr="009824AD">
        <w:rPr>
          <w:rFonts w:ascii="Helvetica" w:hAnsi="Helvetica" w:cs="Calibri"/>
          <w:color w:val="000000" w:themeColor="text1"/>
          <w:lang w:val="en-US"/>
        </w:rPr>
        <w:t xml:space="preserve"> vs. 5.4</w:t>
      </w:r>
      <w:r w:rsidR="000B7DA3" w:rsidRPr="009824AD">
        <w:rPr>
          <w:rFonts w:ascii="Helvetica" w:hAnsi="Helvetica" w:cs="Calibri"/>
          <w:color w:val="000000" w:themeColor="text1"/>
          <w:lang w:val="en-US"/>
        </w:rPr>
        <w:t>%</w:t>
      </w:r>
      <w:r w:rsidRPr="009824AD">
        <w:rPr>
          <w:rFonts w:ascii="Helvetica" w:hAnsi="Helvetica" w:cs="Calibri"/>
          <w:color w:val="000000" w:themeColor="text1"/>
          <w:lang w:val="en-US"/>
        </w:rPr>
        <w:t xml:space="preserve">; </w:t>
      </w:r>
      <w:r w:rsidRPr="009824AD">
        <w:rPr>
          <w:rFonts w:ascii="Helvetica" w:hAnsi="Helvetica" w:cs="Calibri"/>
          <w:i/>
          <w:iCs/>
          <w:color w:val="000000" w:themeColor="text1"/>
          <w:lang w:val="en-US"/>
        </w:rPr>
        <w:t>P</w:t>
      </w:r>
      <w:r w:rsidRPr="009824AD">
        <w:rPr>
          <w:rFonts w:ascii="Helvetica" w:hAnsi="Helvetica" w:cs="Calibri"/>
          <w:color w:val="000000" w:themeColor="text1"/>
          <w:lang w:val="en-US"/>
        </w:rPr>
        <w:t xml:space="preserve">=0.027) as compared to patients after OLR with CR-POBL. </w:t>
      </w:r>
    </w:p>
    <w:p w14:paraId="06474ECB" w14:textId="2B9B5A76" w:rsidR="00A32A02" w:rsidRPr="009824AD" w:rsidRDefault="00256842" w:rsidP="00002C7D">
      <w:pPr>
        <w:spacing w:line="480" w:lineRule="auto"/>
        <w:jc w:val="both"/>
        <w:rPr>
          <w:rFonts w:ascii="Helvetica" w:eastAsia="Times New Roman" w:hAnsi="Helvetica" w:cs="Calibri"/>
          <w:sz w:val="22"/>
          <w:szCs w:val="22"/>
          <w:lang w:val="en-US" w:eastAsia="nl-NL"/>
        </w:rPr>
      </w:pPr>
      <w:r w:rsidRPr="009824AD">
        <w:rPr>
          <w:rFonts w:ascii="Helvetica" w:hAnsi="Helvetica" w:cs="Calibri"/>
          <w:b/>
          <w:bCs/>
          <w:color w:val="000000" w:themeColor="text1"/>
          <w:sz w:val="22"/>
          <w:szCs w:val="22"/>
          <w:lang w:val="en-US"/>
        </w:rPr>
        <w:t>Conclusion</w:t>
      </w:r>
      <w:r w:rsidRPr="009824AD">
        <w:rPr>
          <w:rFonts w:ascii="Helvetica" w:hAnsi="Helvetica" w:cs="Calibri"/>
          <w:color w:val="000000" w:themeColor="text1"/>
          <w:sz w:val="22"/>
          <w:szCs w:val="22"/>
          <w:lang w:val="en-US"/>
        </w:rPr>
        <w:t xml:space="preserve"> </w:t>
      </w:r>
      <w:r w:rsidR="00A32A02" w:rsidRPr="009824AD">
        <w:rPr>
          <w:rFonts w:ascii="Helvetica" w:hAnsi="Helvetica" w:cs="Calibri"/>
          <w:color w:val="000000" w:themeColor="text1"/>
          <w:sz w:val="22"/>
          <w:szCs w:val="22"/>
          <w:lang w:val="en-US"/>
        </w:rPr>
        <w:t xml:space="preserve">Patients after </w:t>
      </w:r>
      <w:r w:rsidRPr="009824AD">
        <w:rPr>
          <w:rFonts w:ascii="Helvetica" w:eastAsia="Times New Roman" w:hAnsi="Helvetica" w:cs="Calibri"/>
          <w:color w:val="000000" w:themeColor="text1"/>
          <w:sz w:val="22"/>
          <w:szCs w:val="22"/>
          <w:lang w:val="en-US" w:eastAsia="nl-NL"/>
        </w:rPr>
        <w:t xml:space="preserve">LLR </w:t>
      </w:r>
      <w:r w:rsidR="00E711EE" w:rsidRPr="009824AD">
        <w:rPr>
          <w:rFonts w:ascii="Helvetica" w:eastAsia="Times New Roman" w:hAnsi="Helvetica" w:cs="Calibri"/>
          <w:color w:val="000000" w:themeColor="text1"/>
          <w:sz w:val="22"/>
          <w:szCs w:val="22"/>
          <w:lang w:val="en-US" w:eastAsia="nl-NL"/>
        </w:rPr>
        <w:t>seem to</w:t>
      </w:r>
      <w:r w:rsidR="00A32A02" w:rsidRPr="009824AD">
        <w:rPr>
          <w:rFonts w:ascii="Helvetica" w:eastAsia="Times New Roman" w:hAnsi="Helvetica" w:cs="Calibri"/>
          <w:color w:val="000000" w:themeColor="text1"/>
          <w:sz w:val="22"/>
          <w:szCs w:val="22"/>
          <w:lang w:val="en-US" w:eastAsia="nl-NL"/>
        </w:rPr>
        <w:t xml:space="preserve"> experience a lower rate of </w:t>
      </w:r>
      <w:r w:rsidRPr="009824AD">
        <w:rPr>
          <w:rFonts w:ascii="Helvetica" w:eastAsia="Times New Roman" w:hAnsi="Helvetica" w:cs="Calibri"/>
          <w:color w:val="000000" w:themeColor="text1"/>
          <w:sz w:val="22"/>
          <w:szCs w:val="22"/>
          <w:lang w:val="en-US" w:eastAsia="nl-NL"/>
        </w:rPr>
        <w:t xml:space="preserve">CR-POBL as compared to the open approach. Our findings </w:t>
      </w:r>
      <w:r w:rsidR="00A32A02" w:rsidRPr="009824AD">
        <w:rPr>
          <w:rFonts w:ascii="Helvetica" w:eastAsia="Times New Roman" w:hAnsi="Helvetica" w:cs="Calibri"/>
          <w:color w:val="000000" w:themeColor="text1"/>
          <w:sz w:val="22"/>
          <w:szCs w:val="22"/>
          <w:lang w:val="en-US" w:eastAsia="nl-NL"/>
        </w:rPr>
        <w:t xml:space="preserve">suggest </w:t>
      </w:r>
      <w:r w:rsidRPr="009824AD">
        <w:rPr>
          <w:rFonts w:ascii="Helvetica" w:eastAsia="Times New Roman" w:hAnsi="Helvetica" w:cs="Calibri"/>
          <w:color w:val="000000" w:themeColor="text1"/>
          <w:sz w:val="22"/>
          <w:szCs w:val="22"/>
          <w:lang w:val="en-US" w:eastAsia="nl-NL"/>
        </w:rPr>
        <w:t xml:space="preserve">that in patients </w:t>
      </w:r>
      <w:r w:rsidR="00E711EE" w:rsidRPr="009824AD">
        <w:rPr>
          <w:rFonts w:ascii="Helvetica" w:eastAsia="Times New Roman" w:hAnsi="Helvetica" w:cs="Calibri"/>
          <w:color w:val="000000" w:themeColor="text1"/>
          <w:sz w:val="22"/>
          <w:szCs w:val="22"/>
          <w:lang w:val="en-US" w:eastAsia="nl-NL"/>
        </w:rPr>
        <w:t xml:space="preserve">after LLR, the clinical impact of </w:t>
      </w:r>
      <w:r w:rsidRPr="009824AD">
        <w:rPr>
          <w:rFonts w:ascii="Helvetica" w:eastAsia="Times New Roman" w:hAnsi="Helvetica" w:cs="Calibri"/>
          <w:color w:val="000000" w:themeColor="text1"/>
          <w:sz w:val="22"/>
          <w:szCs w:val="22"/>
          <w:lang w:val="en-US" w:eastAsia="nl-NL"/>
        </w:rPr>
        <w:t>CR-POBL</w:t>
      </w:r>
      <w:r w:rsidR="00E711EE" w:rsidRPr="009824AD">
        <w:rPr>
          <w:rFonts w:ascii="Helvetica" w:eastAsia="Times New Roman" w:hAnsi="Helvetica" w:cs="Calibri"/>
          <w:color w:val="000000" w:themeColor="text1"/>
          <w:sz w:val="22"/>
          <w:szCs w:val="22"/>
          <w:lang w:val="en-US" w:eastAsia="nl-NL"/>
        </w:rPr>
        <w:t xml:space="preserve"> is </w:t>
      </w:r>
      <w:r w:rsidRPr="009824AD">
        <w:rPr>
          <w:rFonts w:ascii="Helvetica" w:eastAsia="Times New Roman" w:hAnsi="Helvetica" w:cs="Calibri"/>
          <w:color w:val="000000" w:themeColor="text1"/>
          <w:sz w:val="22"/>
          <w:szCs w:val="22"/>
          <w:lang w:val="en-US" w:eastAsia="nl-NL"/>
        </w:rPr>
        <w:t xml:space="preserve">less </w:t>
      </w:r>
      <w:r w:rsidR="00E711EE" w:rsidRPr="009824AD">
        <w:rPr>
          <w:rFonts w:ascii="Helvetica" w:eastAsia="Times New Roman" w:hAnsi="Helvetica" w:cs="Calibri"/>
          <w:color w:val="000000" w:themeColor="text1"/>
          <w:sz w:val="22"/>
          <w:szCs w:val="22"/>
          <w:lang w:val="en-US" w:eastAsia="nl-NL"/>
        </w:rPr>
        <w:t>than</w:t>
      </w:r>
      <w:r w:rsidRPr="009824AD">
        <w:rPr>
          <w:rFonts w:ascii="Helvetica" w:eastAsia="Times New Roman" w:hAnsi="Helvetica" w:cs="Calibri"/>
          <w:color w:val="000000" w:themeColor="text1"/>
          <w:sz w:val="22"/>
          <w:szCs w:val="22"/>
          <w:lang w:val="en-US" w:eastAsia="nl-NL"/>
        </w:rPr>
        <w:t xml:space="preserve"> after OLR.</w:t>
      </w:r>
      <w:r w:rsidR="00A32A02" w:rsidRPr="009824AD">
        <w:rPr>
          <w:rFonts w:ascii="Helvetica" w:eastAsia="Times New Roman" w:hAnsi="Helvetica" w:cs="Calibri"/>
          <w:color w:val="000000" w:themeColor="text1"/>
          <w:sz w:val="22"/>
          <w:szCs w:val="22"/>
          <w:lang w:val="en-US" w:eastAsia="nl-NL"/>
        </w:rPr>
        <w:t xml:space="preserve"> </w:t>
      </w:r>
    </w:p>
    <w:p w14:paraId="6A994906" w14:textId="15935E0C" w:rsidR="006C4EBD" w:rsidRPr="009824AD" w:rsidRDefault="006C4EBD" w:rsidP="00256842">
      <w:pPr>
        <w:autoSpaceDE w:val="0"/>
        <w:autoSpaceDN w:val="0"/>
        <w:adjustRightInd w:val="0"/>
        <w:spacing w:line="480" w:lineRule="auto"/>
        <w:jc w:val="both"/>
        <w:rPr>
          <w:rFonts w:ascii="Helvetica" w:eastAsia="Times New Roman" w:hAnsi="Helvetica" w:cs="Calibri"/>
          <w:color w:val="000000" w:themeColor="text1"/>
          <w:sz w:val="22"/>
          <w:szCs w:val="22"/>
          <w:lang w:val="en-US" w:eastAsia="nl-NL"/>
        </w:rPr>
      </w:pPr>
    </w:p>
    <w:p w14:paraId="2EDB92AA" w14:textId="77777777" w:rsidR="006C4EBD" w:rsidRPr="009824AD" w:rsidRDefault="006C4EBD" w:rsidP="00256842">
      <w:pPr>
        <w:autoSpaceDE w:val="0"/>
        <w:autoSpaceDN w:val="0"/>
        <w:adjustRightInd w:val="0"/>
        <w:spacing w:line="480" w:lineRule="auto"/>
        <w:jc w:val="both"/>
        <w:rPr>
          <w:rFonts w:ascii="Helvetica" w:eastAsia="Times New Roman" w:hAnsi="Helvetica" w:cs="Calibri"/>
          <w:b/>
          <w:bCs/>
          <w:color w:val="000000" w:themeColor="text1"/>
          <w:sz w:val="22"/>
          <w:szCs w:val="22"/>
          <w:lang w:val="en-US" w:eastAsia="nl-NL"/>
        </w:rPr>
      </w:pPr>
    </w:p>
    <w:p w14:paraId="795E2199" w14:textId="77777777" w:rsidR="006C4EBD" w:rsidRPr="009824AD" w:rsidRDefault="006C4EBD" w:rsidP="00256842">
      <w:pPr>
        <w:autoSpaceDE w:val="0"/>
        <w:autoSpaceDN w:val="0"/>
        <w:adjustRightInd w:val="0"/>
        <w:spacing w:line="480" w:lineRule="auto"/>
        <w:jc w:val="both"/>
        <w:rPr>
          <w:rFonts w:ascii="Helvetica" w:eastAsia="Times New Roman" w:hAnsi="Helvetica" w:cs="Calibri"/>
          <w:b/>
          <w:bCs/>
          <w:color w:val="000000" w:themeColor="text1"/>
          <w:sz w:val="22"/>
          <w:szCs w:val="22"/>
          <w:lang w:val="en-US" w:eastAsia="nl-NL"/>
        </w:rPr>
      </w:pPr>
    </w:p>
    <w:p w14:paraId="34EA2FEC" w14:textId="77777777" w:rsidR="006C4EBD" w:rsidRPr="009824AD" w:rsidRDefault="006C4EBD" w:rsidP="00256842">
      <w:pPr>
        <w:autoSpaceDE w:val="0"/>
        <w:autoSpaceDN w:val="0"/>
        <w:adjustRightInd w:val="0"/>
        <w:spacing w:line="480" w:lineRule="auto"/>
        <w:jc w:val="both"/>
        <w:rPr>
          <w:rFonts w:ascii="Helvetica" w:eastAsia="Times New Roman" w:hAnsi="Helvetica" w:cs="Calibri"/>
          <w:b/>
          <w:bCs/>
          <w:color w:val="000000" w:themeColor="text1"/>
          <w:sz w:val="22"/>
          <w:szCs w:val="22"/>
          <w:lang w:val="en-US" w:eastAsia="nl-NL"/>
        </w:rPr>
      </w:pPr>
    </w:p>
    <w:p w14:paraId="244627E1" w14:textId="77777777" w:rsidR="006C4EBD" w:rsidRPr="009824AD" w:rsidRDefault="006C4EBD" w:rsidP="00256842">
      <w:pPr>
        <w:autoSpaceDE w:val="0"/>
        <w:autoSpaceDN w:val="0"/>
        <w:adjustRightInd w:val="0"/>
        <w:spacing w:line="480" w:lineRule="auto"/>
        <w:jc w:val="both"/>
        <w:rPr>
          <w:rFonts w:ascii="Helvetica" w:eastAsia="Times New Roman" w:hAnsi="Helvetica" w:cs="Calibri"/>
          <w:b/>
          <w:bCs/>
          <w:color w:val="000000" w:themeColor="text1"/>
          <w:sz w:val="22"/>
          <w:szCs w:val="22"/>
          <w:lang w:val="en-US" w:eastAsia="nl-NL"/>
        </w:rPr>
      </w:pPr>
    </w:p>
    <w:p w14:paraId="518BB74B" w14:textId="12580EB6" w:rsidR="006C4EBD" w:rsidRPr="009824AD" w:rsidRDefault="006C4EBD" w:rsidP="00256842">
      <w:pPr>
        <w:autoSpaceDE w:val="0"/>
        <w:autoSpaceDN w:val="0"/>
        <w:adjustRightInd w:val="0"/>
        <w:spacing w:line="480" w:lineRule="auto"/>
        <w:jc w:val="both"/>
        <w:rPr>
          <w:rFonts w:ascii="Helvetica" w:eastAsia="Times New Roman" w:hAnsi="Helvetica" w:cs="Calibri"/>
          <w:color w:val="000000" w:themeColor="text1"/>
          <w:sz w:val="22"/>
          <w:szCs w:val="22"/>
          <w:lang w:val="en-US" w:eastAsia="nl-NL"/>
        </w:rPr>
      </w:pPr>
      <w:r w:rsidRPr="009824AD">
        <w:rPr>
          <w:rFonts w:ascii="Helvetica" w:eastAsia="Times New Roman" w:hAnsi="Helvetica" w:cs="Calibri"/>
          <w:b/>
          <w:bCs/>
          <w:color w:val="000000" w:themeColor="text1"/>
          <w:sz w:val="22"/>
          <w:szCs w:val="22"/>
          <w:lang w:val="en-US" w:eastAsia="nl-NL"/>
        </w:rPr>
        <w:lastRenderedPageBreak/>
        <w:t>Keywords:</w:t>
      </w:r>
      <w:r w:rsidRPr="009824AD">
        <w:rPr>
          <w:rFonts w:ascii="Helvetica" w:eastAsia="Times New Roman" w:hAnsi="Helvetica" w:cs="Calibri"/>
          <w:color w:val="000000" w:themeColor="text1"/>
          <w:sz w:val="22"/>
          <w:szCs w:val="22"/>
          <w:lang w:val="en-US" w:eastAsia="nl-NL"/>
        </w:rPr>
        <w:t xml:space="preserve"> liver surgery, </w:t>
      </w:r>
      <w:r w:rsidR="007852C0" w:rsidRPr="009824AD">
        <w:rPr>
          <w:rFonts w:ascii="Helvetica" w:eastAsia="Times New Roman" w:hAnsi="Helvetica" w:cs="Calibri"/>
          <w:color w:val="000000" w:themeColor="text1"/>
          <w:sz w:val="22"/>
          <w:szCs w:val="22"/>
          <w:lang w:val="en-US" w:eastAsia="nl-NL"/>
        </w:rPr>
        <w:t xml:space="preserve">laparoscopic liver surgery, </w:t>
      </w:r>
      <w:r w:rsidRPr="009824AD">
        <w:rPr>
          <w:rFonts w:ascii="Helvetica" w:eastAsia="Times New Roman" w:hAnsi="Helvetica" w:cs="Calibri"/>
          <w:color w:val="000000" w:themeColor="text1"/>
          <w:sz w:val="22"/>
          <w:szCs w:val="22"/>
          <w:lang w:val="en-US" w:eastAsia="nl-NL"/>
        </w:rPr>
        <w:t>minimally invasive liver surgery</w:t>
      </w:r>
      <w:r w:rsidR="007852C0" w:rsidRPr="009824AD">
        <w:rPr>
          <w:rFonts w:ascii="Helvetica" w:eastAsia="Times New Roman" w:hAnsi="Helvetica" w:cs="Calibri"/>
          <w:color w:val="000000" w:themeColor="text1"/>
          <w:sz w:val="22"/>
          <w:szCs w:val="22"/>
          <w:lang w:val="en-US" w:eastAsia="nl-NL"/>
        </w:rPr>
        <w:t>, postoperative bile leakage</w:t>
      </w:r>
    </w:p>
    <w:p w14:paraId="5BFE432E" w14:textId="3274AE1E" w:rsidR="0062438B" w:rsidRPr="009824AD" w:rsidRDefault="0062438B" w:rsidP="00256842">
      <w:pPr>
        <w:autoSpaceDE w:val="0"/>
        <w:autoSpaceDN w:val="0"/>
        <w:adjustRightInd w:val="0"/>
        <w:spacing w:line="480" w:lineRule="auto"/>
        <w:jc w:val="both"/>
        <w:rPr>
          <w:rFonts w:ascii="Helvetica" w:eastAsia="Times New Roman" w:hAnsi="Helvetica" w:cs="Calibri"/>
          <w:color w:val="000000" w:themeColor="text1"/>
          <w:sz w:val="22"/>
          <w:szCs w:val="22"/>
          <w:lang w:val="en-US" w:eastAsia="nl-NL"/>
        </w:rPr>
      </w:pPr>
    </w:p>
    <w:p w14:paraId="4F89B838" w14:textId="4A49CF65" w:rsidR="006C4EBD" w:rsidRPr="009824AD" w:rsidRDefault="006C4EBD" w:rsidP="00002C7D">
      <w:pPr>
        <w:spacing w:line="360" w:lineRule="auto"/>
        <w:rPr>
          <w:rFonts w:ascii="Helvetica" w:eastAsia="Times New Roman" w:hAnsi="Helvetica" w:cs="Times New Roman"/>
          <w:b/>
          <w:bCs/>
          <w:sz w:val="22"/>
          <w:szCs w:val="22"/>
          <w:lang w:val="en-US" w:eastAsia="nl-NL"/>
        </w:rPr>
      </w:pPr>
      <w:r w:rsidRPr="009824AD">
        <w:rPr>
          <w:rFonts w:ascii="Helvetica" w:eastAsia="Times New Roman" w:hAnsi="Helvetica" w:cs="Times New Roman"/>
          <w:b/>
          <w:bCs/>
          <w:sz w:val="22"/>
          <w:szCs w:val="22"/>
          <w:lang w:val="en-US" w:eastAsia="nl-NL"/>
        </w:rPr>
        <w:t>Abbreviations and Acronyms:</w:t>
      </w:r>
    </w:p>
    <w:p w14:paraId="56CC5C16" w14:textId="105ADBF8" w:rsidR="006C4EBD" w:rsidRPr="009824AD" w:rsidRDefault="006C4EBD" w:rsidP="00002C7D">
      <w:pPr>
        <w:autoSpaceDE w:val="0"/>
        <w:autoSpaceDN w:val="0"/>
        <w:adjustRightInd w:val="0"/>
        <w:spacing w:line="360" w:lineRule="auto"/>
        <w:jc w:val="both"/>
        <w:rPr>
          <w:rFonts w:ascii="Helvetica" w:eastAsia="Times New Roman" w:hAnsi="Helvetica" w:cs="Calibri"/>
          <w:color w:val="000000" w:themeColor="text1"/>
          <w:sz w:val="22"/>
          <w:szCs w:val="22"/>
          <w:lang w:val="en-US" w:eastAsia="nl-NL"/>
        </w:rPr>
      </w:pPr>
      <w:r w:rsidRPr="009824AD">
        <w:rPr>
          <w:rFonts w:ascii="Helvetica" w:eastAsia="Times New Roman" w:hAnsi="Helvetica" w:cs="Calibri"/>
          <w:color w:val="000000" w:themeColor="text1"/>
          <w:sz w:val="22"/>
          <w:szCs w:val="22"/>
          <w:lang w:val="en-US" w:eastAsia="nl-NL"/>
        </w:rPr>
        <w:t xml:space="preserve">LLR </w:t>
      </w:r>
      <w:r w:rsidR="007852C0" w:rsidRPr="009824AD">
        <w:rPr>
          <w:rFonts w:ascii="Helvetica" w:eastAsia="Times New Roman" w:hAnsi="Helvetica" w:cs="Calibri"/>
          <w:color w:val="000000" w:themeColor="text1"/>
          <w:sz w:val="22"/>
          <w:szCs w:val="22"/>
          <w:lang w:val="en-US" w:eastAsia="nl-NL"/>
        </w:rPr>
        <w:tab/>
      </w:r>
      <w:r w:rsidR="007852C0" w:rsidRPr="009824AD">
        <w:rPr>
          <w:rFonts w:ascii="Helvetica" w:eastAsia="Times New Roman" w:hAnsi="Helvetica" w:cs="Calibri"/>
          <w:color w:val="000000" w:themeColor="text1"/>
          <w:sz w:val="22"/>
          <w:szCs w:val="22"/>
          <w:lang w:val="en-US" w:eastAsia="nl-NL"/>
        </w:rPr>
        <w:tab/>
      </w:r>
      <w:r w:rsidRPr="009824AD">
        <w:rPr>
          <w:rFonts w:ascii="Helvetica" w:eastAsia="Times New Roman" w:hAnsi="Helvetica" w:cs="Calibri"/>
          <w:color w:val="000000" w:themeColor="text1"/>
          <w:sz w:val="22"/>
          <w:szCs w:val="22"/>
          <w:lang w:val="en-US" w:eastAsia="nl-NL"/>
        </w:rPr>
        <w:t>= Laparo</w:t>
      </w:r>
      <w:r w:rsidR="007852C0" w:rsidRPr="009824AD">
        <w:rPr>
          <w:rFonts w:ascii="Helvetica" w:eastAsia="Times New Roman" w:hAnsi="Helvetica" w:cs="Calibri"/>
          <w:color w:val="000000" w:themeColor="text1"/>
          <w:sz w:val="22"/>
          <w:szCs w:val="22"/>
          <w:lang w:val="en-US" w:eastAsia="nl-NL"/>
        </w:rPr>
        <w:t>s</w:t>
      </w:r>
      <w:r w:rsidRPr="009824AD">
        <w:rPr>
          <w:rFonts w:ascii="Helvetica" w:eastAsia="Times New Roman" w:hAnsi="Helvetica" w:cs="Calibri"/>
          <w:color w:val="000000" w:themeColor="text1"/>
          <w:sz w:val="22"/>
          <w:szCs w:val="22"/>
          <w:lang w:val="en-US" w:eastAsia="nl-NL"/>
        </w:rPr>
        <w:t>copic liver resection</w:t>
      </w:r>
    </w:p>
    <w:p w14:paraId="7556F39E" w14:textId="08B57A83" w:rsidR="006C4EBD" w:rsidRPr="009824AD" w:rsidRDefault="006C4EBD" w:rsidP="00002C7D">
      <w:pPr>
        <w:autoSpaceDE w:val="0"/>
        <w:autoSpaceDN w:val="0"/>
        <w:adjustRightInd w:val="0"/>
        <w:spacing w:line="360" w:lineRule="auto"/>
        <w:jc w:val="both"/>
        <w:rPr>
          <w:rFonts w:ascii="Helvetica" w:eastAsia="Times New Roman" w:hAnsi="Helvetica" w:cs="Calibri"/>
          <w:color w:val="000000" w:themeColor="text1"/>
          <w:sz w:val="22"/>
          <w:szCs w:val="22"/>
          <w:lang w:val="en-US" w:eastAsia="nl-NL"/>
        </w:rPr>
      </w:pPr>
      <w:r w:rsidRPr="009824AD">
        <w:rPr>
          <w:rFonts w:ascii="Helvetica" w:eastAsia="Times New Roman" w:hAnsi="Helvetica" w:cs="Calibri"/>
          <w:color w:val="000000" w:themeColor="text1"/>
          <w:sz w:val="22"/>
          <w:szCs w:val="22"/>
          <w:lang w:val="en-US" w:eastAsia="nl-NL"/>
        </w:rPr>
        <w:t xml:space="preserve">LOS </w:t>
      </w:r>
      <w:r w:rsidR="007852C0" w:rsidRPr="009824AD">
        <w:rPr>
          <w:rFonts w:ascii="Helvetica" w:eastAsia="Times New Roman" w:hAnsi="Helvetica" w:cs="Calibri"/>
          <w:color w:val="000000" w:themeColor="text1"/>
          <w:sz w:val="22"/>
          <w:szCs w:val="22"/>
          <w:lang w:val="en-US" w:eastAsia="nl-NL"/>
        </w:rPr>
        <w:tab/>
      </w:r>
      <w:r w:rsidR="007852C0" w:rsidRPr="009824AD">
        <w:rPr>
          <w:rFonts w:ascii="Helvetica" w:eastAsia="Times New Roman" w:hAnsi="Helvetica" w:cs="Calibri"/>
          <w:color w:val="000000" w:themeColor="text1"/>
          <w:sz w:val="22"/>
          <w:szCs w:val="22"/>
          <w:lang w:val="en-US" w:eastAsia="nl-NL"/>
        </w:rPr>
        <w:tab/>
      </w:r>
      <w:r w:rsidRPr="009824AD">
        <w:rPr>
          <w:rFonts w:ascii="Helvetica" w:eastAsia="Times New Roman" w:hAnsi="Helvetica" w:cs="Calibri"/>
          <w:color w:val="000000" w:themeColor="text1"/>
          <w:sz w:val="22"/>
          <w:szCs w:val="22"/>
          <w:lang w:val="en-US" w:eastAsia="nl-NL"/>
        </w:rPr>
        <w:t>= Length of hospital stay</w:t>
      </w:r>
    </w:p>
    <w:p w14:paraId="7CDE730E" w14:textId="352996A8" w:rsidR="006C4EBD" w:rsidRPr="009824AD" w:rsidRDefault="006C4EBD" w:rsidP="00002C7D">
      <w:pPr>
        <w:autoSpaceDE w:val="0"/>
        <w:autoSpaceDN w:val="0"/>
        <w:adjustRightInd w:val="0"/>
        <w:spacing w:line="360" w:lineRule="auto"/>
        <w:jc w:val="both"/>
        <w:rPr>
          <w:rFonts w:ascii="Helvetica" w:eastAsia="Times New Roman" w:hAnsi="Helvetica" w:cs="Calibri"/>
          <w:color w:val="000000" w:themeColor="text1"/>
          <w:sz w:val="22"/>
          <w:szCs w:val="22"/>
          <w:lang w:val="en-US" w:eastAsia="nl-NL"/>
        </w:rPr>
      </w:pPr>
      <w:r w:rsidRPr="009824AD">
        <w:rPr>
          <w:rFonts w:ascii="Helvetica" w:eastAsia="Times New Roman" w:hAnsi="Helvetica" w:cs="Calibri"/>
          <w:color w:val="000000" w:themeColor="text1"/>
          <w:sz w:val="22"/>
          <w:szCs w:val="22"/>
          <w:lang w:val="en-US" w:eastAsia="nl-NL"/>
        </w:rPr>
        <w:t xml:space="preserve">OLR </w:t>
      </w:r>
      <w:r w:rsidR="007852C0" w:rsidRPr="009824AD">
        <w:rPr>
          <w:rFonts w:ascii="Helvetica" w:eastAsia="Times New Roman" w:hAnsi="Helvetica" w:cs="Calibri"/>
          <w:color w:val="000000" w:themeColor="text1"/>
          <w:sz w:val="22"/>
          <w:szCs w:val="22"/>
          <w:lang w:val="en-US" w:eastAsia="nl-NL"/>
        </w:rPr>
        <w:tab/>
      </w:r>
      <w:r w:rsidR="007852C0" w:rsidRPr="009824AD">
        <w:rPr>
          <w:rFonts w:ascii="Helvetica" w:eastAsia="Times New Roman" w:hAnsi="Helvetica" w:cs="Calibri"/>
          <w:color w:val="000000" w:themeColor="text1"/>
          <w:sz w:val="22"/>
          <w:szCs w:val="22"/>
          <w:lang w:val="en-US" w:eastAsia="nl-NL"/>
        </w:rPr>
        <w:tab/>
      </w:r>
      <w:r w:rsidRPr="009824AD">
        <w:rPr>
          <w:rFonts w:ascii="Helvetica" w:eastAsia="Times New Roman" w:hAnsi="Helvetica" w:cs="Calibri"/>
          <w:color w:val="000000" w:themeColor="text1"/>
          <w:sz w:val="22"/>
          <w:szCs w:val="22"/>
          <w:lang w:val="en-US" w:eastAsia="nl-NL"/>
        </w:rPr>
        <w:t xml:space="preserve">= </w:t>
      </w:r>
      <w:r w:rsidR="007852C0" w:rsidRPr="009824AD">
        <w:rPr>
          <w:rFonts w:ascii="Helvetica" w:eastAsia="Times New Roman" w:hAnsi="Helvetica" w:cs="Calibri"/>
          <w:color w:val="000000" w:themeColor="text1"/>
          <w:sz w:val="22"/>
          <w:szCs w:val="22"/>
          <w:lang w:val="en-US" w:eastAsia="nl-NL"/>
        </w:rPr>
        <w:t>O</w:t>
      </w:r>
      <w:r w:rsidRPr="009824AD">
        <w:rPr>
          <w:rFonts w:ascii="Helvetica" w:eastAsia="Times New Roman" w:hAnsi="Helvetica" w:cs="Calibri"/>
          <w:color w:val="000000" w:themeColor="text1"/>
          <w:sz w:val="22"/>
          <w:szCs w:val="22"/>
          <w:lang w:val="en-US" w:eastAsia="nl-NL"/>
        </w:rPr>
        <w:t>pen liver resection</w:t>
      </w:r>
    </w:p>
    <w:p w14:paraId="4388A569" w14:textId="1785852C" w:rsidR="006C4EBD" w:rsidRPr="009824AD" w:rsidRDefault="006C4EBD" w:rsidP="00002C7D">
      <w:pPr>
        <w:autoSpaceDE w:val="0"/>
        <w:autoSpaceDN w:val="0"/>
        <w:adjustRightInd w:val="0"/>
        <w:spacing w:line="360" w:lineRule="auto"/>
        <w:jc w:val="both"/>
        <w:rPr>
          <w:rFonts w:ascii="Helvetica" w:hAnsi="Helvetica" w:cs="Calibri"/>
          <w:sz w:val="22"/>
          <w:szCs w:val="22"/>
          <w:lang w:val="en-US"/>
        </w:rPr>
      </w:pPr>
      <w:r w:rsidRPr="009824AD">
        <w:rPr>
          <w:rFonts w:ascii="Helvetica" w:eastAsia="Times New Roman" w:hAnsi="Helvetica" w:cs="Calibri"/>
          <w:color w:val="000000" w:themeColor="text1"/>
          <w:sz w:val="22"/>
          <w:szCs w:val="22"/>
          <w:lang w:val="en-US" w:eastAsia="nl-NL"/>
        </w:rPr>
        <w:t xml:space="preserve">POBL </w:t>
      </w:r>
      <w:r w:rsidR="007852C0" w:rsidRPr="009824AD">
        <w:rPr>
          <w:rFonts w:ascii="Helvetica" w:eastAsia="Times New Roman" w:hAnsi="Helvetica" w:cs="Calibri"/>
          <w:color w:val="000000" w:themeColor="text1"/>
          <w:sz w:val="22"/>
          <w:szCs w:val="22"/>
          <w:lang w:val="en-US" w:eastAsia="nl-NL"/>
        </w:rPr>
        <w:tab/>
      </w:r>
      <w:r w:rsidR="007852C0" w:rsidRPr="009824AD">
        <w:rPr>
          <w:rFonts w:ascii="Helvetica" w:eastAsia="Times New Roman" w:hAnsi="Helvetica" w:cs="Calibri"/>
          <w:color w:val="000000" w:themeColor="text1"/>
          <w:sz w:val="22"/>
          <w:szCs w:val="22"/>
          <w:lang w:val="en-US" w:eastAsia="nl-NL"/>
        </w:rPr>
        <w:tab/>
      </w:r>
      <w:r w:rsidRPr="009824AD">
        <w:rPr>
          <w:rFonts w:ascii="Helvetica" w:eastAsia="Times New Roman" w:hAnsi="Helvetica" w:cs="Calibri"/>
          <w:color w:val="000000" w:themeColor="text1"/>
          <w:sz w:val="22"/>
          <w:szCs w:val="22"/>
          <w:lang w:val="en-US" w:eastAsia="nl-NL"/>
        </w:rPr>
        <w:t xml:space="preserve">= </w:t>
      </w:r>
      <w:r w:rsidRPr="009824AD">
        <w:rPr>
          <w:rFonts w:ascii="Helvetica" w:hAnsi="Helvetica" w:cs="Calibri"/>
          <w:sz w:val="22"/>
          <w:szCs w:val="22"/>
          <w:lang w:val="en-US"/>
        </w:rPr>
        <w:t>Postoperative bile leakage</w:t>
      </w:r>
    </w:p>
    <w:p w14:paraId="330C21EA" w14:textId="7852B02A" w:rsidR="006C4EBD" w:rsidRPr="009824AD" w:rsidRDefault="006C4EBD" w:rsidP="00002C7D">
      <w:pPr>
        <w:autoSpaceDE w:val="0"/>
        <w:autoSpaceDN w:val="0"/>
        <w:adjustRightInd w:val="0"/>
        <w:spacing w:line="360" w:lineRule="auto"/>
        <w:jc w:val="both"/>
        <w:rPr>
          <w:rFonts w:ascii="Helvetica" w:eastAsia="Times New Roman" w:hAnsi="Helvetica" w:cs="Calibri"/>
          <w:color w:val="000000" w:themeColor="text1"/>
          <w:sz w:val="22"/>
          <w:szCs w:val="22"/>
          <w:lang w:val="en-US" w:eastAsia="nl-NL"/>
        </w:rPr>
      </w:pPr>
      <w:r w:rsidRPr="009824AD">
        <w:rPr>
          <w:rFonts w:ascii="Helvetica" w:hAnsi="Helvetica" w:cs="Calibri"/>
          <w:sz w:val="22"/>
          <w:szCs w:val="22"/>
          <w:lang w:val="en-US"/>
        </w:rPr>
        <w:t xml:space="preserve">CR-POBL </w:t>
      </w:r>
      <w:r w:rsidR="007852C0" w:rsidRPr="009824AD">
        <w:rPr>
          <w:rFonts w:ascii="Helvetica" w:hAnsi="Helvetica" w:cs="Calibri"/>
          <w:sz w:val="22"/>
          <w:szCs w:val="22"/>
          <w:lang w:val="en-US"/>
        </w:rPr>
        <w:tab/>
      </w:r>
      <w:r w:rsidRPr="009824AD">
        <w:rPr>
          <w:rFonts w:ascii="Helvetica" w:hAnsi="Helvetica" w:cs="Calibri"/>
          <w:sz w:val="22"/>
          <w:szCs w:val="22"/>
          <w:lang w:val="en-US"/>
        </w:rPr>
        <w:t>= Clinically relevant postoperative bile leakage</w:t>
      </w:r>
    </w:p>
    <w:p w14:paraId="01BDDAD7" w14:textId="2FFD30F9" w:rsidR="006C4EBD" w:rsidRPr="009824AD" w:rsidRDefault="006C4EBD" w:rsidP="00002C7D">
      <w:pPr>
        <w:autoSpaceDE w:val="0"/>
        <w:autoSpaceDN w:val="0"/>
        <w:adjustRightInd w:val="0"/>
        <w:spacing w:line="360" w:lineRule="auto"/>
        <w:jc w:val="both"/>
        <w:rPr>
          <w:rFonts w:ascii="Helvetica" w:hAnsi="Helvetica" w:cs="Calibri"/>
          <w:sz w:val="22"/>
          <w:szCs w:val="22"/>
          <w:lang w:val="en-US"/>
        </w:rPr>
      </w:pPr>
      <w:r w:rsidRPr="009824AD">
        <w:rPr>
          <w:rFonts w:ascii="Helvetica" w:hAnsi="Helvetica" w:cs="Calibri"/>
          <w:sz w:val="22"/>
          <w:szCs w:val="22"/>
          <w:lang w:val="en-US"/>
        </w:rPr>
        <w:t xml:space="preserve">BMI </w:t>
      </w:r>
      <w:r w:rsidR="007852C0" w:rsidRPr="009824AD">
        <w:rPr>
          <w:rFonts w:ascii="Helvetica" w:hAnsi="Helvetica" w:cs="Calibri"/>
          <w:sz w:val="22"/>
          <w:szCs w:val="22"/>
          <w:lang w:val="en-US"/>
        </w:rPr>
        <w:tab/>
      </w:r>
      <w:r w:rsidR="007852C0" w:rsidRPr="009824AD">
        <w:rPr>
          <w:rFonts w:ascii="Helvetica" w:hAnsi="Helvetica" w:cs="Calibri"/>
          <w:sz w:val="22"/>
          <w:szCs w:val="22"/>
          <w:lang w:val="en-US"/>
        </w:rPr>
        <w:tab/>
      </w:r>
      <w:r w:rsidRPr="009824AD">
        <w:rPr>
          <w:rFonts w:ascii="Helvetica" w:hAnsi="Helvetica" w:cs="Calibri"/>
          <w:sz w:val="22"/>
          <w:szCs w:val="22"/>
          <w:lang w:val="en-US"/>
        </w:rPr>
        <w:t xml:space="preserve">= body mass index </w:t>
      </w:r>
    </w:p>
    <w:p w14:paraId="662601F3" w14:textId="55446FC2" w:rsidR="006C4EBD" w:rsidRPr="009824AD" w:rsidRDefault="006C4EBD" w:rsidP="00002C7D">
      <w:pPr>
        <w:autoSpaceDE w:val="0"/>
        <w:autoSpaceDN w:val="0"/>
        <w:adjustRightInd w:val="0"/>
        <w:spacing w:line="360" w:lineRule="auto"/>
        <w:jc w:val="both"/>
        <w:rPr>
          <w:rFonts w:ascii="Helvetica" w:hAnsi="Helvetica" w:cs="Calibri"/>
          <w:sz w:val="22"/>
          <w:szCs w:val="22"/>
          <w:lang w:val="en-US"/>
        </w:rPr>
      </w:pPr>
      <w:r w:rsidRPr="009824AD">
        <w:rPr>
          <w:rFonts w:ascii="Helvetica" w:hAnsi="Helvetica" w:cs="Calibri"/>
          <w:sz w:val="22"/>
          <w:szCs w:val="22"/>
          <w:lang w:val="en-US"/>
        </w:rPr>
        <w:t xml:space="preserve">ASA </w:t>
      </w:r>
      <w:r w:rsidR="007852C0" w:rsidRPr="009824AD">
        <w:rPr>
          <w:rFonts w:ascii="Helvetica" w:hAnsi="Helvetica" w:cs="Calibri"/>
          <w:sz w:val="22"/>
          <w:szCs w:val="22"/>
          <w:lang w:val="en-US"/>
        </w:rPr>
        <w:tab/>
      </w:r>
      <w:r w:rsidR="007852C0" w:rsidRPr="009824AD">
        <w:rPr>
          <w:rFonts w:ascii="Helvetica" w:hAnsi="Helvetica" w:cs="Calibri"/>
          <w:sz w:val="22"/>
          <w:szCs w:val="22"/>
          <w:lang w:val="en-US"/>
        </w:rPr>
        <w:tab/>
      </w:r>
      <w:r w:rsidRPr="009824AD">
        <w:rPr>
          <w:rFonts w:ascii="Helvetica" w:hAnsi="Helvetica" w:cs="Calibri"/>
          <w:sz w:val="22"/>
          <w:szCs w:val="22"/>
          <w:lang w:val="en-US"/>
        </w:rPr>
        <w:t>= American Society of Anesthesiologists</w:t>
      </w:r>
    </w:p>
    <w:p w14:paraId="417F51D3" w14:textId="34CEA924" w:rsidR="006C4EBD" w:rsidRPr="009824AD" w:rsidRDefault="006C4EBD" w:rsidP="00002C7D">
      <w:pPr>
        <w:spacing w:line="360" w:lineRule="auto"/>
        <w:rPr>
          <w:rFonts w:ascii="Helvetica" w:hAnsi="Helvetica"/>
          <w:sz w:val="22"/>
          <w:szCs w:val="22"/>
          <w:lang w:val="en-US"/>
        </w:rPr>
      </w:pPr>
      <w:r w:rsidRPr="009824AD">
        <w:rPr>
          <w:rFonts w:ascii="Helvetica" w:hAnsi="Helvetica" w:cs="Calibri"/>
          <w:sz w:val="22"/>
          <w:szCs w:val="22"/>
          <w:lang w:val="en-US"/>
        </w:rPr>
        <w:t xml:space="preserve">IQR </w:t>
      </w:r>
      <w:r w:rsidR="007852C0" w:rsidRPr="009824AD">
        <w:rPr>
          <w:rFonts w:ascii="Helvetica" w:hAnsi="Helvetica" w:cs="Calibri"/>
          <w:sz w:val="22"/>
          <w:szCs w:val="22"/>
          <w:lang w:val="en-US"/>
        </w:rPr>
        <w:tab/>
      </w:r>
      <w:r w:rsidR="007852C0" w:rsidRPr="009824AD">
        <w:rPr>
          <w:rFonts w:ascii="Helvetica" w:hAnsi="Helvetica" w:cs="Calibri"/>
          <w:sz w:val="22"/>
          <w:szCs w:val="22"/>
          <w:lang w:val="en-US"/>
        </w:rPr>
        <w:tab/>
      </w:r>
      <w:r w:rsidRPr="009824AD">
        <w:rPr>
          <w:rFonts w:ascii="Helvetica" w:hAnsi="Helvetica" w:cs="Calibri"/>
          <w:sz w:val="22"/>
          <w:szCs w:val="22"/>
          <w:lang w:val="en-US"/>
        </w:rPr>
        <w:t xml:space="preserve">= Interquartile range </w:t>
      </w:r>
    </w:p>
    <w:p w14:paraId="4C72E7E3" w14:textId="3F36CFCC" w:rsidR="006C4EBD" w:rsidRPr="009824AD" w:rsidRDefault="006C4EBD" w:rsidP="00002C7D">
      <w:pPr>
        <w:spacing w:line="360" w:lineRule="auto"/>
        <w:rPr>
          <w:rFonts w:ascii="Helvetica" w:hAnsi="Helvetica"/>
          <w:sz w:val="22"/>
          <w:szCs w:val="22"/>
          <w:lang w:val="en-US"/>
        </w:rPr>
      </w:pPr>
      <w:r w:rsidRPr="009824AD">
        <w:rPr>
          <w:rFonts w:ascii="Helvetica" w:hAnsi="Helvetica" w:cs="Calibri"/>
          <w:sz w:val="22"/>
          <w:szCs w:val="22"/>
          <w:lang w:val="en-US"/>
        </w:rPr>
        <w:t>SD</w:t>
      </w:r>
      <w:r w:rsidR="007852C0" w:rsidRPr="009824AD">
        <w:rPr>
          <w:rFonts w:ascii="Helvetica" w:hAnsi="Helvetica" w:cs="Calibri"/>
          <w:sz w:val="22"/>
          <w:szCs w:val="22"/>
          <w:lang w:val="en-US"/>
        </w:rPr>
        <w:t xml:space="preserve"> </w:t>
      </w:r>
      <w:r w:rsidR="007852C0" w:rsidRPr="009824AD">
        <w:rPr>
          <w:rFonts w:ascii="Helvetica" w:hAnsi="Helvetica" w:cs="Calibri"/>
          <w:sz w:val="22"/>
          <w:szCs w:val="22"/>
          <w:lang w:val="en-US"/>
        </w:rPr>
        <w:tab/>
      </w:r>
      <w:r w:rsidR="007852C0" w:rsidRPr="009824AD">
        <w:rPr>
          <w:rFonts w:ascii="Helvetica" w:hAnsi="Helvetica" w:cs="Calibri"/>
          <w:sz w:val="22"/>
          <w:szCs w:val="22"/>
          <w:lang w:val="en-US"/>
        </w:rPr>
        <w:tab/>
      </w:r>
      <w:r w:rsidRPr="009824AD">
        <w:rPr>
          <w:rFonts w:ascii="Helvetica" w:hAnsi="Helvetica" w:cs="Calibri"/>
          <w:sz w:val="22"/>
          <w:szCs w:val="22"/>
          <w:lang w:val="en-US"/>
        </w:rPr>
        <w:t>= Standard deviation</w:t>
      </w:r>
    </w:p>
    <w:p w14:paraId="6F36E04E" w14:textId="431E01CC" w:rsidR="006C4EBD" w:rsidRPr="009824AD" w:rsidRDefault="006C4EBD" w:rsidP="00002C7D">
      <w:pPr>
        <w:spacing w:line="360" w:lineRule="auto"/>
        <w:rPr>
          <w:rFonts w:ascii="Helvetica" w:hAnsi="Helvetica"/>
          <w:sz w:val="22"/>
          <w:szCs w:val="22"/>
          <w:lang w:val="en-US"/>
        </w:rPr>
      </w:pPr>
      <w:r w:rsidRPr="009824AD">
        <w:rPr>
          <w:rFonts w:ascii="Helvetica" w:hAnsi="Helvetica" w:cs="Calibri"/>
          <w:sz w:val="22"/>
          <w:szCs w:val="22"/>
          <w:lang w:val="en-US"/>
        </w:rPr>
        <w:t xml:space="preserve">PSM </w:t>
      </w:r>
      <w:r w:rsidR="007852C0" w:rsidRPr="009824AD">
        <w:rPr>
          <w:rFonts w:ascii="Helvetica" w:hAnsi="Helvetica" w:cs="Calibri"/>
          <w:sz w:val="22"/>
          <w:szCs w:val="22"/>
          <w:lang w:val="en-US"/>
        </w:rPr>
        <w:tab/>
      </w:r>
      <w:r w:rsidR="007852C0" w:rsidRPr="009824AD">
        <w:rPr>
          <w:rFonts w:ascii="Helvetica" w:hAnsi="Helvetica" w:cs="Calibri"/>
          <w:sz w:val="22"/>
          <w:szCs w:val="22"/>
          <w:lang w:val="en-US"/>
        </w:rPr>
        <w:tab/>
      </w:r>
      <w:r w:rsidRPr="009824AD">
        <w:rPr>
          <w:rFonts w:ascii="Helvetica" w:hAnsi="Helvetica" w:cs="Calibri"/>
          <w:sz w:val="22"/>
          <w:szCs w:val="22"/>
          <w:lang w:val="en-US"/>
        </w:rPr>
        <w:t>= Propensity score matching</w:t>
      </w:r>
    </w:p>
    <w:p w14:paraId="2747FF4E" w14:textId="044D2225" w:rsidR="006C4EBD" w:rsidRPr="009824AD" w:rsidRDefault="006C4EBD" w:rsidP="00002C7D">
      <w:pPr>
        <w:spacing w:line="360" w:lineRule="auto"/>
        <w:rPr>
          <w:rFonts w:ascii="Helvetica" w:hAnsi="Helvetica"/>
          <w:sz w:val="22"/>
          <w:szCs w:val="22"/>
          <w:lang w:val="en-US"/>
        </w:rPr>
      </w:pPr>
      <w:r w:rsidRPr="009824AD">
        <w:rPr>
          <w:rFonts w:ascii="Helvetica" w:hAnsi="Helvetica" w:cs="Calibri"/>
          <w:sz w:val="22"/>
          <w:szCs w:val="22"/>
          <w:lang w:val="en-US"/>
        </w:rPr>
        <w:t xml:space="preserve">SMD </w:t>
      </w:r>
      <w:r w:rsidR="007852C0" w:rsidRPr="009824AD">
        <w:rPr>
          <w:rFonts w:ascii="Helvetica" w:hAnsi="Helvetica" w:cs="Calibri"/>
          <w:sz w:val="22"/>
          <w:szCs w:val="22"/>
          <w:lang w:val="en-US"/>
        </w:rPr>
        <w:tab/>
      </w:r>
      <w:r w:rsidR="007852C0" w:rsidRPr="009824AD">
        <w:rPr>
          <w:rFonts w:ascii="Helvetica" w:hAnsi="Helvetica" w:cs="Calibri"/>
          <w:sz w:val="22"/>
          <w:szCs w:val="22"/>
          <w:lang w:val="en-US"/>
        </w:rPr>
        <w:tab/>
      </w:r>
      <w:r w:rsidRPr="009824AD">
        <w:rPr>
          <w:rFonts w:ascii="Helvetica" w:hAnsi="Helvetica" w:cs="Calibri"/>
          <w:sz w:val="22"/>
          <w:szCs w:val="22"/>
          <w:lang w:val="en-US"/>
        </w:rPr>
        <w:t xml:space="preserve">= Standardized mean difference </w:t>
      </w:r>
    </w:p>
    <w:p w14:paraId="23B713CC" w14:textId="0CA63142" w:rsidR="006C4EBD" w:rsidRPr="009824AD" w:rsidRDefault="006C4EBD" w:rsidP="00256842">
      <w:pPr>
        <w:autoSpaceDE w:val="0"/>
        <w:autoSpaceDN w:val="0"/>
        <w:adjustRightInd w:val="0"/>
        <w:spacing w:line="480" w:lineRule="auto"/>
        <w:jc w:val="both"/>
        <w:rPr>
          <w:rFonts w:ascii="Helvetica" w:eastAsia="Times New Roman" w:hAnsi="Helvetica" w:cs="Calibri"/>
          <w:color w:val="000000" w:themeColor="text1"/>
          <w:sz w:val="22"/>
          <w:szCs w:val="22"/>
          <w:lang w:val="en-US" w:eastAsia="nl-NL"/>
        </w:rPr>
      </w:pPr>
    </w:p>
    <w:p w14:paraId="5EBC631A" w14:textId="7C32CA23" w:rsidR="007852C0" w:rsidRPr="009824AD" w:rsidRDefault="007852C0" w:rsidP="00256842">
      <w:pPr>
        <w:autoSpaceDE w:val="0"/>
        <w:autoSpaceDN w:val="0"/>
        <w:adjustRightInd w:val="0"/>
        <w:spacing w:line="480" w:lineRule="auto"/>
        <w:jc w:val="both"/>
        <w:rPr>
          <w:rFonts w:ascii="Helvetica" w:eastAsia="Times New Roman" w:hAnsi="Helvetica" w:cs="Calibri"/>
          <w:color w:val="000000" w:themeColor="text1"/>
          <w:sz w:val="22"/>
          <w:szCs w:val="22"/>
          <w:lang w:val="en-US" w:eastAsia="nl-NL"/>
        </w:rPr>
      </w:pPr>
    </w:p>
    <w:p w14:paraId="43819DEC" w14:textId="5E942E4A" w:rsidR="007852C0" w:rsidRPr="009824AD" w:rsidRDefault="007852C0" w:rsidP="00256842">
      <w:pPr>
        <w:autoSpaceDE w:val="0"/>
        <w:autoSpaceDN w:val="0"/>
        <w:adjustRightInd w:val="0"/>
        <w:spacing w:line="480" w:lineRule="auto"/>
        <w:jc w:val="both"/>
        <w:rPr>
          <w:rFonts w:ascii="Helvetica" w:eastAsia="Times New Roman" w:hAnsi="Helvetica" w:cs="Calibri"/>
          <w:color w:val="000000" w:themeColor="text1"/>
          <w:sz w:val="22"/>
          <w:szCs w:val="22"/>
          <w:lang w:val="en-US" w:eastAsia="nl-NL"/>
        </w:rPr>
      </w:pPr>
    </w:p>
    <w:p w14:paraId="75C0B8A0" w14:textId="7D77D9F7" w:rsidR="007852C0" w:rsidRPr="009824AD" w:rsidRDefault="007852C0" w:rsidP="00256842">
      <w:pPr>
        <w:autoSpaceDE w:val="0"/>
        <w:autoSpaceDN w:val="0"/>
        <w:adjustRightInd w:val="0"/>
        <w:spacing w:line="480" w:lineRule="auto"/>
        <w:jc w:val="both"/>
        <w:rPr>
          <w:rFonts w:ascii="Helvetica" w:eastAsia="Times New Roman" w:hAnsi="Helvetica" w:cs="Calibri"/>
          <w:color w:val="000000" w:themeColor="text1"/>
          <w:sz w:val="22"/>
          <w:szCs w:val="22"/>
          <w:lang w:val="en-US" w:eastAsia="nl-NL"/>
        </w:rPr>
      </w:pPr>
    </w:p>
    <w:p w14:paraId="79F1E511" w14:textId="4FEDC59F" w:rsidR="007852C0" w:rsidRPr="009824AD" w:rsidRDefault="007852C0" w:rsidP="00256842">
      <w:pPr>
        <w:autoSpaceDE w:val="0"/>
        <w:autoSpaceDN w:val="0"/>
        <w:adjustRightInd w:val="0"/>
        <w:spacing w:line="480" w:lineRule="auto"/>
        <w:jc w:val="both"/>
        <w:rPr>
          <w:rFonts w:ascii="Helvetica" w:eastAsia="Times New Roman" w:hAnsi="Helvetica" w:cs="Calibri"/>
          <w:color w:val="000000" w:themeColor="text1"/>
          <w:sz w:val="22"/>
          <w:szCs w:val="22"/>
          <w:lang w:val="en-US" w:eastAsia="nl-NL"/>
        </w:rPr>
      </w:pPr>
    </w:p>
    <w:p w14:paraId="6FC335C2" w14:textId="2EF23AE1" w:rsidR="007852C0" w:rsidRPr="009824AD" w:rsidRDefault="007852C0" w:rsidP="00256842">
      <w:pPr>
        <w:autoSpaceDE w:val="0"/>
        <w:autoSpaceDN w:val="0"/>
        <w:adjustRightInd w:val="0"/>
        <w:spacing w:line="480" w:lineRule="auto"/>
        <w:jc w:val="both"/>
        <w:rPr>
          <w:rFonts w:ascii="Helvetica" w:eastAsia="Times New Roman" w:hAnsi="Helvetica" w:cs="Calibri"/>
          <w:color w:val="000000" w:themeColor="text1"/>
          <w:sz w:val="22"/>
          <w:szCs w:val="22"/>
          <w:lang w:val="en-US" w:eastAsia="nl-NL"/>
        </w:rPr>
      </w:pPr>
    </w:p>
    <w:p w14:paraId="1DC996B1" w14:textId="59A6CCAE" w:rsidR="007852C0" w:rsidRPr="009824AD" w:rsidRDefault="007852C0" w:rsidP="00256842">
      <w:pPr>
        <w:autoSpaceDE w:val="0"/>
        <w:autoSpaceDN w:val="0"/>
        <w:adjustRightInd w:val="0"/>
        <w:spacing w:line="480" w:lineRule="auto"/>
        <w:jc w:val="both"/>
        <w:rPr>
          <w:rFonts w:ascii="Helvetica" w:eastAsia="Times New Roman" w:hAnsi="Helvetica" w:cs="Calibri"/>
          <w:color w:val="000000" w:themeColor="text1"/>
          <w:sz w:val="22"/>
          <w:szCs w:val="22"/>
          <w:lang w:val="en-US" w:eastAsia="nl-NL"/>
        </w:rPr>
      </w:pPr>
    </w:p>
    <w:p w14:paraId="6F071AE1" w14:textId="7E9F2A9D" w:rsidR="007852C0" w:rsidRPr="009824AD" w:rsidRDefault="007852C0" w:rsidP="00256842">
      <w:pPr>
        <w:autoSpaceDE w:val="0"/>
        <w:autoSpaceDN w:val="0"/>
        <w:adjustRightInd w:val="0"/>
        <w:spacing w:line="480" w:lineRule="auto"/>
        <w:jc w:val="both"/>
        <w:rPr>
          <w:rFonts w:ascii="Helvetica" w:eastAsia="Times New Roman" w:hAnsi="Helvetica" w:cs="Calibri"/>
          <w:color w:val="000000" w:themeColor="text1"/>
          <w:sz w:val="22"/>
          <w:szCs w:val="22"/>
          <w:lang w:val="en-US" w:eastAsia="nl-NL"/>
        </w:rPr>
      </w:pPr>
    </w:p>
    <w:p w14:paraId="3B32B30F" w14:textId="230C2131" w:rsidR="007852C0" w:rsidRPr="009824AD" w:rsidRDefault="007852C0" w:rsidP="00256842">
      <w:pPr>
        <w:autoSpaceDE w:val="0"/>
        <w:autoSpaceDN w:val="0"/>
        <w:adjustRightInd w:val="0"/>
        <w:spacing w:line="480" w:lineRule="auto"/>
        <w:jc w:val="both"/>
        <w:rPr>
          <w:rFonts w:ascii="Helvetica" w:eastAsia="Times New Roman" w:hAnsi="Helvetica" w:cs="Calibri"/>
          <w:color w:val="000000" w:themeColor="text1"/>
          <w:sz w:val="22"/>
          <w:szCs w:val="22"/>
          <w:lang w:val="en-US" w:eastAsia="nl-NL"/>
        </w:rPr>
      </w:pPr>
    </w:p>
    <w:p w14:paraId="23620701" w14:textId="02B37FAB" w:rsidR="007852C0" w:rsidRPr="009824AD" w:rsidRDefault="007852C0" w:rsidP="00256842">
      <w:pPr>
        <w:autoSpaceDE w:val="0"/>
        <w:autoSpaceDN w:val="0"/>
        <w:adjustRightInd w:val="0"/>
        <w:spacing w:line="480" w:lineRule="auto"/>
        <w:jc w:val="both"/>
        <w:rPr>
          <w:rFonts w:ascii="Helvetica" w:eastAsia="Times New Roman" w:hAnsi="Helvetica" w:cs="Calibri"/>
          <w:color w:val="000000" w:themeColor="text1"/>
          <w:sz w:val="22"/>
          <w:szCs w:val="22"/>
          <w:lang w:val="en-US" w:eastAsia="nl-NL"/>
        </w:rPr>
      </w:pPr>
    </w:p>
    <w:p w14:paraId="3B356F7B" w14:textId="0C02898C" w:rsidR="007852C0" w:rsidRPr="009824AD" w:rsidRDefault="007852C0" w:rsidP="00256842">
      <w:pPr>
        <w:autoSpaceDE w:val="0"/>
        <w:autoSpaceDN w:val="0"/>
        <w:adjustRightInd w:val="0"/>
        <w:spacing w:line="480" w:lineRule="auto"/>
        <w:jc w:val="both"/>
        <w:rPr>
          <w:rFonts w:ascii="Helvetica" w:eastAsia="Times New Roman" w:hAnsi="Helvetica" w:cs="Calibri"/>
          <w:color w:val="000000" w:themeColor="text1"/>
          <w:sz w:val="22"/>
          <w:szCs w:val="22"/>
          <w:lang w:val="en-US" w:eastAsia="nl-NL"/>
        </w:rPr>
      </w:pPr>
    </w:p>
    <w:p w14:paraId="58636B64" w14:textId="791BC99F" w:rsidR="007852C0" w:rsidRPr="009824AD" w:rsidRDefault="007852C0" w:rsidP="00256842">
      <w:pPr>
        <w:autoSpaceDE w:val="0"/>
        <w:autoSpaceDN w:val="0"/>
        <w:adjustRightInd w:val="0"/>
        <w:spacing w:line="480" w:lineRule="auto"/>
        <w:jc w:val="both"/>
        <w:rPr>
          <w:rFonts w:ascii="Helvetica" w:eastAsia="Times New Roman" w:hAnsi="Helvetica" w:cs="Calibri"/>
          <w:color w:val="000000" w:themeColor="text1"/>
          <w:sz w:val="22"/>
          <w:szCs w:val="22"/>
          <w:lang w:val="en-US" w:eastAsia="nl-NL"/>
        </w:rPr>
      </w:pPr>
    </w:p>
    <w:p w14:paraId="3A12C0FD" w14:textId="77777777" w:rsidR="007852C0" w:rsidRPr="009824AD" w:rsidRDefault="007852C0" w:rsidP="00256842">
      <w:pPr>
        <w:autoSpaceDE w:val="0"/>
        <w:autoSpaceDN w:val="0"/>
        <w:adjustRightInd w:val="0"/>
        <w:spacing w:line="480" w:lineRule="auto"/>
        <w:jc w:val="both"/>
        <w:rPr>
          <w:rFonts w:ascii="Helvetica" w:eastAsia="Times New Roman" w:hAnsi="Helvetica" w:cs="Calibri"/>
          <w:color w:val="000000" w:themeColor="text1"/>
          <w:sz w:val="22"/>
          <w:szCs w:val="22"/>
          <w:lang w:val="en-US" w:eastAsia="nl-NL"/>
        </w:rPr>
      </w:pPr>
    </w:p>
    <w:p w14:paraId="52D74323" w14:textId="5197F249" w:rsidR="0062438B" w:rsidRPr="009824AD" w:rsidRDefault="0062438B" w:rsidP="00256842">
      <w:pPr>
        <w:autoSpaceDE w:val="0"/>
        <w:autoSpaceDN w:val="0"/>
        <w:adjustRightInd w:val="0"/>
        <w:spacing w:line="480" w:lineRule="auto"/>
        <w:jc w:val="both"/>
        <w:rPr>
          <w:rFonts w:ascii="Helvetica" w:eastAsia="Times New Roman" w:hAnsi="Helvetica" w:cs="Calibri"/>
          <w:color w:val="000000" w:themeColor="text1"/>
          <w:sz w:val="22"/>
          <w:szCs w:val="22"/>
          <w:lang w:val="en-US" w:eastAsia="nl-NL"/>
        </w:rPr>
      </w:pPr>
    </w:p>
    <w:p w14:paraId="5A8E212F" w14:textId="77777777" w:rsidR="009824AD" w:rsidRPr="009824AD" w:rsidRDefault="009824AD" w:rsidP="00256842">
      <w:pPr>
        <w:autoSpaceDE w:val="0"/>
        <w:autoSpaceDN w:val="0"/>
        <w:adjustRightInd w:val="0"/>
        <w:spacing w:line="480" w:lineRule="auto"/>
        <w:jc w:val="both"/>
        <w:rPr>
          <w:rFonts w:ascii="Helvetica" w:eastAsia="Times New Roman" w:hAnsi="Helvetica" w:cs="Calibri"/>
          <w:color w:val="000000" w:themeColor="text1"/>
          <w:sz w:val="22"/>
          <w:szCs w:val="22"/>
          <w:lang w:val="en-US" w:eastAsia="nl-NL"/>
        </w:rPr>
        <w:sectPr w:rsidR="009824AD" w:rsidRPr="009824AD" w:rsidSect="00CA02C7">
          <w:pgSz w:w="11900" w:h="16840"/>
          <w:pgMar w:top="1417" w:right="1417" w:bottom="1417" w:left="1417" w:header="708" w:footer="708" w:gutter="0"/>
          <w:cols w:space="708"/>
          <w:docGrid w:linePitch="360"/>
        </w:sectPr>
      </w:pPr>
    </w:p>
    <w:p w14:paraId="31A9822B" w14:textId="32F212B1" w:rsidR="00D844E1" w:rsidRPr="009824AD" w:rsidRDefault="00296578" w:rsidP="00EC12A5">
      <w:pPr>
        <w:pStyle w:val="Kop1"/>
        <w:rPr>
          <w:rFonts w:ascii="Helvetica" w:hAnsi="Helvetica"/>
          <w:lang w:val="en-US"/>
        </w:rPr>
      </w:pPr>
      <w:r w:rsidRPr="009824AD">
        <w:rPr>
          <w:rFonts w:ascii="Helvetica" w:hAnsi="Helvetica"/>
          <w:lang w:val="en-US"/>
        </w:rPr>
        <w:lastRenderedPageBreak/>
        <w:t>INTRODUCTION</w:t>
      </w:r>
    </w:p>
    <w:p w14:paraId="796E2B44" w14:textId="0DF8702D" w:rsidR="00B37364" w:rsidRPr="009824AD" w:rsidRDefault="00DA6362" w:rsidP="00B37364">
      <w:pPr>
        <w:pStyle w:val="Geenafstand"/>
        <w:spacing w:line="480" w:lineRule="auto"/>
        <w:jc w:val="both"/>
        <w:rPr>
          <w:rFonts w:ascii="Helvetica" w:hAnsi="Helvetica" w:cs="Calibri"/>
          <w:lang w:val="en-US"/>
        </w:rPr>
      </w:pPr>
      <w:r w:rsidRPr="009824AD">
        <w:rPr>
          <w:rFonts w:ascii="Helvetica" w:hAnsi="Helvetica" w:cs="Calibri"/>
          <w:lang w:val="en-US"/>
        </w:rPr>
        <w:t xml:space="preserve">Recent </w:t>
      </w:r>
      <w:r w:rsidR="00B37364" w:rsidRPr="009824AD">
        <w:rPr>
          <w:rFonts w:ascii="Helvetica" w:hAnsi="Helvetica" w:cs="Calibri"/>
          <w:lang w:val="en-US"/>
        </w:rPr>
        <w:t xml:space="preserve">refinements in surgical technique have expanded the </w:t>
      </w:r>
      <w:r w:rsidR="00475368" w:rsidRPr="009824AD">
        <w:rPr>
          <w:rFonts w:ascii="Helvetica" w:hAnsi="Helvetica" w:cs="Calibri"/>
          <w:lang w:val="en-US"/>
        </w:rPr>
        <w:t xml:space="preserve">use </w:t>
      </w:r>
      <w:r w:rsidR="00B37364" w:rsidRPr="009824AD">
        <w:rPr>
          <w:rFonts w:ascii="Helvetica" w:hAnsi="Helvetica" w:cs="Calibri"/>
          <w:lang w:val="en-US"/>
        </w:rPr>
        <w:t xml:space="preserve">of laparoscopic liver resection (LLR). </w:t>
      </w:r>
      <w:r w:rsidRPr="009824AD">
        <w:rPr>
          <w:rFonts w:ascii="Helvetica" w:hAnsi="Helvetica" w:cs="Calibri"/>
          <w:lang w:val="en-US"/>
        </w:rPr>
        <w:t xml:space="preserve">In fact, </w:t>
      </w:r>
      <w:r w:rsidR="00B37364" w:rsidRPr="009824AD">
        <w:rPr>
          <w:rStyle w:val="apple-converted-space"/>
          <w:rFonts w:ascii="Helvetica" w:hAnsi="Helvetica" w:cs="Calibri"/>
          <w:lang w:val="en-US"/>
        </w:rPr>
        <w:t>LLR has gained more acceptance as a feasible and safe procedure</w:t>
      </w:r>
      <w:r w:rsidRPr="009824AD">
        <w:rPr>
          <w:rStyle w:val="apple-converted-space"/>
          <w:rFonts w:ascii="Helvetica" w:hAnsi="Helvetica" w:cs="Calibri"/>
          <w:lang w:val="en-US"/>
        </w:rPr>
        <w:t xml:space="preserve">, even for </w:t>
      </w:r>
      <w:r w:rsidR="00475368" w:rsidRPr="009824AD">
        <w:rPr>
          <w:rStyle w:val="apple-converted-space"/>
          <w:rFonts w:ascii="Helvetica" w:hAnsi="Helvetica" w:cs="Calibri"/>
          <w:lang w:val="en-US"/>
        </w:rPr>
        <w:t xml:space="preserve">some </w:t>
      </w:r>
      <w:r w:rsidR="00E1777E" w:rsidRPr="009824AD">
        <w:rPr>
          <w:rStyle w:val="apple-converted-space"/>
          <w:rFonts w:ascii="Helvetica" w:hAnsi="Helvetica" w:cs="Calibri"/>
          <w:lang w:val="en-US"/>
        </w:rPr>
        <w:t>major</w:t>
      </w:r>
      <w:r w:rsidRPr="009824AD">
        <w:rPr>
          <w:rStyle w:val="apple-converted-space"/>
          <w:rFonts w:ascii="Helvetica" w:hAnsi="Helvetica" w:cs="Calibri"/>
          <w:lang w:val="en-US"/>
        </w:rPr>
        <w:t xml:space="preserve"> and complex resections</w:t>
      </w:r>
      <w:r w:rsidR="00CB05B3" w:rsidRPr="009824AD">
        <w:rPr>
          <w:rStyle w:val="apple-converted-space"/>
          <w:rFonts w:ascii="Helvetica" w:hAnsi="Helvetica" w:cs="Calibri"/>
          <w:lang w:val="en-US"/>
        </w:rPr>
        <w:t xml:space="preserve"> </w:t>
      </w:r>
      <w:r w:rsidR="00B37364" w:rsidRPr="009824AD">
        <w:rPr>
          <w:rFonts w:ascii="Helvetica" w:hAnsi="Helvetica" w:cs="Calibri"/>
          <w:lang w:val="en-US"/>
        </w:rPr>
        <w:t xml:space="preserve">demonstrating </w:t>
      </w:r>
      <w:r w:rsidRPr="009824AD">
        <w:rPr>
          <w:rFonts w:ascii="Helvetica" w:hAnsi="Helvetica" w:cs="Calibri"/>
          <w:lang w:val="en-US"/>
        </w:rPr>
        <w:t>similar adva</w:t>
      </w:r>
      <w:r w:rsidR="00CB05B3" w:rsidRPr="009824AD">
        <w:rPr>
          <w:rFonts w:ascii="Helvetica" w:hAnsi="Helvetica" w:cs="Calibri"/>
          <w:lang w:val="en-US"/>
        </w:rPr>
        <w:t>n</w:t>
      </w:r>
      <w:r w:rsidRPr="009824AD">
        <w:rPr>
          <w:rFonts w:ascii="Helvetica" w:hAnsi="Helvetica" w:cs="Calibri"/>
          <w:lang w:val="en-US"/>
        </w:rPr>
        <w:t xml:space="preserve">tages to those seen in minor resections including </w:t>
      </w:r>
      <w:r w:rsidR="00B37364" w:rsidRPr="009824AD">
        <w:rPr>
          <w:rFonts w:ascii="Helvetica" w:hAnsi="Helvetica" w:cs="Calibri"/>
          <w:lang w:val="en-US"/>
        </w:rPr>
        <w:t xml:space="preserve">reduced intraoperative blood loss, </w:t>
      </w:r>
      <w:r w:rsidR="004422D3" w:rsidRPr="009824AD">
        <w:rPr>
          <w:rFonts w:ascii="Helvetica" w:hAnsi="Helvetica" w:cs="Calibri"/>
          <w:lang w:val="en-US"/>
        </w:rPr>
        <w:t xml:space="preserve">reduced </w:t>
      </w:r>
      <w:r w:rsidR="007B76E0" w:rsidRPr="009824AD">
        <w:rPr>
          <w:rFonts w:ascii="Helvetica" w:hAnsi="Helvetica" w:cs="Calibri"/>
          <w:lang w:val="en-US"/>
        </w:rPr>
        <w:t>length</w:t>
      </w:r>
      <w:r w:rsidR="00B37364" w:rsidRPr="009824AD">
        <w:rPr>
          <w:rFonts w:ascii="Helvetica" w:hAnsi="Helvetica" w:cs="Calibri"/>
          <w:lang w:val="en-US"/>
        </w:rPr>
        <w:t xml:space="preserve"> of hospital stay </w:t>
      </w:r>
      <w:r w:rsidR="007B76E0" w:rsidRPr="009824AD">
        <w:rPr>
          <w:rFonts w:ascii="Helvetica" w:hAnsi="Helvetica" w:cs="Calibri"/>
          <w:lang w:val="en-US"/>
        </w:rPr>
        <w:t xml:space="preserve">(LOS) </w:t>
      </w:r>
      <w:r w:rsidR="00B37364" w:rsidRPr="009824AD">
        <w:rPr>
          <w:rFonts w:ascii="Helvetica" w:hAnsi="Helvetica" w:cs="Calibri"/>
          <w:lang w:val="en-US"/>
        </w:rPr>
        <w:t xml:space="preserve">and </w:t>
      </w:r>
      <w:r w:rsidR="004422D3" w:rsidRPr="009824AD">
        <w:rPr>
          <w:rFonts w:ascii="Helvetica" w:hAnsi="Helvetica" w:cs="Calibri"/>
          <w:lang w:val="en-US"/>
        </w:rPr>
        <w:t>l</w:t>
      </w:r>
      <w:r w:rsidR="007B76E0" w:rsidRPr="009824AD">
        <w:rPr>
          <w:rFonts w:ascii="Helvetica" w:hAnsi="Helvetica" w:cs="Calibri"/>
          <w:lang w:val="en-US"/>
        </w:rPr>
        <w:t>ess</w:t>
      </w:r>
      <w:r w:rsidR="004422D3" w:rsidRPr="009824AD">
        <w:rPr>
          <w:rFonts w:ascii="Helvetica" w:hAnsi="Helvetica" w:cs="Calibri"/>
          <w:lang w:val="en-US"/>
        </w:rPr>
        <w:t xml:space="preserve"> </w:t>
      </w:r>
      <w:r w:rsidR="00B37364" w:rsidRPr="009824AD">
        <w:rPr>
          <w:rFonts w:ascii="Helvetica" w:hAnsi="Helvetica" w:cs="Calibri"/>
          <w:lang w:val="en-US"/>
        </w:rPr>
        <w:t xml:space="preserve">morbidity with </w:t>
      </w:r>
      <w:r w:rsidR="00B37364" w:rsidRPr="009824AD">
        <w:rPr>
          <w:rStyle w:val="apple-converted-space"/>
          <w:rFonts w:ascii="Helvetica" w:hAnsi="Helvetica" w:cs="Calibri"/>
          <w:lang w:val="en-US"/>
        </w:rPr>
        <w:t xml:space="preserve">equivalent oncological outcomes </w:t>
      </w:r>
      <w:r w:rsidR="00BB268A" w:rsidRPr="009824AD">
        <w:rPr>
          <w:rStyle w:val="apple-converted-space"/>
          <w:rFonts w:ascii="Helvetica" w:hAnsi="Helvetica" w:cs="Calibri"/>
          <w:lang w:val="en-US"/>
        </w:rPr>
        <w:t xml:space="preserve">as </w:t>
      </w:r>
      <w:r w:rsidR="00B37364" w:rsidRPr="009824AD">
        <w:rPr>
          <w:rStyle w:val="apple-converted-space"/>
          <w:rFonts w:ascii="Helvetica" w:hAnsi="Helvetica" w:cs="Calibri"/>
          <w:lang w:val="en-US"/>
        </w:rPr>
        <w:t xml:space="preserve">compared to open </w:t>
      </w:r>
      <w:r w:rsidR="00BB268A" w:rsidRPr="009824AD">
        <w:rPr>
          <w:rStyle w:val="apple-converted-space"/>
          <w:rFonts w:ascii="Helvetica" w:hAnsi="Helvetica" w:cs="Calibri"/>
          <w:lang w:val="en-US"/>
        </w:rPr>
        <w:t>liver resection (OLR)</w:t>
      </w:r>
      <w:r w:rsidR="00B37364" w:rsidRPr="009824AD">
        <w:rPr>
          <w:rStyle w:val="apple-converted-space"/>
          <w:rFonts w:ascii="Helvetica" w:hAnsi="Helvetica" w:cs="Calibri"/>
          <w:lang w:val="en-US"/>
        </w:rPr>
        <w:fldChar w:fldCharType="begin" w:fldLock="1"/>
      </w:r>
      <w:r w:rsidR="000D44B8" w:rsidRPr="009824AD">
        <w:rPr>
          <w:rStyle w:val="apple-converted-space"/>
          <w:rFonts w:ascii="Helvetica" w:hAnsi="Helvetica" w:cs="Calibri"/>
          <w:lang w:val="en-US"/>
        </w:rPr>
        <w:instrText>ADDIN CSL_CITATION {"citationItems":[{"id":"ITEM-1","itemData":{"DOI":"10.1097/SLA.0000000000001413","ISSN":"15281140","PMID":"26700223","abstract":"OBJECTIVE: To perform a systematic review of worldwide literature on laparoscopic liver resections (LLR) and compare short-term outcomes against open liver resections (OLR) by meta-analyses. SUMMARY BACKGROUND DATA: There are no updated pooled data since 2009 about the current status and short-term outcomes of LLR worldwide. PATIENTS AND METHODS: All English language publications on LLR were screened. Descriptive worldwide data and short-term outcomes were obtained. Separate analyses were performed for minor-only and major-only resection series, and series in which minor/major resections were not differentiated. Apparent case duplications were excluded. RESULTS: A set of 463 published manuscripts were reviewed. One hundred seventy-nine single-center series were identified that accounted for 9527 LLR cases worldwide. Minor-only, major-only, and combined major-minor series were 61, 18, and 100, respectively, including 32, 8, and 43 comparative series, respectively. Of the total 9527 LLR cases reported, 6190 (65%) were for malignancy and 3337 (35%) were for benign indications. There were 37 deaths reported (mortality rate = 0.4%). From the meta-analysis comparing case-matched LLR to OLR (N = 2900 cases), there was no increased mortality and significantly less complications, transfusions, blood loss, and hospital stay observed in LLR vs OLR. CONCLUSIONS: This is the largest review of LLR available to date with over 9000 cases published. It confirms growing safety when performed in selected patients and by trained surgeons, and suggests that LLR may offer improved patient short-term outcomes compared with OLR. Improved levels of evidence, standardized reporting of outcomes, and assuring proper training are the next challenges of laparoscopic liver surgery.","author":[{"dropping-particle":"","family":"Ciria","given":"Ruben","non-dropping-particle":"","parse-names":false,"suffix":""},{"dropping-particle":"","family":"Cherqui","given":"Daniel","non-dropping-particle":"","parse-names":false,"suffix":""},{"dropping-particle":"","family":"Geller","given":"David A.","non-dropping-particle":"","parse-names":false,"suffix":""},{"dropping-particle":"","family":"Briceno","given":"Javier","non-dropping-particle":"","parse-names":false,"suffix":""},{"dropping-particle":"","family":"Wakabayashi","given":"Go","non-dropping-particle":"","parse-names":false,"suffix":""}],"container-title":"Annals of Surgery","id":"ITEM-1","issue":"4","issued":{"date-parts":[["2016","4"]]},"page":"761-777","title":"Comparative short-term benefits of laparoscopic liver resection: 9000 cases and climbing","type":"article-journal","volume":"263"},"uris":["http://www.mendeley.com/documents/?uuid=ddfcd331-fba1-33e2-8ce4-aabc94688f5b"]},{"id":"ITEM-2","itemData":{"DOI":"10.1016/j.surg.2018.01.020","ISSN":"1532-7361","PMID":"29555197","abstract":"BACKGROUND The role of laparoscopy for major hepatectomies remains a matter of development to be further assessed. The purpose of this study is to compare the short- and long-term outcomes between laparoscopic and open major hepatectomies meta-analyzing individual patient data from published comparative studies. METHODS All retrospective studies comparing between laparoscopic and open major hepatectomies published until March 2017 were identified independently by 2 reviewers by searching in PubMed and Cochrane Central Register of Controlled Trials. Individual patient data were sought from all selected studies. Postoperative outcomes, including intraoperative blood loss, operative time, hospital stay, postoperative complications, mortality rates, and long-term survival were analyzed. RESULTS A total of 917 patients were divided into the laparoscopic (427) and open (490) groups from 8 selected studies. The hospital stay was significantly shorter, and the total morbidity was lower in the laparoscopic group. When classified by severity, the incidence of postoperative minor complications was lower; however, that of major complications was not significantly different. The operative time was longer in the laparoscopic group; however, intraoperative blood loss, perioperative mortality, and blood transfusions were comparable between the 2 groups. The overall survival in the patients with colorectal liver metastases and hepatocellular carcinoma was not significantly different between the 2 groups. CONCLUSION Laparoscopic major hepatectomies offer some perioperative advantages, including fewer complications and shorter hospital stay, without increasing the blood loss volume and mortality. Whether these results can anticipate the outcomes in future randomized controlled trials has not been determined.","author":[{"dropping-particle":"","family":"Kasai","given":"Meidai","non-dropping-particle":"","parse-names":false,"suffix":""},{"dropping-particle":"","family":"Cipriani","given":"Federica","non-dropping-particle":"","parse-names":false,"suffix":""},{"dropping-particle":"","family":"Gayet","given":"Brice","non-dropping-particle":"","parse-names":false,"suffix":""},{"dropping-particle":"","family":"Aldrighetti","given":"Luca","non-dropping-particle":"","parse-names":false,"suffix":""},{"dropping-particle":"","family":"Ratti","given":"Francesca","non-dropping-particle":"","parse-names":false,"suffix":""},{"dropping-particle":"","family":"Sarmiento","given":"Juan M","non-dropping-particle":"","parse-names":false,"suffix":""},{"dropping-particle":"","family":"Scatton","given":"Olivier","non-dropping-particle":"","parse-names":false,"suffix":""},{"dropping-particle":"","family":"Kim","given":"Ki-Hun","non-dropping-particle":"","parse-names":false,"suffix":""},{"dropping-particle":"","family":"Dagher","given":"Ibrahim","non-dropping-particle":"","parse-names":false,"suffix":""},{"dropping-particle":"","family":"Topal","given":"Baki","non-dropping-particle":"","parse-names":false,"suffix":""},{"dropping-particle":"","family":"Primrose","given":"John","non-dropping-particle":"","parse-names":false,"suffix":""},{"dropping-particle":"","family":"Nomi","given":"Takeo","non-dropping-particle":"","parse-names":false,"suffix":""},{"dropping-particle":"","family":"Fuks","given":"David","non-dropping-particle":"","parse-names":false,"suffix":""},{"dropping-particle":"","family":"Abu Hilal","given":"Mohammad","non-dropping-particle":"","parse-names":false,"suffix":""}],"container-title":"Surgery","id":"ITEM-2","issue":"5","issued":{"date-parts":[["2018","5"]]},"page":"985-995","title":"Laparoscopic versus open major hepatectomy: a systematic review and meta-analysis of individual patient data.","type":"article-journal","volume":"163"},"uris":["http://www.mendeley.com/documents/?uuid=d0c651dc-e8fe-317e-9f24-321c5f69a63d"]},{"id":"ITEM-3","itemData":{"DOI":"10.1111/j.1477-2574.2011.00295.x","ISSN":"1365182X","author":[{"dropping-particle":"","family":"Mirnezami","given":"Reza","non-dropping-particle":"","parse-names":false,"suffix":""},{"dropping-particle":"","family":"Mirnezami","given":"Alexander H.","non-dropping-particle":"","parse-names":false,"suffix":""},{"dropping-particle":"","family":"Chandrakumaran","given":"Kandiah","non-dropping-particle":"","parse-names":false,"suffix":""},{"dropping-particle":"","family":"Abu Hilal","given":"Mohammad","non-dropping-particle":"","parse-names":false,"suffix":""},{"dropping-particle":"","family":"Pearce","given":"Neil W.","non-dropping-particle":"","parse-names":false,"suffix":""},{"dropping-particle":"","family":"Primrose","given":"John N.","non-dropping-particle":"","parse-names":false,"suffix":""},{"dropping-particle":"","family":"Sutcliffe","given":"Robert P.","non-dropping-particle":"","parse-names":false,"suffix":""}],"container-title":"HPB","id":"ITEM-3","issue":"5","issued":{"date-parts":[["2011","5"]]},"page":"295-308","title":"Short- and long-term outcomes after laparoscopic and open hepatic resection: systematic review and meta-analysis","type":"article-journal","volume":"13"},"uris":["http://www.mendeley.com/documents/?uuid=ae3b7403-2a28-3921-8704-419c295d84b3"]},{"id":"ITEM-4","itemData":{"DOI":"10.1007/s11605-011-1468-z","ISSN":"1091-255X","PMID":"21380633","abstract":"BACKGROUND Expansion of laparoscopic major hepatectomy is still limited mainly due to the well-recognised technical difficulties compared to open surgery, and doubts regarding the oncological efficiency when major resections are required. METHODS Patients undergoing open right hepatectomy (ORH) were matched with patients undergoing laparoscopic right hepatectomy (LRH) and compared for perioperative outcomes. RESULTS Seventy patients were included: 36 patients underwent LRH and 34 ORH. Operative time was significantly longer for LRH (median, 300 min vs. 180 min for ORH; p &lt; 0.0001). Intensive care unit (median, 2 days for LRH vs. 4 days for ORH; p &lt; 0.0001) and postoperative length of stay (5 days for LRH vs. 9 days for ORH; p &lt; 0.0001) were significantly shorter for LRH. Four laparoscopic cases were converted to open surgery. No significant difference in postoperative complications and mortality was observed between LRH and ORH. Among patients with colorectal carcinoma liver metastases, R0 resection was obtained in 20/21 (95%) cases after LRH, and in 20/25 (80%) after ORH (p = 0.198). Mid-term overall survival did not significantly differ between the laparoscopic and the open group. CONCLUSIONS LRH can be a safe, effective, and oncologically efficient alternative to open resection in selected cases. Extensive experience in hepatic and laparoscopic surgery is required.","author":[{"dropping-particle":"","family":"Abu Hilal","given":"Mohammed","non-dropping-particle":"","parse-names":false,"suffix":""},{"dropping-particle":"","family":"Fabio","given":"Francesco","non-dropping-particle":"Di","parse-names":false,"suffix":""},{"dropping-particle":"","family":"Teng","given":"Mabel Joey","non-dropping-particle":"","parse-names":false,"suffix":""},{"dropping-particle":"","family":"Lykoudis","given":"Pavlos","non-dropping-particle":"","parse-names":false,"suffix":""},{"dropping-particle":"","family":"Primrose","given":"John Neil","non-dropping-particle":"","parse-names":false,"suffix":""},{"dropping-particle":"","family":"Pearce","given":"Neil William","non-dropping-particle":"","parse-names":false,"suffix":""}],"container-title":"Journal of Gastrointestinal Surgery","id":"ITEM-4","issue":"5","issued":{"date-parts":[["2011","5","5"]]},"page":"818-823","title":"Single-Centre Comparative Study of Laparoscopic Versus Open Right Hepatectomy","type":"article-journal","volume":"15"},"uris":["http://www.mendeley.com/documents/?uuid=61e0ff59-82d5-3aac-a23e-8d1ba7da4f3e"]},{"id":"ITEM-5","itemData":{"DOI":"10.1097/SLA.0000000000002353","ISSN":"0003-4932","author":[{"dropping-particle":"","family":"Fretland","given":"Åsmund Avdem","non-dropping-particle":"","parse-names":false,"suffix":""},{"dropping-particle":"","family":"Dagenborg","given":"Vegar Johansen","non-dropping-particle":"","parse-names":false,"suffix":""},{"dropping-particle":"","family":"Bjørnelv","given":"Gudrun Maria Waaler","non-dropping-particle":"","parse-names":false,"suffix":""},{"dropping-particle":"","family":"Kazaryan","given":"Airazat M.","non-dropping-particle":"","parse-names":false,"suffix":""},{"dropping-particle":"","family":"Kristiansen","given":"Ronny","non-dropping-particle":"","parse-names":false,"suffix":""},{"dropping-particle":"","family":"Fagerland","given":"Morten Wang","non-dropping-particle":"","parse-names":false,"suffix":""},{"dropping-particle":"","family":"Hausken","given":"John","non-dropping-particle":"","parse-names":false,"suffix":""},{"dropping-particle":"","family":"Tønnessen","given":"Tor Inge","non-dropping-particle":"","parse-names":false,"suffix":""},{"dropping-particle":"","family":"Abildgaard","given":"Andreas","non-dropping-particle":"","parse-names":false,"suffix":""},{"dropping-particle":"","family":"Barkhatov","given":"Leonid","non-dropping-particle":"","parse-names":false,"suffix":""},{"dropping-particle":"","family":"Yaqub","given":"Sheraz","non-dropping-particle":"","parse-names":false,"suffix":""},{"dropping-particle":"","family":"Røsok","given":"Bård I.","non-dropping-particle":"","parse-names":false,"suffix":""},{"dropping-particle":"","family":"Bjørnbeth","given":"Bjørn Atle","non-dropping-particle":"","parse-names":false,"suffix":""},{"dropping-particle":"","family":"Andersen","given":"Marit Helen","non-dropping-particle":"","parse-names":false,"suffix":""},{"dropping-particle":"","family":"Flatmark","given":"Kjersti","non-dropping-particle":"","parse-names":false,"suffix":""},{"dropping-particle":"","family":"Aas","given":"Eline","non-dropping-particle":"","parse-names":false,"suffix":""},{"dropping-particle":"","family":"Edwin","given":"Bjørn","non-dropping-particle":"","parse-names":false,"suffix":""}],"container-title":"Annals of Surgery","id":"ITEM-5","issue":"2","issued":{"date-parts":[["2018","2"]]},"page":"199-207","title":"Laparoscopic Versus Open Resection for Colorectal Liver Metastases","type":"article-journal","volume":"267"},"uris":["http://www.mendeley.com/documents/?uuid=a0ccd03f-e8b6-3794-86b1-fc93bfdba91d"]},{"id":"ITEM-6","itemData":{"DOI":"10.1016/j.ijsu.2020.03.005","ISSN":"17439159","PMID":"32171801","abstract":"Background: The use of the laparoscopic approach in one-stage or second-step of two-stage right hemihepatectomy (RHH) after portal vein embolization (PVE) in patients with initially unresectable colorectal liver metastases (CRLMs) is technically demanding. Currently, there is limited published data regarding the technique and results required to better understand its safety and feasibility. This paper reports our experience, results, techniques and variety of tips and tricks (highlighted in the attached video), to facilitate this resection. Methods: A prospectively maintained database of laparoscopic liver surgery within our unit at a tertiary referral centre between August 2003 and March 2019 was reviewed. Patients with initially unresectable CRLMs who underwent laparoscopic RHH or extended RHH after PVE in the context of a one or two-stage procedure were included. Results: Between August 2003 and March 2019, 19 patients with initially unresectable CRLMs underwent laparoscopic RHH after PVE. Twelve patients (63.2%) had RHH in the context of a two-stage hepatectomy and 7 as a one-stage procedure. Median time interval between PVE and surgery was 42.5 days (IQR, 34.5–60.0 days). Mean operating time was 351.8 ± 80.5 minutes. Median blood loss was 850 mL (IQR, 475–1350 mL). Conversion to open surgery occurred in 2 of 19 cases (10.5%). Severe postoperative morbidity occurred in 2 patients. The mortality rate was 5.3%. Median postoperative hospital stay was 5 days (IQR, 4–7 days). Radical resection was obtained in eighteen patients (94.7%). Conclusion: Laparoscopic RHH after PVE in the context of a one- or two-stage resection in patients with initially unresectable CRLMs is a safe and feasible procedure with favourable oncological outcomes.","author":[{"dropping-particle":"","family":"Görgec","given":"Burak","non-dropping-particle":"","parse-names":false,"suffix":""},{"dropping-particle":"","family":"Suhool","given":"Amal","non-dropping-particle":"","parse-names":false,"suffix":""},{"dropping-particle":"","family":"Al-Jarrah","given":"Ra'ed","non-dropping-particle":"","parse-names":false,"suffix":""},{"dropping-particle":"","family":"Fontana","given":"Martina","non-dropping-particle":"","parse-names":false,"suffix":""},{"dropping-particle":"","family":"Tehami","given":"Nadeem A.","non-dropping-particle":"","parse-names":false,"suffix":""},{"dropping-particle":"","family":"Modi","given":"Sachin","non-dropping-particle":"","parse-names":false,"suffix":""},{"dropping-particle":"","family":"Abu Hilal","given":"Mohammad","non-dropping-particle":"","parse-names":false,"suffix":""}],"container-title":"International Journal of Surgery","id":"ITEM-6","issued":{"date-parts":[["2020","5","1"]]},"page":"69-75","publisher":"Elsevier Ltd","title":"Surgical technique and clinical results of one- or two-stage laparoscopic right hemihepatectomy after portal vein embolization in patients with initially unresectable colorectal liver metastases: A case series","type":"article-journal","volume":"77"},"uris":["http://www.mendeley.com/documents/?uuid=ca7bb011-3006-36c7-ab19-3c0b8967e28d"]},{"id":"ITEM-7","itemData":{"DOI":"10.7326/m20-4011","ISSN":"0003-4819","abstract":"the OSLO-COMET Survival Study Collaborators ‡ Background: Despite the recent worldwide dissemination of laparoscopic liver surgery, no high-level evidence supports the oncologic safety of this approach.","author":[{"dropping-particle":"","family":"Aghayan","given":"Davit L.","non-dropping-particle":"","parse-names":false,"suffix":""},{"dropping-particle":"","family":"Kazaryan","given":"Airazat M.","non-dropping-particle":"","parse-names":false,"suffix":""},{"dropping-particle":"","family":"Dagenborg","given":"Vegar Johansen","non-dropping-particle":"","parse-names":false,"suffix":""},{"dropping-particle":"","family":"Røsok","given":"Bård I.","non-dropping-particle":"","parse-names":false,"suffix":""},{"dropping-particle":"","family":"Fagerland","given":"Morten Wang","non-dropping-particle":"","parse-names":false,"suffix":""},{"dropping-particle":"","family":"Bjørnelv","given":"Gudrun Maria Waaler","non-dropping-particle":"","parse-names":false,"suffix":""},{"dropping-particle":"","family":"Kristiansen","given":"Ronny","non-dropping-particle":"","parse-names":false,"suffix":""},{"dropping-particle":"","family":"Flatmark","given":"Kjersti","non-dropping-particle":"","parse-names":false,"suffix":""},{"dropping-particle":"","family":"Fretland","given":"Åsmund Avdem","non-dropping-particle":"","parse-names":false,"suffix":""},{"dropping-particle":"","family":"Edwin","given":"Bjørn","non-dropping-particle":"","parse-names":false,"suffix":""}],"container-title":"Annals of Internal Medicine","id":"ITEM-7","issued":{"date-parts":[["2020","11","17"]]},"publisher":"American College of Physicians","title":"Long-Term Oncologic Outcomes After Laparoscopic Versus Open Resection for Colorectal Liver Metastases","type":"article-journal"},"uris":["http://www.mendeley.com/documents/?uuid=8bbb26cc-b9c9-3078-8acd-e33e11ae31b4"]}],"mendeley":{"formattedCitation":"(1–7)","plainTextFormattedCitation":"(1–7)","previouslyFormattedCitation":"(1–7)"},"properties":{"noteIndex":0},"schema":"https://github.com/citation-style-language/schema/raw/master/csl-citation.json"}</w:instrText>
      </w:r>
      <w:r w:rsidR="00B37364" w:rsidRPr="009824AD">
        <w:rPr>
          <w:rStyle w:val="apple-converted-space"/>
          <w:rFonts w:ascii="Helvetica" w:hAnsi="Helvetica" w:cs="Calibri"/>
          <w:lang w:val="en-US"/>
        </w:rPr>
        <w:fldChar w:fldCharType="separate"/>
      </w:r>
      <w:r w:rsidR="000D44B8" w:rsidRPr="009824AD">
        <w:rPr>
          <w:rStyle w:val="apple-converted-space"/>
          <w:rFonts w:ascii="Helvetica" w:hAnsi="Helvetica" w:cs="Calibri"/>
          <w:noProof/>
          <w:lang w:val="en-US"/>
        </w:rPr>
        <w:t>(1–7)</w:t>
      </w:r>
      <w:r w:rsidR="00B37364" w:rsidRPr="009824AD">
        <w:rPr>
          <w:rStyle w:val="apple-converted-space"/>
          <w:rFonts w:ascii="Helvetica" w:hAnsi="Helvetica" w:cs="Calibri"/>
          <w:lang w:val="en-US"/>
        </w:rPr>
        <w:fldChar w:fldCharType="end"/>
      </w:r>
      <w:r w:rsidR="00E444F2" w:rsidRPr="009824AD">
        <w:rPr>
          <w:rStyle w:val="apple-converted-space"/>
          <w:rFonts w:ascii="Helvetica" w:hAnsi="Helvetica" w:cs="Calibri"/>
          <w:lang w:val="en-US"/>
        </w:rPr>
        <w:t>.</w:t>
      </w:r>
      <w:r w:rsidR="00B37364" w:rsidRPr="009824AD">
        <w:rPr>
          <w:rStyle w:val="apple-converted-space"/>
          <w:rFonts w:ascii="Helvetica" w:hAnsi="Helvetica" w:cs="Calibri"/>
          <w:lang w:val="en-US"/>
        </w:rPr>
        <w:t xml:space="preserve"> </w:t>
      </w:r>
      <w:r w:rsidR="00B37364" w:rsidRPr="009824AD">
        <w:rPr>
          <w:rFonts w:ascii="Helvetica" w:hAnsi="Helvetica" w:cs="Calibri"/>
          <w:lang w:val="en-US"/>
        </w:rPr>
        <w:t>Despite these impressive developments, LL</w:t>
      </w:r>
      <w:r w:rsidR="000B62F3" w:rsidRPr="009824AD">
        <w:rPr>
          <w:rFonts w:ascii="Helvetica" w:hAnsi="Helvetica" w:cs="Calibri"/>
          <w:lang w:val="en-US"/>
        </w:rPr>
        <w:t>R</w:t>
      </w:r>
      <w:r w:rsidR="00B37364" w:rsidRPr="009824AD">
        <w:rPr>
          <w:rFonts w:ascii="Helvetica" w:hAnsi="Helvetica" w:cs="Calibri"/>
          <w:lang w:val="en-US"/>
        </w:rPr>
        <w:t xml:space="preserve"> remains challenging with relevant rates of postoperative morbidity (4-48</w:t>
      </w:r>
      <w:r w:rsidR="000B7DA3" w:rsidRPr="009824AD">
        <w:rPr>
          <w:rFonts w:ascii="Helvetica" w:hAnsi="Helvetica" w:cs="Calibri"/>
          <w:lang w:val="en-US"/>
        </w:rPr>
        <w:t>%</w:t>
      </w:r>
      <w:r w:rsidR="00B37364" w:rsidRPr="009824AD">
        <w:rPr>
          <w:rFonts w:ascii="Helvetica" w:hAnsi="Helvetica" w:cs="Calibri"/>
          <w:lang w:val="en-US"/>
        </w:rPr>
        <w:t>) and mortality (0-10</w:t>
      </w:r>
      <w:r w:rsidR="000B7DA3" w:rsidRPr="009824AD">
        <w:rPr>
          <w:rFonts w:ascii="Helvetica" w:hAnsi="Helvetica" w:cs="Calibri"/>
          <w:lang w:val="en-US"/>
        </w:rPr>
        <w:t>%</w:t>
      </w:r>
      <w:r w:rsidR="00B37364" w:rsidRPr="009824AD">
        <w:rPr>
          <w:rFonts w:ascii="Helvetica" w:hAnsi="Helvetica" w:cs="Calibri"/>
          <w:lang w:val="en-US"/>
        </w:rPr>
        <w:t>)</w:t>
      </w:r>
      <w:r w:rsidR="00CB05B3" w:rsidRPr="009824AD">
        <w:rPr>
          <w:rFonts w:ascii="Helvetica" w:hAnsi="Helvetica" w:cs="Calibri"/>
          <w:lang w:val="en-US"/>
        </w:rPr>
        <w:t xml:space="preserve">, highlighting the need for </w:t>
      </w:r>
      <w:r w:rsidR="00BB268A" w:rsidRPr="009824AD">
        <w:rPr>
          <w:rFonts w:ascii="Helvetica" w:hAnsi="Helvetica" w:cs="Calibri"/>
          <w:lang w:val="en-US"/>
        </w:rPr>
        <w:t xml:space="preserve">a </w:t>
      </w:r>
      <w:r w:rsidR="00CB05B3" w:rsidRPr="009824AD">
        <w:rPr>
          <w:rFonts w:ascii="Helvetica" w:hAnsi="Helvetica" w:cs="Calibri"/>
          <w:lang w:val="en-US"/>
        </w:rPr>
        <w:t>better understanding of the clinical impact and best perioperative management</w:t>
      </w:r>
      <w:r w:rsidR="00BB268A" w:rsidRPr="009824AD">
        <w:rPr>
          <w:rFonts w:ascii="Helvetica" w:hAnsi="Helvetica" w:cs="Calibri"/>
          <w:lang w:val="en-US"/>
        </w:rPr>
        <w:t xml:space="preserve"> of surgical complications</w:t>
      </w:r>
      <w:r w:rsidR="00CB05B3" w:rsidRPr="009824AD">
        <w:rPr>
          <w:rFonts w:ascii="Helvetica" w:hAnsi="Helvetica" w:cs="Calibri"/>
          <w:lang w:val="en-US"/>
        </w:rPr>
        <w:t>, especially when the short term advantages seen in LL</w:t>
      </w:r>
      <w:r w:rsidR="00BB268A" w:rsidRPr="009824AD">
        <w:rPr>
          <w:rFonts w:ascii="Helvetica" w:hAnsi="Helvetica" w:cs="Calibri"/>
          <w:lang w:val="en-US"/>
        </w:rPr>
        <w:t>R</w:t>
      </w:r>
      <w:r w:rsidR="00CB05B3" w:rsidRPr="009824AD">
        <w:rPr>
          <w:rFonts w:ascii="Helvetica" w:hAnsi="Helvetica" w:cs="Calibri"/>
          <w:lang w:val="en-US"/>
        </w:rPr>
        <w:t xml:space="preserve"> could be diluted when they occur</w:t>
      </w:r>
      <w:r w:rsidR="00CB05B3" w:rsidRPr="009824AD">
        <w:rPr>
          <w:rFonts w:ascii="Helvetica" w:hAnsi="Helvetica" w:cs="Calibri"/>
          <w:lang w:val="en-US"/>
        </w:rPr>
        <w:fldChar w:fldCharType="begin" w:fldLock="1"/>
      </w:r>
      <w:r w:rsidR="000D44B8" w:rsidRPr="009824AD">
        <w:rPr>
          <w:rFonts w:ascii="Helvetica" w:hAnsi="Helvetica" w:cs="Calibri"/>
          <w:lang w:val="en-US"/>
        </w:rPr>
        <w:instrText>ADDIN CSL_CITATION {"citationItems":[{"id":"ITEM-1","itemData":{"DOI":"10.1007/s11605-019-04112-4","ISSN":"1091-255X","PMID":"30719675","abstract":"BACKGROUND Considering the increasing evidence on the feasibility of laparoscopic major hepatectomies (LMH), their clinical outcomes and associated costs were herein evaluated compared to open (OMH). METHODS Major contributors of perioperative expenses were considered. With respect to the occurrence of conversion, a primary intention-to-treat analysis including conversions in the LMH group (ITT-A) was performed. An additional per-protocol analysis excluding conversions (PP-A) was undertaken, with calculation of additional costs of conversion analysis. RESULTS One hundred forty-five LMH and 61 OMH were included (14.5% conversion rate). At the ITT-A, LMH showed lower blood loss (p &lt; 0.001) and morbidity (global p 0.037, moderate p 0.037), shorter hospital stay (p 0.035), and a lower need for intra- and postoperative red blood cells transfusions (p &lt; 0.001), investigations (p 0.004), and antibiotics (p 0.002). The higher intraoperative expenses (+ 32.1%, p &lt; 0.001) were offset by postoperative savings (- 27.2%, p 0.030), resulting in a global cost-neutrality of LMH (- 7.2%, p 0.807). At the PP-A, completed LMH showed also lower severe complications (p 0.042), interventional procedures (p 0.027), and readmission rates (p 0.031), and postoperative savings increased to - 71.3% (p 0.003) resulting in a 29.9% cost advantage of completed LMH (p 0.020). However, the mean additional cost of conversion was significant. CONCLUSIONS Completed LMH exhibit a high potential treatment effect compared to OMH and are associated to significant cost savings. Despite some of these benefits may be jeopardized by conversion, a program of LMH can still provide considerable clinical benefits without cost disadvantage and appears worth to be implemented in high-volume centers.","author":[{"dropping-particle":"","family":"Cipriani","given":"Federica","non-dropping-particle":"","parse-names":false,"suffix":""},{"dropping-particle":"","family":"Ratti","given":"Francesca","non-dropping-particle":"","parse-names":false,"suffix":""},{"dropping-particle":"","family":"Cardella","given":"Arianna","non-dropping-particle":"","parse-names":false,"suffix":""},{"dropping-particle":"","family":"Catena","given":"Marco","non-dropping-particle":"","parse-names":false,"suffix":""},{"dropping-particle":"","family":"Paganelli","given":"Michele","non-dropping-particle":"","parse-names":false,"suffix":""},{"dropping-particle":"","family":"Aldrighetti","given":"Luca","non-dropping-particle":"","parse-names":false,"suffix":""}],"container-title":"Journal of Gastrointestinal Surgery","id":"ITEM-1","issued":{"date-parts":[["2019","2","4"]]},"title":"Laparoscopic Versus Open Major Hepatectomy: Analysis of Clinical Outcomes and Cost Effectiveness in a High-Volume Center","type":"article-journal"},"uris":["http://www.mendeley.com/documents/?uuid=ab8f66e3-255b-38a2-a7f1-54cf8ea9f365"]},{"id":"ITEM-2","itemData":{"DOI":"10.1016/j.surg.2018.01.020","ISSN":"1532-7361","PMID":"29555197","abstract":"BACKGROUND The role of laparoscopy for major hepatectomies remains a matter of development to be further assessed. The purpose of this study is to compare the short- and long-term outcomes between laparoscopic and open major hepatectomies meta-analyzing individual patient data from published comparative studies. METHODS All retrospective studies comparing between laparoscopic and open major hepatectomies published until March 2017 were identified independently by 2 reviewers by searching in PubMed and Cochrane Central Register of Controlled Trials. Individual patient data were sought from all selected studies. Postoperative outcomes, including intraoperative blood loss, operative time, hospital stay, postoperative complications, mortality rates, and long-term survival were analyzed. RESULTS A total of 917 patients were divided into the laparoscopic (427) and open (490) groups from 8 selected studies. The hospital stay was significantly shorter, and the total morbidity was lower in the laparoscopic group. When classified by severity, the incidence of postoperative minor complications was lower; however, that of major complications was not significantly different. The operative time was longer in the laparoscopic group; however, intraoperative blood loss, perioperative mortality, and blood transfusions were comparable between the 2 groups. The overall survival in the patients with colorectal liver metastases and hepatocellular carcinoma was not significantly different between the 2 groups. CONCLUSION Laparoscopic major hepatectomies offer some perioperative advantages, including fewer complications and shorter hospital stay, without increasing the blood loss volume and mortality. Whether these results can anticipate the outcomes in future randomized controlled trials has not been determined.","author":[{"dropping-particle":"","family":"Kasai","given":"Meidai","non-dropping-particle":"","parse-names":false,"suffix":""},{"dropping-particle":"","family":"Cipriani","given":"Federica","non-dropping-particle":"","parse-names":false,"suffix":""},{"dropping-particle":"","family":"Gayet","given":"Brice","non-dropping-particle":"","parse-names":false,"suffix":""},{"dropping-particle":"","family":"Aldrighetti","given":"Luca","non-dropping-particle":"","parse-names":false,"suffix":""},{"dropping-particle":"","family":"Ratti","given":"Francesca","non-dropping-particle":"","parse-names":false,"suffix":""},{"dropping-particle":"","family":"Sarmiento","given":"Juan M","non-dropping-particle":"","parse-names":false,"suffix":""},{"dropping-particle":"","family":"Scatton","given":"Olivier","non-dropping-particle":"","parse-names":false,"suffix":""},{"dropping-particle":"","family":"Kim","given":"Ki-Hun","non-dropping-particle":"","parse-names":false,"suffix":""},{"dropping-particle":"","family":"Dagher","given":"Ibrahim","non-dropping-particle":"","parse-names":false,"suffix":""},{"dropping-particle":"","family":"Topal","given":"Baki","non-dropping-particle":"","parse-names":false,"suffix":""},{"dropping-particle":"","family":"Primrose","given":"John","non-dropping-particle":"","parse-names":false,"suffix":""},{"dropping-particle":"","family":"Nomi","given":"Takeo","non-dropping-particle":"","parse-names":false,"suffix":""},{"dropping-particle":"","family":"Fuks","given":"David","non-dropping-particle":"","parse-names":false,"suffix":""},{"dropping-particle":"","family":"Abu Hilal","given":"Mohammad","non-dropping-particle":"","parse-names":false,"suffix":""}],"container-title":"Surgery","id":"ITEM-2","issue":"5","issued":{"date-parts":[["2018","5"]]},"page":"985-995","title":"Laparoscopic versus open major hepatectomy: a systematic review and meta-analysis of individual patient data.","type":"article-journal","volume":"163"},"uris":["http://www.mendeley.com/documents/?uuid=d0c651dc-e8fe-317e-9f24-321c5f69a63d"]},{"id":"ITEM-3","itemData":{"DOI":"10.1097/SLA.0000000000001413","ISSN":"15281140","PMID":"26700223","abstract":"OBJECTIVE: To perform a systematic review of worldwide literature on laparoscopic liver resections (LLR) and compare short-term outcomes against open liver resections (OLR) by meta-analyses. SUMMARY BACKGROUND DATA: There are no updated pooled data since 2009 about the current status and short-term outcomes of LLR worldwide. PATIENTS AND METHODS: All English language publications on LLR were screened. Descriptive worldwide data and short-term outcomes were obtained. Separate analyses were performed for minor-only and major-only resection series, and series in which minor/major resections were not differentiated. Apparent case duplications were excluded. RESULTS: A set of 463 published manuscripts were reviewed. One hundred seventy-nine single-center series were identified that accounted for 9527 LLR cases worldwide. Minor-only, major-only, and combined major-minor series were 61, 18, and 100, respectively, including 32, 8, and 43 comparative series, respectively. Of the total 9527 LLR cases reported, 6190 (65%) were for malignancy and 3337 (35%) were for benign indications. There were 37 deaths reported (mortality rate = 0.4%). From the meta-analysis comparing case-matched LLR to OLR (N = 2900 cases), there was no increased mortality and significantly less complications, transfusions, blood loss, and hospital stay observed in LLR vs OLR. CONCLUSIONS: This is the largest review of LLR available to date with over 9000 cases published. It confirms growing safety when performed in selected patients and by trained surgeons, and suggests that LLR may offer improved patient short-term outcomes compared with OLR. Improved levels of evidence, standardized reporting of outcomes, and assuring proper training are the next challenges of laparoscopic liver surgery.","author":[{"dropping-particle":"","family":"Ciria","given":"Ruben","non-dropping-particle":"","parse-names":false,"suffix":""},{"dropping-particle":"","family":"Cherqui","given":"Daniel","non-dropping-particle":"","parse-names":false,"suffix":""},{"dropping-particle":"","family":"Geller","given":"David A.","non-dropping-particle":"","parse-names":false,"suffix":""},{"dropping-particle":"","family":"Briceno","given":"Javier","non-dropping-particle":"","parse-names":false,"suffix":""},{"dropping-particle":"","family":"Wakabayashi","given":"Go","non-dropping-particle":"","parse-names":false,"suffix":""}],"container-title":"Annals of Surgery","id":"ITEM-3","issue":"4","issued":{"date-parts":[["2016","4"]]},"page":"761-777","title":"Comparative short-term benefits of laparoscopic liver resection: 9000 cases and climbing","type":"article-journal","volume":"263"},"uris":["http://www.mendeley.com/documents/?uuid=ddfcd331-fba1-33e2-8ce4-aabc94688f5b"]},{"id":"ITEM-4","itemData":{"DOI":"10.1097/SLA.0b013e3181bcaf46","ISSN":"0003-4932","PMID":"19806057","abstract":"OBJECTIVE To analyze the results of 6 international surgical centers performing laparoscopic major liver resections. SUMMARY BACKGROUND DATA The safety and feasibility of laparoscopy for minor liver resections has been previously demonstrated. Major anatomic liver resections, initially considered to be unsuitable for laparoscopy, are increasingly reported by several centers worldwide. METHODS Prospective databases of 3 European, 2 U.S., and 1 Australian centers were combined. Between 1997 and 2008, 210 major liver resections were performed: 136 right and 74 left hepatectomies. Results and differences in surgical techniques between the 6 centers are outlined. RESULTS Surgical duration was 250 minutes (range: 90-655 minutes). Operative blood loss was 300 mL (range: 20-2500 mL). Thirty patients (14.3%) received blood transfusion. Conversion to open surgery was required in 26 patients (12.4%). Portal triad clamping was performed in 24 patients (11.4%). Median tumor size was 5.4 cm (range: 1-25 cm) and surgical margin was 10.5 mm (range: 0-70 mm). Two patients died during the postoperative period from pulmonary embolism and urosepsis. Liver-specific and general complications occurred in 17 (8.1%) and 29 patients (13.8%), respectively. Hospital length of stay was 6 days (range: 1-34 days). A further analysis of early (n = 90) and late (n = 120) experience showed improved surgical and postoperative results in the latter group. CONCLUSIONS This multicenter study demonstrates that laparoscopic major liver resections are feasible in selected patients and results improve with experience. However, proficiency in both open liver surgery and advanced laparoscopy is compulsory and surgeons must begin with minor laparoscopic resections.","author":[{"dropping-particle":"","family":"Dagher","given":"Ibrahim","non-dropping-particle":"","parse-names":false,"suffix":""},{"dropping-particle":"","family":"OʼRourke","given":"Nicholas","non-dropping-particle":"","parse-names":false,"suffix":""},{"dropping-particle":"","family":"Geller","given":"David A.","non-dropping-particle":"","parse-names":false,"suffix":""},{"dropping-particle":"","family":"Cherqui","given":"Daniel","non-dropping-particle":"","parse-names":false,"suffix":""},{"dropping-particle":"","family":"Belli","given":"Giulio","non-dropping-particle":"","parse-names":false,"suffix":""},{"dropping-particle":"","family":"Gamblin","given":"T Clark","non-dropping-particle":"","parse-names":false,"suffix":""},{"dropping-particle":"","family":"Lainas","given":"Panagiotis","non-dropping-particle":"","parse-names":false,"suffix":""},{"dropping-particle":"","family":"Laurent","given":"Alexis","non-dropping-particle":"","parse-names":false,"suffix":""},{"dropping-particle":"","family":"Nguyen","given":"Kevin Tri","non-dropping-particle":"","parse-names":false,"suffix":""},{"dropping-particle":"","family":"Marvin","given":"Michael R.","non-dropping-particle":"","parse-names":false,"suffix":""},{"dropping-particle":"","family":"Thomas","given":"Mark","non-dropping-particle":"","parse-names":false,"suffix":""},{"dropping-particle":"","family":"Ravindra","given":"Kadyalia","non-dropping-particle":"","parse-names":false,"suffix":""},{"dropping-particle":"","family":"Fielding","given":"George","non-dropping-particle":"","parse-names":false,"suffix":""},{"dropping-particle":"","family":"Franco","given":"Dominique","non-dropping-particle":"","parse-names":false,"suffix":""},{"dropping-particle":"","family":"Buell","given":"Joseph F.","non-dropping-particle":"","parse-names":false,"suffix":""}],"container-title":"Annals of Surgery","id":"ITEM-4","issue":"5","issued":{"date-parts":[["2009","11"]]},"page":"856-860","title":"Laparoscopic Major Hepatectomy","type":"article-journal","volume":"250"},"uris":["http://www.mendeley.com/documents/?uuid=ece41ce9-02ef-332d-b880-e7653b8a34b6"]}],"mendeley":{"formattedCitation":"(1, 2, 8, 9)","plainTextFormattedCitation":"(1, 2, 8, 9)","previouslyFormattedCitation":"(1, 2, 8, 9)"},"properties":{"noteIndex":0},"schema":"https://github.com/citation-style-language/schema/raw/master/csl-citation.json"}</w:instrText>
      </w:r>
      <w:r w:rsidR="00CB05B3" w:rsidRPr="009824AD">
        <w:rPr>
          <w:rFonts w:ascii="Helvetica" w:hAnsi="Helvetica" w:cs="Calibri"/>
          <w:lang w:val="en-US"/>
        </w:rPr>
        <w:fldChar w:fldCharType="separate"/>
      </w:r>
      <w:r w:rsidR="000D44B8" w:rsidRPr="009824AD">
        <w:rPr>
          <w:rFonts w:ascii="Helvetica" w:hAnsi="Helvetica" w:cs="Calibri"/>
          <w:noProof/>
          <w:lang w:val="en-US"/>
        </w:rPr>
        <w:t>(1, 2, 8, 9)</w:t>
      </w:r>
      <w:r w:rsidR="00CB05B3" w:rsidRPr="009824AD">
        <w:rPr>
          <w:rFonts w:ascii="Helvetica" w:hAnsi="Helvetica" w:cs="Calibri"/>
          <w:lang w:val="en-US"/>
        </w:rPr>
        <w:fldChar w:fldCharType="end"/>
      </w:r>
      <w:r w:rsidR="00E444F2" w:rsidRPr="009824AD">
        <w:rPr>
          <w:rFonts w:ascii="Helvetica" w:hAnsi="Helvetica" w:cs="Calibri"/>
          <w:lang w:val="en-US"/>
        </w:rPr>
        <w:t>.</w:t>
      </w:r>
    </w:p>
    <w:p w14:paraId="127EB95B" w14:textId="77777777" w:rsidR="00B37364" w:rsidRPr="009824AD" w:rsidRDefault="00B37364" w:rsidP="00B37364">
      <w:pPr>
        <w:pStyle w:val="Geenafstand"/>
        <w:spacing w:line="480" w:lineRule="auto"/>
        <w:jc w:val="both"/>
        <w:rPr>
          <w:rFonts w:ascii="Helvetica" w:hAnsi="Helvetica" w:cs="Calibri"/>
          <w:lang w:val="en-US"/>
        </w:rPr>
      </w:pPr>
    </w:p>
    <w:p w14:paraId="011171D3" w14:textId="01E74CBC" w:rsidR="006F5759" w:rsidRPr="009824AD" w:rsidRDefault="000B62F3" w:rsidP="00736A3C">
      <w:pPr>
        <w:spacing w:line="480" w:lineRule="auto"/>
        <w:jc w:val="both"/>
        <w:rPr>
          <w:rFonts w:ascii="Helvetica" w:hAnsi="Helvetica" w:cs="Calibri"/>
          <w:sz w:val="22"/>
          <w:szCs w:val="22"/>
          <w:lang w:val="en-US"/>
        </w:rPr>
      </w:pPr>
      <w:r w:rsidRPr="009824AD">
        <w:rPr>
          <w:rFonts w:ascii="Helvetica" w:hAnsi="Helvetica" w:cs="Calibri"/>
          <w:sz w:val="22"/>
          <w:szCs w:val="22"/>
          <w:lang w:val="en-US"/>
        </w:rPr>
        <w:t xml:space="preserve">Postoperative </w:t>
      </w:r>
      <w:r w:rsidR="00475368" w:rsidRPr="009824AD">
        <w:rPr>
          <w:rFonts w:ascii="Helvetica" w:hAnsi="Helvetica" w:cs="Calibri"/>
          <w:sz w:val="22"/>
          <w:szCs w:val="22"/>
          <w:lang w:val="en-US"/>
        </w:rPr>
        <w:t>b</w:t>
      </w:r>
      <w:r w:rsidR="00B37364" w:rsidRPr="009824AD">
        <w:rPr>
          <w:rFonts w:ascii="Helvetica" w:hAnsi="Helvetica" w:cs="Calibri"/>
          <w:sz w:val="22"/>
          <w:szCs w:val="22"/>
          <w:lang w:val="en-US"/>
        </w:rPr>
        <w:t>ile leakage (</w:t>
      </w:r>
      <w:r w:rsidRPr="009824AD">
        <w:rPr>
          <w:rFonts w:ascii="Helvetica" w:hAnsi="Helvetica" w:cs="Calibri"/>
          <w:sz w:val="22"/>
          <w:szCs w:val="22"/>
          <w:lang w:val="en-US"/>
        </w:rPr>
        <w:t>PO</w:t>
      </w:r>
      <w:r w:rsidR="00B37364" w:rsidRPr="009824AD">
        <w:rPr>
          <w:rFonts w:ascii="Helvetica" w:hAnsi="Helvetica" w:cs="Calibri"/>
          <w:sz w:val="22"/>
          <w:szCs w:val="22"/>
          <w:lang w:val="en-US"/>
        </w:rPr>
        <w:t xml:space="preserve">BL) is one of the most common postoperative complications following liver surgery with </w:t>
      </w:r>
      <w:r w:rsidR="00B37364" w:rsidRPr="009824AD">
        <w:rPr>
          <w:rFonts w:ascii="Helvetica" w:eastAsia="Times New Roman" w:hAnsi="Helvetica" w:cs="Calibri"/>
          <w:sz w:val="22"/>
          <w:szCs w:val="22"/>
          <w:lang w:val="en-US" w:eastAsia="nl-NL"/>
        </w:rPr>
        <w:t xml:space="preserve">extremely variable </w:t>
      </w:r>
      <w:r w:rsidR="00936EC2" w:rsidRPr="009824AD">
        <w:rPr>
          <w:rFonts w:ascii="Helvetica" w:eastAsia="Times New Roman" w:hAnsi="Helvetica" w:cs="Calibri"/>
          <w:sz w:val="22"/>
          <w:szCs w:val="22"/>
          <w:lang w:val="en-US" w:eastAsia="nl-NL"/>
        </w:rPr>
        <w:t xml:space="preserve">reported </w:t>
      </w:r>
      <w:r w:rsidR="00B37364" w:rsidRPr="009824AD">
        <w:rPr>
          <w:rFonts w:ascii="Helvetica" w:eastAsia="Times New Roman" w:hAnsi="Helvetica" w:cs="Calibri"/>
          <w:sz w:val="22"/>
          <w:szCs w:val="22"/>
          <w:lang w:val="en-US" w:eastAsia="nl-NL"/>
        </w:rPr>
        <w:t>incidence rates</w:t>
      </w:r>
      <w:r w:rsidR="00DA6362" w:rsidRPr="009824AD">
        <w:rPr>
          <w:rFonts w:ascii="Helvetica" w:eastAsia="Times New Roman" w:hAnsi="Helvetica" w:cs="Calibri"/>
          <w:sz w:val="22"/>
          <w:szCs w:val="22"/>
          <w:lang w:val="en-US" w:eastAsia="nl-NL"/>
        </w:rPr>
        <w:t>, ranging</w:t>
      </w:r>
      <w:r w:rsidR="00B37364" w:rsidRPr="009824AD">
        <w:rPr>
          <w:rFonts w:ascii="Helvetica" w:eastAsia="Times New Roman" w:hAnsi="Helvetica" w:cs="Calibri"/>
          <w:sz w:val="22"/>
          <w:szCs w:val="22"/>
          <w:lang w:val="en-US" w:eastAsia="nl-NL"/>
        </w:rPr>
        <w:t xml:space="preserve"> between 3.6</w:t>
      </w:r>
      <w:r w:rsidR="000B7DA3" w:rsidRPr="009824AD">
        <w:rPr>
          <w:rFonts w:ascii="Helvetica" w:eastAsia="Times New Roman" w:hAnsi="Helvetica" w:cs="Calibri"/>
          <w:sz w:val="22"/>
          <w:szCs w:val="22"/>
          <w:lang w:val="en-US" w:eastAsia="nl-NL"/>
        </w:rPr>
        <w:t>%</w:t>
      </w:r>
      <w:r w:rsidR="00B37364" w:rsidRPr="009824AD">
        <w:rPr>
          <w:rFonts w:ascii="Helvetica" w:eastAsia="Times New Roman" w:hAnsi="Helvetica" w:cs="Calibri"/>
          <w:sz w:val="22"/>
          <w:szCs w:val="22"/>
          <w:lang w:val="en-US" w:eastAsia="nl-NL"/>
        </w:rPr>
        <w:t xml:space="preserve"> and 33</w:t>
      </w:r>
      <w:r w:rsidR="000B7DA3" w:rsidRPr="009824AD">
        <w:rPr>
          <w:rFonts w:ascii="Helvetica" w:eastAsia="Times New Roman" w:hAnsi="Helvetica" w:cs="Calibri"/>
          <w:sz w:val="22"/>
          <w:szCs w:val="22"/>
          <w:lang w:val="en-US" w:eastAsia="nl-NL"/>
        </w:rPr>
        <w:t>%</w:t>
      </w:r>
      <w:r w:rsidR="00475368" w:rsidRPr="009824AD">
        <w:rPr>
          <w:rFonts w:ascii="Helvetica" w:eastAsia="Times New Roman" w:hAnsi="Helvetica" w:cs="Calibri"/>
          <w:sz w:val="22"/>
          <w:szCs w:val="22"/>
          <w:lang w:val="en-US" w:eastAsia="nl-NL"/>
        </w:rPr>
        <w:t>, depending on the type of resection</w:t>
      </w:r>
      <w:r w:rsidR="00B37364" w:rsidRPr="009824AD">
        <w:rPr>
          <w:rFonts w:ascii="Helvetica" w:hAnsi="Helvetica" w:cs="Calibri"/>
          <w:sz w:val="22"/>
          <w:szCs w:val="22"/>
          <w:lang w:val="en-US"/>
        </w:rPr>
        <w:fldChar w:fldCharType="begin" w:fldLock="1"/>
      </w:r>
      <w:r w:rsidR="000D44B8" w:rsidRPr="009824AD">
        <w:rPr>
          <w:rFonts w:ascii="Helvetica" w:hAnsi="Helvetica" w:cs="Calibri"/>
          <w:sz w:val="22"/>
          <w:szCs w:val="22"/>
          <w:lang w:val="en-US"/>
        </w:rPr>
        <w:instrText>ADDIN CSL_CITATION {"citationItems":[{"id":"ITEM-1","itemData":{"ISSN":"1499-3872","PMID":"26818547","abstract":"BACKGROUND The primary focus of the study was to analyze the risk factors for bile leakage after hepatectomy for benign or malignant tumors. METHODS A total of 411 patients who had undergone hepatectomy between December 2006 and December 2011 were retrospectively analyzed. The severity of bile leakage was graded according to the ISGLS classification. Twenty-eight pre- and postoperative parameters were analyzed. RESULTS The overall bile leakage incidence was 10.2% (42/411). The severity of the leakage was classified according to the ISGLS classification. Bile leakage was detected early in case of abdominal drainage (11.4% vs 1.9%, P=0.034). It prolonged the time of hospitalization (16 vs 9 days, P=0.001). In all patients, wedge resection was associated with a higher incidence of bile leakage in contrast to anatomical resections (25.6% vs 4.1%, P&lt;0.0001) regardless of the underlying liver disease. Furthermore, total vascular exclusion increased risk of bile leakage (P=0.008). CONCLUSIONS Bile leakage as a major issue after hepatic resection is related to the postoperative morbidity and the hospitalization time. It is associated with non-anatomical resection and a total vascular exclusion.","author":[{"dropping-particle":"","family":"Panaro","given":"Fabrizio","non-dropping-particle":"","parse-names":false,"suffix":""},{"dropping-particle":"","family":"Hacina","given":"Lisa","non-dropping-particle":"","parse-names":false,"suffix":""},{"dropping-particle":"","family":"Bouyabrine","given":"Hassan","non-dropping-particle":"","parse-names":false,"suffix":""},{"dropping-particle":"","family":"Al-Hashmi","given":"Al-Warith","non-dropping-particle":"","parse-names":false,"suffix":""},{"dropping-particle":"","family":"Herrero","given":"Astrid","non-dropping-particle":"","parse-names":false,"suffix":""},{"dropping-particle":"","family":"Navarro","given":"Francis","non-dropping-particle":"","parse-names":false,"suffix":""}],"container-title":"Hepatobiliary &amp; pancreatic diseases international : HBPD INT","id":"ITEM-1","issue":"1","issued":{"date-parts":[["2016","2"]]},"page":"81-6","title":"Risk factors for postoperative bile leakage: a retrospective single-center analysis of 411 hepatectomies.","type":"article-journal","volume":"15"},"uris":["http://www.mendeley.com/documents/?uuid=27a8c427-d7c7-32da-a6e6-9bffd7bb7a73"]},{"id":"ITEM-2","itemData":{"DOI":"10.1016/j.surg.2012.03.012","ISSN":"00396060","PMID":"22657729","abstract":"BACKGROUND Variations in the definition of bile leakage after hepatic resection have prevented the identification of risk factors for early diagnosis and efficient management. The International Study Group of Liver Surgery (ISGLS) definition standardizes reporting of this complication. It was our aim in the present study to prospectively validate the ISGLS definition of bile leakage after hepatic resection. Furthermore, we sought to identify early predictors of clinically relevant bile leakage. METHODS A total of 265 patients who underwent elective hepatic resection were enrolled prospectively. Bilirubin concentrations were determined in the serum and drainage fluid until postoperative day 5. Risk factors of Grade B/C bile leakage were assessed by the use of univariate and multivariate analyses. RESULTS Grade A, B, and C bile leakage was diagnosed in 23 (8.7%), 38 (14.3%), and 11 (4.1%) patients, respectively. The definition as well as severity grading of bile leakage correlated with the duration of drainage and intensive care unit and hospital stay. Perioperative mortality was 0% for Grade A, 5.2% for Grade B, and 45.4% for Grade C bile leakage (P &lt; .0001). Multivariate analysis confirmed bilirubin concentration in the drainage fluid ≥2.4 mg/dL on postoperative day 2 (odds ratio 11.88; 95% confidence interval 5.33-26.49; P &lt; .0001) and anatomic resection (odds ratio 3.59; 95% CI 1.08-11.97; P = .04) as independent predictors of clinically relevant bile leakage. CONCLUSION The ISGLS definition and severity grading of bile leakage after hepatic resection is clinically meaningful. Bilirubin concentration in the drainage fluid on postoperative day 2 is a strong predictor of clinically relevant bile leakage.","author":[{"dropping-particle":"","family":"Rahbari","given":"Nuh N.","non-dropping-particle":"","parse-names":false,"suffix":""},{"dropping-particle":"","family":"Elbers","given":"Heike","non-dropping-particle":"","parse-names":false,"suffix":""},{"dropping-particle":"","family":"Koch","given":"Moritz","non-dropping-particle":"","parse-names":false,"suffix":""},{"dropping-particle":"","family":"Kirchberg","given":"Johanna","non-dropping-particle":"","parse-names":false,"suffix":""},{"dropping-particle":"","family":"Dutlu","given":"Mehmet","non-dropping-particle":"","parse-names":false,"suffix":""},{"dropping-particle":"","family":"Mehrabi","given":"Arianeb","non-dropping-particle":"","parse-names":false,"suffix":""},{"dropping-particle":"","family":"Büchler","given":"Markus W.","non-dropping-particle":"","parse-names":false,"suffix":""},{"dropping-particle":"","family":"Weitz","given":"Jürgen","non-dropping-particle":"","parse-names":false,"suffix":""}],"container-title":"Surgery","id":"ITEM-2","issue":"5","issued":{"date-parts":[["2012","11"]]},"page":"821-831","title":"Bilirubin level in the drainage fluid is an early and independent predictor of clinically relevant bile leakage after hepatic resection","type":"article-journal","volume":"152"},"uris":["http://www.mendeley.com/documents/?uuid=bafefe31-8809-3874-ab43-bd1bb7e43121"]},{"id":"ITEM-3","itemData":{"DOI":"10.1097/MD.0000000000005466","ISSN":"1536-5964","PMID":"27930526","abstract":"To construct a robust morbidity risk-prediction model based on a Japanese nationwide web-based database of patients who underwent liver surgery.Although liver resection has become safer, patient mortality and morbidity still occur. This study investigated postoperative morbidity risks in patients who underwent hepatectomy in Japan at institutions registered in the National Clinical Database.This analysis involved 14,970 patients who underwent hepatectomy of more than 1 section, except for left lateral sectionectomy, during 2011 and 2012 at 1192 hospitals in Japan. Patients were randomized into 2 subsets, with 80% of patients analyzed for model development and the remaining 20% for model validation.Rates of 90-day inhospital mortality and overall morbidity were 3.7% and 25.7%, respectively. Rates of surgical site infection and bile leakage were 9.0% and 8.0%, respectively, but these morbidities showed little association with mortality. Rates of nonsurgical complications, including postoperative transfusion over 5 units, unexpected intubation, renal failure, cardiac events, septic shock, and postoperative pneumonia, ranged from 0.2% to 2.6%. These complications were highly associated with mortality, suggesting they were life-threatening. Risk models for morbidity yielded high C-indices for transfusion of over 5 units (0.758), unplanned intubation (0.755), renal failure (0.80), cardiac events (0.779), septic shock (0.783), pneumonia (0.768), and bile leakage (0.676).Preoperative parameters/comorbidities can accurately predict life-threatening complications after hepatectomy. These models allow early identification of patients at risk of mortality and may be useful in deciding on surgical interventions and in improving surgical quality.","author":[{"dropping-particle":"","family":"Yokoo","given":"Hideki","non-dropping-particle":"","parse-names":false,"suffix":""},{"dropping-particle":"","family":"Miyata","given":"Hiroaki","non-dropping-particle":"","parse-names":false,"suffix":""},{"dropping-particle":"","family":"Konno","given":"Hiroyuki","non-dropping-particle":"","parse-names":false,"suffix":""},{"dropping-particle":"","family":"Taketomi","given":"Akinobu","non-dropping-particle":"","parse-names":false,"suffix":""},{"dropping-particle":"","family":"Kakisaka","given":"Tatsuhiko","non-dropping-particle":"","parse-names":false,"suffix":""},{"dropping-particle":"","family":"Hirahara","given":"Norimichi","non-dropping-particle":"","parse-names":false,"suffix":""},{"dropping-particle":"","family":"Wakabayashi","given":"Go","non-dropping-particle":"","parse-names":false,"suffix":""},{"dropping-particle":"","family":"Gotoh","given":"Mitsukazu","non-dropping-particle":"","parse-names":false,"suffix":""},{"dropping-particle":"","family":"Mori","given":"Masaki","non-dropping-particle":"","parse-names":false,"suffix":""}],"container-title":"Medicine","id":"ITEM-3","issue":"49","issued":{"date-parts":[["2016","12"]]},"page":"e5466","publisher":"Wolters Kluwer Health","title":"Models predicting the risks of six life-threatening morbidities and bile leakage in 14,970 hepatectomy patients registered in the National Clinical Database of Japan.","type":"article-journal","volume":"95"},"uris":["http://www.mendeley.com/documents/?uuid=7c44e796-dd1c-312d-a04e-43b360f9a4c6"]},{"id":"ITEM-4","itemData":{"DOI":"10.1007/s11605-017-3650-4","ISSN":"1873-4626","PMID":"29247421","abstract":"BACKGROUND Despite technical advances, bile leak remains a significant complication after hepatectomy. The current study uses a targeted multi-institutional dataset to characterize perioperative factors that are associated with bile leakage after hepatectomy to better understand the impact of bile leak on morbidity and mortality. METHODS Adult patients in the 2014-2015 ACS NSQIP targeted hepatectomy dataset were linked to the ACS NSQIP PUF dataset. Bivariable and multivariable regression analyses were used to assess the associations between clinical factors and post-hepatectomy bile leak. RESULTS Of 6859 patients, 530 (7.7%) had a postoperative bile leak. Proportion of bile leaks was significantly greater in patients after major compared to minor hepatectomy (12.6 vs. 5.1%, p &lt; 0.001). The proportion of patients with bile leak was significantly greater in patients after major hepatectomy who had concomitant enterohepatic reconstruction (31.8 vs. 10.1%, p &lt; 0.001). Postoperative mortality was significantly greater in patients with bile leaks (6.0 vs. 1.7%, p &lt; 0.001). After adjusting for significant covariates, bile leak was independently associated with increased risk of postoperative morbidity (OR = 4.55; 95% CI 3.72-5.56; p &lt; 0.001). After adjusting for significant effects of postoperative complications, liver failure, and reoperation (all p&lt;0.001), bile leak was not independently associated with increased risk of postoperative mortality (p = 0.262). CONCLUSION Major hepatectomy and enterohepatic biliary reconstruction are associated with significantly greater rates of bile leak after liver resection. Bile leak is independently associated with significant postoperative morbidity. Mitigation of bile leak is critical in reducing morbidity and mortality after liver resection.","author":[{"dropping-particle":"","family":"Martin","given":"Allison N","non-dropping-particle":"","parse-names":false,"suffix":""},{"dropping-particle":"","family":"Narayanan","given":"Sowmya","non-dropping-particle":"","parse-names":false,"suffix":""},{"dropping-particle":"","family":"Turrentine","given":"Florence E","non-dropping-particle":"","parse-names":false,"suffix":""},{"dropping-particle":"","family":"Bauer","given":"Todd W","non-dropping-particle":"","parse-names":false,"suffix":""},{"dropping-particle":"","family":"Adams","given":"Reid B","non-dropping-particle":"","parse-names":false,"suffix":""},{"dropping-particle":"","family":"Stukenborg","given":"George J","non-dropping-particle":"","parse-names":false,"suffix":""},{"dropping-particle":"","family":"Zaydfudim","given":"Victor M","non-dropping-particle":"","parse-names":false,"suffix":""}],"container-title":"Journal of gastrointestinal surgery : official journal of the Society for Surgery of the Alimentary Tract","id":"ITEM-4","issue":"4","issued":{"date-parts":[["2018"]]},"page":"661-667","publisher":"NIH Public Access","title":"Clinical Factors and Postoperative Impact of Bile Leak After Liver Resection.","type":"article-journal","volume":"22"},"uris":["http://www.mendeley.com/documents/?uuid=26c2b9ba-ae09-3f42-b6bf-6d3d69e1fd57"]}],"mendeley":{"formattedCitation":"(10–13)","plainTextFormattedCitation":"(10–13)","previouslyFormattedCitation":"(10–13)"},"properties":{"noteIndex":0},"schema":"https://github.com/citation-style-language/schema/raw/master/csl-citation.json"}</w:instrText>
      </w:r>
      <w:r w:rsidR="00B37364" w:rsidRPr="009824AD">
        <w:rPr>
          <w:rFonts w:ascii="Helvetica" w:hAnsi="Helvetica" w:cs="Calibri"/>
          <w:sz w:val="22"/>
          <w:szCs w:val="22"/>
          <w:lang w:val="en-US"/>
        </w:rPr>
        <w:fldChar w:fldCharType="separate"/>
      </w:r>
      <w:r w:rsidR="000D44B8" w:rsidRPr="009824AD">
        <w:rPr>
          <w:rFonts w:ascii="Helvetica" w:hAnsi="Helvetica" w:cs="Calibri"/>
          <w:noProof/>
          <w:sz w:val="22"/>
          <w:szCs w:val="22"/>
          <w:lang w:val="en-US"/>
        </w:rPr>
        <w:t>(10–13)</w:t>
      </w:r>
      <w:r w:rsidR="00B37364" w:rsidRPr="009824AD">
        <w:rPr>
          <w:rFonts w:ascii="Helvetica" w:hAnsi="Helvetica" w:cs="Calibri"/>
          <w:sz w:val="22"/>
          <w:szCs w:val="22"/>
          <w:lang w:val="en-US"/>
        </w:rPr>
        <w:fldChar w:fldCharType="end"/>
      </w:r>
      <w:r w:rsidR="00E444F2" w:rsidRPr="009824AD">
        <w:rPr>
          <w:rFonts w:ascii="Helvetica" w:hAnsi="Helvetica" w:cs="Calibri"/>
          <w:sz w:val="22"/>
          <w:szCs w:val="22"/>
          <w:lang w:val="en-US"/>
        </w:rPr>
        <w:t>.</w:t>
      </w:r>
      <w:r w:rsidR="00B37364" w:rsidRPr="009824AD">
        <w:rPr>
          <w:rFonts w:ascii="Helvetica" w:eastAsia="Times New Roman" w:hAnsi="Helvetica" w:cs="Calibri"/>
          <w:sz w:val="22"/>
          <w:szCs w:val="22"/>
          <w:lang w:val="en-US" w:eastAsia="nl-NL"/>
        </w:rPr>
        <w:t xml:space="preserve"> </w:t>
      </w:r>
      <w:r w:rsidR="00DA6362" w:rsidRPr="009824AD">
        <w:rPr>
          <w:rFonts w:ascii="Helvetica" w:eastAsia="Times New Roman" w:hAnsi="Helvetica" w:cs="Calibri"/>
          <w:sz w:val="22"/>
          <w:szCs w:val="22"/>
          <w:lang w:val="en-US" w:eastAsia="nl-NL"/>
        </w:rPr>
        <w:t>Despite a clear reduction in the incidence of POBL</w:t>
      </w:r>
      <w:r w:rsidR="00585115" w:rsidRPr="009824AD">
        <w:rPr>
          <w:rFonts w:ascii="Helvetica" w:eastAsia="Times New Roman" w:hAnsi="Helvetica" w:cs="Calibri"/>
          <w:sz w:val="22"/>
          <w:szCs w:val="22"/>
          <w:lang w:val="en-US" w:eastAsia="nl-NL"/>
        </w:rPr>
        <w:t xml:space="preserve"> </w:t>
      </w:r>
      <w:r w:rsidR="00DA6362" w:rsidRPr="009824AD">
        <w:rPr>
          <w:rFonts w:ascii="Helvetica" w:eastAsia="Times New Roman" w:hAnsi="Helvetica" w:cs="Calibri"/>
          <w:sz w:val="22"/>
          <w:szCs w:val="22"/>
          <w:lang w:val="en-US" w:eastAsia="nl-NL"/>
        </w:rPr>
        <w:t>reported in recent studies</w:t>
      </w:r>
      <w:r w:rsidR="00585115" w:rsidRPr="009824AD">
        <w:rPr>
          <w:rFonts w:ascii="Helvetica" w:eastAsia="Times New Roman" w:hAnsi="Helvetica" w:cs="Calibri"/>
          <w:sz w:val="22"/>
          <w:szCs w:val="22"/>
          <w:lang w:val="en-US" w:eastAsia="nl-NL"/>
        </w:rPr>
        <w:t xml:space="preserve">, </w:t>
      </w:r>
      <w:r w:rsidR="00BB268A" w:rsidRPr="009824AD">
        <w:rPr>
          <w:rFonts w:ascii="Helvetica" w:eastAsia="Times New Roman" w:hAnsi="Helvetica" w:cs="Calibri"/>
          <w:sz w:val="22"/>
          <w:szCs w:val="22"/>
          <w:lang w:val="en-US" w:eastAsia="nl-NL"/>
        </w:rPr>
        <w:t>i</w:t>
      </w:r>
      <w:r w:rsidR="00DA6362" w:rsidRPr="009824AD">
        <w:rPr>
          <w:rFonts w:ascii="Helvetica" w:eastAsia="Times New Roman" w:hAnsi="Helvetica" w:cs="Calibri"/>
          <w:sz w:val="22"/>
          <w:szCs w:val="22"/>
          <w:lang w:val="en-US" w:eastAsia="nl-NL"/>
        </w:rPr>
        <w:t xml:space="preserve">ts occurrence </w:t>
      </w:r>
      <w:r w:rsidR="00585115" w:rsidRPr="009824AD">
        <w:rPr>
          <w:rFonts w:ascii="Helvetica" w:eastAsia="Times New Roman" w:hAnsi="Helvetica" w:cs="Calibri"/>
          <w:sz w:val="22"/>
          <w:szCs w:val="22"/>
          <w:lang w:val="en-US" w:eastAsia="nl-NL"/>
        </w:rPr>
        <w:t>has been shown to be a strong prognostic for poor postoperative outcomes</w:t>
      </w:r>
      <w:r w:rsidR="00BB268A" w:rsidRPr="009824AD">
        <w:rPr>
          <w:rFonts w:ascii="Helvetica" w:eastAsia="Times New Roman" w:hAnsi="Helvetica" w:cs="Calibri"/>
          <w:sz w:val="22"/>
          <w:szCs w:val="22"/>
          <w:lang w:val="en-US" w:eastAsia="nl-NL"/>
        </w:rPr>
        <w:fldChar w:fldCharType="begin" w:fldLock="1"/>
      </w:r>
      <w:r w:rsidR="000D44B8" w:rsidRPr="009824AD">
        <w:rPr>
          <w:rFonts w:ascii="Helvetica" w:eastAsia="Times New Roman" w:hAnsi="Helvetica" w:cs="Calibri"/>
          <w:sz w:val="22"/>
          <w:szCs w:val="22"/>
          <w:lang w:val="en-US" w:eastAsia="nl-NL"/>
        </w:rPr>
        <w:instrText>ADDIN CSL_CITATION {"citationItems":[{"id":"ITEM-1","itemData":{"DOI":"10.21037/ls.2018.07.01","author":[{"dropping-particle":"","family":"Smith","given":"Alison","non-dropping-particle":"","parse-names":false,"suffix":""},{"dropping-particle":"","family":"Konstantinidis","given":"Ioannis T.","non-dropping-particle":"","parse-names":false,"suffix":""},{"dropping-particle":"","family":"Fong","given":"Yuman","non-dropping-particle":"","parse-names":false,"suffix":""},{"dropping-particle":"","family":"Martinie","given":"John","non-dropping-particle":"","parse-names":false,"suffix":""},{"dropping-particle":"","family":"Iannitti","given":"David","non-dropping-particle":"","parse-names":false,"suffix":""},{"dropping-particle":"","family":"Buell","given":"Joseph F.","non-dropping-particle":"","parse-names":false,"suffix":""}],"container-title":"Laparoscopic Surgery","id":"ITEM-1","issued":{"date-parts":[["2018"]]},"title":"A multi-institutional analysis of minimally invasive liver resections","type":"article-journal"},"uris":["http://www.mendeley.com/documents/?uuid=6cbe2703-4176-4a01-a8b8-edf8333f2d29"]},{"id":"ITEM-2","itemData":{"DOI":"10.1016/j.ejso.2019.02.021","ISSN":"15322157","abstract":"Background: Bile leakage (BL) is a frequent and severe complication following liver surgery. The aim of this study was to evaluate risk factors for BL, related other complications and association with long-term survival. Methods: This study included all patients undergoing hepatectomy in a single centre from 2005 to 2016. Perioperative risk factors related to BL were identified using univariable and multivariable analysis. Kaplan-Meier method was used for survival analysis. Results: BL occurred in 48 of 458 patients (11%). BLs were more frequent in patients after major hepatectomy (p = 0.001). Portal vein embolization, bilioenteric-anastomosis, lymphadenectomy, vascular reconstruction and operative time were significant factors for developing BL. Comparing patients with or without BL, BL was more commonly associated with other postoperative complications (p = 0.001), especially acute kidney failure and surgical-site-infections. There was no difference in 90-day-mortality (p = 0.124). The median disease-free survival was comparable (17 vs. 15 months, p = 0.976), also no difference was observed when stratifying for different tumour entities. There was no difference in median overall survival (OS) among malignant disease (35 vs. 47 months, p = 0.200) and in 3-year OS (46% vs. 59%). Multivariate analysis confirmed that postoperative liver failure and major hepatectomy were risk factors for reduced OS (p = 0.010). Conclusions: Many concerns have been raised regarding tumour progression after major complications. In this study, we only found a relevant influence of BL on OS in pCC, whereas no association was seen in other cancer types, indicating that tumour progression might be triggered by BL in cancer types arising from the bile ducts itself.","author":[{"dropping-particle":"","family":"Braunwarth","given":"Eva","non-dropping-particle":"","parse-names":false,"suffix":""},{"dropping-particle":"","family":"Primavesi","given":"Florian","non-dropping-particle":"","parse-names":false,"suffix":""},{"dropping-particle":"","family":"Göbel","given":"Georg","non-dropping-particle":"","parse-names":false,"suffix":""},{"dropping-particle":"","family":"Cardini","given":"Benno","non-dropping-particle":"","parse-names":false,"suffix":""},{"dropping-particle":"","family":"Oberhuber","given":"Rupert","non-dropping-particle":"","parse-names":false,"suffix":""},{"dropping-particle":"","family":"Margreiter","given":"Christian","non-dropping-particle":"","parse-names":false,"suffix":""},{"dropping-particle":"","family":"Maglione","given":"Manuel","non-dropping-particle":"","parse-names":false,"suffix":""},{"dropping-particle":"","family":"Schneeberger","given":"Stefan","non-dropping-particle":"","parse-names":false,"suffix":""},{"dropping-particle":"","family":"Öfner","given":"Dietmar","non-dropping-particle":"","parse-names":false,"suffix":""},{"dropping-particle":"","family":"Stättner","given":"Stefan","non-dropping-particle":"","parse-names":false,"suffix":""}],"container-title":"European Journal of Surgical Oncology","id":"ITEM-2","issue":"6","issued":{"date-parts":[["2019"]]},"page":"1077-1083","title":"Is bile leakage after hepatic resection associated with impaired long-term survival?","type":"article-journal","volume":"45"},"uris":["http://www.mendeley.com/documents/?uuid=936e7f91-e22f-48bd-b9aa-ab6dbc6d263f"]}],"mendeley":{"formattedCitation":"(14, 15)","plainTextFormattedCitation":"(14, 15)","previouslyFormattedCitation":"(14, 15)"},"properties":{"noteIndex":0},"schema":"https://github.com/citation-style-language/schema/raw/master/csl-citation.json"}</w:instrText>
      </w:r>
      <w:r w:rsidR="00BB268A" w:rsidRPr="009824AD">
        <w:rPr>
          <w:rFonts w:ascii="Helvetica" w:eastAsia="Times New Roman" w:hAnsi="Helvetica" w:cs="Calibri"/>
          <w:sz w:val="22"/>
          <w:szCs w:val="22"/>
          <w:lang w:val="en-US" w:eastAsia="nl-NL"/>
        </w:rPr>
        <w:fldChar w:fldCharType="separate"/>
      </w:r>
      <w:r w:rsidR="000D44B8" w:rsidRPr="009824AD">
        <w:rPr>
          <w:rFonts w:ascii="Helvetica" w:eastAsia="Times New Roman" w:hAnsi="Helvetica" w:cs="Calibri"/>
          <w:noProof/>
          <w:sz w:val="22"/>
          <w:szCs w:val="22"/>
          <w:lang w:val="en-US" w:eastAsia="nl-NL"/>
        </w:rPr>
        <w:t>(14, 15)</w:t>
      </w:r>
      <w:r w:rsidR="00BB268A" w:rsidRPr="009824AD">
        <w:rPr>
          <w:rFonts w:ascii="Helvetica" w:eastAsia="Times New Roman" w:hAnsi="Helvetica" w:cs="Calibri"/>
          <w:sz w:val="22"/>
          <w:szCs w:val="22"/>
          <w:lang w:val="en-US" w:eastAsia="nl-NL"/>
        </w:rPr>
        <w:fldChar w:fldCharType="end"/>
      </w:r>
      <w:r w:rsidR="00E444F2" w:rsidRPr="009824AD">
        <w:rPr>
          <w:rFonts w:ascii="Helvetica" w:eastAsia="Times New Roman" w:hAnsi="Helvetica" w:cs="Calibri"/>
          <w:sz w:val="22"/>
          <w:szCs w:val="22"/>
          <w:lang w:val="en-US" w:eastAsia="nl-NL"/>
        </w:rPr>
        <w:t>.</w:t>
      </w:r>
      <w:r w:rsidR="00585115" w:rsidRPr="009824AD">
        <w:rPr>
          <w:rFonts w:ascii="Helvetica" w:eastAsia="Times New Roman" w:hAnsi="Helvetica" w:cs="Calibri"/>
          <w:sz w:val="22"/>
          <w:szCs w:val="22"/>
          <w:lang w:val="en-US" w:eastAsia="nl-NL"/>
        </w:rPr>
        <w:t xml:space="preserve"> </w:t>
      </w:r>
      <w:r w:rsidR="00DA6362" w:rsidRPr="009824AD">
        <w:rPr>
          <w:rFonts w:ascii="Helvetica" w:eastAsia="Times New Roman" w:hAnsi="Helvetica" w:cs="Calibri"/>
          <w:sz w:val="22"/>
          <w:szCs w:val="22"/>
          <w:lang w:val="en-US" w:eastAsia="nl-NL"/>
        </w:rPr>
        <w:t xml:space="preserve">In fact, </w:t>
      </w:r>
      <w:r w:rsidR="00936EC2" w:rsidRPr="009824AD">
        <w:rPr>
          <w:rFonts w:ascii="Helvetica" w:hAnsi="Helvetica" w:cs="Calibri"/>
          <w:sz w:val="22"/>
          <w:szCs w:val="22"/>
          <w:lang w:val="en-US"/>
        </w:rPr>
        <w:t>PO</w:t>
      </w:r>
      <w:r w:rsidR="00B37364" w:rsidRPr="009824AD">
        <w:rPr>
          <w:rFonts w:ascii="Helvetica" w:hAnsi="Helvetica" w:cs="Calibri"/>
          <w:sz w:val="22"/>
          <w:szCs w:val="22"/>
          <w:lang w:val="en-US"/>
        </w:rPr>
        <w:t xml:space="preserve">BL has been shown to be associated with a prolonged </w:t>
      </w:r>
      <w:r w:rsidRPr="009824AD">
        <w:rPr>
          <w:rFonts w:ascii="Helvetica" w:hAnsi="Helvetica" w:cs="Calibri"/>
          <w:sz w:val="22"/>
          <w:szCs w:val="22"/>
          <w:lang w:val="en-US"/>
        </w:rPr>
        <w:t>LOS</w:t>
      </w:r>
      <w:r w:rsidR="00B37364" w:rsidRPr="009824AD">
        <w:rPr>
          <w:rFonts w:ascii="Helvetica" w:hAnsi="Helvetica" w:cs="Calibri"/>
          <w:sz w:val="22"/>
          <w:szCs w:val="22"/>
          <w:lang w:val="en-US"/>
        </w:rPr>
        <w:t>, delayed removal of abdominal drains and the need for additional diagnostics and reinterventions</w:t>
      </w:r>
      <w:r w:rsidR="00B37364" w:rsidRPr="009824AD">
        <w:rPr>
          <w:rFonts w:ascii="Helvetica" w:hAnsi="Helvetica" w:cs="Calibri"/>
          <w:sz w:val="22"/>
          <w:szCs w:val="22"/>
          <w:lang w:val="en-US"/>
        </w:rPr>
        <w:fldChar w:fldCharType="begin" w:fldLock="1"/>
      </w:r>
      <w:r w:rsidR="000D44B8" w:rsidRPr="009824AD">
        <w:rPr>
          <w:rFonts w:ascii="Helvetica" w:hAnsi="Helvetica" w:cs="Calibri"/>
          <w:sz w:val="22"/>
          <w:szCs w:val="22"/>
          <w:lang w:val="en-US"/>
        </w:rPr>
        <w:instrText>ADDIN CSL_CITATION {"citationItems":[{"id":"ITEM-1","itemData":{"DOI":"10.1001/archsurg.138.11.1198","ISSN":"0004-0010","abstract":"&lt;h3&gt;Background&lt;/h3&gt;&lt;p&gt;Despite improvements in diagnostic and surgical techniques, operative mortality associated with liver resection is still greater than 2% in most of the recent studies.&lt;/p&gt;&lt;h3&gt;Hypothesis&lt;/h3&gt;&lt;p&gt;By refining preoperative and postoperative care and surgical skills, liver resection mortality can be decreased to zero.&lt;/p&gt;&lt;h3&gt;Design&lt;/h3&gt;&lt;p&gt;Retrospective cohort study to analyze postoperative morbidity and mortality in 1056 consecutive hepatectomies performed at a single medical center during 8 years.&lt;/p&gt;&lt;h3&gt;Setting&lt;/h3&gt;&lt;p&gt;Tertiary referral center.&lt;/p&gt;&lt;h3&gt;Patients&lt;/h3&gt;&lt;p&gt;A total of 915 patients who underwent 1056 consecutive hepatic resections: 532 for hepatocellular carcinoma, 262 for other primary and secondary liver malignancies, 57 for biliary tract malignancy, 174 for living donor liver transplantation, and 31 for other benign diseases.&lt;/p&gt;&lt;h3&gt;Main Outcome Measures&lt;/h3&gt;&lt;p&gt;Operative mortality and morbidity rates.&lt;/p&gt;&lt;h3&gt;Results&lt;/h3&gt;&lt;p&gt;No operative mortality occurred. Major complications, as defined by postoperative radiologic or surgical intervention, occurred in 3% of patients with hepatocellular carcinoma, 8% with other liver malignancy, 28% with biliary malignancy, and 5% of living donor liver transplantation donors. Using multiple logistic regression, independent risk factors associated with major complications were operative blood loss of 1000 mL or greater for hepatocellular carcinoma and total bilirubin level of 1.0 mg/dL or greater (≥17 µmol/L) and operative time greater than 6 hours for other liver malignancy. No independent factors associated with major complications were identified for biliary malignancy or for living donor liver transplantation donors among the variables investigated in this study.&lt;/p&gt;&lt;h3&gt;Conclusions&lt;/h3&gt;&lt;p&gt;Liver resection can be performed without mortality provided that it is carried out in a high-volume medical center by well-trained hepatobiliary surgeons paying meticulous attention to the balance between the liver functional reserve and the volume of liver to be removed.&lt;/p&gt;","author":[{"dropping-particle":"","family":"Imamura","given":"Hiroshi","non-dropping-particle":"","parse-names":false,"suffix":""},{"dropping-particle":"","family":"Seyama","given":"Yasuji","non-dropping-particle":"","parse-names":false,"suffix":""},{"dropping-particle":"","family":"Kokudo","given":"Norihiro","non-dropping-particle":"","parse-names":false,"suffix":""},{"dropping-particle":"","family":"Maema","given":"Atsushi","non-dropping-particle":"","parse-names":false,"suffix":""},{"dropping-particle":"","family":"Sugawara","given":"Yasuhiko","non-dropping-particle":"","parse-names":false,"suffix":""},{"dropping-particle":"","family":"Sano","given":"Keiji","non-dropping-particle":"","parse-names":false,"suffix":""},{"dropping-particle":"","family":"Takayama","given":"Tadatoshi","non-dropping-particle":"","parse-names":false,"suffix":""},{"dropping-particle":"","family":"Makuuchi","given":"Masatoshi","non-dropping-particle":"","parse-names":false,"suffix":""}],"container-title":"Archives of Surgery","id":"ITEM-1","issue":"11","issued":{"date-parts":[["2003","11","1"]]},"page":"1198","publisher":"American Medical Association","title":"One Thousand Fifty-Six Hepatectomies Without Mortality in 8 Years","type":"article-journal","volume":"138"},"uris":["http://www.mendeley.com/documents/?uuid=f723274e-abf6-37ec-a410-6bb04384e0b2"]},{"id":"ITEM-2","itemData":{"DOI":"10.1097/01.sla.0000141195.66155.0c","ISSN":"0003-4932","PMID":"15383797","abstract":"OBJECTIVE To assess the trends in perioperative outcome of hepatectomy for hepatobiliary diseases. METHODS Data of 1222 consecutive patients who underwent hepatectomy for hepatobiliary diseases from July 1989 to June 2003 in a tertiary institution were collected prospectively. Perioperative outcome of patients in the first (group I) and second (group II) halves of this period was compared. Factors associated with morbidity and mortality were analyzed. RESULTS Diagnoses included hepatocellular carcinoma (n = 734), other liver cancers (n = 257), extrahepatic biliary malignancies (n = 43), hepatolithiasis (n = 101), benign liver tumors (n = 61), and other diseases (n = 26). The majority of patients (61.8%) underwent major hepatectomy of &gt; or = 3 segments. The overall hospital mortality and morbidity were 4.9% and 32.4%, respectively. The number of hepatectomies increased from 402 in group I to 820 in group II, partly as a result of more liberal patient selection. Group II had more elderly patients (P = 0.006), more patients with comorbid illnesses (P = 0.001), and significantly worse liver function. Nonetheless, group II had lower blood loss (median 750 versus 1450 mL, P &lt; 0.001), perioperative transfusion (17.3% versus 67.7%, P &lt; 0.001), morbidity (30.0% versus 37.3%, P = 0.012), and hospital mortality (3.7% versus 7.5%, P = 0.004). On multivariate analysis, hypoalbuminemia, thrombocytopenia, elevated serum creatinine, major hepatic resection, and transfusion were the significant predictors of hospital mortality, whereas concomitant extrahepatic procedure, thrombocytopenia, and transfusion were the predictors of morbidity. CONCLUSIONS Perioperative outcome has improved despite extending the indication of hepatectomy to more high-risk patients. The role of hepatectomy in the management of hepatobiliary diseases can be expanded. Reduced perioperative transfusion is the main contributory factor for improved outcome.","author":[{"dropping-particle":"","family":"Poon","given":"Ronnie T","non-dropping-particle":"","parse-names":false,"suffix":""},{"dropping-particle":"","family":"Fan","given":"Sheung Tat","non-dropping-particle":"","parse-names":false,"suffix":""},{"dropping-particle":"","family":"Lo","given":"Chung Mau","non-dropping-particle":"","parse-names":false,"suffix":""},{"dropping-particle":"","family":"Liu","given":"Chi Leung","non-dropping-particle":"","parse-names":false,"suffix":""},{"dropping-particle":"","family":"Lam","given":"Chi Ming","non-dropping-particle":"","parse-names":false,"suffix":""},{"dropping-particle":"","family":"Yuen","given":"Wai Key","non-dropping-particle":"","parse-names":false,"suffix":""},{"dropping-particle":"","family":"Yeung","given":"Chun","non-dropping-particle":"","parse-names":false,"suffix":""},{"dropping-particle":"","family":"Wong","given":"John","non-dropping-particle":"","parse-names":false,"suffix":""}],"container-title":"Annals of surgery","id":"ITEM-2","issue":"4","issued":{"date-parts":[["2004","10"]]},"page":"698-708; discussion 708-10","publisher":"Lippincott, Williams, and Wilkins","title":"Improving perioperative outcome expands the role of hepatectomy in management of benign and malignant hepatobiliary diseases: analysis of 1222 consecutive patients from a prospective database.","type":"article-journal","volume":"240"},"uris":["http://www.mendeley.com/documents/?uuid=96196ca9-63dd-3ac2-b3a5-9a22a73475b1"]},{"id":"ITEM-3","itemData":{"DOI":"10.1097/01.SLA.0000029003.66466.B3","ISSN":"0003-4932","PMID":"12368667","abstract":"OBJECTIVE To assess the nature of changes in the field of hepatic resectional surgery and their impact on perioperative outcome. METHODS Demographics, extent of resection, concomitant major procedures, operative and transfusion data, complications, and hospital stay were analyzed for 1,803 consecutive patients undergoing hepatic resection from December 1991 to September 2001 at Memorial Sloan-Kettering Cancer Center. Factors associated with morbidity and mortality and trends in operative and perioperative variables over the period of study were analyzed. RESULTS Malignant disease was the most common diagnosis (1,642 patients, 91%); of these cases, metastatic colorectal cancer accounted for 62% (n = 1,021). Three hundred seventy-five resections (21%) were performed for primary hepatic or biliary cancers and 161 (9%) for benign disease. Anatomical resections were performed in 1,568 patients (87%) and included 544 extended hepatectomies, 483 hepatectomies, and 526 segmental resections. Sixty-two percent of patients had three or more segments resected, 42% had bilobar resections, and 37% had concomitant additional major procedures. The median blood loss was 600 mL and 49% of patients were transfused at any time during the index admission. Median hospital stay was 8 days, morbidity was 45%, and operative mortality was 3.1%. Over the study period, there was a significant increase in the use of parenchymal-sparing segmental resections and a decrease in the number of hepatic segments resected. In parallel with this, there was a significant decline in blood loss, the use of blood products, and hospital stay. Despite an increase in concomitant major procedures, operative mortality decreased from approximately 4% in the first 5 years of the study to 1.3% in the last 2 years, with 0 operative deaths in the last 184 consecutive cases. On multivariate analysis, the number of hepatic segments resected and operative blood loss were the only independent predictors of both perioperative morbidity and mortality. CONCLUSIONS Over the past decade, the use of parenchymal-sparing segmental resections has increased significantly. The number of hepatic segments resected and operative blood loss were the only predictors of both perioperative morbidity and mortality, and reductions in both are largely responsible for the decrease in perioperative mortality, which has occurred despite an increase in concomitant major procedures.","author":[{"dropping-particle":"","family":"Jarnagin","given":"William R","non-dropping-particle":"","parse-names":false,"suffix":""},{"dropping-particle":"","family":"Gonen","given":"Mithat","non-dropping-particle":"","parse-names":false,"suffix":""},{"dropping-particle":"","family":"Fong","given":"Yuman","non-dropping-particle":"","parse-names":false,"suffix":""},{"dropping-particle":"","family":"DeMatteo","given":"Ronald P","non-dropping-particle":"","parse-names":false,"suffix":""},{"dropping-particle":"","family":"Ben-Porat","given":"Leah","non-dropping-particle":"","parse-names":false,"suffix":""},{"dropping-particle":"","family":"Little","given":"Sarah","non-dropping-particle":"","parse-names":false,"suffix":""},{"dropping-particle":"","family":"Corvera","given":"Carlos","non-dropping-particle":"","parse-names":false,"suffix":""},{"dropping-particle":"","family":"Weber","given":"Sharon","non-dropping-particle":"","parse-names":false,"suffix":""},{"dropping-particle":"","family":"Blumgart","given":"Leslie H","non-dropping-particle":"","parse-names":false,"suffix":""}],"container-title":"Annals of surgery","id":"ITEM-3","issue":"4","issued":{"date-parts":[["2002","10"]]},"page":"397-406; discussion 406-7","title":"Improvement in perioperative outcome after hepatic resection: analysis of 1,803 consecutive cases over the past decade.","type":"article-journal","volume":"236"},"uris":["http://www.mendeley.com/documents/?uuid=ae00467e-f0f4-32e9-be57-1f91d16af811"]},{"id":"ITEM-4","itemData":{"DOI":"10.1016/s0002-9610(02)01419-8","ISSN":"0002-9610","PMID":"12657381","abstract":"BACKGROUND Bile leak is a serious complication following major hepatic surgery. It is associated with significant mortality rates if reoperative management is attempted. We evaluated our experience with aggressive, nonoperative management of postoperative biliary complications. METHODS All medical records of patients undergoing major liver resection, cryosurgery or radiofrequency ablation from September 1996 through March 1999 were reviewed. RESULTS Seventy-four patients were identified, and 9 (12%) developed bile leaks. Biliary leaks were investigated with endoscopic retrograde cholangiopancreatography (ERCP) and treated with endoscopic stenting when possible. The bile leak was found to originate from the resected duct stump or ablated surface of the liver in all cases. Patients were treated with ERCP stent placement (5), computed tomography-guided percutaneous drainage (3), and hepaticojejunostomy \"chimney\" (1). Six of 9 patients had resolution of their bile leak with the mean time of removal of the drain of 4.7 months. There was only 1 death, and that patient died nearly 3 months after surgery from complications not directly related to the bile leak. CONCLUSIONS Bile leak after liver resection can be managed nonoperatively in most cases with a combination of percutaneous drain placement and biliary stenting. Most bile leaks will close with time, although a drain may be required for many months.","author":[{"dropping-particle":"","family":"Reed","given":"Donald N","non-dropping-particle":"","parse-names":false,"suffix":""},{"dropping-particle":"","family":"Vitale","given":"Gary C","non-dropping-particle":"","parse-names":false,"suffix":""},{"dropping-particle":"","family":"Wrightson","given":"William R","non-dropping-particle":"","parse-names":false,"suffix":""},{"dropping-particle":"","family":"Edwards","given":"Michael","non-dropping-particle":"","parse-names":false,"suffix":""},{"dropping-particle":"","family":"McMasters","given":"Kelly","non-dropping-particle":"","parse-names":false,"suffix":""}],"container-title":"American journal of surgery","id":"ITEM-4","issue":"4","issued":{"date-parts":[["2003","4"]]},"page":"316-8","title":"Decreasing mortality of bile leaks after elective hepatic surgery.","type":"article-journal","volume":"185"},"uris":["http://www.mendeley.com/documents/?uuid=ec6a23b2-7241-3cb0-b6f5-9f171f6e4570"]}],"mendeley":{"formattedCitation":"(16–19)","plainTextFormattedCitation":"(16–19)","previouslyFormattedCitation":"(16–19)"},"properties":{"noteIndex":0},"schema":"https://github.com/citation-style-language/schema/raw/master/csl-citation.json"}</w:instrText>
      </w:r>
      <w:r w:rsidR="00B37364" w:rsidRPr="009824AD">
        <w:rPr>
          <w:rFonts w:ascii="Helvetica" w:hAnsi="Helvetica" w:cs="Calibri"/>
          <w:sz w:val="22"/>
          <w:szCs w:val="22"/>
          <w:lang w:val="en-US"/>
        </w:rPr>
        <w:fldChar w:fldCharType="separate"/>
      </w:r>
      <w:r w:rsidR="000D44B8" w:rsidRPr="009824AD">
        <w:rPr>
          <w:rFonts w:ascii="Helvetica" w:hAnsi="Helvetica" w:cs="Calibri"/>
          <w:noProof/>
          <w:sz w:val="22"/>
          <w:szCs w:val="22"/>
          <w:lang w:val="en-US"/>
        </w:rPr>
        <w:t>(16–19)</w:t>
      </w:r>
      <w:r w:rsidR="00B37364" w:rsidRPr="009824AD">
        <w:rPr>
          <w:rFonts w:ascii="Helvetica" w:hAnsi="Helvetica" w:cs="Calibri"/>
          <w:sz w:val="22"/>
          <w:szCs w:val="22"/>
          <w:lang w:val="en-US"/>
        </w:rPr>
        <w:fldChar w:fldCharType="end"/>
      </w:r>
      <w:r w:rsidR="00E444F2" w:rsidRPr="009824AD">
        <w:rPr>
          <w:rFonts w:ascii="Helvetica" w:hAnsi="Helvetica" w:cs="Calibri"/>
          <w:sz w:val="22"/>
          <w:szCs w:val="22"/>
          <w:lang w:val="en-US"/>
        </w:rPr>
        <w:t>.</w:t>
      </w:r>
      <w:r w:rsidR="00B37364" w:rsidRPr="009824AD">
        <w:rPr>
          <w:rFonts w:ascii="Helvetica" w:hAnsi="Helvetica" w:cs="Calibri"/>
          <w:sz w:val="22"/>
          <w:szCs w:val="22"/>
          <w:lang w:val="en-US"/>
        </w:rPr>
        <w:t xml:space="preserve"> Furthermore, </w:t>
      </w:r>
      <w:r w:rsidR="00475368" w:rsidRPr="009824AD">
        <w:rPr>
          <w:rFonts w:ascii="Helvetica" w:hAnsi="Helvetica" w:cs="Calibri"/>
          <w:sz w:val="22"/>
          <w:szCs w:val="22"/>
          <w:lang w:val="en-US"/>
        </w:rPr>
        <w:t>POBL is related to other</w:t>
      </w:r>
      <w:r w:rsidR="00B37364" w:rsidRPr="009824AD">
        <w:rPr>
          <w:rFonts w:ascii="Helvetica" w:hAnsi="Helvetica" w:cs="Calibri"/>
          <w:sz w:val="22"/>
          <w:szCs w:val="22"/>
          <w:lang w:val="en-US"/>
        </w:rPr>
        <w:t xml:space="preserve"> </w:t>
      </w:r>
      <w:r w:rsidR="007B76E0" w:rsidRPr="009824AD">
        <w:rPr>
          <w:rFonts w:ascii="Helvetica" w:hAnsi="Helvetica" w:cs="Calibri"/>
          <w:sz w:val="22"/>
          <w:szCs w:val="22"/>
          <w:lang w:val="en-US"/>
        </w:rPr>
        <w:t xml:space="preserve">postoperative </w:t>
      </w:r>
      <w:r w:rsidR="00B37364" w:rsidRPr="009824AD">
        <w:rPr>
          <w:rFonts w:ascii="Helvetica" w:hAnsi="Helvetica" w:cs="Calibri"/>
          <w:sz w:val="22"/>
          <w:szCs w:val="22"/>
          <w:lang w:val="en-US"/>
        </w:rPr>
        <w:t>complications such as intra-abdominal infection, gastrointestinal bleeding, impaired regeneration and thrombo-embolic events</w:t>
      </w:r>
      <w:r w:rsidR="00B37364" w:rsidRPr="009824AD">
        <w:rPr>
          <w:rFonts w:ascii="Helvetica" w:hAnsi="Helvetica" w:cs="Calibri"/>
          <w:sz w:val="22"/>
          <w:szCs w:val="22"/>
          <w:lang w:val="en-US"/>
        </w:rPr>
        <w:fldChar w:fldCharType="begin" w:fldLock="1"/>
      </w:r>
      <w:r w:rsidR="000D44B8" w:rsidRPr="009824AD">
        <w:rPr>
          <w:rFonts w:ascii="Helvetica" w:hAnsi="Helvetica" w:cs="Calibri"/>
          <w:sz w:val="22"/>
          <w:szCs w:val="22"/>
          <w:lang w:val="en-US"/>
        </w:rPr>
        <w:instrText>ADDIN CSL_CITATION {"citationItems":[{"id":"ITEM-1","itemData":{"DOI":"10.1111/j.1477-2574.2012.00580.x","ISSN":"1365182X","PMID":"23374363","abstract":"OBJECTIVE To evaluate the incidence, the impact on survival and the predictive factors of bile leakage (BL) in a recent large monocentric series of liver resections performed in a referral tertiary care centre. BACKGROUND Previous reports dealing with bile leakage (BL) after liver resection are rare and have displayed conflicting results regarding incidence, impact on follow-up and predictive factors. METHODS A retrospective review of the records of 912 patients who underwent a total of 1001 consecutive liver resections without biliary reconstruction, performed between January 2005 and May 2011. BL was defined by the presence of bile in the abdominal drains, a radiologically or surgically drained bilioma or biliary peritonitis. BL severity was established according to the Clavien-Dindo classification. Fifty-eight pre-, per- and post-resection variables were analysed and the independent BL predictive factors were identified using logistic regression. RESULTS The incidence of BL was 8%. Clavien-Dindo I-II, IIIa, IIIb or IV rates were 29%, 35%, 32.5% and 2.5%, respectively. BL did not increase in-hospital mortality (2.5% versus 2.9%, P = 1.0), but doubled the median duration of hospital stay (16 versus 9 days, P &lt; 0.001) and increased 1-year mortality (11% versus 5%, P = 0.03). Multivariate analysis identified that pre-operative bevacizumab [odds ratio (OR) = 2.9, confidence interval (CI) 95% = 1.58-5.41] P = 0.001], a major hepatectomy [OR = 2.6 (CI 95% = 1.48-4.76) P = 0.001], a two-stage hepatectomy [OR = 2.5 (CI 95% = 1.17-5.52) P = 0.018], the selective clamping technique [OR = 2.6 (CI 95% = 1.03-6.78) P = 0.042], R1 or R2 resection [OR = 2.6 (CI 95% = 1.52-4.64) P = 0.001] and the absence of a methylene blue test [OR = 2.6 (IC 95% = 1.43-4.65) P = 0.002] were independent risk factors of BL. CONCLUSION BL remains frequent after liver resection. It has a dramatic impact on patient survival and care costs. Its incidence could be reduced by avoiding the pre-operative use of bevacizumab, avoiding selective clamping and performing a blue dye test in all resections.","author":[{"dropping-particle":"","family":"Guillaud","given":"Antoine","non-dropping-particle":"","parse-names":false,"suffix":""},{"dropping-particle":"","family":"Pery","given":"Claire","non-dropping-particle":"","parse-names":false,"suffix":""},{"dropping-particle":"","family":"Campillo","given":"Boris","non-dropping-particle":"","parse-names":false,"suffix":""},{"dropping-particle":"","family":"Lourdais","given":"Anne","non-dropping-particle":"","parse-names":false,"suffix":""},{"dropping-particle":"","family":"Laurent","given":"Sulpice","non-dropping-particle":"","parse-names":false,"suffix":""},{"dropping-particle":"","family":"Boudjema","given":"Karim","non-dropping-particle":"","parse-names":false,"suffix":""},{"dropping-particle":"","family":"Boudjema","given":"Karim","non-dropping-particle":"","parse-names":false,"suffix":""}],"container-title":"HPB","id":"ITEM-1","issue":"3","issued":{"date-parts":[["2013","3"]]},"page":"224-229","title":"Incidence and predictive factors of clinically relevant bile leakage in the modern era of liver resections","type":"article-journal","volume":"15"},"uris":["http://www.mendeley.com/documents/?uuid=abf97716-a1dd-3ea0-8cae-4bdb9668f899"]},{"id":"ITEM-2","itemData":{"DOI":"10.1016/j.surg.2006.08.013","ISSN":"0039-6060","PMID":"17349845","abstract":"BACKGROUND Bile leakage remains a major postoperative complication after liver resection. Bile leakage after hepatectomy for liver neoplasms has been well studied. However, the risk factors and management of this complication after liver resection for intrahepatic lithiasis has not been investigated. METHODS From January 1992 to June 2004, 312 consecutive patients with intrahepatic lithiasis underwent hepatic resections Sun Yet-san University. Perioperative risk factors pertaining to the development of bile leakage were identified using univariate and multivariate analysis. The management and outcome of these patients with bile leakage were evaluated. RESULTS Bile leakage developed in 23 (7.4%) of 312 patients. The multivariate logistic regression analysis identified that left hepatectomy (P=.024, odds ratio [OR]=3.695, 95% confidence interval [CI]: 1.185 to 11.517) and the period greater than 1 month between operative time and the latest acute cholangitis attack (P=.02, OR=4.144, 95% CI: 1.248 to 13.757) were the independent risk factors for development of bile leakage after hepatectomy for hepatolithiasis. The septic complications were higher in the patients with bile leakage than in those without bile leakage (ie, wound infection: 56.5% vs 13.5%, P=.001; subphrenic abscess: 21.7% vs 4.8%, P=.01; septicemia: 8.7% vs 0.7%, P=.029). Percutaneous drainage or combined endoscopic naso-biliary drainage was the first choice of treatment for bile leakage; 20 (87.0%) of 23 patients were treated by this method. One patient underwent re-operation for diffuse peritonitis due to withdrawal of T tube inadvertently at postoperative day 1. Two patients with bile leakage were re-operated due to uncontrollable hemobilia at postoperative day 5 and 12, respectively. CONCLUSIONS Patients who underwent hepatectomy at the period less than 1 month after the latest attack of acute cholangitis carry high risk for the development of bile leakage. Preoperative cholangiography to identify the aberrant hepatic duct for high risk patients and avoidance of hepatectomy at the acute phase of cholangitis are of critical importance to prevent bile leakage after hepatectomy. Percutaneous drainage is the primary and effective treatment for bile leakage.","author":[{"dropping-particle":"","family":"Li","given":"Shao-Qiang","non-dropping-particle":"","parse-names":false,"suffix":""},{"dropping-particle":"","family":"Liang","given":"Li-Jian","non-dropping-particle":"","parse-names":false,"suffix":""},{"dropping-particle":"","family":"Peng","given":"Bao-Gang","non-dropping-particle":"","parse-names":false,"suffix":""},{"dropping-particle":"","family":"Lu","given":"Ming-De","non-dropping-particle":"","parse-names":false,"suffix":""},{"dropping-particle":"","family":"Lai","given":"Jia-Ming","non-dropping-particle":"","parse-names":false,"suffix":""},{"dropping-particle":"","family":"Li","given":"Dong-Ming","non-dropping-particle":"","parse-names":false,"suffix":""}],"container-title":"Surgery","id":"ITEM-2","issue":"3","issued":{"date-parts":[["2007","3","1"]]},"page":"340-5","publisher":"Elsevier","title":"Bile leakage after hepatectomy for hepatolithiasis: risk factors and management.","type":"article-journal","volume":"141"},"uris":["http://www.mendeley.com/documents/?uuid=2f141d9b-9c09-3e13-b422-d97d18767cbb"]},{"id":"ITEM-3","itemData":{"DOI":"10.3109/08941939.2012.691603","ISSN":"0894-1939","PMID":"23390996","abstract":"BACKGROUND Postoperative bile leakage is a typical complication in liver surgery. The influence of small bile leakage and concomitant bile peritonitis on the regenerative capacity of the liver remnant has not yet been investigated thoroughly. MATERIAL AND METHODS Fifty-four rats were randomized in the following groups: Sham operation (Sh), 70% liver resection (LR), and 70% LR with simultaneous induction of a small bile leakage. Animals were euthanized 6, 24, 48, and 96 hr after surgery. Liver regeneration was measured by relative liver weight, mitotic index, Ki-67 immunohistochemistry, and BrdU labeling index. Liver function was evaluated by thromboplastin time, serum bilirubin, and albumin levels as well as indocyanine green plasma disappearance rate (ICG-PDR). The inflammatory response was characterized by assessment of the hepatic transcription of TNF-α, IL-6, and TGF-β and the serum concentration of IL-1β. In addition, myeloperoxidase (MPO) activity in liver tissue was measured. Transaminases and histological sections of the liver were used as markers for hepatocellular damage, and the bacterial concentration in different organs was quantified. RESULTS With a small bile leakage, mitotic index was reduced by 89% ( p &lt; .05) and the number of Ki-67 positive hepatocytes was reduced by 92% ( p &lt; .05) 24 hr after LR. Likewise, the ICG-PDR dropped by 57% ( p &lt; .05). No differences in liver histology were observed between the groups. With bile leakage, the postoperative transcription of cytokines was markedly higher. A bacterial superinfection could be excluded. CONCLUSION Small intraabdominal bile leakage can suppress liver function and impair the regenerative capacity of the liver.","author":[{"dropping-particle":"","family":"Lederer","given":"Andri","non-dropping-particle":"","parse-names":false,"suffix":""},{"dropping-particle":"","family":"Seehofer","given":"Daniel","non-dropping-particle":"","parse-names":false,"suffix":""},{"dropping-particle":"","family":"Schirmeier","given":"Anja","non-dropping-particle":"","parse-names":false,"suffix":""},{"dropping-particle":"","family":"Levasseur","given":"Shirin","non-dropping-particle":"","parse-names":false,"suffix":""},{"dropping-particle":"","family":"Stockmann","given":"Martin","non-dropping-particle":"","parse-names":false,"suffix":""},{"dropping-particle":"","family":"Nüssler","given":"Andreas K.","non-dropping-particle":"","parse-names":false,"suffix":""},{"dropping-particle":"","family":"Menger","given":"Michael D.","non-dropping-particle":"","parse-names":false,"suffix":""},{"dropping-particle":"","family":"Neuhaus","given":"Peter","non-dropping-particle":"","parse-names":false,"suffix":""},{"dropping-particle":"","family":"Rayes","given":"Nada","non-dropping-particle":"","parse-names":false,"suffix":""}],"container-title":"Journal of Investigative Surgery","id":"ITEM-3","issue":"1","issued":{"date-parts":[["2013","2","5"]]},"page":"36-45","title":"Postoperative Bile Leakage Inhibits Liver Regeneration after 70% Hepatectomy in Rats","type":"article-journal","volume":"26"},"uris":["http://www.mendeley.com/documents/?uuid=f921ca82-2c4c-3aa8-8e95-27a3fe8ccddc"]}],"mendeley":{"formattedCitation":"(20–22)","plainTextFormattedCitation":"(20–22)","previouslyFormattedCitation":"(20–22)"},"properties":{"noteIndex":0},"schema":"https://github.com/citation-style-language/schema/raw/master/csl-citation.json"}</w:instrText>
      </w:r>
      <w:r w:rsidR="00B37364" w:rsidRPr="009824AD">
        <w:rPr>
          <w:rFonts w:ascii="Helvetica" w:hAnsi="Helvetica" w:cs="Calibri"/>
          <w:sz w:val="22"/>
          <w:szCs w:val="22"/>
          <w:lang w:val="en-US"/>
        </w:rPr>
        <w:fldChar w:fldCharType="separate"/>
      </w:r>
      <w:r w:rsidR="000D44B8" w:rsidRPr="009824AD">
        <w:rPr>
          <w:rFonts w:ascii="Helvetica" w:hAnsi="Helvetica" w:cs="Calibri"/>
          <w:noProof/>
          <w:sz w:val="22"/>
          <w:szCs w:val="22"/>
          <w:lang w:val="en-US"/>
        </w:rPr>
        <w:t>(20–22)</w:t>
      </w:r>
      <w:r w:rsidR="00B37364" w:rsidRPr="009824AD">
        <w:rPr>
          <w:rFonts w:ascii="Helvetica" w:hAnsi="Helvetica" w:cs="Calibri"/>
          <w:sz w:val="22"/>
          <w:szCs w:val="22"/>
          <w:lang w:val="en-US"/>
        </w:rPr>
        <w:fldChar w:fldCharType="end"/>
      </w:r>
      <w:r w:rsidR="00E444F2" w:rsidRPr="009824AD">
        <w:rPr>
          <w:rFonts w:ascii="Helvetica" w:hAnsi="Helvetica" w:cs="Calibri"/>
          <w:sz w:val="22"/>
          <w:szCs w:val="22"/>
          <w:lang w:val="en-US"/>
        </w:rPr>
        <w:t>.</w:t>
      </w:r>
      <w:r w:rsidR="00B37364" w:rsidRPr="009824AD">
        <w:rPr>
          <w:rFonts w:ascii="Helvetica" w:hAnsi="Helvetica" w:cs="Calibri"/>
          <w:sz w:val="22"/>
          <w:szCs w:val="22"/>
          <w:lang w:val="en-US"/>
        </w:rPr>
        <w:t xml:space="preserve"> </w:t>
      </w:r>
      <w:r w:rsidR="00A32A02" w:rsidRPr="009824AD">
        <w:rPr>
          <w:rFonts w:ascii="Helvetica" w:hAnsi="Helvetica" w:cs="Calibri"/>
          <w:sz w:val="22"/>
          <w:szCs w:val="22"/>
          <w:lang w:val="en-US"/>
        </w:rPr>
        <w:t xml:space="preserve">It is </w:t>
      </w:r>
      <w:r w:rsidR="00A73F5A" w:rsidRPr="009824AD">
        <w:rPr>
          <w:rFonts w:ascii="Helvetica" w:hAnsi="Helvetica" w:cs="Calibri"/>
          <w:sz w:val="22"/>
          <w:szCs w:val="22"/>
          <w:lang w:val="en-US"/>
        </w:rPr>
        <w:t>hypothesized</w:t>
      </w:r>
      <w:r w:rsidR="00A32A02" w:rsidRPr="009824AD">
        <w:rPr>
          <w:rFonts w:ascii="Helvetica" w:hAnsi="Helvetica" w:cs="Calibri"/>
          <w:sz w:val="22"/>
          <w:szCs w:val="22"/>
          <w:lang w:val="en-US"/>
        </w:rPr>
        <w:t xml:space="preserve"> that a minimally invasive approach may limit tissue harm during liver surgery and subsequently benefit postoperative recovery with less POBL.</w:t>
      </w:r>
    </w:p>
    <w:p w14:paraId="688D8C0A" w14:textId="77777777" w:rsidR="00027207" w:rsidRPr="009824AD" w:rsidRDefault="00027207" w:rsidP="00736A3C">
      <w:pPr>
        <w:spacing w:line="480" w:lineRule="auto"/>
        <w:jc w:val="both"/>
        <w:rPr>
          <w:rFonts w:ascii="Helvetica" w:hAnsi="Helvetica"/>
          <w:sz w:val="22"/>
          <w:szCs w:val="22"/>
          <w:lang w:val="en-US"/>
        </w:rPr>
      </w:pPr>
    </w:p>
    <w:p w14:paraId="626D9234" w14:textId="2DAFA0FC" w:rsidR="00475368" w:rsidRPr="009824AD" w:rsidRDefault="00475368" w:rsidP="009E712F">
      <w:pPr>
        <w:pStyle w:val="Geenafstand"/>
        <w:spacing w:line="480" w:lineRule="auto"/>
        <w:jc w:val="both"/>
        <w:rPr>
          <w:rFonts w:ascii="Helvetica" w:hAnsi="Helvetica" w:cs="Calibri"/>
          <w:color w:val="000000" w:themeColor="text1"/>
          <w:lang w:val="en-US"/>
        </w:rPr>
      </w:pPr>
      <w:r w:rsidRPr="009824AD">
        <w:rPr>
          <w:rFonts w:ascii="Helvetica" w:hAnsi="Helvetica" w:cs="Calibri"/>
          <w:lang w:val="en-US"/>
        </w:rPr>
        <w:t>D</w:t>
      </w:r>
      <w:r w:rsidR="00DA6362" w:rsidRPr="009824AD">
        <w:rPr>
          <w:rFonts w:ascii="Helvetica" w:hAnsi="Helvetica" w:cs="Calibri"/>
          <w:lang w:val="en-US"/>
        </w:rPr>
        <w:t>ata from p</w:t>
      </w:r>
      <w:r w:rsidR="00B37364" w:rsidRPr="009824AD">
        <w:rPr>
          <w:rFonts w:ascii="Helvetica" w:hAnsi="Helvetica" w:cs="Calibri"/>
          <w:lang w:val="en-US"/>
        </w:rPr>
        <w:t>revious studies have mainly focused on patients undergoing OLR</w:t>
      </w:r>
      <w:r w:rsidR="00B37364" w:rsidRPr="009824AD">
        <w:rPr>
          <w:rFonts w:ascii="Helvetica" w:hAnsi="Helvetica" w:cs="Calibri"/>
          <w:lang w:val="en-US"/>
        </w:rPr>
        <w:fldChar w:fldCharType="begin" w:fldLock="1"/>
      </w:r>
      <w:r w:rsidR="000D44B8" w:rsidRPr="009824AD">
        <w:rPr>
          <w:rFonts w:ascii="Helvetica" w:hAnsi="Helvetica" w:cs="Calibri"/>
          <w:lang w:val="en-US"/>
        </w:rPr>
        <w:instrText>ADDIN CSL_CITATION {"citationItems":[{"id":"ITEM-1","itemData":{"DOI":"10.21037/hbsn.2019.02.06","ISSN":"23043881","author":[{"dropping-particle":"","family":"Spetzler","given":"Vinzent N.","non-dropping-particle":"","parse-names":false,"suffix":""},{"dropping-particle":"","family":"Schepers","given":"Marlene","non-dropping-particle":"","parse-names":false,"suffix":""},{"dropping-particle":"","family":"Pinnschmidt","given":"Hans O.","non-dropping-particle":"","parse-names":false,"suffix":""},{"dropping-particle":"","family":"Fischer","given":"Lutz","non-dropping-particle":"","parse-names":false,"suffix":""},{"dropping-particle":"","family":"Nashan","given":"Björn","non-dropping-particle":"","parse-names":false,"suffix":""},{"dropping-particle":"","family":"Li","given":"Jun","non-dropping-particle":"","parse-names":false,"suffix":""}],"container-title":"HepatoBiliary Surgery and Nutrition","id":"ITEM-1","issue":"2","issued":{"date-parts":[["2019"]]},"page":"101-110","title":"The incidence and severity of post-hepatectomy bile leaks is affected by surgical indications, preoperative chemotherapy, and surgical procedures","type":"article-journal","volume":"8"},"uris":["http://www.mendeley.com/documents/?uuid=46cfb71b-e4fc-4f62-a7fb-3068cc95c0b2"]},{"id":"ITEM-2","itemData":{"DOI":"10.1016/j.ejso.2019.02.021","ISSN":"15322157","abstract":"Background: Bile leakage (BL) is a frequent and severe complication following liver surgery. The aim of this study was to evaluate risk factors for BL, related other complications and association with long-term survival. Methods: This study included all patients undergoing hepatectomy in a single centre from 2005 to 2016. Perioperative risk factors related to BL were identified using univariable and multivariable analysis. Kaplan-Meier method was used for survival analysis. Results: BL occurred in 48 of 458 patients (11%). BLs were more frequent in patients after major hepatectomy (p = 0.001). Portal vein embolization, bilioenteric-anastomosis, lymphadenectomy, vascular reconstruction and operative time were significant factors for developing BL. Comparing patients with or without BL, BL was more commonly associated with other postoperative complications (p = 0.001), especially acute kidney failure and surgical-site-infections. There was no difference in 90-day-mortality (p = 0.124). The median disease-free survival was comparable (17 vs. 15 months, p = 0.976), also no difference was observed when stratifying for different tumour entities. There was no difference in median overall survival (OS) among malignant disease (35 vs. 47 months, p = 0.200) and in 3-year OS (46% vs. 59%). Multivariate analysis confirmed that postoperative liver failure and major hepatectomy were risk factors for reduced OS (p = 0.010). Conclusions: Many concerns have been raised regarding tumour progression after major complications. In this study, we only found a relevant influence of BL on OS in pCC, whereas no association was seen in other cancer types, indicating that tumour progression might be triggered by BL in cancer types arising from the bile ducts itself.","author":[{"dropping-particle":"","family":"Braunwarth","given":"Eva","non-dropping-particle":"","parse-names":false,"suffix":""},{"dropping-particle":"","family":"Primavesi","given":"Florian","non-dropping-particle":"","parse-names":false,"suffix":""},{"dropping-particle":"","family":"Göbel","given":"Georg","non-dropping-particle":"","parse-names":false,"suffix":""},{"dropping-particle":"","family":"Cardini","given":"Benno","non-dropping-particle":"","parse-names":false,"suffix":""},{"dropping-particle":"","family":"Oberhuber","given":"Rupert","non-dropping-particle":"","parse-names":false,"suffix":""},{"dropping-particle":"","family":"Margreiter","given":"Christian","non-dropping-particle":"","parse-names":false,"suffix":""},{"dropping-particle":"","family":"Maglione","given":"Manuel","non-dropping-particle":"","parse-names":false,"suffix":""},{"dropping-particle":"","family":"Schneeberger","given":"Stefan","non-dropping-particle":"","parse-names":false,"suffix":""},{"dropping-particle":"","family":"Öfner","given":"Dietmar","non-dropping-particle":"","parse-names":false,"suffix":""},{"dropping-particle":"","family":"Stättner","given":"Stefan","non-dropping-particle":"","parse-names":false,"suffix":""}],"container-title":"European Journal of Surgical Oncology","id":"ITEM-2","issue":"6","issued":{"date-parts":[["2019"]]},"page":"1077-1083","title":"Is bile leakage after hepatic resection associated with impaired long-term survival?","type":"article-journal","volume":"45"},"uris":["http://www.mendeley.com/documents/?uuid=936e7f91-e22f-48bd-b9aa-ab6dbc6d263f"]}],"mendeley":{"formattedCitation":"(15, 23)","plainTextFormattedCitation":"(15, 23)","previouslyFormattedCitation":"(15, 23)"},"properties":{"noteIndex":0},"schema":"https://github.com/citation-style-language/schema/raw/master/csl-citation.json"}</w:instrText>
      </w:r>
      <w:r w:rsidR="00B37364" w:rsidRPr="009824AD">
        <w:rPr>
          <w:rFonts w:ascii="Helvetica" w:hAnsi="Helvetica" w:cs="Calibri"/>
          <w:lang w:val="en-US"/>
        </w:rPr>
        <w:fldChar w:fldCharType="separate"/>
      </w:r>
      <w:r w:rsidR="000D44B8" w:rsidRPr="009824AD">
        <w:rPr>
          <w:rFonts w:ascii="Helvetica" w:hAnsi="Helvetica" w:cs="Calibri"/>
          <w:noProof/>
          <w:lang w:val="en-US"/>
        </w:rPr>
        <w:t>(15, 23)</w:t>
      </w:r>
      <w:r w:rsidR="00B37364" w:rsidRPr="009824AD">
        <w:rPr>
          <w:rFonts w:ascii="Helvetica" w:hAnsi="Helvetica" w:cs="Calibri"/>
          <w:lang w:val="en-US"/>
        </w:rPr>
        <w:fldChar w:fldCharType="end"/>
      </w:r>
      <w:r w:rsidR="00E444F2" w:rsidRPr="009824AD">
        <w:rPr>
          <w:rFonts w:ascii="Helvetica" w:hAnsi="Helvetica" w:cs="Calibri"/>
          <w:lang w:val="en-US"/>
        </w:rPr>
        <w:t>.</w:t>
      </w:r>
      <w:r w:rsidR="00B37364" w:rsidRPr="009824AD">
        <w:rPr>
          <w:rFonts w:ascii="Helvetica" w:hAnsi="Helvetica" w:cs="Calibri"/>
          <w:lang w:val="en-US"/>
        </w:rPr>
        <w:t xml:space="preserve"> Although some studies on LLR evaluated the incidence of </w:t>
      </w:r>
      <w:r w:rsidR="000B62F3" w:rsidRPr="009824AD">
        <w:rPr>
          <w:rFonts w:ascii="Helvetica" w:hAnsi="Helvetica" w:cs="Calibri"/>
          <w:lang w:val="en-US"/>
        </w:rPr>
        <w:t>PO</w:t>
      </w:r>
      <w:r w:rsidR="00B37364" w:rsidRPr="009824AD">
        <w:rPr>
          <w:rFonts w:ascii="Helvetica" w:hAnsi="Helvetica" w:cs="Calibri"/>
          <w:lang w:val="en-US"/>
        </w:rPr>
        <w:t xml:space="preserve">BL as part of their postoperative complication rate, there is no data regarding the clinical impact of </w:t>
      </w:r>
      <w:r w:rsidR="000B62F3" w:rsidRPr="009824AD">
        <w:rPr>
          <w:rFonts w:ascii="Helvetica" w:hAnsi="Helvetica" w:cs="Calibri"/>
          <w:lang w:val="en-US"/>
        </w:rPr>
        <w:t>PO</w:t>
      </w:r>
      <w:r w:rsidR="00B37364" w:rsidRPr="009824AD">
        <w:rPr>
          <w:rFonts w:ascii="Helvetica" w:hAnsi="Helvetica" w:cs="Calibri"/>
          <w:lang w:val="en-US"/>
        </w:rPr>
        <w:t>BL following LLR</w:t>
      </w:r>
      <w:r w:rsidR="00DA6362" w:rsidRPr="009824AD">
        <w:rPr>
          <w:rFonts w:ascii="Helvetica" w:hAnsi="Helvetica" w:cs="Calibri"/>
          <w:lang w:val="en-US"/>
        </w:rPr>
        <w:t xml:space="preserve"> and </w:t>
      </w:r>
      <w:r w:rsidR="00DA6362" w:rsidRPr="009824AD">
        <w:rPr>
          <w:rFonts w:ascii="Helvetica" w:hAnsi="Helvetica" w:cs="Calibri"/>
          <w:lang w:val="en-US"/>
        </w:rPr>
        <w:lastRenderedPageBreak/>
        <w:t xml:space="preserve">furthermore no studies assessing </w:t>
      </w:r>
      <w:r w:rsidR="006F5759" w:rsidRPr="009824AD">
        <w:rPr>
          <w:rFonts w:ascii="Helvetica" w:hAnsi="Helvetica" w:cs="Calibri"/>
          <w:lang w:val="en-US"/>
        </w:rPr>
        <w:t>whether</w:t>
      </w:r>
      <w:r w:rsidR="00DA6362" w:rsidRPr="009824AD">
        <w:rPr>
          <w:rFonts w:ascii="Helvetica" w:hAnsi="Helvetica" w:cs="Calibri"/>
          <w:lang w:val="en-US"/>
        </w:rPr>
        <w:t xml:space="preserve"> this impact could be mitigated by the adoption of a minimally invasive approach</w:t>
      </w:r>
      <w:r w:rsidR="00B37364" w:rsidRPr="009824AD">
        <w:rPr>
          <w:rFonts w:ascii="Helvetica" w:hAnsi="Helvetica" w:cs="Calibri"/>
          <w:lang w:val="en-US"/>
        </w:rPr>
        <w:t xml:space="preserve">. </w:t>
      </w:r>
      <w:r w:rsidR="00B37364" w:rsidRPr="009824AD">
        <w:rPr>
          <w:rFonts w:ascii="Helvetica" w:hAnsi="Helvetica" w:cs="Calibri"/>
          <w:color w:val="000000" w:themeColor="text1"/>
          <w:lang w:val="en-US"/>
        </w:rPr>
        <w:t xml:space="preserve">The aim of this study is to </w:t>
      </w:r>
      <w:r w:rsidR="00A32A02" w:rsidRPr="009824AD">
        <w:rPr>
          <w:rFonts w:ascii="Helvetica" w:hAnsi="Helvetica" w:cs="Calibri"/>
          <w:color w:val="000000" w:themeColor="text1"/>
          <w:lang w:val="en-US"/>
        </w:rPr>
        <w:t xml:space="preserve">assess </w:t>
      </w:r>
      <w:r w:rsidR="00B37364" w:rsidRPr="009824AD">
        <w:rPr>
          <w:rFonts w:ascii="Helvetica" w:hAnsi="Helvetica" w:cs="Calibri"/>
          <w:color w:val="000000" w:themeColor="text1"/>
          <w:lang w:val="en-US"/>
        </w:rPr>
        <w:t>the incidence</w:t>
      </w:r>
      <w:r w:rsidR="002D1115" w:rsidRPr="009824AD">
        <w:rPr>
          <w:rFonts w:ascii="Helvetica" w:hAnsi="Helvetica" w:cs="Calibri"/>
          <w:color w:val="000000" w:themeColor="text1"/>
          <w:lang w:val="en-US"/>
        </w:rPr>
        <w:t xml:space="preserve"> </w:t>
      </w:r>
      <w:r w:rsidR="00B37364" w:rsidRPr="009824AD">
        <w:rPr>
          <w:rFonts w:ascii="Helvetica" w:hAnsi="Helvetica" w:cs="Calibri"/>
          <w:color w:val="000000" w:themeColor="text1"/>
          <w:lang w:val="en-US"/>
        </w:rPr>
        <w:t xml:space="preserve">and </w:t>
      </w:r>
      <w:r w:rsidR="00DA6362" w:rsidRPr="009824AD">
        <w:rPr>
          <w:rFonts w:ascii="Helvetica" w:hAnsi="Helvetica" w:cs="Calibri"/>
          <w:color w:val="000000" w:themeColor="text1"/>
          <w:lang w:val="en-US"/>
        </w:rPr>
        <w:t xml:space="preserve">the </w:t>
      </w:r>
      <w:r w:rsidR="00B37364" w:rsidRPr="009824AD">
        <w:rPr>
          <w:rFonts w:ascii="Helvetica" w:hAnsi="Helvetica" w:cs="Calibri"/>
          <w:color w:val="000000" w:themeColor="text1"/>
          <w:lang w:val="en-US"/>
        </w:rPr>
        <w:t>clinical impact of</w:t>
      </w:r>
      <w:r w:rsidR="007F5649" w:rsidRPr="009824AD">
        <w:rPr>
          <w:rFonts w:ascii="Helvetica" w:hAnsi="Helvetica" w:cs="Calibri"/>
          <w:color w:val="000000" w:themeColor="text1"/>
          <w:lang w:val="en-US"/>
        </w:rPr>
        <w:t xml:space="preserve"> </w:t>
      </w:r>
      <w:r w:rsidR="000B62F3" w:rsidRPr="009824AD">
        <w:rPr>
          <w:rFonts w:ascii="Helvetica" w:hAnsi="Helvetica" w:cs="Calibri"/>
          <w:color w:val="000000" w:themeColor="text1"/>
          <w:lang w:val="en-US"/>
        </w:rPr>
        <w:t>PO</w:t>
      </w:r>
      <w:r w:rsidR="00B37364" w:rsidRPr="009824AD">
        <w:rPr>
          <w:rFonts w:ascii="Helvetica" w:hAnsi="Helvetica" w:cs="Calibri"/>
          <w:color w:val="000000" w:themeColor="text1"/>
          <w:lang w:val="en-US"/>
        </w:rPr>
        <w:t xml:space="preserve">BL </w:t>
      </w:r>
      <w:r w:rsidR="00A32A02" w:rsidRPr="009824AD">
        <w:rPr>
          <w:rFonts w:ascii="Helvetica" w:hAnsi="Helvetica" w:cs="Calibri"/>
          <w:color w:val="000000" w:themeColor="text1"/>
          <w:lang w:val="en-US"/>
        </w:rPr>
        <w:t xml:space="preserve">in </w:t>
      </w:r>
      <w:r w:rsidR="00B37364" w:rsidRPr="009824AD">
        <w:rPr>
          <w:rFonts w:ascii="Helvetica" w:hAnsi="Helvetica" w:cs="Calibri"/>
          <w:color w:val="000000" w:themeColor="text1"/>
          <w:lang w:val="en-US"/>
        </w:rPr>
        <w:t>patients undergoing LL</w:t>
      </w:r>
      <w:r w:rsidR="004422D3" w:rsidRPr="009824AD">
        <w:rPr>
          <w:rFonts w:ascii="Helvetica" w:hAnsi="Helvetica" w:cs="Calibri"/>
          <w:color w:val="000000" w:themeColor="text1"/>
          <w:lang w:val="en-US"/>
        </w:rPr>
        <w:t>R</w:t>
      </w:r>
      <w:r w:rsidR="00B37364" w:rsidRPr="009824AD">
        <w:rPr>
          <w:rFonts w:ascii="Helvetica" w:hAnsi="Helvetica" w:cs="Calibri"/>
          <w:color w:val="000000" w:themeColor="text1"/>
          <w:lang w:val="en-US"/>
        </w:rPr>
        <w:t xml:space="preserve"> and OL</w:t>
      </w:r>
      <w:r w:rsidR="004422D3" w:rsidRPr="009824AD">
        <w:rPr>
          <w:rFonts w:ascii="Helvetica" w:hAnsi="Helvetica" w:cs="Calibri"/>
          <w:color w:val="000000" w:themeColor="text1"/>
          <w:lang w:val="en-US"/>
        </w:rPr>
        <w:t>R</w:t>
      </w:r>
      <w:r w:rsidR="00B37364" w:rsidRPr="009824AD">
        <w:rPr>
          <w:rFonts w:ascii="Helvetica" w:hAnsi="Helvetica" w:cs="Calibri"/>
          <w:color w:val="000000" w:themeColor="text1"/>
          <w:lang w:val="en-US"/>
        </w:rPr>
        <w:t xml:space="preserve"> </w:t>
      </w:r>
      <w:r w:rsidR="00E935A6" w:rsidRPr="009824AD">
        <w:rPr>
          <w:rFonts w:ascii="Helvetica" w:hAnsi="Helvetica" w:cs="Calibri"/>
          <w:color w:val="000000" w:themeColor="text1"/>
          <w:lang w:val="en-US"/>
        </w:rPr>
        <w:t>in a large international multi</w:t>
      </w:r>
      <w:r w:rsidR="000B7DA3" w:rsidRPr="009824AD">
        <w:rPr>
          <w:rFonts w:ascii="Helvetica" w:hAnsi="Helvetica" w:cs="Calibri"/>
          <w:color w:val="000000" w:themeColor="text1"/>
          <w:lang w:val="en-US"/>
        </w:rPr>
        <w:t>center</w:t>
      </w:r>
      <w:r w:rsidR="00E935A6" w:rsidRPr="009824AD">
        <w:rPr>
          <w:rFonts w:ascii="Helvetica" w:hAnsi="Helvetica" w:cs="Calibri"/>
          <w:color w:val="000000" w:themeColor="text1"/>
          <w:lang w:val="en-US"/>
        </w:rPr>
        <w:t xml:space="preserve"> cohort using a propensity score matched analysis. </w:t>
      </w:r>
    </w:p>
    <w:p w14:paraId="74E2056C" w14:textId="1DF6FA4C" w:rsidR="00A32A02" w:rsidRPr="009824AD" w:rsidRDefault="00A32A02" w:rsidP="009E712F">
      <w:pPr>
        <w:pStyle w:val="Geenafstand"/>
        <w:spacing w:line="480" w:lineRule="auto"/>
        <w:jc w:val="both"/>
        <w:rPr>
          <w:rFonts w:ascii="Helvetica" w:hAnsi="Helvetica" w:cs="Calibri"/>
          <w:color w:val="000000" w:themeColor="text1"/>
          <w:lang w:val="en-US"/>
        </w:rPr>
      </w:pPr>
    </w:p>
    <w:p w14:paraId="26ECE50A" w14:textId="691B89A5" w:rsidR="00A32A02" w:rsidRPr="009824AD" w:rsidRDefault="00A32A02" w:rsidP="009E712F">
      <w:pPr>
        <w:pStyle w:val="Geenafstand"/>
        <w:spacing w:line="480" w:lineRule="auto"/>
        <w:jc w:val="both"/>
        <w:rPr>
          <w:rFonts w:ascii="Helvetica" w:hAnsi="Helvetica" w:cs="Calibri"/>
          <w:color w:val="000000" w:themeColor="text1"/>
          <w:lang w:val="en-US"/>
        </w:rPr>
      </w:pPr>
    </w:p>
    <w:p w14:paraId="607C770D" w14:textId="21F00E15" w:rsidR="00A32A02" w:rsidRPr="009824AD" w:rsidRDefault="00A32A02" w:rsidP="009E712F">
      <w:pPr>
        <w:pStyle w:val="Geenafstand"/>
        <w:spacing w:line="480" w:lineRule="auto"/>
        <w:jc w:val="both"/>
        <w:rPr>
          <w:rFonts w:ascii="Helvetica" w:hAnsi="Helvetica" w:cs="Calibri"/>
          <w:color w:val="000000" w:themeColor="text1"/>
          <w:lang w:val="en-US"/>
        </w:rPr>
      </w:pPr>
    </w:p>
    <w:p w14:paraId="115905BC" w14:textId="1F3DC96D" w:rsidR="00A32A02" w:rsidRPr="009824AD" w:rsidRDefault="00A32A02" w:rsidP="009E712F">
      <w:pPr>
        <w:pStyle w:val="Geenafstand"/>
        <w:spacing w:line="480" w:lineRule="auto"/>
        <w:jc w:val="both"/>
        <w:rPr>
          <w:rFonts w:ascii="Helvetica" w:hAnsi="Helvetica" w:cs="Calibri"/>
          <w:color w:val="000000" w:themeColor="text1"/>
          <w:lang w:val="en-US"/>
        </w:rPr>
      </w:pPr>
    </w:p>
    <w:p w14:paraId="2065230E" w14:textId="62FE9C5C" w:rsidR="00A32A02" w:rsidRPr="009824AD" w:rsidRDefault="00A32A02" w:rsidP="009E712F">
      <w:pPr>
        <w:pStyle w:val="Geenafstand"/>
        <w:spacing w:line="480" w:lineRule="auto"/>
        <w:jc w:val="both"/>
        <w:rPr>
          <w:rFonts w:ascii="Helvetica" w:hAnsi="Helvetica" w:cs="Calibri"/>
          <w:color w:val="000000" w:themeColor="text1"/>
          <w:lang w:val="en-US"/>
        </w:rPr>
      </w:pPr>
    </w:p>
    <w:p w14:paraId="5CC1722D" w14:textId="044612C0" w:rsidR="00A32A02" w:rsidRPr="009824AD" w:rsidRDefault="00A32A02" w:rsidP="009E712F">
      <w:pPr>
        <w:pStyle w:val="Geenafstand"/>
        <w:spacing w:line="480" w:lineRule="auto"/>
        <w:jc w:val="both"/>
        <w:rPr>
          <w:rFonts w:ascii="Helvetica" w:hAnsi="Helvetica" w:cs="Calibri"/>
          <w:color w:val="000000" w:themeColor="text1"/>
          <w:lang w:val="en-US"/>
        </w:rPr>
      </w:pPr>
    </w:p>
    <w:p w14:paraId="0F4A0088" w14:textId="25031E66" w:rsidR="00A32A02" w:rsidRPr="009824AD" w:rsidRDefault="00A32A02" w:rsidP="009E712F">
      <w:pPr>
        <w:pStyle w:val="Geenafstand"/>
        <w:spacing w:line="480" w:lineRule="auto"/>
        <w:jc w:val="both"/>
        <w:rPr>
          <w:rFonts w:ascii="Helvetica" w:hAnsi="Helvetica" w:cs="Calibri"/>
          <w:color w:val="000000" w:themeColor="text1"/>
          <w:lang w:val="en-US"/>
        </w:rPr>
      </w:pPr>
    </w:p>
    <w:p w14:paraId="03B2035A" w14:textId="5F37546F" w:rsidR="00A32A02" w:rsidRPr="009824AD" w:rsidRDefault="00A32A02" w:rsidP="009E712F">
      <w:pPr>
        <w:pStyle w:val="Geenafstand"/>
        <w:spacing w:line="480" w:lineRule="auto"/>
        <w:jc w:val="both"/>
        <w:rPr>
          <w:rFonts w:ascii="Helvetica" w:hAnsi="Helvetica" w:cs="Calibri"/>
          <w:color w:val="000000" w:themeColor="text1"/>
          <w:lang w:val="en-US"/>
        </w:rPr>
      </w:pPr>
    </w:p>
    <w:p w14:paraId="68AEFDC3" w14:textId="1C4A2112" w:rsidR="00A32A02" w:rsidRPr="009824AD" w:rsidRDefault="00A32A02" w:rsidP="009E712F">
      <w:pPr>
        <w:pStyle w:val="Geenafstand"/>
        <w:spacing w:line="480" w:lineRule="auto"/>
        <w:jc w:val="both"/>
        <w:rPr>
          <w:rFonts w:ascii="Helvetica" w:hAnsi="Helvetica" w:cs="Calibri"/>
          <w:color w:val="000000" w:themeColor="text1"/>
          <w:lang w:val="en-US"/>
        </w:rPr>
      </w:pPr>
    </w:p>
    <w:p w14:paraId="62E37359" w14:textId="4ACD05EE" w:rsidR="00A32A02" w:rsidRPr="009824AD" w:rsidRDefault="00A32A02" w:rsidP="009E712F">
      <w:pPr>
        <w:pStyle w:val="Geenafstand"/>
        <w:spacing w:line="480" w:lineRule="auto"/>
        <w:jc w:val="both"/>
        <w:rPr>
          <w:rFonts w:ascii="Helvetica" w:hAnsi="Helvetica" w:cs="Calibri"/>
          <w:color w:val="000000" w:themeColor="text1"/>
          <w:lang w:val="en-US"/>
        </w:rPr>
      </w:pPr>
    </w:p>
    <w:p w14:paraId="36696B2E" w14:textId="054196E3" w:rsidR="00A32A02" w:rsidRPr="009824AD" w:rsidRDefault="00A32A02" w:rsidP="009E712F">
      <w:pPr>
        <w:pStyle w:val="Geenafstand"/>
        <w:spacing w:line="480" w:lineRule="auto"/>
        <w:jc w:val="both"/>
        <w:rPr>
          <w:rFonts w:ascii="Helvetica" w:hAnsi="Helvetica" w:cs="Calibri"/>
          <w:color w:val="000000" w:themeColor="text1"/>
          <w:lang w:val="en-US"/>
        </w:rPr>
      </w:pPr>
    </w:p>
    <w:p w14:paraId="40462768" w14:textId="5E62894F" w:rsidR="00A32A02" w:rsidRPr="009824AD" w:rsidRDefault="00A32A02" w:rsidP="009E712F">
      <w:pPr>
        <w:pStyle w:val="Geenafstand"/>
        <w:spacing w:line="480" w:lineRule="auto"/>
        <w:jc w:val="both"/>
        <w:rPr>
          <w:rFonts w:ascii="Helvetica" w:hAnsi="Helvetica" w:cs="Calibri"/>
          <w:color w:val="000000" w:themeColor="text1"/>
          <w:lang w:val="en-US"/>
        </w:rPr>
      </w:pPr>
    </w:p>
    <w:p w14:paraId="053A9550" w14:textId="337EC9F9" w:rsidR="00A32A02" w:rsidRPr="009824AD" w:rsidRDefault="00A32A02" w:rsidP="009E712F">
      <w:pPr>
        <w:pStyle w:val="Geenafstand"/>
        <w:spacing w:line="480" w:lineRule="auto"/>
        <w:jc w:val="both"/>
        <w:rPr>
          <w:rFonts w:ascii="Helvetica" w:hAnsi="Helvetica" w:cs="Calibri"/>
          <w:color w:val="000000" w:themeColor="text1"/>
          <w:lang w:val="en-US"/>
        </w:rPr>
      </w:pPr>
    </w:p>
    <w:p w14:paraId="221719DE" w14:textId="6B482D44" w:rsidR="00A32A02" w:rsidRPr="009824AD" w:rsidRDefault="00A32A02" w:rsidP="009E712F">
      <w:pPr>
        <w:pStyle w:val="Geenafstand"/>
        <w:spacing w:line="480" w:lineRule="auto"/>
        <w:jc w:val="both"/>
        <w:rPr>
          <w:rFonts w:ascii="Helvetica" w:hAnsi="Helvetica" w:cs="Calibri"/>
          <w:color w:val="000000" w:themeColor="text1"/>
          <w:lang w:val="en-US"/>
        </w:rPr>
      </w:pPr>
    </w:p>
    <w:p w14:paraId="4AFD7ED1" w14:textId="79F6EE2A" w:rsidR="00A32A02" w:rsidRPr="009824AD" w:rsidRDefault="00A32A02" w:rsidP="009E712F">
      <w:pPr>
        <w:pStyle w:val="Geenafstand"/>
        <w:spacing w:line="480" w:lineRule="auto"/>
        <w:jc w:val="both"/>
        <w:rPr>
          <w:rFonts w:ascii="Helvetica" w:hAnsi="Helvetica" w:cs="Calibri"/>
          <w:color w:val="000000" w:themeColor="text1"/>
          <w:lang w:val="en-US"/>
        </w:rPr>
      </w:pPr>
    </w:p>
    <w:p w14:paraId="111BC416" w14:textId="713E3929" w:rsidR="00A32A02" w:rsidRPr="009824AD" w:rsidRDefault="00A32A02" w:rsidP="009E712F">
      <w:pPr>
        <w:pStyle w:val="Geenafstand"/>
        <w:spacing w:line="480" w:lineRule="auto"/>
        <w:jc w:val="both"/>
        <w:rPr>
          <w:rFonts w:ascii="Helvetica" w:hAnsi="Helvetica" w:cs="Calibri"/>
          <w:color w:val="000000" w:themeColor="text1"/>
          <w:lang w:val="en-US"/>
        </w:rPr>
      </w:pPr>
    </w:p>
    <w:p w14:paraId="7B23CA6F" w14:textId="2719FDEF" w:rsidR="00A32A02" w:rsidRPr="009824AD" w:rsidRDefault="00A32A02" w:rsidP="009E712F">
      <w:pPr>
        <w:pStyle w:val="Geenafstand"/>
        <w:spacing w:line="480" w:lineRule="auto"/>
        <w:jc w:val="both"/>
        <w:rPr>
          <w:rFonts w:ascii="Helvetica" w:hAnsi="Helvetica" w:cs="Calibri"/>
          <w:color w:val="000000" w:themeColor="text1"/>
          <w:lang w:val="en-US"/>
        </w:rPr>
      </w:pPr>
    </w:p>
    <w:p w14:paraId="2B2F8C2C" w14:textId="5A213F5C" w:rsidR="00A32A02" w:rsidRPr="009824AD" w:rsidRDefault="00A32A02" w:rsidP="009E712F">
      <w:pPr>
        <w:pStyle w:val="Geenafstand"/>
        <w:spacing w:line="480" w:lineRule="auto"/>
        <w:jc w:val="both"/>
        <w:rPr>
          <w:rFonts w:ascii="Helvetica" w:hAnsi="Helvetica" w:cs="Calibri"/>
          <w:color w:val="000000" w:themeColor="text1"/>
          <w:lang w:val="en-US"/>
        </w:rPr>
      </w:pPr>
    </w:p>
    <w:p w14:paraId="4888A249" w14:textId="3CC699A5" w:rsidR="00A32A02" w:rsidRPr="009824AD" w:rsidRDefault="00A32A02" w:rsidP="009E712F">
      <w:pPr>
        <w:pStyle w:val="Geenafstand"/>
        <w:spacing w:line="480" w:lineRule="auto"/>
        <w:jc w:val="both"/>
        <w:rPr>
          <w:rFonts w:ascii="Helvetica" w:hAnsi="Helvetica" w:cs="Calibri"/>
          <w:color w:val="000000" w:themeColor="text1"/>
          <w:lang w:val="en-US"/>
        </w:rPr>
      </w:pPr>
    </w:p>
    <w:p w14:paraId="2A012197" w14:textId="08725EBF" w:rsidR="00A32A02" w:rsidRPr="009824AD" w:rsidRDefault="00A32A02" w:rsidP="009E712F">
      <w:pPr>
        <w:pStyle w:val="Geenafstand"/>
        <w:spacing w:line="480" w:lineRule="auto"/>
        <w:jc w:val="both"/>
        <w:rPr>
          <w:rFonts w:ascii="Helvetica" w:hAnsi="Helvetica" w:cs="Calibri"/>
          <w:color w:val="000000" w:themeColor="text1"/>
          <w:lang w:val="en-US"/>
        </w:rPr>
      </w:pPr>
    </w:p>
    <w:p w14:paraId="26A98467" w14:textId="510B80F3" w:rsidR="00A32A02" w:rsidRPr="009824AD" w:rsidRDefault="00A32A02" w:rsidP="009E712F">
      <w:pPr>
        <w:pStyle w:val="Geenafstand"/>
        <w:spacing w:line="480" w:lineRule="auto"/>
        <w:jc w:val="both"/>
        <w:rPr>
          <w:rFonts w:ascii="Helvetica" w:hAnsi="Helvetica" w:cs="Calibri"/>
          <w:color w:val="000000" w:themeColor="text1"/>
          <w:lang w:val="en-US"/>
        </w:rPr>
      </w:pPr>
    </w:p>
    <w:p w14:paraId="0DD77865" w14:textId="77777777" w:rsidR="009824AD" w:rsidRPr="009824AD" w:rsidRDefault="009824AD" w:rsidP="009E712F">
      <w:pPr>
        <w:pStyle w:val="Geenafstand"/>
        <w:spacing w:line="480" w:lineRule="auto"/>
        <w:jc w:val="both"/>
        <w:rPr>
          <w:rFonts w:ascii="Helvetica" w:hAnsi="Helvetica" w:cs="Calibri"/>
          <w:b/>
          <w:bCs/>
          <w:sz w:val="28"/>
          <w:szCs w:val="28"/>
          <w:lang w:val="en-US"/>
        </w:rPr>
        <w:sectPr w:rsidR="009824AD" w:rsidRPr="009824AD" w:rsidSect="00CA02C7">
          <w:pgSz w:w="11900" w:h="16840"/>
          <w:pgMar w:top="1417" w:right="1417" w:bottom="1417" w:left="1417" w:header="708" w:footer="708" w:gutter="0"/>
          <w:cols w:space="708"/>
          <w:docGrid w:linePitch="360"/>
        </w:sectPr>
      </w:pPr>
    </w:p>
    <w:p w14:paraId="24A5E186" w14:textId="72708A11" w:rsidR="007B4BC7" w:rsidRPr="009824AD" w:rsidRDefault="007B4BC7" w:rsidP="00EC12A5">
      <w:pPr>
        <w:pStyle w:val="Kop1"/>
        <w:rPr>
          <w:rFonts w:ascii="Helvetica" w:hAnsi="Helvetica"/>
          <w:lang w:val="en-US"/>
        </w:rPr>
      </w:pPr>
      <w:r w:rsidRPr="009824AD">
        <w:rPr>
          <w:rFonts w:ascii="Helvetica" w:hAnsi="Helvetica"/>
          <w:lang w:val="en-US"/>
        </w:rPr>
        <w:lastRenderedPageBreak/>
        <w:t>METHODS</w:t>
      </w:r>
    </w:p>
    <w:p w14:paraId="04103DAC" w14:textId="35D2DD82" w:rsidR="00EF6320" w:rsidRPr="009824AD" w:rsidRDefault="004422D3" w:rsidP="00EC12A5">
      <w:pPr>
        <w:pStyle w:val="Kop2"/>
        <w:rPr>
          <w:rFonts w:ascii="Helvetica" w:hAnsi="Helvetica"/>
          <w:lang w:val="en-US"/>
        </w:rPr>
      </w:pPr>
      <w:r w:rsidRPr="009824AD">
        <w:rPr>
          <w:rFonts w:ascii="Helvetica" w:hAnsi="Helvetica"/>
          <w:lang w:val="en-US"/>
        </w:rPr>
        <w:t xml:space="preserve">Study Design and </w:t>
      </w:r>
      <w:r w:rsidR="00EF6320" w:rsidRPr="009824AD">
        <w:rPr>
          <w:rFonts w:ascii="Helvetica" w:hAnsi="Helvetica"/>
          <w:lang w:val="en-US"/>
        </w:rPr>
        <w:t>Patient Selection</w:t>
      </w:r>
    </w:p>
    <w:p w14:paraId="12CBFEE1" w14:textId="45BFB9CA" w:rsidR="004422D3" w:rsidRPr="009824AD" w:rsidRDefault="004422D3" w:rsidP="004422D3">
      <w:pPr>
        <w:spacing w:line="480" w:lineRule="auto"/>
        <w:jc w:val="both"/>
        <w:rPr>
          <w:rFonts w:ascii="Helvetica" w:eastAsia="Times New Roman" w:hAnsi="Helvetica" w:cs="Calibri"/>
          <w:color w:val="212121"/>
          <w:sz w:val="22"/>
          <w:szCs w:val="22"/>
          <w:shd w:val="clear" w:color="auto" w:fill="FFFFFF"/>
          <w:lang w:val="en-US" w:eastAsia="nl-NL"/>
        </w:rPr>
      </w:pPr>
      <w:r w:rsidRPr="009824AD">
        <w:rPr>
          <w:rFonts w:ascii="Helvetica" w:hAnsi="Helvetica" w:cs="Calibri"/>
          <w:sz w:val="22"/>
          <w:szCs w:val="22"/>
          <w:lang w:val="en-US"/>
        </w:rPr>
        <w:t>This retrospective cohort study was performed in accordance with the Strengthening the Reporting of Observational Studies in Epidemiology (STROBE) statement</w:t>
      </w:r>
      <w:r w:rsidRPr="009824AD">
        <w:rPr>
          <w:rFonts w:ascii="Helvetica" w:hAnsi="Helvetica" w:cs="Calibri"/>
          <w:sz w:val="22"/>
          <w:szCs w:val="22"/>
          <w:lang w:val="en-US"/>
        </w:rPr>
        <w:fldChar w:fldCharType="begin" w:fldLock="1"/>
      </w:r>
      <w:r w:rsidR="000D44B8" w:rsidRPr="009824AD">
        <w:rPr>
          <w:rFonts w:ascii="Helvetica" w:hAnsi="Helvetica" w:cs="Calibri"/>
          <w:sz w:val="22"/>
          <w:szCs w:val="22"/>
          <w:lang w:val="en-US"/>
        </w:rPr>
        <w:instrText>ADDIN CSL_CITATION {"citationItems":[{"id":"ITEM-1","itemData":{"DOI":"10.1016/j.ijsu.2014.07.014","ISSN":"17439191","PMID":"25046751","abstract":"Much medical research is observational. The reporting of observational studies is often of insufficient quality. Poor reporting hampers the assessment of the strengths and weaknesses of a study and the generalisability of its results. Taking into account empirical evidence and theoretical considerations, a group of methodologists, researchers, and editors developed the Strengthening the Reporting of Observational Studies in Epidemiology (STROBE) recommendations to improve the quality of reporting of observational studies. The STROBE Statement consists of a checklist of 22 items, which relate to the title, abstract, introduction, methods, results and discussion sections of articles. Eighteen items are common to cohort studies, case-control studies and cross-sectional studies and four are specific to each of the three study designs. The STROBE Statement provides guidance to authors about how to improve the reporting of observational studies and facilitates critical appraisal and interpretation of studies by reviewers, journal editors and readers. This explanatory and elaboration document is intended to enhance the use, understanding, and dissemination of the STROBE Statement. The meaning and rationale for each checklist item are presented. For each item, one or several published examples and, where possible, references to relevant empirical studies and methodological literature are provided. Examples of useful flow diagrams are also included. The STROBE Statement, this document, and the associated Web site (http://www.strobe-statement.org/) should be helpful resources to improve reporting of observational research.","author":[{"dropping-particle":"","family":"Vandenbroucke","given":"Jan P.","non-dropping-particle":"","parse-names":false,"suffix":""},{"dropping-particle":"","family":"Elm","given":"Erik","non-dropping-particle":"von","parse-names":false,"suffix":""},{"dropping-particle":"","family":"Altman","given":"Douglas G.","non-dropping-particle":"","parse-names":false,"suffix":""},{"dropping-particle":"","family":"Gøtzsche","given":"Peter C.","non-dropping-particle":"","parse-names":false,"suffix":""},{"dropping-particle":"","family":"Mulrow","given":"Cynthia D.","non-dropping-particle":"","parse-names":false,"suffix":""},{"dropping-particle":"","family":"Pocock","given":"Stuart J.","non-dropping-particle":"","parse-names":false,"suffix":""},{"dropping-particle":"","family":"Poole","given":"Charles","non-dropping-particle":"","parse-names":false,"suffix":""},{"dropping-particle":"","family":"Schlesselman","given":"James J.","non-dropping-particle":"","parse-names":false,"suffix":""},{"dropping-particle":"","family":"Egger","given":"Matthias","non-dropping-particle":"","parse-names":false,"suffix":""},{"dropping-particle":"","family":"STROBE Initiative","given":"","non-dropping-particle":"","parse-names":false,"suffix":""}],"container-title":"International Journal of Surgery","id":"ITEM-1","issue":"12","issued":{"date-parts":[["2014","12"]]},"page":"1500-1524","title":"Strengthening the Reporting of Observational Studies in Epidemiology (STROBE): Explanation and elaboration","type":"article-journal","volume":"12"},"uris":["http://www.mendeley.com/documents/?uuid=3a5a17ba-123c-33ec-996b-25d18dd7ccbd"]}],"mendeley":{"formattedCitation":"(24)","plainTextFormattedCitation":"(24)","previouslyFormattedCitation":"(24)"},"properties":{"noteIndex":0},"schema":"https://github.com/citation-style-language/schema/raw/master/csl-citation.json"}</w:instrText>
      </w:r>
      <w:r w:rsidRPr="009824AD">
        <w:rPr>
          <w:rFonts w:ascii="Helvetica" w:hAnsi="Helvetica" w:cs="Calibri"/>
          <w:sz w:val="22"/>
          <w:szCs w:val="22"/>
          <w:lang w:val="en-US"/>
        </w:rPr>
        <w:fldChar w:fldCharType="separate"/>
      </w:r>
      <w:r w:rsidR="000D44B8" w:rsidRPr="009824AD">
        <w:rPr>
          <w:rFonts w:ascii="Helvetica" w:hAnsi="Helvetica" w:cs="Calibri"/>
          <w:noProof/>
          <w:sz w:val="22"/>
          <w:szCs w:val="22"/>
          <w:lang w:val="en-US"/>
        </w:rPr>
        <w:t>(24)</w:t>
      </w:r>
      <w:r w:rsidRPr="009824AD">
        <w:rPr>
          <w:rFonts w:ascii="Helvetica" w:hAnsi="Helvetica" w:cs="Calibri"/>
          <w:sz w:val="22"/>
          <w:szCs w:val="22"/>
          <w:lang w:val="en-US"/>
        </w:rPr>
        <w:fldChar w:fldCharType="end"/>
      </w:r>
      <w:r w:rsidR="00E444F2" w:rsidRPr="009824AD">
        <w:rPr>
          <w:rFonts w:ascii="Helvetica" w:hAnsi="Helvetica" w:cs="Calibri"/>
          <w:sz w:val="22"/>
          <w:szCs w:val="22"/>
          <w:lang w:val="en-US"/>
        </w:rPr>
        <w:t>.</w:t>
      </w:r>
      <w:r w:rsidRPr="009824AD">
        <w:rPr>
          <w:rFonts w:ascii="Helvetica" w:hAnsi="Helvetica" w:cs="Calibri"/>
          <w:sz w:val="22"/>
          <w:szCs w:val="22"/>
          <w:lang w:val="en-US"/>
        </w:rPr>
        <w:t xml:space="preserve"> It represents the combined experience of 15 </w:t>
      </w:r>
      <w:r w:rsidRPr="009824AD">
        <w:rPr>
          <w:rFonts w:ascii="Helvetica" w:eastAsia="Times New Roman" w:hAnsi="Helvetica" w:cs="Calibri"/>
          <w:sz w:val="22"/>
          <w:szCs w:val="22"/>
          <w:lang w:val="en-US" w:eastAsia="nl-NL"/>
        </w:rPr>
        <w:t xml:space="preserve">tertiary </w:t>
      </w:r>
      <w:r w:rsidR="004D390F" w:rsidRPr="009824AD">
        <w:rPr>
          <w:rFonts w:ascii="Helvetica" w:eastAsia="Times New Roman" w:hAnsi="Helvetica" w:cs="Calibri"/>
          <w:sz w:val="22"/>
          <w:szCs w:val="22"/>
          <w:lang w:val="en-US" w:eastAsia="nl-NL"/>
        </w:rPr>
        <w:t xml:space="preserve">referral </w:t>
      </w:r>
      <w:r w:rsidRPr="009824AD">
        <w:rPr>
          <w:rFonts w:ascii="Helvetica" w:eastAsia="Times New Roman" w:hAnsi="Helvetica" w:cs="Calibri"/>
          <w:sz w:val="22"/>
          <w:szCs w:val="22"/>
          <w:lang w:val="en-US" w:eastAsia="nl-NL"/>
        </w:rPr>
        <w:t xml:space="preserve">hepatobiliary </w:t>
      </w:r>
      <w:r w:rsidR="000B7DA3" w:rsidRPr="009824AD">
        <w:rPr>
          <w:rFonts w:ascii="Helvetica" w:eastAsia="Times New Roman" w:hAnsi="Helvetica" w:cs="Calibri"/>
          <w:sz w:val="22"/>
          <w:szCs w:val="22"/>
          <w:lang w:val="en-US" w:eastAsia="nl-NL"/>
        </w:rPr>
        <w:t>center</w:t>
      </w:r>
      <w:r w:rsidRPr="009824AD">
        <w:rPr>
          <w:rFonts w:ascii="Helvetica" w:eastAsia="Times New Roman" w:hAnsi="Helvetica" w:cs="Calibri"/>
          <w:sz w:val="22"/>
          <w:szCs w:val="22"/>
          <w:lang w:val="en-US" w:eastAsia="nl-NL"/>
        </w:rPr>
        <w:t xml:space="preserve">s: Amsterdam UMC, location Academic Medical </w:t>
      </w:r>
      <w:r w:rsidR="000B7DA3" w:rsidRPr="009824AD">
        <w:rPr>
          <w:rFonts w:ascii="Helvetica" w:eastAsia="Times New Roman" w:hAnsi="Helvetica" w:cs="Calibri"/>
          <w:sz w:val="22"/>
          <w:szCs w:val="22"/>
          <w:lang w:val="en-US" w:eastAsia="nl-NL"/>
        </w:rPr>
        <w:t>Center</w:t>
      </w:r>
      <w:r w:rsidRPr="009824AD">
        <w:rPr>
          <w:rFonts w:ascii="Helvetica" w:eastAsia="Times New Roman" w:hAnsi="Helvetica" w:cs="Calibri"/>
          <w:sz w:val="22"/>
          <w:szCs w:val="22"/>
          <w:lang w:val="en-US" w:eastAsia="nl-NL"/>
        </w:rPr>
        <w:t>, Amsterdam, the Netherlands; Hospital Josep Trueta, Girona, Spain; Groeninge Hospital, Kortrijk, Belgium; San Raffaele Hospital, Milan, Italy</w:t>
      </w:r>
      <w:r w:rsidR="00AB513E" w:rsidRPr="009824AD">
        <w:rPr>
          <w:rFonts w:ascii="Helvetica" w:eastAsia="Times New Roman" w:hAnsi="Helvetica" w:cs="Calibri"/>
          <w:sz w:val="22"/>
          <w:szCs w:val="22"/>
          <w:lang w:val="en-US" w:eastAsia="nl-NL"/>
        </w:rPr>
        <w:t>;</w:t>
      </w:r>
      <w:r w:rsidRPr="009824AD">
        <w:rPr>
          <w:rFonts w:ascii="Helvetica" w:eastAsia="Times New Roman" w:hAnsi="Helvetica" w:cs="Calibri"/>
          <w:sz w:val="22"/>
          <w:szCs w:val="22"/>
          <w:lang w:val="en-US" w:eastAsia="nl-NL"/>
        </w:rPr>
        <w:t xml:space="preserve"> Ospedale Mauriziano Umberto I, Torino, Italy; Moscow Clinical Research </w:t>
      </w:r>
      <w:r w:rsidR="000B7DA3" w:rsidRPr="009824AD">
        <w:rPr>
          <w:rFonts w:ascii="Helvetica" w:eastAsia="Times New Roman" w:hAnsi="Helvetica" w:cs="Calibri"/>
          <w:sz w:val="22"/>
          <w:szCs w:val="22"/>
          <w:lang w:val="en-US" w:eastAsia="nl-NL"/>
        </w:rPr>
        <w:t>Center</w:t>
      </w:r>
      <w:r w:rsidRPr="009824AD">
        <w:rPr>
          <w:rFonts w:ascii="Helvetica" w:eastAsia="Times New Roman" w:hAnsi="Helvetica" w:cs="Calibri"/>
          <w:sz w:val="22"/>
          <w:szCs w:val="22"/>
          <w:lang w:val="en-US" w:eastAsia="nl-NL"/>
        </w:rPr>
        <w:t xml:space="preserve">, Moscow, Russia; </w:t>
      </w:r>
      <w:r w:rsidRPr="009824AD">
        <w:rPr>
          <w:rFonts w:ascii="Helvetica" w:hAnsi="Helvetica" w:cs="Calibri"/>
          <w:color w:val="000000" w:themeColor="text1"/>
          <w:sz w:val="22"/>
          <w:szCs w:val="22"/>
          <w:lang w:val="en-US"/>
        </w:rPr>
        <w:t xml:space="preserve">Oslo University Hospital, Oslo, Norway; </w:t>
      </w:r>
      <w:r w:rsidRPr="009824AD">
        <w:rPr>
          <w:rFonts w:ascii="Helvetica" w:eastAsia="Times New Roman" w:hAnsi="Helvetica" w:cs="Calibri"/>
          <w:sz w:val="22"/>
          <w:szCs w:val="22"/>
          <w:lang w:val="en-US" w:eastAsia="nl-NL"/>
        </w:rPr>
        <w:t xml:space="preserve">Riuniti Hospital, Ancona, Italy; Clinica Universidad de Navarra, Pamplona, Spain; Institut Mutualiste Montsouris, Paris, France; Padova University Hospital , Padova, Italy; Catholic University of the Sacred Heart, Rome, Italy; Southampton University Hospital, Southampton, United Kingdom; University of Verona Medical School, Verona, Italy; </w:t>
      </w:r>
      <w:r w:rsidRPr="009824AD">
        <w:rPr>
          <w:rFonts w:ascii="Helvetica" w:eastAsia="Times New Roman" w:hAnsi="Helvetica" w:cs="Calibri"/>
          <w:color w:val="212121"/>
          <w:sz w:val="22"/>
          <w:szCs w:val="22"/>
          <w:shd w:val="clear" w:color="auto" w:fill="FFFFFF"/>
          <w:lang w:val="en-US" w:eastAsia="nl-NL"/>
        </w:rPr>
        <w:t xml:space="preserve">Virginia Mason Medical </w:t>
      </w:r>
      <w:r w:rsidR="000B7DA3" w:rsidRPr="009824AD">
        <w:rPr>
          <w:rFonts w:ascii="Helvetica" w:eastAsia="Times New Roman" w:hAnsi="Helvetica" w:cs="Calibri"/>
          <w:color w:val="212121"/>
          <w:sz w:val="22"/>
          <w:szCs w:val="22"/>
          <w:shd w:val="clear" w:color="auto" w:fill="FFFFFF"/>
          <w:lang w:val="en-US" w:eastAsia="nl-NL"/>
        </w:rPr>
        <w:t>Center</w:t>
      </w:r>
      <w:r w:rsidRPr="009824AD">
        <w:rPr>
          <w:rFonts w:ascii="Helvetica" w:eastAsia="Times New Roman" w:hAnsi="Helvetica" w:cs="Calibri"/>
          <w:color w:val="212121"/>
          <w:sz w:val="22"/>
          <w:szCs w:val="22"/>
          <w:shd w:val="clear" w:color="auto" w:fill="FFFFFF"/>
          <w:lang w:val="en-US" w:eastAsia="nl-NL"/>
        </w:rPr>
        <w:t xml:space="preserve">, Seattle, WA, USA. </w:t>
      </w:r>
      <w:r w:rsidRPr="009824AD">
        <w:rPr>
          <w:rFonts w:ascii="Helvetica" w:hAnsi="Helvetica" w:cs="Calibri"/>
          <w:sz w:val="22"/>
          <w:szCs w:val="22"/>
          <w:lang w:val="en-US"/>
        </w:rPr>
        <w:t>Data were collected and registered anonymously, hence no written informed consent or no ethical approval by the Institutional Review Boards was required.</w:t>
      </w:r>
    </w:p>
    <w:p w14:paraId="75888E67" w14:textId="77777777" w:rsidR="004422D3" w:rsidRPr="009824AD" w:rsidRDefault="004422D3" w:rsidP="001F372A">
      <w:pPr>
        <w:pStyle w:val="Geenafstand"/>
        <w:spacing w:line="480" w:lineRule="auto"/>
        <w:jc w:val="both"/>
        <w:rPr>
          <w:rFonts w:ascii="Helvetica" w:hAnsi="Helvetica" w:cs="Calibri"/>
          <w:i/>
          <w:iCs/>
          <w:lang w:val="en-US"/>
        </w:rPr>
      </w:pPr>
    </w:p>
    <w:p w14:paraId="7275E523" w14:textId="5B5E66B5" w:rsidR="00BC098E" w:rsidRPr="009824AD" w:rsidRDefault="00EF6320" w:rsidP="001F372A">
      <w:pPr>
        <w:spacing w:line="480" w:lineRule="auto"/>
        <w:jc w:val="both"/>
        <w:rPr>
          <w:rFonts w:ascii="Helvetica" w:hAnsi="Helvetica" w:cs="Calibri"/>
          <w:sz w:val="22"/>
          <w:szCs w:val="22"/>
          <w:lang w:val="en-US"/>
        </w:rPr>
      </w:pPr>
      <w:r w:rsidRPr="009824AD">
        <w:rPr>
          <w:rFonts w:ascii="Helvetica" w:eastAsia="Times New Roman" w:hAnsi="Helvetica" w:cs="Calibri"/>
          <w:color w:val="212121"/>
          <w:sz w:val="22"/>
          <w:szCs w:val="22"/>
          <w:shd w:val="clear" w:color="auto" w:fill="FFFFFF"/>
          <w:lang w:val="en-US" w:eastAsia="nl-NL"/>
        </w:rPr>
        <w:t xml:space="preserve">All participating </w:t>
      </w:r>
      <w:r w:rsidR="000B7DA3" w:rsidRPr="009824AD">
        <w:rPr>
          <w:rFonts w:ascii="Helvetica" w:eastAsia="Times New Roman" w:hAnsi="Helvetica" w:cs="Calibri"/>
          <w:color w:val="212121"/>
          <w:sz w:val="22"/>
          <w:szCs w:val="22"/>
          <w:shd w:val="clear" w:color="auto" w:fill="FFFFFF"/>
          <w:lang w:val="en-US" w:eastAsia="nl-NL"/>
        </w:rPr>
        <w:t>center</w:t>
      </w:r>
      <w:r w:rsidRPr="009824AD">
        <w:rPr>
          <w:rFonts w:ascii="Helvetica" w:eastAsia="Times New Roman" w:hAnsi="Helvetica" w:cs="Calibri"/>
          <w:color w:val="212121"/>
          <w:sz w:val="22"/>
          <w:szCs w:val="22"/>
          <w:shd w:val="clear" w:color="auto" w:fill="FFFFFF"/>
          <w:lang w:val="en-US" w:eastAsia="nl-NL"/>
        </w:rPr>
        <w:t xml:space="preserve">s performed a retrospective review of their prospectively collected databases. </w:t>
      </w:r>
      <w:r w:rsidR="009D78E4" w:rsidRPr="009824AD">
        <w:rPr>
          <w:rFonts w:ascii="Helvetica" w:eastAsia="Times New Roman" w:hAnsi="Helvetica" w:cs="Calibri"/>
          <w:color w:val="212121"/>
          <w:sz w:val="22"/>
          <w:szCs w:val="22"/>
          <w:shd w:val="clear" w:color="auto" w:fill="FFFFFF"/>
          <w:lang w:val="en-US" w:eastAsia="nl-NL"/>
        </w:rPr>
        <w:t xml:space="preserve">Data of all </w:t>
      </w:r>
      <w:r w:rsidRPr="009824AD">
        <w:rPr>
          <w:rFonts w:ascii="Helvetica" w:hAnsi="Helvetica" w:cs="Calibri"/>
          <w:sz w:val="22"/>
          <w:szCs w:val="22"/>
          <w:lang w:val="en-US"/>
        </w:rPr>
        <w:t>c</w:t>
      </w:r>
      <w:r w:rsidR="009D0E10" w:rsidRPr="009824AD">
        <w:rPr>
          <w:rFonts w:ascii="Helvetica" w:hAnsi="Helvetica" w:cs="Calibri"/>
          <w:sz w:val="22"/>
          <w:szCs w:val="22"/>
          <w:lang w:val="en-US"/>
        </w:rPr>
        <w:t>onsecutive p</w:t>
      </w:r>
      <w:r w:rsidR="00931CBB" w:rsidRPr="009824AD">
        <w:rPr>
          <w:rFonts w:ascii="Helvetica" w:hAnsi="Helvetica" w:cs="Calibri"/>
          <w:sz w:val="22"/>
          <w:szCs w:val="22"/>
          <w:lang w:val="en-US"/>
        </w:rPr>
        <w:t xml:space="preserve">atients who underwent </w:t>
      </w:r>
      <w:r w:rsidR="00D7062F" w:rsidRPr="009824AD">
        <w:rPr>
          <w:rFonts w:ascii="Helvetica" w:hAnsi="Helvetica" w:cs="Calibri"/>
          <w:sz w:val="22"/>
          <w:szCs w:val="22"/>
          <w:lang w:val="en-US"/>
        </w:rPr>
        <w:t>LLR</w:t>
      </w:r>
      <w:r w:rsidR="006F6D84" w:rsidRPr="009824AD">
        <w:rPr>
          <w:rFonts w:ascii="Helvetica" w:hAnsi="Helvetica" w:cs="Calibri"/>
          <w:sz w:val="22"/>
          <w:szCs w:val="22"/>
          <w:lang w:val="en-US"/>
        </w:rPr>
        <w:t xml:space="preserve"> or </w:t>
      </w:r>
      <w:r w:rsidR="00D7062F" w:rsidRPr="009824AD">
        <w:rPr>
          <w:rFonts w:ascii="Helvetica" w:hAnsi="Helvetica" w:cs="Calibri"/>
          <w:sz w:val="22"/>
          <w:szCs w:val="22"/>
          <w:lang w:val="en-US"/>
        </w:rPr>
        <w:t>OLR</w:t>
      </w:r>
      <w:r w:rsidR="006F6D84" w:rsidRPr="009824AD">
        <w:rPr>
          <w:rFonts w:ascii="Helvetica" w:hAnsi="Helvetica" w:cs="Calibri"/>
          <w:sz w:val="22"/>
          <w:szCs w:val="22"/>
          <w:lang w:val="en-US"/>
        </w:rPr>
        <w:t xml:space="preserve"> for all </w:t>
      </w:r>
      <w:r w:rsidR="0064753B" w:rsidRPr="009824AD">
        <w:rPr>
          <w:rFonts w:ascii="Helvetica" w:hAnsi="Helvetica" w:cs="Calibri"/>
          <w:sz w:val="22"/>
          <w:szCs w:val="22"/>
          <w:lang w:val="en-US"/>
        </w:rPr>
        <w:t>liver diseases between January 20</w:t>
      </w:r>
      <w:r w:rsidRPr="009824AD">
        <w:rPr>
          <w:rFonts w:ascii="Helvetica" w:hAnsi="Helvetica" w:cs="Calibri"/>
          <w:sz w:val="22"/>
          <w:szCs w:val="22"/>
          <w:lang w:val="en-US"/>
        </w:rPr>
        <w:t>00</w:t>
      </w:r>
      <w:r w:rsidR="0064753B" w:rsidRPr="009824AD">
        <w:rPr>
          <w:rFonts w:ascii="Helvetica" w:hAnsi="Helvetica" w:cs="Calibri"/>
          <w:sz w:val="22"/>
          <w:szCs w:val="22"/>
          <w:lang w:val="en-US"/>
        </w:rPr>
        <w:t xml:space="preserve"> and October 2019 </w:t>
      </w:r>
      <w:r w:rsidR="00931CBB" w:rsidRPr="009824AD">
        <w:rPr>
          <w:rFonts w:ascii="Helvetica" w:hAnsi="Helvetica" w:cs="Calibri"/>
          <w:sz w:val="22"/>
          <w:szCs w:val="22"/>
          <w:lang w:val="en-US"/>
        </w:rPr>
        <w:t xml:space="preserve">were </w:t>
      </w:r>
      <w:r w:rsidRPr="009824AD">
        <w:rPr>
          <w:rFonts w:ascii="Helvetica" w:hAnsi="Helvetica" w:cs="Calibri"/>
          <w:sz w:val="22"/>
          <w:szCs w:val="22"/>
          <w:lang w:val="en-US"/>
        </w:rPr>
        <w:t>included</w:t>
      </w:r>
      <w:r w:rsidR="00931CBB" w:rsidRPr="009824AD">
        <w:rPr>
          <w:rFonts w:ascii="Helvetica" w:hAnsi="Helvetica" w:cs="Calibri"/>
          <w:sz w:val="22"/>
          <w:szCs w:val="22"/>
          <w:lang w:val="en-US"/>
        </w:rPr>
        <w:t xml:space="preserve">. </w:t>
      </w:r>
      <w:r w:rsidR="009D0E10" w:rsidRPr="009824AD">
        <w:rPr>
          <w:rFonts w:ascii="Helvetica" w:hAnsi="Helvetica" w:cs="Calibri"/>
          <w:sz w:val="22"/>
          <w:szCs w:val="22"/>
          <w:lang w:val="en-US"/>
        </w:rPr>
        <w:t xml:space="preserve">Patients were excluded when no formal resection was performed (i.e. in the case of cyst fenestration/deroofing, biopsies, diagnostic laparoscopy) </w:t>
      </w:r>
      <w:r w:rsidR="002C1080" w:rsidRPr="009824AD">
        <w:rPr>
          <w:rFonts w:ascii="Helvetica" w:hAnsi="Helvetica" w:cs="Calibri"/>
          <w:sz w:val="22"/>
          <w:szCs w:val="22"/>
          <w:lang w:val="en-US"/>
        </w:rPr>
        <w:t xml:space="preserve">, </w:t>
      </w:r>
      <w:r w:rsidR="009D0E10" w:rsidRPr="009824AD">
        <w:rPr>
          <w:rFonts w:ascii="Helvetica" w:hAnsi="Helvetica" w:cs="Calibri"/>
          <w:sz w:val="22"/>
          <w:szCs w:val="22"/>
          <w:lang w:val="en-US"/>
        </w:rPr>
        <w:t xml:space="preserve">when emergency </w:t>
      </w:r>
      <w:r w:rsidR="00DA6362" w:rsidRPr="009824AD">
        <w:rPr>
          <w:rFonts w:ascii="Helvetica" w:hAnsi="Helvetica" w:cs="Calibri"/>
          <w:sz w:val="22"/>
          <w:szCs w:val="22"/>
          <w:lang w:val="en-US"/>
        </w:rPr>
        <w:t>liver</w:t>
      </w:r>
      <w:r w:rsidR="009D0E10" w:rsidRPr="009824AD">
        <w:rPr>
          <w:rFonts w:ascii="Helvetica" w:hAnsi="Helvetica" w:cs="Calibri"/>
          <w:sz w:val="22"/>
          <w:szCs w:val="22"/>
          <w:lang w:val="en-US"/>
        </w:rPr>
        <w:t xml:space="preserve"> surgery was performed </w:t>
      </w:r>
      <w:r w:rsidR="002C1080" w:rsidRPr="009824AD">
        <w:rPr>
          <w:rFonts w:ascii="Helvetica" w:hAnsi="Helvetica" w:cs="Calibri"/>
          <w:sz w:val="22"/>
          <w:szCs w:val="22"/>
          <w:lang w:val="en-US"/>
        </w:rPr>
        <w:t xml:space="preserve">or when </w:t>
      </w:r>
      <w:r w:rsidRPr="009824AD">
        <w:rPr>
          <w:rFonts w:ascii="Helvetica" w:hAnsi="Helvetica" w:cs="Calibri"/>
          <w:sz w:val="22"/>
          <w:szCs w:val="22"/>
          <w:lang w:val="en-US"/>
        </w:rPr>
        <w:t>a bilio</w:t>
      </w:r>
      <w:r w:rsidR="00475368" w:rsidRPr="009824AD">
        <w:rPr>
          <w:rFonts w:ascii="Helvetica" w:hAnsi="Helvetica" w:cs="Calibri"/>
          <w:sz w:val="22"/>
          <w:szCs w:val="22"/>
          <w:lang w:val="en-US"/>
        </w:rPr>
        <w:t>-</w:t>
      </w:r>
      <w:r w:rsidRPr="009824AD">
        <w:rPr>
          <w:rFonts w:ascii="Helvetica" w:hAnsi="Helvetica" w:cs="Calibri"/>
          <w:sz w:val="22"/>
          <w:szCs w:val="22"/>
          <w:lang w:val="en-US"/>
        </w:rPr>
        <w:t xml:space="preserve">enteric anastomosis </w:t>
      </w:r>
      <w:r w:rsidR="002C1080" w:rsidRPr="009824AD">
        <w:rPr>
          <w:rFonts w:ascii="Helvetica" w:hAnsi="Helvetica" w:cs="Calibri"/>
          <w:sz w:val="22"/>
          <w:szCs w:val="22"/>
          <w:lang w:val="en-US"/>
        </w:rPr>
        <w:t xml:space="preserve">was </w:t>
      </w:r>
      <w:r w:rsidR="009D78E4" w:rsidRPr="009824AD">
        <w:rPr>
          <w:rFonts w:ascii="Helvetica" w:hAnsi="Helvetica" w:cs="Calibri"/>
          <w:sz w:val="22"/>
          <w:szCs w:val="22"/>
          <w:lang w:val="en-US"/>
        </w:rPr>
        <w:t>needed.</w:t>
      </w:r>
    </w:p>
    <w:p w14:paraId="21DA4DA0" w14:textId="61A1242D" w:rsidR="008362C5" w:rsidRPr="009824AD" w:rsidRDefault="008362C5" w:rsidP="00310584">
      <w:pPr>
        <w:pStyle w:val="Geenafstand"/>
        <w:spacing w:line="480" w:lineRule="auto"/>
        <w:jc w:val="both"/>
        <w:rPr>
          <w:rFonts w:ascii="Helvetica" w:hAnsi="Helvetica" w:cs="Calibri"/>
          <w:lang w:val="en-US"/>
        </w:rPr>
      </w:pPr>
    </w:p>
    <w:p w14:paraId="7DF5CE0D" w14:textId="0D96F1F7" w:rsidR="00701E86" w:rsidRPr="009824AD" w:rsidRDefault="00A173E4" w:rsidP="00A32A02">
      <w:pPr>
        <w:pStyle w:val="Kop2"/>
        <w:rPr>
          <w:rFonts w:ascii="Helvetica" w:hAnsi="Helvetica"/>
          <w:lang w:val="en-US"/>
        </w:rPr>
      </w:pPr>
      <w:r w:rsidRPr="009824AD">
        <w:rPr>
          <w:rFonts w:ascii="Helvetica" w:hAnsi="Helvetica"/>
          <w:lang w:val="en-US"/>
        </w:rPr>
        <w:t xml:space="preserve">Data collection, </w:t>
      </w:r>
      <w:r w:rsidR="006E3876" w:rsidRPr="009824AD">
        <w:rPr>
          <w:rFonts w:ascii="Helvetica" w:hAnsi="Helvetica"/>
          <w:lang w:val="en-US"/>
        </w:rPr>
        <w:t>Definitions and</w:t>
      </w:r>
      <w:r w:rsidR="00CD34D4" w:rsidRPr="009824AD">
        <w:rPr>
          <w:rFonts w:ascii="Helvetica" w:hAnsi="Helvetica"/>
          <w:lang w:val="en-US"/>
        </w:rPr>
        <w:t xml:space="preserve"> </w:t>
      </w:r>
      <w:r w:rsidR="006E3876" w:rsidRPr="009824AD">
        <w:rPr>
          <w:rFonts w:ascii="Helvetica" w:hAnsi="Helvetica"/>
          <w:lang w:val="en-US"/>
        </w:rPr>
        <w:t>O</w:t>
      </w:r>
      <w:r w:rsidR="00CD34D4" w:rsidRPr="009824AD">
        <w:rPr>
          <w:rFonts w:ascii="Helvetica" w:hAnsi="Helvetica"/>
          <w:lang w:val="en-US"/>
        </w:rPr>
        <w:t>utcome</w:t>
      </w:r>
    </w:p>
    <w:p w14:paraId="443EDC39" w14:textId="64DC0AC1" w:rsidR="00C44AA5" w:rsidRPr="009824AD" w:rsidRDefault="00A32A02" w:rsidP="00002C7D">
      <w:pPr>
        <w:autoSpaceDE w:val="0"/>
        <w:autoSpaceDN w:val="0"/>
        <w:adjustRightInd w:val="0"/>
        <w:spacing w:line="480" w:lineRule="auto"/>
        <w:jc w:val="both"/>
        <w:rPr>
          <w:rFonts w:ascii="Helvetica" w:hAnsi="Helvetica" w:cs="Calibri"/>
          <w:lang w:val="en-US"/>
        </w:rPr>
      </w:pPr>
      <w:r w:rsidRPr="009824AD">
        <w:rPr>
          <w:rFonts w:ascii="Helvetica" w:hAnsi="Helvetica" w:cs="Calibri"/>
          <w:sz w:val="22"/>
          <w:szCs w:val="22"/>
          <w:lang w:val="en-US"/>
        </w:rPr>
        <w:t xml:space="preserve">POBL was defined according </w:t>
      </w:r>
      <w:r w:rsidRPr="009824AD">
        <w:rPr>
          <w:rFonts w:ascii="Helvetica" w:hAnsi="Helvetica" w:cs="Calibri"/>
          <w:color w:val="000000"/>
          <w:sz w:val="22"/>
          <w:szCs w:val="22"/>
          <w:lang w:val="en-US"/>
        </w:rPr>
        <w:t xml:space="preserve">to the 2010 ISGLS Definition </w:t>
      </w:r>
      <w:r w:rsidRPr="009824AD">
        <w:rPr>
          <w:rFonts w:ascii="Helvetica" w:hAnsi="Helvetica" w:cs="Calibri"/>
          <w:color w:val="211D1E"/>
          <w:sz w:val="22"/>
          <w:szCs w:val="22"/>
          <w:lang w:val="en-US"/>
        </w:rPr>
        <w:t xml:space="preserve">and was primarily diagnosed based on increased </w:t>
      </w:r>
      <w:r w:rsidRPr="009824AD">
        <w:rPr>
          <w:rFonts w:ascii="Helvetica" w:hAnsi="Helvetica" w:cs="Calibri"/>
          <w:sz w:val="22"/>
          <w:szCs w:val="22"/>
          <w:lang w:val="en-US"/>
        </w:rPr>
        <w:t xml:space="preserve">drain bile levels </w:t>
      </w:r>
      <w:r w:rsidRPr="009824AD">
        <w:rPr>
          <w:rFonts w:ascii="Helvetica" w:hAnsi="Helvetica" w:cs="Calibri"/>
          <w:color w:val="211D1E"/>
          <w:sz w:val="22"/>
          <w:szCs w:val="22"/>
          <w:lang w:val="en-US"/>
        </w:rPr>
        <w:t xml:space="preserve">from the third postoperative day onwards </w:t>
      </w:r>
      <w:r w:rsidRPr="009824AD">
        <w:rPr>
          <w:rFonts w:ascii="Helvetica" w:hAnsi="Helvetica" w:cs="Calibri"/>
          <w:sz w:val="22"/>
          <w:szCs w:val="22"/>
          <w:lang w:val="en-US"/>
        </w:rPr>
        <w:t xml:space="preserve">(i.e. three times the upper limit of the normal serum total bilirubin level) in case of an </w:t>
      </w:r>
      <w:r w:rsidRPr="009824AD">
        <w:rPr>
          <w:rFonts w:ascii="Helvetica" w:hAnsi="Helvetica" w:cs="Calibri"/>
          <w:color w:val="000000"/>
          <w:sz w:val="22"/>
          <w:szCs w:val="22"/>
          <w:lang w:val="en-US"/>
        </w:rPr>
        <w:t xml:space="preserve">intraoperatively placed </w:t>
      </w:r>
      <w:r w:rsidRPr="009824AD">
        <w:rPr>
          <w:rFonts w:ascii="Helvetica" w:hAnsi="Helvetica" w:cs="Calibri"/>
          <w:sz w:val="22"/>
          <w:szCs w:val="22"/>
          <w:lang w:val="en-US"/>
        </w:rPr>
        <w:lastRenderedPageBreak/>
        <w:t xml:space="preserve">abdominal </w:t>
      </w:r>
      <w:r w:rsidRPr="009824AD">
        <w:rPr>
          <w:rFonts w:ascii="Helvetica" w:hAnsi="Helvetica" w:cs="Calibri"/>
          <w:color w:val="000000"/>
          <w:sz w:val="22"/>
          <w:szCs w:val="22"/>
          <w:lang w:val="en-US"/>
        </w:rPr>
        <w:t>drain,</w:t>
      </w:r>
      <w:r w:rsidRPr="009824AD">
        <w:rPr>
          <w:rFonts w:ascii="Helvetica" w:hAnsi="Helvetica" w:cs="Calibri"/>
          <w:sz w:val="22"/>
          <w:szCs w:val="22"/>
          <w:lang w:val="en-US"/>
        </w:rPr>
        <w:t xml:space="preserve"> or POBL related symptoms (fever, </w:t>
      </w:r>
      <w:r w:rsidR="000B7DA3" w:rsidRPr="009824AD">
        <w:rPr>
          <w:rFonts w:ascii="Helvetica" w:hAnsi="Helvetica" w:cs="Calibri"/>
          <w:sz w:val="22"/>
          <w:szCs w:val="22"/>
          <w:lang w:val="en-US"/>
        </w:rPr>
        <w:t xml:space="preserve">right upper quadrant </w:t>
      </w:r>
      <w:r w:rsidRPr="009824AD">
        <w:rPr>
          <w:rFonts w:ascii="Helvetica" w:hAnsi="Helvetica" w:cs="Calibri"/>
          <w:sz w:val="22"/>
          <w:szCs w:val="22"/>
          <w:lang w:val="en-US"/>
        </w:rPr>
        <w:t xml:space="preserve">pain, increasing systemic bilirubin) in case of no </w:t>
      </w:r>
      <w:r w:rsidRPr="009824AD">
        <w:rPr>
          <w:rFonts w:ascii="Helvetica" w:hAnsi="Helvetica" w:cs="Calibri"/>
          <w:color w:val="000000"/>
          <w:sz w:val="22"/>
          <w:szCs w:val="22"/>
          <w:lang w:val="en-US"/>
        </w:rPr>
        <w:t xml:space="preserve">intraoperatively placed </w:t>
      </w:r>
      <w:r w:rsidRPr="009824AD">
        <w:rPr>
          <w:rFonts w:ascii="Helvetica" w:hAnsi="Helvetica" w:cs="Calibri"/>
          <w:sz w:val="22"/>
          <w:szCs w:val="22"/>
          <w:lang w:val="en-US"/>
        </w:rPr>
        <w:t xml:space="preserve">abdominal </w:t>
      </w:r>
      <w:r w:rsidRPr="009824AD">
        <w:rPr>
          <w:rFonts w:ascii="Helvetica" w:hAnsi="Helvetica" w:cs="Calibri"/>
          <w:color w:val="000000"/>
          <w:sz w:val="22"/>
          <w:szCs w:val="22"/>
          <w:lang w:val="en-US"/>
        </w:rPr>
        <w:t>drain</w:t>
      </w:r>
      <w:r w:rsidR="00E444F2" w:rsidRPr="009824AD">
        <w:rPr>
          <w:rFonts w:ascii="Helvetica" w:hAnsi="Helvetica" w:cs="Calibri"/>
          <w:color w:val="000000"/>
          <w:sz w:val="22"/>
          <w:szCs w:val="22"/>
          <w:lang w:val="en-US"/>
        </w:rPr>
        <w:fldChar w:fldCharType="begin" w:fldLock="1"/>
      </w:r>
      <w:r w:rsidR="00F32683">
        <w:rPr>
          <w:rFonts w:ascii="Helvetica" w:hAnsi="Helvetica" w:cs="Calibri"/>
          <w:color w:val="000000"/>
          <w:sz w:val="22"/>
          <w:szCs w:val="22"/>
          <w:lang w:val="en-US"/>
        </w:rPr>
        <w:instrText>ADDIN CSL_CITATION {"citationItems":[{"id":"ITEM-1","itemData":{"DOI":"10.1016/j.surg.2010.12.002","ISSN":"00396060","PMID":"21316725","abstract":"BACKGROUND Despite the potentially severe impact of bile leakage on patients' perioperative and long-term outcome, a commonly used definition of this complication after hepatobiliary and pancreatic operations has not yet been established. The aim of the present article is to propose a uniform definition and severity grading of bile leakage after hepatobiliary and pancreatic operative therapy. METHODS An international study group of hepatobiliary and pancreatic surgeons was convened. A consensus definition of bile leakage after hepatobiliary and pancreatic operative therapy was developed based on the postoperative course of bilirubin concentrations in patients' serum and drain fluid. RESULTS After evaluation of the postoperative course of bilirubin levels in the drain fluid of patients who underwent hepatobiliary and pancreatic operations, bile leakage was defined as bilirubin concentration in the drain fluid at least 3 times the serum bilirubin concentration on or after postoperative day 3 or as the need for radiologic or operative intervention resulting from biliary collections or bile peritonitis. Using this criterion severity of bile leakage was classified according to its impact on patients' clinical management. Grade A bile leakage causes no change in patients' clinical management. A Grade B bile leakage requires active therapeutic intervention but is manageable without relaparotomy, whereas in Grade C, bile leakage relaparotomy is required. CONCLUSION We propose a simple definition and severity grading of bile leakage after hepatobiliary and pancreatic operative therapy. The application of the present proposal will enable a standardized comparison of the results of different clinical trials and may facilitate an objective evaluation of diagnostic and therapeutic modalities in the field of hepatobiliary and pancreatic operative therapy.","author":[{"dropping-particle":"","family":"Koch","given":"Moritz","non-dropping-particle":"","parse-names":false,"suffix":""},{"dropping-particle":"","family":"Garden","given":"O. James","non-dropping-particle":"","parse-names":false,"suffix":""},{"dropping-particle":"","family":"Padbury","given":"Robert","non-dropping-particle":"","parse-names":false,"suffix":""},{"dropping-particle":"","family":"Rahbari","given":"Nuh N.","non-dropping-particle":"","parse-names":false,"suffix":""},{"dropping-particle":"","family":"Adam","given":"Rene","non-dropping-particle":"","parse-names":false,"suffix":""},{"dropping-particle":"","family":"Capussotti","given":"Lorenzo","non-dropping-particle":"","parse-names":false,"suffix":""},{"dropping-particle":"","family":"Fan","given":"Sheung Tat","non-dropping-particle":"","parse-names":false,"suffix":""},{"dropping-particle":"","family":"Yokoyama","given":"Yukihiro","non-dropping-particle":"","parse-names":false,"suffix":""},{"dropping-particle":"","family":"Crawford","given":"Michael","non-dropping-particle":"","parse-names":false,"suffix":""},{"dropping-particle":"","family":"Makuuchi","given":"Masatoshi","non-dropping-particle":"","parse-names":false,"suffix":""},{"dropping-particle":"","family":"Christophi","given":"Christopher","non-dropping-particle":"","parse-names":false,"suffix":""},{"dropping-particle":"","family":"Banting","given":"Simon","non-dropping-particle":"","parse-names":false,"suffix":""},{"dropping-particle":"","family":"Brooke-Smith","given":"Mark","non-dropping-particle":"","parse-names":false,"suffix":""},{"dropping-particle":"","family":"Usatoff","given":"Val","non-dropping-particle":"","parse-names":false,"suffix":""},{"dropping-particle":"","family":"Nagino","given":"Masato","non-dropping-particle":"","parse-names":false,"suffix":""},{"dropping-particle":"","family":"Maddern","given":"Guy","non-dropping-particle":"","parse-names":false,"suffix":""},{"dropping-particle":"","family":"Hugh","given":"Thomas J.","non-dropping-particle":"","parse-names":false,"suffix":""},{"dropping-particle":"","family":"Vauthey","given":"Jean-Nicolas","non-dropping-particle":"","parse-names":false,"suffix":""},{"dropping-particle":"","family":"Greig","given":"Paul","non-dropping-particle":"","parse-names":false,"suffix":""},{"dropping-particle":"","family":"Rees","given":"Myrddin","non-dropping-particle":"","parse-names":false,"suffix":""},{"dropping-particle":"","family":"Nimura","given":"Yuji","non-dropping-particle":"","parse-names":false,"suffix":""},{"dropping-particle":"","family":"Figueras","given":"Joan","non-dropping-particle":"","parse-names":false,"suffix":""},{"dropping-particle":"","family":"DeMatteo","given":"Ronald P.","non-dropping-particle":"","parse-names":false,"suffix":""},{"dropping-particle":"","family":"Büchler","given":"Markus W.","non-dropping-particle":"","parse-names":false,"suffix":""},{"dropping-particle":"","family":"Weitz","given":"Jürgen","non-dropping-particle":"","parse-names":false,"suffix":""}],"container-title":"Surgery","id":"ITEM-1","issue":"5","issued":{"date-parts":[["2011","5"]]},"page":"680-688","title":"Bile leakage after hepatobiliary and pancreatic surgery: A definition and grading of severity by the International Study Group of Liver Surgery","type":"article-journal","volume":"149"},"uris":["http://www.mendeley.com/documents/?uuid=69ae901e-77ed-3869-b090-5796739accd0"]}],"mendeley":{"formattedCitation":"(25)","plainTextFormattedCitation":"(25)","previouslyFormattedCitation":"(25)"},"properties":{"noteIndex":0},"schema":"https://github.com/citation-style-language/schema/raw/master/csl-citation.json"}</w:instrText>
      </w:r>
      <w:r w:rsidR="00E444F2" w:rsidRPr="009824AD">
        <w:rPr>
          <w:rFonts w:ascii="Helvetica" w:hAnsi="Helvetica" w:cs="Calibri"/>
          <w:color w:val="000000"/>
          <w:sz w:val="22"/>
          <w:szCs w:val="22"/>
          <w:lang w:val="en-US"/>
        </w:rPr>
        <w:fldChar w:fldCharType="separate"/>
      </w:r>
      <w:r w:rsidR="00E444F2" w:rsidRPr="009824AD">
        <w:rPr>
          <w:rFonts w:ascii="Helvetica" w:hAnsi="Helvetica" w:cs="Calibri"/>
          <w:noProof/>
          <w:color w:val="000000"/>
          <w:sz w:val="22"/>
          <w:szCs w:val="22"/>
          <w:lang w:val="en-US"/>
        </w:rPr>
        <w:t>(25)</w:t>
      </w:r>
      <w:r w:rsidR="00E444F2" w:rsidRPr="009824AD">
        <w:rPr>
          <w:rFonts w:ascii="Helvetica" w:hAnsi="Helvetica" w:cs="Calibri"/>
          <w:color w:val="000000"/>
          <w:sz w:val="22"/>
          <w:szCs w:val="22"/>
          <w:lang w:val="en-US"/>
        </w:rPr>
        <w:fldChar w:fldCharType="end"/>
      </w:r>
      <w:r w:rsidRPr="009824AD">
        <w:rPr>
          <w:rFonts w:ascii="Helvetica" w:hAnsi="Helvetica" w:cs="Calibri"/>
          <w:sz w:val="22"/>
          <w:szCs w:val="22"/>
          <w:lang w:val="en-US"/>
        </w:rPr>
        <w:t xml:space="preserve">. </w:t>
      </w:r>
      <w:r w:rsidR="00543F62" w:rsidRPr="009824AD">
        <w:rPr>
          <w:rFonts w:ascii="Helvetica" w:hAnsi="Helvetica" w:cs="Calibri"/>
          <w:sz w:val="22"/>
          <w:szCs w:val="22"/>
          <w:lang w:val="en-US"/>
        </w:rPr>
        <w:t xml:space="preserve">If indicated, </w:t>
      </w:r>
      <w:r w:rsidRPr="009824AD">
        <w:rPr>
          <w:rFonts w:ascii="Helvetica" w:hAnsi="Helvetica" w:cs="Calibri"/>
          <w:sz w:val="22"/>
          <w:szCs w:val="22"/>
          <w:lang w:val="en-US"/>
        </w:rPr>
        <w:t xml:space="preserve">an </w:t>
      </w:r>
      <w:r w:rsidR="00543F62" w:rsidRPr="009824AD">
        <w:rPr>
          <w:rFonts w:ascii="Helvetica" w:hAnsi="Helvetica" w:cs="Calibri"/>
          <w:sz w:val="22"/>
          <w:szCs w:val="22"/>
          <w:lang w:val="en-US"/>
        </w:rPr>
        <w:t xml:space="preserve">abdominal </w:t>
      </w:r>
      <w:r w:rsidRPr="009824AD">
        <w:rPr>
          <w:rFonts w:ascii="Helvetica" w:hAnsi="Helvetica" w:cs="Calibri"/>
          <w:sz w:val="22"/>
          <w:szCs w:val="22"/>
          <w:lang w:val="en-US"/>
        </w:rPr>
        <w:t xml:space="preserve">ultrasonography or computed tomography </w:t>
      </w:r>
      <w:r w:rsidR="00D35FBF" w:rsidRPr="009824AD">
        <w:rPr>
          <w:rFonts w:ascii="Helvetica" w:hAnsi="Helvetica" w:cs="Calibri"/>
          <w:sz w:val="22"/>
          <w:szCs w:val="22"/>
          <w:lang w:val="en-US"/>
        </w:rPr>
        <w:t xml:space="preserve">was performed </w:t>
      </w:r>
      <w:r w:rsidRPr="009824AD">
        <w:rPr>
          <w:rFonts w:ascii="Helvetica" w:hAnsi="Helvetica" w:cs="Calibri"/>
          <w:sz w:val="22"/>
          <w:szCs w:val="22"/>
          <w:lang w:val="en-US"/>
        </w:rPr>
        <w:t>to determine the</w:t>
      </w:r>
      <w:r w:rsidR="00543F62" w:rsidRPr="009824AD">
        <w:rPr>
          <w:rFonts w:ascii="Helvetica" w:hAnsi="Helvetica" w:cs="Calibri"/>
          <w:sz w:val="22"/>
          <w:szCs w:val="22"/>
          <w:lang w:val="en-US"/>
        </w:rPr>
        <w:t xml:space="preserve"> severity</w:t>
      </w:r>
      <w:r w:rsidR="00D35FBF" w:rsidRPr="009824AD">
        <w:rPr>
          <w:rFonts w:ascii="Helvetica" w:hAnsi="Helvetica" w:cs="Calibri"/>
          <w:sz w:val="22"/>
          <w:szCs w:val="22"/>
          <w:lang w:val="en-US"/>
        </w:rPr>
        <w:t xml:space="preserve"> </w:t>
      </w:r>
      <w:r w:rsidR="00543F62" w:rsidRPr="009824AD">
        <w:rPr>
          <w:rFonts w:ascii="Helvetica" w:hAnsi="Helvetica" w:cs="Calibri"/>
          <w:sz w:val="22"/>
          <w:szCs w:val="22"/>
          <w:lang w:val="en-US"/>
        </w:rPr>
        <w:t xml:space="preserve">and </w:t>
      </w:r>
      <w:r w:rsidRPr="009824AD">
        <w:rPr>
          <w:rFonts w:ascii="Helvetica" w:hAnsi="Helvetica" w:cs="Calibri"/>
          <w:sz w:val="22"/>
          <w:szCs w:val="22"/>
          <w:lang w:val="en-US"/>
        </w:rPr>
        <w:t>most adequate treatment</w:t>
      </w:r>
      <w:r w:rsidR="00D35FBF" w:rsidRPr="009824AD">
        <w:rPr>
          <w:rFonts w:ascii="Helvetica" w:hAnsi="Helvetica" w:cs="Calibri"/>
          <w:sz w:val="22"/>
          <w:szCs w:val="22"/>
          <w:lang w:val="en-US"/>
        </w:rPr>
        <w:t xml:space="preserve"> of POBL</w:t>
      </w:r>
      <w:r w:rsidRPr="009824AD">
        <w:rPr>
          <w:rFonts w:ascii="Helvetica" w:hAnsi="Helvetica" w:cs="Calibri"/>
          <w:sz w:val="22"/>
          <w:szCs w:val="22"/>
          <w:lang w:val="en-US"/>
        </w:rPr>
        <w:t xml:space="preserve">. POBL was categorized </w:t>
      </w:r>
      <w:r w:rsidRPr="009824AD">
        <w:rPr>
          <w:rFonts w:ascii="Helvetica" w:hAnsi="Helvetica" w:cs="Calibri"/>
          <w:color w:val="211D1E"/>
          <w:sz w:val="22"/>
          <w:szCs w:val="22"/>
          <w:lang w:val="en-US"/>
        </w:rPr>
        <w:t>in three grades of severity: grade A requires no change in patient management and intraoperatively placed drains were left no longer than 7</w:t>
      </w:r>
      <w:r w:rsidR="00543F62" w:rsidRPr="009824AD">
        <w:rPr>
          <w:rFonts w:ascii="Helvetica" w:hAnsi="Helvetica" w:cs="Calibri"/>
          <w:color w:val="211D1E"/>
          <w:sz w:val="22"/>
          <w:szCs w:val="22"/>
          <w:lang w:val="en-US"/>
        </w:rPr>
        <w:t xml:space="preserve"> days</w:t>
      </w:r>
      <w:r w:rsidRPr="009824AD">
        <w:rPr>
          <w:rFonts w:ascii="Helvetica" w:hAnsi="Helvetica" w:cs="Calibri"/>
          <w:color w:val="211D1E"/>
          <w:sz w:val="22"/>
          <w:szCs w:val="22"/>
          <w:lang w:val="en-US"/>
        </w:rPr>
        <w:t xml:space="preserve">; </w:t>
      </w:r>
      <w:r w:rsidRPr="009824AD">
        <w:rPr>
          <w:rFonts w:ascii="Helvetica" w:hAnsi="Helvetica" w:cs="Calibri"/>
          <w:color w:val="000000"/>
          <w:sz w:val="22"/>
          <w:szCs w:val="22"/>
          <w:lang w:val="en-US"/>
        </w:rPr>
        <w:t>grade B consists of POBL requiring a change in the clinical management (additional diagnostic or interventional procedures) or POBL lasting longer than 7 days regardless of the impact on the clinical management</w:t>
      </w:r>
      <w:r w:rsidR="00D35FBF" w:rsidRPr="009824AD">
        <w:rPr>
          <w:rFonts w:ascii="Helvetica" w:hAnsi="Helvetica" w:cs="Calibri"/>
          <w:color w:val="000000"/>
          <w:sz w:val="22"/>
          <w:szCs w:val="22"/>
          <w:lang w:val="en-US"/>
        </w:rPr>
        <w:t>;</w:t>
      </w:r>
      <w:r w:rsidRPr="009824AD">
        <w:rPr>
          <w:rFonts w:ascii="Helvetica" w:hAnsi="Helvetica" w:cs="Calibri"/>
          <w:color w:val="000000"/>
          <w:sz w:val="22"/>
          <w:szCs w:val="22"/>
          <w:lang w:val="en-US"/>
        </w:rPr>
        <w:t xml:space="preserve"> and grade C includes POBL requiring a relaparotomy. </w:t>
      </w:r>
      <w:r w:rsidR="00CD34D4" w:rsidRPr="009824AD">
        <w:rPr>
          <w:rFonts w:ascii="Helvetica" w:hAnsi="Helvetica" w:cs="Calibri"/>
          <w:sz w:val="22"/>
          <w:szCs w:val="22"/>
          <w:lang w:val="en-US"/>
        </w:rPr>
        <w:t>The primary outcome</w:t>
      </w:r>
      <w:r w:rsidR="006E3876" w:rsidRPr="009824AD">
        <w:rPr>
          <w:rFonts w:ascii="Helvetica" w:hAnsi="Helvetica" w:cs="Calibri"/>
          <w:sz w:val="22"/>
          <w:szCs w:val="22"/>
          <w:lang w:val="en-US"/>
        </w:rPr>
        <w:t xml:space="preserve"> of the current study</w:t>
      </w:r>
      <w:r w:rsidR="00CD34D4" w:rsidRPr="009824AD">
        <w:rPr>
          <w:rFonts w:ascii="Helvetica" w:hAnsi="Helvetica" w:cs="Calibri"/>
          <w:sz w:val="22"/>
          <w:szCs w:val="22"/>
          <w:lang w:val="en-US"/>
        </w:rPr>
        <w:t xml:space="preserve"> </w:t>
      </w:r>
      <w:r w:rsidR="00D2195F" w:rsidRPr="009824AD">
        <w:rPr>
          <w:rFonts w:ascii="Helvetica" w:hAnsi="Helvetica" w:cs="Calibri"/>
          <w:sz w:val="22"/>
          <w:szCs w:val="22"/>
          <w:lang w:val="en-US"/>
        </w:rPr>
        <w:t>was</w:t>
      </w:r>
      <w:r w:rsidR="00CD34D4" w:rsidRPr="009824AD">
        <w:rPr>
          <w:rFonts w:ascii="Helvetica" w:hAnsi="Helvetica" w:cs="Calibri"/>
          <w:sz w:val="22"/>
          <w:szCs w:val="22"/>
          <w:lang w:val="en-US"/>
        </w:rPr>
        <w:t xml:space="preserve"> </w:t>
      </w:r>
      <w:r w:rsidR="006E3876" w:rsidRPr="009824AD">
        <w:rPr>
          <w:rFonts w:ascii="Helvetica" w:hAnsi="Helvetica" w:cs="Calibri"/>
          <w:sz w:val="22"/>
          <w:szCs w:val="22"/>
          <w:lang w:val="en-US"/>
        </w:rPr>
        <w:t xml:space="preserve">the incidence and </w:t>
      </w:r>
      <w:r w:rsidR="00C44AA5" w:rsidRPr="009824AD">
        <w:rPr>
          <w:rFonts w:ascii="Helvetica" w:hAnsi="Helvetica" w:cs="Calibri"/>
          <w:sz w:val="22"/>
          <w:szCs w:val="22"/>
          <w:lang w:val="en-US"/>
        </w:rPr>
        <w:t>clinical impact (i.e. postoperative outcomes)</w:t>
      </w:r>
      <w:r w:rsidR="006E3876" w:rsidRPr="009824AD">
        <w:rPr>
          <w:rFonts w:ascii="Helvetica" w:hAnsi="Helvetica" w:cs="Calibri"/>
          <w:sz w:val="22"/>
          <w:szCs w:val="22"/>
          <w:lang w:val="en-US"/>
        </w:rPr>
        <w:t xml:space="preserve"> of </w:t>
      </w:r>
      <w:r w:rsidR="00EB5673" w:rsidRPr="009824AD">
        <w:rPr>
          <w:rFonts w:ascii="Helvetica" w:hAnsi="Helvetica" w:cs="Calibri"/>
          <w:sz w:val="22"/>
          <w:szCs w:val="22"/>
          <w:lang w:val="en-US"/>
        </w:rPr>
        <w:t xml:space="preserve">clinically relevant </w:t>
      </w:r>
      <w:r w:rsidR="0072020D" w:rsidRPr="009824AD">
        <w:rPr>
          <w:rFonts w:ascii="Helvetica" w:hAnsi="Helvetica" w:cs="Calibri"/>
          <w:sz w:val="22"/>
          <w:szCs w:val="22"/>
          <w:lang w:val="en-US"/>
        </w:rPr>
        <w:t>POBL</w:t>
      </w:r>
      <w:r w:rsidR="00EB5673" w:rsidRPr="009824AD">
        <w:rPr>
          <w:rFonts w:ascii="Helvetica" w:hAnsi="Helvetica" w:cs="Calibri"/>
          <w:sz w:val="22"/>
          <w:szCs w:val="22"/>
          <w:lang w:val="en-US"/>
        </w:rPr>
        <w:t xml:space="preserve"> (CR-POBL),</w:t>
      </w:r>
      <w:r w:rsidR="00CD34D4" w:rsidRPr="009824AD">
        <w:rPr>
          <w:rFonts w:ascii="Helvetica" w:hAnsi="Helvetica" w:cs="Calibri"/>
          <w:sz w:val="22"/>
          <w:szCs w:val="22"/>
          <w:lang w:val="en-US"/>
        </w:rPr>
        <w:t xml:space="preserve"> </w:t>
      </w:r>
      <w:r w:rsidR="006E3876" w:rsidRPr="009824AD">
        <w:rPr>
          <w:rFonts w:ascii="Helvetica" w:hAnsi="Helvetica" w:cs="Calibri"/>
          <w:sz w:val="22"/>
          <w:szCs w:val="22"/>
          <w:lang w:val="en-US"/>
        </w:rPr>
        <w:t>defined</w:t>
      </w:r>
      <w:r w:rsidR="00D2195F" w:rsidRPr="009824AD">
        <w:rPr>
          <w:rFonts w:ascii="Helvetica" w:hAnsi="Helvetica" w:cs="Calibri"/>
          <w:sz w:val="22"/>
          <w:szCs w:val="22"/>
          <w:lang w:val="en-US"/>
        </w:rPr>
        <w:t xml:space="preserve"> </w:t>
      </w:r>
      <w:r w:rsidR="006E3876" w:rsidRPr="009824AD">
        <w:rPr>
          <w:rFonts w:ascii="Helvetica" w:hAnsi="Helvetica" w:cs="Calibri"/>
          <w:sz w:val="22"/>
          <w:szCs w:val="22"/>
          <w:lang w:val="en-US"/>
        </w:rPr>
        <w:t>as grade B</w:t>
      </w:r>
      <w:r w:rsidR="001F372A" w:rsidRPr="009824AD">
        <w:rPr>
          <w:rFonts w:ascii="Helvetica" w:hAnsi="Helvetica" w:cs="Calibri"/>
          <w:sz w:val="22"/>
          <w:szCs w:val="22"/>
          <w:lang w:val="en-US"/>
        </w:rPr>
        <w:t xml:space="preserve"> and </w:t>
      </w:r>
      <w:r w:rsidR="006E3876" w:rsidRPr="009824AD">
        <w:rPr>
          <w:rFonts w:ascii="Helvetica" w:hAnsi="Helvetica" w:cs="Calibri"/>
          <w:sz w:val="22"/>
          <w:szCs w:val="22"/>
          <w:lang w:val="en-US"/>
        </w:rPr>
        <w:t>C</w:t>
      </w:r>
      <w:r w:rsidR="000B62F3" w:rsidRPr="009824AD">
        <w:rPr>
          <w:rFonts w:ascii="Helvetica" w:hAnsi="Helvetica" w:cs="Calibri"/>
          <w:sz w:val="22"/>
          <w:szCs w:val="22"/>
          <w:lang w:val="en-US"/>
        </w:rPr>
        <w:t xml:space="preserve"> POBL</w:t>
      </w:r>
      <w:r w:rsidR="000B62F3" w:rsidRPr="009824AD">
        <w:rPr>
          <w:rFonts w:ascii="Helvetica" w:hAnsi="Helvetica" w:cs="Calibri"/>
          <w:sz w:val="22"/>
          <w:szCs w:val="22"/>
          <w:lang w:val="en-US"/>
        </w:rPr>
        <w:fldChar w:fldCharType="begin" w:fldLock="1"/>
      </w:r>
      <w:r w:rsidR="000D44B8" w:rsidRPr="009824AD">
        <w:rPr>
          <w:rFonts w:ascii="Helvetica" w:hAnsi="Helvetica" w:cs="Calibri"/>
          <w:sz w:val="22"/>
          <w:szCs w:val="22"/>
          <w:lang w:val="en-US"/>
        </w:rPr>
        <w:instrText>ADDIN CSL_CITATION {"citationItems":[{"id":"ITEM-1","itemData":{"DOI":"10.1016/j.surg.2010.12.002","ISSN":"00396060","PMID":"21316725","abstract":"BACKGROUND Despite the potentially severe impact of bile leakage on patients' perioperative and long-term outcome, a commonly used definition of this complication after hepatobiliary and pancreatic operations has not yet been established. The aim of the present article is to propose a uniform definition and severity grading of bile leakage after hepatobiliary and pancreatic operative therapy. METHODS An international study group of hepatobiliary and pancreatic surgeons was convened. A consensus definition of bile leakage after hepatobiliary and pancreatic operative therapy was developed based on the postoperative course of bilirubin concentrations in patients' serum and drain fluid. RESULTS After evaluation of the postoperative course of bilirubin levels in the drain fluid of patients who underwent hepatobiliary and pancreatic operations, bile leakage was defined as bilirubin concentration in the drain fluid at least 3 times the serum bilirubin concentration on or after postoperative day 3 or as the need for radiologic or operative intervention resulting from biliary collections or bile peritonitis. Using this criterion severity of bile leakage was classified according to its impact on patients' clinical management. Grade A bile leakage causes no change in patients' clinical management. A Grade B bile leakage requires active therapeutic intervention but is manageable without relaparotomy, whereas in Grade C, bile leakage relaparotomy is required. CONCLUSION We propose a simple definition and severity grading of bile leakage after hepatobiliary and pancreatic operative therapy. The application of the present proposal will enable a standardized comparison of the results of different clinical trials and may facilitate an objective evaluation of diagnostic and therapeutic modalities in the field of hepatobiliary and pancreatic operative therapy.","author":[{"dropping-particle":"","family":"Koch","given":"Moritz","non-dropping-particle":"","parse-names":false,"suffix":""},{"dropping-particle":"","family":"Garden","given":"O. James","non-dropping-particle":"","parse-names":false,"suffix":""},{"dropping-particle":"","family":"Padbury","given":"Robert","non-dropping-particle":"","parse-names":false,"suffix":""},{"dropping-particle":"","family":"Rahbari","given":"Nuh N.","non-dropping-particle":"","parse-names":false,"suffix":""},{"dropping-particle":"","family":"Adam","given":"Rene","non-dropping-particle":"","parse-names":false,"suffix":""},{"dropping-particle":"","family":"Capussotti","given":"Lorenzo","non-dropping-particle":"","parse-names":false,"suffix":""},{"dropping-particle":"","family":"Fan","given":"Sheung Tat","non-dropping-particle":"","parse-names":false,"suffix":""},{"dropping-particle":"","family":"Yokoyama","given":"Yukihiro","non-dropping-particle":"","parse-names":false,"suffix":""},{"dropping-particle":"","family":"Crawford","given":"Michael","non-dropping-particle":"","parse-names":false,"suffix":""},{"dropping-particle":"","family":"Makuuchi","given":"Masatoshi","non-dropping-particle":"","parse-names":false,"suffix":""},{"dropping-particle":"","family":"Christophi","given":"Christopher","non-dropping-particle":"","parse-names":false,"suffix":""},{"dropping-particle":"","family":"Banting","given":"Simon","non-dropping-particle":"","parse-names":false,"suffix":""},{"dropping-particle":"","family":"Brooke-Smith","given":"Mark","non-dropping-particle":"","parse-names":false,"suffix":""},{"dropping-particle":"","family":"Usatoff","given":"Val","non-dropping-particle":"","parse-names":false,"suffix":""},{"dropping-particle":"","family":"Nagino","given":"Masato","non-dropping-particle":"","parse-names":false,"suffix":""},{"dropping-particle":"","family":"Maddern","given":"Guy","non-dropping-particle":"","parse-names":false,"suffix":""},{"dropping-particle":"","family":"Hugh","given":"Thomas J.","non-dropping-particle":"","parse-names":false,"suffix":""},{"dropping-particle":"","family":"Vauthey","given":"Jean-Nicolas","non-dropping-particle":"","parse-names":false,"suffix":""},{"dropping-particle":"","family":"Greig","given":"Paul","non-dropping-particle":"","parse-names":false,"suffix":""},{"dropping-particle":"","family":"Rees","given":"Myrddin","non-dropping-particle":"","parse-names":false,"suffix":""},{"dropping-particle":"","family":"Nimura","given":"Yuji","non-dropping-particle":"","parse-names":false,"suffix":""},{"dropping-particle":"","family":"Figueras","given":"Joan","non-dropping-particle":"","parse-names":false,"suffix":""},{"dropping-particle":"","family":"DeMatteo","given":"Ronald P.","non-dropping-particle":"","parse-names":false,"suffix":""},{"dropping-particle":"","family":"Büchler","given":"Markus W.","non-dropping-particle":"","parse-names":false,"suffix":""},{"dropping-particle":"","family":"Weitz","given":"Jürgen","non-dropping-particle":"","parse-names":false,"suffix":""}],"container-title":"Surgery","id":"ITEM-1","issue":"5","issued":{"date-parts":[["2011","5"]]},"page":"680-688","title":"Bile leakage after hepatobiliary and pancreatic surgery: A definition and grading of severity by the International Study Group of Liver Surgery","type":"article-journal","volume":"149"},"uris":["http://www.mendeley.com/documents/?uuid=69ae901e-77ed-3869-b090-5796739accd0"]}],"mendeley":{"formattedCitation":"(25)","plainTextFormattedCitation":"(25)","previouslyFormattedCitation":"(25)"},"properties":{"noteIndex":0},"schema":"https://github.com/citation-style-language/schema/raw/master/csl-citation.json"}</w:instrText>
      </w:r>
      <w:r w:rsidR="000B62F3" w:rsidRPr="009824AD">
        <w:rPr>
          <w:rFonts w:ascii="Helvetica" w:hAnsi="Helvetica" w:cs="Calibri"/>
          <w:sz w:val="22"/>
          <w:szCs w:val="22"/>
          <w:lang w:val="en-US"/>
        </w:rPr>
        <w:fldChar w:fldCharType="separate"/>
      </w:r>
      <w:r w:rsidR="000D44B8" w:rsidRPr="009824AD">
        <w:rPr>
          <w:rFonts w:ascii="Helvetica" w:hAnsi="Helvetica" w:cs="Calibri"/>
          <w:noProof/>
          <w:sz w:val="22"/>
          <w:szCs w:val="22"/>
          <w:lang w:val="en-US"/>
        </w:rPr>
        <w:t>(25)</w:t>
      </w:r>
      <w:r w:rsidR="000B62F3" w:rsidRPr="009824AD">
        <w:rPr>
          <w:rFonts w:ascii="Helvetica" w:hAnsi="Helvetica" w:cs="Calibri"/>
          <w:sz w:val="22"/>
          <w:szCs w:val="22"/>
          <w:lang w:val="en-US"/>
        </w:rPr>
        <w:fldChar w:fldCharType="end"/>
      </w:r>
      <w:r w:rsidR="006E3876" w:rsidRPr="009824AD">
        <w:rPr>
          <w:rFonts w:ascii="Helvetica" w:hAnsi="Helvetica" w:cs="Calibri"/>
          <w:sz w:val="22"/>
          <w:szCs w:val="22"/>
          <w:lang w:val="en-US"/>
        </w:rPr>
        <w:t xml:space="preserve">. </w:t>
      </w:r>
    </w:p>
    <w:p w14:paraId="3FE203E7" w14:textId="77777777" w:rsidR="00C44AA5" w:rsidRPr="009824AD" w:rsidRDefault="00C44AA5" w:rsidP="00310584">
      <w:pPr>
        <w:pStyle w:val="Geenafstand"/>
        <w:spacing w:line="480" w:lineRule="auto"/>
        <w:jc w:val="both"/>
        <w:rPr>
          <w:rFonts w:ascii="Helvetica" w:hAnsi="Helvetica" w:cs="Calibri"/>
          <w:lang w:val="en-US"/>
        </w:rPr>
      </w:pPr>
    </w:p>
    <w:p w14:paraId="67CC1188" w14:textId="196198E9" w:rsidR="0064753B" w:rsidRPr="009824AD" w:rsidRDefault="007D4C5C" w:rsidP="00310584">
      <w:pPr>
        <w:pStyle w:val="Geenafstand"/>
        <w:spacing w:line="480" w:lineRule="auto"/>
        <w:jc w:val="both"/>
        <w:rPr>
          <w:rFonts w:ascii="Helvetica" w:hAnsi="Helvetica" w:cs="Calibri"/>
          <w:lang w:val="en-US"/>
        </w:rPr>
      </w:pPr>
      <w:r w:rsidRPr="009824AD">
        <w:rPr>
          <w:rFonts w:ascii="Helvetica" w:hAnsi="Helvetica" w:cs="Calibri"/>
          <w:lang w:val="en-US"/>
        </w:rPr>
        <w:t>Patient</w:t>
      </w:r>
      <w:r w:rsidR="00BC098E" w:rsidRPr="009824AD">
        <w:rPr>
          <w:rFonts w:ascii="Helvetica" w:hAnsi="Helvetica" w:cs="Calibri"/>
          <w:lang w:val="en-US"/>
        </w:rPr>
        <w:t xml:space="preserve"> </w:t>
      </w:r>
      <w:r w:rsidR="00931CBB" w:rsidRPr="009824AD">
        <w:rPr>
          <w:rFonts w:ascii="Helvetica" w:hAnsi="Helvetica" w:cs="Calibri"/>
          <w:lang w:val="en-US"/>
        </w:rPr>
        <w:t xml:space="preserve">characteristics </w:t>
      </w:r>
      <w:r w:rsidR="008633A0" w:rsidRPr="009824AD">
        <w:rPr>
          <w:rFonts w:ascii="Helvetica" w:hAnsi="Helvetica" w:cs="Calibri"/>
          <w:lang w:val="en-US"/>
        </w:rPr>
        <w:t>consisted of</w:t>
      </w:r>
      <w:r w:rsidR="00931CBB" w:rsidRPr="009824AD">
        <w:rPr>
          <w:rFonts w:ascii="Helvetica" w:hAnsi="Helvetica" w:cs="Calibri"/>
          <w:lang w:val="en-US"/>
        </w:rPr>
        <w:t xml:space="preserve"> age, </w:t>
      </w:r>
      <w:r w:rsidR="00030546" w:rsidRPr="009824AD">
        <w:rPr>
          <w:rFonts w:ascii="Helvetica" w:hAnsi="Helvetica" w:cs="Calibri"/>
          <w:lang w:val="en-US"/>
        </w:rPr>
        <w:t>sex</w:t>
      </w:r>
      <w:r w:rsidR="00931CBB" w:rsidRPr="009824AD">
        <w:rPr>
          <w:rFonts w:ascii="Helvetica" w:hAnsi="Helvetica" w:cs="Calibri"/>
          <w:lang w:val="en-US"/>
        </w:rPr>
        <w:t xml:space="preserve">, body mass index (BMI, kg/m2), American Society of Anesthesiologists (ASA) grade, </w:t>
      </w:r>
      <w:r w:rsidR="0064753B" w:rsidRPr="009824AD">
        <w:rPr>
          <w:rFonts w:ascii="Helvetica" w:hAnsi="Helvetica" w:cs="Calibri"/>
          <w:lang w:val="en-US"/>
        </w:rPr>
        <w:t xml:space="preserve">cirrhosis, </w:t>
      </w:r>
      <w:r w:rsidRPr="009824AD">
        <w:rPr>
          <w:rFonts w:ascii="Helvetica" w:hAnsi="Helvetica" w:cs="Calibri"/>
          <w:lang w:val="en-US"/>
        </w:rPr>
        <w:t>neoadjuvant</w:t>
      </w:r>
      <w:r w:rsidR="00931CBB" w:rsidRPr="009824AD">
        <w:rPr>
          <w:rFonts w:ascii="Helvetica" w:hAnsi="Helvetica" w:cs="Calibri"/>
          <w:lang w:val="en-US"/>
        </w:rPr>
        <w:t xml:space="preserve"> chemotherapy</w:t>
      </w:r>
      <w:r w:rsidR="0064753B" w:rsidRPr="009824AD">
        <w:rPr>
          <w:rFonts w:ascii="Helvetica" w:hAnsi="Helvetica" w:cs="Calibri"/>
          <w:lang w:val="en-US"/>
        </w:rPr>
        <w:t xml:space="preserve">, </w:t>
      </w:r>
      <w:bookmarkStart w:id="0" w:name="OLE_LINK9"/>
      <w:bookmarkStart w:id="1" w:name="OLE_LINK10"/>
      <w:r w:rsidR="0064753B" w:rsidRPr="009824AD">
        <w:rPr>
          <w:rFonts w:ascii="Helvetica" w:eastAsia="Times New Roman" w:hAnsi="Helvetica" w:cs="Calibri"/>
          <w:color w:val="000000" w:themeColor="text1"/>
          <w:lang w:val="en-US" w:eastAsia="nl-NL"/>
        </w:rPr>
        <w:t>previous extrahepatic abdominal surgery and previous liver surgery</w:t>
      </w:r>
      <w:bookmarkEnd w:id="0"/>
      <w:bookmarkEnd w:id="1"/>
      <w:r w:rsidRPr="009824AD">
        <w:rPr>
          <w:rFonts w:ascii="Helvetica" w:hAnsi="Helvetica" w:cs="Calibri"/>
          <w:lang w:val="en-US"/>
        </w:rPr>
        <w:t xml:space="preserve">. </w:t>
      </w:r>
      <w:r w:rsidR="000B7DA3" w:rsidRPr="009824AD">
        <w:rPr>
          <w:rFonts w:ascii="Helvetica" w:hAnsi="Helvetica" w:cs="Calibri"/>
          <w:lang w:val="en-US"/>
        </w:rPr>
        <w:t>Tumor</w:t>
      </w:r>
      <w:r w:rsidRPr="009824AD">
        <w:rPr>
          <w:rFonts w:ascii="Helvetica" w:hAnsi="Helvetica" w:cs="Calibri"/>
          <w:lang w:val="en-US"/>
        </w:rPr>
        <w:t xml:space="preserve"> </w:t>
      </w:r>
      <w:r w:rsidR="007A3681" w:rsidRPr="009824AD">
        <w:rPr>
          <w:rFonts w:ascii="Helvetica" w:hAnsi="Helvetica" w:cs="Calibri"/>
          <w:lang w:val="en-US"/>
        </w:rPr>
        <w:t xml:space="preserve">and procedure </w:t>
      </w:r>
      <w:r w:rsidRPr="009824AD">
        <w:rPr>
          <w:rFonts w:ascii="Helvetica" w:hAnsi="Helvetica" w:cs="Calibri"/>
          <w:lang w:val="en-US"/>
        </w:rPr>
        <w:t xml:space="preserve">characteristics </w:t>
      </w:r>
      <w:r w:rsidR="00F51AE5" w:rsidRPr="009824AD">
        <w:rPr>
          <w:rFonts w:ascii="Helvetica" w:hAnsi="Helvetica" w:cs="Calibri"/>
          <w:lang w:val="en-US"/>
        </w:rPr>
        <w:t>included</w:t>
      </w:r>
      <w:r w:rsidRPr="009824AD">
        <w:rPr>
          <w:rFonts w:ascii="Helvetica" w:hAnsi="Helvetica" w:cs="Calibri"/>
          <w:lang w:val="en-US"/>
        </w:rPr>
        <w:t xml:space="preserve"> </w:t>
      </w:r>
      <w:r w:rsidR="001F4A11" w:rsidRPr="009824AD">
        <w:rPr>
          <w:rFonts w:ascii="Helvetica" w:hAnsi="Helvetica" w:cs="Calibri"/>
          <w:lang w:val="en-US"/>
        </w:rPr>
        <w:t>histological diagnosis</w:t>
      </w:r>
      <w:r w:rsidRPr="009824AD">
        <w:rPr>
          <w:rFonts w:ascii="Helvetica" w:hAnsi="Helvetica" w:cs="Calibri"/>
          <w:lang w:val="en-US"/>
        </w:rPr>
        <w:t xml:space="preserve">, </w:t>
      </w:r>
      <w:r w:rsidR="00203E21" w:rsidRPr="009824AD">
        <w:rPr>
          <w:rFonts w:ascii="Helvetica" w:hAnsi="Helvetica" w:cs="Calibri"/>
          <w:lang w:val="en-US"/>
        </w:rPr>
        <w:t xml:space="preserve">number of lesions, </w:t>
      </w:r>
      <w:r w:rsidR="00931CBB" w:rsidRPr="009824AD">
        <w:rPr>
          <w:rFonts w:ascii="Helvetica" w:hAnsi="Helvetica" w:cs="Calibri"/>
          <w:lang w:val="en-US"/>
        </w:rPr>
        <w:t>size of the largest lesion</w:t>
      </w:r>
      <w:r w:rsidR="00F51AE5" w:rsidRPr="009824AD">
        <w:rPr>
          <w:rFonts w:ascii="Helvetica" w:hAnsi="Helvetica" w:cs="Calibri"/>
          <w:lang w:val="en-US"/>
        </w:rPr>
        <w:t>,</w:t>
      </w:r>
      <w:r w:rsidR="0064753B" w:rsidRPr="009824AD">
        <w:rPr>
          <w:rFonts w:ascii="Helvetica" w:hAnsi="Helvetica" w:cs="Calibri"/>
          <w:lang w:val="en-US"/>
        </w:rPr>
        <w:t xml:space="preserve"> distribution of lesions (i.e. uni- or bilobar),</w:t>
      </w:r>
      <w:r w:rsidR="00203E21" w:rsidRPr="009824AD">
        <w:rPr>
          <w:rFonts w:ascii="Helvetica" w:hAnsi="Helvetica" w:cs="Calibri"/>
          <w:lang w:val="en-US"/>
        </w:rPr>
        <w:t xml:space="preserve"> year of surgery,</w:t>
      </w:r>
      <w:r w:rsidR="00F51AE5" w:rsidRPr="009824AD">
        <w:rPr>
          <w:rFonts w:ascii="Helvetica" w:hAnsi="Helvetica" w:cs="Calibri"/>
          <w:lang w:val="en-US"/>
        </w:rPr>
        <w:t xml:space="preserve"> </w:t>
      </w:r>
      <w:r w:rsidR="007A3681" w:rsidRPr="009824AD">
        <w:rPr>
          <w:rFonts w:ascii="Helvetica" w:hAnsi="Helvetica" w:cs="Calibri"/>
          <w:lang w:val="en-US"/>
        </w:rPr>
        <w:t>type of resection</w:t>
      </w:r>
      <w:r w:rsidR="0064753B" w:rsidRPr="009824AD">
        <w:rPr>
          <w:rFonts w:ascii="Helvetica" w:hAnsi="Helvetica" w:cs="Calibri"/>
          <w:lang w:val="en-US"/>
        </w:rPr>
        <w:t xml:space="preserve"> (i.e. non-anatomical, anatomical or combined non-anatomical/anatomical)</w:t>
      </w:r>
      <w:r w:rsidR="003407F9" w:rsidRPr="009824AD">
        <w:rPr>
          <w:rFonts w:ascii="Helvetica" w:hAnsi="Helvetica" w:cs="Calibri"/>
          <w:lang w:val="en-US"/>
        </w:rPr>
        <w:t xml:space="preserve"> and</w:t>
      </w:r>
      <w:r w:rsidR="0064753B" w:rsidRPr="009824AD">
        <w:rPr>
          <w:rFonts w:ascii="Helvetica" w:hAnsi="Helvetica" w:cs="Calibri"/>
          <w:lang w:val="en-US"/>
        </w:rPr>
        <w:t xml:space="preserve"> extent of resection</w:t>
      </w:r>
      <w:r w:rsidR="007A3681" w:rsidRPr="009824AD">
        <w:rPr>
          <w:rFonts w:ascii="Helvetica" w:hAnsi="Helvetica" w:cs="Calibri"/>
          <w:lang w:val="en-US"/>
        </w:rPr>
        <w:t xml:space="preserve"> </w:t>
      </w:r>
      <w:r w:rsidR="0064753B" w:rsidRPr="009824AD">
        <w:rPr>
          <w:rFonts w:ascii="Helvetica" w:hAnsi="Helvetica" w:cs="Calibri"/>
          <w:lang w:val="en-US"/>
        </w:rPr>
        <w:t>(minor resection anterior/left lateral segments, minor resection posterior/superior segments, anatomically major resection)</w:t>
      </w:r>
      <w:r w:rsidR="003407F9" w:rsidRPr="009824AD">
        <w:rPr>
          <w:rFonts w:ascii="Helvetica" w:hAnsi="Helvetica" w:cs="Calibri"/>
          <w:lang w:val="en-US"/>
        </w:rPr>
        <w:t>,</w:t>
      </w:r>
      <w:r w:rsidR="0064753B" w:rsidRPr="009824AD">
        <w:rPr>
          <w:rFonts w:ascii="Helvetica" w:hAnsi="Helvetica" w:cs="Calibri"/>
          <w:lang w:val="en-US"/>
        </w:rPr>
        <w:t xml:space="preserve"> </w:t>
      </w:r>
      <w:r w:rsidR="007A3681" w:rsidRPr="009824AD">
        <w:rPr>
          <w:rFonts w:ascii="Helvetica" w:hAnsi="Helvetica" w:cs="Calibri"/>
          <w:lang w:val="en-US"/>
        </w:rPr>
        <w:t>respectively</w:t>
      </w:r>
      <w:r w:rsidR="00931CBB" w:rsidRPr="009824AD">
        <w:rPr>
          <w:rFonts w:ascii="Helvetica" w:hAnsi="Helvetica" w:cs="Calibri"/>
          <w:lang w:val="en-US"/>
        </w:rPr>
        <w:t>.</w:t>
      </w:r>
    </w:p>
    <w:p w14:paraId="764292DA" w14:textId="3C2BCFE5" w:rsidR="008362C5" w:rsidRPr="009824AD" w:rsidRDefault="008362C5" w:rsidP="00310584">
      <w:pPr>
        <w:pStyle w:val="Geenafstand"/>
        <w:spacing w:line="480" w:lineRule="auto"/>
        <w:jc w:val="both"/>
        <w:rPr>
          <w:rFonts w:ascii="Helvetica" w:hAnsi="Helvetica" w:cs="Calibri"/>
          <w:lang w:val="en-US"/>
        </w:rPr>
      </w:pPr>
    </w:p>
    <w:p w14:paraId="77D34573" w14:textId="26FD230A" w:rsidR="00703C3D" w:rsidRPr="009824AD" w:rsidRDefault="00CB2951" w:rsidP="001F372A">
      <w:pPr>
        <w:pStyle w:val="Geenafstand"/>
        <w:spacing w:line="480" w:lineRule="auto"/>
        <w:jc w:val="both"/>
        <w:rPr>
          <w:rFonts w:ascii="Helvetica" w:hAnsi="Helvetica" w:cs="Calibri"/>
          <w:color w:val="000000" w:themeColor="text1"/>
          <w:lang w:val="en-US"/>
        </w:rPr>
      </w:pPr>
      <w:r w:rsidRPr="009824AD">
        <w:rPr>
          <w:rFonts w:ascii="Helvetica" w:hAnsi="Helvetica" w:cs="Calibri"/>
          <w:color w:val="000000" w:themeColor="text1"/>
          <w:lang w:val="en-US"/>
        </w:rPr>
        <w:t>Postoperative o</w:t>
      </w:r>
      <w:r w:rsidR="00703C3D" w:rsidRPr="009824AD">
        <w:rPr>
          <w:rFonts w:ascii="Helvetica" w:hAnsi="Helvetica" w:cs="Calibri"/>
          <w:color w:val="000000" w:themeColor="text1"/>
          <w:lang w:val="en-US"/>
        </w:rPr>
        <w:t xml:space="preserve">utcomes included 30-day </w:t>
      </w:r>
      <w:r w:rsidR="00A173E4" w:rsidRPr="009824AD">
        <w:rPr>
          <w:rFonts w:ascii="Helvetica" w:hAnsi="Helvetica" w:cs="Calibri"/>
          <w:color w:val="000000" w:themeColor="text1"/>
          <w:lang w:val="en-US"/>
        </w:rPr>
        <w:t xml:space="preserve">overall </w:t>
      </w:r>
      <w:r w:rsidR="00703C3D" w:rsidRPr="009824AD">
        <w:rPr>
          <w:rFonts w:ascii="Helvetica" w:hAnsi="Helvetica" w:cs="Calibri"/>
          <w:color w:val="000000" w:themeColor="text1"/>
          <w:lang w:val="en-US"/>
        </w:rPr>
        <w:t xml:space="preserve">postoperative complications (defined according to the </w:t>
      </w:r>
      <w:r w:rsidR="00C44AA5" w:rsidRPr="009824AD">
        <w:rPr>
          <w:rFonts w:ascii="Helvetica" w:hAnsi="Helvetica" w:cs="Calibri"/>
          <w:color w:val="000000" w:themeColor="text1"/>
          <w:lang w:val="en-US"/>
        </w:rPr>
        <w:t>Clavien</w:t>
      </w:r>
      <w:r w:rsidRPr="009824AD">
        <w:rPr>
          <w:rFonts w:ascii="Helvetica" w:hAnsi="Helvetica" w:cs="Calibri"/>
          <w:color w:val="000000" w:themeColor="text1"/>
          <w:lang w:val="en-US"/>
        </w:rPr>
        <w:t>-</w:t>
      </w:r>
      <w:r w:rsidR="00C44AA5" w:rsidRPr="009824AD">
        <w:rPr>
          <w:rFonts w:ascii="Helvetica" w:hAnsi="Helvetica" w:cs="Calibri"/>
          <w:color w:val="000000" w:themeColor="text1"/>
          <w:lang w:val="en-US"/>
        </w:rPr>
        <w:t>Dindo classification</w:t>
      </w:r>
      <w:r w:rsidR="00703C3D" w:rsidRPr="009824AD">
        <w:rPr>
          <w:rFonts w:ascii="Helvetica" w:hAnsi="Helvetica" w:cs="Calibri"/>
          <w:color w:val="000000" w:themeColor="text1"/>
          <w:lang w:val="en-US"/>
        </w:rPr>
        <w:t xml:space="preserve">; severe complications were defined as </w:t>
      </w:r>
      <w:r w:rsidR="00C44AA5" w:rsidRPr="009824AD">
        <w:rPr>
          <w:rFonts w:ascii="Helvetica" w:hAnsi="Helvetica" w:cs="Calibri"/>
          <w:color w:val="000000" w:themeColor="text1"/>
          <w:lang w:val="en-US"/>
        </w:rPr>
        <w:t>Clavien</w:t>
      </w:r>
      <w:r w:rsidRPr="009824AD">
        <w:rPr>
          <w:rFonts w:ascii="Helvetica" w:hAnsi="Helvetica" w:cs="Calibri"/>
          <w:color w:val="000000" w:themeColor="text1"/>
          <w:lang w:val="en-US"/>
        </w:rPr>
        <w:t>-</w:t>
      </w:r>
      <w:r w:rsidR="00C44AA5" w:rsidRPr="009824AD">
        <w:rPr>
          <w:rFonts w:ascii="Helvetica" w:hAnsi="Helvetica" w:cs="Calibri"/>
          <w:color w:val="000000" w:themeColor="text1"/>
          <w:lang w:val="en-US"/>
        </w:rPr>
        <w:t>Dindo</w:t>
      </w:r>
      <w:r w:rsidR="00703C3D" w:rsidRPr="009824AD">
        <w:rPr>
          <w:rFonts w:ascii="Helvetica" w:hAnsi="Helvetica" w:cs="Calibri"/>
          <w:color w:val="000000" w:themeColor="text1"/>
          <w:lang w:val="en-US"/>
        </w:rPr>
        <w:t xml:space="preserve"> three or higher</w:t>
      </w:r>
      <w:r w:rsidR="007B76E0" w:rsidRPr="009824AD">
        <w:rPr>
          <w:rFonts w:ascii="Helvetica" w:hAnsi="Helvetica" w:cs="Calibri"/>
          <w:color w:val="000000" w:themeColor="text1"/>
          <w:lang w:val="en-US"/>
        </w:rPr>
        <w:fldChar w:fldCharType="begin" w:fldLock="1"/>
      </w:r>
      <w:r w:rsidR="000D44B8" w:rsidRPr="009824AD">
        <w:rPr>
          <w:rFonts w:ascii="Helvetica" w:hAnsi="Helvetica" w:cs="Calibri"/>
          <w:color w:val="000000" w:themeColor="text1"/>
          <w:lang w:val="en-US"/>
        </w:rPr>
        <w:instrText>ADDIN CSL_CITATION {"citationItems":[{"id":"ITEM-1","itemData":{"DOI":"10.1097/SLA.0b013e3181b13ca2","ISSN":"0003-4932","author":[{"dropping-particle":"","family":"Clavien","given":"Pierre A.","non-dropping-particle":"","parse-names":false,"suffix":""},{"dropping-particle":"","family":"Barkun","given":"Jeffrey","non-dropping-particle":"","parse-names":false,"suffix":""},{"dropping-particle":"","family":"Oliveira","given":"Michelle L.","non-dropping-particle":"de","parse-names":false,"suffix":""},{"dropping-particle":"","family":"Vauthey","given":"Jean Nicolas","non-dropping-particle":"","parse-names":false,"suffix":""},{"dropping-particle":"","family":"Dindo","given":"Daniel","non-dropping-particle":"","parse-names":false,"suffix":""},{"dropping-particle":"","family":"Schulick","given":"Richard D.","non-dropping-particle":"","parse-names":false,"suffix":""},{"dropping-particle":"","family":"Santibañes","given":"Eduardo","non-dropping-particle":"de","parse-names":false,"suffix":""},{"dropping-particle":"","family":"Pekolj","given":"Juan","non-dropping-particle":"","parse-names":false,"suffix":""},{"dropping-particle":"","family":"Slankamenac","given":"Ksenija","non-dropping-particle":"","parse-names":false,"suffix":""},{"dropping-particle":"","family":"Bassi","given":"Claudio","non-dropping-particle":"","parse-names":false,"suffix":""},{"dropping-particle":"","family":"Graf","given":"Rolf","non-dropping-particle":"","parse-names":false,"suffix":""},{"dropping-particle":"","family":"Vonlanthen","given":"René","non-dropping-particle":"","parse-names":false,"suffix":""},{"dropping-particle":"","family":"Padbury","given":"Robert","non-dropping-particle":"","parse-names":false,"suffix":""},{"dropping-particle":"","family":"Cameron","given":"John L.","non-dropping-particle":"","parse-names":false,"suffix":""},{"dropping-particle":"","family":"Makuuchi","given":"Masatoshi","non-dropping-particle":"","parse-names":false,"suffix":""}],"container-title":"Annals of Surgery","id":"ITEM-1","issue":"2","issued":{"date-parts":[["2009","8"]]},"page":"187-196","title":"The Clavien-Dindo Classification of Surgical Complications","type":"article-journal","volume":"250"},"uris":["http://www.mendeley.com/documents/?uuid=d30225cc-b4ed-3bb6-b32a-ca29926a8be0"]}],"mendeley":{"formattedCitation":"(26)","plainTextFormattedCitation":"(26)","previouslyFormattedCitation":"(26)"},"properties":{"noteIndex":0},"schema":"https://github.com/citation-style-language/schema/raw/master/csl-citation.json"}</w:instrText>
      </w:r>
      <w:r w:rsidR="007B76E0" w:rsidRPr="009824AD">
        <w:rPr>
          <w:rFonts w:ascii="Helvetica" w:hAnsi="Helvetica" w:cs="Calibri"/>
          <w:color w:val="000000" w:themeColor="text1"/>
          <w:lang w:val="en-US"/>
        </w:rPr>
        <w:fldChar w:fldCharType="separate"/>
      </w:r>
      <w:r w:rsidR="000D44B8" w:rsidRPr="009824AD">
        <w:rPr>
          <w:rFonts w:ascii="Helvetica" w:hAnsi="Helvetica" w:cs="Calibri"/>
          <w:noProof/>
          <w:color w:val="000000" w:themeColor="text1"/>
          <w:lang w:val="en-US"/>
        </w:rPr>
        <w:t>(26)</w:t>
      </w:r>
      <w:r w:rsidR="007B76E0" w:rsidRPr="009824AD">
        <w:rPr>
          <w:rFonts w:ascii="Helvetica" w:hAnsi="Helvetica" w:cs="Calibri"/>
          <w:color w:val="000000" w:themeColor="text1"/>
          <w:lang w:val="en-US"/>
        </w:rPr>
        <w:fldChar w:fldCharType="end"/>
      </w:r>
      <w:r w:rsidR="008967AE" w:rsidRPr="009824AD">
        <w:rPr>
          <w:rFonts w:ascii="Helvetica" w:hAnsi="Helvetica" w:cs="Calibri"/>
          <w:color w:val="000000" w:themeColor="text1"/>
          <w:lang w:val="en-US"/>
        </w:rPr>
        <w:t>)</w:t>
      </w:r>
      <w:r w:rsidR="00703C3D" w:rsidRPr="009824AD">
        <w:rPr>
          <w:rFonts w:ascii="Helvetica" w:hAnsi="Helvetica" w:cs="Calibri"/>
          <w:color w:val="000000" w:themeColor="text1"/>
          <w:lang w:val="en-US"/>
        </w:rPr>
        <w:t xml:space="preserve">, </w:t>
      </w:r>
      <w:r w:rsidR="00203E21" w:rsidRPr="009824AD">
        <w:rPr>
          <w:rFonts w:ascii="Helvetica" w:hAnsi="Helvetica" w:cs="Calibri"/>
          <w:color w:val="000000" w:themeColor="text1"/>
          <w:lang w:val="en-US"/>
        </w:rPr>
        <w:t>post</w:t>
      </w:r>
      <w:r w:rsidR="0026291C" w:rsidRPr="009824AD">
        <w:rPr>
          <w:rFonts w:ascii="Helvetica" w:hAnsi="Helvetica" w:cs="Calibri"/>
          <w:color w:val="000000" w:themeColor="text1"/>
          <w:lang w:val="en-US"/>
        </w:rPr>
        <w:t>operative</w:t>
      </w:r>
      <w:r w:rsidR="00A173E4" w:rsidRPr="009824AD">
        <w:rPr>
          <w:rFonts w:ascii="Helvetica" w:hAnsi="Helvetica" w:cs="Calibri"/>
          <w:color w:val="000000" w:themeColor="text1"/>
          <w:lang w:val="en-US"/>
        </w:rPr>
        <w:t xml:space="preserve"> liver failure (defined according to ISGL</w:t>
      </w:r>
      <w:r w:rsidR="000045F9" w:rsidRPr="009824AD">
        <w:rPr>
          <w:rFonts w:ascii="Helvetica" w:hAnsi="Helvetica" w:cs="Calibri"/>
          <w:color w:val="000000" w:themeColor="text1"/>
          <w:lang w:val="en-US"/>
        </w:rPr>
        <w:t>S</w:t>
      </w:r>
      <w:r w:rsidR="00A173E4" w:rsidRPr="009824AD">
        <w:rPr>
          <w:rFonts w:ascii="Helvetica" w:hAnsi="Helvetica" w:cs="Calibri"/>
          <w:color w:val="000000" w:themeColor="text1"/>
          <w:lang w:val="en-US"/>
        </w:rPr>
        <w:t xml:space="preserve"> definition</w:t>
      </w:r>
      <w:r w:rsidR="007B76E0" w:rsidRPr="009824AD">
        <w:rPr>
          <w:rFonts w:ascii="Helvetica" w:hAnsi="Helvetica" w:cs="Calibri"/>
          <w:color w:val="000000" w:themeColor="text1"/>
          <w:lang w:val="en-US"/>
        </w:rPr>
        <w:fldChar w:fldCharType="begin" w:fldLock="1"/>
      </w:r>
      <w:r w:rsidR="000D44B8" w:rsidRPr="009824AD">
        <w:rPr>
          <w:rFonts w:ascii="Helvetica" w:hAnsi="Helvetica" w:cs="Calibri"/>
          <w:color w:val="000000" w:themeColor="text1"/>
          <w:lang w:val="en-US"/>
        </w:rPr>
        <w:instrText>ADDIN CSL_CITATION {"citationItems":[{"id":"ITEM-1","itemData":{"DOI":"10.1016/j.surg.2010.10.001","ISSN":"00396060","PMID":"21236455","abstract":"Background: Posthepatectomy liver failure is a feared complication after hepatic resection and a major cause of perioperative mortality. There is currently no standardized definition of posthepatectomy liver failure that allows valid comparison of results from different studies and institutions. The aim of the current article was to propose a definition and grading of severity of posthepatectomy liver failure. Methods: A literature search on posthepatectomy liver failure after hepatic resection was conducted. Based on the normal course of biochemical liver function tests after hepatic resection, a simple and easily applicable definition of posthepatectomy liver failure was developed by the International Study Group of Liver Surgery. Furthermore, a grading of severity is proposed based on the impact on patients' clinical management. Results: No uniform definition of posthepatectomy liver failure has been established in the literature addressing hepatic surgery. Considering the normal postoperative course of serum bilirubin concentration and International Normalized Ratio, we propose defining posthepatectomy liver failure as the impaired ability of the liver to maintain its synthetic, excretory, and detoxifying functions, which are characterized by an increased international normalized ratio and concomitant hyperbilirubinemia (according to the normal limits of the local laboratory) on or after postoperative day 5. The severity of posthepatectomy liver failure should be graded based on its impact on clinical management. Grade A posthepatectomy liver failure requires no change of the patient's clinical management. The clinical management of patients with grade B posthepatectomy liver failure deviates from the regular course but does not require invasive therapy. The need for invasive treatment defines grade C posthepatectomy liver failure. Conclusion: The current definition of posthepatectomy liver failure is simple and easily applicable in clinical routine. This definition can be used in future studies to allow objective and accurate comparisons of operative interventions in the field of hepatic surgery. © 2011 Mosby, Inc.","author":[{"dropping-particle":"","family":"Rahbari","given":"Nuh N.","non-dropping-particle":"","parse-names":false,"suffix":""},{"dropping-particle":"","family":"Garden","given":"O. James","non-dropping-particle":"","parse-names":false,"suffix":""},{"dropping-particle":"","family":"Padbury","given":"Robert","non-dropping-particle":"","parse-names":false,"suffix":""},{"dropping-particle":"","family":"Brooke-Smith","given":"Mark","non-dropping-particle":"","parse-names":false,"suffix":""},{"dropping-particle":"","family":"Crawford","given":"Michael","non-dropping-particle":"","parse-names":false,"suffix":""},{"dropping-particle":"","family":"Adam","given":"Rene","non-dropping-particle":"","parse-names":false,"suffix":""},{"dropping-particle":"","family":"Koch","given":"Moritz","non-dropping-particle":"","parse-names":false,"suffix":""},{"dropping-particle":"","family":"Makuuchi","given":"Masatoshi","non-dropping-particle":"","parse-names":false,"suffix":""},{"dropping-particle":"","family":"Dematteo","given":"Ronald P.","non-dropping-particle":"","parse-names":false,"suffix":""},{"dropping-particle":"","family":"Christophi","given":"Christopher","non-dropping-particle":"","parse-names":false,"suffix":""},{"dropping-particle":"","family":"Banting","given":"Simon","non-dropping-particle":"","parse-names":false,"suffix":""},{"dropping-particle":"","family":"Usatoff","given":"Val","non-dropping-particle":"","parse-names":false,"suffix":""},{"dropping-particle":"","family":"Nagino","given":"Masato","non-dropping-particle":"","parse-names":false,"suffix":""},{"dropping-particle":"","family":"Maddern","given":"Guy","non-dropping-particle":"","parse-names":false,"suffix":""},{"dropping-particle":"","family":"Hugh","given":"Thomas J.","non-dropping-particle":"","parse-names":false,"suffix":""},{"dropping-particle":"","family":"Vauthey","given":"Jean Nicolas","non-dropping-particle":"","parse-names":false,"suffix":""},{"dropping-particle":"","family":"Greig","given":"Paul","non-dropping-particle":"","parse-names":false,"suffix":""},{"dropping-particle":"","family":"Rees","given":"Myrddin","non-dropping-particle":"","parse-names":false,"suffix":""},{"dropping-particle":"","family":"Yokoyama","given":"Yukihiro","non-dropping-particle":"","parse-names":false,"suffix":""},{"dropping-particle":"","family":"Fan","given":"Sheung Tat","non-dropping-particle":"","parse-names":false,"suffix":""},{"dropping-particle":"","family":"Nimura","given":"Yuji","non-dropping-particle":"","parse-names":false,"suffix":""},{"dropping-particle":"","family":"Figueras","given":"Joan","non-dropping-particle":"","parse-names":false,"suffix":""},{"dropping-particle":"","family":"Capussotti","given":"Lorenzo","non-dropping-particle":"","parse-names":false,"suffix":""},{"dropping-particle":"","family":"Büchler","given":"Markus W.","non-dropping-particle":"","parse-names":false,"suffix":""},{"dropping-particle":"","family":"Weitz","given":"Jürgen","non-dropping-particle":"","parse-names":false,"suffix":""}],"container-title":"Surgery","id":"ITEM-1","issue":"5","issued":{"date-parts":[["2011","5"]]},"page":"713-724","publisher":"Surgery","title":"Posthepatectomy liver failure: A definition and grading by the International Study Group of Liver Surgery (ISGLS)","type":"article-journal","volume":"149"},"uris":["http://www.mendeley.com/documents/?uuid=b25d5ca5-95c0-3973-87e1-495c33d0836b"]}],"mendeley":{"formattedCitation":"(27)","plainTextFormattedCitation":"(27)","previouslyFormattedCitation":"(27)"},"properties":{"noteIndex":0},"schema":"https://github.com/citation-style-language/schema/raw/master/csl-citation.json"}</w:instrText>
      </w:r>
      <w:r w:rsidR="007B76E0" w:rsidRPr="009824AD">
        <w:rPr>
          <w:rFonts w:ascii="Helvetica" w:hAnsi="Helvetica" w:cs="Calibri"/>
          <w:color w:val="000000" w:themeColor="text1"/>
          <w:lang w:val="en-US"/>
        </w:rPr>
        <w:fldChar w:fldCharType="separate"/>
      </w:r>
      <w:r w:rsidR="000D44B8" w:rsidRPr="009824AD">
        <w:rPr>
          <w:rFonts w:ascii="Helvetica" w:hAnsi="Helvetica" w:cs="Calibri"/>
          <w:noProof/>
          <w:color w:val="000000" w:themeColor="text1"/>
          <w:lang w:val="en-US"/>
        </w:rPr>
        <w:t>(27)</w:t>
      </w:r>
      <w:r w:rsidR="007B76E0" w:rsidRPr="009824AD">
        <w:rPr>
          <w:rFonts w:ascii="Helvetica" w:hAnsi="Helvetica" w:cs="Calibri"/>
          <w:color w:val="000000" w:themeColor="text1"/>
          <w:lang w:val="en-US"/>
        </w:rPr>
        <w:fldChar w:fldCharType="end"/>
      </w:r>
      <w:r w:rsidR="00A173E4" w:rsidRPr="009824AD">
        <w:rPr>
          <w:rFonts w:ascii="Helvetica" w:hAnsi="Helvetica" w:cs="Calibri"/>
          <w:color w:val="000000" w:themeColor="text1"/>
          <w:lang w:val="en-US"/>
        </w:rPr>
        <w:t xml:space="preserve">), </w:t>
      </w:r>
      <w:r w:rsidR="0026291C" w:rsidRPr="009824AD">
        <w:rPr>
          <w:rFonts w:ascii="Helvetica" w:hAnsi="Helvetica" w:cs="Calibri"/>
          <w:color w:val="000000" w:themeColor="text1"/>
          <w:lang w:val="en-US"/>
        </w:rPr>
        <w:t xml:space="preserve">postoperative </w:t>
      </w:r>
      <w:r w:rsidR="00A173E4" w:rsidRPr="009824AD">
        <w:rPr>
          <w:rFonts w:ascii="Helvetica" w:hAnsi="Helvetica" w:cs="Calibri"/>
          <w:color w:val="000000" w:themeColor="text1"/>
          <w:lang w:val="en-US"/>
        </w:rPr>
        <w:t xml:space="preserve">pulmonary complications, </w:t>
      </w:r>
      <w:r w:rsidR="0026291C" w:rsidRPr="009824AD">
        <w:rPr>
          <w:rFonts w:ascii="Helvetica" w:hAnsi="Helvetica" w:cs="Calibri"/>
          <w:color w:val="000000" w:themeColor="text1"/>
          <w:lang w:val="en-US"/>
        </w:rPr>
        <w:t xml:space="preserve">postoperative </w:t>
      </w:r>
      <w:r w:rsidRPr="009824AD">
        <w:rPr>
          <w:rFonts w:ascii="Helvetica" w:hAnsi="Helvetica" w:cs="Calibri"/>
          <w:color w:val="000000" w:themeColor="text1"/>
          <w:lang w:val="en-US"/>
        </w:rPr>
        <w:t>s</w:t>
      </w:r>
      <w:r w:rsidR="00A173E4" w:rsidRPr="009824AD">
        <w:rPr>
          <w:rFonts w:ascii="Helvetica" w:hAnsi="Helvetica" w:cs="Calibri"/>
          <w:color w:val="000000" w:themeColor="text1"/>
          <w:lang w:val="en-US"/>
        </w:rPr>
        <w:t>urgical site infection</w:t>
      </w:r>
      <w:r w:rsidR="008967AE" w:rsidRPr="009824AD">
        <w:rPr>
          <w:rFonts w:ascii="Helvetica" w:hAnsi="Helvetica" w:cs="Calibri"/>
          <w:color w:val="000000" w:themeColor="text1"/>
          <w:lang w:val="en-US"/>
        </w:rPr>
        <w:t xml:space="preserve"> </w:t>
      </w:r>
      <w:r w:rsidR="001F372A" w:rsidRPr="009824AD">
        <w:rPr>
          <w:rFonts w:ascii="Helvetica" w:hAnsi="Helvetica" w:cs="Calibri"/>
          <w:color w:val="000000" w:themeColor="text1"/>
          <w:lang w:val="en-US"/>
        </w:rPr>
        <w:t xml:space="preserve">(defined according to the “Guideline for Prevention of Surgical Site Infection, 1999” by the </w:t>
      </w:r>
      <w:r w:rsidR="000B7DA3" w:rsidRPr="009824AD">
        <w:rPr>
          <w:rFonts w:ascii="Helvetica" w:hAnsi="Helvetica" w:cs="Calibri"/>
          <w:color w:val="000000" w:themeColor="text1"/>
          <w:lang w:val="en-US"/>
        </w:rPr>
        <w:t>Center</w:t>
      </w:r>
      <w:r w:rsidR="001F372A" w:rsidRPr="009824AD">
        <w:rPr>
          <w:rFonts w:ascii="Helvetica" w:hAnsi="Helvetica" w:cs="Calibri"/>
          <w:color w:val="000000" w:themeColor="text1"/>
          <w:lang w:val="en-US"/>
        </w:rPr>
        <w:t>s for Disease Control and Prevention</w:t>
      </w:r>
      <w:r w:rsidR="007B76E0" w:rsidRPr="009824AD">
        <w:rPr>
          <w:rFonts w:ascii="Helvetica" w:hAnsi="Helvetica" w:cs="Calibri"/>
          <w:color w:val="000000" w:themeColor="text1"/>
          <w:lang w:val="en-US"/>
        </w:rPr>
        <w:fldChar w:fldCharType="begin" w:fldLock="1"/>
      </w:r>
      <w:r w:rsidR="000D44B8" w:rsidRPr="009824AD">
        <w:rPr>
          <w:rFonts w:ascii="Helvetica" w:hAnsi="Helvetica" w:cs="Calibri"/>
          <w:color w:val="000000" w:themeColor="text1"/>
          <w:lang w:val="en-US"/>
        </w:rPr>
        <w:instrText>ADDIN CSL_CITATION {"citationItems":[{"id":"ITEM-1","itemData":{"DOI":"10.1086/501620","ISSN":"0899-823X","PMID":"10219875","abstract":"EXCERPT EXECUTIVE SUMMARY The “Guideline for Prevention of Surgical Site Infection, 1999” presents the Centers for Disease Control and Prevention (CDC)’s recommendations for the prevention of surgical site infections (SSIs), formerly called surgical wound infections. This two‐part guideline updates and replaces previous guidelines.1,2","author":[{"dropping-particle":"","family":"Mangram","given":"A J","non-dropping-particle":"","parse-names":false,"suffix":""},{"dropping-particle":"","family":"Horan","given":"T C","non-dropping-particle":"","parse-names":false,"suffix":""},{"dropping-particle":"","family":"Pearson","given":"M L","non-dropping-particle":"","parse-names":false,"suffix":""},{"dropping-particle":"","family":"Silver","given":"L C","non-dropping-particle":"","parse-names":false,"suffix":""},{"dropping-particle":"","family":"Jarvis","given":"W R","non-dropping-particle":"","parse-names":false,"suffix":""}],"container-title":"Infection control and hospital epidemiology","id":"ITEM-1","issue":"4","issued":{"date-parts":[["1999","4"]]},"page":"250-78; quiz 279-80","publisher":"Infect Control Hosp Epidemiol","title":"Guideline for prevention of surgical site infection, 1999. Hospital Infection Control Practices Advisory Committee.","type":"article-journal","volume":"20"},"uris":["http://www.mendeley.com/documents/?uuid=b9a8106d-a3e8-33bb-85a5-644da499b3ca"]},{"id":"ITEM-2","itemData":{"DOI":"10.1111/j.1440-1746.2006.04761.x","ISSN":"14401746","abstract":"Background and Aim: Post-hepatectomy infections require careful attention, because they may deteriorate into liver failure. We retrospectively reviewed such infections in cases without biliary or intestinal reconstruction. Methods: This retrospective study involved 535 patients with liver tumors who underwent hepatectomy at the Department of Gastroenterological Surgery of Yokohama City University Hospital between April 1992 and March 2005. After classification into four groups depending on changes in infection countermeasures used during different periods, the treatment outcomes were examined. No such anti-infection measures were taken during the first period; a closed suction drainage system and early enteral nutrition after surgery were introduced between the first and second periods; thorough management of bile leakage and prevention of nosocomial infection were added between the second and third periods; and surgical site infection (SSI) surveillance together with absorbable sutures instead of silk sutures between the third and fourth periods. Results: The incidence of postoperative infection decreased significantly with additional countermeasures: first period 44.7%; second period 24.1%; third period 15.0%; and fourth period 9.2%. The incidence of both SSI and remote infection were similarly reduced. Postoperative infection risk factors were age, presence of diabetes mellitus, the use of silk sutures and bile leakage, while those for SSI were the use of silk sutures and bile leakage. Conclusion: The incidence of postoperative infection and SSI were significantly reduced by our infection countermeasures, especially by bile leakage management and the use of absorbable sutures. © 2006 The Authors.","author":[{"dropping-particle":"","family":"Togo","given":"Shinji","non-dropping-particle":"","parse-names":false,"suffix":""},{"dropping-particle":"","family":"Matsuo","given":"Kenichi","non-dropping-particle":"","parse-names":false,"suffix":""},{"dropping-particle":"","family":"Tanaka","given":"Kuniya","non-dropping-particle":"","parse-names":false,"suffix":""},{"dropping-particle":"","family":"Matsumoto","given":"Chizuru","non-dropping-particle":"","parse-names":false,"suffix":""},{"dropping-particle":"","family":"Shimizu","given":"Tetsuya","non-dropping-particle":"","parse-names":false,"suffix":""},{"dropping-particle":"","family":"Ueda","given":"Michio","non-dropping-particle":"","parse-names":false,"suffix":""},{"dropping-particle":"","family":"Morioka","given":"Daisuke","non-dropping-particle":"","parse-names":false,"suffix":""},{"dropping-particle":"","family":"Nagano","given":"Yasuhiko","non-dropping-particle":"","parse-names":false,"suffix":""},{"dropping-particle":"","family":"Endo","given":"Itaru","non-dropping-particle":"","parse-names":false,"suffix":""},{"dropping-particle":"","family":"Shimada","given":"Hiroshi","non-dropping-particle":"","parse-names":false,"suffix":""}],"container-title":"Journal of Gastroenterology and Hepatology (Australia)","id":"ITEM-2","issue":"11","issued":{"date-parts":[["2007"]]},"page":"1942-1948","publisher":"Blackwell Publishing","title":"Perioperative infection control and its effectiveness in hepatectomy patients","type":"article-journal","volume":"22"},"uris":["http://www.mendeley.com/documents/?uuid=0fbaf928-0109-3461-8776-866719b6b4fb"]}],"mendeley":{"formattedCitation":"(28, 29)","plainTextFormattedCitation":"(28, 29)","previouslyFormattedCitation":"(28, 29)"},"properties":{"noteIndex":0},"schema":"https://github.com/citation-style-language/schema/raw/master/csl-citation.json"}</w:instrText>
      </w:r>
      <w:r w:rsidR="007B76E0" w:rsidRPr="009824AD">
        <w:rPr>
          <w:rFonts w:ascii="Helvetica" w:hAnsi="Helvetica" w:cs="Calibri"/>
          <w:color w:val="000000" w:themeColor="text1"/>
          <w:lang w:val="en-US"/>
        </w:rPr>
        <w:fldChar w:fldCharType="separate"/>
      </w:r>
      <w:r w:rsidR="000D44B8" w:rsidRPr="009824AD">
        <w:rPr>
          <w:rFonts w:ascii="Helvetica" w:hAnsi="Helvetica" w:cs="Calibri"/>
          <w:noProof/>
          <w:color w:val="000000" w:themeColor="text1"/>
          <w:lang w:val="en-US"/>
        </w:rPr>
        <w:t>(28, 29)</w:t>
      </w:r>
      <w:r w:rsidR="007B76E0" w:rsidRPr="009824AD">
        <w:rPr>
          <w:rFonts w:ascii="Helvetica" w:hAnsi="Helvetica" w:cs="Calibri"/>
          <w:color w:val="000000" w:themeColor="text1"/>
          <w:lang w:val="en-US"/>
        </w:rPr>
        <w:fldChar w:fldCharType="end"/>
      </w:r>
      <w:r w:rsidR="001F372A" w:rsidRPr="009824AD">
        <w:rPr>
          <w:rFonts w:ascii="Helvetica" w:hAnsi="Helvetica" w:cs="Calibri"/>
          <w:color w:val="000000" w:themeColor="text1"/>
          <w:lang w:val="en-US"/>
        </w:rPr>
        <w:t>)</w:t>
      </w:r>
      <w:r w:rsidR="00A173E4" w:rsidRPr="009824AD">
        <w:rPr>
          <w:rFonts w:ascii="Helvetica" w:hAnsi="Helvetica" w:cs="Calibri"/>
          <w:color w:val="000000" w:themeColor="text1"/>
          <w:lang w:val="en-US"/>
        </w:rPr>
        <w:t xml:space="preserve">, </w:t>
      </w:r>
      <w:r w:rsidR="0026291C" w:rsidRPr="009824AD">
        <w:rPr>
          <w:rFonts w:ascii="Helvetica" w:hAnsi="Helvetica" w:cs="Calibri"/>
          <w:color w:val="000000" w:themeColor="text1"/>
          <w:lang w:val="en-US"/>
        </w:rPr>
        <w:t xml:space="preserve">postoperative </w:t>
      </w:r>
      <w:r w:rsidR="00A173E4" w:rsidRPr="009824AD">
        <w:rPr>
          <w:rFonts w:ascii="Helvetica" w:hAnsi="Helvetica" w:cs="Calibri"/>
          <w:color w:val="000000" w:themeColor="text1"/>
          <w:lang w:val="en-US"/>
        </w:rPr>
        <w:t>hemorrhage</w:t>
      </w:r>
      <w:r w:rsidR="001F372A" w:rsidRPr="009824AD">
        <w:rPr>
          <w:rFonts w:ascii="Helvetica" w:hAnsi="Helvetica" w:cs="Calibri"/>
          <w:color w:val="000000" w:themeColor="text1"/>
          <w:lang w:val="en-US"/>
        </w:rPr>
        <w:t xml:space="preserve"> (defined as a </w:t>
      </w:r>
      <w:r w:rsidR="001F372A" w:rsidRPr="009824AD">
        <w:rPr>
          <w:rFonts w:ascii="Helvetica" w:hAnsi="Helvetica" w:cs="Calibri"/>
          <w:color w:val="000000" w:themeColor="text1"/>
          <w:lang w:val="en-US"/>
        </w:rPr>
        <w:lastRenderedPageBreak/>
        <w:t xml:space="preserve">drop in </w:t>
      </w:r>
      <w:r w:rsidR="000D44B8" w:rsidRPr="009824AD">
        <w:rPr>
          <w:rFonts w:ascii="Helvetica" w:hAnsi="Helvetica" w:cs="Calibri"/>
          <w:color w:val="000000" w:themeColor="text1"/>
          <w:lang w:val="en-US"/>
        </w:rPr>
        <w:t>hemoglobin</w:t>
      </w:r>
      <w:r w:rsidR="001F372A" w:rsidRPr="009824AD">
        <w:rPr>
          <w:rFonts w:ascii="Helvetica" w:hAnsi="Helvetica" w:cs="Calibri"/>
          <w:color w:val="000000" w:themeColor="text1"/>
          <w:lang w:val="en-US"/>
        </w:rPr>
        <w:t xml:space="preserve"> level &gt;3 g/dL postoperatively compared to the postoperative baseline level and/or any postoperative transfusion of packed red blood cells for a decreasing </w:t>
      </w:r>
      <w:r w:rsidR="000D44B8" w:rsidRPr="009824AD">
        <w:rPr>
          <w:rFonts w:ascii="Helvetica" w:hAnsi="Helvetica" w:cs="Calibri"/>
          <w:color w:val="000000" w:themeColor="text1"/>
          <w:lang w:val="en-US"/>
        </w:rPr>
        <w:t>hemoglobin</w:t>
      </w:r>
      <w:r w:rsidR="001F372A" w:rsidRPr="009824AD">
        <w:rPr>
          <w:rFonts w:ascii="Helvetica" w:hAnsi="Helvetica" w:cs="Calibri"/>
          <w:color w:val="000000" w:themeColor="text1"/>
          <w:lang w:val="en-US"/>
        </w:rPr>
        <w:t xml:space="preserve"> and/or the need for radiological intervention and/or re-laparotomy to stop bleeding</w:t>
      </w:r>
      <w:r w:rsidR="008967AE" w:rsidRPr="009824AD">
        <w:rPr>
          <w:rFonts w:ascii="Helvetica" w:hAnsi="Helvetica" w:cs="Calibri"/>
          <w:color w:val="000000" w:themeColor="text1"/>
          <w:lang w:val="en-US"/>
        </w:rPr>
        <w:t xml:space="preserve"> </w:t>
      </w:r>
      <w:r w:rsidR="008967AE" w:rsidRPr="009824AD">
        <w:rPr>
          <w:rFonts w:ascii="Helvetica" w:hAnsi="Helvetica" w:cs="Calibri"/>
          <w:color w:val="000000" w:themeColor="text1"/>
          <w:lang w:val="en-US"/>
        </w:rPr>
        <w:fldChar w:fldCharType="begin" w:fldLock="1"/>
      </w:r>
      <w:r w:rsidR="000D44B8" w:rsidRPr="009824AD">
        <w:rPr>
          <w:rFonts w:ascii="Helvetica" w:hAnsi="Helvetica" w:cs="Calibri"/>
          <w:color w:val="000000" w:themeColor="text1"/>
          <w:lang w:val="en-US"/>
        </w:rPr>
        <w:instrText>ADDIN CSL_CITATION {"citationItems":[{"id":"ITEM-1","itemData":{"DOI":"10.1111/j.1477-2574.2011.00319.x","ISSN":"14772574","PMID":"21762295","abstract":"Background: A standardized definition of post-hepatectomy haemorrhage (PHH) has not yet been established. Methods: An international study group of hepatobiliary surgeons from high-volume centres was convened and a definition of PHH was developed together with a grading of severity considering the impact on patients' clinical management. Results: The definition of PHH varies strongly within the hepatic surgery literature. PHH is defined as a drop in haemoglobin level &gt;3 g/dl post-operatively compared with the post-operative baseline level and/or any post-operative transfusion of packed red blood cells (PRBC) for a falling haemoglobin and/or the need for radiological intervention (such as embolization) and/or re-laparotomy to stop bleeding. Evidence of intra-abdominal bleeding should be obtained by imaging or blood loss via the abdominal drains if present. Transfusion of up to two units of PRBC is considered as being Grade A PHH. Grade B PHH requires transfusion of more than two units of PRBC, whereas the need for invasive re-intervention such as embolization and/ or re-laparotomy defines Grade C PHH. Conclusion: The proposed definition and grading of severity of PHH enables valid comparisons of results from different studies. It is easily applicable in clinical routine and should be applied in future trials to standardize reporting of complications. © 2011 International Hepato-Pancreato-Biliary Association.","author":[{"dropping-particle":"","family":"Rahbari","given":"Nuh N.","non-dropping-particle":"","parse-names":false,"suffix":""},{"dropping-particle":"","family":"Garden","given":"O. James","non-dropping-particle":"","parse-names":false,"suffix":""},{"dropping-particle":"","family":"Padbury","given":"Robert","non-dropping-particle":"","parse-names":false,"suffix":""},{"dropping-particle":"","family":"Maddern","given":"Guy","non-dropping-particle":"","parse-names":false,"suffix":""},{"dropping-particle":"","family":"Koch","given":"Moritz","non-dropping-particle":"","parse-names":false,"suffix":""},{"dropping-particle":"","family":"Hugh","given":"Thomas J.","non-dropping-particle":"","parse-names":false,"suffix":""},{"dropping-particle":"","family":"Fan","given":"Sheung Tat","non-dropping-particle":"","parse-names":false,"suffix":""},{"dropping-particle":"","family":"Nimura","given":"Yuji","non-dropping-particle":"","parse-names":false,"suffix":""},{"dropping-particle":"","family":"Figueras","given":"Joan","non-dropping-particle":"","parse-names":false,"suffix":""},{"dropping-particle":"","family":"Vauthey","given":"Jean Nicolas","non-dropping-particle":"","parse-names":false,"suffix":""},{"dropping-particle":"","family":"Rees","given":"Myrddin","non-dropping-particle":"","parse-names":false,"suffix":""},{"dropping-particle":"","family":"Adam","given":"Rene","non-dropping-particle":"","parse-names":false,"suffix":""},{"dropping-particle":"","family":"Dematteo","given":"Ronald P.","non-dropping-particle":"","parse-names":false,"suffix":""},{"dropping-particle":"","family":"Greig","given":"Paul","non-dropping-particle":"","parse-names":false,"suffix":""},{"dropping-particle":"","family":"Usatoff","given":"Val","non-dropping-particle":"","parse-names":false,"suffix":""},{"dropping-particle":"","family":"Banting","given":"Simon","non-dropping-particle":"","parse-names":false,"suffix":""},{"dropping-particle":"","family":"Nagino","given":"Masato","non-dropping-particle":"","parse-names":false,"suffix":""},{"dropping-particle":"","family":"Capussotti","given":"Lorenzo","non-dropping-particle":"","parse-names":false,"suffix":""},{"dropping-particle":"","family":"Yokoyama","given":"Yukihiro","non-dropping-particle":"","parse-names":false,"suffix":""},{"dropping-particle":"","family":"Brooke-Smith","given":"Mark","non-dropping-particle":"","parse-names":false,"suffix":""},{"dropping-particle":"","family":"Crawford","given":"Michael","non-dropping-particle":"","parse-names":false,"suffix":""},{"dropping-particle":"","family":"Christophi","given":"Christopher","non-dropping-particle":"","parse-names":false,"suffix":""},{"dropping-particle":"","family":"Makuuchi","given":"Masatoshi","non-dropping-particle":"","parse-names":false,"suffix":""},{"dropping-particle":"","family":"Büchler","given":"Markus W.","non-dropping-particle":"","parse-names":false,"suffix":""},{"dropping-particle":"","family":"Weitz","given":"Jürgen","non-dropping-particle":"","parse-names":false,"suffix":""}],"container-title":"HPB","id":"ITEM-1","issue":"8","issued":{"date-parts":[["2011"]]},"page":"528-535","publisher":"Blackwell Publishing Ltd","title":"Post-hepatectomy haemorrhage: A definition and grading by the International Study Group of Liver Surgery (ISGLS)","type":"article-journal","volume":"13"},"uris":["http://www.mendeley.com/documents/?uuid=cf32fe0f-067a-37b1-9309-77d3dfadbbb2"]}],"mendeley":{"formattedCitation":"(30)","plainTextFormattedCitation":"(30)","previouslyFormattedCitation":"(30)"},"properties":{"noteIndex":0},"schema":"https://github.com/citation-style-language/schema/raw/master/csl-citation.json"}</w:instrText>
      </w:r>
      <w:r w:rsidR="008967AE" w:rsidRPr="009824AD">
        <w:rPr>
          <w:rFonts w:ascii="Helvetica" w:hAnsi="Helvetica" w:cs="Calibri"/>
          <w:color w:val="000000" w:themeColor="text1"/>
          <w:lang w:val="en-US"/>
        </w:rPr>
        <w:fldChar w:fldCharType="separate"/>
      </w:r>
      <w:r w:rsidR="000D44B8" w:rsidRPr="009824AD">
        <w:rPr>
          <w:rFonts w:ascii="Helvetica" w:hAnsi="Helvetica" w:cs="Calibri"/>
          <w:noProof/>
          <w:color w:val="000000" w:themeColor="text1"/>
          <w:lang w:val="en-US"/>
        </w:rPr>
        <w:t>(30)</w:t>
      </w:r>
      <w:r w:rsidR="008967AE" w:rsidRPr="009824AD">
        <w:rPr>
          <w:rFonts w:ascii="Helvetica" w:hAnsi="Helvetica" w:cs="Calibri"/>
          <w:color w:val="000000" w:themeColor="text1"/>
          <w:lang w:val="en-US"/>
        </w:rPr>
        <w:fldChar w:fldCharType="end"/>
      </w:r>
      <w:r w:rsidR="001F372A" w:rsidRPr="009824AD">
        <w:rPr>
          <w:rFonts w:ascii="Helvetica" w:hAnsi="Helvetica" w:cs="Calibri"/>
          <w:color w:val="000000" w:themeColor="text1"/>
          <w:lang w:val="en-US"/>
        </w:rPr>
        <w:t>)</w:t>
      </w:r>
      <w:r w:rsidR="00A173E4" w:rsidRPr="009824AD">
        <w:rPr>
          <w:rFonts w:ascii="Helvetica" w:hAnsi="Helvetica" w:cs="Calibri"/>
          <w:color w:val="000000" w:themeColor="text1"/>
          <w:lang w:val="en-US"/>
        </w:rPr>
        <w:t xml:space="preserve">, </w:t>
      </w:r>
      <w:r w:rsidR="00703C3D" w:rsidRPr="009824AD">
        <w:rPr>
          <w:rFonts w:ascii="Helvetica" w:hAnsi="Helvetica" w:cs="Calibri"/>
          <w:color w:val="000000" w:themeColor="text1"/>
          <w:lang w:val="en-US"/>
        </w:rPr>
        <w:t xml:space="preserve">30-day readmission, </w:t>
      </w:r>
      <w:r w:rsidR="00670322">
        <w:rPr>
          <w:rFonts w:ascii="Helvetica" w:hAnsi="Helvetica" w:cs="Calibri"/>
          <w:color w:val="000000" w:themeColor="text1"/>
          <w:lang w:val="en-US"/>
        </w:rPr>
        <w:t xml:space="preserve">30-day reoperation, </w:t>
      </w:r>
      <w:r w:rsidR="00703C3D" w:rsidRPr="009824AD">
        <w:rPr>
          <w:rFonts w:ascii="Helvetica" w:hAnsi="Helvetica" w:cs="Calibri"/>
          <w:color w:val="000000" w:themeColor="text1"/>
          <w:lang w:val="en-US"/>
        </w:rPr>
        <w:t xml:space="preserve">postoperative </w:t>
      </w:r>
      <w:r w:rsidR="008967AE" w:rsidRPr="009824AD">
        <w:rPr>
          <w:rFonts w:ascii="Helvetica" w:hAnsi="Helvetica" w:cs="Calibri"/>
          <w:color w:val="000000" w:themeColor="text1"/>
          <w:lang w:val="en-US"/>
        </w:rPr>
        <w:t xml:space="preserve">LOS </w:t>
      </w:r>
      <w:r w:rsidR="00A173E4" w:rsidRPr="009824AD">
        <w:rPr>
          <w:rFonts w:ascii="Helvetica" w:hAnsi="Helvetica" w:cs="Calibri"/>
          <w:color w:val="000000" w:themeColor="text1"/>
          <w:lang w:val="en-US"/>
        </w:rPr>
        <w:t xml:space="preserve">and </w:t>
      </w:r>
      <w:r w:rsidR="00703C3D" w:rsidRPr="009824AD">
        <w:rPr>
          <w:rFonts w:ascii="Helvetica" w:hAnsi="Helvetica" w:cs="Calibri"/>
          <w:color w:val="000000" w:themeColor="text1"/>
          <w:lang w:val="en-US"/>
        </w:rPr>
        <w:t>90-day or in hospital</w:t>
      </w:r>
      <w:r w:rsidR="001F372A" w:rsidRPr="009824AD">
        <w:rPr>
          <w:rFonts w:ascii="Helvetica" w:hAnsi="Helvetica" w:cs="Calibri"/>
          <w:color w:val="000000" w:themeColor="text1"/>
          <w:lang w:val="en-US"/>
        </w:rPr>
        <w:t xml:space="preserve"> </w:t>
      </w:r>
      <w:r w:rsidR="00703C3D" w:rsidRPr="009824AD">
        <w:rPr>
          <w:rFonts w:ascii="Helvetica" w:hAnsi="Helvetica" w:cs="Calibri"/>
          <w:color w:val="000000" w:themeColor="text1"/>
          <w:lang w:val="en-US"/>
        </w:rPr>
        <w:t>mortality.</w:t>
      </w:r>
    </w:p>
    <w:p w14:paraId="07DFBD60" w14:textId="77777777" w:rsidR="001F372A" w:rsidRPr="009824AD" w:rsidRDefault="001F372A" w:rsidP="00CE545A">
      <w:pPr>
        <w:pStyle w:val="Geenafstand"/>
        <w:spacing w:line="480" w:lineRule="auto"/>
        <w:jc w:val="both"/>
        <w:rPr>
          <w:rFonts w:ascii="Helvetica" w:hAnsi="Helvetica" w:cs="Calibri"/>
          <w:lang w:val="en-US"/>
        </w:rPr>
      </w:pPr>
    </w:p>
    <w:p w14:paraId="5EA90B13" w14:textId="6DDADDC5" w:rsidR="00D95034" w:rsidRPr="009824AD" w:rsidRDefault="00D95034" w:rsidP="00CE545A">
      <w:pPr>
        <w:pStyle w:val="Geenafstand"/>
        <w:spacing w:line="480" w:lineRule="auto"/>
        <w:jc w:val="both"/>
        <w:rPr>
          <w:rFonts w:ascii="Helvetica" w:hAnsi="Helvetica" w:cs="Calibri"/>
          <w:i/>
          <w:iCs/>
          <w:lang w:val="en-US"/>
        </w:rPr>
      </w:pPr>
      <w:r w:rsidRPr="009824AD">
        <w:rPr>
          <w:rFonts w:ascii="Helvetica" w:hAnsi="Helvetica" w:cs="Calibri"/>
          <w:lang w:val="en-US"/>
        </w:rPr>
        <w:t xml:space="preserve">Anatomically major liver resection was defined as a resection of three or more </w:t>
      </w:r>
      <w:r w:rsidR="00CE545A" w:rsidRPr="009824AD">
        <w:rPr>
          <w:rFonts w:ascii="Helvetica" w:hAnsi="Helvetica" w:cs="Calibri"/>
          <w:lang w:val="en-US"/>
        </w:rPr>
        <w:t xml:space="preserve">Couinaud’s </w:t>
      </w:r>
      <w:r w:rsidRPr="009824AD">
        <w:rPr>
          <w:rFonts w:ascii="Helvetica" w:hAnsi="Helvetica" w:cs="Calibri"/>
          <w:lang w:val="en-US"/>
        </w:rPr>
        <w:t>segments</w:t>
      </w:r>
      <w:r w:rsidR="00AC6607" w:rsidRPr="009824AD">
        <w:rPr>
          <w:rFonts w:ascii="Helvetica" w:hAnsi="Helvetica" w:cs="Calibri"/>
          <w:lang w:val="en-US"/>
        </w:rPr>
        <w:fldChar w:fldCharType="begin" w:fldLock="1"/>
      </w:r>
      <w:r w:rsidR="000D44B8" w:rsidRPr="009824AD">
        <w:rPr>
          <w:rFonts w:ascii="Helvetica" w:hAnsi="Helvetica" w:cs="Calibri"/>
          <w:lang w:val="en-US"/>
        </w:rPr>
        <w:instrText>ADDIN CSL_CITATION {"citationItems":[{"id":"ITEM-1","itemData":{"DOI":"10.1007/s00534-005-0999-7","ISSN":"09441166","abstract":"The Brisbane 2000 system of nomenclature of hepatic anatomy and resections was introduced to provide a universal terminology in an area that was plagued by confusing and inappropriate terminology. The article describes historical developments central to the emergence of the new terminology and describes the terminology, its attributes, and rules of application. © Springer-Verlag Tokyo 2005.","author":[{"dropping-particle":"","family":"Strasberg","given":"Steven M.","non-dropping-particle":"","parse-names":false,"suffix":""}],"container-title":"Journal of Hepato-Biliary-Pancreatic Surgery","id":"ITEM-1","issue":"5","issued":{"date-parts":[["2005","10"]]},"page":"351-355","publisher":"J Hepatobiliary Pancreat Surg","title":"Nomenclature of hepatic anatomy and resections: A review of the Brisbane 2000 system","type":"article-journal","volume":"12"},"uris":["http://www.mendeley.com/documents/?uuid=e72fc662-0f71-3d2c-a6f6-9a09af5eebba"]}],"mendeley":{"formattedCitation":"(31)","plainTextFormattedCitation":"(31)","previouslyFormattedCitation":"(31)"},"properties":{"noteIndex":0},"schema":"https://github.com/citation-style-language/schema/raw/master/csl-citation.json"}</w:instrText>
      </w:r>
      <w:r w:rsidR="00AC6607" w:rsidRPr="009824AD">
        <w:rPr>
          <w:rFonts w:ascii="Helvetica" w:hAnsi="Helvetica" w:cs="Calibri"/>
          <w:lang w:val="en-US"/>
        </w:rPr>
        <w:fldChar w:fldCharType="separate"/>
      </w:r>
      <w:r w:rsidR="000D44B8" w:rsidRPr="009824AD">
        <w:rPr>
          <w:rFonts w:ascii="Helvetica" w:hAnsi="Helvetica" w:cs="Calibri"/>
          <w:noProof/>
          <w:lang w:val="en-US"/>
        </w:rPr>
        <w:t>(31)</w:t>
      </w:r>
      <w:r w:rsidR="00AC6607" w:rsidRPr="009824AD">
        <w:rPr>
          <w:rFonts w:ascii="Helvetica" w:hAnsi="Helvetica" w:cs="Calibri"/>
          <w:lang w:val="en-US"/>
        </w:rPr>
        <w:fldChar w:fldCharType="end"/>
      </w:r>
      <w:r w:rsidR="00E444F2" w:rsidRPr="009824AD">
        <w:rPr>
          <w:rFonts w:ascii="Helvetica" w:hAnsi="Helvetica" w:cs="Calibri"/>
          <w:lang w:val="en-US"/>
        </w:rPr>
        <w:t>.</w:t>
      </w:r>
      <w:r w:rsidR="00CE545A" w:rsidRPr="009824AD">
        <w:rPr>
          <w:rFonts w:ascii="Helvetica" w:hAnsi="Helvetica" w:cs="Calibri"/>
          <w:lang w:val="en-US"/>
        </w:rPr>
        <w:t xml:space="preserve"> </w:t>
      </w:r>
    </w:p>
    <w:p w14:paraId="161AB4BE" w14:textId="53F3B72F" w:rsidR="001F7A2D" w:rsidRPr="009824AD" w:rsidRDefault="00D95034" w:rsidP="004422D3">
      <w:pPr>
        <w:autoSpaceDE w:val="0"/>
        <w:autoSpaceDN w:val="0"/>
        <w:adjustRightInd w:val="0"/>
        <w:spacing w:line="480" w:lineRule="auto"/>
        <w:jc w:val="both"/>
        <w:rPr>
          <w:rFonts w:ascii="Helvetica" w:hAnsi="Helvetica" w:cs="Calibri"/>
          <w:sz w:val="22"/>
          <w:szCs w:val="22"/>
          <w:lang w:val="en-US"/>
        </w:rPr>
      </w:pPr>
      <w:r w:rsidRPr="009824AD">
        <w:rPr>
          <w:rFonts w:ascii="Helvetica" w:hAnsi="Helvetica" w:cs="Calibri"/>
          <w:sz w:val="22"/>
          <w:szCs w:val="22"/>
          <w:lang w:val="en-US"/>
        </w:rPr>
        <w:t xml:space="preserve">Anatomical liver resection </w:t>
      </w:r>
      <w:r w:rsidR="000B7DA3" w:rsidRPr="009824AD">
        <w:rPr>
          <w:rFonts w:ascii="Helvetica" w:hAnsi="Helvetica" w:cs="Calibri"/>
          <w:sz w:val="22"/>
          <w:szCs w:val="22"/>
          <w:lang w:val="en-US"/>
        </w:rPr>
        <w:t>was</w:t>
      </w:r>
      <w:r w:rsidRPr="009824AD">
        <w:rPr>
          <w:rFonts w:ascii="Helvetica" w:hAnsi="Helvetica" w:cs="Calibri"/>
          <w:sz w:val="22"/>
          <w:szCs w:val="22"/>
          <w:lang w:val="en-US"/>
        </w:rPr>
        <w:t xml:space="preserve"> defined as the complete removal of at least one Couinaud’s</w:t>
      </w:r>
      <w:r w:rsidR="00AC6607" w:rsidRPr="009824AD">
        <w:rPr>
          <w:rFonts w:ascii="Helvetica" w:hAnsi="Helvetica" w:cs="Calibri"/>
          <w:sz w:val="22"/>
          <w:szCs w:val="22"/>
          <w:lang w:val="en-US"/>
        </w:rPr>
        <w:t xml:space="preserve"> </w:t>
      </w:r>
      <w:r w:rsidRPr="009824AD">
        <w:rPr>
          <w:rFonts w:ascii="Helvetica" w:hAnsi="Helvetica" w:cs="Calibri"/>
          <w:sz w:val="22"/>
          <w:szCs w:val="22"/>
          <w:lang w:val="en-US"/>
        </w:rPr>
        <w:t xml:space="preserve">segment which contains the </w:t>
      </w:r>
      <w:r w:rsidR="000B7DA3" w:rsidRPr="009824AD">
        <w:rPr>
          <w:rFonts w:ascii="Helvetica" w:hAnsi="Helvetica" w:cs="Calibri"/>
          <w:sz w:val="22"/>
          <w:szCs w:val="22"/>
          <w:lang w:val="en-US"/>
        </w:rPr>
        <w:t>tumor</w:t>
      </w:r>
      <w:r w:rsidRPr="009824AD">
        <w:rPr>
          <w:rFonts w:ascii="Helvetica" w:hAnsi="Helvetica" w:cs="Calibri"/>
          <w:sz w:val="22"/>
          <w:szCs w:val="22"/>
          <w:lang w:val="en-US"/>
        </w:rPr>
        <w:t xml:space="preserve"> together with the related portal vein branch, hepatic vein and the corresponding hepatic territory</w:t>
      </w:r>
      <w:r w:rsidR="00C04FDA" w:rsidRPr="009824AD">
        <w:rPr>
          <w:rFonts w:ascii="Helvetica" w:hAnsi="Helvetica" w:cs="Calibri"/>
          <w:sz w:val="22"/>
          <w:szCs w:val="22"/>
          <w:lang w:val="en-US"/>
        </w:rPr>
        <w:fldChar w:fldCharType="begin" w:fldLock="1"/>
      </w:r>
      <w:r w:rsidR="000D44B8" w:rsidRPr="009824AD">
        <w:rPr>
          <w:rFonts w:ascii="Helvetica" w:hAnsi="Helvetica" w:cs="Calibri"/>
          <w:sz w:val="22"/>
          <w:szCs w:val="22"/>
          <w:lang w:val="en-US"/>
        </w:rPr>
        <w:instrText>ADDIN CSL_CITATION {"citationItems":[{"id":"ITEM-1","itemData":{"DOI":"10.1007/s00268-010-0890-9","ISSN":"03642313","PMID":"21161655","abstract":"Background: The increased use of neoadjuvant chemotherapy and minimally invasive therapies for recurrence in patients with colorectal liver metastases (CLM) makes a surgical strategy to save as much liver volume as possible pivotal. In this study, we determined the difference in morbidity and mortality and the patterns of recurrence and survival in patients with CLM treated with anatomical (AR) and nonanatomical liver resection (NAR). Methods: From January 2000 to June 2008, patients with CLM who underwent a resection were included and divided into two groups: patients who underwent AR, and patients who underwent NAR. Patients who underwent simultaneous radiofrequency ablation in addition to surgery and patients with extrahepatic metastasis were excluded. Patient, tumor, and treatment data, as well as disease-free and overall survival (OS) were compared. Results: Eighty-eight patients (44%) received AR and 113 patients (56%) underwent NAR. NAR were performed for significant smaller metastases (3 vs. 4 cm, P &lt; 0.001). The Clinical Risk Score did not differ between the groups. After NAR, patients received significantly less blood transfusions (20% vs. 36%, P = 0.012), and the hospital stay was significantly shorter (7 vs. 8 days, P &lt; 0.001). There were no significant differences in complications, positive resection margins, or recurrence. For the total study group, estimated 5-year disease-free and OS was 31 and 44%, respectively, with no difference between the groups. Conclusions: Our study resulted in no significant difference in morbidity, mortality, recurrence rate, or survival according to resection type. NAR can be used as a save procedure to preserve liver parenchyma. © 2010 Société Internationale de Chirurgie.","author":[{"dropping-particle":"","family":"Lalmahomed","given":"Zarina S.","non-dropping-particle":"","parse-names":false,"suffix":""},{"dropping-particle":"","family":"Ayez","given":"Ninos","non-dropping-particle":"","parse-names":false,"suffix":""},{"dropping-particle":"","family":"Pool","given":"Anne E.M.","non-dropping-particle":"Van Der","parse-names":false,"suffix":""},{"dropping-particle":"","family":"Verheij","given":"Joanne","non-dropping-particle":"","parse-names":false,"suffix":""},{"dropping-particle":"","family":"IJzermans","given":"Jan N.M.","non-dropping-particle":"","parse-names":false,"suffix":""},{"dropping-particle":"","family":"Verhoef","given":"Cornelis","non-dropping-particle":"","parse-names":false,"suffix":""}],"container-title":"World Journal of Surgery","id":"ITEM-1","issue":"3","issued":{"date-parts":[["2011","3"]]},"page":"656-661","publisher":"World J Surg","title":"Anatomical versus nonanatomical resection of colorectal liver metastases: Is there a difference in surgical and oncological outcome?","type":"article-journal","volume":"35"},"uris":["http://www.mendeley.com/documents/?uuid=1259ef4a-1a1b-31c2-87ba-2671e4d042b8"]}],"mendeley":{"formattedCitation":"(32)","plainTextFormattedCitation":"(32)","previouslyFormattedCitation":"(32)"},"properties":{"noteIndex":0},"schema":"https://github.com/citation-style-language/schema/raw/master/csl-citation.json"}</w:instrText>
      </w:r>
      <w:r w:rsidR="00C04FDA" w:rsidRPr="009824AD">
        <w:rPr>
          <w:rFonts w:ascii="Helvetica" w:hAnsi="Helvetica" w:cs="Calibri"/>
          <w:sz w:val="22"/>
          <w:szCs w:val="22"/>
          <w:lang w:val="en-US"/>
        </w:rPr>
        <w:fldChar w:fldCharType="separate"/>
      </w:r>
      <w:r w:rsidR="000D44B8" w:rsidRPr="009824AD">
        <w:rPr>
          <w:rFonts w:ascii="Helvetica" w:hAnsi="Helvetica" w:cs="Calibri"/>
          <w:noProof/>
          <w:sz w:val="22"/>
          <w:szCs w:val="22"/>
          <w:lang w:val="en-US"/>
        </w:rPr>
        <w:t>(32)</w:t>
      </w:r>
      <w:r w:rsidR="00C04FDA" w:rsidRPr="009824AD">
        <w:rPr>
          <w:rFonts w:ascii="Helvetica" w:hAnsi="Helvetica" w:cs="Calibri"/>
          <w:sz w:val="22"/>
          <w:szCs w:val="22"/>
          <w:lang w:val="en-US"/>
        </w:rPr>
        <w:fldChar w:fldCharType="end"/>
      </w:r>
      <w:r w:rsidR="00E444F2" w:rsidRPr="009824AD">
        <w:rPr>
          <w:rFonts w:ascii="Helvetica" w:hAnsi="Helvetica" w:cs="Calibri"/>
          <w:sz w:val="22"/>
          <w:szCs w:val="22"/>
          <w:lang w:val="en-US"/>
        </w:rPr>
        <w:t>.</w:t>
      </w:r>
      <w:r w:rsidRPr="009824AD">
        <w:rPr>
          <w:rFonts w:ascii="Helvetica" w:hAnsi="Helvetica" w:cs="Calibri"/>
          <w:sz w:val="22"/>
          <w:szCs w:val="22"/>
          <w:lang w:val="en-US"/>
        </w:rPr>
        <w:t xml:space="preserve"> Non-anatomic</w:t>
      </w:r>
      <w:r w:rsidR="003407F9" w:rsidRPr="009824AD">
        <w:rPr>
          <w:rFonts w:ascii="Helvetica" w:hAnsi="Helvetica" w:cs="Calibri"/>
          <w:sz w:val="22"/>
          <w:szCs w:val="22"/>
          <w:lang w:val="en-US"/>
        </w:rPr>
        <w:t>al</w:t>
      </w:r>
      <w:r w:rsidRPr="009824AD">
        <w:rPr>
          <w:rFonts w:ascii="Helvetica" w:hAnsi="Helvetica" w:cs="Calibri"/>
          <w:sz w:val="22"/>
          <w:szCs w:val="22"/>
          <w:lang w:val="en-US"/>
        </w:rPr>
        <w:t xml:space="preserve"> resection, also known as parenchymal-sparing resection, involves a less extensive liver resection </w:t>
      </w:r>
      <w:r w:rsidR="00CE545A" w:rsidRPr="009824AD">
        <w:rPr>
          <w:rFonts w:ascii="Helvetica" w:hAnsi="Helvetica" w:cs="Calibri"/>
          <w:sz w:val="22"/>
          <w:szCs w:val="22"/>
          <w:lang w:val="en-US"/>
        </w:rPr>
        <w:t xml:space="preserve">compared to anatomical resection </w:t>
      </w:r>
      <w:r w:rsidR="00F373BE" w:rsidRPr="009824AD">
        <w:rPr>
          <w:rFonts w:ascii="Helvetica" w:hAnsi="Helvetica" w:cs="Calibri"/>
          <w:sz w:val="22"/>
          <w:szCs w:val="22"/>
          <w:lang w:val="en-US"/>
        </w:rPr>
        <w:t xml:space="preserve">and aims </w:t>
      </w:r>
      <w:r w:rsidR="00CE545A" w:rsidRPr="009824AD">
        <w:rPr>
          <w:rFonts w:ascii="Helvetica" w:hAnsi="Helvetica" w:cs="Calibri"/>
          <w:sz w:val="22"/>
          <w:szCs w:val="22"/>
          <w:lang w:val="en-US"/>
        </w:rPr>
        <w:t xml:space="preserve">to achieve </w:t>
      </w:r>
      <w:r w:rsidR="00CE545A" w:rsidRPr="009824AD">
        <w:rPr>
          <w:rFonts w:ascii="Helvetica" w:eastAsia="Times New Roman" w:hAnsi="Helvetica" w:cs="Calibri"/>
          <w:sz w:val="22"/>
          <w:szCs w:val="22"/>
          <w:shd w:val="clear" w:color="auto" w:fill="FCFCFC"/>
          <w:lang w:val="en-US" w:eastAsia="nl-NL"/>
        </w:rPr>
        <w:t>minimum sufficient margins while preserving as much liver parenchyma as possible, regardless of the border of the anatomical segments</w:t>
      </w:r>
      <w:r w:rsidR="00C04FDA" w:rsidRPr="009824AD">
        <w:rPr>
          <w:rFonts w:ascii="Helvetica" w:hAnsi="Helvetica" w:cs="Calibri"/>
          <w:sz w:val="22"/>
          <w:szCs w:val="22"/>
          <w:lang w:val="en-US"/>
        </w:rPr>
        <w:fldChar w:fldCharType="begin" w:fldLock="1"/>
      </w:r>
      <w:r w:rsidR="000D44B8" w:rsidRPr="009824AD">
        <w:rPr>
          <w:rFonts w:ascii="Helvetica" w:hAnsi="Helvetica" w:cs="Calibri"/>
          <w:sz w:val="22"/>
          <w:szCs w:val="22"/>
          <w:lang w:val="en-US"/>
        </w:rPr>
        <w:instrText>ADDIN CSL_CITATION {"citationItems":[{"id":"ITEM-1","itemData":{"DOI":"10.1007/s00268-010-0890-9","ISSN":"03642313","PMID":"21161655","abstract":"Background: The increased use of neoadjuvant chemotherapy and minimally invasive therapies for recurrence in patients with colorectal liver metastases (CLM) makes a surgical strategy to save as much liver volume as possible pivotal. In this study, we determined the difference in morbidity and mortality and the patterns of recurrence and survival in patients with CLM treated with anatomical (AR) and nonanatomical liver resection (NAR). Methods: From January 2000 to June 2008, patients with CLM who underwent a resection were included and divided into two groups: patients who underwent AR, and patients who underwent NAR. Patients who underwent simultaneous radiofrequency ablation in addition to surgery and patients with extrahepatic metastasis were excluded. Patient, tumor, and treatment data, as well as disease-free and overall survival (OS) were compared. Results: Eighty-eight patients (44%) received AR and 113 patients (56%) underwent NAR. NAR were performed for significant smaller metastases (3 vs. 4 cm, P &lt; 0.001). The Clinical Risk Score did not differ between the groups. After NAR, patients received significantly less blood transfusions (20% vs. 36%, P = 0.012), and the hospital stay was significantly shorter (7 vs. 8 days, P &lt; 0.001). There were no significant differences in complications, positive resection margins, or recurrence. For the total study group, estimated 5-year disease-free and OS was 31 and 44%, respectively, with no difference between the groups. Conclusions: Our study resulted in no significant difference in morbidity, mortality, recurrence rate, or survival according to resection type. NAR can be used as a save procedure to preserve liver parenchyma. © 2010 Société Internationale de Chirurgie.","author":[{"dropping-particle":"","family":"Lalmahomed","given":"Zarina S.","non-dropping-particle":"","parse-names":false,"suffix":""},{"dropping-particle":"","family":"Ayez","given":"Ninos","non-dropping-particle":"","parse-names":false,"suffix":""},{"dropping-particle":"","family":"Pool","given":"Anne E.M.","non-dropping-particle":"Van Der","parse-names":false,"suffix":""},{"dropping-particle":"","family":"Verheij","given":"Joanne","non-dropping-particle":"","parse-names":false,"suffix":""},{"dropping-particle":"","family":"IJzermans","given":"Jan N.M.","non-dropping-particle":"","parse-names":false,"suffix":""},{"dropping-particle":"","family":"Verhoef","given":"Cornelis","non-dropping-particle":"","parse-names":false,"suffix":""}],"container-title":"World Journal of Surgery","id":"ITEM-1","issue":"3","issued":{"date-parts":[["2011","3"]]},"page":"656-661","publisher":"World J Surg","title":"Anatomical versus nonanatomical resection of colorectal liver metastases: Is there a difference in surgical and oncological outcome?","type":"article-journal","volume":"35"},"uris":["http://www.mendeley.com/documents/?uuid=1259ef4a-1a1b-31c2-87ba-2671e4d042b8"]}],"mendeley":{"formattedCitation":"(32)","plainTextFormattedCitation":"(32)","previouslyFormattedCitation":"(32)"},"properties":{"noteIndex":0},"schema":"https://github.com/citation-style-language/schema/raw/master/csl-citation.json"}</w:instrText>
      </w:r>
      <w:r w:rsidR="00C04FDA" w:rsidRPr="009824AD">
        <w:rPr>
          <w:rFonts w:ascii="Helvetica" w:hAnsi="Helvetica" w:cs="Calibri"/>
          <w:sz w:val="22"/>
          <w:szCs w:val="22"/>
          <w:lang w:val="en-US"/>
        </w:rPr>
        <w:fldChar w:fldCharType="separate"/>
      </w:r>
      <w:r w:rsidR="000D44B8" w:rsidRPr="009824AD">
        <w:rPr>
          <w:rFonts w:ascii="Helvetica" w:hAnsi="Helvetica" w:cs="Calibri"/>
          <w:noProof/>
          <w:sz w:val="22"/>
          <w:szCs w:val="22"/>
          <w:lang w:val="en-US"/>
        </w:rPr>
        <w:t>(32)</w:t>
      </w:r>
      <w:r w:rsidR="00C04FDA" w:rsidRPr="009824AD">
        <w:rPr>
          <w:rFonts w:ascii="Helvetica" w:hAnsi="Helvetica" w:cs="Calibri"/>
          <w:sz w:val="22"/>
          <w:szCs w:val="22"/>
          <w:lang w:val="en-US"/>
        </w:rPr>
        <w:fldChar w:fldCharType="end"/>
      </w:r>
      <w:r w:rsidR="00E444F2" w:rsidRPr="009824AD">
        <w:rPr>
          <w:rFonts w:ascii="Helvetica" w:hAnsi="Helvetica" w:cs="Calibri"/>
          <w:sz w:val="22"/>
          <w:szCs w:val="22"/>
          <w:lang w:val="en-US"/>
        </w:rPr>
        <w:t>.</w:t>
      </w:r>
    </w:p>
    <w:p w14:paraId="19949286" w14:textId="77777777" w:rsidR="001F7A2D" w:rsidRPr="009824AD" w:rsidRDefault="001F7A2D" w:rsidP="004422D3">
      <w:pPr>
        <w:pStyle w:val="Geenafstand"/>
        <w:spacing w:line="480" w:lineRule="auto"/>
        <w:jc w:val="both"/>
        <w:rPr>
          <w:rFonts w:ascii="Helvetica" w:hAnsi="Helvetica" w:cs="Calibri"/>
          <w:i/>
          <w:iCs/>
          <w:lang w:val="en-US"/>
        </w:rPr>
      </w:pPr>
    </w:p>
    <w:p w14:paraId="73C5ECAD" w14:textId="77777777" w:rsidR="00951984" w:rsidRPr="009824AD" w:rsidRDefault="00951984" w:rsidP="00EC12A5">
      <w:pPr>
        <w:pStyle w:val="Kop2"/>
        <w:rPr>
          <w:rFonts w:ascii="Helvetica" w:hAnsi="Helvetica"/>
          <w:lang w:val="en-US"/>
        </w:rPr>
      </w:pPr>
      <w:r w:rsidRPr="009824AD">
        <w:rPr>
          <w:rFonts w:ascii="Helvetica" w:hAnsi="Helvetica"/>
          <w:lang w:val="en-US"/>
        </w:rPr>
        <w:t>Surgical Technique</w:t>
      </w:r>
    </w:p>
    <w:p w14:paraId="13D6892A" w14:textId="5BEF981E" w:rsidR="00A173E4" w:rsidRPr="009824AD" w:rsidRDefault="004836CD" w:rsidP="004422D3">
      <w:pPr>
        <w:spacing w:line="480" w:lineRule="auto"/>
        <w:jc w:val="both"/>
        <w:rPr>
          <w:rFonts w:ascii="Helvetica" w:hAnsi="Helvetica" w:cs="Calibri"/>
          <w:sz w:val="22"/>
          <w:szCs w:val="22"/>
          <w:lang w:val="en-US"/>
        </w:rPr>
      </w:pPr>
      <w:r w:rsidRPr="009824AD">
        <w:rPr>
          <w:rFonts w:ascii="Helvetica" w:hAnsi="Helvetica" w:cs="Calibri"/>
          <w:sz w:val="22"/>
          <w:szCs w:val="22"/>
          <w:lang w:val="en-US"/>
        </w:rPr>
        <w:t>To assess surgical technique and</w:t>
      </w:r>
      <w:r w:rsidR="0074382A">
        <w:rPr>
          <w:rFonts w:ascii="Helvetica" w:hAnsi="Helvetica" w:cs="Calibri"/>
          <w:sz w:val="22"/>
          <w:szCs w:val="22"/>
          <w:lang w:val="en-US"/>
        </w:rPr>
        <w:t xml:space="preserve"> </w:t>
      </w:r>
      <w:r w:rsidRPr="009824AD">
        <w:rPr>
          <w:rFonts w:ascii="Helvetica" w:hAnsi="Helvetica" w:cs="Calibri"/>
          <w:sz w:val="22"/>
          <w:szCs w:val="22"/>
          <w:lang w:val="en-US"/>
        </w:rPr>
        <w:t xml:space="preserve">intraoperative management per </w:t>
      </w:r>
      <w:r w:rsidR="000B7DA3" w:rsidRPr="009824AD">
        <w:rPr>
          <w:rFonts w:ascii="Helvetica" w:hAnsi="Helvetica" w:cs="Calibri"/>
          <w:sz w:val="22"/>
          <w:szCs w:val="22"/>
          <w:lang w:val="en-US"/>
        </w:rPr>
        <w:t>center</w:t>
      </w:r>
      <w:r w:rsidRPr="009824AD">
        <w:rPr>
          <w:rFonts w:ascii="Helvetica" w:hAnsi="Helvetica" w:cs="Calibri"/>
          <w:sz w:val="22"/>
          <w:szCs w:val="22"/>
          <w:lang w:val="en-US"/>
        </w:rPr>
        <w:t xml:space="preserve">, a short survey was sent to all participating </w:t>
      </w:r>
      <w:r w:rsidR="000B7DA3" w:rsidRPr="009824AD">
        <w:rPr>
          <w:rFonts w:ascii="Helvetica" w:hAnsi="Helvetica" w:cs="Calibri"/>
          <w:sz w:val="22"/>
          <w:szCs w:val="22"/>
          <w:lang w:val="en-US"/>
        </w:rPr>
        <w:t>center</w:t>
      </w:r>
      <w:r w:rsidRPr="009824AD">
        <w:rPr>
          <w:rFonts w:ascii="Helvetica" w:hAnsi="Helvetica" w:cs="Calibri"/>
          <w:sz w:val="22"/>
          <w:szCs w:val="22"/>
          <w:lang w:val="en-US"/>
        </w:rPr>
        <w:t>s</w:t>
      </w:r>
      <w:r w:rsidR="00CD5BE8" w:rsidRPr="009824AD">
        <w:rPr>
          <w:rFonts w:ascii="Helvetica" w:hAnsi="Helvetica" w:cs="Calibri"/>
          <w:sz w:val="22"/>
          <w:szCs w:val="22"/>
          <w:lang w:val="en-US"/>
        </w:rPr>
        <w:t xml:space="preserve"> (</w:t>
      </w:r>
      <w:r w:rsidR="00056AEF" w:rsidRPr="009824AD">
        <w:rPr>
          <w:rFonts w:ascii="Helvetica" w:hAnsi="Helvetica" w:cs="Calibri"/>
          <w:sz w:val="22"/>
          <w:szCs w:val="22"/>
          <w:lang w:val="en-US"/>
        </w:rPr>
        <w:t xml:space="preserve">Supplementary </w:t>
      </w:r>
      <w:r w:rsidR="00FF6D3D" w:rsidRPr="009824AD">
        <w:rPr>
          <w:rFonts w:ascii="Helvetica" w:hAnsi="Helvetica" w:cs="Calibri"/>
          <w:sz w:val="22"/>
          <w:szCs w:val="22"/>
          <w:lang w:val="en-US"/>
        </w:rPr>
        <w:t>M</w:t>
      </w:r>
      <w:r w:rsidR="00056AEF" w:rsidRPr="009824AD">
        <w:rPr>
          <w:rFonts w:ascii="Helvetica" w:hAnsi="Helvetica" w:cs="Calibri"/>
          <w:sz w:val="22"/>
          <w:szCs w:val="22"/>
          <w:lang w:val="en-US"/>
        </w:rPr>
        <w:t>aterial</w:t>
      </w:r>
      <w:r w:rsidR="00A47250" w:rsidRPr="009824AD">
        <w:rPr>
          <w:rFonts w:ascii="Helvetica" w:hAnsi="Helvetica" w:cs="Calibri"/>
          <w:sz w:val="22"/>
          <w:szCs w:val="22"/>
          <w:lang w:val="en-US"/>
        </w:rPr>
        <w:t xml:space="preserve"> 1</w:t>
      </w:r>
      <w:r w:rsidRPr="009824AD">
        <w:rPr>
          <w:rFonts w:ascii="Helvetica" w:hAnsi="Helvetica" w:cs="Calibri"/>
          <w:sz w:val="22"/>
          <w:szCs w:val="22"/>
          <w:lang w:val="en-US"/>
        </w:rPr>
        <w:t>). O</w:t>
      </w:r>
      <w:r w:rsidR="004C2890" w:rsidRPr="009824AD">
        <w:rPr>
          <w:rFonts w:ascii="Helvetica" w:hAnsi="Helvetica" w:cs="Calibri"/>
          <w:sz w:val="22"/>
          <w:szCs w:val="22"/>
          <w:lang w:val="en-US"/>
        </w:rPr>
        <w:t>perative</w:t>
      </w:r>
      <w:r w:rsidR="00951984" w:rsidRPr="009824AD">
        <w:rPr>
          <w:rFonts w:ascii="Helvetica" w:hAnsi="Helvetica" w:cs="Calibri"/>
          <w:sz w:val="22"/>
          <w:szCs w:val="22"/>
          <w:lang w:val="en-US"/>
        </w:rPr>
        <w:t xml:space="preserve"> technique</w:t>
      </w:r>
      <w:r w:rsidR="004C2890" w:rsidRPr="009824AD">
        <w:rPr>
          <w:rFonts w:ascii="Helvetica" w:hAnsi="Helvetica" w:cs="Calibri"/>
          <w:sz w:val="22"/>
          <w:szCs w:val="22"/>
          <w:lang w:val="en-US"/>
        </w:rPr>
        <w:t>s</w:t>
      </w:r>
      <w:r w:rsidR="00951984" w:rsidRPr="009824AD">
        <w:rPr>
          <w:rFonts w:ascii="Helvetica" w:hAnsi="Helvetica" w:cs="Calibri"/>
          <w:sz w:val="22"/>
          <w:szCs w:val="22"/>
          <w:lang w:val="en-US"/>
        </w:rPr>
        <w:t xml:space="preserve"> among the participating </w:t>
      </w:r>
      <w:r w:rsidR="000B7DA3" w:rsidRPr="009824AD">
        <w:rPr>
          <w:rFonts w:ascii="Helvetica" w:hAnsi="Helvetica" w:cs="Calibri"/>
          <w:sz w:val="22"/>
          <w:szCs w:val="22"/>
          <w:lang w:val="en-US"/>
        </w:rPr>
        <w:t>center</w:t>
      </w:r>
      <w:r w:rsidR="00951984" w:rsidRPr="009824AD">
        <w:rPr>
          <w:rFonts w:ascii="Helvetica" w:hAnsi="Helvetica" w:cs="Calibri"/>
          <w:sz w:val="22"/>
          <w:szCs w:val="22"/>
          <w:lang w:val="en-US"/>
        </w:rPr>
        <w:t>s</w:t>
      </w:r>
      <w:r w:rsidR="00D34476" w:rsidRPr="009824AD">
        <w:rPr>
          <w:rFonts w:ascii="Helvetica" w:hAnsi="Helvetica" w:cs="Calibri"/>
          <w:sz w:val="22"/>
          <w:szCs w:val="22"/>
          <w:lang w:val="en-US"/>
        </w:rPr>
        <w:t xml:space="preserve"> were </w:t>
      </w:r>
      <w:r w:rsidR="00222CC1" w:rsidRPr="009824AD">
        <w:rPr>
          <w:rFonts w:ascii="Helvetica" w:hAnsi="Helvetica" w:cs="Calibri"/>
          <w:sz w:val="22"/>
          <w:szCs w:val="22"/>
          <w:lang w:val="en-US"/>
        </w:rPr>
        <w:t xml:space="preserve">largely </w:t>
      </w:r>
      <w:r w:rsidR="00D34476" w:rsidRPr="009824AD">
        <w:rPr>
          <w:rFonts w:ascii="Helvetica" w:hAnsi="Helvetica" w:cs="Calibri"/>
          <w:sz w:val="22"/>
          <w:szCs w:val="22"/>
          <w:lang w:val="en-US"/>
        </w:rPr>
        <w:t>comparable</w:t>
      </w:r>
      <w:r w:rsidR="0026291C" w:rsidRPr="009824AD">
        <w:rPr>
          <w:rFonts w:ascii="Helvetica" w:hAnsi="Helvetica" w:cs="Calibri"/>
          <w:sz w:val="22"/>
          <w:szCs w:val="22"/>
          <w:lang w:val="en-US"/>
        </w:rPr>
        <w:t xml:space="preserve"> for both approaches</w:t>
      </w:r>
      <w:r w:rsidR="00951984" w:rsidRPr="009824AD">
        <w:rPr>
          <w:rFonts w:ascii="Helvetica" w:hAnsi="Helvetica" w:cs="Calibri"/>
          <w:sz w:val="22"/>
          <w:szCs w:val="22"/>
          <w:lang w:val="en-US"/>
        </w:rPr>
        <w:t xml:space="preserve">. Intraoperative ultrasound was </w:t>
      </w:r>
      <w:r w:rsidR="00222CC1" w:rsidRPr="009824AD">
        <w:rPr>
          <w:rFonts w:ascii="Helvetica" w:hAnsi="Helvetica" w:cs="Calibri"/>
          <w:sz w:val="22"/>
          <w:szCs w:val="22"/>
          <w:lang w:val="en-US"/>
        </w:rPr>
        <w:t>used</w:t>
      </w:r>
      <w:r w:rsidR="00951984" w:rsidRPr="009824AD">
        <w:rPr>
          <w:rFonts w:ascii="Helvetica" w:hAnsi="Helvetica" w:cs="Calibri"/>
          <w:sz w:val="22"/>
          <w:szCs w:val="22"/>
          <w:lang w:val="en-US"/>
        </w:rPr>
        <w:t xml:space="preserve"> </w:t>
      </w:r>
      <w:r w:rsidRPr="009824AD">
        <w:rPr>
          <w:rFonts w:ascii="Helvetica" w:hAnsi="Helvetica" w:cs="Calibri"/>
          <w:sz w:val="22"/>
          <w:szCs w:val="22"/>
          <w:lang w:val="en-US"/>
        </w:rPr>
        <w:t xml:space="preserve">in all </w:t>
      </w:r>
      <w:r w:rsidR="000B7DA3" w:rsidRPr="009824AD">
        <w:rPr>
          <w:rFonts w:ascii="Helvetica" w:hAnsi="Helvetica" w:cs="Calibri"/>
          <w:sz w:val="22"/>
          <w:szCs w:val="22"/>
          <w:lang w:val="en-US"/>
        </w:rPr>
        <w:t>center</w:t>
      </w:r>
      <w:r w:rsidRPr="009824AD">
        <w:rPr>
          <w:rFonts w:ascii="Helvetica" w:hAnsi="Helvetica" w:cs="Calibri"/>
          <w:sz w:val="22"/>
          <w:szCs w:val="22"/>
          <w:lang w:val="en-US"/>
        </w:rPr>
        <w:t xml:space="preserve">s </w:t>
      </w:r>
      <w:r w:rsidR="00951984" w:rsidRPr="009824AD">
        <w:rPr>
          <w:rFonts w:ascii="Helvetica" w:hAnsi="Helvetica" w:cs="Calibri"/>
          <w:sz w:val="22"/>
          <w:szCs w:val="22"/>
          <w:lang w:val="en-US"/>
        </w:rPr>
        <w:t xml:space="preserve">to assess the number, location, size and proximity of the lesions to major vascular structures. </w:t>
      </w:r>
      <w:r w:rsidR="00553719" w:rsidRPr="009824AD">
        <w:rPr>
          <w:rFonts w:ascii="Helvetica" w:eastAsia="Times New Roman" w:hAnsi="Helvetica"/>
          <w:bCs/>
          <w:sz w:val="22"/>
          <w:szCs w:val="22"/>
          <w:lang w:val="en-US" w:eastAsia="it-IT"/>
        </w:rPr>
        <w:t xml:space="preserve">In 13 </w:t>
      </w:r>
      <w:r w:rsidR="000B7DA3" w:rsidRPr="009824AD">
        <w:rPr>
          <w:rFonts w:ascii="Helvetica" w:eastAsia="Times New Roman" w:hAnsi="Helvetica"/>
          <w:bCs/>
          <w:sz w:val="22"/>
          <w:szCs w:val="22"/>
          <w:lang w:val="en-US" w:eastAsia="it-IT"/>
        </w:rPr>
        <w:t>center</w:t>
      </w:r>
      <w:r w:rsidR="00553719" w:rsidRPr="009824AD">
        <w:rPr>
          <w:rFonts w:ascii="Helvetica" w:eastAsia="Times New Roman" w:hAnsi="Helvetica"/>
          <w:bCs/>
          <w:sz w:val="22"/>
          <w:szCs w:val="22"/>
          <w:lang w:val="en-US" w:eastAsia="it-IT"/>
        </w:rPr>
        <w:t>s (8</w:t>
      </w:r>
      <w:r w:rsidR="007968AC" w:rsidRPr="009824AD">
        <w:rPr>
          <w:rFonts w:ascii="Helvetica" w:eastAsia="Times New Roman" w:hAnsi="Helvetica"/>
          <w:bCs/>
          <w:sz w:val="22"/>
          <w:szCs w:val="22"/>
          <w:lang w:val="en-US" w:eastAsia="it-IT"/>
        </w:rPr>
        <w:t>6.7</w:t>
      </w:r>
      <w:r w:rsidR="000B7DA3" w:rsidRPr="009824AD">
        <w:rPr>
          <w:rFonts w:ascii="Helvetica" w:eastAsia="Times New Roman" w:hAnsi="Helvetica"/>
          <w:bCs/>
          <w:sz w:val="22"/>
          <w:szCs w:val="22"/>
          <w:lang w:val="en-US" w:eastAsia="it-IT"/>
        </w:rPr>
        <w:t>%</w:t>
      </w:r>
      <w:r w:rsidR="007968AC" w:rsidRPr="009824AD">
        <w:rPr>
          <w:rFonts w:ascii="Helvetica" w:eastAsia="Times New Roman" w:hAnsi="Helvetica"/>
          <w:bCs/>
          <w:sz w:val="22"/>
          <w:szCs w:val="22"/>
          <w:lang w:val="en-US" w:eastAsia="it-IT"/>
        </w:rPr>
        <w:t xml:space="preserve">), </w:t>
      </w:r>
      <w:r w:rsidR="007968AC" w:rsidRPr="009824AD">
        <w:rPr>
          <w:rFonts w:ascii="Helvetica" w:hAnsi="Helvetica" w:cs="Calibri"/>
          <w:sz w:val="22"/>
          <w:szCs w:val="22"/>
          <w:lang w:val="en-US"/>
        </w:rPr>
        <w:t>p</w:t>
      </w:r>
      <w:r w:rsidR="00222CC1" w:rsidRPr="009824AD">
        <w:rPr>
          <w:rFonts w:ascii="Helvetica" w:hAnsi="Helvetica" w:cs="Calibri"/>
          <w:sz w:val="22"/>
          <w:szCs w:val="22"/>
          <w:lang w:val="en-US"/>
        </w:rPr>
        <w:t xml:space="preserve">arenchymal </w:t>
      </w:r>
      <w:r w:rsidR="00951984" w:rsidRPr="009824AD">
        <w:rPr>
          <w:rFonts w:ascii="Helvetica" w:hAnsi="Helvetica" w:cs="Calibri"/>
          <w:sz w:val="22"/>
          <w:szCs w:val="22"/>
          <w:lang w:val="en-US"/>
        </w:rPr>
        <w:t>transection was performed with an</w:t>
      </w:r>
      <w:r w:rsidR="007968AC" w:rsidRPr="009824AD">
        <w:rPr>
          <w:rFonts w:ascii="Helvetica" w:hAnsi="Helvetica" w:cs="Calibri"/>
          <w:sz w:val="22"/>
          <w:szCs w:val="22"/>
          <w:lang w:val="en-US"/>
        </w:rPr>
        <w:t xml:space="preserve"> energy device </w:t>
      </w:r>
      <w:r w:rsidR="00951984" w:rsidRPr="009824AD">
        <w:rPr>
          <w:rFonts w:ascii="Helvetica" w:hAnsi="Helvetica" w:cs="Calibri"/>
          <w:sz w:val="22"/>
          <w:szCs w:val="22"/>
          <w:lang w:val="en-US"/>
        </w:rPr>
        <w:t>for the su</w:t>
      </w:r>
      <w:r w:rsidR="007968AC" w:rsidRPr="009824AD">
        <w:rPr>
          <w:rFonts w:ascii="Helvetica" w:hAnsi="Helvetica" w:cs="Calibri"/>
          <w:sz w:val="22"/>
          <w:szCs w:val="22"/>
          <w:lang w:val="en-US"/>
        </w:rPr>
        <w:t xml:space="preserve">perficial part of the liver and </w:t>
      </w:r>
      <w:r w:rsidR="00332186" w:rsidRPr="009824AD">
        <w:rPr>
          <w:rFonts w:ascii="Helvetica" w:hAnsi="Helvetica" w:cs="Calibri"/>
          <w:sz w:val="22"/>
          <w:szCs w:val="22"/>
          <w:lang w:val="en-US"/>
        </w:rPr>
        <w:t xml:space="preserve">ultrasonic aspirator </w:t>
      </w:r>
      <w:r w:rsidR="007968AC" w:rsidRPr="009824AD">
        <w:rPr>
          <w:rFonts w:ascii="Helvetica" w:hAnsi="Helvetica" w:cs="Calibri"/>
          <w:sz w:val="22"/>
          <w:szCs w:val="22"/>
          <w:lang w:val="en-US"/>
        </w:rPr>
        <w:t xml:space="preserve">for the deep parenchyma, whilst 2 </w:t>
      </w:r>
      <w:r w:rsidR="000B7DA3" w:rsidRPr="009824AD">
        <w:rPr>
          <w:rFonts w:ascii="Helvetica" w:hAnsi="Helvetica" w:cs="Calibri"/>
          <w:sz w:val="22"/>
          <w:szCs w:val="22"/>
          <w:lang w:val="en-US"/>
        </w:rPr>
        <w:t>center</w:t>
      </w:r>
      <w:r w:rsidR="007968AC" w:rsidRPr="009824AD">
        <w:rPr>
          <w:rFonts w:ascii="Helvetica" w:hAnsi="Helvetica" w:cs="Calibri"/>
          <w:sz w:val="22"/>
          <w:szCs w:val="22"/>
          <w:lang w:val="en-US"/>
        </w:rPr>
        <w:t>s (13</w:t>
      </w:r>
      <w:r w:rsidR="000B7DA3" w:rsidRPr="009824AD">
        <w:rPr>
          <w:rFonts w:ascii="Helvetica" w:hAnsi="Helvetica" w:cs="Calibri"/>
          <w:sz w:val="22"/>
          <w:szCs w:val="22"/>
          <w:lang w:val="en-US"/>
        </w:rPr>
        <w:t>%</w:t>
      </w:r>
      <w:r w:rsidR="007968AC" w:rsidRPr="009824AD">
        <w:rPr>
          <w:rFonts w:ascii="Helvetica" w:hAnsi="Helvetica" w:cs="Calibri"/>
          <w:sz w:val="22"/>
          <w:szCs w:val="22"/>
          <w:lang w:val="en-US"/>
        </w:rPr>
        <w:t xml:space="preserve">) used an energy device </w:t>
      </w:r>
      <w:r w:rsidR="00CD5BE8" w:rsidRPr="009824AD">
        <w:rPr>
          <w:rFonts w:ascii="Helvetica" w:hAnsi="Helvetica" w:cs="Calibri"/>
          <w:sz w:val="22"/>
          <w:szCs w:val="22"/>
          <w:lang w:val="en-US"/>
        </w:rPr>
        <w:t xml:space="preserve">only </w:t>
      </w:r>
      <w:r w:rsidR="007968AC" w:rsidRPr="009824AD">
        <w:rPr>
          <w:rFonts w:ascii="Helvetica" w:hAnsi="Helvetica" w:cs="Calibri"/>
          <w:sz w:val="22"/>
          <w:szCs w:val="22"/>
          <w:lang w:val="en-US"/>
        </w:rPr>
        <w:t xml:space="preserve">for the superficial and deeper parenchyma. In all </w:t>
      </w:r>
      <w:r w:rsidR="000B7DA3" w:rsidRPr="009824AD">
        <w:rPr>
          <w:rFonts w:ascii="Helvetica" w:hAnsi="Helvetica" w:cs="Calibri"/>
          <w:sz w:val="22"/>
          <w:szCs w:val="22"/>
          <w:lang w:val="en-US"/>
        </w:rPr>
        <w:t>center</w:t>
      </w:r>
      <w:r w:rsidR="007968AC" w:rsidRPr="009824AD">
        <w:rPr>
          <w:rFonts w:ascii="Helvetica" w:hAnsi="Helvetica" w:cs="Calibri"/>
          <w:sz w:val="22"/>
          <w:szCs w:val="22"/>
          <w:lang w:val="en-US"/>
        </w:rPr>
        <w:t>s, v</w:t>
      </w:r>
      <w:r w:rsidR="00951984" w:rsidRPr="009824AD">
        <w:rPr>
          <w:rFonts w:ascii="Helvetica" w:hAnsi="Helvetica" w:cs="Calibri"/>
          <w:sz w:val="22"/>
          <w:szCs w:val="22"/>
          <w:lang w:val="en-US"/>
        </w:rPr>
        <w:t xml:space="preserve">ascular and biliary structures were divided between </w:t>
      </w:r>
      <w:r w:rsidR="00475368" w:rsidRPr="009824AD">
        <w:rPr>
          <w:rFonts w:ascii="Helvetica" w:hAnsi="Helvetica" w:cs="Calibri"/>
          <w:sz w:val="22"/>
          <w:szCs w:val="22"/>
          <w:lang w:val="en-US"/>
        </w:rPr>
        <w:t xml:space="preserve">metal </w:t>
      </w:r>
      <w:r w:rsidR="00951984" w:rsidRPr="009824AD">
        <w:rPr>
          <w:rFonts w:ascii="Helvetica" w:hAnsi="Helvetica" w:cs="Calibri"/>
          <w:sz w:val="22"/>
          <w:szCs w:val="22"/>
          <w:lang w:val="en-US"/>
        </w:rPr>
        <w:t>clips, Hem-o-Lo</w:t>
      </w:r>
      <w:r w:rsidR="00222CC1" w:rsidRPr="009824AD">
        <w:rPr>
          <w:rFonts w:ascii="Helvetica" w:hAnsi="Helvetica" w:cs="Calibri"/>
          <w:sz w:val="22"/>
          <w:szCs w:val="22"/>
          <w:lang w:val="en-US"/>
        </w:rPr>
        <w:t>k</w:t>
      </w:r>
      <w:r w:rsidR="00951984" w:rsidRPr="009824AD">
        <w:rPr>
          <w:rFonts w:ascii="Helvetica" w:hAnsi="Helvetica" w:cs="Calibri"/>
          <w:sz w:val="22"/>
          <w:szCs w:val="22"/>
          <w:lang w:val="en-US"/>
        </w:rPr>
        <w:t xml:space="preserve"> clips </w:t>
      </w:r>
      <w:r w:rsidR="007307AD" w:rsidRPr="009824AD">
        <w:rPr>
          <w:rFonts w:ascii="Helvetica" w:hAnsi="Helvetica" w:cs="Calibri"/>
          <w:sz w:val="22"/>
          <w:szCs w:val="22"/>
          <w:lang w:val="en-US"/>
        </w:rPr>
        <w:t xml:space="preserve"> (Weck Closure Systems, Research Triangle Park, USA) </w:t>
      </w:r>
      <w:r w:rsidR="00951984" w:rsidRPr="009824AD">
        <w:rPr>
          <w:rFonts w:ascii="Helvetica" w:hAnsi="Helvetica" w:cs="Calibri"/>
          <w:sz w:val="22"/>
          <w:szCs w:val="22"/>
          <w:lang w:val="en-US"/>
        </w:rPr>
        <w:t xml:space="preserve">or endoscopic staplers, as required. </w:t>
      </w:r>
      <w:r w:rsidR="000D44B8" w:rsidRPr="009824AD">
        <w:rPr>
          <w:rFonts w:ascii="Helvetica" w:hAnsi="Helvetica" w:cs="Calibri"/>
          <w:sz w:val="22"/>
          <w:szCs w:val="22"/>
          <w:lang w:val="en-US"/>
        </w:rPr>
        <w:t>Anesthetic</w:t>
      </w:r>
      <w:r w:rsidR="00951984" w:rsidRPr="009824AD">
        <w:rPr>
          <w:rFonts w:ascii="Helvetica" w:hAnsi="Helvetica" w:cs="Calibri"/>
          <w:sz w:val="22"/>
          <w:szCs w:val="22"/>
          <w:lang w:val="en-US"/>
        </w:rPr>
        <w:t xml:space="preserve"> management</w:t>
      </w:r>
      <w:r w:rsidR="00222CC1" w:rsidRPr="009824AD">
        <w:rPr>
          <w:rFonts w:ascii="Helvetica" w:hAnsi="Helvetica" w:cs="Calibri"/>
          <w:sz w:val="22"/>
          <w:szCs w:val="22"/>
          <w:lang w:val="en-US"/>
        </w:rPr>
        <w:t xml:space="preserve"> </w:t>
      </w:r>
      <w:r w:rsidR="007968AC" w:rsidRPr="009824AD">
        <w:rPr>
          <w:rFonts w:ascii="Helvetica" w:hAnsi="Helvetica" w:cs="Calibri"/>
          <w:sz w:val="22"/>
          <w:szCs w:val="22"/>
          <w:lang w:val="en-US"/>
        </w:rPr>
        <w:t xml:space="preserve">was similar in all </w:t>
      </w:r>
      <w:r w:rsidR="000B7DA3" w:rsidRPr="009824AD">
        <w:rPr>
          <w:rFonts w:ascii="Helvetica" w:hAnsi="Helvetica" w:cs="Calibri"/>
          <w:sz w:val="22"/>
          <w:szCs w:val="22"/>
          <w:lang w:val="en-US"/>
        </w:rPr>
        <w:t>center</w:t>
      </w:r>
      <w:r w:rsidR="007968AC" w:rsidRPr="009824AD">
        <w:rPr>
          <w:rFonts w:ascii="Helvetica" w:hAnsi="Helvetica" w:cs="Calibri"/>
          <w:sz w:val="22"/>
          <w:szCs w:val="22"/>
          <w:lang w:val="en-US"/>
        </w:rPr>
        <w:t xml:space="preserve">s and </w:t>
      </w:r>
      <w:r w:rsidR="00951984" w:rsidRPr="009824AD">
        <w:rPr>
          <w:rFonts w:ascii="Helvetica" w:hAnsi="Helvetica" w:cs="Calibri"/>
          <w:sz w:val="22"/>
          <w:szCs w:val="22"/>
          <w:lang w:val="en-US"/>
        </w:rPr>
        <w:t>involved a restrictive intravenous fluid approach during liver transection combined with a low central venous pressure.</w:t>
      </w:r>
      <w:r w:rsidR="00105E6F" w:rsidRPr="009824AD">
        <w:rPr>
          <w:rFonts w:ascii="Helvetica" w:hAnsi="Helvetica" w:cs="Calibri"/>
          <w:sz w:val="22"/>
          <w:szCs w:val="22"/>
          <w:lang w:val="en-US"/>
        </w:rPr>
        <w:t xml:space="preserve"> </w:t>
      </w:r>
      <w:r w:rsidR="003D2908" w:rsidRPr="009824AD">
        <w:rPr>
          <w:rFonts w:ascii="Helvetica" w:hAnsi="Helvetica" w:cs="Calibri"/>
          <w:sz w:val="22"/>
          <w:szCs w:val="22"/>
          <w:lang w:val="en-US"/>
        </w:rPr>
        <w:t xml:space="preserve">An abdominal drain was placed selectively in 10 </w:t>
      </w:r>
      <w:r w:rsidR="000B7DA3" w:rsidRPr="009824AD">
        <w:rPr>
          <w:rFonts w:ascii="Helvetica" w:hAnsi="Helvetica" w:cs="Calibri"/>
          <w:sz w:val="22"/>
          <w:szCs w:val="22"/>
          <w:lang w:val="en-US"/>
        </w:rPr>
        <w:t>center</w:t>
      </w:r>
      <w:r w:rsidR="003D2908" w:rsidRPr="009824AD">
        <w:rPr>
          <w:rFonts w:ascii="Helvetica" w:hAnsi="Helvetica" w:cs="Calibri"/>
          <w:sz w:val="22"/>
          <w:szCs w:val="22"/>
          <w:lang w:val="en-US"/>
        </w:rPr>
        <w:t>s (66.7</w:t>
      </w:r>
      <w:r w:rsidR="000B7DA3" w:rsidRPr="009824AD">
        <w:rPr>
          <w:rFonts w:ascii="Helvetica" w:hAnsi="Helvetica" w:cs="Calibri"/>
          <w:sz w:val="22"/>
          <w:szCs w:val="22"/>
          <w:lang w:val="en-US"/>
        </w:rPr>
        <w:t>%</w:t>
      </w:r>
      <w:r w:rsidR="003D2908" w:rsidRPr="009824AD">
        <w:rPr>
          <w:rFonts w:ascii="Helvetica" w:hAnsi="Helvetica" w:cs="Calibri"/>
          <w:sz w:val="22"/>
          <w:szCs w:val="22"/>
          <w:lang w:val="en-US"/>
        </w:rPr>
        <w:t>)</w:t>
      </w:r>
      <w:r w:rsidR="00CD5BE8" w:rsidRPr="009824AD">
        <w:rPr>
          <w:rFonts w:ascii="Helvetica" w:hAnsi="Helvetica" w:cs="Calibri"/>
          <w:sz w:val="22"/>
          <w:szCs w:val="22"/>
          <w:lang w:val="en-US"/>
        </w:rPr>
        <w:t>, while in</w:t>
      </w:r>
      <w:r w:rsidR="003D2908" w:rsidRPr="009824AD">
        <w:rPr>
          <w:rFonts w:ascii="Helvetica" w:hAnsi="Helvetica" w:cs="Calibri"/>
          <w:sz w:val="22"/>
          <w:szCs w:val="22"/>
          <w:lang w:val="en-US"/>
        </w:rPr>
        <w:t xml:space="preserve"> 5 </w:t>
      </w:r>
      <w:r w:rsidR="000B7DA3" w:rsidRPr="009824AD">
        <w:rPr>
          <w:rFonts w:ascii="Helvetica" w:hAnsi="Helvetica" w:cs="Calibri"/>
          <w:sz w:val="22"/>
          <w:szCs w:val="22"/>
          <w:lang w:val="en-US"/>
        </w:rPr>
        <w:lastRenderedPageBreak/>
        <w:t>center</w:t>
      </w:r>
      <w:r w:rsidR="003D2908" w:rsidRPr="009824AD">
        <w:rPr>
          <w:rFonts w:ascii="Helvetica" w:hAnsi="Helvetica" w:cs="Calibri"/>
          <w:sz w:val="22"/>
          <w:szCs w:val="22"/>
          <w:lang w:val="en-US"/>
        </w:rPr>
        <w:t>s</w:t>
      </w:r>
      <w:r w:rsidR="00CD5BE8" w:rsidRPr="009824AD">
        <w:rPr>
          <w:rFonts w:ascii="Helvetica" w:hAnsi="Helvetica" w:cs="Calibri"/>
          <w:sz w:val="22"/>
          <w:szCs w:val="22"/>
          <w:lang w:val="en-US"/>
        </w:rPr>
        <w:t xml:space="preserve"> (33.3</w:t>
      </w:r>
      <w:r w:rsidR="000B7DA3" w:rsidRPr="009824AD">
        <w:rPr>
          <w:rFonts w:ascii="Helvetica" w:hAnsi="Helvetica" w:cs="Calibri"/>
          <w:sz w:val="22"/>
          <w:szCs w:val="22"/>
          <w:lang w:val="en-US"/>
        </w:rPr>
        <w:t>%</w:t>
      </w:r>
      <w:r w:rsidR="00CD5BE8" w:rsidRPr="009824AD">
        <w:rPr>
          <w:rFonts w:ascii="Helvetica" w:hAnsi="Helvetica" w:cs="Calibri"/>
          <w:sz w:val="22"/>
          <w:szCs w:val="22"/>
          <w:lang w:val="en-US"/>
        </w:rPr>
        <w:t xml:space="preserve">) all patients received an abdominal drain, regardless of the surgical approach and extend of resection. </w:t>
      </w:r>
    </w:p>
    <w:p w14:paraId="3F2653F5" w14:textId="77777777" w:rsidR="00DD5CBA" w:rsidRPr="009824AD" w:rsidRDefault="00DD5CBA" w:rsidP="0064753B">
      <w:pPr>
        <w:pStyle w:val="Geenafstand"/>
        <w:spacing w:line="480" w:lineRule="auto"/>
        <w:jc w:val="both"/>
        <w:rPr>
          <w:rFonts w:ascii="Helvetica" w:hAnsi="Helvetica" w:cs="Calibri"/>
          <w:lang w:val="en-US"/>
        </w:rPr>
      </w:pPr>
    </w:p>
    <w:p w14:paraId="3C6FBC44" w14:textId="77777777" w:rsidR="008633A0" w:rsidRPr="009824AD" w:rsidRDefault="008633A0" w:rsidP="00EC12A5">
      <w:pPr>
        <w:pStyle w:val="Kop2"/>
        <w:rPr>
          <w:rFonts w:ascii="Helvetica" w:hAnsi="Helvetica"/>
          <w:lang w:val="en-US"/>
        </w:rPr>
      </w:pPr>
      <w:r w:rsidRPr="009824AD">
        <w:rPr>
          <w:rFonts w:ascii="Helvetica" w:hAnsi="Helvetica"/>
          <w:lang w:val="en-US"/>
        </w:rPr>
        <w:t>Statistical analysis</w:t>
      </w:r>
    </w:p>
    <w:p w14:paraId="012B93F3" w14:textId="4E039F1E" w:rsidR="003C70B5" w:rsidRPr="009824AD" w:rsidRDefault="008633A0" w:rsidP="00565A05">
      <w:pPr>
        <w:pStyle w:val="Geenafstand"/>
        <w:spacing w:line="480" w:lineRule="auto"/>
        <w:jc w:val="both"/>
        <w:rPr>
          <w:rFonts w:ascii="Helvetica" w:hAnsi="Helvetica" w:cs="Calibri"/>
          <w:lang w:val="en-US"/>
        </w:rPr>
      </w:pPr>
      <w:r w:rsidRPr="009824AD">
        <w:rPr>
          <w:rFonts w:ascii="Helvetica" w:hAnsi="Helvetica" w:cs="Calibri"/>
          <w:lang w:val="en-US"/>
        </w:rPr>
        <w:t>Data analysis was performed using IBM SPSS Statistics for Windows version 2</w:t>
      </w:r>
      <w:r w:rsidR="00763473" w:rsidRPr="009824AD">
        <w:rPr>
          <w:rFonts w:ascii="Helvetica" w:hAnsi="Helvetica" w:cs="Calibri"/>
          <w:lang w:val="en-US"/>
        </w:rPr>
        <w:t>6</w:t>
      </w:r>
      <w:r w:rsidRPr="009824AD">
        <w:rPr>
          <w:rFonts w:ascii="Helvetica" w:hAnsi="Helvetica" w:cs="Calibri"/>
          <w:lang w:val="en-US"/>
        </w:rPr>
        <w:t xml:space="preserve">.0 (SPSS Inc., Chicago, IL, USA). Continuous, not normally distributed variables were </w:t>
      </w:r>
      <w:r w:rsidR="00C31030" w:rsidRPr="009824AD">
        <w:rPr>
          <w:rFonts w:ascii="Helvetica" w:hAnsi="Helvetica" w:cs="Calibri"/>
          <w:lang w:val="en-US"/>
        </w:rPr>
        <w:t xml:space="preserve">expressed </w:t>
      </w:r>
      <w:r w:rsidRPr="009824AD">
        <w:rPr>
          <w:rFonts w:ascii="Helvetica" w:hAnsi="Helvetica" w:cs="Calibri"/>
          <w:lang w:val="en-US"/>
        </w:rPr>
        <w:t>as median with interquartile range (</w:t>
      </w:r>
      <w:r w:rsidR="00493F8D" w:rsidRPr="009824AD">
        <w:rPr>
          <w:rFonts w:ascii="Helvetica" w:hAnsi="Helvetica" w:cs="Calibri"/>
          <w:lang w:val="en-US"/>
        </w:rPr>
        <w:t>IQR</w:t>
      </w:r>
      <w:r w:rsidRPr="009824AD">
        <w:rPr>
          <w:rFonts w:ascii="Helvetica" w:hAnsi="Helvetica" w:cs="Calibri"/>
          <w:lang w:val="en-US"/>
        </w:rPr>
        <w:t>). In case variables were normally distributed, they were reported as mean with standard deviation (</w:t>
      </w:r>
      <w:r w:rsidR="00493F8D" w:rsidRPr="009824AD">
        <w:rPr>
          <w:rFonts w:ascii="Helvetica" w:hAnsi="Helvetica" w:cs="Calibri"/>
          <w:lang w:val="en-US"/>
        </w:rPr>
        <w:t>SD</w:t>
      </w:r>
      <w:r w:rsidRPr="009824AD">
        <w:rPr>
          <w:rFonts w:ascii="Helvetica" w:hAnsi="Helvetica" w:cs="Calibri"/>
          <w:lang w:val="en-US"/>
        </w:rPr>
        <w:t xml:space="preserve">). A Mann-Whitney U test was used to compare continuous, not normally distributed variables between groups. Normally distributed, continuous variables were compared using an </w:t>
      </w:r>
      <w:r w:rsidR="000B7DA3" w:rsidRPr="009824AD">
        <w:rPr>
          <w:rFonts w:ascii="Helvetica" w:hAnsi="Helvetica" w:cs="Calibri"/>
          <w:lang w:val="en-US"/>
        </w:rPr>
        <w:t>independent</w:t>
      </w:r>
      <w:r w:rsidRPr="009824AD">
        <w:rPr>
          <w:rFonts w:ascii="Helvetica" w:hAnsi="Helvetica" w:cs="Calibri"/>
          <w:lang w:val="en-US"/>
        </w:rPr>
        <w:t xml:space="preserve"> samples T-test, as appropriate. Categorical variables were reported as</w:t>
      </w:r>
      <w:r w:rsidR="00CF4EDC" w:rsidRPr="009824AD">
        <w:rPr>
          <w:rFonts w:ascii="Helvetica" w:hAnsi="Helvetica" w:cs="Calibri"/>
          <w:lang w:val="en-US"/>
        </w:rPr>
        <w:t xml:space="preserve"> frequencies and</w:t>
      </w:r>
      <w:r w:rsidRPr="009824AD">
        <w:rPr>
          <w:rFonts w:ascii="Helvetica" w:hAnsi="Helvetica" w:cs="Calibri"/>
          <w:lang w:val="en-US"/>
        </w:rPr>
        <w:t xml:space="preserve"> proportions and compared between groups using a chi-square test. </w:t>
      </w:r>
      <w:r w:rsidR="00565A05" w:rsidRPr="009824AD">
        <w:rPr>
          <w:rFonts w:ascii="Helvetica" w:hAnsi="Helvetica" w:cs="Calibri"/>
          <w:lang w:val="en-US"/>
        </w:rPr>
        <w:t xml:space="preserve"> </w:t>
      </w:r>
      <w:r w:rsidR="00763473" w:rsidRPr="009824AD">
        <w:rPr>
          <w:rFonts w:ascii="Helvetica" w:hAnsi="Helvetica" w:cs="Calibri"/>
          <w:lang w:val="en-US"/>
        </w:rPr>
        <w:t>P</w:t>
      </w:r>
      <w:r w:rsidR="003C70B5" w:rsidRPr="009824AD">
        <w:rPr>
          <w:rFonts w:ascii="Helvetica" w:hAnsi="Helvetica" w:cs="Calibri"/>
          <w:lang w:val="en-US"/>
        </w:rPr>
        <w:t xml:space="preserve">ropensity score matching (PSM) was applied to decrease selection bias in the comparison of </w:t>
      </w:r>
      <w:r w:rsidR="008967AE" w:rsidRPr="009824AD">
        <w:rPr>
          <w:rFonts w:ascii="Helvetica" w:hAnsi="Helvetica" w:cs="Calibri"/>
          <w:lang w:val="en-US"/>
        </w:rPr>
        <w:t xml:space="preserve">the incidence and </w:t>
      </w:r>
      <w:r w:rsidR="00565A05" w:rsidRPr="009824AD">
        <w:rPr>
          <w:rFonts w:ascii="Helvetica" w:hAnsi="Helvetica" w:cs="Calibri"/>
          <w:lang w:val="en-US"/>
        </w:rPr>
        <w:t xml:space="preserve">postoperative outcomes </w:t>
      </w:r>
      <w:r w:rsidR="008967AE" w:rsidRPr="009824AD">
        <w:rPr>
          <w:rFonts w:ascii="Helvetica" w:hAnsi="Helvetica" w:cs="Calibri"/>
          <w:lang w:val="en-US"/>
        </w:rPr>
        <w:t xml:space="preserve">of </w:t>
      </w:r>
      <w:r w:rsidR="00854EAB" w:rsidRPr="009824AD">
        <w:rPr>
          <w:rFonts w:ascii="Helvetica" w:hAnsi="Helvetica" w:cs="Calibri"/>
          <w:lang w:val="en-US"/>
        </w:rPr>
        <w:t xml:space="preserve">patients with </w:t>
      </w:r>
      <w:r w:rsidR="0072020D" w:rsidRPr="009824AD">
        <w:rPr>
          <w:rFonts w:ascii="Helvetica" w:hAnsi="Helvetica" w:cs="Calibri"/>
          <w:lang w:val="en-US"/>
        </w:rPr>
        <w:t>CR-POBL</w:t>
      </w:r>
      <w:r w:rsidR="00854EAB" w:rsidRPr="009824AD">
        <w:rPr>
          <w:rFonts w:ascii="Helvetica" w:hAnsi="Helvetica" w:cs="Calibri"/>
          <w:lang w:val="en-US"/>
        </w:rPr>
        <w:t xml:space="preserve"> who underwent LLR and OLR</w:t>
      </w:r>
      <w:r w:rsidR="00105305" w:rsidRPr="009824AD">
        <w:rPr>
          <w:rFonts w:ascii="Helvetica" w:hAnsi="Helvetica" w:cs="Calibri"/>
          <w:lang w:val="en-US"/>
        </w:rPr>
        <w:t>.</w:t>
      </w:r>
      <w:r w:rsidR="003C70B5" w:rsidRPr="009824AD">
        <w:rPr>
          <w:rFonts w:ascii="Helvetica" w:hAnsi="Helvetica" w:cs="Calibri"/>
          <w:lang w:val="en-US"/>
        </w:rPr>
        <w:fldChar w:fldCharType="begin" w:fldLock="1"/>
      </w:r>
      <w:r w:rsidR="000D44B8" w:rsidRPr="009824AD">
        <w:rPr>
          <w:rFonts w:ascii="Helvetica" w:hAnsi="Helvetica" w:cs="Calibri"/>
          <w:lang w:val="en-US"/>
        </w:rPr>
        <w:instrText>ADDIN CSL_CITATION {"citationItems":[{"id":"ITEM-1","itemData":{"DOI":"10.1097/SLA.0000000000001797","ISSN":"0003-4932","PMID":"27232253","abstract":"OBJECTIVE To describe the evolution of the use and reporting of propensity score (PS) analysis in observational studies assessing a surgical procedure. BACKGROUND Assessing surgery in randomized controlled trials raises several challenges. Observational studies with PS analysis are a robust alternative for comparative effectiveness research. METHODS In this methodological systematic review, we identified all PubMed reports of observational studies with PS analysis that evaluated a surgical procedure and described the evolution of their use over time. Then, we selected a sample of articles published from August 2013 to July 2014 and systematically appraised the quality of reporting and potential bias of the PS analysis used. RESULTS We selected 652 reports of observational studies with PS analysis. The publications increased over time, from 1 report in 1987 to 198 in 2013. Among the 129 reports assessed, 20% (n = 24) did not detail the covariates included in the PS and 77% (n = 100) did not report a justification for including these covariates in the PS. The rate of missing data for potential covariates was reported in 9% of articles. When a crossover by conversion was possible, only 14% of reports (n = 12) mentioned this issue. For matched analysis, 10% of articles reported all 4 key elements that allow for reproducibility of a PS-matched analysis (matching ratio, method to choose the nearest neighbors, replacement and method for statistical analysis). CONCLUSIONS Observational studies with PS analysis in surgery are increasing in frequency, but specific methodological issues and weaknesses in reporting exist.","author":[{"dropping-particle":"","family":"Lonjon","given":"Guillaume","non-dropping-particle":"","parse-names":false,"suffix":""},{"dropping-particle":"","family":"Porcher","given":"Raphael","non-dropping-particle":"","parse-names":false,"suffix":""},{"dropping-particle":"","family":"Ergina","given":"Patrick","non-dropping-particle":"","parse-names":false,"suffix":""},{"dropping-particle":"","family":"Fouet","given":"Mathilde","non-dropping-particle":"","parse-names":false,"suffix":""},{"dropping-particle":"","family":"Boutron","given":"Isabelle","non-dropping-particle":"","parse-names":false,"suffix":""}],"container-title":"Annals of Surgery","id":"ITEM-1","issue":"5","issued":{"date-parts":[["2017","5"]]},"page":"901-909","title":"Potential Pitfalls of Reporting and Bias in Observational Studies With Propensity Score Analysis Assessing a Surgical Procedure","type":"article-journal","volume":"265"},"uris":["http://www.mendeley.com/documents/?uuid=ec0aaa71-d9e7-38a4-807f-4a2a391a0e63"]}],"mendeley":{"formattedCitation":"(33)","plainTextFormattedCitation":"(33)","previouslyFormattedCitation":"(33)"},"properties":{"noteIndex":0},"schema":"https://github.com/citation-style-language/schema/raw/master/csl-citation.json"}</w:instrText>
      </w:r>
      <w:r w:rsidR="003C70B5" w:rsidRPr="009824AD">
        <w:rPr>
          <w:rFonts w:ascii="Helvetica" w:hAnsi="Helvetica" w:cs="Calibri"/>
          <w:lang w:val="en-US"/>
        </w:rPr>
        <w:fldChar w:fldCharType="separate"/>
      </w:r>
      <w:r w:rsidR="000D44B8" w:rsidRPr="009824AD">
        <w:rPr>
          <w:rFonts w:ascii="Helvetica" w:hAnsi="Helvetica" w:cs="Calibri"/>
          <w:noProof/>
          <w:lang w:val="en-US"/>
        </w:rPr>
        <w:t>(33)</w:t>
      </w:r>
      <w:r w:rsidR="003C70B5" w:rsidRPr="009824AD">
        <w:rPr>
          <w:rFonts w:ascii="Helvetica" w:hAnsi="Helvetica" w:cs="Calibri"/>
          <w:lang w:val="en-US"/>
        </w:rPr>
        <w:fldChar w:fldCharType="end"/>
      </w:r>
      <w:r w:rsidR="001833E8" w:rsidRPr="009824AD">
        <w:rPr>
          <w:rFonts w:ascii="Helvetica" w:hAnsi="Helvetica" w:cs="Calibri"/>
          <w:lang w:val="en-US"/>
        </w:rPr>
        <w:t xml:space="preserve">  </w:t>
      </w:r>
      <w:r w:rsidR="00565A05" w:rsidRPr="009824AD">
        <w:rPr>
          <w:rFonts w:ascii="Helvetica" w:hAnsi="Helvetica" w:cs="Calibri"/>
          <w:lang w:val="en-US"/>
        </w:rPr>
        <w:t xml:space="preserve">PSM was performed in R Studio version 3.4.3 (R Foundation for Statistical Computing, Vienna, Austria) using a multivariable logistic regression model. </w:t>
      </w:r>
      <w:r w:rsidR="00D31821" w:rsidRPr="009824AD">
        <w:rPr>
          <w:rFonts w:ascii="Helvetica" w:hAnsi="Helvetica" w:cs="Calibri"/>
          <w:lang w:val="en-US"/>
        </w:rPr>
        <w:t>Multiple imputation was used to impute missing baseline variables by creating 5 datasets</w:t>
      </w:r>
      <w:r w:rsidR="001833E8" w:rsidRPr="009824AD">
        <w:rPr>
          <w:rFonts w:ascii="Helvetica" w:hAnsi="Helvetica" w:cs="Calibri"/>
          <w:lang w:val="en-US"/>
        </w:rPr>
        <w:t>.</w:t>
      </w:r>
      <w:r w:rsidR="0074382A">
        <w:rPr>
          <w:rFonts w:ascii="Helvetica" w:hAnsi="Helvetica" w:cs="Calibri"/>
          <w:lang w:val="en-US"/>
        </w:rPr>
        <w:t xml:space="preserve"> </w:t>
      </w:r>
      <w:r w:rsidR="003C70B5" w:rsidRPr="009824AD">
        <w:rPr>
          <w:rFonts w:ascii="Helvetica" w:hAnsi="Helvetica" w:cs="Calibri"/>
          <w:lang w:val="en-US"/>
        </w:rPr>
        <w:t xml:space="preserve">Variables entered in the propensity model were age, gender, BMI, ASA grade, previous liver surgery, neoadjuvant chemotherapy, histological diagnosis, size of the largest lesion, number of lesions, distribution of lesions, </w:t>
      </w:r>
      <w:r w:rsidR="00565A05" w:rsidRPr="009824AD">
        <w:rPr>
          <w:rFonts w:ascii="Helvetica" w:hAnsi="Helvetica" w:cs="Calibri"/>
          <w:lang w:val="en-US"/>
        </w:rPr>
        <w:t xml:space="preserve">year of surgery, </w:t>
      </w:r>
      <w:r w:rsidR="003C70B5" w:rsidRPr="009824AD">
        <w:rPr>
          <w:rFonts w:ascii="Helvetica" w:hAnsi="Helvetica" w:cs="Calibri"/>
          <w:lang w:val="en-US"/>
        </w:rPr>
        <w:t>type of resection</w:t>
      </w:r>
      <w:r w:rsidR="00565A05" w:rsidRPr="009824AD">
        <w:rPr>
          <w:rFonts w:ascii="Helvetica" w:hAnsi="Helvetica" w:cs="Calibri"/>
          <w:lang w:val="en-US"/>
        </w:rPr>
        <w:t xml:space="preserve"> and</w:t>
      </w:r>
      <w:r w:rsidR="003C70B5" w:rsidRPr="009824AD">
        <w:rPr>
          <w:rFonts w:ascii="Helvetica" w:hAnsi="Helvetica" w:cs="Calibri"/>
          <w:lang w:val="en-US"/>
        </w:rPr>
        <w:t xml:space="preserve"> extent of resection. Based on these propensity scores, </w:t>
      </w:r>
      <w:r w:rsidR="00D7062F" w:rsidRPr="009824AD">
        <w:rPr>
          <w:rFonts w:ascii="Helvetica" w:hAnsi="Helvetica" w:cs="Calibri"/>
          <w:lang w:val="en-US"/>
        </w:rPr>
        <w:t>LLR</w:t>
      </w:r>
      <w:r w:rsidR="003C70B5" w:rsidRPr="009824AD">
        <w:rPr>
          <w:rFonts w:ascii="Helvetica" w:hAnsi="Helvetica" w:cs="Calibri"/>
          <w:lang w:val="en-US"/>
        </w:rPr>
        <w:t xml:space="preserve"> were matched with </w:t>
      </w:r>
      <w:r w:rsidR="00D7062F" w:rsidRPr="009824AD">
        <w:rPr>
          <w:rFonts w:ascii="Helvetica" w:hAnsi="Helvetica" w:cs="Calibri"/>
          <w:lang w:val="en-US"/>
        </w:rPr>
        <w:t>OLR</w:t>
      </w:r>
      <w:r w:rsidR="003C70B5" w:rsidRPr="009824AD">
        <w:rPr>
          <w:rFonts w:ascii="Helvetica" w:hAnsi="Helvetica" w:cs="Calibri"/>
          <w:lang w:val="en-US"/>
        </w:rPr>
        <w:t xml:space="preserve"> in a 1:1 ratio with a standard caliper width</w:t>
      </w:r>
      <w:r w:rsidR="003407F9" w:rsidRPr="009824AD">
        <w:rPr>
          <w:rFonts w:ascii="Helvetica" w:hAnsi="Helvetica" w:cs="Calibri"/>
          <w:lang w:val="en-US"/>
        </w:rPr>
        <w:t xml:space="preserve"> </w:t>
      </w:r>
      <w:r w:rsidR="003C70B5" w:rsidRPr="009824AD">
        <w:rPr>
          <w:rFonts w:ascii="Helvetica" w:hAnsi="Helvetica" w:cs="Calibri"/>
          <w:lang w:val="en-US"/>
        </w:rPr>
        <w:t xml:space="preserve">of 0.2. </w:t>
      </w:r>
      <w:r w:rsidR="003760BF" w:rsidRPr="009824AD">
        <w:rPr>
          <w:rFonts w:ascii="Helvetica" w:hAnsi="Helvetica" w:cs="Calibri"/>
          <w:lang w:val="en-US"/>
        </w:rPr>
        <w:t>The standardized mean difference (SMD) was calculated to assess the balance at baseline between both groups, with SMD of 0.1 or below being considered to indicate optimal balance.</w:t>
      </w:r>
      <w:r w:rsidR="00565A05" w:rsidRPr="009824AD">
        <w:rPr>
          <w:rFonts w:ascii="Helvetica" w:hAnsi="Helvetica" w:cs="Calibri"/>
          <w:lang w:val="en-US"/>
        </w:rPr>
        <w:t xml:space="preserve"> LLR</w:t>
      </w:r>
      <w:r w:rsidR="008967AE" w:rsidRPr="009824AD">
        <w:rPr>
          <w:rFonts w:ascii="Helvetica" w:hAnsi="Helvetica" w:cs="Calibri"/>
          <w:lang w:val="en-US"/>
        </w:rPr>
        <w:t xml:space="preserve"> procedures</w:t>
      </w:r>
      <w:r w:rsidR="00565A05" w:rsidRPr="009824AD">
        <w:rPr>
          <w:rFonts w:ascii="Helvetica" w:hAnsi="Helvetica" w:cs="Calibri"/>
          <w:lang w:val="en-US"/>
        </w:rPr>
        <w:t xml:space="preserve"> who were converted to open surgery were </w:t>
      </w:r>
      <w:r w:rsidR="0026291C" w:rsidRPr="009824AD">
        <w:rPr>
          <w:rFonts w:ascii="Helvetica" w:hAnsi="Helvetica" w:cs="Calibri"/>
          <w:lang w:val="en-US"/>
        </w:rPr>
        <w:t>analyzed</w:t>
      </w:r>
      <w:r w:rsidR="00565A05" w:rsidRPr="009824AD">
        <w:rPr>
          <w:rFonts w:ascii="Helvetica" w:hAnsi="Helvetica" w:cs="Calibri"/>
          <w:lang w:val="en-US"/>
        </w:rPr>
        <w:t xml:space="preserve"> in the</w:t>
      </w:r>
      <w:r w:rsidR="00203E21" w:rsidRPr="009824AD">
        <w:rPr>
          <w:rFonts w:ascii="Helvetica" w:hAnsi="Helvetica" w:cs="Calibri"/>
          <w:lang w:val="en-US"/>
        </w:rPr>
        <w:t xml:space="preserve"> </w:t>
      </w:r>
      <w:r w:rsidR="00565A05" w:rsidRPr="009824AD">
        <w:rPr>
          <w:rFonts w:ascii="Helvetica" w:hAnsi="Helvetica" w:cs="Calibri"/>
          <w:lang w:val="en-US"/>
        </w:rPr>
        <w:t xml:space="preserve">LLR group, according to intention-to-treat principles. </w:t>
      </w:r>
      <w:r w:rsidR="008967AE" w:rsidRPr="009824AD">
        <w:rPr>
          <w:rFonts w:ascii="Helvetica" w:hAnsi="Helvetica" w:cs="Calibri"/>
          <w:lang w:val="en-US"/>
        </w:rPr>
        <w:t>P</w:t>
      </w:r>
      <w:r w:rsidR="00203E21" w:rsidRPr="009824AD">
        <w:rPr>
          <w:rFonts w:ascii="Helvetica" w:hAnsi="Helvetica" w:cs="Calibri"/>
          <w:lang w:val="en-US"/>
        </w:rPr>
        <w:t xml:space="preserve">ostoperative outcomes of </w:t>
      </w:r>
      <w:r w:rsidR="0072020D" w:rsidRPr="009824AD">
        <w:rPr>
          <w:rFonts w:ascii="Helvetica" w:hAnsi="Helvetica" w:cs="Calibri"/>
          <w:lang w:val="en-US"/>
        </w:rPr>
        <w:t>CR-POBL</w:t>
      </w:r>
      <w:r w:rsidR="00203E21" w:rsidRPr="009824AD">
        <w:rPr>
          <w:rFonts w:ascii="Helvetica" w:hAnsi="Helvetica" w:cs="Calibri"/>
          <w:lang w:val="en-US"/>
        </w:rPr>
        <w:t xml:space="preserve"> have been analyzed subsequently using paired tests by directly comparing postoperative outcomes of patients with </w:t>
      </w:r>
      <w:r w:rsidR="0072020D" w:rsidRPr="009824AD">
        <w:rPr>
          <w:rFonts w:ascii="Helvetica" w:hAnsi="Helvetica" w:cs="Calibri"/>
          <w:lang w:val="en-US"/>
        </w:rPr>
        <w:t>CR-POBL</w:t>
      </w:r>
      <w:r w:rsidR="00203E21" w:rsidRPr="009824AD">
        <w:rPr>
          <w:rFonts w:ascii="Helvetica" w:hAnsi="Helvetica" w:cs="Calibri"/>
          <w:lang w:val="en-US"/>
        </w:rPr>
        <w:t xml:space="preserve"> in LLR and OLR and by comparing postoperative outcomes in patients with and without </w:t>
      </w:r>
      <w:r w:rsidR="0072020D" w:rsidRPr="009824AD">
        <w:rPr>
          <w:rFonts w:ascii="Helvetica" w:hAnsi="Helvetica" w:cs="Calibri"/>
          <w:lang w:val="en-US"/>
        </w:rPr>
        <w:t>CR-POBL</w:t>
      </w:r>
      <w:r w:rsidR="00203E21" w:rsidRPr="009824AD">
        <w:rPr>
          <w:rFonts w:ascii="Helvetica" w:hAnsi="Helvetica" w:cs="Calibri"/>
          <w:lang w:val="en-US"/>
        </w:rPr>
        <w:t xml:space="preserve"> in OLR and LLR </w:t>
      </w:r>
      <w:r w:rsidR="00203E21" w:rsidRPr="009824AD">
        <w:rPr>
          <w:rFonts w:ascii="Helvetica" w:hAnsi="Helvetica" w:cs="Calibri"/>
          <w:lang w:val="en-US"/>
        </w:rPr>
        <w:lastRenderedPageBreak/>
        <w:t>separately.</w:t>
      </w:r>
      <w:r w:rsidR="00D43410" w:rsidRPr="009824AD">
        <w:rPr>
          <w:rFonts w:ascii="Helvetica" w:hAnsi="Helvetica" w:cs="Calibri"/>
          <w:lang w:val="en-US"/>
        </w:rPr>
        <w:t xml:space="preserve"> A sensitivity analysis was performed to eliminate any time effect by excluding all patients who underwent LLR and OLR before 2011.</w:t>
      </w:r>
      <w:r w:rsidR="00203E21" w:rsidRPr="009824AD">
        <w:rPr>
          <w:rFonts w:ascii="Helvetica" w:hAnsi="Helvetica" w:cs="Calibri"/>
          <w:lang w:val="en-US"/>
        </w:rPr>
        <w:t xml:space="preserve"> </w:t>
      </w:r>
      <w:r w:rsidR="00565A05" w:rsidRPr="009824AD">
        <w:rPr>
          <w:rFonts w:ascii="Helvetica" w:hAnsi="Helvetica" w:cs="Calibri"/>
          <w:lang w:val="en-US"/>
        </w:rPr>
        <w:t>Two-</w:t>
      </w:r>
      <w:r w:rsidR="00203E21" w:rsidRPr="009824AD">
        <w:rPr>
          <w:rFonts w:ascii="Helvetica" w:hAnsi="Helvetica" w:cs="Calibri"/>
          <w:lang w:val="en-US"/>
        </w:rPr>
        <w:t>sided</w:t>
      </w:r>
      <w:r w:rsidR="00565A05" w:rsidRPr="009824AD">
        <w:rPr>
          <w:rFonts w:ascii="Helvetica" w:hAnsi="Helvetica" w:cs="Calibri"/>
          <w:lang w:val="en-US"/>
        </w:rPr>
        <w:t xml:space="preserve"> P&lt;</w:t>
      </w:r>
      <w:r w:rsidR="008967AE" w:rsidRPr="009824AD">
        <w:rPr>
          <w:rFonts w:ascii="Helvetica" w:hAnsi="Helvetica" w:cs="Calibri"/>
          <w:lang w:val="en-US"/>
        </w:rPr>
        <w:t xml:space="preserve"> </w:t>
      </w:r>
      <w:r w:rsidR="00565A05" w:rsidRPr="009824AD">
        <w:rPr>
          <w:rFonts w:ascii="Helvetica" w:hAnsi="Helvetica" w:cs="Calibri"/>
          <w:lang w:val="en-US"/>
        </w:rPr>
        <w:t>0</w:t>
      </w:r>
      <w:r w:rsidR="00203E21" w:rsidRPr="009824AD">
        <w:rPr>
          <w:rFonts w:ascii="Helvetica" w:hAnsi="Helvetica" w:cs="Calibri"/>
          <w:lang w:val="en-US"/>
        </w:rPr>
        <w:t>.</w:t>
      </w:r>
      <w:r w:rsidR="00565A05" w:rsidRPr="009824AD">
        <w:rPr>
          <w:rFonts w:ascii="Helvetica" w:hAnsi="Helvetica" w:cs="Calibri"/>
          <w:lang w:val="en-US"/>
        </w:rPr>
        <w:t>050 was considered statistically significant.</w:t>
      </w:r>
    </w:p>
    <w:p w14:paraId="75F989E2" w14:textId="77777777" w:rsidR="003C70B5" w:rsidRPr="009824AD" w:rsidRDefault="003C70B5" w:rsidP="0064753B">
      <w:pPr>
        <w:pStyle w:val="Geenafstand"/>
        <w:spacing w:line="480" w:lineRule="auto"/>
        <w:jc w:val="both"/>
        <w:rPr>
          <w:rFonts w:ascii="Helvetica" w:hAnsi="Helvetica" w:cs="Calibri"/>
          <w:lang w:val="en-US"/>
        </w:rPr>
      </w:pPr>
    </w:p>
    <w:p w14:paraId="1892F0D1" w14:textId="4DB42513" w:rsidR="00C31030" w:rsidRPr="009824AD" w:rsidRDefault="00C31030" w:rsidP="0064753B">
      <w:pPr>
        <w:pStyle w:val="Geenafstand"/>
        <w:spacing w:line="480" w:lineRule="auto"/>
        <w:jc w:val="both"/>
        <w:rPr>
          <w:rFonts w:ascii="Helvetica" w:hAnsi="Helvetica" w:cs="Calibri"/>
          <w:lang w:val="en-US"/>
        </w:rPr>
      </w:pPr>
    </w:p>
    <w:p w14:paraId="12FF1E0D" w14:textId="6030A286" w:rsidR="000B7DA3" w:rsidRPr="009824AD" w:rsidRDefault="000B7DA3" w:rsidP="0064753B">
      <w:pPr>
        <w:pStyle w:val="Geenafstand"/>
        <w:spacing w:line="480" w:lineRule="auto"/>
        <w:jc w:val="both"/>
        <w:rPr>
          <w:rFonts w:ascii="Helvetica" w:hAnsi="Helvetica" w:cs="Calibri"/>
          <w:lang w:val="en-US"/>
        </w:rPr>
      </w:pPr>
    </w:p>
    <w:p w14:paraId="44D7EBA9" w14:textId="2A788B56" w:rsidR="000B7DA3" w:rsidRPr="009824AD" w:rsidRDefault="000B7DA3" w:rsidP="0064753B">
      <w:pPr>
        <w:pStyle w:val="Geenafstand"/>
        <w:spacing w:line="480" w:lineRule="auto"/>
        <w:jc w:val="both"/>
        <w:rPr>
          <w:rFonts w:ascii="Helvetica" w:hAnsi="Helvetica" w:cs="Calibri"/>
          <w:lang w:val="en-US"/>
        </w:rPr>
      </w:pPr>
    </w:p>
    <w:p w14:paraId="6D862D05" w14:textId="4F79FD4B" w:rsidR="000B7DA3" w:rsidRPr="009824AD" w:rsidRDefault="000B7DA3" w:rsidP="0064753B">
      <w:pPr>
        <w:pStyle w:val="Geenafstand"/>
        <w:spacing w:line="480" w:lineRule="auto"/>
        <w:jc w:val="both"/>
        <w:rPr>
          <w:rFonts w:ascii="Helvetica" w:hAnsi="Helvetica" w:cs="Calibri"/>
          <w:lang w:val="en-US"/>
        </w:rPr>
      </w:pPr>
    </w:p>
    <w:p w14:paraId="15F7166B" w14:textId="4323B720" w:rsidR="000B7DA3" w:rsidRPr="009824AD" w:rsidRDefault="000B7DA3" w:rsidP="0064753B">
      <w:pPr>
        <w:pStyle w:val="Geenafstand"/>
        <w:spacing w:line="480" w:lineRule="auto"/>
        <w:jc w:val="both"/>
        <w:rPr>
          <w:rFonts w:ascii="Helvetica" w:hAnsi="Helvetica" w:cs="Calibri"/>
          <w:lang w:val="en-US"/>
        </w:rPr>
      </w:pPr>
    </w:p>
    <w:p w14:paraId="4C351F91" w14:textId="2D08C875" w:rsidR="000B7DA3" w:rsidRPr="009824AD" w:rsidRDefault="000B7DA3" w:rsidP="0064753B">
      <w:pPr>
        <w:pStyle w:val="Geenafstand"/>
        <w:spacing w:line="480" w:lineRule="auto"/>
        <w:jc w:val="both"/>
        <w:rPr>
          <w:rFonts w:ascii="Helvetica" w:hAnsi="Helvetica" w:cs="Calibri"/>
          <w:lang w:val="en-US"/>
        </w:rPr>
      </w:pPr>
    </w:p>
    <w:p w14:paraId="44FEEE9F" w14:textId="0315137F" w:rsidR="000B7DA3" w:rsidRPr="009824AD" w:rsidRDefault="000B7DA3" w:rsidP="0064753B">
      <w:pPr>
        <w:pStyle w:val="Geenafstand"/>
        <w:spacing w:line="480" w:lineRule="auto"/>
        <w:jc w:val="both"/>
        <w:rPr>
          <w:rFonts w:ascii="Helvetica" w:hAnsi="Helvetica" w:cs="Calibri"/>
          <w:lang w:val="en-US"/>
        </w:rPr>
      </w:pPr>
    </w:p>
    <w:p w14:paraId="5A99986C" w14:textId="5179444C" w:rsidR="000B7DA3" w:rsidRPr="009824AD" w:rsidRDefault="000B7DA3" w:rsidP="0064753B">
      <w:pPr>
        <w:pStyle w:val="Geenafstand"/>
        <w:spacing w:line="480" w:lineRule="auto"/>
        <w:jc w:val="both"/>
        <w:rPr>
          <w:rFonts w:ascii="Helvetica" w:hAnsi="Helvetica" w:cs="Calibri"/>
          <w:lang w:val="en-US"/>
        </w:rPr>
      </w:pPr>
    </w:p>
    <w:p w14:paraId="343DF904" w14:textId="4886ED63" w:rsidR="000B7DA3" w:rsidRPr="009824AD" w:rsidRDefault="000B7DA3" w:rsidP="0064753B">
      <w:pPr>
        <w:pStyle w:val="Geenafstand"/>
        <w:spacing w:line="480" w:lineRule="auto"/>
        <w:jc w:val="both"/>
        <w:rPr>
          <w:rFonts w:ascii="Helvetica" w:hAnsi="Helvetica" w:cs="Calibri"/>
          <w:lang w:val="en-US"/>
        </w:rPr>
      </w:pPr>
    </w:p>
    <w:p w14:paraId="7B4DCE1F" w14:textId="72E96F53" w:rsidR="000B7DA3" w:rsidRPr="009824AD" w:rsidRDefault="000B7DA3" w:rsidP="0064753B">
      <w:pPr>
        <w:pStyle w:val="Geenafstand"/>
        <w:spacing w:line="480" w:lineRule="auto"/>
        <w:jc w:val="both"/>
        <w:rPr>
          <w:rFonts w:ascii="Helvetica" w:hAnsi="Helvetica" w:cs="Calibri"/>
          <w:lang w:val="en-US"/>
        </w:rPr>
      </w:pPr>
    </w:p>
    <w:p w14:paraId="0060AAEF" w14:textId="178A35F8" w:rsidR="000B7DA3" w:rsidRPr="009824AD" w:rsidRDefault="000B7DA3" w:rsidP="0064753B">
      <w:pPr>
        <w:pStyle w:val="Geenafstand"/>
        <w:spacing w:line="480" w:lineRule="auto"/>
        <w:jc w:val="both"/>
        <w:rPr>
          <w:rFonts w:ascii="Helvetica" w:hAnsi="Helvetica" w:cs="Calibri"/>
          <w:lang w:val="en-US"/>
        </w:rPr>
      </w:pPr>
    </w:p>
    <w:p w14:paraId="2C4525D7" w14:textId="73C97A88" w:rsidR="000B7DA3" w:rsidRPr="009824AD" w:rsidRDefault="000B7DA3" w:rsidP="0064753B">
      <w:pPr>
        <w:pStyle w:val="Geenafstand"/>
        <w:spacing w:line="480" w:lineRule="auto"/>
        <w:jc w:val="both"/>
        <w:rPr>
          <w:rFonts w:ascii="Helvetica" w:hAnsi="Helvetica" w:cs="Calibri"/>
          <w:lang w:val="en-US"/>
        </w:rPr>
      </w:pPr>
    </w:p>
    <w:p w14:paraId="136EA620" w14:textId="16E7D0B3" w:rsidR="000B7DA3" w:rsidRPr="009824AD" w:rsidRDefault="000B7DA3" w:rsidP="0064753B">
      <w:pPr>
        <w:pStyle w:val="Geenafstand"/>
        <w:spacing w:line="480" w:lineRule="auto"/>
        <w:jc w:val="both"/>
        <w:rPr>
          <w:rFonts w:ascii="Helvetica" w:hAnsi="Helvetica" w:cs="Calibri"/>
          <w:lang w:val="en-US"/>
        </w:rPr>
      </w:pPr>
    </w:p>
    <w:p w14:paraId="43AD96D7" w14:textId="758098A2" w:rsidR="000B7DA3" w:rsidRPr="009824AD" w:rsidRDefault="000B7DA3" w:rsidP="0064753B">
      <w:pPr>
        <w:pStyle w:val="Geenafstand"/>
        <w:spacing w:line="480" w:lineRule="auto"/>
        <w:jc w:val="both"/>
        <w:rPr>
          <w:rFonts w:ascii="Helvetica" w:hAnsi="Helvetica" w:cs="Calibri"/>
          <w:lang w:val="en-US"/>
        </w:rPr>
      </w:pPr>
    </w:p>
    <w:p w14:paraId="582DBBFD" w14:textId="77777777" w:rsidR="00B03CD4" w:rsidRDefault="00B03CD4" w:rsidP="00EC12A5">
      <w:pPr>
        <w:pStyle w:val="Kop1"/>
        <w:rPr>
          <w:rFonts w:ascii="Helvetica" w:hAnsi="Helvetica"/>
          <w:lang w:val="en-US"/>
        </w:rPr>
        <w:sectPr w:rsidR="00B03CD4" w:rsidSect="00CA02C7">
          <w:pgSz w:w="11900" w:h="16840"/>
          <w:pgMar w:top="1417" w:right="1417" w:bottom="1417" w:left="1417" w:header="708" w:footer="708" w:gutter="0"/>
          <w:cols w:space="708"/>
          <w:docGrid w:linePitch="360"/>
        </w:sectPr>
      </w:pPr>
    </w:p>
    <w:p w14:paraId="3FB5EDE5" w14:textId="20334AF7" w:rsidR="00D31821" w:rsidRPr="009824AD" w:rsidRDefault="00392E94" w:rsidP="00EC12A5">
      <w:pPr>
        <w:pStyle w:val="Kop1"/>
        <w:rPr>
          <w:rFonts w:ascii="Helvetica" w:hAnsi="Helvetica"/>
          <w:lang w:val="en-US"/>
        </w:rPr>
      </w:pPr>
      <w:r w:rsidRPr="009824AD">
        <w:rPr>
          <w:rFonts w:ascii="Helvetica" w:hAnsi="Helvetica"/>
          <w:lang w:val="en-US"/>
        </w:rPr>
        <w:lastRenderedPageBreak/>
        <w:t>RESULTS</w:t>
      </w:r>
    </w:p>
    <w:p w14:paraId="17E7EB76" w14:textId="7CFA51DD" w:rsidR="002D3BFB" w:rsidRPr="009824AD" w:rsidRDefault="002D3BFB" w:rsidP="00F24BAB">
      <w:pPr>
        <w:pStyle w:val="Kop2"/>
        <w:rPr>
          <w:rFonts w:ascii="Helvetica" w:hAnsi="Helvetica"/>
          <w:lang w:val="en-US"/>
        </w:rPr>
      </w:pPr>
      <w:r w:rsidRPr="009824AD">
        <w:rPr>
          <w:rFonts w:ascii="Helvetica" w:hAnsi="Helvetica"/>
          <w:lang w:val="en-US"/>
        </w:rPr>
        <w:t>Baseline characteristics</w:t>
      </w:r>
    </w:p>
    <w:p w14:paraId="3D0DAB6E" w14:textId="2A90FE28" w:rsidR="00397722" w:rsidRPr="009824AD" w:rsidRDefault="00854EAB" w:rsidP="00F75A7E">
      <w:pPr>
        <w:spacing w:line="480" w:lineRule="auto"/>
        <w:jc w:val="both"/>
        <w:rPr>
          <w:rFonts w:ascii="Helvetica" w:hAnsi="Helvetica" w:cs="Calibri"/>
          <w:sz w:val="22"/>
          <w:szCs w:val="22"/>
          <w:lang w:val="en-US"/>
        </w:rPr>
      </w:pPr>
      <w:bookmarkStart w:id="2" w:name="OLE_LINK1"/>
      <w:bookmarkStart w:id="3" w:name="OLE_LINK2"/>
      <w:r w:rsidRPr="009824AD">
        <w:rPr>
          <w:rFonts w:ascii="Helvetica" w:hAnsi="Helvetica" w:cs="Calibri"/>
          <w:color w:val="000000"/>
          <w:sz w:val="22"/>
          <w:szCs w:val="22"/>
          <w:shd w:val="clear" w:color="auto" w:fill="FFFFFF"/>
          <w:lang w:val="en-US"/>
        </w:rPr>
        <w:t>Among 14</w:t>
      </w:r>
      <w:r w:rsidR="00475368" w:rsidRPr="009824AD">
        <w:rPr>
          <w:rFonts w:ascii="Helvetica" w:hAnsi="Helvetica" w:cs="Calibri"/>
          <w:color w:val="000000"/>
          <w:sz w:val="22"/>
          <w:szCs w:val="22"/>
          <w:shd w:val="clear" w:color="auto" w:fill="FFFFFF"/>
          <w:lang w:val="en-US"/>
        </w:rPr>
        <w:t>,</w:t>
      </w:r>
      <w:r w:rsidRPr="009824AD">
        <w:rPr>
          <w:rFonts w:ascii="Helvetica" w:hAnsi="Helvetica" w:cs="Calibri"/>
          <w:color w:val="000000"/>
          <w:sz w:val="22"/>
          <w:szCs w:val="22"/>
          <w:shd w:val="clear" w:color="auto" w:fill="FFFFFF"/>
          <w:lang w:val="en-US"/>
        </w:rPr>
        <w:t xml:space="preserve">514 patients screened from 15 participating European and American </w:t>
      </w:r>
      <w:r w:rsidR="000B7DA3" w:rsidRPr="009824AD">
        <w:rPr>
          <w:rFonts w:ascii="Helvetica" w:hAnsi="Helvetica" w:cs="Calibri"/>
          <w:color w:val="000000"/>
          <w:sz w:val="22"/>
          <w:szCs w:val="22"/>
          <w:shd w:val="clear" w:color="auto" w:fill="FFFFFF"/>
          <w:lang w:val="en-US"/>
        </w:rPr>
        <w:t>center</w:t>
      </w:r>
      <w:r w:rsidRPr="009824AD">
        <w:rPr>
          <w:rFonts w:ascii="Helvetica" w:hAnsi="Helvetica" w:cs="Calibri"/>
          <w:color w:val="000000"/>
          <w:sz w:val="22"/>
          <w:szCs w:val="22"/>
          <w:shd w:val="clear" w:color="auto" w:fill="FFFFFF"/>
          <w:lang w:val="en-US"/>
        </w:rPr>
        <w:t xml:space="preserve">s, </w:t>
      </w:r>
      <w:r w:rsidR="0046370B" w:rsidRPr="009824AD">
        <w:rPr>
          <w:rFonts w:ascii="Helvetica" w:hAnsi="Helvetica" w:cs="Calibri"/>
          <w:color w:val="000000"/>
          <w:sz w:val="22"/>
          <w:szCs w:val="22"/>
          <w:shd w:val="clear" w:color="auto" w:fill="FFFFFF"/>
          <w:lang w:val="en-US"/>
        </w:rPr>
        <w:t xml:space="preserve">345 </w:t>
      </w:r>
      <w:r w:rsidRPr="009824AD">
        <w:rPr>
          <w:rFonts w:ascii="Helvetica" w:hAnsi="Helvetica" w:cs="Calibri"/>
          <w:color w:val="000000"/>
          <w:sz w:val="22"/>
          <w:szCs w:val="22"/>
          <w:shd w:val="clear" w:color="auto" w:fill="FFFFFF"/>
          <w:lang w:val="en-US"/>
        </w:rPr>
        <w:t>patients were excluded for the reasons shown in Fig</w:t>
      </w:r>
      <w:r w:rsidR="00B00F0F" w:rsidRPr="009824AD">
        <w:rPr>
          <w:rFonts w:ascii="Helvetica" w:hAnsi="Helvetica" w:cs="Calibri"/>
          <w:color w:val="000000"/>
          <w:sz w:val="22"/>
          <w:szCs w:val="22"/>
          <w:shd w:val="clear" w:color="auto" w:fill="FFFFFF"/>
          <w:lang w:val="en-US"/>
        </w:rPr>
        <w:t xml:space="preserve">ure </w:t>
      </w:r>
      <w:r w:rsidR="0046370B" w:rsidRPr="009824AD">
        <w:rPr>
          <w:rFonts w:ascii="Helvetica" w:hAnsi="Helvetica" w:cs="Calibri"/>
          <w:color w:val="000000"/>
          <w:sz w:val="22"/>
          <w:szCs w:val="22"/>
          <w:shd w:val="clear" w:color="auto" w:fill="FFFFFF"/>
          <w:lang w:val="en-US"/>
        </w:rPr>
        <w:t xml:space="preserve">1. Another 790 patients were excluded due to need for biliary reconstruction. </w:t>
      </w:r>
      <w:r w:rsidRPr="009824AD">
        <w:rPr>
          <w:rFonts w:ascii="Helvetica" w:hAnsi="Helvetica" w:cs="Calibri"/>
          <w:color w:val="000000"/>
          <w:sz w:val="22"/>
          <w:szCs w:val="22"/>
          <w:shd w:val="clear" w:color="auto" w:fill="FFFFFF"/>
          <w:lang w:val="en-US"/>
        </w:rPr>
        <w:t>In total, 1</w:t>
      </w:r>
      <w:r w:rsidR="0046370B" w:rsidRPr="009824AD">
        <w:rPr>
          <w:rFonts w:ascii="Helvetica" w:hAnsi="Helvetica" w:cs="Calibri"/>
          <w:color w:val="000000"/>
          <w:sz w:val="22"/>
          <w:szCs w:val="22"/>
          <w:shd w:val="clear" w:color="auto" w:fill="FFFFFF"/>
          <w:lang w:val="en-US"/>
        </w:rPr>
        <w:t>3</w:t>
      </w:r>
      <w:r w:rsidR="00475368" w:rsidRPr="009824AD">
        <w:rPr>
          <w:rFonts w:ascii="Helvetica" w:hAnsi="Helvetica" w:cs="Calibri"/>
          <w:color w:val="000000"/>
          <w:sz w:val="22"/>
          <w:szCs w:val="22"/>
          <w:shd w:val="clear" w:color="auto" w:fill="FFFFFF"/>
          <w:lang w:val="en-US"/>
        </w:rPr>
        <w:t>,</w:t>
      </w:r>
      <w:r w:rsidR="0046370B" w:rsidRPr="009824AD">
        <w:rPr>
          <w:rFonts w:ascii="Helvetica" w:hAnsi="Helvetica" w:cs="Calibri"/>
          <w:color w:val="000000"/>
          <w:sz w:val="22"/>
          <w:szCs w:val="22"/>
          <w:shd w:val="clear" w:color="auto" w:fill="FFFFFF"/>
          <w:lang w:val="en-US"/>
        </w:rPr>
        <w:t>379</w:t>
      </w:r>
      <w:r w:rsidR="003D5693" w:rsidRPr="009824AD">
        <w:rPr>
          <w:rFonts w:ascii="Helvetica" w:hAnsi="Helvetica" w:cs="Calibri"/>
          <w:color w:val="000000"/>
          <w:sz w:val="22"/>
          <w:szCs w:val="22"/>
          <w:shd w:val="clear" w:color="auto" w:fill="FFFFFF"/>
          <w:lang w:val="en-US"/>
        </w:rPr>
        <w:t xml:space="preserve"> </w:t>
      </w:r>
      <w:r w:rsidR="00B8036D" w:rsidRPr="009824AD">
        <w:rPr>
          <w:rFonts w:ascii="Helvetica" w:hAnsi="Helvetica" w:cs="Calibri"/>
          <w:sz w:val="22"/>
          <w:szCs w:val="22"/>
          <w:lang w:val="en-US"/>
        </w:rPr>
        <w:t>patients met the inclusion criteria and were included in the analysis</w:t>
      </w:r>
      <w:r w:rsidR="003D5693" w:rsidRPr="009824AD">
        <w:rPr>
          <w:rFonts w:ascii="Helvetica" w:hAnsi="Helvetica" w:cs="Calibri"/>
          <w:sz w:val="22"/>
          <w:szCs w:val="22"/>
          <w:lang w:val="en-US"/>
        </w:rPr>
        <w:t xml:space="preserve"> (6</w:t>
      </w:r>
      <w:r w:rsidR="00475368" w:rsidRPr="009824AD">
        <w:rPr>
          <w:rFonts w:ascii="Helvetica" w:hAnsi="Helvetica" w:cs="Calibri"/>
          <w:sz w:val="22"/>
          <w:szCs w:val="22"/>
          <w:lang w:val="en-US"/>
        </w:rPr>
        <w:t>,</w:t>
      </w:r>
      <w:r w:rsidR="003D5693" w:rsidRPr="009824AD">
        <w:rPr>
          <w:rFonts w:ascii="Helvetica" w:hAnsi="Helvetica" w:cs="Calibri"/>
          <w:sz w:val="22"/>
          <w:szCs w:val="22"/>
          <w:lang w:val="en-US"/>
        </w:rPr>
        <w:t>369</w:t>
      </w:r>
      <w:r w:rsidR="00B8036D" w:rsidRPr="009824AD">
        <w:rPr>
          <w:rFonts w:ascii="Helvetica" w:hAnsi="Helvetica" w:cs="Calibri"/>
          <w:sz w:val="22"/>
          <w:szCs w:val="22"/>
          <w:lang w:val="en-US"/>
        </w:rPr>
        <w:t xml:space="preserve"> </w:t>
      </w:r>
      <w:r w:rsidR="00D7062F" w:rsidRPr="009824AD">
        <w:rPr>
          <w:rFonts w:ascii="Helvetica" w:hAnsi="Helvetica" w:cs="Calibri"/>
          <w:sz w:val="22"/>
          <w:szCs w:val="22"/>
          <w:lang w:val="en-US"/>
        </w:rPr>
        <w:t>LLR</w:t>
      </w:r>
      <w:r w:rsidR="00B8036D" w:rsidRPr="009824AD">
        <w:rPr>
          <w:rFonts w:ascii="Helvetica" w:hAnsi="Helvetica" w:cs="Calibri"/>
          <w:sz w:val="22"/>
          <w:szCs w:val="22"/>
          <w:lang w:val="en-US"/>
        </w:rPr>
        <w:t xml:space="preserve"> and </w:t>
      </w:r>
      <w:r w:rsidR="003D5693" w:rsidRPr="009824AD">
        <w:rPr>
          <w:rFonts w:ascii="Helvetica" w:hAnsi="Helvetica" w:cs="Calibri"/>
          <w:sz w:val="22"/>
          <w:szCs w:val="22"/>
          <w:lang w:val="en-US"/>
        </w:rPr>
        <w:t>7</w:t>
      </w:r>
      <w:r w:rsidR="00475368" w:rsidRPr="009824AD">
        <w:rPr>
          <w:rFonts w:ascii="Helvetica" w:hAnsi="Helvetica" w:cs="Calibri"/>
          <w:sz w:val="22"/>
          <w:szCs w:val="22"/>
          <w:lang w:val="en-US"/>
        </w:rPr>
        <w:t>,</w:t>
      </w:r>
      <w:r w:rsidR="003D5693" w:rsidRPr="009824AD">
        <w:rPr>
          <w:rFonts w:ascii="Helvetica" w:hAnsi="Helvetica" w:cs="Calibri"/>
          <w:sz w:val="22"/>
          <w:szCs w:val="22"/>
          <w:lang w:val="en-US"/>
        </w:rPr>
        <w:t>010</w:t>
      </w:r>
      <w:r w:rsidR="00B8036D" w:rsidRPr="009824AD">
        <w:rPr>
          <w:rFonts w:ascii="Helvetica" w:hAnsi="Helvetica" w:cs="Calibri"/>
          <w:sz w:val="22"/>
          <w:szCs w:val="22"/>
          <w:lang w:val="en-US"/>
        </w:rPr>
        <w:t xml:space="preserve"> </w:t>
      </w:r>
      <w:r w:rsidR="00D7062F" w:rsidRPr="009824AD">
        <w:rPr>
          <w:rFonts w:ascii="Helvetica" w:hAnsi="Helvetica" w:cs="Calibri"/>
          <w:sz w:val="22"/>
          <w:szCs w:val="22"/>
          <w:lang w:val="en-US"/>
        </w:rPr>
        <w:t>OLR</w:t>
      </w:r>
      <w:r w:rsidR="003D5693" w:rsidRPr="009824AD">
        <w:rPr>
          <w:rFonts w:ascii="Helvetica" w:hAnsi="Helvetica" w:cs="Calibri"/>
          <w:sz w:val="22"/>
          <w:szCs w:val="22"/>
          <w:lang w:val="en-US"/>
        </w:rPr>
        <w:t>)</w:t>
      </w:r>
      <w:r w:rsidR="0032702B" w:rsidRPr="009824AD">
        <w:rPr>
          <w:rFonts w:ascii="Helvetica" w:hAnsi="Helvetica" w:cs="Calibri"/>
          <w:sz w:val="22"/>
          <w:szCs w:val="22"/>
          <w:lang w:val="en-US"/>
        </w:rPr>
        <w:t>.</w:t>
      </w:r>
      <w:r w:rsidR="00B8036D" w:rsidRPr="009824AD">
        <w:rPr>
          <w:rFonts w:ascii="Helvetica" w:hAnsi="Helvetica" w:cs="Calibri"/>
          <w:sz w:val="22"/>
          <w:szCs w:val="22"/>
          <w:lang w:val="en-US"/>
        </w:rPr>
        <w:t xml:space="preserve"> </w:t>
      </w:r>
      <w:r w:rsidR="00DD6915" w:rsidRPr="009824AD">
        <w:rPr>
          <w:rFonts w:ascii="Helvetica" w:hAnsi="Helvetica" w:cs="Calibri"/>
          <w:sz w:val="22"/>
          <w:szCs w:val="22"/>
          <w:lang w:val="en-US"/>
        </w:rPr>
        <w:t xml:space="preserve">The overall median center volume was 302 LLR procedures (IQR 208.5 - 622.5 LLR procedures) and 364 OLR procedures (IQR 39 - 765.5 OLR procedures). </w:t>
      </w:r>
    </w:p>
    <w:p w14:paraId="08214C3F" w14:textId="19C4F4D6" w:rsidR="00FA6AA3" w:rsidRPr="009824AD" w:rsidRDefault="00B8036D" w:rsidP="00F75A7E">
      <w:pPr>
        <w:spacing w:line="480" w:lineRule="auto"/>
        <w:jc w:val="both"/>
        <w:rPr>
          <w:rFonts w:ascii="Helvetica" w:hAnsi="Helvetica" w:cs="Calibri"/>
          <w:sz w:val="22"/>
          <w:szCs w:val="22"/>
          <w:lang w:val="en-US"/>
        </w:rPr>
      </w:pPr>
      <w:r w:rsidRPr="009824AD">
        <w:rPr>
          <w:rFonts w:ascii="Helvetica" w:hAnsi="Helvetica" w:cs="Calibri"/>
          <w:sz w:val="22"/>
          <w:szCs w:val="22"/>
          <w:lang w:val="en-US"/>
        </w:rPr>
        <w:t xml:space="preserve">Baseline characteristics </w:t>
      </w:r>
      <w:bookmarkEnd w:id="2"/>
      <w:bookmarkEnd w:id="3"/>
      <w:r w:rsidRPr="009824AD">
        <w:rPr>
          <w:rFonts w:ascii="Helvetica" w:hAnsi="Helvetica" w:cs="Calibri"/>
          <w:sz w:val="22"/>
          <w:szCs w:val="22"/>
          <w:lang w:val="en-US"/>
        </w:rPr>
        <w:t xml:space="preserve">are shown in table 1. </w:t>
      </w:r>
      <w:r w:rsidR="003D5693" w:rsidRPr="009824AD">
        <w:rPr>
          <w:rFonts w:ascii="Helvetica" w:hAnsi="Helvetica" w:cs="Calibri"/>
          <w:sz w:val="22"/>
          <w:szCs w:val="22"/>
          <w:lang w:val="en-US"/>
        </w:rPr>
        <w:t>Prior to matching,</w:t>
      </w:r>
      <w:r w:rsidR="00233BEE" w:rsidRPr="009824AD">
        <w:rPr>
          <w:rFonts w:ascii="Helvetica" w:hAnsi="Helvetica" w:cs="Calibri"/>
          <w:sz w:val="22"/>
          <w:szCs w:val="22"/>
          <w:lang w:val="en-US"/>
        </w:rPr>
        <w:t xml:space="preserve"> t</w:t>
      </w:r>
      <w:r w:rsidR="0032702B" w:rsidRPr="009824AD">
        <w:rPr>
          <w:rFonts w:ascii="Helvetica" w:hAnsi="Helvetica" w:cs="Calibri"/>
          <w:sz w:val="22"/>
          <w:szCs w:val="22"/>
          <w:lang w:val="en-US"/>
        </w:rPr>
        <w:t>here were</w:t>
      </w:r>
      <w:r w:rsidR="00C122FD" w:rsidRPr="009824AD">
        <w:rPr>
          <w:rFonts w:ascii="Helvetica" w:hAnsi="Helvetica" w:cs="Calibri"/>
          <w:sz w:val="22"/>
          <w:szCs w:val="22"/>
          <w:lang w:val="en-US"/>
        </w:rPr>
        <w:t xml:space="preserve"> more women</w:t>
      </w:r>
      <w:r w:rsidR="00FA6AA3" w:rsidRPr="009824AD">
        <w:rPr>
          <w:rFonts w:ascii="Helvetica" w:hAnsi="Helvetica" w:cs="Calibri"/>
          <w:sz w:val="22"/>
          <w:szCs w:val="22"/>
          <w:lang w:val="en-US"/>
        </w:rPr>
        <w:t xml:space="preserve"> </w:t>
      </w:r>
      <w:r w:rsidRPr="009824AD">
        <w:rPr>
          <w:rFonts w:ascii="Helvetica" w:hAnsi="Helvetica" w:cs="Calibri"/>
          <w:sz w:val="22"/>
          <w:szCs w:val="22"/>
          <w:lang w:val="en-US"/>
        </w:rPr>
        <w:t xml:space="preserve">in the </w:t>
      </w:r>
      <w:r w:rsidR="00D7062F" w:rsidRPr="009824AD">
        <w:rPr>
          <w:rFonts w:ascii="Helvetica" w:hAnsi="Helvetica" w:cs="Calibri"/>
          <w:sz w:val="22"/>
          <w:szCs w:val="22"/>
          <w:lang w:val="en-US"/>
        </w:rPr>
        <w:t>LLR</w:t>
      </w:r>
      <w:r w:rsidRPr="009824AD">
        <w:rPr>
          <w:rFonts w:ascii="Helvetica" w:hAnsi="Helvetica" w:cs="Calibri"/>
          <w:sz w:val="22"/>
          <w:szCs w:val="22"/>
          <w:lang w:val="en-US"/>
        </w:rPr>
        <w:t xml:space="preserve"> group </w:t>
      </w:r>
      <w:r w:rsidR="0032702B" w:rsidRPr="009824AD">
        <w:rPr>
          <w:rFonts w:ascii="Helvetica" w:hAnsi="Helvetica" w:cs="Calibri"/>
          <w:sz w:val="22"/>
          <w:szCs w:val="22"/>
          <w:lang w:val="en-US"/>
        </w:rPr>
        <w:t>as compared to</w:t>
      </w:r>
      <w:r w:rsidRPr="009824AD">
        <w:rPr>
          <w:rFonts w:ascii="Helvetica" w:hAnsi="Helvetica" w:cs="Calibri"/>
          <w:sz w:val="22"/>
          <w:szCs w:val="22"/>
          <w:lang w:val="en-US"/>
        </w:rPr>
        <w:t xml:space="preserve"> the open group (</w:t>
      </w:r>
      <w:r w:rsidR="00C122FD" w:rsidRPr="009824AD">
        <w:rPr>
          <w:rFonts w:ascii="Helvetica" w:hAnsi="Helvetica" w:cs="Calibri"/>
          <w:sz w:val="22"/>
          <w:szCs w:val="22"/>
          <w:lang w:val="en-US"/>
        </w:rPr>
        <w:t>44.</w:t>
      </w:r>
      <w:r w:rsidR="00707BB9" w:rsidRPr="009824AD">
        <w:rPr>
          <w:rFonts w:ascii="Helvetica" w:hAnsi="Helvetica" w:cs="Calibri"/>
          <w:sz w:val="22"/>
          <w:szCs w:val="22"/>
          <w:lang w:val="en-US"/>
        </w:rPr>
        <w:t>4</w:t>
      </w:r>
      <w:r w:rsidR="000B7DA3" w:rsidRPr="009824AD">
        <w:rPr>
          <w:rFonts w:ascii="Helvetica" w:hAnsi="Helvetica" w:cs="Calibri"/>
          <w:sz w:val="22"/>
          <w:szCs w:val="22"/>
          <w:lang w:val="en-US"/>
        </w:rPr>
        <w:t>%</w:t>
      </w:r>
      <w:r w:rsidRPr="009824AD">
        <w:rPr>
          <w:rFonts w:ascii="Helvetica" w:hAnsi="Helvetica" w:cs="Calibri"/>
          <w:sz w:val="22"/>
          <w:szCs w:val="22"/>
          <w:lang w:val="en-US"/>
        </w:rPr>
        <w:t xml:space="preserve"> vs. </w:t>
      </w:r>
      <w:r w:rsidR="00C122FD" w:rsidRPr="009824AD">
        <w:rPr>
          <w:rFonts w:ascii="Helvetica" w:hAnsi="Helvetica" w:cs="Calibri"/>
          <w:sz w:val="22"/>
          <w:szCs w:val="22"/>
          <w:lang w:val="en-US"/>
        </w:rPr>
        <w:t>39.</w:t>
      </w:r>
      <w:r w:rsidR="00707BB9" w:rsidRPr="009824AD">
        <w:rPr>
          <w:rFonts w:ascii="Helvetica" w:hAnsi="Helvetica" w:cs="Calibri"/>
          <w:sz w:val="22"/>
          <w:szCs w:val="22"/>
          <w:lang w:val="en-US"/>
        </w:rPr>
        <w:t>4</w:t>
      </w:r>
      <w:r w:rsidR="000B7DA3" w:rsidRPr="009824AD">
        <w:rPr>
          <w:rFonts w:ascii="Helvetica" w:hAnsi="Helvetica" w:cs="Calibri"/>
          <w:sz w:val="22"/>
          <w:szCs w:val="22"/>
          <w:lang w:val="en-US"/>
        </w:rPr>
        <w:t>%</w:t>
      </w:r>
      <w:r w:rsidRPr="009824AD">
        <w:rPr>
          <w:rFonts w:ascii="Helvetica" w:hAnsi="Helvetica" w:cs="Calibri"/>
          <w:sz w:val="22"/>
          <w:szCs w:val="22"/>
          <w:lang w:val="en-US"/>
        </w:rPr>
        <w:t xml:space="preserve">; </w:t>
      </w:r>
      <w:r w:rsidR="00707BB9" w:rsidRPr="009824AD">
        <w:rPr>
          <w:rFonts w:ascii="Helvetica" w:hAnsi="Helvetica" w:cs="Calibri"/>
          <w:sz w:val="22"/>
          <w:szCs w:val="22"/>
          <w:lang w:val="en-US"/>
        </w:rPr>
        <w:t>SMD= 0.10</w:t>
      </w:r>
      <w:r w:rsidRPr="009824AD">
        <w:rPr>
          <w:rFonts w:ascii="Helvetica" w:hAnsi="Helvetica" w:cs="Calibri"/>
          <w:sz w:val="22"/>
          <w:szCs w:val="22"/>
          <w:lang w:val="en-US"/>
        </w:rPr>
        <w:t xml:space="preserve">). </w:t>
      </w:r>
      <w:r w:rsidR="00FA6AA3" w:rsidRPr="009824AD">
        <w:rPr>
          <w:rFonts w:ascii="Helvetica" w:hAnsi="Helvetica" w:cs="Calibri"/>
          <w:sz w:val="22"/>
          <w:szCs w:val="22"/>
          <w:lang w:val="en-US"/>
        </w:rPr>
        <w:t xml:space="preserve">Patients who underwent LLR received less neoadjuvant chemotherapy </w:t>
      </w:r>
      <w:r w:rsidR="00707BB9" w:rsidRPr="009824AD">
        <w:rPr>
          <w:rFonts w:ascii="Helvetica" w:hAnsi="Helvetica" w:cs="Calibri"/>
          <w:sz w:val="22"/>
          <w:szCs w:val="22"/>
          <w:lang w:val="en-US"/>
        </w:rPr>
        <w:t>(32.3</w:t>
      </w:r>
      <w:r w:rsidR="000B7DA3" w:rsidRPr="009824AD">
        <w:rPr>
          <w:rFonts w:ascii="Helvetica" w:hAnsi="Helvetica" w:cs="Calibri"/>
          <w:sz w:val="22"/>
          <w:szCs w:val="22"/>
          <w:lang w:val="en-US"/>
        </w:rPr>
        <w:t>%</w:t>
      </w:r>
      <w:r w:rsidR="00707BB9" w:rsidRPr="009824AD">
        <w:rPr>
          <w:rFonts w:ascii="Helvetica" w:hAnsi="Helvetica" w:cs="Calibri"/>
          <w:sz w:val="22"/>
          <w:szCs w:val="22"/>
          <w:lang w:val="en-US"/>
        </w:rPr>
        <w:t xml:space="preserve"> vs. 41.6</w:t>
      </w:r>
      <w:r w:rsidR="000B7DA3" w:rsidRPr="009824AD">
        <w:rPr>
          <w:rFonts w:ascii="Helvetica" w:hAnsi="Helvetica" w:cs="Calibri"/>
          <w:sz w:val="22"/>
          <w:szCs w:val="22"/>
          <w:lang w:val="en-US"/>
        </w:rPr>
        <w:t>%</w:t>
      </w:r>
      <w:r w:rsidR="00707BB9" w:rsidRPr="009824AD">
        <w:rPr>
          <w:rFonts w:ascii="Helvetica" w:hAnsi="Helvetica" w:cs="Calibri"/>
          <w:sz w:val="22"/>
          <w:szCs w:val="22"/>
          <w:lang w:val="en-US"/>
        </w:rPr>
        <w:t xml:space="preserve">; SMD= 0.19) </w:t>
      </w:r>
      <w:r w:rsidR="00FA6AA3" w:rsidRPr="009824AD">
        <w:rPr>
          <w:rFonts w:ascii="Helvetica" w:hAnsi="Helvetica" w:cs="Calibri"/>
          <w:sz w:val="22"/>
          <w:szCs w:val="22"/>
          <w:lang w:val="en-US"/>
        </w:rPr>
        <w:t xml:space="preserve">and had less previous liver surgery </w:t>
      </w:r>
      <w:r w:rsidR="00707BB9" w:rsidRPr="009824AD">
        <w:rPr>
          <w:rFonts w:ascii="Helvetica" w:hAnsi="Helvetica" w:cs="Calibri"/>
          <w:sz w:val="22"/>
          <w:szCs w:val="22"/>
          <w:lang w:val="en-US"/>
        </w:rPr>
        <w:t>(11.2</w:t>
      </w:r>
      <w:r w:rsidR="000B7DA3" w:rsidRPr="009824AD">
        <w:rPr>
          <w:rFonts w:ascii="Helvetica" w:hAnsi="Helvetica" w:cs="Calibri"/>
          <w:sz w:val="22"/>
          <w:szCs w:val="22"/>
          <w:lang w:val="en-US"/>
        </w:rPr>
        <w:t>%</w:t>
      </w:r>
      <w:r w:rsidR="00707BB9" w:rsidRPr="009824AD">
        <w:rPr>
          <w:rFonts w:ascii="Helvetica" w:hAnsi="Helvetica" w:cs="Calibri"/>
          <w:sz w:val="22"/>
          <w:szCs w:val="22"/>
          <w:lang w:val="en-US"/>
        </w:rPr>
        <w:t xml:space="preserve"> vs. 15.7</w:t>
      </w:r>
      <w:r w:rsidR="000B7DA3" w:rsidRPr="009824AD">
        <w:rPr>
          <w:rFonts w:ascii="Helvetica" w:hAnsi="Helvetica" w:cs="Calibri"/>
          <w:sz w:val="22"/>
          <w:szCs w:val="22"/>
          <w:lang w:val="en-US"/>
        </w:rPr>
        <w:t>%</w:t>
      </w:r>
      <w:r w:rsidR="00707BB9" w:rsidRPr="009824AD">
        <w:rPr>
          <w:rFonts w:ascii="Helvetica" w:hAnsi="Helvetica" w:cs="Calibri"/>
          <w:sz w:val="22"/>
          <w:szCs w:val="22"/>
          <w:lang w:val="en-US"/>
        </w:rPr>
        <w:t xml:space="preserve">; SMD= 0.13) </w:t>
      </w:r>
      <w:r w:rsidR="00FA6AA3" w:rsidRPr="009824AD">
        <w:rPr>
          <w:rFonts w:ascii="Helvetica" w:hAnsi="Helvetica" w:cs="Calibri"/>
          <w:sz w:val="22"/>
          <w:szCs w:val="22"/>
          <w:lang w:val="en-US"/>
        </w:rPr>
        <w:t xml:space="preserve">as compared to the open group. A benign histological diagnosis was observed more often </w:t>
      </w:r>
      <w:r w:rsidRPr="009824AD">
        <w:rPr>
          <w:rFonts w:ascii="Helvetica" w:hAnsi="Helvetica" w:cs="Calibri"/>
          <w:sz w:val="22"/>
          <w:szCs w:val="22"/>
          <w:lang w:val="en-US"/>
        </w:rPr>
        <w:t xml:space="preserve">in the </w:t>
      </w:r>
      <w:r w:rsidR="00D7062F" w:rsidRPr="009824AD">
        <w:rPr>
          <w:rFonts w:ascii="Helvetica" w:hAnsi="Helvetica" w:cs="Calibri"/>
          <w:sz w:val="22"/>
          <w:szCs w:val="22"/>
          <w:lang w:val="en-US"/>
        </w:rPr>
        <w:t>LLR</w:t>
      </w:r>
      <w:r w:rsidRPr="009824AD">
        <w:rPr>
          <w:rFonts w:ascii="Helvetica" w:hAnsi="Helvetica" w:cs="Calibri"/>
          <w:sz w:val="22"/>
          <w:szCs w:val="22"/>
          <w:lang w:val="en-US"/>
        </w:rPr>
        <w:t xml:space="preserve"> group, as compared to the </w:t>
      </w:r>
      <w:r w:rsidR="00D7062F" w:rsidRPr="009824AD">
        <w:rPr>
          <w:rFonts w:ascii="Helvetica" w:hAnsi="Helvetica" w:cs="Calibri"/>
          <w:sz w:val="22"/>
          <w:szCs w:val="22"/>
          <w:lang w:val="en-US"/>
        </w:rPr>
        <w:t>OLR</w:t>
      </w:r>
      <w:r w:rsidRPr="009824AD">
        <w:rPr>
          <w:rFonts w:ascii="Helvetica" w:hAnsi="Helvetica" w:cs="Calibri"/>
          <w:sz w:val="22"/>
          <w:szCs w:val="22"/>
          <w:lang w:val="en-US"/>
        </w:rPr>
        <w:t xml:space="preserve"> group (16.</w:t>
      </w:r>
      <w:r w:rsidR="00707BB9" w:rsidRPr="009824AD">
        <w:rPr>
          <w:rFonts w:ascii="Helvetica" w:hAnsi="Helvetica" w:cs="Calibri"/>
          <w:sz w:val="22"/>
          <w:szCs w:val="22"/>
          <w:lang w:val="en-US"/>
        </w:rPr>
        <w:t>5</w:t>
      </w:r>
      <w:r w:rsidR="000B7DA3" w:rsidRPr="009824AD">
        <w:rPr>
          <w:rFonts w:ascii="Helvetica" w:hAnsi="Helvetica" w:cs="Calibri"/>
          <w:sz w:val="22"/>
          <w:szCs w:val="22"/>
          <w:lang w:val="en-US"/>
        </w:rPr>
        <w:t>%</w:t>
      </w:r>
      <w:r w:rsidRPr="009824AD">
        <w:rPr>
          <w:rFonts w:ascii="Helvetica" w:hAnsi="Helvetica" w:cs="Calibri"/>
          <w:sz w:val="22"/>
          <w:szCs w:val="22"/>
          <w:lang w:val="en-US"/>
        </w:rPr>
        <w:t xml:space="preserve"> vs. 9.</w:t>
      </w:r>
      <w:r w:rsidR="00707BB9" w:rsidRPr="009824AD">
        <w:rPr>
          <w:rFonts w:ascii="Helvetica" w:hAnsi="Helvetica" w:cs="Calibri"/>
          <w:sz w:val="22"/>
          <w:szCs w:val="22"/>
          <w:lang w:val="en-US"/>
        </w:rPr>
        <w:t>8</w:t>
      </w:r>
      <w:r w:rsidR="000B7DA3" w:rsidRPr="009824AD">
        <w:rPr>
          <w:rFonts w:ascii="Helvetica" w:hAnsi="Helvetica" w:cs="Calibri"/>
          <w:sz w:val="22"/>
          <w:szCs w:val="22"/>
          <w:lang w:val="en-US"/>
        </w:rPr>
        <w:t>%</w:t>
      </w:r>
      <w:r w:rsidRPr="009824AD">
        <w:rPr>
          <w:rFonts w:ascii="Helvetica" w:hAnsi="Helvetica" w:cs="Calibri"/>
          <w:sz w:val="22"/>
          <w:szCs w:val="22"/>
          <w:lang w:val="en-US"/>
        </w:rPr>
        <w:t xml:space="preserve">; </w:t>
      </w:r>
      <w:r w:rsidR="00707BB9" w:rsidRPr="009824AD">
        <w:rPr>
          <w:rFonts w:ascii="Helvetica" w:hAnsi="Helvetica" w:cs="Calibri"/>
          <w:sz w:val="22"/>
          <w:szCs w:val="22"/>
          <w:lang w:val="en-US"/>
        </w:rPr>
        <w:t>SMD 0.14</w:t>
      </w:r>
      <w:r w:rsidR="00707BB9" w:rsidRPr="009824AD">
        <w:rPr>
          <w:rFonts w:ascii="Helvetica" w:hAnsi="Helvetica" w:cs="Calibri"/>
          <w:i/>
          <w:iCs/>
          <w:sz w:val="22"/>
          <w:szCs w:val="22"/>
          <w:lang w:val="en-US"/>
        </w:rPr>
        <w:t>)</w:t>
      </w:r>
      <w:r w:rsidRPr="009824AD">
        <w:rPr>
          <w:rFonts w:ascii="Helvetica" w:hAnsi="Helvetica" w:cs="Calibri"/>
          <w:sz w:val="22"/>
          <w:szCs w:val="22"/>
          <w:lang w:val="en-US"/>
        </w:rPr>
        <w:t xml:space="preserve">. </w:t>
      </w:r>
      <w:r w:rsidR="000B7DA3" w:rsidRPr="009824AD">
        <w:rPr>
          <w:rFonts w:ascii="Helvetica" w:hAnsi="Helvetica" w:cs="Calibri"/>
          <w:sz w:val="22"/>
          <w:szCs w:val="22"/>
          <w:lang w:val="en-US"/>
        </w:rPr>
        <w:t>Tumors</w:t>
      </w:r>
      <w:r w:rsidR="00FA6AA3" w:rsidRPr="009824AD">
        <w:rPr>
          <w:rFonts w:ascii="Helvetica" w:hAnsi="Helvetica" w:cs="Calibri"/>
          <w:sz w:val="22"/>
          <w:szCs w:val="22"/>
          <w:lang w:val="en-US"/>
        </w:rPr>
        <w:t xml:space="preserve"> of patients who underwent LLR were smaller as compared to patients who underwent OLR</w:t>
      </w:r>
      <w:r w:rsidR="00707BB9" w:rsidRPr="009824AD">
        <w:rPr>
          <w:rFonts w:ascii="Helvetica" w:hAnsi="Helvetica" w:cs="Calibri"/>
          <w:sz w:val="22"/>
          <w:szCs w:val="22"/>
          <w:lang w:val="en-US"/>
        </w:rPr>
        <w:t xml:space="preserve"> (28.0 mm (</w:t>
      </w:r>
      <w:r w:rsidR="00493F8D" w:rsidRPr="009824AD">
        <w:rPr>
          <w:rFonts w:ascii="Helvetica" w:hAnsi="Helvetica" w:cs="Calibri"/>
          <w:sz w:val="22"/>
          <w:szCs w:val="22"/>
          <w:lang w:val="en-US"/>
        </w:rPr>
        <w:t>IQR</w:t>
      </w:r>
      <w:r w:rsidR="00707BB9" w:rsidRPr="009824AD">
        <w:rPr>
          <w:rFonts w:ascii="Helvetica" w:hAnsi="Helvetica" w:cs="Calibri"/>
          <w:sz w:val="22"/>
          <w:szCs w:val="22"/>
          <w:lang w:val="en-US"/>
        </w:rPr>
        <w:t xml:space="preserve"> 17.0-45.0) vs 35.0 </w:t>
      </w:r>
      <w:r w:rsidR="00EB28F3" w:rsidRPr="009824AD">
        <w:rPr>
          <w:rFonts w:ascii="Helvetica" w:hAnsi="Helvetica" w:cs="Calibri"/>
          <w:sz w:val="22"/>
          <w:szCs w:val="22"/>
          <w:lang w:val="en-US"/>
        </w:rPr>
        <w:t xml:space="preserve">mm </w:t>
      </w:r>
      <w:r w:rsidR="00707BB9" w:rsidRPr="009824AD">
        <w:rPr>
          <w:rFonts w:ascii="Helvetica" w:hAnsi="Helvetica" w:cs="Calibri"/>
          <w:sz w:val="22"/>
          <w:szCs w:val="22"/>
          <w:lang w:val="en-US"/>
        </w:rPr>
        <w:t>(</w:t>
      </w:r>
      <w:r w:rsidR="00493F8D" w:rsidRPr="009824AD">
        <w:rPr>
          <w:rFonts w:ascii="Helvetica" w:hAnsi="Helvetica" w:cs="Calibri"/>
          <w:sz w:val="22"/>
          <w:szCs w:val="22"/>
          <w:lang w:val="en-US"/>
        </w:rPr>
        <w:t>IQR</w:t>
      </w:r>
      <w:r w:rsidR="00707BB9" w:rsidRPr="009824AD">
        <w:rPr>
          <w:rFonts w:ascii="Helvetica" w:hAnsi="Helvetica" w:cs="Calibri"/>
          <w:sz w:val="22"/>
          <w:szCs w:val="22"/>
          <w:lang w:val="en-US"/>
        </w:rPr>
        <w:t xml:space="preserve"> 20.0-60.0); SMD= 0.29)</w:t>
      </w:r>
      <w:r w:rsidR="00FA6AA3" w:rsidRPr="009824AD">
        <w:rPr>
          <w:rFonts w:ascii="Helvetica" w:hAnsi="Helvetica" w:cs="Calibri"/>
          <w:sz w:val="22"/>
          <w:szCs w:val="22"/>
          <w:lang w:val="en-US"/>
        </w:rPr>
        <w:t>.</w:t>
      </w:r>
      <w:r w:rsidR="00643CF8" w:rsidRPr="009824AD">
        <w:rPr>
          <w:rFonts w:ascii="Helvetica" w:hAnsi="Helvetica" w:cs="Calibri"/>
          <w:sz w:val="22"/>
          <w:szCs w:val="22"/>
          <w:lang w:val="en-US"/>
        </w:rPr>
        <w:t xml:space="preserve"> Among those who underwent LLR,</w:t>
      </w:r>
      <w:r w:rsidR="00FA6AA3" w:rsidRPr="009824AD">
        <w:rPr>
          <w:rFonts w:ascii="Helvetica" w:hAnsi="Helvetica" w:cs="Calibri"/>
          <w:sz w:val="22"/>
          <w:szCs w:val="22"/>
          <w:lang w:val="en-US"/>
        </w:rPr>
        <w:t xml:space="preserve"> </w:t>
      </w:r>
      <w:r w:rsidR="00643CF8" w:rsidRPr="009824AD">
        <w:rPr>
          <w:rFonts w:ascii="Helvetica" w:hAnsi="Helvetica" w:cs="Calibri"/>
          <w:sz w:val="22"/>
          <w:szCs w:val="22"/>
          <w:lang w:val="en-US"/>
        </w:rPr>
        <w:t>a</w:t>
      </w:r>
      <w:r w:rsidR="00233BEE" w:rsidRPr="009824AD">
        <w:rPr>
          <w:rFonts w:ascii="Helvetica" w:hAnsi="Helvetica" w:cs="Calibri"/>
          <w:sz w:val="22"/>
          <w:szCs w:val="22"/>
          <w:lang w:val="en-US"/>
        </w:rPr>
        <w:t>natomically major resections were less frequent</w:t>
      </w:r>
      <w:r w:rsidR="00707BB9" w:rsidRPr="009824AD">
        <w:rPr>
          <w:rFonts w:ascii="Helvetica" w:hAnsi="Helvetica" w:cs="Calibri"/>
          <w:sz w:val="22"/>
          <w:szCs w:val="22"/>
          <w:lang w:val="en-US"/>
        </w:rPr>
        <w:t xml:space="preserve"> (18.1</w:t>
      </w:r>
      <w:r w:rsidR="000B7DA3" w:rsidRPr="009824AD">
        <w:rPr>
          <w:rFonts w:ascii="Helvetica" w:hAnsi="Helvetica" w:cs="Calibri"/>
          <w:sz w:val="22"/>
          <w:szCs w:val="22"/>
          <w:lang w:val="en-US"/>
        </w:rPr>
        <w:t>%</w:t>
      </w:r>
      <w:r w:rsidR="00707BB9" w:rsidRPr="009824AD">
        <w:rPr>
          <w:rFonts w:ascii="Helvetica" w:hAnsi="Helvetica" w:cs="Calibri"/>
          <w:sz w:val="22"/>
          <w:szCs w:val="22"/>
          <w:lang w:val="en-US"/>
        </w:rPr>
        <w:t xml:space="preserve"> vs. 38.2</w:t>
      </w:r>
      <w:r w:rsidR="000B7DA3" w:rsidRPr="009824AD">
        <w:rPr>
          <w:rFonts w:ascii="Helvetica" w:hAnsi="Helvetica" w:cs="Calibri"/>
          <w:sz w:val="22"/>
          <w:szCs w:val="22"/>
          <w:lang w:val="en-US"/>
        </w:rPr>
        <w:t>%</w:t>
      </w:r>
      <w:r w:rsidR="00707BB9" w:rsidRPr="009824AD">
        <w:rPr>
          <w:rFonts w:ascii="Helvetica" w:hAnsi="Helvetica" w:cs="Calibri"/>
          <w:sz w:val="22"/>
          <w:szCs w:val="22"/>
          <w:lang w:val="en-US"/>
        </w:rPr>
        <w:t>; SMD= 0.53)</w:t>
      </w:r>
      <w:r w:rsidR="00233BEE" w:rsidRPr="009824AD">
        <w:rPr>
          <w:rFonts w:ascii="Helvetica" w:hAnsi="Helvetica" w:cs="Calibri"/>
          <w:sz w:val="22"/>
          <w:szCs w:val="22"/>
          <w:lang w:val="en-US"/>
        </w:rPr>
        <w:t xml:space="preserve">, whilst non-anatomical resections </w:t>
      </w:r>
      <w:r w:rsidR="00FA6AA3" w:rsidRPr="009824AD">
        <w:rPr>
          <w:rFonts w:ascii="Helvetica" w:hAnsi="Helvetica" w:cs="Calibri"/>
          <w:sz w:val="22"/>
          <w:szCs w:val="22"/>
          <w:lang w:val="en-US"/>
        </w:rPr>
        <w:t xml:space="preserve">were performed </w:t>
      </w:r>
      <w:r w:rsidR="00707BB9" w:rsidRPr="009824AD">
        <w:rPr>
          <w:rFonts w:ascii="Helvetica" w:hAnsi="Helvetica" w:cs="Calibri"/>
          <w:sz w:val="22"/>
          <w:szCs w:val="22"/>
          <w:lang w:val="en-US"/>
        </w:rPr>
        <w:t xml:space="preserve">more often </w:t>
      </w:r>
      <w:r w:rsidR="00FA6AA3" w:rsidRPr="009824AD">
        <w:rPr>
          <w:rFonts w:ascii="Helvetica" w:hAnsi="Helvetica" w:cs="Calibri"/>
          <w:sz w:val="22"/>
          <w:szCs w:val="22"/>
          <w:lang w:val="en-US"/>
        </w:rPr>
        <w:t>in the LLR cohort</w:t>
      </w:r>
      <w:r w:rsidR="00707BB9" w:rsidRPr="009824AD">
        <w:rPr>
          <w:rFonts w:ascii="Helvetica" w:hAnsi="Helvetica" w:cs="Calibri"/>
          <w:sz w:val="22"/>
          <w:szCs w:val="22"/>
          <w:lang w:val="en-US"/>
        </w:rPr>
        <w:t xml:space="preserve"> (</w:t>
      </w:r>
      <w:r w:rsidR="00B904A9" w:rsidRPr="009824AD">
        <w:rPr>
          <w:rFonts w:ascii="Helvetica" w:hAnsi="Helvetica" w:cs="Calibri"/>
          <w:sz w:val="22"/>
          <w:szCs w:val="22"/>
          <w:lang w:val="en-US"/>
        </w:rPr>
        <w:t>47.8</w:t>
      </w:r>
      <w:r w:rsidR="000B7DA3" w:rsidRPr="009824AD">
        <w:rPr>
          <w:rFonts w:ascii="Helvetica" w:hAnsi="Helvetica" w:cs="Calibri"/>
          <w:sz w:val="22"/>
          <w:szCs w:val="22"/>
          <w:lang w:val="en-US"/>
        </w:rPr>
        <w:t>%</w:t>
      </w:r>
      <w:r w:rsidR="00B904A9" w:rsidRPr="009824AD">
        <w:rPr>
          <w:rFonts w:ascii="Helvetica" w:hAnsi="Helvetica" w:cs="Calibri"/>
          <w:sz w:val="22"/>
          <w:szCs w:val="22"/>
          <w:lang w:val="en-US"/>
        </w:rPr>
        <w:t xml:space="preserve"> vs. 32.6</w:t>
      </w:r>
      <w:r w:rsidR="000B7DA3" w:rsidRPr="009824AD">
        <w:rPr>
          <w:rFonts w:ascii="Helvetica" w:hAnsi="Helvetica" w:cs="Calibri"/>
          <w:sz w:val="22"/>
          <w:szCs w:val="22"/>
          <w:lang w:val="en-US"/>
        </w:rPr>
        <w:t>%</w:t>
      </w:r>
      <w:r w:rsidR="00B904A9" w:rsidRPr="009824AD">
        <w:rPr>
          <w:rFonts w:ascii="Helvetica" w:hAnsi="Helvetica" w:cs="Calibri"/>
          <w:sz w:val="22"/>
          <w:szCs w:val="22"/>
          <w:lang w:val="en-US"/>
        </w:rPr>
        <w:t>; SMD= 0.18)</w:t>
      </w:r>
      <w:r w:rsidR="00FA6AA3" w:rsidRPr="009824AD">
        <w:rPr>
          <w:rFonts w:ascii="Helvetica" w:hAnsi="Helvetica" w:cs="Calibri"/>
          <w:sz w:val="22"/>
          <w:szCs w:val="22"/>
          <w:lang w:val="en-US"/>
        </w:rPr>
        <w:t xml:space="preserve">. </w:t>
      </w:r>
    </w:p>
    <w:p w14:paraId="3DDB41FE" w14:textId="71BA9030" w:rsidR="00643CF8" w:rsidRPr="009824AD" w:rsidRDefault="00643CF8" w:rsidP="00F75A7E">
      <w:pPr>
        <w:spacing w:line="480" w:lineRule="auto"/>
        <w:jc w:val="both"/>
        <w:rPr>
          <w:rFonts w:ascii="Helvetica" w:hAnsi="Helvetica" w:cs="Calibri"/>
          <w:sz w:val="22"/>
          <w:szCs w:val="22"/>
          <w:lang w:val="en-US"/>
        </w:rPr>
      </w:pPr>
      <w:r w:rsidRPr="009824AD">
        <w:rPr>
          <w:rFonts w:ascii="Helvetica" w:hAnsi="Helvetica" w:cs="Calibri"/>
          <w:sz w:val="22"/>
          <w:szCs w:val="22"/>
          <w:lang w:val="en-US"/>
        </w:rPr>
        <w:t xml:space="preserve">After PSM, a total of </w:t>
      </w:r>
      <w:r w:rsidR="00D2195F" w:rsidRPr="009824AD">
        <w:rPr>
          <w:rFonts w:ascii="Helvetica" w:hAnsi="Helvetica" w:cs="Calibri"/>
          <w:sz w:val="22"/>
          <w:szCs w:val="22"/>
          <w:lang w:val="en-US"/>
        </w:rPr>
        <w:t>3</w:t>
      </w:r>
      <w:r w:rsidR="002925E0" w:rsidRPr="009824AD">
        <w:rPr>
          <w:rFonts w:ascii="Helvetica" w:hAnsi="Helvetica" w:cs="Calibri"/>
          <w:sz w:val="22"/>
          <w:szCs w:val="22"/>
          <w:lang w:val="en-US"/>
        </w:rPr>
        <w:t>,</w:t>
      </w:r>
      <w:r w:rsidR="00D2195F" w:rsidRPr="009824AD">
        <w:rPr>
          <w:rFonts w:ascii="Helvetica" w:hAnsi="Helvetica" w:cs="Calibri"/>
          <w:sz w:val="22"/>
          <w:szCs w:val="22"/>
          <w:lang w:val="en-US"/>
        </w:rPr>
        <w:t xml:space="preserve">563 </w:t>
      </w:r>
      <w:r w:rsidR="00BD300B" w:rsidRPr="009824AD">
        <w:rPr>
          <w:rFonts w:ascii="Helvetica" w:hAnsi="Helvetica" w:cs="Calibri"/>
          <w:sz w:val="22"/>
          <w:szCs w:val="22"/>
          <w:lang w:val="en-US"/>
        </w:rPr>
        <w:t xml:space="preserve">LLR </w:t>
      </w:r>
      <w:r w:rsidR="00D2195F" w:rsidRPr="009824AD">
        <w:rPr>
          <w:rFonts w:ascii="Helvetica" w:hAnsi="Helvetica" w:cs="Calibri"/>
          <w:sz w:val="22"/>
          <w:szCs w:val="22"/>
          <w:lang w:val="en-US"/>
        </w:rPr>
        <w:t xml:space="preserve">patients </w:t>
      </w:r>
      <w:r w:rsidRPr="009824AD">
        <w:rPr>
          <w:rFonts w:ascii="Helvetica" w:hAnsi="Helvetica" w:cs="Calibri"/>
          <w:sz w:val="22"/>
          <w:szCs w:val="22"/>
          <w:lang w:val="en-US"/>
        </w:rPr>
        <w:t xml:space="preserve">were matched </w:t>
      </w:r>
      <w:r w:rsidR="00D2195F" w:rsidRPr="009824AD">
        <w:rPr>
          <w:rFonts w:ascii="Helvetica" w:hAnsi="Helvetica" w:cs="Calibri"/>
          <w:sz w:val="22"/>
          <w:szCs w:val="22"/>
          <w:lang w:val="en-US"/>
        </w:rPr>
        <w:t>to</w:t>
      </w:r>
      <w:r w:rsidRPr="009824AD">
        <w:rPr>
          <w:rFonts w:ascii="Helvetica" w:hAnsi="Helvetica" w:cs="Calibri"/>
          <w:sz w:val="22"/>
          <w:szCs w:val="22"/>
          <w:lang w:val="en-US"/>
        </w:rPr>
        <w:t xml:space="preserve"> </w:t>
      </w:r>
      <w:r w:rsidR="00D2195F" w:rsidRPr="009824AD">
        <w:rPr>
          <w:rFonts w:ascii="Helvetica" w:hAnsi="Helvetica" w:cs="Calibri"/>
          <w:sz w:val="22"/>
          <w:szCs w:val="22"/>
          <w:lang w:val="en-US"/>
        </w:rPr>
        <w:t>3</w:t>
      </w:r>
      <w:r w:rsidR="002925E0" w:rsidRPr="009824AD">
        <w:rPr>
          <w:rFonts w:ascii="Helvetica" w:hAnsi="Helvetica" w:cs="Calibri"/>
          <w:sz w:val="22"/>
          <w:szCs w:val="22"/>
          <w:lang w:val="en-US"/>
        </w:rPr>
        <w:t>,</w:t>
      </w:r>
      <w:r w:rsidR="00D2195F" w:rsidRPr="009824AD">
        <w:rPr>
          <w:rFonts w:ascii="Helvetica" w:hAnsi="Helvetica" w:cs="Calibri"/>
          <w:sz w:val="22"/>
          <w:szCs w:val="22"/>
          <w:lang w:val="en-US"/>
        </w:rPr>
        <w:t xml:space="preserve">563 </w:t>
      </w:r>
      <w:r w:rsidR="00BD300B" w:rsidRPr="009824AD">
        <w:rPr>
          <w:rFonts w:ascii="Helvetica" w:hAnsi="Helvetica" w:cs="Calibri"/>
          <w:sz w:val="22"/>
          <w:szCs w:val="22"/>
          <w:lang w:val="en-US"/>
        </w:rPr>
        <w:t xml:space="preserve">OLR </w:t>
      </w:r>
      <w:r w:rsidR="00D2195F" w:rsidRPr="009824AD">
        <w:rPr>
          <w:rFonts w:ascii="Helvetica" w:hAnsi="Helvetica" w:cs="Calibri"/>
          <w:sz w:val="22"/>
          <w:szCs w:val="22"/>
          <w:lang w:val="en-US"/>
        </w:rPr>
        <w:t xml:space="preserve">patients </w:t>
      </w:r>
      <w:r w:rsidRPr="009824AD">
        <w:rPr>
          <w:rFonts w:ascii="Helvetica" w:hAnsi="Helvetica" w:cs="Calibri"/>
          <w:sz w:val="22"/>
          <w:szCs w:val="22"/>
          <w:lang w:val="en-US"/>
        </w:rPr>
        <w:t xml:space="preserve">(Table 1). An adequate balance between both groups was achieved, showing comparable baseline characteristics. </w:t>
      </w:r>
      <w:r w:rsidR="00670322">
        <w:rPr>
          <w:rFonts w:ascii="Helvetica" w:hAnsi="Helvetica" w:cs="Calibri"/>
          <w:sz w:val="22"/>
          <w:szCs w:val="22"/>
          <w:lang w:val="en-US"/>
        </w:rPr>
        <w:t xml:space="preserve">A sensitivity analysis excluding all patients with missing values confirmed the robustness of the imputation method (Supplementary table 1). </w:t>
      </w:r>
    </w:p>
    <w:p w14:paraId="0E950327" w14:textId="051EF9E3" w:rsidR="002909E0" w:rsidRPr="009824AD" w:rsidRDefault="00455C73" w:rsidP="00F75A7E">
      <w:pPr>
        <w:spacing w:line="480" w:lineRule="auto"/>
        <w:jc w:val="both"/>
        <w:rPr>
          <w:rFonts w:ascii="Helvetica" w:hAnsi="Helvetica" w:cs="Calibri"/>
          <w:sz w:val="22"/>
          <w:szCs w:val="22"/>
          <w:lang w:val="en-US"/>
        </w:rPr>
      </w:pPr>
      <w:r w:rsidRPr="009824AD">
        <w:rPr>
          <w:rFonts w:ascii="Helvetica" w:hAnsi="Helvetica" w:cs="Calibri"/>
          <w:sz w:val="22"/>
          <w:szCs w:val="22"/>
          <w:lang w:val="en-US"/>
        </w:rPr>
        <w:t>Stratification of</w:t>
      </w:r>
      <w:r w:rsidR="00BD300B" w:rsidRPr="009824AD">
        <w:rPr>
          <w:rFonts w:ascii="Helvetica" w:hAnsi="Helvetica" w:cs="Calibri"/>
          <w:sz w:val="22"/>
          <w:szCs w:val="22"/>
          <w:lang w:val="en-US"/>
        </w:rPr>
        <w:t xml:space="preserve"> baseline characteristics into</w:t>
      </w:r>
      <w:r w:rsidRPr="009824AD">
        <w:rPr>
          <w:rFonts w:ascii="Helvetica" w:hAnsi="Helvetica" w:cs="Calibri"/>
          <w:sz w:val="22"/>
          <w:szCs w:val="22"/>
          <w:lang w:val="en-US"/>
        </w:rPr>
        <w:t xml:space="preserve"> patients with </w:t>
      </w:r>
      <w:r w:rsidR="0072020D" w:rsidRPr="009824AD">
        <w:rPr>
          <w:rFonts w:ascii="Helvetica" w:hAnsi="Helvetica" w:cs="Calibri"/>
          <w:sz w:val="22"/>
          <w:szCs w:val="22"/>
          <w:lang w:val="en-US"/>
        </w:rPr>
        <w:t>CR-POBL</w:t>
      </w:r>
      <w:r w:rsidR="00643CF8" w:rsidRPr="009824AD">
        <w:rPr>
          <w:rFonts w:ascii="Helvetica" w:hAnsi="Helvetica" w:cs="Calibri"/>
          <w:sz w:val="22"/>
          <w:szCs w:val="22"/>
          <w:lang w:val="en-US"/>
        </w:rPr>
        <w:t xml:space="preserve"> </w:t>
      </w:r>
      <w:r w:rsidR="002909E0" w:rsidRPr="009824AD">
        <w:rPr>
          <w:rFonts w:ascii="Helvetica" w:hAnsi="Helvetica" w:cs="Calibri"/>
          <w:sz w:val="22"/>
          <w:szCs w:val="22"/>
          <w:lang w:val="en-US"/>
        </w:rPr>
        <w:t xml:space="preserve">following </w:t>
      </w:r>
      <w:r w:rsidR="00643CF8" w:rsidRPr="009824AD">
        <w:rPr>
          <w:rFonts w:ascii="Helvetica" w:hAnsi="Helvetica" w:cs="Calibri"/>
          <w:sz w:val="22"/>
          <w:szCs w:val="22"/>
          <w:lang w:val="en-US"/>
        </w:rPr>
        <w:t>LLR and OLR</w:t>
      </w:r>
      <w:r w:rsidRPr="009824AD">
        <w:rPr>
          <w:rFonts w:ascii="Helvetica" w:hAnsi="Helvetica" w:cs="Calibri"/>
          <w:sz w:val="22"/>
          <w:szCs w:val="22"/>
          <w:lang w:val="en-US"/>
        </w:rPr>
        <w:t xml:space="preserve"> resulted in 90 patients in the LLR group and 195 patients in the OLR group (Table </w:t>
      </w:r>
      <w:r w:rsidR="00632000" w:rsidRPr="009824AD">
        <w:rPr>
          <w:rFonts w:ascii="Helvetica" w:hAnsi="Helvetica" w:cs="Calibri"/>
          <w:sz w:val="22"/>
          <w:szCs w:val="22"/>
          <w:lang w:val="en-US"/>
        </w:rPr>
        <w:t>2</w:t>
      </w:r>
      <w:r w:rsidRPr="009824AD">
        <w:rPr>
          <w:rFonts w:ascii="Helvetica" w:hAnsi="Helvetica" w:cs="Calibri"/>
          <w:sz w:val="22"/>
          <w:szCs w:val="22"/>
          <w:lang w:val="en-US"/>
        </w:rPr>
        <w:t xml:space="preserve">). </w:t>
      </w:r>
      <w:r w:rsidR="00B640A1" w:rsidRPr="009824AD">
        <w:rPr>
          <w:rFonts w:ascii="Helvetica" w:hAnsi="Helvetica" w:cs="Calibri"/>
          <w:sz w:val="22"/>
          <w:szCs w:val="22"/>
          <w:lang w:val="en-US"/>
        </w:rPr>
        <w:t>E</w:t>
      </w:r>
      <w:r w:rsidRPr="009824AD">
        <w:rPr>
          <w:rFonts w:ascii="Helvetica" w:hAnsi="Helvetica" w:cs="Calibri"/>
          <w:sz w:val="22"/>
          <w:szCs w:val="22"/>
          <w:lang w:val="en-US"/>
        </w:rPr>
        <w:t xml:space="preserve">xcept histological diagnosis, all patient, </w:t>
      </w:r>
      <w:r w:rsidR="000B7DA3" w:rsidRPr="009824AD">
        <w:rPr>
          <w:rFonts w:ascii="Helvetica" w:hAnsi="Helvetica" w:cs="Calibri"/>
          <w:sz w:val="22"/>
          <w:szCs w:val="22"/>
          <w:lang w:val="en-US"/>
        </w:rPr>
        <w:t>tumor</w:t>
      </w:r>
      <w:r w:rsidRPr="009824AD">
        <w:rPr>
          <w:rFonts w:ascii="Helvetica" w:hAnsi="Helvetica" w:cs="Calibri"/>
          <w:sz w:val="22"/>
          <w:szCs w:val="22"/>
          <w:lang w:val="en-US"/>
        </w:rPr>
        <w:t xml:space="preserve"> and procedure characteristics were comparable between both approaches.</w:t>
      </w:r>
    </w:p>
    <w:p w14:paraId="62BE8F41" w14:textId="77777777" w:rsidR="000B7DA3" w:rsidRPr="009824AD" w:rsidRDefault="000B7DA3" w:rsidP="00F75A7E">
      <w:pPr>
        <w:pStyle w:val="Geenafstand"/>
        <w:spacing w:line="480" w:lineRule="auto"/>
        <w:jc w:val="both"/>
        <w:rPr>
          <w:rFonts w:ascii="Helvetica" w:hAnsi="Helvetica" w:cs="Calibri"/>
          <w:i/>
          <w:iCs/>
          <w:lang w:val="en-US"/>
        </w:rPr>
      </w:pPr>
    </w:p>
    <w:p w14:paraId="4F42F4E6" w14:textId="33F1817F" w:rsidR="00676918" w:rsidRPr="009824AD" w:rsidRDefault="001461C4" w:rsidP="00F24BAB">
      <w:pPr>
        <w:pStyle w:val="Kop2"/>
        <w:rPr>
          <w:rFonts w:ascii="Helvetica" w:hAnsi="Helvetica"/>
          <w:lang w:val="en-US"/>
        </w:rPr>
      </w:pPr>
      <w:r w:rsidRPr="009824AD">
        <w:rPr>
          <w:rFonts w:ascii="Helvetica" w:hAnsi="Helvetica"/>
          <w:lang w:val="en-US"/>
        </w:rPr>
        <w:lastRenderedPageBreak/>
        <w:t>Incidence of Bile leak</w:t>
      </w:r>
    </w:p>
    <w:p w14:paraId="4E428035" w14:textId="1A9C428A" w:rsidR="00CB7EDE" w:rsidRPr="009824AD" w:rsidRDefault="0035316A" w:rsidP="00F75A7E">
      <w:pPr>
        <w:pStyle w:val="Geenafstand"/>
        <w:spacing w:line="480" w:lineRule="auto"/>
        <w:jc w:val="both"/>
        <w:rPr>
          <w:rFonts w:ascii="Helvetica" w:hAnsi="Helvetica" w:cs="Calibri"/>
          <w:lang w:val="en-US"/>
        </w:rPr>
      </w:pPr>
      <w:r w:rsidRPr="009824AD">
        <w:rPr>
          <w:rFonts w:ascii="Helvetica" w:hAnsi="Helvetica" w:cs="Calibri"/>
          <w:lang w:val="en-US"/>
        </w:rPr>
        <w:t xml:space="preserve">Before PSM, </w:t>
      </w:r>
      <w:r w:rsidR="00676918" w:rsidRPr="009824AD">
        <w:rPr>
          <w:rFonts w:ascii="Helvetica" w:hAnsi="Helvetica" w:cs="Calibri"/>
          <w:lang w:val="en-US"/>
        </w:rPr>
        <w:t xml:space="preserve">805 </w:t>
      </w:r>
      <w:r w:rsidRPr="009824AD">
        <w:rPr>
          <w:rFonts w:ascii="Helvetica" w:hAnsi="Helvetica" w:cs="Calibri"/>
          <w:lang w:val="en-US"/>
        </w:rPr>
        <w:t>of 13</w:t>
      </w:r>
      <w:r w:rsidR="00632000" w:rsidRPr="009824AD">
        <w:rPr>
          <w:rFonts w:ascii="Helvetica" w:hAnsi="Helvetica" w:cs="Calibri"/>
          <w:lang w:val="en-US"/>
        </w:rPr>
        <w:t>,</w:t>
      </w:r>
      <w:r w:rsidRPr="009824AD">
        <w:rPr>
          <w:rFonts w:ascii="Helvetica" w:hAnsi="Helvetica" w:cs="Calibri"/>
          <w:lang w:val="en-US"/>
        </w:rPr>
        <w:t xml:space="preserve">379 patients had </w:t>
      </w:r>
      <w:r w:rsidR="000B62F3" w:rsidRPr="009824AD">
        <w:rPr>
          <w:rFonts w:ascii="Helvetica" w:hAnsi="Helvetica" w:cs="Calibri"/>
          <w:lang w:val="en-US"/>
        </w:rPr>
        <w:t>PO</w:t>
      </w:r>
      <w:r w:rsidRPr="009824AD">
        <w:rPr>
          <w:rFonts w:ascii="Helvetica" w:hAnsi="Helvetica" w:cs="Calibri"/>
          <w:lang w:val="en-US"/>
        </w:rPr>
        <w:t>BL</w:t>
      </w:r>
      <w:r w:rsidR="00676918" w:rsidRPr="009824AD">
        <w:rPr>
          <w:rFonts w:ascii="Helvetica" w:hAnsi="Helvetica" w:cs="Calibri"/>
          <w:lang w:val="en-US"/>
        </w:rPr>
        <w:t xml:space="preserve"> after liver surgery (6.0</w:t>
      </w:r>
      <w:r w:rsidR="000B7DA3" w:rsidRPr="009824AD">
        <w:rPr>
          <w:rFonts w:ascii="Helvetica" w:hAnsi="Helvetica" w:cs="Calibri"/>
          <w:lang w:val="en-US"/>
        </w:rPr>
        <w:t>%</w:t>
      </w:r>
      <w:r w:rsidR="00676918" w:rsidRPr="009824AD">
        <w:rPr>
          <w:rFonts w:ascii="Helvetica" w:hAnsi="Helvetica" w:cs="Calibri"/>
          <w:lang w:val="en-US"/>
        </w:rPr>
        <w:t>), including 193 patients after LLR (3.1</w:t>
      </w:r>
      <w:r w:rsidR="000B7DA3" w:rsidRPr="009824AD">
        <w:rPr>
          <w:rFonts w:ascii="Helvetica" w:hAnsi="Helvetica" w:cs="Calibri"/>
          <w:lang w:val="en-US"/>
        </w:rPr>
        <w:t>%</w:t>
      </w:r>
      <w:r w:rsidR="00676918" w:rsidRPr="009824AD">
        <w:rPr>
          <w:rFonts w:ascii="Helvetica" w:hAnsi="Helvetica" w:cs="Calibri"/>
          <w:lang w:val="en-US"/>
        </w:rPr>
        <w:t>) and 612 patients after OLR (9.4</w:t>
      </w:r>
      <w:r w:rsidR="000B7DA3" w:rsidRPr="009824AD">
        <w:rPr>
          <w:rFonts w:ascii="Helvetica" w:hAnsi="Helvetica" w:cs="Calibri"/>
          <w:lang w:val="en-US"/>
        </w:rPr>
        <w:t>%</w:t>
      </w:r>
      <w:r w:rsidR="00676918" w:rsidRPr="009824AD">
        <w:rPr>
          <w:rFonts w:ascii="Helvetica" w:hAnsi="Helvetica" w:cs="Calibri"/>
          <w:lang w:val="en-US"/>
        </w:rPr>
        <w:t>) (</w:t>
      </w:r>
      <w:r w:rsidR="00676918" w:rsidRPr="009824AD">
        <w:rPr>
          <w:rFonts w:ascii="Helvetica" w:hAnsi="Helvetica" w:cs="Calibri"/>
          <w:i/>
          <w:iCs/>
          <w:lang w:val="en-US"/>
        </w:rPr>
        <w:t>P</w:t>
      </w:r>
      <w:r w:rsidR="00676918" w:rsidRPr="009824AD">
        <w:rPr>
          <w:rFonts w:ascii="Helvetica" w:hAnsi="Helvetica" w:cs="Calibri"/>
          <w:lang w:val="en-US"/>
        </w:rPr>
        <w:t xml:space="preserve">&lt;0.001) (Table 1). </w:t>
      </w:r>
      <w:r w:rsidRPr="009824AD">
        <w:rPr>
          <w:rFonts w:ascii="Helvetica" w:hAnsi="Helvetica" w:cs="Calibri"/>
          <w:lang w:val="en-US"/>
        </w:rPr>
        <w:t xml:space="preserve">LLR patients had less grade B/C </w:t>
      </w:r>
      <w:r w:rsidR="000B62F3" w:rsidRPr="009824AD">
        <w:rPr>
          <w:rFonts w:ascii="Helvetica" w:hAnsi="Helvetica" w:cs="Calibri"/>
          <w:lang w:val="en-US"/>
        </w:rPr>
        <w:t xml:space="preserve">POBL </w:t>
      </w:r>
      <w:r w:rsidRPr="009824AD">
        <w:rPr>
          <w:rFonts w:ascii="Helvetica" w:hAnsi="Helvetica" w:cs="Calibri"/>
          <w:lang w:val="en-US"/>
        </w:rPr>
        <w:t>as compared to the open cohort</w:t>
      </w:r>
      <w:r w:rsidR="00B00F0F" w:rsidRPr="009824AD">
        <w:rPr>
          <w:rFonts w:ascii="Helvetica" w:hAnsi="Helvetica" w:cs="Calibri"/>
          <w:lang w:val="en-US"/>
        </w:rPr>
        <w:t xml:space="preserve"> (2.</w:t>
      </w:r>
      <w:r w:rsidR="00A32A02" w:rsidRPr="009824AD">
        <w:rPr>
          <w:rFonts w:ascii="Helvetica" w:hAnsi="Helvetica" w:cs="Calibri"/>
          <w:lang w:val="en-US"/>
        </w:rPr>
        <w:t>1</w:t>
      </w:r>
      <w:r w:rsidR="000B7DA3" w:rsidRPr="009824AD">
        <w:rPr>
          <w:rFonts w:ascii="Helvetica" w:hAnsi="Helvetica" w:cs="Calibri"/>
          <w:lang w:val="en-US"/>
        </w:rPr>
        <w:t>%</w:t>
      </w:r>
      <w:r w:rsidR="00B00F0F" w:rsidRPr="009824AD">
        <w:rPr>
          <w:rFonts w:ascii="Helvetica" w:hAnsi="Helvetica" w:cs="Calibri"/>
          <w:lang w:val="en-US"/>
        </w:rPr>
        <w:t xml:space="preserve"> vs. </w:t>
      </w:r>
      <w:r w:rsidR="00A32A02" w:rsidRPr="009824AD">
        <w:rPr>
          <w:rFonts w:ascii="Helvetica" w:hAnsi="Helvetica" w:cs="Calibri"/>
          <w:lang w:val="en-US"/>
        </w:rPr>
        <w:t>6.6</w:t>
      </w:r>
      <w:r w:rsidR="000B7DA3" w:rsidRPr="009824AD">
        <w:rPr>
          <w:rFonts w:ascii="Helvetica" w:hAnsi="Helvetica" w:cs="Calibri"/>
          <w:lang w:val="en-US"/>
        </w:rPr>
        <w:t>%</w:t>
      </w:r>
      <w:r w:rsidR="00B00F0F" w:rsidRPr="009824AD">
        <w:rPr>
          <w:rFonts w:ascii="Helvetica" w:hAnsi="Helvetica" w:cs="Calibri"/>
          <w:lang w:val="en-US"/>
        </w:rPr>
        <w:t xml:space="preserve">; all </w:t>
      </w:r>
      <w:r w:rsidR="00B00F0F" w:rsidRPr="009824AD">
        <w:rPr>
          <w:rFonts w:ascii="Helvetica" w:hAnsi="Helvetica" w:cs="Calibri"/>
          <w:i/>
          <w:iCs/>
          <w:lang w:val="en-US"/>
        </w:rPr>
        <w:t>P</w:t>
      </w:r>
      <w:r w:rsidR="00B00F0F" w:rsidRPr="009824AD">
        <w:rPr>
          <w:rFonts w:ascii="Helvetica" w:hAnsi="Helvetica" w:cs="Calibri"/>
          <w:lang w:val="en-US"/>
        </w:rPr>
        <w:t>&lt;0.001)</w:t>
      </w:r>
      <w:r w:rsidRPr="009824AD">
        <w:rPr>
          <w:rFonts w:ascii="Helvetica" w:hAnsi="Helvetica" w:cs="Calibri"/>
          <w:lang w:val="en-US"/>
        </w:rPr>
        <w:t xml:space="preserve">. </w:t>
      </w:r>
      <w:r w:rsidR="00676918" w:rsidRPr="009824AD">
        <w:rPr>
          <w:rFonts w:ascii="Helvetica" w:hAnsi="Helvetica" w:cs="Calibri"/>
          <w:lang w:val="en-US"/>
        </w:rPr>
        <w:t xml:space="preserve">After PSM, the overall </w:t>
      </w:r>
      <w:r w:rsidR="000B62F3" w:rsidRPr="009824AD">
        <w:rPr>
          <w:rFonts w:ascii="Helvetica" w:hAnsi="Helvetica" w:cs="Calibri"/>
          <w:lang w:val="en-US"/>
        </w:rPr>
        <w:t>PO</w:t>
      </w:r>
      <w:r w:rsidR="00676918" w:rsidRPr="009824AD">
        <w:rPr>
          <w:rFonts w:ascii="Helvetica" w:hAnsi="Helvetica" w:cs="Calibri"/>
          <w:lang w:val="en-US"/>
        </w:rPr>
        <w:t xml:space="preserve">BL </w:t>
      </w:r>
      <w:r w:rsidRPr="009824AD">
        <w:rPr>
          <w:rFonts w:ascii="Helvetica" w:hAnsi="Helvetica" w:cs="Calibri"/>
          <w:lang w:val="en-US"/>
        </w:rPr>
        <w:t xml:space="preserve">rate reduced to </w:t>
      </w:r>
      <w:r w:rsidR="00676918" w:rsidRPr="009824AD">
        <w:rPr>
          <w:rFonts w:ascii="Helvetica" w:hAnsi="Helvetica" w:cs="Calibri"/>
          <w:lang w:val="en-US"/>
        </w:rPr>
        <w:t>5.6</w:t>
      </w:r>
      <w:r w:rsidR="000B7DA3" w:rsidRPr="009824AD">
        <w:rPr>
          <w:rFonts w:ascii="Helvetica" w:hAnsi="Helvetica" w:cs="Calibri"/>
          <w:lang w:val="en-US"/>
        </w:rPr>
        <w:t>%</w:t>
      </w:r>
      <w:r w:rsidR="00676918" w:rsidRPr="009824AD">
        <w:rPr>
          <w:rFonts w:ascii="Helvetica" w:hAnsi="Helvetica" w:cs="Calibri"/>
          <w:lang w:val="en-US"/>
        </w:rPr>
        <w:t xml:space="preserve">. </w:t>
      </w:r>
      <w:r w:rsidRPr="009824AD">
        <w:rPr>
          <w:rFonts w:ascii="Helvetica" w:hAnsi="Helvetica" w:cs="Calibri"/>
          <w:lang w:val="en-US"/>
        </w:rPr>
        <w:t>The incidence of Grade B/C was still significantly lower in patients after LLR as compared to patients after OLR</w:t>
      </w:r>
      <w:r w:rsidR="00B00F0F" w:rsidRPr="009824AD">
        <w:rPr>
          <w:rFonts w:ascii="Helvetica" w:hAnsi="Helvetica" w:cs="Calibri"/>
          <w:lang w:val="en-US"/>
        </w:rPr>
        <w:t xml:space="preserve"> (2.6</w:t>
      </w:r>
      <w:r w:rsidR="000B7DA3" w:rsidRPr="009824AD">
        <w:rPr>
          <w:rFonts w:ascii="Helvetica" w:hAnsi="Helvetica" w:cs="Calibri"/>
          <w:lang w:val="en-US"/>
        </w:rPr>
        <w:t>%</w:t>
      </w:r>
      <w:r w:rsidR="00B00F0F" w:rsidRPr="009824AD">
        <w:rPr>
          <w:rFonts w:ascii="Helvetica" w:hAnsi="Helvetica" w:cs="Calibri"/>
          <w:lang w:val="en-US"/>
        </w:rPr>
        <w:t xml:space="preserve"> vs. 6.</w:t>
      </w:r>
      <w:r w:rsidR="00A32A02" w:rsidRPr="009824AD">
        <w:rPr>
          <w:rFonts w:ascii="Helvetica" w:hAnsi="Helvetica" w:cs="Calibri"/>
          <w:lang w:val="en-US"/>
        </w:rPr>
        <w:t>0</w:t>
      </w:r>
      <w:r w:rsidR="000B7DA3" w:rsidRPr="009824AD">
        <w:rPr>
          <w:rFonts w:ascii="Helvetica" w:hAnsi="Helvetica" w:cs="Calibri"/>
          <w:lang w:val="en-US"/>
        </w:rPr>
        <w:t>%</w:t>
      </w:r>
      <w:r w:rsidR="00B00F0F" w:rsidRPr="009824AD">
        <w:rPr>
          <w:rFonts w:ascii="Helvetica" w:hAnsi="Helvetica" w:cs="Calibri"/>
          <w:lang w:val="en-US"/>
        </w:rPr>
        <w:t>; all P&lt;0.001)</w:t>
      </w:r>
      <w:r w:rsidRPr="009824AD">
        <w:rPr>
          <w:rFonts w:ascii="Helvetica" w:hAnsi="Helvetica" w:cs="Calibri"/>
          <w:lang w:val="en-US"/>
        </w:rPr>
        <w:t xml:space="preserve">. </w:t>
      </w:r>
      <w:r w:rsidR="001461C4" w:rsidRPr="009824AD">
        <w:rPr>
          <w:rFonts w:ascii="Helvetica" w:hAnsi="Helvetica" w:cs="Calibri"/>
          <w:lang w:val="en-US"/>
        </w:rPr>
        <w:t xml:space="preserve">Figure </w:t>
      </w:r>
      <w:r w:rsidR="000D44B8" w:rsidRPr="009824AD">
        <w:rPr>
          <w:rFonts w:ascii="Helvetica" w:hAnsi="Helvetica" w:cs="Calibri"/>
          <w:lang w:val="en-US"/>
        </w:rPr>
        <w:t>2</w:t>
      </w:r>
      <w:r w:rsidR="001461C4" w:rsidRPr="009824AD">
        <w:rPr>
          <w:rFonts w:ascii="Helvetica" w:hAnsi="Helvetica" w:cs="Calibri"/>
          <w:lang w:val="en-US"/>
        </w:rPr>
        <w:t xml:space="preserve"> shows the evolution</w:t>
      </w:r>
      <w:r w:rsidR="0045375F" w:rsidRPr="009824AD">
        <w:rPr>
          <w:rFonts w:ascii="Helvetica" w:hAnsi="Helvetica" w:cs="Calibri"/>
          <w:lang w:val="en-US"/>
        </w:rPr>
        <w:t xml:space="preserve"> of </w:t>
      </w:r>
      <w:r w:rsidR="00CB7EDE" w:rsidRPr="009824AD">
        <w:rPr>
          <w:rFonts w:ascii="Helvetica" w:hAnsi="Helvetica" w:cs="Calibri"/>
          <w:lang w:val="en-US"/>
        </w:rPr>
        <w:t xml:space="preserve">the total number of LLR and OLR and </w:t>
      </w:r>
      <w:r w:rsidR="001461C4" w:rsidRPr="009824AD">
        <w:rPr>
          <w:rFonts w:ascii="Helvetica" w:hAnsi="Helvetica" w:cs="Calibri"/>
          <w:lang w:val="en-US"/>
        </w:rPr>
        <w:t xml:space="preserve">the rates of </w:t>
      </w:r>
      <w:r w:rsidR="0072020D" w:rsidRPr="009824AD">
        <w:rPr>
          <w:rFonts w:ascii="Helvetica" w:hAnsi="Helvetica" w:cs="Calibri"/>
          <w:lang w:val="en-US"/>
        </w:rPr>
        <w:t>CR-POBL</w:t>
      </w:r>
      <w:r w:rsidR="001461C4" w:rsidRPr="009824AD">
        <w:rPr>
          <w:rFonts w:ascii="Helvetica" w:hAnsi="Helvetica" w:cs="Calibri"/>
          <w:lang w:val="en-US"/>
        </w:rPr>
        <w:t xml:space="preserve"> for LLR and OLR </w:t>
      </w:r>
      <w:r w:rsidR="0045375F" w:rsidRPr="009824AD">
        <w:rPr>
          <w:rFonts w:ascii="Helvetica" w:hAnsi="Helvetica" w:cs="Calibri"/>
          <w:lang w:val="en-US"/>
        </w:rPr>
        <w:t>over the years.</w:t>
      </w:r>
      <w:r w:rsidR="001461C4" w:rsidRPr="009824AD">
        <w:rPr>
          <w:rFonts w:ascii="Helvetica" w:hAnsi="Helvetica" w:cs="Calibri"/>
          <w:lang w:val="en-US"/>
        </w:rPr>
        <w:t xml:space="preserve"> </w:t>
      </w:r>
      <w:r w:rsidR="00CB7EDE" w:rsidRPr="009824AD">
        <w:rPr>
          <w:rFonts w:ascii="Helvetica" w:eastAsia="Times New Roman" w:hAnsi="Helvetica" w:cs="Calibri"/>
          <w:lang w:val="en-US" w:eastAsia="nl-NL"/>
        </w:rPr>
        <w:t xml:space="preserve"> </w:t>
      </w:r>
    </w:p>
    <w:p w14:paraId="74EDA1C9" w14:textId="77B1790D" w:rsidR="00CB7EDE" w:rsidRPr="009824AD" w:rsidRDefault="00CB7EDE" w:rsidP="00F75A7E">
      <w:pPr>
        <w:pStyle w:val="Geenafstand"/>
        <w:spacing w:line="480" w:lineRule="auto"/>
        <w:jc w:val="both"/>
        <w:rPr>
          <w:rFonts w:ascii="Helvetica" w:hAnsi="Helvetica"/>
          <w:lang w:val="en-US"/>
        </w:rPr>
      </w:pPr>
      <w:r w:rsidRPr="009824AD">
        <w:rPr>
          <w:rFonts w:ascii="Helvetica" w:eastAsia="Times New Roman" w:hAnsi="Helvetica" w:cs="Calibri"/>
          <w:lang w:val="en-US" w:eastAsia="nl-NL"/>
        </w:rPr>
        <w:t xml:space="preserve">The incidence of CR-POBL varied </w:t>
      </w:r>
      <w:r w:rsidRPr="009824AD">
        <w:rPr>
          <w:rFonts w:ascii="Helvetica" w:hAnsi="Helvetica" w:cs="Calibri"/>
          <w:lang w:val="en-US"/>
        </w:rPr>
        <w:t xml:space="preserve">considerably between participating hospitals, </w:t>
      </w:r>
      <w:bookmarkStart w:id="4" w:name="_Hlk49524660"/>
      <w:r w:rsidRPr="009824AD">
        <w:rPr>
          <w:rFonts w:ascii="Helvetica" w:hAnsi="Helvetica" w:cs="Calibri"/>
          <w:lang w:val="en-US"/>
        </w:rPr>
        <w:t xml:space="preserve">with a </w:t>
      </w:r>
      <w:r w:rsidR="00DD6915" w:rsidRPr="009824AD">
        <w:rPr>
          <w:rFonts w:ascii="Helvetica" w:hAnsi="Helvetica" w:cs="Calibri"/>
          <w:lang w:val="en-US"/>
        </w:rPr>
        <w:t>median incidence rate of 2.1% (IQR 1.5 - 3.1%) for LLR and 5.7% (IQR 3.9 - 8.1%) for OLR per participating hospital.</w:t>
      </w:r>
      <w:r w:rsidR="00DD6915" w:rsidRPr="009824AD">
        <w:rPr>
          <w:rFonts w:ascii="Helvetica" w:eastAsia="Times New Roman" w:hAnsi="Helvetica" w:cs="Calibri"/>
          <w:lang w:val="en-US" w:eastAsia="nl-NL"/>
        </w:rPr>
        <w:t xml:space="preserve"> </w:t>
      </w:r>
      <w:r w:rsidRPr="009824AD">
        <w:rPr>
          <w:rFonts w:ascii="Helvetica" w:hAnsi="Helvetica" w:cs="Calibri"/>
          <w:lang w:val="en-US"/>
        </w:rPr>
        <w:t xml:space="preserve">There was no evident correlation between hospital volume and incidence of CR-POBL for </w:t>
      </w:r>
      <w:bookmarkEnd w:id="4"/>
      <w:r w:rsidRPr="009824AD">
        <w:rPr>
          <w:rFonts w:ascii="Helvetica" w:hAnsi="Helvetica" w:cs="Calibri"/>
          <w:lang w:val="en-US"/>
        </w:rPr>
        <w:t xml:space="preserve">LLR (b coefficient = 0.225; </w:t>
      </w:r>
      <w:r w:rsidRPr="009824AD">
        <w:rPr>
          <w:rFonts w:ascii="Helvetica" w:hAnsi="Helvetica" w:cs="Calibri"/>
          <w:i/>
          <w:iCs/>
          <w:lang w:val="en-US"/>
        </w:rPr>
        <w:t>P</w:t>
      </w:r>
      <w:r w:rsidRPr="009824AD">
        <w:rPr>
          <w:rFonts w:ascii="Helvetica" w:hAnsi="Helvetica" w:cs="Calibri"/>
          <w:lang w:val="en-US"/>
        </w:rPr>
        <w:t>=0.44) as well as for OLR (b coefficient = 0.317; P=0.32)</w:t>
      </w:r>
      <w:r w:rsidRPr="009824AD">
        <w:rPr>
          <w:rFonts w:ascii="Helvetica" w:hAnsi="Helvetica"/>
          <w:lang w:val="en-US"/>
        </w:rPr>
        <w:t>.</w:t>
      </w:r>
    </w:p>
    <w:p w14:paraId="39C933F1" w14:textId="13BB41F3" w:rsidR="00CB7EDE" w:rsidRPr="009824AD" w:rsidRDefault="00CB7EDE" w:rsidP="00F75A7E">
      <w:pPr>
        <w:pStyle w:val="Geenafstand"/>
        <w:spacing w:line="480" w:lineRule="auto"/>
        <w:jc w:val="both"/>
        <w:rPr>
          <w:rFonts w:ascii="Helvetica" w:hAnsi="Helvetica" w:cs="Calibri"/>
          <w:lang w:val="en-US"/>
        </w:rPr>
      </w:pPr>
      <w:r w:rsidRPr="009824AD">
        <w:rPr>
          <w:rFonts w:ascii="Helvetica" w:hAnsi="Helvetica"/>
          <w:lang w:val="en-US"/>
        </w:rPr>
        <w:t xml:space="preserve">Stratification into extent of resection showed a significantly lower incidence of CR-POBL after LLR for anatomically minor resections of the anterior/left lateral and </w:t>
      </w:r>
      <w:r w:rsidRPr="009824AD">
        <w:rPr>
          <w:rFonts w:ascii="Helvetica" w:hAnsi="Helvetica" w:cs="Calibri"/>
          <w:lang w:val="en-US"/>
        </w:rPr>
        <w:t xml:space="preserve">posterior/superior segments as well as for anatomically major resections as compared to the open approach, even after PSM (Supplementary figure </w:t>
      </w:r>
      <w:r w:rsidR="000D44B8" w:rsidRPr="009824AD">
        <w:rPr>
          <w:rFonts w:ascii="Helvetica" w:hAnsi="Helvetica" w:cs="Calibri"/>
          <w:lang w:val="en-US"/>
        </w:rPr>
        <w:t>1</w:t>
      </w:r>
      <w:r w:rsidRPr="009824AD">
        <w:rPr>
          <w:rFonts w:ascii="Helvetica" w:hAnsi="Helvetica" w:cs="Calibri"/>
          <w:lang w:val="en-US"/>
        </w:rPr>
        <w:t xml:space="preserve">). Furthermore, when stratified for type of resection, patients who underwent an anatomical, non-anatomical or combined LLR had a significantly lower incidence rate of CR-POBL as compared to the open approach (Supplementary figure </w:t>
      </w:r>
      <w:r w:rsidR="000D44B8" w:rsidRPr="009824AD">
        <w:rPr>
          <w:rFonts w:ascii="Helvetica" w:hAnsi="Helvetica" w:cs="Calibri"/>
          <w:lang w:val="en-US"/>
        </w:rPr>
        <w:t>2</w:t>
      </w:r>
      <w:r w:rsidRPr="009824AD">
        <w:rPr>
          <w:rFonts w:ascii="Helvetica" w:hAnsi="Helvetica" w:cs="Calibri"/>
          <w:lang w:val="en-US"/>
        </w:rPr>
        <w:t xml:space="preserve">). </w:t>
      </w:r>
    </w:p>
    <w:p w14:paraId="3D31AF62" w14:textId="373D8644" w:rsidR="00CB7EDE" w:rsidRPr="009824AD" w:rsidRDefault="00CB7EDE" w:rsidP="00F75A7E">
      <w:pPr>
        <w:pStyle w:val="Geenafstand"/>
        <w:spacing w:line="480" w:lineRule="auto"/>
        <w:jc w:val="both"/>
        <w:rPr>
          <w:rFonts w:ascii="Helvetica" w:hAnsi="Helvetica" w:cs="Calibri"/>
          <w:lang w:val="en-US"/>
        </w:rPr>
      </w:pPr>
    </w:p>
    <w:p w14:paraId="4E54B7B8" w14:textId="28A78E0F" w:rsidR="00CB7EDE" w:rsidRPr="009824AD" w:rsidRDefault="00CB7EDE" w:rsidP="00F75A7E">
      <w:pPr>
        <w:pStyle w:val="Geenafstand"/>
        <w:spacing w:line="480" w:lineRule="auto"/>
        <w:jc w:val="both"/>
        <w:rPr>
          <w:rFonts w:ascii="Helvetica" w:hAnsi="Helvetica" w:cs="Calibri"/>
          <w:i/>
          <w:iCs/>
          <w:lang w:val="en-US"/>
        </w:rPr>
      </w:pPr>
      <w:r w:rsidRPr="009824AD">
        <w:rPr>
          <w:rFonts w:ascii="Helvetica" w:hAnsi="Helvetica" w:cs="Calibri"/>
          <w:i/>
          <w:iCs/>
          <w:lang w:val="en-US"/>
        </w:rPr>
        <w:t>Clinical impact of Bile leak</w:t>
      </w:r>
    </w:p>
    <w:p w14:paraId="440513FE" w14:textId="01510019" w:rsidR="0045375F" w:rsidRPr="009824AD" w:rsidRDefault="0045375F" w:rsidP="00F75A7E">
      <w:pPr>
        <w:pStyle w:val="Geenafstand"/>
        <w:spacing w:line="480" w:lineRule="auto"/>
        <w:jc w:val="both"/>
        <w:rPr>
          <w:rFonts w:ascii="Helvetica" w:hAnsi="Helvetica" w:cs="Calibri"/>
          <w:lang w:val="en-US"/>
        </w:rPr>
      </w:pPr>
      <w:r w:rsidRPr="009824AD">
        <w:rPr>
          <w:rFonts w:ascii="Helvetica" w:hAnsi="Helvetica" w:cs="Calibri"/>
          <w:lang w:val="en-US"/>
        </w:rPr>
        <w:t xml:space="preserve">Table </w:t>
      </w:r>
      <w:r w:rsidR="00632000" w:rsidRPr="009824AD">
        <w:rPr>
          <w:rFonts w:ascii="Helvetica" w:hAnsi="Helvetica" w:cs="Calibri"/>
          <w:lang w:val="en-US"/>
        </w:rPr>
        <w:t>3</w:t>
      </w:r>
      <w:r w:rsidRPr="009824AD">
        <w:rPr>
          <w:rFonts w:ascii="Helvetica" w:hAnsi="Helvetica" w:cs="Calibri"/>
          <w:lang w:val="en-US"/>
        </w:rPr>
        <w:t xml:space="preserve"> shows the postoperative outcomes of patients with </w:t>
      </w:r>
      <w:r w:rsidR="0072020D" w:rsidRPr="009824AD">
        <w:rPr>
          <w:rFonts w:ascii="Helvetica" w:hAnsi="Helvetica" w:cs="Calibri"/>
          <w:lang w:val="en-US"/>
        </w:rPr>
        <w:t>CR-POBL</w:t>
      </w:r>
      <w:r w:rsidRPr="009824AD">
        <w:rPr>
          <w:rFonts w:ascii="Helvetica" w:hAnsi="Helvetica" w:cs="Calibri"/>
          <w:lang w:val="en-US"/>
        </w:rPr>
        <w:t xml:space="preserve"> after LLR and OLR. Patients with </w:t>
      </w:r>
      <w:r w:rsidR="0072020D" w:rsidRPr="009824AD">
        <w:rPr>
          <w:rFonts w:ascii="Helvetica" w:hAnsi="Helvetica" w:cs="Calibri"/>
          <w:lang w:val="en-US"/>
        </w:rPr>
        <w:t>CR-POBL</w:t>
      </w:r>
      <w:r w:rsidRPr="009824AD">
        <w:rPr>
          <w:rFonts w:ascii="Helvetica" w:hAnsi="Helvetica" w:cs="Calibri"/>
          <w:lang w:val="en-US"/>
        </w:rPr>
        <w:t xml:space="preserve"> after LLR experienced less severe additional postoperative complications </w:t>
      </w:r>
      <w:r w:rsidR="005D2196" w:rsidRPr="009824AD">
        <w:rPr>
          <w:rFonts w:ascii="Helvetica" w:hAnsi="Helvetica" w:cs="Calibri"/>
          <w:lang w:val="en-US"/>
        </w:rPr>
        <w:t>(10.1</w:t>
      </w:r>
      <w:r w:rsidR="000B7DA3" w:rsidRPr="009824AD">
        <w:rPr>
          <w:rFonts w:ascii="Helvetica" w:hAnsi="Helvetica" w:cs="Calibri"/>
          <w:lang w:val="en-US"/>
        </w:rPr>
        <w:t>%</w:t>
      </w:r>
      <w:r w:rsidR="005D2196" w:rsidRPr="009824AD">
        <w:rPr>
          <w:rFonts w:ascii="Helvetica" w:hAnsi="Helvetica" w:cs="Calibri"/>
          <w:lang w:val="en-US"/>
        </w:rPr>
        <w:t xml:space="preserve"> vs. 20.9</w:t>
      </w:r>
      <w:r w:rsidR="000B7DA3" w:rsidRPr="009824AD">
        <w:rPr>
          <w:rFonts w:ascii="Helvetica" w:hAnsi="Helvetica" w:cs="Calibri"/>
          <w:lang w:val="en-US"/>
        </w:rPr>
        <w:t>%</w:t>
      </w:r>
      <w:r w:rsidR="005D2196" w:rsidRPr="009824AD">
        <w:rPr>
          <w:rFonts w:ascii="Helvetica" w:hAnsi="Helvetica" w:cs="Calibri"/>
          <w:lang w:val="en-US"/>
        </w:rPr>
        <w:t xml:space="preserve">; </w:t>
      </w:r>
      <w:r w:rsidR="005D2196" w:rsidRPr="009824AD">
        <w:rPr>
          <w:rFonts w:ascii="Helvetica" w:hAnsi="Helvetica" w:cs="Calibri"/>
          <w:i/>
          <w:iCs/>
          <w:lang w:val="en-US"/>
        </w:rPr>
        <w:t>P</w:t>
      </w:r>
      <w:r w:rsidR="005D2196" w:rsidRPr="009824AD">
        <w:rPr>
          <w:rFonts w:ascii="Helvetica" w:hAnsi="Helvetica" w:cs="Calibri"/>
          <w:lang w:val="en-US"/>
        </w:rPr>
        <w:t xml:space="preserve">=0.028) </w:t>
      </w:r>
      <w:r w:rsidRPr="009824AD">
        <w:rPr>
          <w:rFonts w:ascii="Helvetica" w:hAnsi="Helvetica" w:cs="Calibri"/>
          <w:lang w:val="en-US"/>
        </w:rPr>
        <w:t>and less surgical site infections</w:t>
      </w:r>
      <w:r w:rsidR="005D2196" w:rsidRPr="009824AD">
        <w:rPr>
          <w:rFonts w:ascii="Helvetica" w:hAnsi="Helvetica" w:cs="Calibri"/>
          <w:lang w:val="en-US"/>
        </w:rPr>
        <w:t xml:space="preserve"> (4.4</w:t>
      </w:r>
      <w:r w:rsidR="000B7DA3" w:rsidRPr="009824AD">
        <w:rPr>
          <w:rFonts w:ascii="Helvetica" w:hAnsi="Helvetica" w:cs="Calibri"/>
          <w:lang w:val="en-US"/>
        </w:rPr>
        <w:t>%</w:t>
      </w:r>
      <w:r w:rsidR="005D2196" w:rsidRPr="009824AD">
        <w:rPr>
          <w:rFonts w:ascii="Helvetica" w:hAnsi="Helvetica" w:cs="Calibri"/>
          <w:lang w:val="en-US"/>
        </w:rPr>
        <w:t xml:space="preserve"> vs. 17.9</w:t>
      </w:r>
      <w:r w:rsidR="000B7DA3" w:rsidRPr="009824AD">
        <w:rPr>
          <w:rFonts w:ascii="Helvetica" w:hAnsi="Helvetica" w:cs="Calibri"/>
          <w:lang w:val="en-US"/>
        </w:rPr>
        <w:t>%</w:t>
      </w:r>
      <w:r w:rsidR="005D2196" w:rsidRPr="009824AD">
        <w:rPr>
          <w:rFonts w:ascii="Helvetica" w:hAnsi="Helvetica" w:cs="Calibri"/>
          <w:lang w:val="en-US"/>
        </w:rPr>
        <w:t xml:space="preserve">; </w:t>
      </w:r>
      <w:r w:rsidR="005D2196" w:rsidRPr="009824AD">
        <w:rPr>
          <w:rFonts w:ascii="Helvetica" w:hAnsi="Helvetica" w:cs="Calibri"/>
          <w:i/>
          <w:iCs/>
          <w:lang w:val="en-US"/>
        </w:rPr>
        <w:t>P</w:t>
      </w:r>
      <w:r w:rsidR="005D2196" w:rsidRPr="009824AD">
        <w:rPr>
          <w:rFonts w:ascii="Helvetica" w:hAnsi="Helvetica" w:cs="Calibri"/>
          <w:lang w:val="en-US"/>
        </w:rPr>
        <w:t>=0.002)</w:t>
      </w:r>
      <w:r w:rsidRPr="009824AD">
        <w:rPr>
          <w:rFonts w:ascii="Helvetica" w:hAnsi="Helvetica" w:cs="Calibri"/>
          <w:lang w:val="en-US"/>
        </w:rPr>
        <w:t xml:space="preserve"> as compared to patients with </w:t>
      </w:r>
      <w:r w:rsidR="0072020D" w:rsidRPr="009824AD">
        <w:rPr>
          <w:rFonts w:ascii="Helvetica" w:hAnsi="Helvetica" w:cs="Calibri"/>
          <w:lang w:val="en-US"/>
        </w:rPr>
        <w:t>CR-POBL</w:t>
      </w:r>
      <w:r w:rsidRPr="009824AD">
        <w:rPr>
          <w:rFonts w:ascii="Helvetica" w:hAnsi="Helvetica" w:cs="Calibri"/>
          <w:lang w:val="en-US"/>
        </w:rPr>
        <w:t xml:space="preserve"> after OLR. </w:t>
      </w:r>
      <w:r w:rsidR="00146F50" w:rsidRPr="009824AD">
        <w:rPr>
          <w:rFonts w:ascii="Helvetica" w:hAnsi="Helvetica" w:cs="Calibri"/>
          <w:lang w:val="en-US"/>
        </w:rPr>
        <w:t>Furthermore</w:t>
      </w:r>
      <w:r w:rsidRPr="009824AD">
        <w:rPr>
          <w:rFonts w:ascii="Helvetica" w:hAnsi="Helvetica" w:cs="Calibri"/>
          <w:lang w:val="en-US"/>
        </w:rPr>
        <w:t xml:space="preserve">, LLR patients </w:t>
      </w:r>
      <w:r w:rsidR="00B00F0F" w:rsidRPr="009824AD">
        <w:rPr>
          <w:rFonts w:ascii="Helvetica" w:hAnsi="Helvetica" w:cs="Calibri"/>
          <w:lang w:val="en-US"/>
        </w:rPr>
        <w:t xml:space="preserve">with </w:t>
      </w:r>
      <w:r w:rsidR="0072020D" w:rsidRPr="009824AD">
        <w:rPr>
          <w:rFonts w:ascii="Helvetica" w:hAnsi="Helvetica" w:cs="Calibri"/>
          <w:lang w:val="en-US"/>
        </w:rPr>
        <w:lastRenderedPageBreak/>
        <w:t>CR-POBL</w:t>
      </w:r>
      <w:r w:rsidR="00B00F0F" w:rsidRPr="009824AD">
        <w:rPr>
          <w:rFonts w:ascii="Helvetica" w:hAnsi="Helvetica" w:cs="Calibri"/>
          <w:lang w:val="en-US"/>
        </w:rPr>
        <w:t xml:space="preserve"> </w:t>
      </w:r>
      <w:r w:rsidRPr="009824AD">
        <w:rPr>
          <w:rFonts w:ascii="Helvetica" w:hAnsi="Helvetica" w:cs="Calibri"/>
          <w:lang w:val="en-US"/>
        </w:rPr>
        <w:t xml:space="preserve">had a shorter </w:t>
      </w:r>
      <w:r w:rsidR="003764E1" w:rsidRPr="009824AD">
        <w:rPr>
          <w:rFonts w:ascii="Helvetica" w:hAnsi="Helvetica" w:cs="Calibri"/>
          <w:lang w:val="en-US"/>
        </w:rPr>
        <w:t xml:space="preserve">LOS </w:t>
      </w:r>
      <w:r w:rsidR="005D2196" w:rsidRPr="009824AD">
        <w:rPr>
          <w:rFonts w:ascii="Helvetica" w:hAnsi="Helvetica" w:cs="Calibri"/>
          <w:lang w:val="en-US"/>
        </w:rPr>
        <w:t xml:space="preserve">(12.5 vs. 17 days; </w:t>
      </w:r>
      <w:r w:rsidR="005D2196" w:rsidRPr="009824AD">
        <w:rPr>
          <w:rFonts w:ascii="Helvetica" w:hAnsi="Helvetica" w:cs="Calibri"/>
          <w:i/>
          <w:iCs/>
          <w:lang w:val="en-US"/>
        </w:rPr>
        <w:t>P</w:t>
      </w:r>
      <w:r w:rsidR="005D2196" w:rsidRPr="009824AD">
        <w:rPr>
          <w:rFonts w:ascii="Helvetica" w:hAnsi="Helvetica" w:cs="Calibri"/>
          <w:lang w:val="en-US"/>
        </w:rPr>
        <w:t xml:space="preserve">=0.001) </w:t>
      </w:r>
      <w:r w:rsidRPr="009824AD">
        <w:rPr>
          <w:rFonts w:ascii="Helvetica" w:hAnsi="Helvetica" w:cs="Calibri"/>
          <w:lang w:val="en-US"/>
        </w:rPr>
        <w:t>and a significantly lower 90-day/in</w:t>
      </w:r>
      <w:r w:rsidR="00146F50" w:rsidRPr="009824AD">
        <w:rPr>
          <w:rFonts w:ascii="Helvetica" w:hAnsi="Helvetica" w:cs="Calibri"/>
          <w:lang w:val="en-US"/>
        </w:rPr>
        <w:t>-hospital</w:t>
      </w:r>
      <w:r w:rsidRPr="009824AD">
        <w:rPr>
          <w:rFonts w:ascii="Helvetica" w:hAnsi="Helvetica" w:cs="Calibri"/>
          <w:lang w:val="en-US"/>
        </w:rPr>
        <w:t xml:space="preserve"> mortality </w:t>
      </w:r>
      <w:r w:rsidR="005D2196" w:rsidRPr="009824AD">
        <w:rPr>
          <w:rFonts w:ascii="Helvetica" w:hAnsi="Helvetica" w:cs="Calibri"/>
          <w:lang w:val="en-US"/>
        </w:rPr>
        <w:t>(0</w:t>
      </w:r>
      <w:r w:rsidR="000B7DA3" w:rsidRPr="009824AD">
        <w:rPr>
          <w:rFonts w:ascii="Helvetica" w:hAnsi="Helvetica" w:cs="Calibri"/>
          <w:lang w:val="en-US"/>
        </w:rPr>
        <w:t>%</w:t>
      </w:r>
      <w:r w:rsidR="005D2196" w:rsidRPr="009824AD">
        <w:rPr>
          <w:rFonts w:ascii="Helvetica" w:hAnsi="Helvetica" w:cs="Calibri"/>
          <w:lang w:val="en-US"/>
        </w:rPr>
        <w:t xml:space="preserve"> vs. 5.4</w:t>
      </w:r>
      <w:r w:rsidR="000B7DA3" w:rsidRPr="009824AD">
        <w:rPr>
          <w:rFonts w:ascii="Helvetica" w:hAnsi="Helvetica" w:cs="Calibri"/>
          <w:lang w:val="en-US"/>
        </w:rPr>
        <w:t>%</w:t>
      </w:r>
      <w:r w:rsidR="005D2196" w:rsidRPr="009824AD">
        <w:rPr>
          <w:rFonts w:ascii="Helvetica" w:hAnsi="Helvetica" w:cs="Calibri"/>
          <w:lang w:val="en-US"/>
        </w:rPr>
        <w:t xml:space="preserve">; </w:t>
      </w:r>
      <w:r w:rsidR="005D2196" w:rsidRPr="009824AD">
        <w:rPr>
          <w:rFonts w:ascii="Helvetica" w:hAnsi="Helvetica" w:cs="Calibri"/>
          <w:i/>
          <w:iCs/>
          <w:lang w:val="en-US"/>
        </w:rPr>
        <w:t>P</w:t>
      </w:r>
      <w:r w:rsidR="005D2196" w:rsidRPr="009824AD">
        <w:rPr>
          <w:rFonts w:ascii="Helvetica" w:hAnsi="Helvetica" w:cs="Calibri"/>
          <w:lang w:val="en-US"/>
        </w:rPr>
        <w:t xml:space="preserve">=0.027) </w:t>
      </w:r>
      <w:r w:rsidRPr="009824AD">
        <w:rPr>
          <w:rFonts w:ascii="Helvetica" w:hAnsi="Helvetica" w:cs="Calibri"/>
          <w:lang w:val="en-US"/>
        </w:rPr>
        <w:t xml:space="preserve">as compared to </w:t>
      </w:r>
      <w:r w:rsidR="005D2196" w:rsidRPr="009824AD">
        <w:rPr>
          <w:rFonts w:ascii="Helvetica" w:hAnsi="Helvetica" w:cs="Calibri"/>
          <w:lang w:val="en-US"/>
        </w:rPr>
        <w:t>OLR patients</w:t>
      </w:r>
      <w:r w:rsidR="00B00F0F" w:rsidRPr="009824AD">
        <w:rPr>
          <w:rFonts w:ascii="Helvetica" w:hAnsi="Helvetica" w:cs="Calibri"/>
          <w:lang w:val="en-US"/>
        </w:rPr>
        <w:t xml:space="preserve"> with </w:t>
      </w:r>
      <w:r w:rsidR="0072020D" w:rsidRPr="009824AD">
        <w:rPr>
          <w:rFonts w:ascii="Helvetica" w:hAnsi="Helvetica" w:cs="Calibri"/>
          <w:lang w:val="en-US"/>
        </w:rPr>
        <w:t>CR-POBL</w:t>
      </w:r>
      <w:r w:rsidR="005D2196" w:rsidRPr="009824AD">
        <w:rPr>
          <w:rFonts w:ascii="Helvetica" w:hAnsi="Helvetica" w:cs="Calibri"/>
          <w:lang w:val="en-US"/>
        </w:rPr>
        <w:t>.</w:t>
      </w:r>
      <w:r w:rsidR="00AE4FA9" w:rsidRPr="009824AD">
        <w:rPr>
          <w:rFonts w:ascii="Helvetica" w:hAnsi="Helvetica" w:cs="Calibri"/>
          <w:lang w:val="en-US"/>
        </w:rPr>
        <w:t xml:space="preserve"> </w:t>
      </w:r>
    </w:p>
    <w:p w14:paraId="0484CA5D" w14:textId="03E7B347" w:rsidR="0045375F" w:rsidRPr="009824AD" w:rsidRDefault="00146F50" w:rsidP="00F75A7E">
      <w:pPr>
        <w:pStyle w:val="Geenafstand"/>
        <w:spacing w:line="480" w:lineRule="auto"/>
        <w:jc w:val="both"/>
        <w:rPr>
          <w:rFonts w:ascii="Helvetica" w:hAnsi="Helvetica" w:cs="Calibri"/>
          <w:lang w:val="en-US"/>
        </w:rPr>
      </w:pPr>
      <w:r w:rsidRPr="009824AD">
        <w:rPr>
          <w:rFonts w:ascii="Helvetica" w:hAnsi="Helvetica" w:cs="Calibri"/>
          <w:lang w:val="en-US"/>
        </w:rPr>
        <w:t>Additionally</w:t>
      </w:r>
      <w:r w:rsidR="0045375F" w:rsidRPr="009824AD">
        <w:rPr>
          <w:rFonts w:ascii="Helvetica" w:hAnsi="Helvetica" w:cs="Calibri"/>
          <w:lang w:val="en-US"/>
        </w:rPr>
        <w:t xml:space="preserve">, table </w:t>
      </w:r>
      <w:r w:rsidR="00632000" w:rsidRPr="009824AD">
        <w:rPr>
          <w:rFonts w:ascii="Helvetica" w:hAnsi="Helvetica" w:cs="Calibri"/>
          <w:lang w:val="en-US"/>
        </w:rPr>
        <w:t>4</w:t>
      </w:r>
      <w:r w:rsidR="0045375F" w:rsidRPr="009824AD">
        <w:rPr>
          <w:rFonts w:ascii="Helvetica" w:hAnsi="Helvetica" w:cs="Calibri"/>
          <w:lang w:val="en-US"/>
        </w:rPr>
        <w:t xml:space="preserve"> shows the postoperative outcomes of patients with and without </w:t>
      </w:r>
      <w:r w:rsidR="0072020D" w:rsidRPr="009824AD">
        <w:rPr>
          <w:rFonts w:ascii="Helvetica" w:hAnsi="Helvetica" w:cs="Calibri"/>
          <w:lang w:val="en-US"/>
        </w:rPr>
        <w:t>CR-POBL</w:t>
      </w:r>
      <w:r w:rsidR="0045375F" w:rsidRPr="009824AD">
        <w:rPr>
          <w:rFonts w:ascii="Helvetica" w:hAnsi="Helvetica" w:cs="Calibri"/>
          <w:lang w:val="en-US"/>
        </w:rPr>
        <w:t xml:space="preserve"> stratified for LLR and OLR.</w:t>
      </w:r>
      <w:r w:rsidR="005D2196" w:rsidRPr="009824AD">
        <w:rPr>
          <w:rFonts w:ascii="Helvetica" w:hAnsi="Helvetica" w:cs="Calibri"/>
          <w:lang w:val="en-US"/>
        </w:rPr>
        <w:t xml:space="preserve"> </w:t>
      </w:r>
      <w:r w:rsidR="0045375F" w:rsidRPr="009824AD">
        <w:rPr>
          <w:rFonts w:ascii="Helvetica" w:hAnsi="Helvetica" w:cs="Calibri"/>
          <w:lang w:val="en-US"/>
        </w:rPr>
        <w:t xml:space="preserve"> </w:t>
      </w:r>
      <w:r w:rsidR="005D2196" w:rsidRPr="009824AD">
        <w:rPr>
          <w:rFonts w:ascii="Helvetica" w:hAnsi="Helvetica" w:cs="Calibri"/>
          <w:lang w:val="en-US"/>
        </w:rPr>
        <w:t>I</w:t>
      </w:r>
      <w:r w:rsidR="0045375F" w:rsidRPr="009824AD">
        <w:rPr>
          <w:rFonts w:ascii="Helvetica" w:hAnsi="Helvetica" w:cs="Calibri"/>
          <w:lang w:val="en-US"/>
        </w:rPr>
        <w:t xml:space="preserve">n the LLR group, the impact of </w:t>
      </w:r>
      <w:r w:rsidR="0072020D" w:rsidRPr="009824AD">
        <w:rPr>
          <w:rFonts w:ascii="Helvetica" w:hAnsi="Helvetica" w:cs="Calibri"/>
          <w:lang w:val="en-US"/>
        </w:rPr>
        <w:t>CR-POBL</w:t>
      </w:r>
      <w:r w:rsidR="0045375F" w:rsidRPr="009824AD">
        <w:rPr>
          <w:rFonts w:ascii="Helvetica" w:hAnsi="Helvetica" w:cs="Calibri"/>
          <w:lang w:val="en-US"/>
        </w:rPr>
        <w:t xml:space="preserve"> on </w:t>
      </w:r>
      <w:r w:rsidRPr="009824AD">
        <w:rPr>
          <w:rFonts w:ascii="Helvetica" w:hAnsi="Helvetica" w:cs="Calibri"/>
          <w:lang w:val="en-US"/>
        </w:rPr>
        <w:t>the postoperative course was limited to a prolonged LOS</w:t>
      </w:r>
      <w:r w:rsidR="005D2196" w:rsidRPr="009824AD">
        <w:rPr>
          <w:rFonts w:ascii="Helvetica" w:hAnsi="Helvetica" w:cs="Calibri"/>
          <w:lang w:val="en-US"/>
        </w:rPr>
        <w:t xml:space="preserve"> (12.5 vs. 5 days; </w:t>
      </w:r>
      <w:r w:rsidR="005D2196" w:rsidRPr="009824AD">
        <w:rPr>
          <w:rFonts w:ascii="Helvetica" w:hAnsi="Helvetica" w:cs="Calibri"/>
          <w:i/>
          <w:iCs/>
          <w:lang w:val="en-US"/>
        </w:rPr>
        <w:t>P</w:t>
      </w:r>
      <w:r w:rsidR="005D2196" w:rsidRPr="009824AD">
        <w:rPr>
          <w:rFonts w:ascii="Helvetica" w:hAnsi="Helvetica" w:cs="Calibri"/>
          <w:lang w:val="en-US"/>
        </w:rPr>
        <w:t>&lt;0.001)</w:t>
      </w:r>
      <w:r w:rsidRPr="009824AD">
        <w:rPr>
          <w:rFonts w:ascii="Helvetica" w:hAnsi="Helvetica" w:cs="Calibri"/>
          <w:lang w:val="en-US"/>
        </w:rPr>
        <w:t xml:space="preserve"> and a higher readmission rate </w:t>
      </w:r>
      <w:r w:rsidR="005D2196" w:rsidRPr="009824AD">
        <w:rPr>
          <w:rFonts w:ascii="Helvetica" w:hAnsi="Helvetica" w:cs="Calibri"/>
          <w:lang w:val="en-US"/>
        </w:rPr>
        <w:t>(42.3</w:t>
      </w:r>
      <w:r w:rsidR="000B7DA3" w:rsidRPr="009824AD">
        <w:rPr>
          <w:rFonts w:ascii="Helvetica" w:hAnsi="Helvetica" w:cs="Calibri"/>
          <w:lang w:val="en-US"/>
        </w:rPr>
        <w:t>%</w:t>
      </w:r>
      <w:r w:rsidR="005D2196" w:rsidRPr="009824AD">
        <w:rPr>
          <w:rFonts w:ascii="Helvetica" w:hAnsi="Helvetica" w:cs="Calibri"/>
          <w:lang w:val="en-US"/>
        </w:rPr>
        <w:t xml:space="preserve"> vs. 4.1</w:t>
      </w:r>
      <w:r w:rsidR="000B7DA3" w:rsidRPr="009824AD">
        <w:rPr>
          <w:rFonts w:ascii="Helvetica" w:hAnsi="Helvetica" w:cs="Calibri"/>
          <w:lang w:val="en-US"/>
        </w:rPr>
        <w:t>%</w:t>
      </w:r>
      <w:r w:rsidR="005D2196" w:rsidRPr="009824AD">
        <w:rPr>
          <w:rFonts w:ascii="Helvetica" w:hAnsi="Helvetica" w:cs="Calibri"/>
          <w:lang w:val="en-US"/>
        </w:rPr>
        <w:t xml:space="preserve">; </w:t>
      </w:r>
      <w:r w:rsidR="005D2196" w:rsidRPr="009824AD">
        <w:rPr>
          <w:rFonts w:ascii="Helvetica" w:hAnsi="Helvetica" w:cs="Calibri"/>
          <w:i/>
          <w:iCs/>
          <w:lang w:val="en-US"/>
        </w:rPr>
        <w:t>P</w:t>
      </w:r>
      <w:r w:rsidR="005D2196" w:rsidRPr="009824AD">
        <w:rPr>
          <w:rFonts w:ascii="Helvetica" w:hAnsi="Helvetica" w:cs="Calibri"/>
          <w:lang w:val="en-US"/>
        </w:rPr>
        <w:t xml:space="preserve">&lt;0.001) </w:t>
      </w:r>
      <w:r w:rsidRPr="009824AD">
        <w:rPr>
          <w:rFonts w:ascii="Helvetica" w:hAnsi="Helvetica" w:cs="Calibri"/>
          <w:lang w:val="en-US"/>
        </w:rPr>
        <w:t xml:space="preserve">without affecting the postoperative complication </w:t>
      </w:r>
      <w:r w:rsidR="005D2196" w:rsidRPr="009824AD">
        <w:rPr>
          <w:rFonts w:ascii="Helvetica" w:hAnsi="Helvetica" w:cs="Calibri"/>
          <w:lang w:val="en-US"/>
        </w:rPr>
        <w:t xml:space="preserve">rate </w:t>
      </w:r>
      <w:r w:rsidRPr="009824AD">
        <w:rPr>
          <w:rFonts w:ascii="Helvetica" w:hAnsi="Helvetica" w:cs="Calibri"/>
          <w:lang w:val="en-US"/>
        </w:rPr>
        <w:t xml:space="preserve">and 90-day/in-hospital mortality rate. </w:t>
      </w:r>
      <w:r w:rsidR="005D2196" w:rsidRPr="009824AD">
        <w:rPr>
          <w:rFonts w:ascii="Helvetica" w:hAnsi="Helvetica" w:cs="Calibri"/>
          <w:lang w:val="en-US"/>
        </w:rPr>
        <w:t xml:space="preserve">On the contrary, in the OLR group, patients with </w:t>
      </w:r>
      <w:r w:rsidR="0072020D" w:rsidRPr="009824AD">
        <w:rPr>
          <w:rFonts w:ascii="Helvetica" w:hAnsi="Helvetica" w:cs="Calibri"/>
          <w:lang w:val="en-US"/>
        </w:rPr>
        <w:t>CR-POBL</w:t>
      </w:r>
      <w:r w:rsidR="005D2196" w:rsidRPr="009824AD">
        <w:rPr>
          <w:rFonts w:ascii="Helvetica" w:hAnsi="Helvetica" w:cs="Calibri"/>
          <w:lang w:val="en-US"/>
        </w:rPr>
        <w:t xml:space="preserve"> experienced significantly more postoperative complications (51.1</w:t>
      </w:r>
      <w:r w:rsidR="000B7DA3" w:rsidRPr="009824AD">
        <w:rPr>
          <w:rFonts w:ascii="Helvetica" w:hAnsi="Helvetica" w:cs="Calibri"/>
          <w:lang w:val="en-US"/>
        </w:rPr>
        <w:t>%</w:t>
      </w:r>
      <w:r w:rsidR="005D2196" w:rsidRPr="009824AD">
        <w:rPr>
          <w:rFonts w:ascii="Helvetica" w:hAnsi="Helvetica" w:cs="Calibri"/>
          <w:lang w:val="en-US"/>
        </w:rPr>
        <w:t xml:space="preserve"> vs. 25.2</w:t>
      </w:r>
      <w:r w:rsidR="000B7DA3" w:rsidRPr="009824AD">
        <w:rPr>
          <w:rFonts w:ascii="Helvetica" w:hAnsi="Helvetica" w:cs="Calibri"/>
          <w:lang w:val="en-US"/>
        </w:rPr>
        <w:t>%</w:t>
      </w:r>
      <w:r w:rsidR="005D2196" w:rsidRPr="009824AD">
        <w:rPr>
          <w:rFonts w:ascii="Helvetica" w:hAnsi="Helvetica" w:cs="Calibri"/>
          <w:lang w:val="en-US"/>
        </w:rPr>
        <w:t xml:space="preserve">; </w:t>
      </w:r>
      <w:r w:rsidR="005D2196" w:rsidRPr="009824AD">
        <w:rPr>
          <w:rFonts w:ascii="Helvetica" w:hAnsi="Helvetica" w:cs="Calibri"/>
          <w:i/>
          <w:iCs/>
          <w:lang w:val="en-US"/>
        </w:rPr>
        <w:t>P</w:t>
      </w:r>
      <w:r w:rsidR="005D2196" w:rsidRPr="009824AD">
        <w:rPr>
          <w:rFonts w:ascii="Helvetica" w:hAnsi="Helvetica" w:cs="Calibri"/>
          <w:lang w:val="en-US"/>
        </w:rPr>
        <w:t>&lt;0.001), including</w:t>
      </w:r>
      <w:r w:rsidR="00B00F0F" w:rsidRPr="009824AD">
        <w:rPr>
          <w:rFonts w:ascii="Helvetica" w:hAnsi="Helvetica" w:cs="Calibri"/>
          <w:lang w:val="en-US"/>
        </w:rPr>
        <w:t xml:space="preserve"> a higher rate of</w:t>
      </w:r>
      <w:r w:rsidR="005D2196" w:rsidRPr="009824AD">
        <w:rPr>
          <w:rFonts w:ascii="Helvetica" w:hAnsi="Helvetica" w:cs="Calibri"/>
          <w:lang w:val="en-US"/>
        </w:rPr>
        <w:t xml:space="preserve"> </w:t>
      </w:r>
      <w:r w:rsidR="00936EC2" w:rsidRPr="009824AD">
        <w:rPr>
          <w:rFonts w:ascii="Helvetica" w:hAnsi="Helvetica" w:cs="Calibri"/>
          <w:lang w:val="en-US"/>
        </w:rPr>
        <w:t xml:space="preserve">postoperative </w:t>
      </w:r>
      <w:r w:rsidR="005D2196" w:rsidRPr="009824AD">
        <w:rPr>
          <w:rFonts w:ascii="Helvetica" w:hAnsi="Helvetica" w:cs="Calibri"/>
          <w:lang w:val="en-US"/>
        </w:rPr>
        <w:t>liver failure (20.9</w:t>
      </w:r>
      <w:r w:rsidR="000B7DA3" w:rsidRPr="009824AD">
        <w:rPr>
          <w:rFonts w:ascii="Helvetica" w:hAnsi="Helvetica" w:cs="Calibri"/>
          <w:lang w:val="en-US"/>
        </w:rPr>
        <w:t>%</w:t>
      </w:r>
      <w:r w:rsidR="005D2196" w:rsidRPr="009824AD">
        <w:rPr>
          <w:rFonts w:ascii="Helvetica" w:hAnsi="Helvetica" w:cs="Calibri"/>
          <w:lang w:val="en-US"/>
        </w:rPr>
        <w:t xml:space="preserve"> vs. 9.9</w:t>
      </w:r>
      <w:r w:rsidR="000B7DA3" w:rsidRPr="009824AD">
        <w:rPr>
          <w:rFonts w:ascii="Helvetica" w:hAnsi="Helvetica" w:cs="Calibri"/>
          <w:lang w:val="en-US"/>
        </w:rPr>
        <w:t>%</w:t>
      </w:r>
      <w:r w:rsidR="005D2196" w:rsidRPr="009824AD">
        <w:rPr>
          <w:rFonts w:ascii="Helvetica" w:hAnsi="Helvetica" w:cs="Calibri"/>
          <w:lang w:val="en-US"/>
        </w:rPr>
        <w:t xml:space="preserve">; </w:t>
      </w:r>
      <w:r w:rsidR="005D2196" w:rsidRPr="009824AD">
        <w:rPr>
          <w:rFonts w:ascii="Helvetica" w:hAnsi="Helvetica" w:cs="Calibri"/>
          <w:i/>
          <w:iCs/>
          <w:lang w:val="en-US"/>
        </w:rPr>
        <w:t>P</w:t>
      </w:r>
      <w:r w:rsidR="005D2196" w:rsidRPr="009824AD">
        <w:rPr>
          <w:rFonts w:ascii="Helvetica" w:hAnsi="Helvetica" w:cs="Calibri"/>
          <w:lang w:val="en-US"/>
        </w:rPr>
        <w:t xml:space="preserve">&lt;0.001), </w:t>
      </w:r>
      <w:r w:rsidR="00936EC2" w:rsidRPr="009824AD">
        <w:rPr>
          <w:rFonts w:ascii="Helvetica" w:hAnsi="Helvetica" w:cs="Calibri"/>
          <w:lang w:val="en-US"/>
        </w:rPr>
        <w:t>surgical site infection</w:t>
      </w:r>
      <w:r w:rsidR="005D2196" w:rsidRPr="009824AD">
        <w:rPr>
          <w:rFonts w:ascii="Helvetica" w:hAnsi="Helvetica" w:cs="Calibri"/>
          <w:lang w:val="en-US"/>
        </w:rPr>
        <w:t xml:space="preserve"> (17.9</w:t>
      </w:r>
      <w:r w:rsidR="000B7DA3" w:rsidRPr="009824AD">
        <w:rPr>
          <w:rFonts w:ascii="Helvetica" w:hAnsi="Helvetica" w:cs="Calibri"/>
          <w:lang w:val="en-US"/>
        </w:rPr>
        <w:t>%</w:t>
      </w:r>
      <w:r w:rsidR="005D2196" w:rsidRPr="009824AD">
        <w:rPr>
          <w:rFonts w:ascii="Helvetica" w:hAnsi="Helvetica" w:cs="Calibri"/>
          <w:lang w:val="en-US"/>
        </w:rPr>
        <w:t xml:space="preserve"> vs. 4.0</w:t>
      </w:r>
      <w:r w:rsidR="000B7DA3" w:rsidRPr="009824AD">
        <w:rPr>
          <w:rFonts w:ascii="Helvetica" w:hAnsi="Helvetica" w:cs="Calibri"/>
          <w:lang w:val="en-US"/>
        </w:rPr>
        <w:t>%</w:t>
      </w:r>
      <w:r w:rsidR="005D2196" w:rsidRPr="009824AD">
        <w:rPr>
          <w:rFonts w:ascii="Helvetica" w:hAnsi="Helvetica" w:cs="Calibri"/>
          <w:lang w:val="en-US"/>
        </w:rPr>
        <w:t xml:space="preserve">; </w:t>
      </w:r>
      <w:r w:rsidR="005D2196" w:rsidRPr="009824AD">
        <w:rPr>
          <w:rFonts w:ascii="Helvetica" w:hAnsi="Helvetica" w:cs="Calibri"/>
          <w:i/>
          <w:iCs/>
          <w:lang w:val="en-US"/>
        </w:rPr>
        <w:t>P</w:t>
      </w:r>
      <w:r w:rsidR="005D2196" w:rsidRPr="009824AD">
        <w:rPr>
          <w:rFonts w:ascii="Helvetica" w:hAnsi="Helvetica" w:cs="Calibri"/>
          <w:lang w:val="en-US"/>
        </w:rPr>
        <w:t>&lt;0.001)</w:t>
      </w:r>
      <w:r w:rsidR="00B00F0F" w:rsidRPr="009824AD">
        <w:rPr>
          <w:rFonts w:ascii="Helvetica" w:hAnsi="Helvetica" w:cs="Calibri"/>
          <w:lang w:val="en-US"/>
        </w:rPr>
        <w:t xml:space="preserve"> </w:t>
      </w:r>
      <w:r w:rsidR="005D2196" w:rsidRPr="009824AD">
        <w:rPr>
          <w:rFonts w:ascii="Helvetica" w:hAnsi="Helvetica" w:cs="Calibri"/>
          <w:lang w:val="en-US"/>
        </w:rPr>
        <w:t xml:space="preserve">and </w:t>
      </w:r>
      <w:r w:rsidR="00936EC2" w:rsidRPr="009824AD">
        <w:rPr>
          <w:rFonts w:ascii="Helvetica" w:hAnsi="Helvetica" w:cs="Calibri"/>
          <w:lang w:val="en-US"/>
        </w:rPr>
        <w:t xml:space="preserve">postoperative </w:t>
      </w:r>
      <w:r w:rsidR="005D2196" w:rsidRPr="009824AD">
        <w:rPr>
          <w:rFonts w:ascii="Helvetica" w:hAnsi="Helvetica" w:cs="Calibri"/>
          <w:lang w:val="en-US"/>
        </w:rPr>
        <w:t>hemorrhage (2.6</w:t>
      </w:r>
      <w:r w:rsidR="000B7DA3" w:rsidRPr="009824AD">
        <w:rPr>
          <w:rFonts w:ascii="Helvetica" w:hAnsi="Helvetica" w:cs="Calibri"/>
          <w:lang w:val="en-US"/>
        </w:rPr>
        <w:t>%</w:t>
      </w:r>
      <w:r w:rsidR="005D2196" w:rsidRPr="009824AD">
        <w:rPr>
          <w:rFonts w:ascii="Helvetica" w:hAnsi="Helvetica" w:cs="Calibri"/>
          <w:lang w:val="en-US"/>
        </w:rPr>
        <w:t xml:space="preserve"> vs. 0.7</w:t>
      </w:r>
      <w:r w:rsidR="000B7DA3" w:rsidRPr="009824AD">
        <w:rPr>
          <w:rFonts w:ascii="Helvetica" w:hAnsi="Helvetica" w:cs="Calibri"/>
          <w:lang w:val="en-US"/>
        </w:rPr>
        <w:t>%</w:t>
      </w:r>
      <w:r w:rsidR="005D2196" w:rsidRPr="009824AD">
        <w:rPr>
          <w:rFonts w:ascii="Helvetica" w:hAnsi="Helvetica" w:cs="Calibri"/>
          <w:lang w:val="en-US"/>
        </w:rPr>
        <w:t xml:space="preserve">; </w:t>
      </w:r>
      <w:r w:rsidR="005D2196" w:rsidRPr="009824AD">
        <w:rPr>
          <w:rFonts w:ascii="Helvetica" w:hAnsi="Helvetica" w:cs="Calibri"/>
          <w:i/>
          <w:iCs/>
          <w:lang w:val="en-US"/>
        </w:rPr>
        <w:t>P</w:t>
      </w:r>
      <w:r w:rsidR="005D2196" w:rsidRPr="009824AD">
        <w:rPr>
          <w:rFonts w:ascii="Helvetica" w:hAnsi="Helvetica" w:cs="Calibri"/>
          <w:lang w:val="en-US"/>
        </w:rPr>
        <w:t xml:space="preserve">=0.004) as compared to patients without </w:t>
      </w:r>
      <w:r w:rsidR="0072020D" w:rsidRPr="009824AD">
        <w:rPr>
          <w:rFonts w:ascii="Helvetica" w:hAnsi="Helvetica" w:cs="Calibri"/>
          <w:lang w:val="en-US"/>
        </w:rPr>
        <w:t>CR-POBL</w:t>
      </w:r>
      <w:r w:rsidR="005D2196" w:rsidRPr="009824AD">
        <w:rPr>
          <w:rFonts w:ascii="Helvetica" w:hAnsi="Helvetica" w:cs="Calibri"/>
          <w:lang w:val="en-US"/>
        </w:rPr>
        <w:t xml:space="preserve">. Furthermore, OLR patients with </w:t>
      </w:r>
      <w:r w:rsidR="0072020D" w:rsidRPr="009824AD">
        <w:rPr>
          <w:rFonts w:ascii="Helvetica" w:hAnsi="Helvetica" w:cs="Calibri"/>
          <w:lang w:val="en-US"/>
        </w:rPr>
        <w:t>CR-POBL</w:t>
      </w:r>
      <w:r w:rsidR="005D2196" w:rsidRPr="009824AD">
        <w:rPr>
          <w:rFonts w:ascii="Helvetica" w:hAnsi="Helvetica" w:cs="Calibri"/>
          <w:lang w:val="en-US"/>
        </w:rPr>
        <w:t xml:space="preserve"> had a longer LOS (</w:t>
      </w:r>
      <w:r w:rsidR="00707BB9" w:rsidRPr="009824AD">
        <w:rPr>
          <w:rFonts w:ascii="Helvetica" w:hAnsi="Helvetica" w:cs="Calibri"/>
          <w:lang w:val="en-US"/>
        </w:rPr>
        <w:t xml:space="preserve">17.0 vs. 7.0 days; </w:t>
      </w:r>
      <w:r w:rsidR="00707BB9" w:rsidRPr="009824AD">
        <w:rPr>
          <w:rFonts w:ascii="Helvetica" w:hAnsi="Helvetica" w:cs="Calibri"/>
          <w:i/>
          <w:iCs/>
          <w:lang w:val="en-US"/>
        </w:rPr>
        <w:t>P</w:t>
      </w:r>
      <w:r w:rsidR="00707BB9" w:rsidRPr="009824AD">
        <w:rPr>
          <w:rFonts w:ascii="Helvetica" w:hAnsi="Helvetica" w:cs="Calibri"/>
          <w:lang w:val="en-US"/>
        </w:rPr>
        <w:t>&lt;0.001)</w:t>
      </w:r>
      <w:r w:rsidR="005D2196" w:rsidRPr="009824AD">
        <w:rPr>
          <w:rFonts w:ascii="Helvetica" w:hAnsi="Helvetica" w:cs="Calibri"/>
          <w:lang w:val="en-US"/>
        </w:rPr>
        <w:t xml:space="preserve">, higher readmission rate </w:t>
      </w:r>
      <w:r w:rsidR="00707BB9" w:rsidRPr="009824AD">
        <w:rPr>
          <w:rFonts w:ascii="Helvetica" w:hAnsi="Helvetica" w:cs="Calibri"/>
          <w:lang w:val="en-US"/>
        </w:rPr>
        <w:t>(36.0</w:t>
      </w:r>
      <w:r w:rsidR="000B7DA3" w:rsidRPr="009824AD">
        <w:rPr>
          <w:rFonts w:ascii="Helvetica" w:hAnsi="Helvetica" w:cs="Calibri"/>
          <w:lang w:val="en-US"/>
        </w:rPr>
        <w:t>%</w:t>
      </w:r>
      <w:r w:rsidR="00707BB9" w:rsidRPr="009824AD">
        <w:rPr>
          <w:rFonts w:ascii="Helvetica" w:hAnsi="Helvetica" w:cs="Calibri"/>
          <w:lang w:val="en-US"/>
        </w:rPr>
        <w:t xml:space="preserve"> vs. 6.5</w:t>
      </w:r>
      <w:r w:rsidR="000B7DA3" w:rsidRPr="009824AD">
        <w:rPr>
          <w:rFonts w:ascii="Helvetica" w:hAnsi="Helvetica" w:cs="Calibri"/>
          <w:lang w:val="en-US"/>
        </w:rPr>
        <w:t>%</w:t>
      </w:r>
      <w:r w:rsidR="00707BB9" w:rsidRPr="009824AD">
        <w:rPr>
          <w:rFonts w:ascii="Helvetica" w:hAnsi="Helvetica" w:cs="Calibri"/>
          <w:lang w:val="en-US"/>
        </w:rPr>
        <w:t xml:space="preserve">; P&lt;0.001) </w:t>
      </w:r>
      <w:r w:rsidR="005D2196" w:rsidRPr="009824AD">
        <w:rPr>
          <w:rFonts w:ascii="Helvetica" w:hAnsi="Helvetica" w:cs="Calibri"/>
          <w:lang w:val="en-US"/>
        </w:rPr>
        <w:t>and a higher 90-day</w:t>
      </w:r>
      <w:r w:rsidR="00707BB9" w:rsidRPr="009824AD">
        <w:rPr>
          <w:rFonts w:ascii="Helvetica" w:hAnsi="Helvetica" w:cs="Calibri"/>
          <w:lang w:val="en-US"/>
        </w:rPr>
        <w:t>/in-hospital</w:t>
      </w:r>
      <w:r w:rsidR="005D2196" w:rsidRPr="009824AD">
        <w:rPr>
          <w:rFonts w:ascii="Helvetica" w:hAnsi="Helvetica" w:cs="Calibri"/>
          <w:lang w:val="en-US"/>
        </w:rPr>
        <w:t xml:space="preserve"> mortality rate </w:t>
      </w:r>
      <w:r w:rsidR="00707BB9" w:rsidRPr="009824AD">
        <w:rPr>
          <w:rFonts w:ascii="Helvetica" w:hAnsi="Helvetica" w:cs="Calibri"/>
          <w:lang w:val="en-US"/>
        </w:rPr>
        <w:t>(5.4</w:t>
      </w:r>
      <w:r w:rsidR="000B7DA3" w:rsidRPr="009824AD">
        <w:rPr>
          <w:rFonts w:ascii="Helvetica" w:hAnsi="Helvetica" w:cs="Calibri"/>
          <w:lang w:val="en-US"/>
        </w:rPr>
        <w:t>%</w:t>
      </w:r>
      <w:r w:rsidR="00707BB9" w:rsidRPr="009824AD">
        <w:rPr>
          <w:rFonts w:ascii="Helvetica" w:hAnsi="Helvetica" w:cs="Calibri"/>
          <w:lang w:val="en-US"/>
        </w:rPr>
        <w:t xml:space="preserve"> vs. 1.8</w:t>
      </w:r>
      <w:r w:rsidR="000B7DA3" w:rsidRPr="009824AD">
        <w:rPr>
          <w:rFonts w:ascii="Helvetica" w:hAnsi="Helvetica" w:cs="Calibri"/>
          <w:lang w:val="en-US"/>
        </w:rPr>
        <w:t>%</w:t>
      </w:r>
      <w:r w:rsidR="00707BB9" w:rsidRPr="009824AD">
        <w:rPr>
          <w:rFonts w:ascii="Helvetica" w:hAnsi="Helvetica" w:cs="Calibri"/>
          <w:lang w:val="en-US"/>
        </w:rPr>
        <w:t xml:space="preserve">; </w:t>
      </w:r>
      <w:r w:rsidR="00707BB9" w:rsidRPr="009824AD">
        <w:rPr>
          <w:rFonts w:ascii="Helvetica" w:hAnsi="Helvetica" w:cs="Calibri"/>
          <w:i/>
          <w:iCs/>
          <w:lang w:val="en-US"/>
        </w:rPr>
        <w:t>P</w:t>
      </w:r>
      <w:r w:rsidR="00707BB9" w:rsidRPr="009824AD">
        <w:rPr>
          <w:rFonts w:ascii="Helvetica" w:hAnsi="Helvetica" w:cs="Calibri"/>
          <w:lang w:val="en-US"/>
        </w:rPr>
        <w:t xml:space="preserve">=0.001) </w:t>
      </w:r>
      <w:r w:rsidR="005D2196" w:rsidRPr="009824AD">
        <w:rPr>
          <w:rFonts w:ascii="Helvetica" w:hAnsi="Helvetica" w:cs="Calibri"/>
          <w:lang w:val="en-US"/>
        </w:rPr>
        <w:t xml:space="preserve">as compared to OLR patients without </w:t>
      </w:r>
      <w:r w:rsidR="0072020D" w:rsidRPr="009824AD">
        <w:rPr>
          <w:rFonts w:ascii="Helvetica" w:hAnsi="Helvetica" w:cs="Calibri"/>
          <w:lang w:val="en-US"/>
        </w:rPr>
        <w:t>CR-POBL</w:t>
      </w:r>
      <w:r w:rsidR="005D2196" w:rsidRPr="009824AD">
        <w:rPr>
          <w:rFonts w:ascii="Helvetica" w:hAnsi="Helvetica" w:cs="Calibri"/>
          <w:lang w:val="en-US"/>
        </w:rPr>
        <w:t xml:space="preserve">. </w:t>
      </w:r>
    </w:p>
    <w:p w14:paraId="4A1DECB3" w14:textId="320FC226" w:rsidR="00D43410" w:rsidRPr="009824AD" w:rsidRDefault="007059F2" w:rsidP="00F75A7E">
      <w:pPr>
        <w:pStyle w:val="Geenafstand"/>
        <w:spacing w:line="480" w:lineRule="auto"/>
        <w:jc w:val="both"/>
        <w:rPr>
          <w:rFonts w:ascii="Helvetica" w:hAnsi="Helvetica" w:cs="Calibri"/>
          <w:lang w:val="en-US"/>
        </w:rPr>
      </w:pPr>
      <w:r w:rsidRPr="009824AD">
        <w:rPr>
          <w:rFonts w:ascii="Helvetica" w:hAnsi="Helvetica" w:cs="Calibri"/>
          <w:lang w:val="en-US"/>
        </w:rPr>
        <w:t>After e</w:t>
      </w:r>
      <w:r w:rsidR="00982C99" w:rsidRPr="009824AD">
        <w:rPr>
          <w:rFonts w:ascii="Helvetica" w:hAnsi="Helvetica" w:cs="Calibri"/>
          <w:lang w:val="en-US"/>
        </w:rPr>
        <w:t xml:space="preserve">xcluding all patients who underwent LLR or OLR before 2011, </w:t>
      </w:r>
      <w:r w:rsidRPr="009824AD">
        <w:rPr>
          <w:rFonts w:ascii="Helvetica" w:hAnsi="Helvetica" w:cs="Calibri"/>
          <w:lang w:val="en-US"/>
        </w:rPr>
        <w:t>postoperative outcomes did not change considerably from the outcomes of the primary analysis</w:t>
      </w:r>
      <w:r w:rsidR="00300352" w:rsidRPr="009824AD">
        <w:rPr>
          <w:rFonts w:ascii="Helvetica" w:hAnsi="Helvetica" w:cs="Calibri"/>
          <w:lang w:val="en-US"/>
        </w:rPr>
        <w:t xml:space="preserve"> </w:t>
      </w:r>
      <w:r w:rsidR="00FA10BB" w:rsidRPr="009824AD">
        <w:rPr>
          <w:rFonts w:ascii="Helvetica" w:hAnsi="Helvetica" w:cs="Calibri"/>
          <w:lang w:val="en-US"/>
        </w:rPr>
        <w:t xml:space="preserve">(Supplementary </w:t>
      </w:r>
      <w:r w:rsidR="00FF6D3D" w:rsidRPr="009824AD">
        <w:rPr>
          <w:rFonts w:ascii="Helvetica" w:hAnsi="Helvetica" w:cs="Calibri"/>
          <w:lang w:val="en-US"/>
        </w:rPr>
        <w:t>T</w:t>
      </w:r>
      <w:r w:rsidR="00FA10BB" w:rsidRPr="009824AD">
        <w:rPr>
          <w:rFonts w:ascii="Helvetica" w:hAnsi="Helvetica" w:cs="Calibri"/>
          <w:lang w:val="en-US"/>
        </w:rPr>
        <w:t xml:space="preserve">able </w:t>
      </w:r>
      <w:r w:rsidR="00670322">
        <w:rPr>
          <w:rFonts w:ascii="Helvetica" w:hAnsi="Helvetica" w:cs="Calibri"/>
          <w:lang w:val="en-US"/>
        </w:rPr>
        <w:t>2</w:t>
      </w:r>
      <w:r w:rsidR="00FA10BB" w:rsidRPr="009824AD">
        <w:rPr>
          <w:rFonts w:ascii="Helvetica" w:hAnsi="Helvetica" w:cs="Calibri"/>
          <w:lang w:val="en-US"/>
        </w:rPr>
        <w:t xml:space="preserve"> and </w:t>
      </w:r>
      <w:r w:rsidR="00670322">
        <w:rPr>
          <w:rFonts w:ascii="Helvetica" w:hAnsi="Helvetica" w:cs="Calibri"/>
          <w:lang w:val="en-US"/>
        </w:rPr>
        <w:t>3</w:t>
      </w:r>
      <w:r w:rsidR="00FA10BB" w:rsidRPr="009824AD">
        <w:rPr>
          <w:rFonts w:ascii="Helvetica" w:hAnsi="Helvetica" w:cs="Calibri"/>
          <w:lang w:val="en-US"/>
        </w:rPr>
        <w:t>)</w:t>
      </w:r>
      <w:r w:rsidRPr="009824AD">
        <w:rPr>
          <w:rFonts w:ascii="Helvetica" w:hAnsi="Helvetica" w:cs="Calibri"/>
          <w:lang w:val="en-US"/>
        </w:rPr>
        <w:t xml:space="preserve">. </w:t>
      </w:r>
    </w:p>
    <w:p w14:paraId="30A8CC0D" w14:textId="77777777" w:rsidR="0045375F" w:rsidRPr="009824AD" w:rsidRDefault="0045375F" w:rsidP="001461C4">
      <w:pPr>
        <w:pStyle w:val="Geenafstand"/>
        <w:spacing w:line="480" w:lineRule="auto"/>
        <w:jc w:val="both"/>
        <w:rPr>
          <w:rFonts w:ascii="Helvetica" w:hAnsi="Helvetica" w:cs="Calibri"/>
          <w:lang w:val="en-US"/>
        </w:rPr>
      </w:pPr>
    </w:p>
    <w:p w14:paraId="507594C8" w14:textId="77777777" w:rsidR="006F5759" w:rsidRPr="009824AD" w:rsidRDefault="006F5759" w:rsidP="001461C4">
      <w:pPr>
        <w:pStyle w:val="Geenafstand"/>
        <w:spacing w:line="480" w:lineRule="auto"/>
        <w:jc w:val="both"/>
        <w:rPr>
          <w:rFonts w:ascii="Helvetica" w:hAnsi="Helvetica" w:cs="Calibri"/>
          <w:lang w:val="en-US"/>
        </w:rPr>
      </w:pPr>
    </w:p>
    <w:p w14:paraId="2550163C" w14:textId="0C71D1D1" w:rsidR="00DE53CD" w:rsidRPr="009824AD" w:rsidRDefault="00DE53CD" w:rsidP="001461C4">
      <w:pPr>
        <w:pStyle w:val="Geenafstand"/>
        <w:spacing w:line="480" w:lineRule="auto"/>
        <w:jc w:val="both"/>
        <w:rPr>
          <w:rFonts w:ascii="Helvetica" w:hAnsi="Helvetica" w:cs="Calibri"/>
          <w:lang w:val="en-US"/>
        </w:rPr>
      </w:pPr>
    </w:p>
    <w:p w14:paraId="1A4C6A63" w14:textId="7DC57CB2" w:rsidR="00533F08" w:rsidRPr="009824AD" w:rsidRDefault="00533F08" w:rsidP="00F75A7E">
      <w:pPr>
        <w:pStyle w:val="Geenafstand"/>
        <w:spacing w:line="480" w:lineRule="auto"/>
        <w:jc w:val="both"/>
        <w:rPr>
          <w:rFonts w:ascii="Helvetica" w:hAnsi="Helvetica" w:cs="Calibri"/>
          <w:lang w:val="en-US"/>
        </w:rPr>
      </w:pPr>
    </w:p>
    <w:p w14:paraId="1C4DA829" w14:textId="6A38EB28" w:rsidR="000B7DA3" w:rsidRPr="009824AD" w:rsidRDefault="000B7DA3" w:rsidP="00F75A7E">
      <w:pPr>
        <w:pStyle w:val="Geenafstand"/>
        <w:spacing w:line="480" w:lineRule="auto"/>
        <w:jc w:val="both"/>
        <w:rPr>
          <w:rFonts w:ascii="Helvetica" w:hAnsi="Helvetica" w:cs="Calibri"/>
          <w:lang w:val="en-US"/>
        </w:rPr>
      </w:pPr>
    </w:p>
    <w:p w14:paraId="24A25B90" w14:textId="039F6AB9" w:rsidR="000B7DA3" w:rsidRPr="009824AD" w:rsidRDefault="000B7DA3" w:rsidP="00F75A7E">
      <w:pPr>
        <w:pStyle w:val="Geenafstand"/>
        <w:spacing w:line="480" w:lineRule="auto"/>
        <w:jc w:val="both"/>
        <w:rPr>
          <w:rFonts w:ascii="Helvetica" w:hAnsi="Helvetica" w:cs="Calibri"/>
          <w:lang w:val="en-US"/>
        </w:rPr>
      </w:pPr>
    </w:p>
    <w:p w14:paraId="15CDF2A8" w14:textId="18E2DA65" w:rsidR="000B7DA3" w:rsidRPr="009824AD" w:rsidRDefault="000B7DA3" w:rsidP="00F75A7E">
      <w:pPr>
        <w:pStyle w:val="Geenafstand"/>
        <w:spacing w:line="480" w:lineRule="auto"/>
        <w:jc w:val="both"/>
        <w:rPr>
          <w:rFonts w:ascii="Helvetica" w:hAnsi="Helvetica" w:cs="Calibri"/>
          <w:lang w:val="en-US"/>
        </w:rPr>
      </w:pPr>
    </w:p>
    <w:p w14:paraId="51E1137B" w14:textId="42B537C4" w:rsidR="000B7DA3" w:rsidRPr="009824AD" w:rsidRDefault="000B7DA3" w:rsidP="00F75A7E">
      <w:pPr>
        <w:pStyle w:val="Geenafstand"/>
        <w:spacing w:line="480" w:lineRule="auto"/>
        <w:jc w:val="both"/>
        <w:rPr>
          <w:rFonts w:ascii="Helvetica" w:hAnsi="Helvetica" w:cs="Calibri"/>
          <w:lang w:val="en-US"/>
        </w:rPr>
      </w:pPr>
    </w:p>
    <w:p w14:paraId="3D292B20" w14:textId="6F684B0E" w:rsidR="000B7DA3" w:rsidRPr="009824AD" w:rsidRDefault="000B7DA3" w:rsidP="00F75A7E">
      <w:pPr>
        <w:pStyle w:val="Geenafstand"/>
        <w:spacing w:line="480" w:lineRule="auto"/>
        <w:jc w:val="both"/>
        <w:rPr>
          <w:rFonts w:ascii="Helvetica" w:hAnsi="Helvetica" w:cs="Calibri"/>
          <w:lang w:val="en-US"/>
        </w:rPr>
      </w:pPr>
    </w:p>
    <w:p w14:paraId="7BAC8F86" w14:textId="77777777" w:rsidR="009824AD" w:rsidRPr="009824AD" w:rsidRDefault="009824AD" w:rsidP="00F75A7E">
      <w:pPr>
        <w:pStyle w:val="Geenafstand"/>
        <w:spacing w:line="480" w:lineRule="auto"/>
        <w:jc w:val="both"/>
        <w:rPr>
          <w:rFonts w:ascii="Helvetica" w:hAnsi="Helvetica" w:cs="Calibri"/>
          <w:lang w:val="en-US"/>
        </w:rPr>
        <w:sectPr w:rsidR="009824AD" w:rsidRPr="009824AD" w:rsidSect="00CA02C7">
          <w:pgSz w:w="11900" w:h="16840"/>
          <w:pgMar w:top="1417" w:right="1417" w:bottom="1417" w:left="1417" w:header="708" w:footer="708" w:gutter="0"/>
          <w:cols w:space="708"/>
          <w:docGrid w:linePitch="360"/>
        </w:sectPr>
      </w:pPr>
    </w:p>
    <w:p w14:paraId="78421A38" w14:textId="05F16F6D" w:rsidR="00392E94" w:rsidRPr="009824AD" w:rsidRDefault="00392E94" w:rsidP="00EC12A5">
      <w:pPr>
        <w:pStyle w:val="Kop1"/>
        <w:rPr>
          <w:rFonts w:ascii="Helvetica" w:hAnsi="Helvetica"/>
          <w:lang w:val="en-US"/>
        </w:rPr>
      </w:pPr>
      <w:r w:rsidRPr="009824AD">
        <w:rPr>
          <w:rFonts w:ascii="Helvetica" w:hAnsi="Helvetica"/>
          <w:lang w:val="en-US" w:eastAsia="nl-NL"/>
        </w:rPr>
        <w:lastRenderedPageBreak/>
        <w:t>DISCUSSION</w:t>
      </w:r>
    </w:p>
    <w:p w14:paraId="146329B6" w14:textId="10E164F5" w:rsidR="00D50907" w:rsidRPr="009824AD" w:rsidRDefault="00960AAC" w:rsidP="00B25EFD">
      <w:pPr>
        <w:pStyle w:val="Geenafstand"/>
        <w:spacing w:line="480" w:lineRule="auto"/>
        <w:jc w:val="both"/>
        <w:rPr>
          <w:rFonts w:ascii="Helvetica" w:hAnsi="Helvetica" w:cs="Calibri"/>
          <w:lang w:val="en-US"/>
        </w:rPr>
      </w:pPr>
      <w:r w:rsidRPr="009824AD">
        <w:rPr>
          <w:rFonts w:ascii="Helvetica" w:eastAsia="Times New Roman" w:hAnsi="Helvetica" w:cs="Calibri"/>
          <w:lang w:val="en-US" w:eastAsia="nl-NL"/>
        </w:rPr>
        <w:t>This</w:t>
      </w:r>
      <w:r w:rsidR="000045F9" w:rsidRPr="009824AD">
        <w:rPr>
          <w:rFonts w:ascii="Helvetica" w:eastAsia="Times New Roman" w:hAnsi="Helvetica" w:cs="Calibri"/>
          <w:lang w:val="en-US" w:eastAsia="nl-NL"/>
        </w:rPr>
        <w:t xml:space="preserve"> </w:t>
      </w:r>
      <w:r w:rsidR="00D50907" w:rsidRPr="009824AD">
        <w:rPr>
          <w:rFonts w:ascii="Helvetica" w:eastAsia="Times New Roman" w:hAnsi="Helvetica" w:cs="Calibri"/>
          <w:lang w:val="en-US" w:eastAsia="nl-NL"/>
        </w:rPr>
        <w:t xml:space="preserve">international </w:t>
      </w:r>
      <w:r w:rsidR="007F5649" w:rsidRPr="009824AD">
        <w:rPr>
          <w:rFonts w:ascii="Helvetica" w:eastAsia="Times New Roman" w:hAnsi="Helvetica" w:cs="Calibri"/>
          <w:lang w:val="en-US" w:eastAsia="nl-NL"/>
        </w:rPr>
        <w:t>multi</w:t>
      </w:r>
      <w:r w:rsidR="000B7DA3" w:rsidRPr="009824AD">
        <w:rPr>
          <w:rFonts w:ascii="Helvetica" w:eastAsia="Times New Roman" w:hAnsi="Helvetica" w:cs="Calibri"/>
          <w:lang w:val="en-US" w:eastAsia="nl-NL"/>
        </w:rPr>
        <w:t>center</w:t>
      </w:r>
      <w:r w:rsidR="007F5649" w:rsidRPr="009824AD">
        <w:rPr>
          <w:rFonts w:ascii="Helvetica" w:eastAsia="Times New Roman" w:hAnsi="Helvetica" w:cs="Calibri"/>
          <w:lang w:val="en-US" w:eastAsia="nl-NL"/>
        </w:rPr>
        <w:t xml:space="preserve"> study </w:t>
      </w:r>
      <w:r w:rsidR="00CB7EDE" w:rsidRPr="009824AD">
        <w:rPr>
          <w:rFonts w:ascii="Helvetica" w:eastAsia="Times New Roman" w:hAnsi="Helvetica" w:cs="Calibri"/>
          <w:lang w:val="en-US" w:eastAsia="nl-NL"/>
        </w:rPr>
        <w:t>assess</w:t>
      </w:r>
      <w:r w:rsidR="000B7DA3" w:rsidRPr="009824AD">
        <w:rPr>
          <w:rFonts w:ascii="Helvetica" w:eastAsia="Times New Roman" w:hAnsi="Helvetica" w:cs="Calibri"/>
          <w:lang w:val="en-US" w:eastAsia="nl-NL"/>
        </w:rPr>
        <w:t>ed</w:t>
      </w:r>
      <w:r w:rsidR="00CB7EDE" w:rsidRPr="009824AD">
        <w:rPr>
          <w:rFonts w:ascii="Helvetica" w:eastAsia="Times New Roman" w:hAnsi="Helvetica" w:cs="Calibri"/>
          <w:lang w:val="en-US" w:eastAsia="nl-NL"/>
        </w:rPr>
        <w:t xml:space="preserve"> </w:t>
      </w:r>
      <w:r w:rsidR="007F5649" w:rsidRPr="009824AD">
        <w:rPr>
          <w:rFonts w:ascii="Helvetica" w:eastAsia="Times New Roman" w:hAnsi="Helvetica" w:cs="Calibri"/>
          <w:lang w:val="en-US" w:eastAsia="nl-NL"/>
        </w:rPr>
        <w:t xml:space="preserve">the incidence and clinical impact of </w:t>
      </w:r>
      <w:r w:rsidR="0072020D" w:rsidRPr="009824AD">
        <w:rPr>
          <w:rFonts w:ascii="Helvetica" w:eastAsia="Times New Roman" w:hAnsi="Helvetica" w:cs="Calibri"/>
          <w:lang w:val="en-US" w:eastAsia="nl-NL"/>
        </w:rPr>
        <w:t>CR-POBL</w:t>
      </w:r>
      <w:r w:rsidR="00936EC2" w:rsidRPr="009824AD">
        <w:rPr>
          <w:rFonts w:ascii="Helvetica" w:eastAsia="Times New Roman" w:hAnsi="Helvetica" w:cs="Calibri"/>
          <w:lang w:val="en-US" w:eastAsia="nl-NL"/>
        </w:rPr>
        <w:t xml:space="preserve"> </w:t>
      </w:r>
      <w:r w:rsidR="000B7DA3" w:rsidRPr="009824AD">
        <w:rPr>
          <w:rFonts w:ascii="Helvetica" w:eastAsia="Times New Roman" w:hAnsi="Helvetica" w:cs="Calibri"/>
          <w:lang w:val="en-US" w:eastAsia="nl-NL"/>
        </w:rPr>
        <w:t xml:space="preserve">in </w:t>
      </w:r>
      <w:r w:rsidR="007F5649" w:rsidRPr="009824AD">
        <w:rPr>
          <w:rFonts w:ascii="Helvetica" w:eastAsia="Times New Roman" w:hAnsi="Helvetica" w:cs="Calibri"/>
          <w:lang w:val="en-US" w:eastAsia="nl-NL"/>
        </w:rPr>
        <w:t xml:space="preserve">patients </w:t>
      </w:r>
      <w:r w:rsidR="000B7DA3" w:rsidRPr="009824AD">
        <w:rPr>
          <w:rFonts w:ascii="Helvetica" w:eastAsia="Times New Roman" w:hAnsi="Helvetica" w:cs="Calibri"/>
          <w:lang w:val="en-US" w:eastAsia="nl-NL"/>
        </w:rPr>
        <w:t xml:space="preserve">undergoing </w:t>
      </w:r>
      <w:r w:rsidR="007F5649" w:rsidRPr="009824AD">
        <w:rPr>
          <w:rFonts w:ascii="Helvetica" w:eastAsia="Times New Roman" w:hAnsi="Helvetica" w:cs="Calibri"/>
          <w:lang w:val="en-US" w:eastAsia="nl-NL"/>
        </w:rPr>
        <w:t xml:space="preserve">LLR and OLR. </w:t>
      </w:r>
      <w:r w:rsidR="004D390F" w:rsidRPr="009824AD">
        <w:rPr>
          <w:rFonts w:ascii="Helvetica" w:eastAsia="Times New Roman" w:hAnsi="Helvetica" w:cs="Calibri"/>
          <w:lang w:val="en-US" w:eastAsia="nl-NL"/>
        </w:rPr>
        <w:t xml:space="preserve">Our </w:t>
      </w:r>
      <w:r w:rsidR="00475368" w:rsidRPr="009824AD">
        <w:rPr>
          <w:rFonts w:ascii="Helvetica" w:eastAsia="Times New Roman" w:hAnsi="Helvetica" w:cs="Calibri"/>
          <w:lang w:val="en-US" w:eastAsia="nl-NL"/>
        </w:rPr>
        <w:t xml:space="preserve">findings show less </w:t>
      </w:r>
      <w:r w:rsidR="0072020D" w:rsidRPr="009824AD">
        <w:rPr>
          <w:rFonts w:ascii="Helvetica" w:eastAsia="Times New Roman" w:hAnsi="Helvetica" w:cs="Calibri"/>
          <w:lang w:val="en-US" w:eastAsia="nl-NL"/>
        </w:rPr>
        <w:t>CR-POBL</w:t>
      </w:r>
      <w:r w:rsidR="00D50907" w:rsidRPr="009824AD">
        <w:rPr>
          <w:rFonts w:ascii="Helvetica" w:eastAsia="Times New Roman" w:hAnsi="Helvetica" w:cs="Calibri"/>
          <w:lang w:val="en-US" w:eastAsia="nl-NL"/>
        </w:rPr>
        <w:t xml:space="preserve"> </w:t>
      </w:r>
      <w:r w:rsidR="00475368" w:rsidRPr="009824AD">
        <w:rPr>
          <w:rFonts w:ascii="Helvetica" w:eastAsia="Times New Roman" w:hAnsi="Helvetica" w:cs="Calibri"/>
          <w:lang w:val="en-US" w:eastAsia="nl-NL"/>
        </w:rPr>
        <w:t>after</w:t>
      </w:r>
      <w:r w:rsidR="00D50907" w:rsidRPr="009824AD">
        <w:rPr>
          <w:rFonts w:ascii="Helvetica" w:eastAsia="Times New Roman" w:hAnsi="Helvetica" w:cs="Calibri"/>
          <w:lang w:val="en-US" w:eastAsia="nl-NL"/>
        </w:rPr>
        <w:t xml:space="preserve"> LLR as compared </w:t>
      </w:r>
      <w:r w:rsidR="00B640A1" w:rsidRPr="009824AD">
        <w:rPr>
          <w:rFonts w:ascii="Helvetica" w:eastAsia="Times New Roman" w:hAnsi="Helvetica" w:cs="Calibri"/>
          <w:lang w:val="en-US" w:eastAsia="nl-NL"/>
        </w:rPr>
        <w:t xml:space="preserve">to </w:t>
      </w:r>
      <w:r w:rsidR="00B25EFD" w:rsidRPr="009824AD">
        <w:rPr>
          <w:rFonts w:ascii="Helvetica" w:eastAsia="Times New Roman" w:hAnsi="Helvetica" w:cs="Calibri"/>
          <w:lang w:val="en-US" w:eastAsia="nl-NL"/>
        </w:rPr>
        <w:t>OLR</w:t>
      </w:r>
      <w:r w:rsidR="00AB45CD" w:rsidRPr="009824AD">
        <w:rPr>
          <w:rFonts w:ascii="Helvetica" w:eastAsia="Times New Roman" w:hAnsi="Helvetica" w:cs="Calibri"/>
          <w:lang w:val="en-US" w:eastAsia="nl-NL"/>
        </w:rPr>
        <w:t>,</w:t>
      </w:r>
      <w:r w:rsidR="00D50907" w:rsidRPr="009824AD">
        <w:rPr>
          <w:rFonts w:ascii="Helvetica" w:eastAsia="Times New Roman" w:hAnsi="Helvetica" w:cs="Calibri"/>
          <w:lang w:val="en-US" w:eastAsia="nl-NL"/>
        </w:rPr>
        <w:t xml:space="preserve"> even after PSM</w:t>
      </w:r>
      <w:r w:rsidR="00F75A7E" w:rsidRPr="009824AD">
        <w:rPr>
          <w:rFonts w:ascii="Helvetica" w:eastAsia="Times New Roman" w:hAnsi="Helvetica" w:cs="Calibri"/>
          <w:lang w:val="en-US" w:eastAsia="nl-NL"/>
        </w:rPr>
        <w:t xml:space="preserve"> (</w:t>
      </w:r>
      <w:r w:rsidR="00243B0E" w:rsidRPr="009824AD">
        <w:rPr>
          <w:rFonts w:ascii="Helvetica" w:hAnsi="Helvetica" w:cs="Calibri"/>
          <w:lang w:val="en-US"/>
        </w:rPr>
        <w:t>2.6</w:t>
      </w:r>
      <w:r w:rsidR="000B7DA3" w:rsidRPr="009824AD">
        <w:rPr>
          <w:rFonts w:ascii="Helvetica" w:hAnsi="Helvetica" w:cs="Calibri"/>
          <w:lang w:val="en-US"/>
        </w:rPr>
        <w:t>%</w:t>
      </w:r>
      <w:r w:rsidR="00243B0E" w:rsidRPr="009824AD">
        <w:rPr>
          <w:rFonts w:ascii="Helvetica" w:hAnsi="Helvetica" w:cs="Calibri"/>
          <w:lang w:val="en-US"/>
        </w:rPr>
        <w:t xml:space="preserve"> vs. 6.</w:t>
      </w:r>
      <w:r w:rsidR="000B7DA3" w:rsidRPr="009824AD">
        <w:rPr>
          <w:rFonts w:ascii="Helvetica" w:hAnsi="Helvetica" w:cs="Calibri"/>
          <w:lang w:val="en-US"/>
        </w:rPr>
        <w:t>0%</w:t>
      </w:r>
      <w:r w:rsidR="00243B0E" w:rsidRPr="009824AD">
        <w:rPr>
          <w:rFonts w:ascii="Helvetica" w:hAnsi="Helvetica" w:cs="Calibri"/>
          <w:lang w:val="en-US"/>
        </w:rPr>
        <w:t>)</w:t>
      </w:r>
      <w:r w:rsidR="006F5759" w:rsidRPr="009824AD">
        <w:rPr>
          <w:rFonts w:ascii="Helvetica" w:eastAsia="Times New Roman" w:hAnsi="Helvetica" w:cs="Calibri"/>
          <w:lang w:val="en-US" w:eastAsia="nl-NL"/>
        </w:rPr>
        <w:t xml:space="preserve">. </w:t>
      </w:r>
      <w:r w:rsidR="000B7DA3" w:rsidRPr="009824AD">
        <w:rPr>
          <w:rFonts w:ascii="Helvetica" w:eastAsia="Times New Roman" w:hAnsi="Helvetica" w:cs="Calibri"/>
          <w:lang w:val="en-US" w:eastAsia="nl-NL"/>
        </w:rPr>
        <w:t xml:space="preserve">Patients after </w:t>
      </w:r>
      <w:r w:rsidR="00475368" w:rsidRPr="009824AD">
        <w:rPr>
          <w:rFonts w:ascii="Helvetica" w:hAnsi="Helvetica" w:cs="Calibri"/>
          <w:lang w:val="en-US"/>
        </w:rPr>
        <w:t xml:space="preserve">LLR </w:t>
      </w:r>
      <w:r w:rsidR="000B7DA3" w:rsidRPr="009824AD">
        <w:rPr>
          <w:rFonts w:ascii="Helvetica" w:hAnsi="Helvetica" w:cs="Calibri"/>
          <w:lang w:val="en-US"/>
        </w:rPr>
        <w:t xml:space="preserve">with CR-POBL had a more favorable postoperative recovery in terms of </w:t>
      </w:r>
      <w:r w:rsidR="00AE4FA9" w:rsidRPr="009824AD">
        <w:rPr>
          <w:rFonts w:ascii="Helvetica" w:hAnsi="Helvetica" w:cs="Calibri"/>
          <w:lang w:val="en-US"/>
        </w:rPr>
        <w:t xml:space="preserve">clinical </w:t>
      </w:r>
      <w:r w:rsidR="00AB513E" w:rsidRPr="009824AD">
        <w:rPr>
          <w:rFonts w:ascii="Helvetica" w:hAnsi="Helvetica" w:cs="Calibri"/>
          <w:lang w:val="en-US"/>
        </w:rPr>
        <w:t>short-term</w:t>
      </w:r>
      <w:r w:rsidR="00AE4FA9" w:rsidRPr="009824AD">
        <w:rPr>
          <w:rFonts w:ascii="Helvetica" w:hAnsi="Helvetica" w:cs="Calibri"/>
          <w:lang w:val="en-US"/>
        </w:rPr>
        <w:t xml:space="preserve"> outcomes</w:t>
      </w:r>
      <w:r w:rsidR="000B7DA3" w:rsidRPr="009824AD">
        <w:rPr>
          <w:rFonts w:ascii="Helvetica" w:hAnsi="Helvetica" w:cs="Calibri"/>
          <w:lang w:val="en-US"/>
        </w:rPr>
        <w:t xml:space="preserve"> as compared to patients who underwent OLR and developed CR-POBL</w:t>
      </w:r>
      <w:r w:rsidR="00AE4FA9" w:rsidRPr="009824AD">
        <w:rPr>
          <w:rFonts w:ascii="Helvetica" w:hAnsi="Helvetica" w:cs="Calibri"/>
          <w:lang w:val="en-US"/>
        </w:rPr>
        <w:t xml:space="preserve">. </w:t>
      </w:r>
    </w:p>
    <w:p w14:paraId="570F048F" w14:textId="77777777" w:rsidR="00CB460E" w:rsidRPr="009824AD" w:rsidRDefault="00CB460E" w:rsidP="00B25EFD">
      <w:pPr>
        <w:pStyle w:val="Geenafstand"/>
        <w:spacing w:line="480" w:lineRule="auto"/>
        <w:jc w:val="both"/>
        <w:rPr>
          <w:rFonts w:ascii="Helvetica" w:hAnsi="Helvetica" w:cs="Calibri"/>
          <w:lang w:val="en-US"/>
        </w:rPr>
      </w:pPr>
    </w:p>
    <w:p w14:paraId="54AE31B3" w14:textId="7DE6E83E" w:rsidR="00936EC2" w:rsidRPr="009824AD" w:rsidRDefault="00B700C4" w:rsidP="007A7C5F">
      <w:pPr>
        <w:autoSpaceDE w:val="0"/>
        <w:autoSpaceDN w:val="0"/>
        <w:adjustRightInd w:val="0"/>
        <w:spacing w:line="480" w:lineRule="auto"/>
        <w:jc w:val="both"/>
        <w:rPr>
          <w:rFonts w:ascii="Helvetica" w:hAnsi="Helvetica" w:cs="Calibri"/>
          <w:sz w:val="22"/>
          <w:szCs w:val="22"/>
          <w:lang w:val="en-US"/>
        </w:rPr>
      </w:pPr>
      <w:r w:rsidRPr="009824AD">
        <w:rPr>
          <w:rFonts w:ascii="Helvetica" w:hAnsi="Helvetica" w:cs="Calibri"/>
          <w:sz w:val="22"/>
          <w:szCs w:val="22"/>
          <w:lang w:val="en-US"/>
        </w:rPr>
        <w:t xml:space="preserve">Studies comparing the incidence of </w:t>
      </w:r>
      <w:r w:rsidR="003F1AD6" w:rsidRPr="009824AD">
        <w:rPr>
          <w:rFonts w:ascii="Helvetica" w:hAnsi="Helvetica" w:cs="Calibri"/>
          <w:sz w:val="22"/>
          <w:szCs w:val="22"/>
          <w:lang w:val="en-US"/>
        </w:rPr>
        <w:t xml:space="preserve">overall </w:t>
      </w:r>
      <w:r w:rsidR="00936EC2" w:rsidRPr="009824AD">
        <w:rPr>
          <w:rFonts w:ascii="Helvetica" w:hAnsi="Helvetica" w:cs="Calibri"/>
          <w:sz w:val="22"/>
          <w:szCs w:val="22"/>
          <w:lang w:val="en-US"/>
        </w:rPr>
        <w:t>PO</w:t>
      </w:r>
      <w:r w:rsidRPr="009824AD">
        <w:rPr>
          <w:rFonts w:ascii="Helvetica" w:hAnsi="Helvetica" w:cs="Calibri"/>
          <w:sz w:val="22"/>
          <w:szCs w:val="22"/>
          <w:lang w:val="en-US"/>
        </w:rPr>
        <w:t xml:space="preserve">BL </w:t>
      </w:r>
      <w:r w:rsidR="003F1AD6" w:rsidRPr="009824AD">
        <w:rPr>
          <w:rFonts w:ascii="Helvetica" w:hAnsi="Helvetica" w:cs="Calibri"/>
          <w:sz w:val="22"/>
          <w:szCs w:val="22"/>
          <w:lang w:val="en-US"/>
        </w:rPr>
        <w:t xml:space="preserve">and in particular CR-POBL </w:t>
      </w:r>
      <w:r w:rsidRPr="009824AD">
        <w:rPr>
          <w:rFonts w:ascii="Helvetica" w:hAnsi="Helvetica" w:cs="Calibri"/>
          <w:sz w:val="22"/>
          <w:szCs w:val="22"/>
          <w:lang w:val="en-US"/>
        </w:rPr>
        <w:t xml:space="preserve">after LLR and OLR are scarce. To date, </w:t>
      </w:r>
      <w:r w:rsidR="00DD59DB" w:rsidRPr="009824AD">
        <w:rPr>
          <w:rFonts w:ascii="Helvetica" w:hAnsi="Helvetica" w:cs="Calibri"/>
          <w:sz w:val="22"/>
          <w:szCs w:val="22"/>
          <w:lang w:val="en-US"/>
        </w:rPr>
        <w:t xml:space="preserve">only one study </w:t>
      </w:r>
      <w:r w:rsidR="00CE1539" w:rsidRPr="009824AD">
        <w:rPr>
          <w:rFonts w:ascii="Helvetica" w:hAnsi="Helvetica" w:cs="Calibri"/>
          <w:sz w:val="22"/>
          <w:szCs w:val="22"/>
          <w:lang w:val="en-US"/>
        </w:rPr>
        <w:t xml:space="preserve">focused </w:t>
      </w:r>
      <w:r w:rsidR="00071388" w:rsidRPr="009824AD">
        <w:rPr>
          <w:rFonts w:ascii="Helvetica" w:hAnsi="Helvetica" w:cs="Calibri"/>
          <w:sz w:val="22"/>
          <w:szCs w:val="22"/>
          <w:lang w:val="en-US"/>
        </w:rPr>
        <w:t>specifically</w:t>
      </w:r>
      <w:r w:rsidR="00DD59DB" w:rsidRPr="009824AD">
        <w:rPr>
          <w:rFonts w:ascii="Helvetica" w:hAnsi="Helvetica" w:cs="Calibri"/>
          <w:sz w:val="22"/>
          <w:szCs w:val="22"/>
          <w:lang w:val="en-US"/>
        </w:rPr>
        <w:t xml:space="preserve"> </w:t>
      </w:r>
      <w:r w:rsidR="00CE1539" w:rsidRPr="009824AD">
        <w:rPr>
          <w:rFonts w:ascii="Helvetica" w:hAnsi="Helvetica" w:cs="Calibri"/>
          <w:sz w:val="22"/>
          <w:szCs w:val="22"/>
          <w:lang w:val="en-US"/>
        </w:rPr>
        <w:t xml:space="preserve">on </w:t>
      </w:r>
      <w:r w:rsidR="00DD59DB" w:rsidRPr="009824AD">
        <w:rPr>
          <w:rFonts w:ascii="Helvetica" w:hAnsi="Helvetica" w:cs="Calibri"/>
          <w:sz w:val="22"/>
          <w:szCs w:val="22"/>
          <w:lang w:val="en-US"/>
        </w:rPr>
        <w:t xml:space="preserve">the incidence of </w:t>
      </w:r>
      <w:r w:rsidR="00936EC2" w:rsidRPr="009824AD">
        <w:rPr>
          <w:rFonts w:ascii="Helvetica" w:hAnsi="Helvetica" w:cs="Calibri"/>
          <w:sz w:val="22"/>
          <w:szCs w:val="22"/>
          <w:lang w:val="en-US"/>
        </w:rPr>
        <w:t>PO</w:t>
      </w:r>
      <w:r w:rsidR="00DD59DB" w:rsidRPr="009824AD">
        <w:rPr>
          <w:rFonts w:ascii="Helvetica" w:hAnsi="Helvetica" w:cs="Calibri"/>
          <w:sz w:val="22"/>
          <w:szCs w:val="22"/>
          <w:lang w:val="en-US"/>
        </w:rPr>
        <w:t>BL in OLR and LLR</w:t>
      </w:r>
      <w:r w:rsidR="00565F8A" w:rsidRPr="009824AD">
        <w:rPr>
          <w:rFonts w:ascii="Helvetica" w:hAnsi="Helvetica" w:cs="Calibri"/>
          <w:sz w:val="22"/>
          <w:szCs w:val="22"/>
          <w:lang w:val="en-US"/>
        </w:rPr>
        <w:fldChar w:fldCharType="begin" w:fldLock="1"/>
      </w:r>
      <w:r w:rsidR="000D44B8" w:rsidRPr="009824AD">
        <w:rPr>
          <w:rFonts w:ascii="Helvetica" w:hAnsi="Helvetica" w:cs="Calibri"/>
          <w:sz w:val="22"/>
          <w:szCs w:val="22"/>
          <w:lang w:val="en-US"/>
        </w:rPr>
        <w:instrText>ADDIN CSL_CITATION {"citationItems":[{"id":"ITEM-1","itemData":{"DOI":"10.1007/s00268-019-05343-x","ISSN":"1432-2323","author":[{"dropping-particle":"","family":"Smith","given":"Alison A","non-dropping-particle":"","parse-names":false,"suffix":""},{"dropping-particle":"","family":"Monlezun","given":"Dominique J","non-dropping-particle":"","parse-names":false,"suffix":""},{"dropping-particle":"","family":"Martinie","given":"John","non-dropping-particle":"","parse-names":false,"suffix":""},{"dropping-particle":"","family":"Iannitti","given":"David","non-dropping-particle":"","parse-names":false,"suffix":""},{"dropping-particle":"","family":"Konstantinidis","given":"Ioannis","non-dropping-particle":"","parse-names":false,"suffix":""},{"dropping-particle":"","family":"Darden","given":"Michael","non-dropping-particle":"","parse-names":false,"suffix":""},{"dropping-particle":"","family":"Parker","given":"Geoffrey","non-dropping-particle":"","parse-names":false,"suffix":""},{"dropping-particle":"","family":"Fong","given":"Yuman","non-dropping-particle":"","parse-names":false,"suffix":""},{"dropping-particle":"","family":"Smith","given":"Alison A","non-dropping-particle":"","parse-names":false,"suffix":""}],"container-title":"World Journal of Surgery","id":"ITEM-1","issue":"5","issued":{"date-parts":[["2020"]]},"page":"1578-1585","publisher":"Springer International Publishing","title":"Bile Leak Reduction with Laparoscopic Versus Open Liver Resection : A Multi-institutional Propensity Score-Adjusted Multivariable Regression Analysis","type":"article-journal","volume":"44"},"uris":["http://www.mendeley.com/documents/?uuid=d2f145f1-d717-4ae1-a4dc-af07daa10314"]}],"mendeley":{"formattedCitation":"(34)","plainTextFormattedCitation":"(34)","previouslyFormattedCitation":"(34)"},"properties":{"noteIndex":0},"schema":"https://github.com/citation-style-language/schema/raw/master/csl-citation.json"}</w:instrText>
      </w:r>
      <w:r w:rsidR="00565F8A" w:rsidRPr="009824AD">
        <w:rPr>
          <w:rFonts w:ascii="Helvetica" w:hAnsi="Helvetica" w:cs="Calibri"/>
          <w:sz w:val="22"/>
          <w:szCs w:val="22"/>
          <w:lang w:val="en-US"/>
        </w:rPr>
        <w:fldChar w:fldCharType="separate"/>
      </w:r>
      <w:r w:rsidR="000D44B8" w:rsidRPr="009824AD">
        <w:rPr>
          <w:rFonts w:ascii="Helvetica" w:hAnsi="Helvetica" w:cs="Calibri"/>
          <w:noProof/>
          <w:sz w:val="22"/>
          <w:szCs w:val="22"/>
          <w:lang w:val="en-US"/>
        </w:rPr>
        <w:t>(34)</w:t>
      </w:r>
      <w:r w:rsidR="00565F8A" w:rsidRPr="009824AD">
        <w:rPr>
          <w:rFonts w:ascii="Helvetica" w:hAnsi="Helvetica" w:cs="Calibri"/>
          <w:sz w:val="22"/>
          <w:szCs w:val="22"/>
          <w:lang w:val="en-US"/>
        </w:rPr>
        <w:fldChar w:fldCharType="end"/>
      </w:r>
      <w:r w:rsidR="00E444F2" w:rsidRPr="009824AD">
        <w:rPr>
          <w:rFonts w:ascii="Helvetica" w:hAnsi="Helvetica" w:cs="Calibri"/>
          <w:sz w:val="22"/>
          <w:szCs w:val="22"/>
          <w:lang w:val="en-US"/>
        </w:rPr>
        <w:t>.</w:t>
      </w:r>
      <w:r w:rsidR="00DD59DB" w:rsidRPr="009824AD">
        <w:rPr>
          <w:rFonts w:ascii="Helvetica" w:hAnsi="Helvetica" w:cs="Calibri"/>
          <w:sz w:val="22"/>
          <w:szCs w:val="22"/>
          <w:lang w:val="en-US"/>
        </w:rPr>
        <w:t xml:space="preserve"> </w:t>
      </w:r>
      <w:r w:rsidR="00475368" w:rsidRPr="009824AD">
        <w:rPr>
          <w:rFonts w:ascii="Helvetica" w:hAnsi="Helvetica" w:cs="Calibri"/>
          <w:sz w:val="22"/>
          <w:szCs w:val="22"/>
          <w:lang w:val="en-US"/>
        </w:rPr>
        <w:t xml:space="preserve">This study </w:t>
      </w:r>
      <w:r w:rsidR="00DD59DB" w:rsidRPr="009824AD">
        <w:rPr>
          <w:rFonts w:ascii="Helvetica" w:hAnsi="Helvetica" w:cs="Calibri"/>
          <w:sz w:val="22"/>
          <w:szCs w:val="22"/>
          <w:lang w:val="en-US"/>
        </w:rPr>
        <w:t>included 599</w:t>
      </w:r>
      <w:r w:rsidR="00936EC2" w:rsidRPr="009824AD">
        <w:rPr>
          <w:rFonts w:ascii="Helvetica" w:hAnsi="Helvetica" w:cs="Calibri"/>
          <w:sz w:val="22"/>
          <w:szCs w:val="22"/>
          <w:lang w:val="en-US"/>
        </w:rPr>
        <w:t xml:space="preserve"> </w:t>
      </w:r>
      <w:r w:rsidR="003F1AD6" w:rsidRPr="009824AD">
        <w:rPr>
          <w:rFonts w:ascii="Helvetica" w:hAnsi="Helvetica" w:cs="Calibri"/>
          <w:sz w:val="22"/>
          <w:szCs w:val="22"/>
          <w:lang w:val="en-US"/>
        </w:rPr>
        <w:t xml:space="preserve">patients </w:t>
      </w:r>
      <w:r w:rsidR="00475368" w:rsidRPr="009824AD">
        <w:rPr>
          <w:rFonts w:ascii="Helvetica" w:hAnsi="Helvetica" w:cs="Calibri"/>
          <w:sz w:val="22"/>
          <w:szCs w:val="22"/>
          <w:lang w:val="en-US"/>
        </w:rPr>
        <w:t xml:space="preserve">after </w:t>
      </w:r>
      <w:r w:rsidR="00936EC2" w:rsidRPr="009824AD">
        <w:rPr>
          <w:rFonts w:ascii="Helvetica" w:hAnsi="Helvetica" w:cs="Calibri"/>
          <w:sz w:val="22"/>
          <w:szCs w:val="22"/>
          <w:lang w:val="en-US"/>
        </w:rPr>
        <w:t>LLR</w:t>
      </w:r>
      <w:r w:rsidR="00DD59DB" w:rsidRPr="009824AD">
        <w:rPr>
          <w:rFonts w:ascii="Helvetica" w:hAnsi="Helvetica" w:cs="Calibri"/>
          <w:sz w:val="22"/>
          <w:szCs w:val="22"/>
          <w:lang w:val="en-US"/>
        </w:rPr>
        <w:t xml:space="preserve"> </w:t>
      </w:r>
      <w:r w:rsidR="00936EC2" w:rsidRPr="009824AD">
        <w:rPr>
          <w:rFonts w:ascii="Helvetica" w:hAnsi="Helvetica" w:cs="Calibri"/>
          <w:sz w:val="22"/>
          <w:szCs w:val="22"/>
          <w:lang w:val="en-US"/>
        </w:rPr>
        <w:t xml:space="preserve">and 789 </w:t>
      </w:r>
      <w:r w:rsidR="00475368" w:rsidRPr="009824AD">
        <w:rPr>
          <w:rFonts w:ascii="Helvetica" w:hAnsi="Helvetica" w:cs="Calibri"/>
          <w:sz w:val="22"/>
          <w:szCs w:val="22"/>
          <w:lang w:val="en-US"/>
        </w:rPr>
        <w:t xml:space="preserve">after </w:t>
      </w:r>
      <w:r w:rsidR="00936EC2" w:rsidRPr="009824AD">
        <w:rPr>
          <w:rFonts w:ascii="Helvetica" w:hAnsi="Helvetica" w:cs="Calibri"/>
          <w:sz w:val="22"/>
          <w:szCs w:val="22"/>
          <w:lang w:val="en-US"/>
        </w:rPr>
        <w:t xml:space="preserve">OLR </w:t>
      </w:r>
      <w:r w:rsidR="00EB3476" w:rsidRPr="009824AD">
        <w:rPr>
          <w:rFonts w:ascii="Helvetica" w:hAnsi="Helvetica" w:cs="Calibri"/>
          <w:sz w:val="22"/>
          <w:szCs w:val="22"/>
          <w:lang w:val="en-US"/>
        </w:rPr>
        <w:t xml:space="preserve">from </w:t>
      </w:r>
      <w:r w:rsidR="00565F8A" w:rsidRPr="009824AD">
        <w:rPr>
          <w:rFonts w:ascii="Helvetica" w:hAnsi="Helvetica" w:cs="Calibri"/>
          <w:sz w:val="22"/>
          <w:szCs w:val="22"/>
          <w:lang w:val="en-US"/>
        </w:rPr>
        <w:t>three</w:t>
      </w:r>
      <w:r w:rsidR="00EB3476" w:rsidRPr="009824AD">
        <w:rPr>
          <w:rFonts w:ascii="Helvetica" w:hAnsi="Helvetica" w:cs="Calibri"/>
          <w:sz w:val="22"/>
          <w:szCs w:val="22"/>
          <w:lang w:val="en-US"/>
        </w:rPr>
        <w:t xml:space="preserve"> American tertiary referral </w:t>
      </w:r>
      <w:r w:rsidR="000B7DA3" w:rsidRPr="009824AD">
        <w:rPr>
          <w:rFonts w:ascii="Helvetica" w:hAnsi="Helvetica" w:cs="Calibri"/>
          <w:sz w:val="22"/>
          <w:szCs w:val="22"/>
          <w:lang w:val="en-US"/>
        </w:rPr>
        <w:t>center</w:t>
      </w:r>
      <w:r w:rsidR="00EB3476" w:rsidRPr="009824AD">
        <w:rPr>
          <w:rFonts w:ascii="Helvetica" w:hAnsi="Helvetica" w:cs="Calibri"/>
          <w:sz w:val="22"/>
          <w:szCs w:val="22"/>
          <w:lang w:val="en-US"/>
        </w:rPr>
        <w:t>s</w:t>
      </w:r>
      <w:r w:rsidR="00CD3312" w:rsidRPr="009824AD">
        <w:rPr>
          <w:rFonts w:ascii="Helvetica" w:hAnsi="Helvetica" w:cs="Calibri"/>
          <w:sz w:val="22"/>
          <w:szCs w:val="22"/>
          <w:lang w:val="en-US"/>
        </w:rPr>
        <w:t xml:space="preserve"> </w:t>
      </w:r>
      <w:r w:rsidR="00DD59DB" w:rsidRPr="009824AD">
        <w:rPr>
          <w:rFonts w:ascii="Helvetica" w:hAnsi="Helvetica" w:cs="Calibri"/>
          <w:sz w:val="22"/>
          <w:szCs w:val="22"/>
          <w:lang w:val="en-US"/>
        </w:rPr>
        <w:t>and</w:t>
      </w:r>
      <w:r w:rsidR="00CD3312" w:rsidRPr="009824AD">
        <w:rPr>
          <w:rFonts w:ascii="Helvetica" w:hAnsi="Helvetica" w:cs="Calibri"/>
          <w:sz w:val="22"/>
          <w:szCs w:val="22"/>
          <w:lang w:val="en-US"/>
        </w:rPr>
        <w:t xml:space="preserve"> s</w:t>
      </w:r>
      <w:r w:rsidR="00DD59DB" w:rsidRPr="009824AD">
        <w:rPr>
          <w:rFonts w:ascii="Helvetica" w:hAnsi="Helvetica" w:cs="Calibri"/>
          <w:sz w:val="22"/>
          <w:szCs w:val="22"/>
          <w:lang w:val="en-US"/>
        </w:rPr>
        <w:t>howed a</w:t>
      </w:r>
      <w:r w:rsidR="00936EC2" w:rsidRPr="009824AD">
        <w:rPr>
          <w:rFonts w:ascii="Helvetica" w:hAnsi="Helvetica" w:cs="Calibri"/>
          <w:sz w:val="22"/>
          <w:szCs w:val="22"/>
          <w:lang w:val="en-US"/>
        </w:rPr>
        <w:t xml:space="preserve"> slightly</w:t>
      </w:r>
      <w:r w:rsidR="00DD59DB" w:rsidRPr="009824AD">
        <w:rPr>
          <w:rFonts w:ascii="Helvetica" w:hAnsi="Helvetica" w:cs="Calibri"/>
          <w:sz w:val="22"/>
          <w:szCs w:val="22"/>
          <w:lang w:val="en-US"/>
        </w:rPr>
        <w:t xml:space="preserve"> </w:t>
      </w:r>
      <w:r w:rsidR="009928A2" w:rsidRPr="009824AD">
        <w:rPr>
          <w:rFonts w:ascii="Helvetica" w:hAnsi="Helvetica" w:cs="Calibri"/>
          <w:sz w:val="22"/>
          <w:szCs w:val="22"/>
          <w:lang w:val="en-US"/>
        </w:rPr>
        <w:t xml:space="preserve">lower </w:t>
      </w:r>
      <w:r w:rsidR="00DD59DB" w:rsidRPr="009824AD">
        <w:rPr>
          <w:rFonts w:ascii="Helvetica" w:hAnsi="Helvetica" w:cs="Calibri"/>
          <w:sz w:val="22"/>
          <w:szCs w:val="22"/>
          <w:lang w:val="en-US"/>
        </w:rPr>
        <w:t xml:space="preserve">incidence rate </w:t>
      </w:r>
      <w:r w:rsidR="00936EC2" w:rsidRPr="009824AD">
        <w:rPr>
          <w:rFonts w:ascii="Helvetica" w:hAnsi="Helvetica" w:cs="Calibri"/>
          <w:sz w:val="22"/>
          <w:szCs w:val="22"/>
          <w:lang w:val="en-US"/>
        </w:rPr>
        <w:t xml:space="preserve">of POBL </w:t>
      </w:r>
      <w:r w:rsidR="009928A2" w:rsidRPr="009824AD">
        <w:rPr>
          <w:rFonts w:ascii="Helvetica" w:hAnsi="Helvetica" w:cs="Calibri"/>
          <w:sz w:val="22"/>
          <w:szCs w:val="22"/>
          <w:lang w:val="en-US"/>
        </w:rPr>
        <w:t>after LLR as compared to OLR (</w:t>
      </w:r>
      <w:r w:rsidR="00475368" w:rsidRPr="009824AD">
        <w:rPr>
          <w:rFonts w:ascii="Helvetica" w:hAnsi="Helvetica" w:cs="Calibri"/>
          <w:sz w:val="22"/>
          <w:szCs w:val="22"/>
          <w:lang w:val="en-US"/>
        </w:rPr>
        <w:t>2.2</w:t>
      </w:r>
      <w:r w:rsidR="000B7DA3" w:rsidRPr="009824AD">
        <w:rPr>
          <w:rFonts w:ascii="Helvetica" w:hAnsi="Helvetica" w:cs="Calibri"/>
          <w:sz w:val="22"/>
          <w:szCs w:val="22"/>
          <w:lang w:val="en-US"/>
        </w:rPr>
        <w:t>%</w:t>
      </w:r>
      <w:r w:rsidR="00475368" w:rsidRPr="009824AD">
        <w:rPr>
          <w:rFonts w:ascii="Helvetica" w:hAnsi="Helvetica" w:cs="Calibri"/>
          <w:sz w:val="22"/>
          <w:szCs w:val="22"/>
          <w:lang w:val="en-US"/>
        </w:rPr>
        <w:t xml:space="preserve"> vs. </w:t>
      </w:r>
      <w:r w:rsidR="00DD59DB" w:rsidRPr="009824AD">
        <w:rPr>
          <w:rFonts w:ascii="Helvetica" w:hAnsi="Helvetica" w:cs="Calibri"/>
          <w:sz w:val="22"/>
          <w:szCs w:val="22"/>
          <w:lang w:val="en-US"/>
        </w:rPr>
        <w:t>3.3</w:t>
      </w:r>
      <w:r w:rsidR="000B7DA3" w:rsidRPr="009824AD">
        <w:rPr>
          <w:rFonts w:ascii="Helvetica" w:hAnsi="Helvetica" w:cs="Calibri"/>
          <w:sz w:val="22"/>
          <w:szCs w:val="22"/>
          <w:lang w:val="en-US"/>
        </w:rPr>
        <w:t>%</w:t>
      </w:r>
      <w:r w:rsidR="00475368" w:rsidRPr="009824AD">
        <w:rPr>
          <w:rFonts w:ascii="Helvetica" w:hAnsi="Helvetica" w:cs="Calibri"/>
          <w:sz w:val="22"/>
          <w:szCs w:val="22"/>
          <w:lang w:val="en-US"/>
        </w:rPr>
        <w:t xml:space="preserve">; </w:t>
      </w:r>
      <w:r w:rsidR="009928A2" w:rsidRPr="009824AD">
        <w:rPr>
          <w:rFonts w:ascii="Helvetica" w:hAnsi="Helvetica" w:cs="Calibri"/>
          <w:i/>
          <w:iCs/>
          <w:sz w:val="22"/>
          <w:szCs w:val="22"/>
          <w:lang w:val="en-US"/>
        </w:rPr>
        <w:t>P</w:t>
      </w:r>
      <w:r w:rsidR="003F1AD6" w:rsidRPr="009824AD">
        <w:rPr>
          <w:rFonts w:ascii="Helvetica" w:hAnsi="Helvetica" w:cs="Calibri"/>
          <w:sz w:val="22"/>
          <w:szCs w:val="22"/>
          <w:lang w:val="en-US"/>
        </w:rPr>
        <w:t>=</w:t>
      </w:r>
      <w:r w:rsidR="009928A2" w:rsidRPr="009824AD">
        <w:rPr>
          <w:rFonts w:ascii="Helvetica" w:hAnsi="Helvetica" w:cs="Calibri"/>
          <w:sz w:val="22"/>
          <w:szCs w:val="22"/>
          <w:lang w:val="en-US"/>
        </w:rPr>
        <w:t>0.</w:t>
      </w:r>
      <w:r w:rsidR="00936EC2" w:rsidRPr="009824AD">
        <w:rPr>
          <w:rFonts w:ascii="Helvetica" w:hAnsi="Helvetica" w:cs="Calibri"/>
          <w:sz w:val="22"/>
          <w:szCs w:val="22"/>
          <w:lang w:val="en-US"/>
        </w:rPr>
        <w:t>209</w:t>
      </w:r>
      <w:r w:rsidR="00475368" w:rsidRPr="009824AD">
        <w:rPr>
          <w:rFonts w:ascii="Helvetica" w:hAnsi="Helvetica" w:cs="Calibri"/>
          <w:sz w:val="22"/>
          <w:szCs w:val="22"/>
          <w:lang w:val="en-US"/>
        </w:rPr>
        <w:t xml:space="preserve">). The rate of </w:t>
      </w:r>
      <w:r w:rsidR="003F1AD6" w:rsidRPr="009824AD">
        <w:rPr>
          <w:rFonts w:ascii="Helvetica" w:hAnsi="Helvetica" w:cs="Calibri"/>
          <w:sz w:val="22"/>
          <w:szCs w:val="22"/>
          <w:lang w:val="en-US"/>
        </w:rPr>
        <w:t>CR-</w:t>
      </w:r>
      <w:r w:rsidR="00475368" w:rsidRPr="009824AD">
        <w:rPr>
          <w:rFonts w:ascii="Helvetica" w:hAnsi="Helvetica" w:cs="Calibri"/>
          <w:sz w:val="22"/>
          <w:szCs w:val="22"/>
          <w:lang w:val="en-US"/>
        </w:rPr>
        <w:t xml:space="preserve">POBL did not differ </w:t>
      </w:r>
      <w:r w:rsidR="00936EC2" w:rsidRPr="009824AD">
        <w:rPr>
          <w:rFonts w:ascii="Helvetica" w:hAnsi="Helvetica" w:cs="Calibri"/>
          <w:sz w:val="22"/>
          <w:szCs w:val="22"/>
          <w:lang w:val="en-US"/>
        </w:rPr>
        <w:t>between both groups (1.5</w:t>
      </w:r>
      <w:r w:rsidR="000B7DA3" w:rsidRPr="009824AD">
        <w:rPr>
          <w:rFonts w:ascii="Helvetica" w:hAnsi="Helvetica" w:cs="Calibri"/>
          <w:sz w:val="22"/>
          <w:szCs w:val="22"/>
          <w:lang w:val="en-US"/>
        </w:rPr>
        <w:t>%</w:t>
      </w:r>
      <w:r w:rsidR="00936EC2" w:rsidRPr="009824AD">
        <w:rPr>
          <w:rFonts w:ascii="Helvetica" w:hAnsi="Helvetica" w:cs="Calibri"/>
          <w:sz w:val="22"/>
          <w:szCs w:val="22"/>
          <w:lang w:val="en-US"/>
        </w:rPr>
        <w:t xml:space="preserve"> vs. 1.5</w:t>
      </w:r>
      <w:r w:rsidR="000B7DA3" w:rsidRPr="009824AD">
        <w:rPr>
          <w:rFonts w:ascii="Helvetica" w:hAnsi="Helvetica" w:cs="Calibri"/>
          <w:sz w:val="22"/>
          <w:szCs w:val="22"/>
          <w:lang w:val="en-US"/>
        </w:rPr>
        <w:t>%</w:t>
      </w:r>
      <w:r w:rsidR="00936EC2" w:rsidRPr="009824AD">
        <w:rPr>
          <w:rFonts w:ascii="Helvetica" w:hAnsi="Helvetica" w:cs="Calibri"/>
          <w:sz w:val="22"/>
          <w:szCs w:val="22"/>
          <w:lang w:val="en-US"/>
        </w:rPr>
        <w:t xml:space="preserve">; </w:t>
      </w:r>
      <w:r w:rsidR="00936EC2" w:rsidRPr="009824AD">
        <w:rPr>
          <w:rFonts w:ascii="Helvetica" w:hAnsi="Helvetica" w:cs="Calibri"/>
          <w:i/>
          <w:iCs/>
          <w:sz w:val="22"/>
          <w:szCs w:val="22"/>
          <w:lang w:val="en-US"/>
        </w:rPr>
        <w:t>P</w:t>
      </w:r>
      <w:r w:rsidR="00936EC2" w:rsidRPr="009824AD">
        <w:rPr>
          <w:rFonts w:ascii="Helvetica" w:hAnsi="Helvetica" w:cs="Calibri"/>
          <w:sz w:val="22"/>
          <w:szCs w:val="22"/>
          <w:lang w:val="en-US"/>
        </w:rPr>
        <w:t>=0.978)</w:t>
      </w:r>
      <w:r w:rsidR="00620D01" w:rsidRPr="009824AD">
        <w:rPr>
          <w:rFonts w:ascii="Helvetica" w:hAnsi="Helvetica" w:cs="Calibri"/>
          <w:sz w:val="22"/>
          <w:szCs w:val="22"/>
          <w:lang w:val="en-US"/>
        </w:rPr>
        <w:t xml:space="preserve">. </w:t>
      </w:r>
      <w:r w:rsidR="00936EC2" w:rsidRPr="009824AD">
        <w:rPr>
          <w:rFonts w:ascii="Helvetica" w:hAnsi="Helvetica" w:cs="Calibri"/>
          <w:sz w:val="22"/>
          <w:szCs w:val="22"/>
          <w:lang w:val="en-US"/>
        </w:rPr>
        <w:t>Of note, baseline variables between OLR and LLR differed significantly</w:t>
      </w:r>
      <w:r w:rsidR="00475368" w:rsidRPr="009824AD">
        <w:rPr>
          <w:rFonts w:ascii="Helvetica" w:hAnsi="Helvetica" w:cs="Calibri"/>
          <w:sz w:val="22"/>
          <w:szCs w:val="22"/>
          <w:lang w:val="en-US"/>
        </w:rPr>
        <w:t xml:space="preserve"> in that study</w:t>
      </w:r>
      <w:r w:rsidR="00936EC2" w:rsidRPr="009824AD">
        <w:rPr>
          <w:rFonts w:ascii="Helvetica" w:hAnsi="Helvetica" w:cs="Calibri"/>
          <w:sz w:val="22"/>
          <w:szCs w:val="22"/>
          <w:lang w:val="en-US"/>
        </w:rPr>
        <w:t xml:space="preserve">. </w:t>
      </w:r>
      <w:r w:rsidR="00620D01" w:rsidRPr="009824AD">
        <w:rPr>
          <w:rFonts w:ascii="Helvetica" w:hAnsi="Helvetica" w:cs="Calibri"/>
          <w:sz w:val="22"/>
          <w:szCs w:val="22"/>
          <w:lang w:val="en-US"/>
        </w:rPr>
        <w:t xml:space="preserve">Although the incidence rates </w:t>
      </w:r>
      <w:r w:rsidR="00565F8A" w:rsidRPr="009824AD">
        <w:rPr>
          <w:rFonts w:ascii="Helvetica" w:hAnsi="Helvetica" w:cs="Calibri"/>
          <w:sz w:val="22"/>
          <w:szCs w:val="22"/>
          <w:lang w:val="en-US"/>
        </w:rPr>
        <w:t xml:space="preserve">of </w:t>
      </w:r>
      <w:r w:rsidR="00936EC2" w:rsidRPr="009824AD">
        <w:rPr>
          <w:rFonts w:ascii="Helvetica" w:hAnsi="Helvetica" w:cs="Calibri"/>
          <w:sz w:val="22"/>
          <w:szCs w:val="22"/>
          <w:lang w:val="en-US"/>
        </w:rPr>
        <w:t>PO</w:t>
      </w:r>
      <w:r w:rsidR="00565F8A" w:rsidRPr="009824AD">
        <w:rPr>
          <w:rFonts w:ascii="Helvetica" w:hAnsi="Helvetica" w:cs="Calibri"/>
          <w:sz w:val="22"/>
          <w:szCs w:val="22"/>
          <w:lang w:val="en-US"/>
        </w:rPr>
        <w:t xml:space="preserve">BL </w:t>
      </w:r>
      <w:r w:rsidR="00620D01" w:rsidRPr="009824AD">
        <w:rPr>
          <w:rFonts w:ascii="Helvetica" w:hAnsi="Helvetica" w:cs="Calibri"/>
          <w:sz w:val="22"/>
          <w:szCs w:val="22"/>
          <w:lang w:val="en-US"/>
        </w:rPr>
        <w:t xml:space="preserve">after LLR and OLR were higher in the current study, it is important to note that the </w:t>
      </w:r>
      <w:r w:rsidR="003F1AD6" w:rsidRPr="009824AD">
        <w:rPr>
          <w:rFonts w:ascii="Helvetica" w:hAnsi="Helvetica" w:cs="Calibri"/>
          <w:sz w:val="22"/>
          <w:szCs w:val="22"/>
          <w:lang w:val="en-US"/>
        </w:rPr>
        <w:t xml:space="preserve">current </w:t>
      </w:r>
      <w:r w:rsidR="00620D01" w:rsidRPr="009824AD">
        <w:rPr>
          <w:rFonts w:ascii="Helvetica" w:hAnsi="Helvetica" w:cs="Calibri"/>
          <w:sz w:val="22"/>
          <w:szCs w:val="22"/>
          <w:lang w:val="en-US"/>
        </w:rPr>
        <w:t>study ha</w:t>
      </w:r>
      <w:r w:rsidR="00071388" w:rsidRPr="009824AD">
        <w:rPr>
          <w:rFonts w:ascii="Helvetica" w:hAnsi="Helvetica" w:cs="Calibri"/>
          <w:sz w:val="22"/>
          <w:szCs w:val="22"/>
          <w:lang w:val="en-US"/>
        </w:rPr>
        <w:t>s</w:t>
      </w:r>
      <w:r w:rsidR="00620D01" w:rsidRPr="009824AD">
        <w:rPr>
          <w:rFonts w:ascii="Helvetica" w:hAnsi="Helvetica" w:cs="Calibri"/>
          <w:sz w:val="22"/>
          <w:szCs w:val="22"/>
          <w:lang w:val="en-US"/>
        </w:rPr>
        <w:t xml:space="preserve"> a</w:t>
      </w:r>
      <w:r w:rsidR="00F5222F" w:rsidRPr="009824AD">
        <w:rPr>
          <w:rFonts w:ascii="Helvetica" w:hAnsi="Helvetica" w:cs="Calibri"/>
          <w:sz w:val="22"/>
          <w:szCs w:val="22"/>
          <w:lang w:val="en-US"/>
        </w:rPr>
        <w:t>n</w:t>
      </w:r>
      <w:r w:rsidR="00620D01" w:rsidRPr="009824AD">
        <w:rPr>
          <w:rFonts w:ascii="Helvetica" w:hAnsi="Helvetica" w:cs="Calibri"/>
          <w:sz w:val="22"/>
          <w:szCs w:val="22"/>
          <w:lang w:val="en-US"/>
        </w:rPr>
        <w:t xml:space="preserve"> international character </w:t>
      </w:r>
      <w:r w:rsidR="00F5222F" w:rsidRPr="009824AD">
        <w:rPr>
          <w:rFonts w:ascii="Helvetica" w:hAnsi="Helvetica" w:cs="Calibri"/>
          <w:sz w:val="22"/>
          <w:szCs w:val="22"/>
          <w:lang w:val="en-US"/>
        </w:rPr>
        <w:t xml:space="preserve">joining different surgical practices and </w:t>
      </w:r>
      <w:r w:rsidR="00620D01" w:rsidRPr="009824AD">
        <w:rPr>
          <w:rFonts w:ascii="Helvetica" w:hAnsi="Helvetica" w:cs="Calibri"/>
          <w:sz w:val="22"/>
          <w:szCs w:val="22"/>
          <w:lang w:val="en-US"/>
        </w:rPr>
        <w:t>includ</w:t>
      </w:r>
      <w:r w:rsidR="00F5222F" w:rsidRPr="009824AD">
        <w:rPr>
          <w:rFonts w:ascii="Helvetica" w:hAnsi="Helvetica" w:cs="Calibri"/>
          <w:sz w:val="22"/>
          <w:szCs w:val="22"/>
          <w:lang w:val="en-US"/>
        </w:rPr>
        <w:t>ing</w:t>
      </w:r>
      <w:r w:rsidR="00620D01" w:rsidRPr="009824AD">
        <w:rPr>
          <w:rFonts w:ascii="Helvetica" w:hAnsi="Helvetica" w:cs="Calibri"/>
          <w:sz w:val="22"/>
          <w:szCs w:val="22"/>
          <w:lang w:val="en-US"/>
        </w:rPr>
        <w:t xml:space="preserve"> more than 13</w:t>
      </w:r>
      <w:r w:rsidR="00475368" w:rsidRPr="009824AD">
        <w:rPr>
          <w:rFonts w:ascii="Helvetica" w:hAnsi="Helvetica" w:cs="Calibri"/>
          <w:sz w:val="22"/>
          <w:szCs w:val="22"/>
          <w:lang w:val="en-US"/>
        </w:rPr>
        <w:t>,</w:t>
      </w:r>
      <w:r w:rsidR="00620D01" w:rsidRPr="009824AD">
        <w:rPr>
          <w:rFonts w:ascii="Helvetica" w:hAnsi="Helvetica" w:cs="Calibri"/>
          <w:sz w:val="22"/>
          <w:szCs w:val="22"/>
          <w:lang w:val="en-US"/>
        </w:rPr>
        <w:t>000 patients</w:t>
      </w:r>
      <w:r w:rsidR="00F5222F" w:rsidRPr="009824AD">
        <w:rPr>
          <w:rFonts w:ascii="Helvetica" w:hAnsi="Helvetica" w:cs="Calibri"/>
          <w:sz w:val="22"/>
          <w:szCs w:val="22"/>
          <w:lang w:val="en-US"/>
        </w:rPr>
        <w:t xml:space="preserve">. </w:t>
      </w:r>
      <w:r w:rsidR="006160CF" w:rsidRPr="007A7C5F">
        <w:rPr>
          <w:rFonts w:ascii="Helvetica" w:hAnsi="Helvetica" w:cs="Calibri"/>
          <w:sz w:val="22"/>
          <w:szCs w:val="22"/>
          <w:lang w:val="en-US"/>
        </w:rPr>
        <w:t xml:space="preserve">Furthermore, </w:t>
      </w:r>
      <w:r w:rsidR="003E5BDA" w:rsidRPr="007A7C5F">
        <w:rPr>
          <w:rFonts w:ascii="Helvetica" w:hAnsi="Helvetica" w:cs="Calibri"/>
          <w:sz w:val="22"/>
          <w:szCs w:val="22"/>
          <w:lang w:val="en-US"/>
        </w:rPr>
        <w:t>even though PSM</w:t>
      </w:r>
      <w:r w:rsidR="006160CF" w:rsidRPr="007A7C5F">
        <w:rPr>
          <w:rFonts w:ascii="Helvetica" w:hAnsi="Helvetica" w:cs="Calibri"/>
          <w:sz w:val="22"/>
          <w:szCs w:val="22"/>
          <w:lang w:val="en-US"/>
        </w:rPr>
        <w:t xml:space="preserve"> has been applied and the SMD was</w:t>
      </w:r>
      <w:r w:rsidR="003E5BDA" w:rsidRPr="00670322">
        <w:rPr>
          <w:rFonts w:ascii="Helvetica" w:hAnsi="Helvetica" w:cs="Calibri"/>
          <w:sz w:val="22"/>
          <w:szCs w:val="22"/>
          <w:lang w:val="en-US"/>
        </w:rPr>
        <w:t xml:space="preserve"> below </w:t>
      </w:r>
      <w:r w:rsidR="006160CF" w:rsidRPr="00670322">
        <w:rPr>
          <w:rFonts w:ascii="Helvetica" w:hAnsi="Helvetica" w:cs="Calibri"/>
          <w:sz w:val="22"/>
          <w:szCs w:val="22"/>
          <w:lang w:val="en-US"/>
        </w:rPr>
        <w:t xml:space="preserve">0.1 which </w:t>
      </w:r>
      <w:r w:rsidR="003E5BDA" w:rsidRPr="00670322">
        <w:rPr>
          <w:rFonts w:ascii="Helvetica" w:hAnsi="Helvetica" w:cs="Calibri"/>
          <w:sz w:val="22"/>
          <w:szCs w:val="22"/>
          <w:lang w:val="en-US"/>
        </w:rPr>
        <w:t xml:space="preserve">indicates </w:t>
      </w:r>
      <w:r w:rsidR="003E5BDA" w:rsidRPr="007A7C5F">
        <w:rPr>
          <w:rFonts w:ascii="Helvetica" w:hAnsi="Helvetica" w:cs="Calibri"/>
          <w:sz w:val="22"/>
          <w:szCs w:val="22"/>
          <w:lang w:val="en-US"/>
        </w:rPr>
        <w:t>optimal balance</w:t>
      </w:r>
      <w:r w:rsidR="006160CF" w:rsidRPr="007A7C5F">
        <w:rPr>
          <w:rFonts w:ascii="Helvetica" w:hAnsi="Helvetica" w:cs="Calibri"/>
          <w:sz w:val="22"/>
          <w:szCs w:val="22"/>
          <w:lang w:val="en-US"/>
        </w:rPr>
        <w:t xml:space="preserve">, the larger size of lesion in the OLR group as compared to the LLR group </w:t>
      </w:r>
      <w:r w:rsidR="006160CF" w:rsidRPr="00670322">
        <w:rPr>
          <w:rFonts w:ascii="Helvetica" w:hAnsi="Helvetica" w:cs="Calibri"/>
          <w:sz w:val="22"/>
          <w:szCs w:val="22"/>
          <w:lang w:val="en-US"/>
        </w:rPr>
        <w:t xml:space="preserve">might be a contributary factor to the higher incidence of CR-POBL in patients after OLR as compared to patients after LLR. This is also supported by several previously published studies in the field of laparoscopic and open liver surgery </w:t>
      </w:r>
      <w:r w:rsidR="003E5BDA" w:rsidRPr="00670322">
        <w:rPr>
          <w:rFonts w:ascii="Helvetica" w:hAnsi="Helvetica" w:cs="Calibri"/>
          <w:sz w:val="22"/>
          <w:szCs w:val="22"/>
          <w:lang w:val="en-US"/>
        </w:rPr>
        <w:t xml:space="preserve">showing </w:t>
      </w:r>
      <w:r w:rsidR="006160CF" w:rsidRPr="00670322">
        <w:rPr>
          <w:rFonts w:ascii="Helvetica" w:hAnsi="Helvetica" w:cs="Calibri"/>
          <w:sz w:val="22"/>
          <w:szCs w:val="22"/>
          <w:lang w:val="en-US"/>
        </w:rPr>
        <w:t>that a</w:t>
      </w:r>
      <w:r w:rsidR="003E5BDA" w:rsidRPr="00670322">
        <w:rPr>
          <w:rFonts w:ascii="Helvetica" w:hAnsi="Helvetica" w:cs="Calibri"/>
          <w:sz w:val="22"/>
          <w:szCs w:val="22"/>
          <w:lang w:val="en-US"/>
        </w:rPr>
        <w:t>n</w:t>
      </w:r>
      <w:r w:rsidR="006160CF" w:rsidRPr="00670322">
        <w:rPr>
          <w:rFonts w:ascii="Helvetica" w:hAnsi="Helvetica" w:cs="Calibri"/>
          <w:sz w:val="22"/>
          <w:szCs w:val="22"/>
          <w:lang w:val="en-US"/>
        </w:rPr>
        <w:t xml:space="preserve"> increasing tumor size is associated with </w:t>
      </w:r>
      <w:r w:rsidR="006E2594" w:rsidRPr="00670322">
        <w:rPr>
          <w:rFonts w:ascii="Helvetica" w:hAnsi="Helvetica" w:cs="Calibri"/>
          <w:sz w:val="22"/>
          <w:szCs w:val="22"/>
          <w:lang w:val="en-US"/>
        </w:rPr>
        <w:t>worse outcomes</w:t>
      </w:r>
      <w:r w:rsidR="003E5BDA">
        <w:rPr>
          <w:rFonts w:ascii="Helvetica" w:hAnsi="Helvetica" w:cs="Calibri"/>
          <w:sz w:val="22"/>
          <w:szCs w:val="22"/>
          <w:lang w:val="en-US"/>
        </w:rPr>
        <w:fldChar w:fldCharType="begin" w:fldLock="1"/>
      </w:r>
      <w:r w:rsidR="006E2594">
        <w:rPr>
          <w:rFonts w:ascii="Helvetica" w:hAnsi="Helvetica" w:cs="Calibri"/>
          <w:sz w:val="22"/>
          <w:szCs w:val="22"/>
          <w:lang w:val="en-US"/>
        </w:rPr>
        <w:instrText>ADDIN CSL_CITATION {"citationItems":[{"id":"ITEM-1","itemData":{"DOI":"10.1016/J.EJSO.2021.08.019","ISSN":"0748-7983","PMID":"34420824","abstract":"&lt;h2&gt;Abstract&lt;/h2&gt;&lt;h3&gt;Introduction&lt;/h3&gt;&lt;p&gt;We performed this study in order to investigate the impact of tumour size on the difficulty of MILR, as well as to elucidate the optimal tumour size cut-off/s to distinguish between ‘easy' and ‘difficult' MILRs.&lt;/p&gt;&lt;h3&gt;Materials and methods&lt;/h3&gt;&lt;p&gt;This is retrospective review of 603 consecutive patients who underwent MILR between 2006 and 2019 of which 461 met the study inclusion criteria. We first conducted an exploratory analysis to visualize the associations between tumor size and various surrogates of laparoscopic difficulty in order to determine to optimal tumor size cutoff for stratification. Visual inspection of flexible spline-based models as well as quantitative evidence determined that perioperative outcomes differed between patients with tumor size of 30–69 mm and tumours ≥70 mm. These cutoffs were used for further downstream analyses.&lt;/p&gt;&lt;h3&gt;Results&lt;/h3&gt;&lt;p&gt;The cohort of 461 patients was divided into 3 groups based on tumour diameter size. Patients with larger tumours experienced longer operating times ((P&lt;sub&gt;Group 2 vs 1&lt;/sub&gt;&lt;0.001, P&lt;sub&gt;Group 3 vs 1&lt;/sub&gt;&lt;0.001, P&lt;sub&gt;Group 3 vs 2&lt;/sub&gt;&lt;0.001), higher blood loss (P&lt;sub&gt;Group 2 vs 1&lt;/sub&gt;&lt;0.001, P&lt;sub&gt;Group 3 vs 1&lt;/sub&gt;&lt;0.001, P&lt;sub&gt;Group 3 vs 2&lt;/sub&gt;&lt;0.001), as well as significantly longer hospital stay (P&lt;sub&gt;Group 2 vs 1&lt;/sub&gt;&lt;0.001, P&lt;sub&gt;Group 3 vs 1&lt;/sub&gt;&lt;0.001, P&lt;sub&gt;Group 3 vs 2&lt;/sub&gt;&lt;0.001). There was a monotonic trend towards increasing blood transfusion rates (P = 0.006), overall morbidity (P = 0.029) and 90-day mortality rates (P = 0.047) with increasing tumour size.&lt;/p&gt;&lt;h3&gt;Conclusion&lt;/h3&gt;&lt;p&gt;Although tumour size of 30 mm serves as an optimal cut-off for predicting difficult resections as per the Iwate criteria, a trichotomy (&lt;30 mm, 30–69 mm, ≥70 mm) may provide additional granularity. Further large-scale prospective studies are needed to corroborate these findings.&lt;/p&gt;","author":[{"dropping-particle":"","family":"Kabir","given":"Tousif","non-dropping-particle":"","parse-names":false,"suffix":""},{"dropping-particle":"","family":"Syn","given":"Nicholas","non-dropping-particle":"","parse-names":false,"suffix":""},{"dropping-particle":"","family":"Koh","given":"Ye-Xin","non-dropping-particle":"","parse-names":false,"suffix":""},{"dropping-particle":"","family":"Teo","given":"Jin-Yao","non-dropping-particle":"","parse-names":false,"suffix":""},{"dropping-particle":"","family":"Chung","given":"Alexander Y.","non-dropping-particle":"","parse-names":false,"suffix":""},{"dropping-particle":"","family":"Chan","given":"Chung-Yip","non-dropping-particle":"","parse-names":false,"suffix":""},{"dropping-particle":"","family":"Goh","given":"Brian K.P.","non-dropping-particle":"","parse-names":false,"suffix":""}],"container-title":"European Journal of Surgical Oncology","id":"ITEM-1","issue":"0","issued":{"date-parts":[["2021"]]},"publisher":"Elsevier","title":"Impact of tumor size on the difficulty of minimally invasive liver resection","type":"article-journal","volume":"0"},"uris":["http://www.mendeley.com/documents/?uuid=94803d43-ca0f-3603-bdff-ae3862eab6be"]},{"id":"ITEM-2","itemData":{"DOI":"10.1001/JAMASURG.2021.2064","ISSN":"2168-6254","abstract":"&lt;h3&gt;Importance&lt;/h3&gt;&lt;p&gt;Textbook outcome (TO) is a composite measure that captures the most desirable surgical outcomes as a single indicator, yet to date TO has not been defined and assessed in the field of laparoscopic liver resection (LLR) and open liver resection (OLR).&lt;/p&gt;&lt;h3&gt;Objective&lt;/h3&gt;&lt;p&gt;To obtain international agreement on the definition of TO in liver surgery (TOLS) and to assess the incidence of TO in LLR and OLR in a large international multicenter database using a propensity-score matched analysis.&lt;/p&gt;&lt;h3&gt;Design, Setting, and Participants&lt;/h3&gt;&lt;p&gt;Patients undergoing LLR or OLR for all liver diseases between January 2011 and October 2019 were analyzed using a large international multicenter liver surgical database. An international survey was conducted among all members of the European-African Hepato-Pancreato-Biliary Association (E-AHPBA) and International Hepato-Pancreato-Biliary Association (IHPBA) to reach agreement on the definition of TOLS. The rate of TOLS was assessed for LLR and OLR before and after propensity-score matching. Factors associated with achieving TOLS were investigated.&lt;/p&gt;&lt;h3&gt;Main Outcomes and Measures&lt;/h3&gt;&lt;p&gt;Textbook outcome, with TOLS defined as the absence of intraoperative incidents of grade 2 or higher, postoperative bile leak grade B or C, severe postoperative complications, readmission within 30 days after discharge, in-hospital mortality, and the presence of R0 resection margin.&lt;/p&gt;&lt;h3&gt;Results&lt;/h3&gt;&lt;p&gt;A total of 8188 patients (4559 LLR; median age, 65 years [interquartile range, 55-73 years]; 2529 were male [55.8%] and 3629 OLR; median age, 64 years [interquartile range, 56-71 years]; 2204 were male [60.7%]) were included in the analysis of whom 69.1% achieved TOLS; 74.8% for LLR and 61.9% for OLR (&lt;i&gt;P&lt;/i&gt; &amp;lt; .001). On multivariable analysis, American Society of Anesthesiologists grade III, previous abdominal surgery, histological diagnosis of colorectal liver metastases (odds ratio [OR], 0.656 [95% CI, 0.457-0.940];&lt;i&gt;P&lt;/i&gt; = .02), cholangiocarcinoma, non-CRLM, a tumor size of 30 mm or more, minor resection of posterior/superior segments (OR, 0.716 [95% CI, 0.577-0.887];&lt;i&gt;P&lt;/i&gt; = .002), anatomically major resection (OR, 0.579 [95% CI, 0.418-0.803];&lt;i&gt;P&lt;/i&gt; = .001), and nonanatomical resection (OR, 0.612 [95% CI, 0.476-0.788];&lt;i&gt;P&lt;/i&gt; &amp;lt; .001) were associated with a worse TOLS rate after LLR. For OLR, only histological diagnosis of cholangiocarcinoma (OR, 0.360 [95% CI, 0.214-0.607];&lt;i&gt;P&lt;/i&gt; &amp;lt; .001) and …","author":[{"dropping-particle":"","family":"Görgec","given":"Burak","non-dropping-particle":"","parse-names":false,"suffix":""},{"dropping-particle":"","family":"Cacciaguerra","given":"Andrea Benedetti","non-dropping-particle":"","parse-names":false,"suffix":""},{"dropping-particle":"","family":"Lanari","given":"Jacopo","non-dropping-particle":"","parse-names":false,"suffix":""},{"dropping-particle":"","family":"Russolillo","given":"Nadia","non-dropping-particle":"","parse-names":false,"suffix":""},{"dropping-particle":"","family":"Cipriani","given":"Federica","non-dropping-particle":"","parse-names":false,"suffix":""},{"dropping-particle":"","family":"Aghayan","given":"Davit","non-dropping-particle":"","parse-names":false,"suffix":""},{"dropping-particle":"","family":"Zimmitti","given":"Giuseppe","non-dropping-particle":"","parse-names":false,"suffix":""},{"dropping-particle":"","family":"Efanov","given":"Mikhail","non-dropping-particle":"","parse-names":false,"suffix":""},{"dropping-particle":"","family":"Alseidi","given":"Adnan","non-dropping-particle":"","parse-names":false,"suffix":""},{"dropping-particle":"","family":"Mocchegiani","given":"Federico","non-dropping-particle":"","parse-names":false,"suffix":""},{"dropping-particle":"","family":"Giuliante","given":"Felice","non-dropping-particle":"","parse-names":false,"suffix":""},{"dropping-particle":"","family":"Ruzzenente","given":"Andrea","non-dropping-particle":"","parse-names":false,"suffix":""},{"dropping-particle":"","family":"Rotellar","given":"Fernando","non-dropping-particle":"","parse-names":false,"suffix":""},{"dropping-particle":"","family":"Fuks","given":"David","non-dropping-particle":"","parse-names":false,"suffix":""},{"dropping-particle":"","family":"D’Hondt","given":"Mathieu","non-dropping-particle":"","parse-names":false,"suffix":""},{"dropping-particle":"","family":"Vivarelli","given":"Marco","non-dropping-particle":"","parse-names":false,"suffix":""},{"dropping-particle":"","family":"Edwin","given":"Bjørn","non-dropping-particle":"","parse-names":false,"suffix":""},{"dropping-particle":"","family":"Aldrighetti","given":"Luca A.","non-dropping-particle":"","parse-names":false,"suffix":""},{"dropping-particle":"","family":"Ferrero","given":"Alessandro","non-dropping-particle":"","parse-names":false,"suffix":""},{"dropping-particle":"","family":"Cillo","given":"Umberto","non-dropping-particle":"","parse-names":false,"suffix":""},{"dropping-particle":"","family":"Besselink","given":"Marc G.","non-dropping-particle":"","parse-names":false,"suffix":""},{"dropping-particle":"","family":"Hilal","given":"Mohammed Abu","non-dropping-particle":"","parse-names":false,"suffix":""}],"container-title":"JAMA Surgery","id":"ITEM-2","issue":"8","issued":{"date-parts":[["2021","8","1"]]},"page":"e212064-e212064","publisher":"American Medical Association","title":"Assessment of Textbook Outcome in Laparoscopic and Open Liver Surgery","type":"article-journal","volume":"156"},"uris":["http://www.mendeley.com/documents/?uuid=3e7fea3a-a5ca-36b7-b1a2-97eb632900e3"]}],"mendeley":{"formattedCitation":"(35, 36)","plainTextFormattedCitation":"(35, 36)","previouslyFormattedCitation":"(35)"},"properties":{"noteIndex":0},"schema":"https://github.com/citation-style-language/schema/raw/master/csl-citation.json"}</w:instrText>
      </w:r>
      <w:r w:rsidR="003E5BDA">
        <w:rPr>
          <w:rFonts w:ascii="Helvetica" w:hAnsi="Helvetica" w:cs="Calibri"/>
          <w:sz w:val="22"/>
          <w:szCs w:val="22"/>
          <w:lang w:val="en-US"/>
        </w:rPr>
        <w:fldChar w:fldCharType="separate"/>
      </w:r>
      <w:r w:rsidR="006E2594" w:rsidRPr="006E2594">
        <w:rPr>
          <w:rFonts w:ascii="Helvetica" w:hAnsi="Helvetica" w:cs="Calibri"/>
          <w:noProof/>
          <w:sz w:val="22"/>
          <w:szCs w:val="22"/>
          <w:lang w:val="en-US"/>
        </w:rPr>
        <w:t>(35, 36)</w:t>
      </w:r>
      <w:r w:rsidR="003E5BDA">
        <w:rPr>
          <w:rFonts w:ascii="Helvetica" w:hAnsi="Helvetica" w:cs="Calibri"/>
          <w:sz w:val="22"/>
          <w:szCs w:val="22"/>
          <w:lang w:val="en-US"/>
        </w:rPr>
        <w:fldChar w:fldCharType="end"/>
      </w:r>
      <w:r w:rsidR="006160CF">
        <w:rPr>
          <w:rFonts w:ascii="Helvetica" w:hAnsi="Helvetica" w:cs="Calibri"/>
          <w:sz w:val="22"/>
          <w:szCs w:val="22"/>
          <w:lang w:val="en-US"/>
        </w:rPr>
        <w:t>.</w:t>
      </w:r>
      <w:r w:rsidR="00620D01" w:rsidRPr="009824AD">
        <w:rPr>
          <w:rFonts w:ascii="Helvetica" w:hAnsi="Helvetica" w:cs="Calibri"/>
          <w:sz w:val="22"/>
          <w:szCs w:val="22"/>
          <w:lang w:val="en-US"/>
        </w:rPr>
        <w:t xml:space="preserve"> </w:t>
      </w:r>
      <w:r w:rsidR="006E2594">
        <w:rPr>
          <w:rFonts w:ascii="Helvetica" w:hAnsi="Helvetica" w:cs="Calibri"/>
          <w:sz w:val="22"/>
          <w:szCs w:val="22"/>
          <w:lang w:val="en-US"/>
        </w:rPr>
        <w:t>T</w:t>
      </w:r>
      <w:r w:rsidR="00F5222F" w:rsidRPr="009824AD">
        <w:rPr>
          <w:rFonts w:ascii="Helvetica" w:hAnsi="Helvetica" w:cs="Calibri"/>
          <w:sz w:val="22"/>
          <w:szCs w:val="22"/>
          <w:lang w:val="en-US"/>
        </w:rPr>
        <w:t xml:space="preserve">he incidence of </w:t>
      </w:r>
      <w:r w:rsidR="00936EC2" w:rsidRPr="009824AD">
        <w:rPr>
          <w:rFonts w:ascii="Helvetica" w:hAnsi="Helvetica" w:cs="Calibri"/>
          <w:sz w:val="22"/>
          <w:szCs w:val="22"/>
          <w:lang w:val="en-US"/>
        </w:rPr>
        <w:t>PO</w:t>
      </w:r>
      <w:r w:rsidR="00F5222F" w:rsidRPr="009824AD">
        <w:rPr>
          <w:rFonts w:ascii="Helvetica" w:hAnsi="Helvetica" w:cs="Calibri"/>
          <w:sz w:val="22"/>
          <w:szCs w:val="22"/>
          <w:lang w:val="en-US"/>
        </w:rPr>
        <w:t xml:space="preserve">BL in the open cohort was </w:t>
      </w:r>
      <w:r w:rsidR="00CD3312" w:rsidRPr="009824AD">
        <w:rPr>
          <w:rFonts w:ascii="Helvetica" w:hAnsi="Helvetica" w:cs="Calibri"/>
          <w:sz w:val="22"/>
          <w:szCs w:val="22"/>
          <w:lang w:val="en-US"/>
        </w:rPr>
        <w:t xml:space="preserve">consistent with </w:t>
      </w:r>
      <w:r w:rsidR="00EB3476" w:rsidRPr="009824AD">
        <w:rPr>
          <w:rFonts w:ascii="Helvetica" w:hAnsi="Helvetica" w:cs="Calibri"/>
          <w:sz w:val="22"/>
          <w:szCs w:val="22"/>
          <w:lang w:val="en-US"/>
        </w:rPr>
        <w:t xml:space="preserve">the findings of </w:t>
      </w:r>
      <w:r w:rsidR="00F5222F" w:rsidRPr="009824AD">
        <w:rPr>
          <w:rFonts w:ascii="Helvetica" w:hAnsi="Helvetica" w:cs="Calibri"/>
          <w:sz w:val="22"/>
          <w:szCs w:val="22"/>
          <w:lang w:val="en-US"/>
        </w:rPr>
        <w:t xml:space="preserve">several </w:t>
      </w:r>
      <w:r w:rsidR="00EB3476" w:rsidRPr="009824AD">
        <w:rPr>
          <w:rFonts w:ascii="Helvetica" w:hAnsi="Helvetica" w:cs="Calibri"/>
          <w:sz w:val="22"/>
          <w:szCs w:val="22"/>
          <w:lang w:val="en-US"/>
        </w:rPr>
        <w:t xml:space="preserve">recently published </w:t>
      </w:r>
      <w:r w:rsidR="00F5222F" w:rsidRPr="009824AD">
        <w:rPr>
          <w:rFonts w:ascii="Helvetica" w:hAnsi="Helvetica" w:cs="Calibri"/>
          <w:sz w:val="22"/>
          <w:szCs w:val="22"/>
          <w:lang w:val="en-US"/>
        </w:rPr>
        <w:t xml:space="preserve">observational studies focusing on </w:t>
      </w:r>
      <w:r w:rsidR="00936EC2" w:rsidRPr="009824AD">
        <w:rPr>
          <w:rFonts w:ascii="Helvetica" w:hAnsi="Helvetica" w:cs="Calibri"/>
          <w:sz w:val="22"/>
          <w:szCs w:val="22"/>
          <w:lang w:val="en-US"/>
        </w:rPr>
        <w:t>PO</w:t>
      </w:r>
      <w:r w:rsidR="00F5222F" w:rsidRPr="009824AD">
        <w:rPr>
          <w:rFonts w:ascii="Helvetica" w:hAnsi="Helvetica" w:cs="Calibri"/>
          <w:sz w:val="22"/>
          <w:szCs w:val="22"/>
          <w:lang w:val="en-US"/>
        </w:rPr>
        <w:t>BL</w:t>
      </w:r>
      <w:r w:rsidR="00CD3312" w:rsidRPr="009824AD">
        <w:rPr>
          <w:rFonts w:ascii="Helvetica" w:hAnsi="Helvetica" w:cs="Calibri"/>
          <w:sz w:val="22"/>
          <w:szCs w:val="22"/>
          <w:lang w:val="en-US"/>
        </w:rPr>
        <w:t>, ranging from 7.7-15.6</w:t>
      </w:r>
      <w:r w:rsidR="000B7DA3" w:rsidRPr="009824AD">
        <w:rPr>
          <w:rFonts w:ascii="Helvetica" w:hAnsi="Helvetica" w:cs="Calibri"/>
          <w:sz w:val="22"/>
          <w:szCs w:val="22"/>
          <w:lang w:val="en-US"/>
        </w:rPr>
        <w:t>%</w:t>
      </w:r>
      <w:r w:rsidR="00CD3312" w:rsidRPr="009824AD">
        <w:rPr>
          <w:rFonts w:ascii="Helvetica" w:hAnsi="Helvetica" w:cs="Calibri"/>
          <w:sz w:val="22"/>
          <w:szCs w:val="22"/>
          <w:lang w:val="en-US"/>
        </w:rPr>
        <w:fldChar w:fldCharType="begin" w:fldLock="1"/>
      </w:r>
      <w:r w:rsidR="006E2594">
        <w:rPr>
          <w:rFonts w:ascii="Helvetica" w:hAnsi="Helvetica" w:cs="Calibri"/>
          <w:sz w:val="22"/>
          <w:szCs w:val="22"/>
          <w:lang w:val="en-US"/>
        </w:rPr>
        <w:instrText>ADDIN CSL_CITATION {"citationItems":[{"id":"ITEM-1","itemData":{"DOI":"10.21037/hbsn.2019.02.06","ISSN":"23043881","author":[{"dropping-particle":"","family":"Spetzler","given":"Vinzent N.","non-dropping-particle":"","parse-names":false,"suffix":""},{"dropping-particle":"","family":"Schepers","given":"Marlene","non-dropping-particle":"","parse-names":false,"suffix":""},{"dropping-particle":"","family":"Pinnschmidt","given":"Hans O.","non-dropping-particle":"","parse-names":false,"suffix":""},{"dropping-particle":"","family":"Fischer","given":"Lutz","non-dropping-particle":"","parse-names":false,"suffix":""},{"dropping-particle":"","family":"Nashan","given":"Björn","non-dropping-particle":"","parse-names":false,"suffix":""},{"dropping-particle":"","family":"Li","given":"Jun","non-dropping-particle":"","parse-names":false,"suffix":""}],"container-title":"HepatoBiliary Surgery and Nutrition","id":"ITEM-1","issue":"2","issued":{"date-parts":[["2019"]]},"page":"101-110","title":"The incidence and severity of post-hepatectomy bile leaks is affected by surgical indications, preoperative chemotherapy, and surgical procedures","type":"article-journal","volume":"8"},"uris":["http://www.mendeley.com/documents/?uuid=46cfb71b-e4fc-4f62-a7fb-3068cc95c0b2"]},{"id":"ITEM-2","itemData":{"DOI":"10.1007/s00268-015-3156-8","ISBN":"0026801531","ISSN":"1432-2323","author":[{"dropping-particle":"","family":"Sakamoto","given":"Kazuhiko","non-dropping-particle":"","parse-names":false,"suffix":""},{"dropping-particle":"","family":"Tamesa","given":"Takao","non-dropping-particle":"","parse-names":false,"suffix":""},{"dropping-particle":"","family":"Yukio","given":"Tokumitu","non-dropping-particle":"","parse-names":false,"suffix":""},{"dropping-particle":"","family":"Tokuhisa","given":"Yoshihiro","non-dropping-particle":"","parse-names":false,"suffix":""}],"container-title":"World Journal of Surgery","id":"ITEM-2","issue":"1","issued":{"date-parts":[["2016"]]},"page":"182-189","publisher":"Springer International Publishing","title":"Risk Factors and Managements of Bile Leakage After Hepatectomy","type":"article-journal","volume":"40"},"uris":["http://www.mendeley.com/documents/?uuid=9ebb2647-824a-4630-aac4-6eb2ce13c8f2"]},{"id":"ITEM-3","itemData":{"DOI":"10.1007/s11605-017-3650-4","ISSN":"1873-4626","PMID":"29247421","abstract":"BACKGROUND Despite technical advances, bile leak remains a significant complication after hepatectomy. The current study uses a targeted multi-institutional dataset to characterize perioperative factors that are associated with bile leakage after hepatectomy to better understand the impact of bile leak on morbidity and mortality. METHODS Adult patients in the 2014-2015 ACS NSQIP targeted hepatectomy dataset were linked to the ACS NSQIP PUF dataset. Bivariable and multivariable regression analyses were used to assess the associations between clinical factors and post-hepatectomy bile leak. RESULTS Of 6859 patients, 530 (7.7%) had a postoperative bile leak. Proportion of bile leaks was significantly greater in patients after major compared to minor hepatectomy (12.6 vs. 5.1%, p &lt; 0.001). The proportion of patients with bile leak was significantly greater in patients after major hepatectomy who had concomitant enterohepatic reconstruction (31.8 vs. 10.1%, p &lt; 0.001). Postoperative mortality was significantly greater in patients with bile leaks (6.0 vs. 1.7%, p &lt; 0.001). After adjusting for significant covariates, bile leak was independently associated with increased risk of postoperative morbidity (OR = 4.55; 95% CI 3.72-5.56; p &lt; 0.001). After adjusting for significant effects of postoperative complications, liver failure, and reoperation (all p&lt;0.001), bile leak was not independently associated with increased risk of postoperative mortality (p = 0.262). CONCLUSION Major hepatectomy and enterohepatic biliary reconstruction are associated with significantly greater rates of bile leak after liver resection. Bile leak is independently associated with significant postoperative morbidity. Mitigation of bile leak is critical in reducing morbidity and mortality after liver resection.","author":[{"dropping-particle":"","family":"Martin","given":"Allison N","non-dropping-particle":"","parse-names":false,"suffix":""},{"dropping-particle":"","family":"Narayanan","given":"Sowmya","non-dropping-particle":"","parse-names":false,"suffix":""},{"dropping-particle":"","family":"Turrentine","given":"Florence E","non-dropping-particle":"","parse-names":false,"suffix":""},{"dropping-particle":"","family":"Bauer","given":"Todd W","non-dropping-particle":"","parse-names":false,"suffix":""},{"dropping-particle":"","family":"Adams","given":"Reid B","non-dropping-particle":"","parse-names":false,"suffix":""},{"dropping-particle":"","family":"Stukenborg","given":"George J","non-dropping-particle":"","parse-names":false,"suffix":""},{"dropping-particle":"","family":"Zaydfudim","given":"Victor M","non-dropping-particle":"","parse-names":false,"suffix":""}],"container-title":"Journal of gastrointestinal surgery : official journal of the Society for Surgery of the Alimentary Tract","id":"ITEM-3","issue":"4","issued":{"date-parts":[["2018"]]},"page":"661-667","publisher":"NIH Public Access","title":"Clinical Factors and Postoperative Impact of Bile Leak After Liver Resection.","type":"article-journal","volume":"22"},"uris":["http://www.mendeley.com/documents/?uuid=26c2b9ba-ae09-3f42-b6bf-6d3d69e1fd57"]},{"id":"ITEM-4","itemData":{"DOI":"10.1186/s12893-016-0147-0","ISSN":"1471-2482","PMID":"27154038","abstract":"BACKGROUND In liver resection, bile leakage remains the most common cause of operative morbidity. In order to predict the risk of this complication on the basis of various factors, we developed a clinical score system to predict the potential risk of bile leakage after liver resection. METHODS We analyzed the postoperative course in 518 patients who underwent liver resection for malignancy to identify independent predictors of bile leakage, which was defined as \"a drain fluid bilirubin concentration at least three times the serum bilirubin concentration on or after postoperative day 3,\" as proposed by the International Study Group of Liver Surgery. To confirm the robustness of the risk score system for bile leakage, we analyzed the independent series of 289 patients undergoing liver resection for malignancy. RESULTS Among 81 (15.6 %) patients with bile leakage, 76 had grade A bile leakage, and five had grade C leakage and underwent reoperation. The median postoperative hospital stay was significantly longer in patients with bile leakage (median, 14 days; range, 8 to 34) than in those without bile leakage (11 days; 5 to 62; P = 0.001). There was no hepatic insufficiency or in-hospital death. The risk score model was based on the four independent predictors of postoperative bile leakage: non-anatomical resection (odds ratio, 3.16; 95 % confidence interval [CI], 1.72 to 6.07; P &lt; 0.001), indocyanine green clearance rate (2.43; 1.32 to 7.76; P = 0.004), albumin level (2.29; 1.23 to 4.22; P = 0.01), and weight of resected specimen (1.97; 1.11 to 3.51; P = 0.02). When this risk score system was used to assign patients to low-, middle-, and high-risk groups, the frequency of bile leakage in the high-risk group was 2.64 (95 % CI, 1.12 to 6.41; P = 0.04) than that in the low-risk group. Among the independent series for validation, 4 (5.7 %), 16 (10.0 %), and 10 (16.6 %) patients in low-, middle, and high-risk groups were given a diagnosis of bile leakage after operation, respectively (P = 0.144). CONCLUSIONS Our risk score model can be used to predict the risk of bile leakage after liver resection.","author":[{"dropping-particle":"","family":"Kajiwara","given":"Takahiro","non-dropping-particle":"","parse-names":false,"suffix":""},{"dropping-particle":"","family":"Midorikawa","given":"Yutaka","non-dropping-particle":"","parse-names":false,"suffix":""},{"dropping-particle":"","family":"Yamazaki","given":"Shintaro","non-dropping-particle":"","parse-names":false,"suffix":""},{"dropping-particle":"","family":"Higaki","given":"Tokio","non-dropping-particle":"","parse-names":false,"suffix":""},{"dropping-particle":"","family":"Nakayama","given":"Hisashi","non-dropping-particle":"","parse-names":false,"suffix":""},{"dropping-particle":"","family":"Moriguchi","given":"Masamichi","non-dropping-particle":"","parse-names":false,"suffix":""},{"dropping-particle":"","family":"Tsuji","given":"Shingo","non-dropping-particle":"","parse-names":false,"suffix":""},{"dropping-particle":"","family":"Takayama","given":"Tadatoshi","non-dropping-particle":"","parse-names":false,"suffix":""}],"container-title":"BMC Surgery","id":"ITEM-4","issue":"1","issued":{"date-parts":[["2016","12","6"]]},"page":"30","title":"Clinical score to predict the risk of bile leakage after liver resection","type":"article-journal","volume":"16"},"uris":["http://www.mendeley.com/documents/?uuid=ea5a3acc-3224-3a5c-95d4-e2cda4c0edbd"]},{"id":"ITEM-5","itemData":{"DOI":"10.1111/j.1477-2574.2012.00580.x","ISSN":"1365182X","PMID":"23374363","abstract":"OBJECTIVE To evaluate the incidence, the impact on survival and the predictive factors of bile leakage (BL) in a recent large monocentric series of liver resections performed in a referral tertiary care centre. BACKGROUND Previous reports dealing with bile leakage (BL) after liver resection are rare and have displayed conflicting results regarding incidence, impact on follow-up and predictive factors. METHODS A retrospective review of the records of 912 patients who underwent a total of 1001 consecutive liver resections without biliary reconstruction, performed between January 2005 and May 2011. BL was defined by the presence of bile in the abdominal drains, a radiologically or surgically drained bilioma or biliary peritonitis. BL severity was established according to the Clavien-Dindo classification. Fifty-eight pre-, per- and post-resection variables were analysed and the independent BL predictive factors were identified using logistic regression. RESULTS The incidence of BL was 8%. Clavien-Dindo I-II, IIIa, IIIb or IV rates were 29%, 35%, 32.5% and 2.5%, respectively. BL did not increase in-hospital mortality (2.5% versus 2.9%, P = 1.0), but doubled the median duration of hospital stay (16 versus 9 days, P &lt; 0.001) and increased 1-year mortality (11% versus 5%, P = 0.03). Multivariate analysis identified that pre-operative bevacizumab [odds ratio (OR) = 2.9, confidence interval (CI) 95% = 1.58-5.41] P = 0.001], a major hepatectomy [OR = 2.6 (CI 95% = 1.48-4.76) P = 0.001], a two-stage hepatectomy [OR = 2.5 (CI 95% = 1.17-5.52) P = 0.018], the selective clamping technique [OR = 2.6 (CI 95% = 1.03-6.78) P = 0.042], R1 or R2 resection [OR = 2.6 (CI 95% = 1.52-4.64) P = 0.001] and the absence of a methylene blue test [OR = 2.6 (IC 95% = 1.43-4.65) P = 0.002] were independent risk factors of BL. CONCLUSION BL remains frequent after liver resection. It has a dramatic impact on patient survival and care costs. Its incidence could be reduced by avoiding the pre-operative use of bevacizumab, avoiding selective clamping and performing a blue dye test in all resections.","author":[{"dropping-particle":"","family":"Guillaud","given":"Antoine","non-dropping-particle":"","parse-names":false,"suffix":""},{"dropping-particle":"","family":"Pery","given":"Claire","non-dropping-particle":"","parse-names":false,"suffix":""},{"dropping-particle":"","family":"Campillo","given":"Boris","non-dropping-particle":"","parse-names":false,"suffix":""},{"dropping-particle":"","family":"Lourdais","given":"Anne","non-dropping-particle":"","parse-names":false,"suffix":""},{"dropping-particle":"","family":"Laurent","given":"Sulpice","non-dropping-particle":"","parse-names":false,"suffix":""},{"dropping-particle":"","family":"Boudjema","given":"Karim","non-dropping-particle":"","parse-names":false,"suffix":""},{"dropping-particle":"","family":"Boudjema","given":"Karim","non-dropping-particle":"","parse-names":false,"suffix":""}],"container-title":"HPB","id":"ITEM-5","issue":"3","issued":{"date-parts":[["2013","3"]]},"page":"224-229","title":"Incidence and predictive factors of clinically relevant bile leakage in the modern era of liver resections","type":"article-journal","volume":"15"},"uris":["http://www.mendeley.com/documents/?uuid=abf97716-a1dd-3ea0-8cae-4bdb9668f899"]},{"id":"ITEM-6","itemData":{"DOI":"10.1016/j.ejso.2019.02.021","ISSN":"15322157","abstract":"Background: Bile leakage (BL) is a frequent and severe complication following liver surgery. The aim of this study was to evaluate risk factors for BL, related other complications and association with long-term survival. Methods: This study included all patients undergoing hepatectomy in a single centre from 2005 to 2016. Perioperative risk factors related to BL were identified using univariable and multivariable analysis. Kaplan-Meier method was used for survival analysis. Results: BL occurred in 48 of 458 patients (11%). BLs were more frequent in patients after major hepatectomy (p = 0.001). Portal vein embolization, bilioenteric-anastomosis, lymphadenectomy, vascular reconstruction and operative time were significant factors for developing BL. Comparing patients with or without BL, BL was more commonly associated with other postoperative complications (p = 0.001), especially acute kidney failure and surgical-site-infections. There was no difference in 90-day-mortality (p = 0.124). The median disease-free survival was comparable (17 vs. 15 months, p = 0.976), also no difference was observed when stratifying for different tumour entities. There was no difference in median overall survival (OS) among malignant disease (35 vs. 47 months, p = 0.200) and in 3-year OS (46% vs. 59%). Multivariate analysis confirmed that postoperative liver failure and major hepatectomy were risk factors for reduced OS (p = 0.010). Conclusions: Many concerns have been raised regarding tumour progression after major complications. In this study, we only found a relevant influence of BL on OS in pCC, whereas no association was seen in other cancer types, indicating that tumour progression might be triggered by BL in cancer types arising from the bile ducts itself.","author":[{"dropping-particle":"","family":"Braunwarth","given":"Eva","non-dropping-particle":"","parse-names":false,"suffix":""},{"dropping-particle":"","family":"Primavesi","given":"Florian","non-dropping-particle":"","parse-names":false,"suffix":""},{"dropping-particle":"","family":"Göbel","given":"Georg","non-dropping-particle":"","parse-names":false,"suffix":""},{"dropping-particle":"","family":"Cardini","given":"Benno","non-dropping-particle":"","parse-names":false,"suffix":""},{"dropping-particle":"","family":"Oberhuber","given":"Rupert","non-dropping-particle":"","parse-names":false,"suffix":""},{"dropping-particle":"","family":"Margreiter","given":"Christian","non-dropping-particle":"","parse-names":false,"suffix":""},{"dropping-particle":"","family":"Maglione","given":"Manuel","non-dropping-particle":"","parse-names":false,"suffix":""},{"dropping-particle":"","family":"Schneeberger","given":"Stefan","non-dropping-particle":"","parse-names":false,"suffix":""},{"dropping-particle":"","family":"Öfner","given":"Dietmar","non-dropping-particle":"","parse-names":false,"suffix":""},{"dropping-particle":"","family":"Stättner","given":"Stefan","non-dropping-particle":"","parse-names":false,"suffix":""}],"container-title":"European Journal of Surgical Oncology","id":"ITEM-6","issue":"6","issued":{"date-parts":[["2019"]]},"page":"1077-1083","title":"Is bile leakage after hepatic resection associated with impaired long-term survival?","type":"article-journal","volume":"45"},"uris":["http://www.mendeley.com/documents/?uuid=936e7f91-e22f-48bd-b9aa-ab6dbc6d263f"]}],"mendeley":{"formattedCitation":"(13, 15, 20, 23, 37, 38)","plainTextFormattedCitation":"(13, 15, 20, 23, 37, 38)","previouslyFormattedCitation":"(13, 15, 20, 23, 36, 37)"},"properties":{"noteIndex":0},"schema":"https://github.com/citation-style-language/schema/raw/master/csl-citation.json"}</w:instrText>
      </w:r>
      <w:r w:rsidR="00CD3312" w:rsidRPr="009824AD">
        <w:rPr>
          <w:rFonts w:ascii="Helvetica" w:hAnsi="Helvetica" w:cs="Calibri"/>
          <w:sz w:val="22"/>
          <w:szCs w:val="22"/>
          <w:lang w:val="en-US"/>
        </w:rPr>
        <w:fldChar w:fldCharType="separate"/>
      </w:r>
      <w:r w:rsidR="006E2594" w:rsidRPr="006E2594">
        <w:rPr>
          <w:rFonts w:ascii="Helvetica" w:hAnsi="Helvetica" w:cs="Calibri"/>
          <w:noProof/>
          <w:sz w:val="22"/>
          <w:szCs w:val="22"/>
          <w:lang w:val="en-US"/>
        </w:rPr>
        <w:t>(13, 15, 20, 23, 37, 38)</w:t>
      </w:r>
      <w:r w:rsidR="00CD3312" w:rsidRPr="009824AD">
        <w:rPr>
          <w:rFonts w:ascii="Helvetica" w:hAnsi="Helvetica" w:cs="Calibri"/>
          <w:sz w:val="22"/>
          <w:szCs w:val="22"/>
          <w:lang w:val="en-US"/>
        </w:rPr>
        <w:fldChar w:fldCharType="end"/>
      </w:r>
      <w:r w:rsidR="00E444F2" w:rsidRPr="009824AD">
        <w:rPr>
          <w:rFonts w:ascii="Helvetica" w:hAnsi="Helvetica" w:cs="Calibri"/>
          <w:sz w:val="22"/>
          <w:szCs w:val="22"/>
          <w:lang w:val="en-US"/>
        </w:rPr>
        <w:t>.</w:t>
      </w:r>
      <w:r w:rsidR="00CD3312" w:rsidRPr="009824AD">
        <w:rPr>
          <w:rFonts w:ascii="Helvetica" w:hAnsi="Helvetica" w:cs="Calibri"/>
          <w:sz w:val="22"/>
          <w:szCs w:val="22"/>
          <w:lang w:val="en-US"/>
        </w:rPr>
        <w:t xml:space="preserve"> </w:t>
      </w:r>
      <w:r w:rsidR="00071388" w:rsidRPr="009824AD">
        <w:rPr>
          <w:rFonts w:ascii="Helvetica" w:hAnsi="Helvetica" w:cs="Calibri"/>
          <w:sz w:val="22"/>
          <w:szCs w:val="22"/>
          <w:lang w:val="en-US"/>
        </w:rPr>
        <w:t>In addition, s</w:t>
      </w:r>
      <w:r w:rsidR="00850565" w:rsidRPr="009824AD">
        <w:rPr>
          <w:rFonts w:ascii="Helvetica" w:hAnsi="Helvetica" w:cs="Calibri"/>
          <w:sz w:val="22"/>
          <w:szCs w:val="22"/>
          <w:lang w:val="en-US"/>
        </w:rPr>
        <w:t xml:space="preserve">everal studies on LLR evaluated the incidence of </w:t>
      </w:r>
      <w:r w:rsidR="00936EC2" w:rsidRPr="009824AD">
        <w:rPr>
          <w:rFonts w:ascii="Helvetica" w:hAnsi="Helvetica" w:cs="Calibri"/>
          <w:sz w:val="22"/>
          <w:szCs w:val="22"/>
          <w:lang w:val="en-US"/>
        </w:rPr>
        <w:t>PO</w:t>
      </w:r>
      <w:r w:rsidR="00850565" w:rsidRPr="009824AD">
        <w:rPr>
          <w:rFonts w:ascii="Helvetica" w:hAnsi="Helvetica" w:cs="Calibri"/>
          <w:sz w:val="22"/>
          <w:szCs w:val="22"/>
          <w:lang w:val="en-US"/>
        </w:rPr>
        <w:t>BL as part of their postoperative complication rate, showing an incidence rate of</w:t>
      </w:r>
      <w:r w:rsidR="00071388" w:rsidRPr="009824AD">
        <w:rPr>
          <w:rFonts w:ascii="Helvetica" w:hAnsi="Helvetica" w:cs="Calibri"/>
          <w:sz w:val="22"/>
          <w:szCs w:val="22"/>
          <w:lang w:val="en-US"/>
        </w:rPr>
        <w:t xml:space="preserve"> 2</w:t>
      </w:r>
      <w:r w:rsidR="001A1D64" w:rsidRPr="009824AD">
        <w:rPr>
          <w:rFonts w:ascii="Helvetica" w:hAnsi="Helvetica" w:cs="Calibri"/>
          <w:sz w:val="22"/>
          <w:szCs w:val="22"/>
          <w:lang w:val="en-US"/>
        </w:rPr>
        <w:t>.0</w:t>
      </w:r>
      <w:r w:rsidR="00071388" w:rsidRPr="009824AD">
        <w:rPr>
          <w:rFonts w:ascii="Helvetica" w:hAnsi="Helvetica" w:cs="Calibri"/>
          <w:sz w:val="22"/>
          <w:szCs w:val="22"/>
          <w:lang w:val="en-US"/>
        </w:rPr>
        <w:t>-5.3</w:t>
      </w:r>
      <w:r w:rsidR="000B7DA3" w:rsidRPr="009824AD">
        <w:rPr>
          <w:rFonts w:ascii="Helvetica" w:hAnsi="Helvetica" w:cs="Calibri"/>
          <w:sz w:val="22"/>
          <w:szCs w:val="22"/>
          <w:lang w:val="en-US"/>
        </w:rPr>
        <w:t>%</w:t>
      </w:r>
      <w:r w:rsidR="00071388" w:rsidRPr="009824AD">
        <w:rPr>
          <w:rFonts w:ascii="Helvetica" w:hAnsi="Helvetica" w:cs="Calibri"/>
          <w:sz w:val="22"/>
          <w:szCs w:val="22"/>
          <w:lang w:val="en-US"/>
        </w:rPr>
        <w:t xml:space="preserve"> </w:t>
      </w:r>
      <w:r w:rsidR="001A1D64" w:rsidRPr="009824AD">
        <w:rPr>
          <w:rFonts w:ascii="Helvetica" w:hAnsi="Helvetica" w:cs="Calibri"/>
          <w:sz w:val="22"/>
          <w:szCs w:val="22"/>
          <w:lang w:val="en-US"/>
        </w:rPr>
        <w:t>which is comparable with the current results</w:t>
      </w:r>
      <w:r w:rsidR="00565F8A" w:rsidRPr="009824AD">
        <w:rPr>
          <w:rFonts w:ascii="Helvetica" w:hAnsi="Helvetica" w:cs="Calibri"/>
          <w:sz w:val="22"/>
          <w:szCs w:val="22"/>
          <w:lang w:val="en-US"/>
        </w:rPr>
        <w:fldChar w:fldCharType="begin" w:fldLock="1"/>
      </w:r>
      <w:r w:rsidR="006E2594">
        <w:rPr>
          <w:rFonts w:ascii="Helvetica" w:hAnsi="Helvetica" w:cs="Calibri"/>
          <w:sz w:val="22"/>
          <w:szCs w:val="22"/>
          <w:lang w:val="en-US"/>
        </w:rPr>
        <w:instrText>ADDIN CSL_CITATION {"citationItems":[{"id":"ITEM-1","itemData":{"DOI":"10.1097/SLA.0b013e3181b0c4df","ISSN":"0003-4932","PMID":"19801936","abstract":"OBJECTIVE To provide a review of the world literature on laparoscopic liver resection. SUMMARY BACKGROUND DATA Initially described for peripheral, benign tumors resected by nonanatomic wedge resections, minimally invasive liver resections are now being performed more frequently, even for larger, malignant tumors located in challenging locations. Although a few small review articles have been reported, a comprehensive review on laparoscopic liver resection has not been published. METHODS We conducted a literature search using Pubmed, screening all English publications on laparoscopic liver resections. All data were analyzed and apparent case duplications in updated series were excluded from the total number of patients. Tumor type, operative characteristics, perioperative morbidity, and oncologic outcomes were tabulated. RESULTS A total of 127 published articles of original series on laparoscopic liver resection were identified, and accounted for 2,804 reported minimally invasive liver resections. Fifty percent were for malignant tumors, 45% were for benign lesions, 1.7% were for live donor hepatectomies, and the rest were indeterminate. Of the resections, 75% were performed totally laparoscopically, 17% were hand-assisted, and 2% were laparoscopic-assisted open hepatic resection (hybrid) technique, with the remainder being other techniques or conversions to open hepatectomies. The most common laparoscopic liver resection was a wedge resection or segmentectomy (45%) followed by anatomic left lateral sectionectomy (20%), right hepatectomy (9%), and left hepatectomy (7%). Conversion from laparoscopy to open laparotomy and from laparoscopy to hand-assisted approach occurred in 4.1% and 0.7% of reported cases, respectively. Overall mortality was 9 of 2,804 patients (0.3%), and morbidity was 10.5%, with no intraoperative deaths reported. The most common cause of postoperative death was liver failure. Postoperative bile leak was observed in 1.5% of cases. For cancer resections, negative surgical margins were achieved in 82% to 100% of reported series. The 5-year overall and disease-free survival rates after laparoscopic liver resection for hepatocellular carcinoma were 50% to 75% and 31% to 38.2%, respectively. The 3-year overall and disease-free survival rates after laparoscopic liver resection for colorectal metastasis to the liver were 80% to 87% and 51%, respectively. CONCLUSION In experienced hands, laparoscopic liver resections are safe with acceptable m…","author":[{"dropping-particle":"","family":"Nguyen","given":"Kevin Tri","non-dropping-particle":"","parse-names":false,"suffix":""},{"dropping-particle":"","family":"Gamblin","given":"T Clark","non-dropping-particle":"","parse-names":false,"suffix":""},{"dropping-particle":"","family":"Geller","given":"David A.","non-dropping-particle":"","parse-names":false,"suffix":""}],"container-title":"Annals of Surgery","id":"ITEM-1","issue":"5","issued":{"date-parts":[["2009","11"]]},"page":"831-841","title":"World Review of Laparoscopic Liver Resection—2,804 Patients","type":"article-journal","volume":"250"},"uris":["http://www.mendeley.com/documents/?uuid=e8828b60-712b-38fc-9f11-18f4be1264cb"]},{"id":"ITEM-2","itemData":{"DOI":"10.1111/hpb.12142","ISSN":"14772574","PMID":"23879788","abstract":"Objectives Current clinical studies report the results of laparoscopic resection of hepatocellular carcinoma (HCC) obtained in small cohorts of patients. Because France was involved in the very early development of laparoscopic surgery, the present study was conducted in order to report the results of a large, multicentre experience. Methods A total of 351 patients underwent laparoscopic liver resection for HCC during the period from 1998 to 2010 in nine French tertiary centres. Patient characteristics, postoperative mortality and morbidity, and longterm survival were retrospectively reviewed. Results Overall, 85% of the study patients had underlying liver disease. Types of resection included wedge resection (41%), left lateral sectionectomy (27%), segmentectomy (24%), and major hepatectomy (11%). Median operative time was 180 min. Conversion to laparotomy occurred in 13% of surgeries and intraoperative blood transfusion was necessary in 5% of patients. The overall morbidity rate was 22%. The 30-day postoperative mortality rate was 2%. Negative resection (R0) margins were achieved in 92% of patients. Rates of overall and progression-free survival at 1, 3 and 5 years were 90.3%, 70.1% and 65.9%, and 85.2%, 55.9% and 40.4%, respectively. Conclusions This multicentre, large-cohort study confirms that laparoscopic liver resection for HCC is a safe and efficient approach to treatment and can be proposed as a first-line treatment in patients with resectable HCC. © 2013 International Hepato-Pancreato-Biliary Association.","author":[{"dropping-particle":"","family":"Soubrane","given":"Olivier","non-dropping-particle":"","parse-names":false,"suffix":""},{"dropping-particle":"","family":"Goumard","given":"Claire","non-dropping-particle":"","parse-names":false,"suffix":""},{"dropping-particle":"","family":"Laurent","given":"Alexis","non-dropping-particle":"","parse-names":false,"suffix":""},{"dropping-particle":"","family":"Tranchart","given":"Hadrien","non-dropping-particle":"","parse-names":false,"suffix":""},{"dropping-particle":"","family":"Truant","given":"Stéphanie","non-dropping-particle":"","parse-names":false,"suffix":""},{"dropping-particle":"","family":"Gayet","given":"Brice","non-dropping-particle":"","parse-names":false,"suffix":""},{"dropping-particle":"","family":"Salloum","given":"Chadi","non-dropping-particle":"","parse-names":false,"suffix":""},{"dropping-particle":"","family":"Luc","given":"Guillaume","non-dropping-particle":"","parse-names":false,"suffix":""},{"dropping-particle":"","family":"Dokmak","given":"Safi","non-dropping-particle":"","parse-names":false,"suffix":""},{"dropping-particle":"","family":"Piardi","given":"Tullio","non-dropping-particle":"","parse-names":false,"suffix":""},{"dropping-particle":"","family":"Cherqui","given":"Daniel","non-dropping-particle":"","parse-names":false,"suffix":""},{"dropping-particle":"","family":"Dagher","given":"Ibrahim","non-dropping-particle":"","parse-names":false,"suffix":""},{"dropping-particle":"","family":"Boleslawski","given":"Emmanuel","non-dropping-particle":"","parse-names":false,"suffix":""},{"dropping-particle":"","family":"Vibert","given":"Eric","non-dropping-particle":"","parse-names":false,"suffix":""},{"dropping-particle":"","family":"Sa Cunha","given":"Antonio","non-dropping-particle":"","parse-names":false,"suffix":""},{"dropping-particle":"","family":"Belghiti","given":"Jacques","non-dropping-particle":"","parse-names":false,"suffix":""},{"dropping-particle":"","family":"Pessaux","given":"Patrick","non-dropping-particle":"","parse-names":false,"suffix":""},{"dropping-particle":"","family":"Boelle","given":"Pierre Yves","non-dropping-particle":"","parse-names":false,"suffix":""},{"dropping-particle":"","family":"Scatton","given":"Olivier","non-dropping-particle":"","parse-names":false,"suffix":""}],"container-title":"HPB","id":"ITEM-2","issue":"4","issued":{"date-parts":[["2014"]]},"page":"357-365","publisher":"Blackwell Publishing Ltd","title":"Laparoscopic resection of hepatocellular carcinoma: A French survey in 351 patients","type":"article-journal","volume":"16"},"uris":["http://www.mendeley.com/documents/?uuid=fb065cec-0da4-30f6-80a7-ee784bce0101"]},{"id":"ITEM-3","itemData":{"DOI":"10.1016/j.jamcollsurg.2011.04.032","ISSN":"18791190","abstract":"BACKGROUND: Laparoscopic liver resection is a procedure in evolution. In the last decade it has evolved from a novel procedure to a standard part of the hepatic surgeon's armamentarium. Few data exist on the development of a laparoscopic resection program. STUDY DESIGN: With IRB approval, a retrospective review of 300 consecutive laparoscopic liver resections was undertaken.To determine changing results and patterns of practice, the cohort was divided into 3 consecutive groups of 100 patients. Patient demographics, indications for operation, operative factors, and in-hospital outcomes were examined. Continuous variables were analyzed with the Kruskal-Wallis test; continuous variables were compared with Fisher's exact test. Univariate and multivariate analyses of major complications (≥grade 3) were performed using logistic regression. RESULTS: Of the 300 patients, 173 (61.6%) were female, with a median age of 54 years. There were 133 (44.3%) major resections. The median number of segments resected increased (3 vs 2, p = 0.015), as did the percentage of repeat hepatectomies (13.0% vs 2.0%, p=0.001). At the same time, median operative time decreased (2.25 vs 3.0 hours, p&lt;0.001).and estimated blood loss was similar (150 mL vs 150 mL, p=0.635).Morbidity was similar (11% vs 14%, p=0.300), as was mortality (1% vs 3%, p = 0.625). CONCLUSIONS: Laparoscopic liver resection has evolved from a novel procedure to a vital technique in liver surgery. Our group has demonstrated the ability over time to perform more difficult resections with similar morbidity and decreased operative length. © 2011 by the American College of Surgeons.","author":[{"dropping-particle":"","family":"Cannon","given":"Robert M.","non-dropping-particle":"","parse-names":false,"suffix":""},{"dropping-particle":"","family":"Brock","given":"Guy N.","non-dropping-particle":"","parse-names":false,"suffix":""},{"dropping-particle":"","family":"Marvin","given":"Michael R.","non-dropping-particle":"","parse-names":false,"suffix":""},{"dropping-particle":"","family":"Buell","given":"Joseph F.","non-dropping-particle":"","parse-names":false,"suffix":""}],"container-title":"Journal of the American College of Surgeons","id":"ITEM-3","issue":"4","issued":{"date-parts":[["2011","10","1"]]},"page":"501-507","publisher":"Elsevier Inc.","title":"Laparoscopic liver resection: An examination of our first 300 patients","type":"article-journal","volume":"213"},"uris":["http://www.mendeley.com/documents/?uuid=554f4179-35bd-3723-a2cc-88648005914d"]}],"mendeley":{"formattedCitation":"(39–41)","plainTextFormattedCitation":"(39–41)","previouslyFormattedCitation":"(38–40)"},"properties":{"noteIndex":0},"schema":"https://github.com/citation-style-language/schema/raw/master/csl-citation.json"}</w:instrText>
      </w:r>
      <w:r w:rsidR="00565F8A" w:rsidRPr="009824AD">
        <w:rPr>
          <w:rFonts w:ascii="Helvetica" w:hAnsi="Helvetica" w:cs="Calibri"/>
          <w:sz w:val="22"/>
          <w:szCs w:val="22"/>
          <w:lang w:val="en-US"/>
        </w:rPr>
        <w:fldChar w:fldCharType="separate"/>
      </w:r>
      <w:r w:rsidR="006E2594" w:rsidRPr="006E2594">
        <w:rPr>
          <w:rFonts w:ascii="Helvetica" w:hAnsi="Helvetica" w:cs="Calibri"/>
          <w:noProof/>
          <w:sz w:val="22"/>
          <w:szCs w:val="22"/>
          <w:lang w:val="en-US"/>
        </w:rPr>
        <w:t>(39–41)</w:t>
      </w:r>
      <w:r w:rsidR="00565F8A" w:rsidRPr="009824AD">
        <w:rPr>
          <w:rFonts w:ascii="Helvetica" w:hAnsi="Helvetica" w:cs="Calibri"/>
          <w:sz w:val="22"/>
          <w:szCs w:val="22"/>
          <w:lang w:val="en-US"/>
        </w:rPr>
        <w:fldChar w:fldCharType="end"/>
      </w:r>
      <w:r w:rsidR="00E444F2" w:rsidRPr="009824AD">
        <w:rPr>
          <w:rFonts w:ascii="Helvetica" w:hAnsi="Helvetica" w:cs="Calibri"/>
          <w:sz w:val="22"/>
          <w:szCs w:val="22"/>
          <w:lang w:val="en-US"/>
        </w:rPr>
        <w:t>.</w:t>
      </w:r>
      <w:r w:rsidR="001A1D64" w:rsidRPr="009824AD">
        <w:rPr>
          <w:rFonts w:ascii="Helvetica" w:hAnsi="Helvetica" w:cs="Calibri"/>
          <w:sz w:val="22"/>
          <w:szCs w:val="22"/>
          <w:lang w:val="en-US"/>
        </w:rPr>
        <w:t xml:space="preserve"> </w:t>
      </w:r>
      <w:r w:rsidR="003F1AD6" w:rsidRPr="009824AD">
        <w:rPr>
          <w:rFonts w:ascii="Helvetica" w:hAnsi="Helvetica" w:cs="Calibri"/>
          <w:sz w:val="22"/>
          <w:szCs w:val="22"/>
          <w:lang w:val="en-US"/>
        </w:rPr>
        <w:t xml:space="preserve">However, these studies didn’t </w:t>
      </w:r>
      <w:r w:rsidR="00E948E6" w:rsidRPr="009824AD">
        <w:rPr>
          <w:rFonts w:ascii="Helvetica" w:hAnsi="Helvetica" w:cs="Calibri"/>
          <w:sz w:val="22"/>
          <w:szCs w:val="22"/>
          <w:lang w:val="en-US"/>
        </w:rPr>
        <w:t>focus on</w:t>
      </w:r>
      <w:r w:rsidR="003F1AD6" w:rsidRPr="009824AD">
        <w:rPr>
          <w:rFonts w:ascii="Helvetica" w:hAnsi="Helvetica" w:cs="Calibri"/>
          <w:sz w:val="22"/>
          <w:szCs w:val="22"/>
          <w:lang w:val="en-US"/>
        </w:rPr>
        <w:t xml:space="preserve"> the rate of CR-POBL. </w:t>
      </w:r>
    </w:p>
    <w:p w14:paraId="3FBD9A15" w14:textId="77777777" w:rsidR="00475368" w:rsidRPr="009824AD" w:rsidRDefault="00475368" w:rsidP="000146D1">
      <w:pPr>
        <w:autoSpaceDE w:val="0"/>
        <w:autoSpaceDN w:val="0"/>
        <w:adjustRightInd w:val="0"/>
        <w:spacing w:line="480" w:lineRule="auto"/>
        <w:jc w:val="both"/>
        <w:rPr>
          <w:rFonts w:ascii="Helvetica" w:hAnsi="Helvetica" w:cs="Calibri"/>
          <w:sz w:val="22"/>
          <w:szCs w:val="22"/>
          <w:lang w:val="en-US"/>
        </w:rPr>
      </w:pPr>
    </w:p>
    <w:p w14:paraId="7EB7A4B4" w14:textId="28F93E49" w:rsidR="000B7DA3" w:rsidRPr="009824AD" w:rsidRDefault="00475368" w:rsidP="000146D1">
      <w:pPr>
        <w:autoSpaceDE w:val="0"/>
        <w:autoSpaceDN w:val="0"/>
        <w:adjustRightInd w:val="0"/>
        <w:spacing w:line="480" w:lineRule="auto"/>
        <w:jc w:val="both"/>
        <w:rPr>
          <w:rFonts w:ascii="Helvetica" w:hAnsi="Helvetica" w:cs="Calibri"/>
          <w:sz w:val="22"/>
          <w:szCs w:val="22"/>
          <w:lang w:val="en-US"/>
        </w:rPr>
      </w:pPr>
      <w:r w:rsidRPr="009824AD">
        <w:rPr>
          <w:rFonts w:ascii="Helvetica" w:hAnsi="Helvetica" w:cs="Calibri"/>
          <w:sz w:val="22"/>
          <w:szCs w:val="22"/>
          <w:lang w:val="en-US"/>
        </w:rPr>
        <w:t>I</w:t>
      </w:r>
      <w:r w:rsidR="00936EC2" w:rsidRPr="009824AD">
        <w:rPr>
          <w:rFonts w:ascii="Helvetica" w:hAnsi="Helvetica" w:cs="Calibri"/>
          <w:sz w:val="22"/>
          <w:szCs w:val="22"/>
          <w:lang w:val="en-US"/>
        </w:rPr>
        <w:t>nterestingly,</w:t>
      </w:r>
      <w:r w:rsidR="009C2A5D" w:rsidRPr="009824AD">
        <w:rPr>
          <w:rFonts w:ascii="Helvetica" w:hAnsi="Helvetica" w:cs="Calibri"/>
          <w:sz w:val="22"/>
          <w:szCs w:val="22"/>
          <w:lang w:val="en-US"/>
        </w:rPr>
        <w:t xml:space="preserve"> w</w:t>
      </w:r>
      <w:r w:rsidR="001A1D64" w:rsidRPr="009824AD">
        <w:rPr>
          <w:rFonts w:ascii="Helvetica" w:hAnsi="Helvetica" w:cs="Calibri"/>
          <w:sz w:val="22"/>
          <w:szCs w:val="22"/>
          <w:lang w:val="en-US"/>
        </w:rPr>
        <w:t xml:space="preserve">hile the incidence of </w:t>
      </w:r>
      <w:r w:rsidR="0072020D" w:rsidRPr="009824AD">
        <w:rPr>
          <w:rFonts w:ascii="Helvetica" w:hAnsi="Helvetica" w:cs="Calibri"/>
          <w:sz w:val="22"/>
          <w:szCs w:val="22"/>
          <w:lang w:val="en-US"/>
        </w:rPr>
        <w:t>POBL</w:t>
      </w:r>
      <w:r w:rsidR="001A1D64" w:rsidRPr="009824AD">
        <w:rPr>
          <w:rFonts w:ascii="Helvetica" w:hAnsi="Helvetica" w:cs="Calibri"/>
          <w:sz w:val="22"/>
          <w:szCs w:val="22"/>
          <w:lang w:val="en-US"/>
        </w:rPr>
        <w:t xml:space="preserve"> in the OLR group </w:t>
      </w:r>
      <w:r w:rsidR="00E77F28" w:rsidRPr="009824AD">
        <w:rPr>
          <w:rFonts w:ascii="Helvetica" w:hAnsi="Helvetica" w:cs="Calibri"/>
          <w:sz w:val="22"/>
          <w:szCs w:val="22"/>
          <w:lang w:val="en-US"/>
        </w:rPr>
        <w:t>remained stable</w:t>
      </w:r>
      <w:r w:rsidR="000B7DA3" w:rsidRPr="009824AD">
        <w:rPr>
          <w:rFonts w:ascii="Helvetica" w:hAnsi="Helvetica" w:cs="Calibri"/>
          <w:sz w:val="22"/>
          <w:szCs w:val="22"/>
          <w:lang w:val="en-US"/>
        </w:rPr>
        <w:t xml:space="preserve"> </w:t>
      </w:r>
      <w:r w:rsidR="001A1D64" w:rsidRPr="009824AD">
        <w:rPr>
          <w:rFonts w:ascii="Helvetica" w:hAnsi="Helvetica" w:cs="Calibri"/>
          <w:sz w:val="22"/>
          <w:szCs w:val="22"/>
          <w:lang w:val="en-US"/>
        </w:rPr>
        <w:t xml:space="preserve">across the </w:t>
      </w:r>
      <w:r w:rsidR="00E77F28" w:rsidRPr="009824AD">
        <w:rPr>
          <w:rFonts w:ascii="Helvetica" w:hAnsi="Helvetica" w:cs="Calibri"/>
          <w:sz w:val="22"/>
          <w:szCs w:val="22"/>
          <w:lang w:val="en-US"/>
        </w:rPr>
        <w:t>last two eras</w:t>
      </w:r>
      <w:r w:rsidR="001A1D64" w:rsidRPr="009824AD">
        <w:rPr>
          <w:rFonts w:ascii="Helvetica" w:hAnsi="Helvetica" w:cs="Calibri"/>
          <w:sz w:val="22"/>
          <w:szCs w:val="22"/>
          <w:lang w:val="en-US"/>
        </w:rPr>
        <w:t xml:space="preserve">, the incidence of </w:t>
      </w:r>
      <w:r w:rsidR="00E948E6" w:rsidRPr="009824AD">
        <w:rPr>
          <w:rFonts w:ascii="Helvetica" w:hAnsi="Helvetica" w:cs="Calibri"/>
          <w:sz w:val="22"/>
          <w:szCs w:val="22"/>
          <w:lang w:val="en-US"/>
        </w:rPr>
        <w:t>CR-</w:t>
      </w:r>
      <w:r w:rsidR="0072020D" w:rsidRPr="009824AD">
        <w:rPr>
          <w:rFonts w:ascii="Helvetica" w:hAnsi="Helvetica" w:cs="Calibri"/>
          <w:sz w:val="22"/>
          <w:szCs w:val="22"/>
          <w:lang w:val="en-US"/>
        </w:rPr>
        <w:t>POBL</w:t>
      </w:r>
      <w:r w:rsidR="001A1D64" w:rsidRPr="009824AD">
        <w:rPr>
          <w:rFonts w:ascii="Helvetica" w:hAnsi="Helvetica" w:cs="Calibri"/>
          <w:sz w:val="22"/>
          <w:szCs w:val="22"/>
          <w:lang w:val="en-US"/>
        </w:rPr>
        <w:t xml:space="preserve"> in the LLR group show</w:t>
      </w:r>
      <w:r w:rsidR="00936EC2" w:rsidRPr="009824AD">
        <w:rPr>
          <w:rFonts w:ascii="Helvetica" w:hAnsi="Helvetica" w:cs="Calibri"/>
          <w:sz w:val="22"/>
          <w:szCs w:val="22"/>
          <w:lang w:val="en-US"/>
        </w:rPr>
        <w:t>ed</w:t>
      </w:r>
      <w:r w:rsidR="001A1D64" w:rsidRPr="009824AD">
        <w:rPr>
          <w:rFonts w:ascii="Helvetica" w:hAnsi="Helvetica" w:cs="Calibri"/>
          <w:sz w:val="22"/>
          <w:szCs w:val="22"/>
          <w:lang w:val="en-US"/>
        </w:rPr>
        <w:t xml:space="preserve"> a </w:t>
      </w:r>
      <w:r w:rsidR="00E77F28" w:rsidRPr="009824AD">
        <w:rPr>
          <w:rFonts w:ascii="Helvetica" w:hAnsi="Helvetica" w:cs="Calibri"/>
          <w:sz w:val="22"/>
          <w:szCs w:val="22"/>
          <w:lang w:val="en-US"/>
        </w:rPr>
        <w:t xml:space="preserve">slight increase in the last era </w:t>
      </w:r>
      <w:r w:rsidR="00565F8A" w:rsidRPr="009824AD">
        <w:rPr>
          <w:rFonts w:ascii="Helvetica" w:hAnsi="Helvetica" w:cs="Calibri"/>
          <w:sz w:val="22"/>
          <w:szCs w:val="22"/>
          <w:lang w:val="en-US"/>
        </w:rPr>
        <w:t xml:space="preserve">(figure </w:t>
      </w:r>
      <w:r w:rsidR="000D44B8" w:rsidRPr="009824AD">
        <w:rPr>
          <w:rFonts w:ascii="Helvetica" w:hAnsi="Helvetica" w:cs="Calibri"/>
          <w:sz w:val="22"/>
          <w:szCs w:val="22"/>
          <w:lang w:val="en-US"/>
        </w:rPr>
        <w:t>2</w:t>
      </w:r>
      <w:r w:rsidR="00565F8A" w:rsidRPr="009824AD">
        <w:rPr>
          <w:rFonts w:ascii="Helvetica" w:hAnsi="Helvetica" w:cs="Calibri"/>
          <w:sz w:val="22"/>
          <w:szCs w:val="22"/>
          <w:lang w:val="en-US"/>
        </w:rPr>
        <w:t>)</w:t>
      </w:r>
      <w:r w:rsidR="001A1D64" w:rsidRPr="009824AD">
        <w:rPr>
          <w:rFonts w:ascii="Helvetica" w:hAnsi="Helvetica" w:cs="Calibri"/>
          <w:sz w:val="22"/>
          <w:szCs w:val="22"/>
          <w:lang w:val="en-US"/>
        </w:rPr>
        <w:t xml:space="preserve">. The </w:t>
      </w:r>
      <w:r w:rsidR="00E77F28" w:rsidRPr="009824AD">
        <w:rPr>
          <w:rFonts w:ascii="Helvetica" w:hAnsi="Helvetica" w:cs="Calibri"/>
          <w:sz w:val="22"/>
          <w:szCs w:val="22"/>
          <w:lang w:val="en-US"/>
        </w:rPr>
        <w:t>stable</w:t>
      </w:r>
      <w:r w:rsidR="001A1D64" w:rsidRPr="009824AD">
        <w:rPr>
          <w:rFonts w:ascii="Helvetica" w:hAnsi="Helvetica" w:cs="Calibri"/>
          <w:sz w:val="22"/>
          <w:szCs w:val="22"/>
          <w:lang w:val="en-US"/>
        </w:rPr>
        <w:t xml:space="preserve"> incidence </w:t>
      </w:r>
      <w:r w:rsidR="00C431C6" w:rsidRPr="009824AD">
        <w:rPr>
          <w:rFonts w:ascii="Helvetica" w:hAnsi="Helvetica" w:cs="Calibri"/>
          <w:sz w:val="22"/>
          <w:szCs w:val="22"/>
          <w:lang w:val="en-US"/>
        </w:rPr>
        <w:t xml:space="preserve">in the </w:t>
      </w:r>
      <w:r w:rsidR="00565F8A" w:rsidRPr="009824AD">
        <w:rPr>
          <w:rFonts w:ascii="Helvetica" w:hAnsi="Helvetica" w:cs="Calibri"/>
          <w:sz w:val="22"/>
          <w:szCs w:val="22"/>
          <w:lang w:val="en-US"/>
        </w:rPr>
        <w:t>era</w:t>
      </w:r>
      <w:r w:rsidR="001A1D64" w:rsidRPr="009824AD">
        <w:rPr>
          <w:rFonts w:ascii="Helvetica" w:hAnsi="Helvetica" w:cs="Calibri"/>
          <w:sz w:val="22"/>
          <w:szCs w:val="22"/>
          <w:lang w:val="en-US"/>
        </w:rPr>
        <w:t xml:space="preserve"> 200</w:t>
      </w:r>
      <w:r w:rsidR="00E77F28" w:rsidRPr="009824AD">
        <w:rPr>
          <w:rFonts w:ascii="Helvetica" w:hAnsi="Helvetica" w:cs="Calibri"/>
          <w:sz w:val="22"/>
          <w:szCs w:val="22"/>
          <w:lang w:val="en-US"/>
        </w:rPr>
        <w:t>0-2010 and 2010-2015</w:t>
      </w:r>
      <w:r w:rsidR="001A1D64" w:rsidRPr="009824AD">
        <w:rPr>
          <w:rFonts w:ascii="Helvetica" w:hAnsi="Helvetica" w:cs="Calibri"/>
          <w:sz w:val="22"/>
          <w:szCs w:val="22"/>
          <w:lang w:val="en-US"/>
        </w:rPr>
        <w:t xml:space="preserve"> </w:t>
      </w:r>
      <w:r w:rsidR="000B7DA3" w:rsidRPr="009824AD">
        <w:rPr>
          <w:rFonts w:ascii="Helvetica" w:hAnsi="Helvetica" w:cs="Calibri"/>
          <w:sz w:val="22"/>
          <w:szCs w:val="22"/>
          <w:lang w:val="en-US"/>
        </w:rPr>
        <w:t xml:space="preserve">in the LLR group </w:t>
      </w:r>
      <w:r w:rsidR="00C431C6" w:rsidRPr="009824AD">
        <w:rPr>
          <w:rFonts w:ascii="Helvetica" w:hAnsi="Helvetica" w:cs="Calibri"/>
          <w:sz w:val="22"/>
          <w:szCs w:val="22"/>
          <w:lang w:val="en-US"/>
        </w:rPr>
        <w:t>may be</w:t>
      </w:r>
      <w:r w:rsidR="001A1D64" w:rsidRPr="009824AD">
        <w:rPr>
          <w:rFonts w:ascii="Helvetica" w:hAnsi="Helvetica" w:cs="Calibri"/>
          <w:sz w:val="22"/>
          <w:szCs w:val="22"/>
          <w:lang w:val="en-US"/>
        </w:rPr>
        <w:t xml:space="preserve"> associated with</w:t>
      </w:r>
      <w:r w:rsidR="009C2A5D" w:rsidRPr="009824AD">
        <w:rPr>
          <w:rFonts w:ascii="Helvetica" w:hAnsi="Helvetica" w:cs="Calibri"/>
          <w:sz w:val="22"/>
          <w:szCs w:val="22"/>
          <w:lang w:val="en-US"/>
        </w:rPr>
        <w:t xml:space="preserve"> </w:t>
      </w:r>
      <w:r w:rsidR="00E77F28" w:rsidRPr="009824AD">
        <w:rPr>
          <w:rFonts w:ascii="Helvetica" w:hAnsi="Helvetica" w:cs="Calibri"/>
          <w:sz w:val="22"/>
          <w:szCs w:val="22"/>
          <w:lang w:val="en-US"/>
        </w:rPr>
        <w:t xml:space="preserve">careful selection of patients, </w:t>
      </w:r>
      <w:r w:rsidR="001A1D64" w:rsidRPr="009824AD">
        <w:rPr>
          <w:rFonts w:ascii="Helvetica" w:hAnsi="Helvetica" w:cs="Calibri"/>
          <w:sz w:val="22"/>
          <w:szCs w:val="22"/>
          <w:lang w:val="en-US"/>
        </w:rPr>
        <w:t>while in recent years</w:t>
      </w:r>
      <w:r w:rsidR="009C2A5D" w:rsidRPr="009824AD">
        <w:rPr>
          <w:rFonts w:ascii="Helvetica" w:hAnsi="Helvetica" w:cs="Calibri"/>
          <w:sz w:val="22"/>
          <w:szCs w:val="22"/>
          <w:lang w:val="en-US"/>
        </w:rPr>
        <w:t xml:space="preserve"> </w:t>
      </w:r>
      <w:r w:rsidR="001A1D64" w:rsidRPr="009824AD">
        <w:rPr>
          <w:rFonts w:ascii="Helvetica" w:hAnsi="Helvetica" w:cs="Calibri"/>
          <w:sz w:val="22"/>
          <w:szCs w:val="22"/>
          <w:lang w:val="en-US"/>
        </w:rPr>
        <w:t xml:space="preserve">surgeons started to </w:t>
      </w:r>
      <w:r w:rsidR="009C2A5D" w:rsidRPr="009824AD">
        <w:rPr>
          <w:rFonts w:ascii="Helvetica" w:hAnsi="Helvetica" w:cs="Calibri"/>
          <w:sz w:val="22"/>
          <w:szCs w:val="22"/>
          <w:lang w:val="en-US"/>
        </w:rPr>
        <w:t xml:space="preserve">perform more and more complex </w:t>
      </w:r>
      <w:r w:rsidR="00855E2C" w:rsidRPr="009824AD">
        <w:rPr>
          <w:rFonts w:ascii="Helvetica" w:hAnsi="Helvetica" w:cs="Calibri"/>
          <w:sz w:val="22"/>
          <w:szCs w:val="22"/>
          <w:lang w:val="en-US"/>
        </w:rPr>
        <w:t xml:space="preserve">LLR </w:t>
      </w:r>
      <w:r w:rsidR="009C2A5D" w:rsidRPr="009824AD">
        <w:rPr>
          <w:rFonts w:ascii="Helvetica" w:hAnsi="Helvetica" w:cs="Calibri"/>
          <w:sz w:val="22"/>
          <w:szCs w:val="22"/>
          <w:lang w:val="en-US"/>
        </w:rPr>
        <w:t>procedures due to the increasing experience and surgical skills</w:t>
      </w:r>
      <w:r w:rsidR="00C431C6" w:rsidRPr="009824AD">
        <w:rPr>
          <w:rFonts w:ascii="Helvetica" w:hAnsi="Helvetica" w:cs="Calibri"/>
          <w:sz w:val="22"/>
          <w:szCs w:val="22"/>
          <w:lang w:val="en-US"/>
        </w:rPr>
        <w:t xml:space="preserve">, which </w:t>
      </w:r>
      <w:r w:rsidR="00CE1539" w:rsidRPr="009824AD">
        <w:rPr>
          <w:rFonts w:ascii="Helvetica" w:hAnsi="Helvetica" w:cs="Calibri"/>
          <w:sz w:val="22"/>
          <w:szCs w:val="22"/>
          <w:lang w:val="en-US"/>
        </w:rPr>
        <w:t>may</w:t>
      </w:r>
      <w:r w:rsidR="00645258" w:rsidRPr="009824AD">
        <w:rPr>
          <w:rFonts w:ascii="Helvetica" w:hAnsi="Helvetica" w:cs="Calibri"/>
          <w:sz w:val="22"/>
          <w:szCs w:val="22"/>
          <w:lang w:val="en-US"/>
        </w:rPr>
        <w:t xml:space="preserve"> explain the</w:t>
      </w:r>
      <w:r w:rsidR="00B700C4" w:rsidRPr="009824AD">
        <w:rPr>
          <w:rFonts w:ascii="Helvetica" w:hAnsi="Helvetica" w:cs="Calibri"/>
          <w:sz w:val="22"/>
          <w:szCs w:val="22"/>
          <w:lang w:val="en-US"/>
        </w:rPr>
        <w:t xml:space="preserve"> </w:t>
      </w:r>
      <w:r w:rsidR="00C431C6" w:rsidRPr="009824AD">
        <w:rPr>
          <w:rFonts w:ascii="Helvetica" w:hAnsi="Helvetica" w:cs="Calibri"/>
          <w:sz w:val="22"/>
          <w:szCs w:val="22"/>
          <w:lang w:val="en-US"/>
        </w:rPr>
        <w:t xml:space="preserve">increased rate of </w:t>
      </w:r>
      <w:r w:rsidR="0072020D" w:rsidRPr="009824AD">
        <w:rPr>
          <w:rFonts w:ascii="Helvetica" w:hAnsi="Helvetica" w:cs="Calibri"/>
          <w:sz w:val="22"/>
          <w:szCs w:val="22"/>
          <w:lang w:val="en-US"/>
        </w:rPr>
        <w:t>CR-POBL</w:t>
      </w:r>
      <w:r w:rsidR="00E77F28" w:rsidRPr="009824AD">
        <w:rPr>
          <w:rFonts w:ascii="Helvetica" w:hAnsi="Helvetica" w:cs="Calibri"/>
          <w:sz w:val="22"/>
          <w:szCs w:val="22"/>
          <w:lang w:val="en-US"/>
        </w:rPr>
        <w:t xml:space="preserve"> </w:t>
      </w:r>
      <w:r w:rsidR="00CB7EDE" w:rsidRPr="009824AD">
        <w:rPr>
          <w:rFonts w:ascii="Helvetica" w:hAnsi="Helvetica" w:cs="Calibri"/>
          <w:sz w:val="22"/>
          <w:szCs w:val="22"/>
          <w:lang w:val="en-US"/>
        </w:rPr>
        <w:t>in the last era.</w:t>
      </w:r>
      <w:r w:rsidR="000B7DA3" w:rsidRPr="009824AD">
        <w:rPr>
          <w:rFonts w:ascii="Helvetica" w:hAnsi="Helvetica" w:cs="Calibri"/>
          <w:sz w:val="22"/>
          <w:szCs w:val="22"/>
          <w:lang w:val="en-US"/>
        </w:rPr>
        <w:t xml:space="preserve"> At the same time, the incidence of CR-POBL in the open group seems to reach a plateau after 2011. This might be explained by the fact that after 2011, patient selection and surgical experience for OLR were </w:t>
      </w:r>
      <w:r w:rsidR="00E444F2" w:rsidRPr="009824AD">
        <w:rPr>
          <w:rFonts w:ascii="Helvetica" w:hAnsi="Helvetica" w:cs="Calibri"/>
          <w:sz w:val="22"/>
          <w:szCs w:val="22"/>
          <w:lang w:val="en-US"/>
        </w:rPr>
        <w:t xml:space="preserve">settled </w:t>
      </w:r>
      <w:r w:rsidR="000B7DA3" w:rsidRPr="009824AD">
        <w:rPr>
          <w:rFonts w:ascii="Helvetica" w:hAnsi="Helvetica" w:cs="Calibri"/>
          <w:sz w:val="22"/>
          <w:szCs w:val="22"/>
          <w:lang w:val="en-US"/>
        </w:rPr>
        <w:t>in participating centers.</w:t>
      </w:r>
    </w:p>
    <w:p w14:paraId="79300765" w14:textId="16A5FB0C" w:rsidR="00B700C4" w:rsidRPr="009824AD" w:rsidRDefault="00B700C4" w:rsidP="000146D1">
      <w:pPr>
        <w:autoSpaceDE w:val="0"/>
        <w:autoSpaceDN w:val="0"/>
        <w:adjustRightInd w:val="0"/>
        <w:spacing w:line="480" w:lineRule="auto"/>
        <w:jc w:val="both"/>
        <w:rPr>
          <w:rFonts w:ascii="Helvetica" w:hAnsi="Helvetica" w:cs="Calibri"/>
          <w:sz w:val="22"/>
          <w:szCs w:val="22"/>
          <w:lang w:val="en-US"/>
        </w:rPr>
      </w:pPr>
    </w:p>
    <w:p w14:paraId="093F306A" w14:textId="2DF956A1" w:rsidR="00BF1368" w:rsidRPr="009824AD" w:rsidRDefault="00363257" w:rsidP="000146D1">
      <w:pPr>
        <w:pStyle w:val="Default"/>
        <w:spacing w:line="480" w:lineRule="auto"/>
        <w:jc w:val="both"/>
        <w:rPr>
          <w:rFonts w:ascii="Helvetica" w:hAnsi="Helvetica" w:cs="Calibri"/>
          <w:sz w:val="22"/>
          <w:szCs w:val="22"/>
          <w:lang w:val="en-US"/>
        </w:rPr>
      </w:pPr>
      <w:r w:rsidRPr="009824AD">
        <w:rPr>
          <w:rFonts w:ascii="Helvetica" w:eastAsia="Times New Roman" w:hAnsi="Helvetica" w:cs="Calibri"/>
          <w:sz w:val="22"/>
          <w:szCs w:val="22"/>
          <w:shd w:val="clear" w:color="auto" w:fill="FFFFFF"/>
          <w:lang w:val="en-US" w:eastAsia="nl-NL"/>
        </w:rPr>
        <w:t>An important finding of the</w:t>
      </w:r>
      <w:r w:rsidR="006523D0" w:rsidRPr="009824AD">
        <w:rPr>
          <w:rFonts w:ascii="Helvetica" w:eastAsia="Times New Roman" w:hAnsi="Helvetica" w:cs="Calibri"/>
          <w:sz w:val="22"/>
          <w:szCs w:val="22"/>
          <w:shd w:val="clear" w:color="auto" w:fill="FFFFFF"/>
          <w:lang w:val="en-US" w:eastAsia="nl-NL"/>
        </w:rPr>
        <w:t xml:space="preserve"> present</w:t>
      </w:r>
      <w:r w:rsidRPr="009824AD">
        <w:rPr>
          <w:rFonts w:ascii="Helvetica" w:eastAsia="Times New Roman" w:hAnsi="Helvetica" w:cs="Calibri"/>
          <w:sz w:val="22"/>
          <w:szCs w:val="22"/>
          <w:shd w:val="clear" w:color="auto" w:fill="FFFFFF"/>
          <w:lang w:val="en-US" w:eastAsia="nl-NL"/>
        </w:rPr>
        <w:t xml:space="preserve"> study is the difference in</w:t>
      </w:r>
      <w:r w:rsidR="00936EC2" w:rsidRPr="009824AD">
        <w:rPr>
          <w:rFonts w:ascii="Helvetica" w:eastAsia="Times New Roman" w:hAnsi="Helvetica" w:cs="Calibri"/>
          <w:sz w:val="22"/>
          <w:szCs w:val="22"/>
          <w:shd w:val="clear" w:color="auto" w:fill="FFFFFF"/>
          <w:lang w:val="en-US" w:eastAsia="nl-NL"/>
        </w:rPr>
        <w:t xml:space="preserve"> postoperative</w:t>
      </w:r>
      <w:r w:rsidRPr="009824AD">
        <w:rPr>
          <w:rFonts w:ascii="Helvetica" w:eastAsia="Times New Roman" w:hAnsi="Helvetica" w:cs="Calibri"/>
          <w:sz w:val="22"/>
          <w:szCs w:val="22"/>
          <w:shd w:val="clear" w:color="auto" w:fill="FFFFFF"/>
          <w:lang w:val="en-US" w:eastAsia="nl-NL"/>
        </w:rPr>
        <w:t xml:space="preserve"> impact </w:t>
      </w:r>
      <w:r w:rsidR="004D390F" w:rsidRPr="009824AD">
        <w:rPr>
          <w:rFonts w:ascii="Helvetica" w:eastAsia="Times New Roman" w:hAnsi="Helvetica" w:cs="Calibri"/>
          <w:sz w:val="22"/>
          <w:szCs w:val="22"/>
          <w:shd w:val="clear" w:color="auto" w:fill="FFFFFF"/>
          <w:lang w:val="en-US" w:eastAsia="nl-NL"/>
        </w:rPr>
        <w:t xml:space="preserve">of </w:t>
      </w:r>
      <w:r w:rsidR="0072020D" w:rsidRPr="009824AD">
        <w:rPr>
          <w:rFonts w:ascii="Helvetica" w:eastAsia="Times New Roman" w:hAnsi="Helvetica" w:cs="Calibri"/>
          <w:sz w:val="22"/>
          <w:szCs w:val="22"/>
          <w:shd w:val="clear" w:color="auto" w:fill="FFFFFF"/>
          <w:lang w:val="en-US" w:eastAsia="nl-NL"/>
        </w:rPr>
        <w:t>CR-POBL</w:t>
      </w:r>
      <w:r w:rsidR="004D390F" w:rsidRPr="009824AD">
        <w:rPr>
          <w:rFonts w:ascii="Helvetica" w:eastAsia="Times New Roman" w:hAnsi="Helvetica" w:cs="Calibri"/>
          <w:sz w:val="22"/>
          <w:szCs w:val="22"/>
          <w:shd w:val="clear" w:color="auto" w:fill="FFFFFF"/>
          <w:lang w:val="en-US" w:eastAsia="nl-NL"/>
        </w:rPr>
        <w:t xml:space="preserve"> in </w:t>
      </w:r>
      <w:r w:rsidR="006523D0" w:rsidRPr="009824AD">
        <w:rPr>
          <w:rFonts w:ascii="Helvetica" w:eastAsia="Times New Roman" w:hAnsi="Helvetica" w:cs="Calibri"/>
          <w:sz w:val="22"/>
          <w:szCs w:val="22"/>
          <w:shd w:val="clear" w:color="auto" w:fill="FFFFFF"/>
          <w:lang w:val="en-US" w:eastAsia="nl-NL"/>
        </w:rPr>
        <w:t xml:space="preserve">patients after LLR and OLR. In fact, this is the first study </w:t>
      </w:r>
      <w:r w:rsidR="00A32A02" w:rsidRPr="009824AD">
        <w:rPr>
          <w:rFonts w:ascii="Helvetica" w:eastAsia="Times New Roman" w:hAnsi="Helvetica" w:cs="Calibri"/>
          <w:sz w:val="22"/>
          <w:szCs w:val="22"/>
          <w:shd w:val="clear" w:color="auto" w:fill="FFFFFF"/>
          <w:lang w:val="en-US" w:eastAsia="nl-NL"/>
        </w:rPr>
        <w:t>assessing</w:t>
      </w:r>
      <w:r w:rsidR="006523D0" w:rsidRPr="009824AD">
        <w:rPr>
          <w:rFonts w:ascii="Helvetica" w:eastAsia="Times New Roman" w:hAnsi="Helvetica" w:cs="Calibri"/>
          <w:sz w:val="22"/>
          <w:szCs w:val="22"/>
          <w:shd w:val="clear" w:color="auto" w:fill="FFFFFF"/>
          <w:lang w:val="en-US" w:eastAsia="nl-NL"/>
        </w:rPr>
        <w:t xml:space="preserve"> the clinical relevance of </w:t>
      </w:r>
      <w:r w:rsidR="0072020D" w:rsidRPr="009824AD">
        <w:rPr>
          <w:rFonts w:ascii="Helvetica" w:eastAsia="Times New Roman" w:hAnsi="Helvetica" w:cs="Calibri"/>
          <w:sz w:val="22"/>
          <w:szCs w:val="22"/>
          <w:shd w:val="clear" w:color="auto" w:fill="FFFFFF"/>
          <w:lang w:val="en-US" w:eastAsia="nl-NL"/>
        </w:rPr>
        <w:t>CR-POBL</w:t>
      </w:r>
      <w:r w:rsidR="006523D0" w:rsidRPr="009824AD">
        <w:rPr>
          <w:rFonts w:ascii="Helvetica" w:eastAsia="Times New Roman" w:hAnsi="Helvetica" w:cs="Calibri"/>
          <w:sz w:val="22"/>
          <w:szCs w:val="22"/>
          <w:shd w:val="clear" w:color="auto" w:fill="FFFFFF"/>
          <w:lang w:val="en-US" w:eastAsia="nl-NL"/>
        </w:rPr>
        <w:t xml:space="preserve"> between patients after LLR and OLR since </w:t>
      </w:r>
      <w:r w:rsidR="006523D0" w:rsidRPr="009824AD">
        <w:rPr>
          <w:rFonts w:ascii="Helvetica" w:hAnsi="Helvetica" w:cs="Calibri"/>
          <w:sz w:val="22"/>
          <w:szCs w:val="22"/>
          <w:lang w:val="en-US"/>
        </w:rPr>
        <w:t xml:space="preserve">previous studies didn’t stratify for approach. A retrospective </w:t>
      </w:r>
      <w:r w:rsidR="000B416F" w:rsidRPr="009824AD">
        <w:rPr>
          <w:rFonts w:ascii="Helvetica" w:hAnsi="Helvetica" w:cs="Calibri"/>
          <w:sz w:val="22"/>
          <w:szCs w:val="22"/>
          <w:lang w:val="en-US"/>
        </w:rPr>
        <w:t xml:space="preserve">single </w:t>
      </w:r>
      <w:r w:rsidR="000B7DA3" w:rsidRPr="009824AD">
        <w:rPr>
          <w:rFonts w:ascii="Helvetica" w:hAnsi="Helvetica" w:cs="Calibri"/>
          <w:sz w:val="22"/>
          <w:szCs w:val="22"/>
          <w:lang w:val="en-US"/>
        </w:rPr>
        <w:t>center</w:t>
      </w:r>
      <w:r w:rsidR="000B416F" w:rsidRPr="009824AD">
        <w:rPr>
          <w:rFonts w:ascii="Helvetica" w:hAnsi="Helvetica" w:cs="Calibri"/>
          <w:sz w:val="22"/>
          <w:szCs w:val="22"/>
          <w:lang w:val="en-US"/>
        </w:rPr>
        <w:t xml:space="preserve"> </w:t>
      </w:r>
      <w:r w:rsidR="006523D0" w:rsidRPr="009824AD">
        <w:rPr>
          <w:rFonts w:ascii="Helvetica" w:hAnsi="Helvetica" w:cs="Calibri"/>
          <w:sz w:val="22"/>
          <w:szCs w:val="22"/>
          <w:lang w:val="en-US"/>
        </w:rPr>
        <w:t>study included 501 patients who underwent liver resection and assessed the risk factors and clinical impact of BL</w:t>
      </w:r>
      <w:r w:rsidR="000B416F" w:rsidRPr="009824AD">
        <w:rPr>
          <w:rFonts w:ascii="Helvetica" w:hAnsi="Helvetica" w:cs="Calibri"/>
          <w:sz w:val="22"/>
          <w:szCs w:val="22"/>
          <w:lang w:val="en-US"/>
        </w:rPr>
        <w:t xml:space="preserve"> after liver surgery</w:t>
      </w:r>
      <w:r w:rsidR="00565F8A" w:rsidRPr="009824AD">
        <w:rPr>
          <w:rFonts w:ascii="Helvetica" w:hAnsi="Helvetica" w:cs="Calibri"/>
          <w:sz w:val="22"/>
          <w:szCs w:val="22"/>
          <w:lang w:val="en-US"/>
        </w:rPr>
        <w:fldChar w:fldCharType="begin" w:fldLock="1"/>
      </w:r>
      <w:r w:rsidR="000D44B8" w:rsidRPr="009824AD">
        <w:rPr>
          <w:rFonts w:ascii="Helvetica" w:hAnsi="Helvetica" w:cs="Calibri"/>
          <w:sz w:val="22"/>
          <w:szCs w:val="22"/>
          <w:lang w:val="en-US"/>
        </w:rPr>
        <w:instrText>ADDIN CSL_CITATION {"citationItems":[{"id":"ITEM-1","itemData":{"DOI":"10.21037/hbsn.2019.02.06","ISSN":"23043881","author":[{"dropping-particle":"","family":"Spetzler","given":"Vinzent N.","non-dropping-particle":"","parse-names":false,"suffix":""},{"dropping-particle":"","family":"Schepers","given":"Marlene","non-dropping-particle":"","parse-names":false,"suffix":""},{"dropping-particle":"","family":"Pinnschmidt","given":"Hans O.","non-dropping-particle":"","parse-names":false,"suffix":""},{"dropping-particle":"","family":"Fischer","given":"Lutz","non-dropping-particle":"","parse-names":false,"suffix":""},{"dropping-particle":"","family":"Nashan","given":"Björn","non-dropping-particle":"","parse-names":false,"suffix":""},{"dropping-particle":"","family":"Li","given":"Jun","non-dropping-particle":"","parse-names":false,"suffix":""}],"container-title":"HepatoBiliary Surgery and Nutrition","id":"ITEM-1","issue":"2","issued":{"date-parts":[["2019"]]},"page":"101-110","title":"The incidence and severity of post-hepatectomy bile leaks is affected by surgical indications, preoperative chemotherapy, and surgical procedures","type":"article-journal","volume":"8"},"uris":["http://www.mendeley.com/documents/?uuid=46cfb71b-e4fc-4f62-a7fb-3068cc95c0b2"]}],"mendeley":{"formattedCitation":"(23)","plainTextFormattedCitation":"(23)","previouslyFormattedCitation":"(23)"},"properties":{"noteIndex":0},"schema":"https://github.com/citation-style-language/schema/raw/master/csl-citation.json"}</w:instrText>
      </w:r>
      <w:r w:rsidR="00565F8A" w:rsidRPr="009824AD">
        <w:rPr>
          <w:rFonts w:ascii="Helvetica" w:hAnsi="Helvetica" w:cs="Calibri"/>
          <w:sz w:val="22"/>
          <w:szCs w:val="22"/>
          <w:lang w:val="en-US"/>
        </w:rPr>
        <w:fldChar w:fldCharType="separate"/>
      </w:r>
      <w:r w:rsidR="000D44B8" w:rsidRPr="009824AD">
        <w:rPr>
          <w:rFonts w:ascii="Helvetica" w:hAnsi="Helvetica" w:cs="Calibri"/>
          <w:noProof/>
          <w:sz w:val="22"/>
          <w:szCs w:val="22"/>
          <w:lang w:val="en-US"/>
        </w:rPr>
        <w:t>(23)</w:t>
      </w:r>
      <w:r w:rsidR="00565F8A" w:rsidRPr="009824AD">
        <w:rPr>
          <w:rFonts w:ascii="Helvetica" w:hAnsi="Helvetica" w:cs="Calibri"/>
          <w:sz w:val="22"/>
          <w:szCs w:val="22"/>
          <w:lang w:val="en-US"/>
        </w:rPr>
        <w:fldChar w:fldCharType="end"/>
      </w:r>
      <w:r w:rsidR="00E444F2" w:rsidRPr="009824AD">
        <w:rPr>
          <w:rFonts w:ascii="Helvetica" w:hAnsi="Helvetica" w:cs="Calibri"/>
          <w:sz w:val="22"/>
          <w:szCs w:val="22"/>
          <w:lang w:val="en-US"/>
        </w:rPr>
        <w:t>.</w:t>
      </w:r>
      <w:r w:rsidR="006523D0" w:rsidRPr="009824AD">
        <w:rPr>
          <w:rFonts w:ascii="Helvetica" w:hAnsi="Helvetica" w:cs="Calibri"/>
          <w:sz w:val="22"/>
          <w:szCs w:val="22"/>
          <w:lang w:val="en-US"/>
        </w:rPr>
        <w:t xml:space="preserve"> In accordance with the current study, they reported </w:t>
      </w:r>
      <w:r w:rsidR="000B416F" w:rsidRPr="009824AD">
        <w:rPr>
          <w:rFonts w:ascii="Helvetica" w:hAnsi="Helvetica" w:cs="Calibri"/>
          <w:sz w:val="22"/>
          <w:szCs w:val="22"/>
          <w:lang w:val="en-US"/>
        </w:rPr>
        <w:t xml:space="preserve">increased rates of </w:t>
      </w:r>
      <w:r w:rsidR="00936EC2" w:rsidRPr="009824AD">
        <w:rPr>
          <w:rFonts w:ascii="Helvetica" w:hAnsi="Helvetica" w:cs="Calibri"/>
          <w:sz w:val="22"/>
          <w:szCs w:val="22"/>
          <w:lang w:val="en-US"/>
        </w:rPr>
        <w:t>surgical site infection</w:t>
      </w:r>
      <w:r w:rsidR="000B416F" w:rsidRPr="009824AD">
        <w:rPr>
          <w:rFonts w:ascii="Helvetica" w:hAnsi="Helvetica" w:cs="Calibri"/>
          <w:sz w:val="22"/>
          <w:szCs w:val="22"/>
          <w:lang w:val="en-US"/>
        </w:rPr>
        <w:t xml:space="preserve">, </w:t>
      </w:r>
      <w:r w:rsidR="00936EC2" w:rsidRPr="009824AD">
        <w:rPr>
          <w:rFonts w:ascii="Helvetica" w:hAnsi="Helvetica" w:cs="Calibri"/>
          <w:sz w:val="22"/>
          <w:szCs w:val="22"/>
          <w:lang w:val="en-US"/>
        </w:rPr>
        <w:t xml:space="preserve">postoperative liver failure </w:t>
      </w:r>
      <w:r w:rsidR="000B416F" w:rsidRPr="009824AD">
        <w:rPr>
          <w:rFonts w:ascii="Helvetica" w:hAnsi="Helvetica" w:cs="Calibri"/>
          <w:sz w:val="22"/>
          <w:szCs w:val="22"/>
          <w:lang w:val="en-US"/>
        </w:rPr>
        <w:t>and mortality in patient</w:t>
      </w:r>
      <w:r w:rsidR="00C64AB3" w:rsidRPr="009824AD">
        <w:rPr>
          <w:rFonts w:ascii="Helvetica" w:hAnsi="Helvetica" w:cs="Calibri"/>
          <w:sz w:val="22"/>
          <w:szCs w:val="22"/>
          <w:lang w:val="en-US"/>
        </w:rPr>
        <w:t>s</w:t>
      </w:r>
      <w:r w:rsidR="000B416F" w:rsidRPr="009824AD">
        <w:rPr>
          <w:rFonts w:ascii="Helvetica" w:hAnsi="Helvetica" w:cs="Calibri"/>
          <w:sz w:val="22"/>
          <w:szCs w:val="22"/>
          <w:lang w:val="en-US"/>
        </w:rPr>
        <w:t xml:space="preserve"> with </w:t>
      </w:r>
      <w:r w:rsidR="0072020D" w:rsidRPr="009824AD">
        <w:rPr>
          <w:rFonts w:ascii="Helvetica" w:hAnsi="Helvetica" w:cs="Calibri"/>
          <w:sz w:val="22"/>
          <w:szCs w:val="22"/>
          <w:lang w:val="en-US"/>
        </w:rPr>
        <w:t>CR-POBL</w:t>
      </w:r>
      <w:r w:rsidR="000B416F" w:rsidRPr="009824AD">
        <w:rPr>
          <w:rFonts w:ascii="Helvetica" w:hAnsi="Helvetica" w:cs="Calibri"/>
          <w:sz w:val="22"/>
          <w:szCs w:val="22"/>
          <w:lang w:val="en-US"/>
        </w:rPr>
        <w:t xml:space="preserve"> as compared to patients without </w:t>
      </w:r>
      <w:r w:rsidR="0072020D" w:rsidRPr="009824AD">
        <w:rPr>
          <w:rFonts w:ascii="Helvetica" w:hAnsi="Helvetica" w:cs="Calibri"/>
          <w:sz w:val="22"/>
          <w:szCs w:val="22"/>
          <w:lang w:val="en-US"/>
        </w:rPr>
        <w:t>CR-POBL</w:t>
      </w:r>
      <w:r w:rsidR="000B416F" w:rsidRPr="009824AD">
        <w:rPr>
          <w:rFonts w:ascii="Helvetica" w:hAnsi="Helvetica" w:cs="Calibri"/>
          <w:sz w:val="22"/>
          <w:szCs w:val="22"/>
          <w:lang w:val="en-US"/>
        </w:rPr>
        <w:t xml:space="preserve">. </w:t>
      </w:r>
      <w:r w:rsidR="000146D1" w:rsidRPr="009824AD">
        <w:rPr>
          <w:rFonts w:ascii="Helvetica" w:hAnsi="Helvetica" w:cs="Calibri"/>
          <w:sz w:val="22"/>
          <w:szCs w:val="22"/>
          <w:lang w:val="en-US"/>
        </w:rPr>
        <w:t>Of note, only a small number of</w:t>
      </w:r>
      <w:r w:rsidR="00645258" w:rsidRPr="009824AD">
        <w:rPr>
          <w:rFonts w:ascii="Helvetica" w:hAnsi="Helvetica" w:cs="Calibri"/>
          <w:sz w:val="22"/>
          <w:szCs w:val="22"/>
          <w:lang w:val="en-US"/>
        </w:rPr>
        <w:t xml:space="preserve"> </w:t>
      </w:r>
      <w:r w:rsidR="000146D1" w:rsidRPr="009824AD">
        <w:rPr>
          <w:rFonts w:ascii="Helvetica" w:hAnsi="Helvetica" w:cs="Calibri"/>
          <w:sz w:val="22"/>
          <w:szCs w:val="22"/>
          <w:lang w:val="en-US"/>
        </w:rPr>
        <w:t xml:space="preserve">patients </w:t>
      </w:r>
      <w:r w:rsidR="00C64AB3" w:rsidRPr="009824AD">
        <w:rPr>
          <w:rFonts w:ascii="Helvetica" w:hAnsi="Helvetica" w:cs="Calibri"/>
          <w:sz w:val="22"/>
          <w:szCs w:val="22"/>
          <w:lang w:val="en-US"/>
        </w:rPr>
        <w:t xml:space="preserve">in </w:t>
      </w:r>
      <w:r w:rsidR="00645258" w:rsidRPr="009824AD">
        <w:rPr>
          <w:rFonts w:ascii="Helvetica" w:hAnsi="Helvetica" w:cs="Calibri"/>
          <w:sz w:val="22"/>
          <w:szCs w:val="22"/>
          <w:lang w:val="en-US"/>
        </w:rPr>
        <w:t xml:space="preserve">that </w:t>
      </w:r>
      <w:r w:rsidR="00C64AB3" w:rsidRPr="009824AD">
        <w:rPr>
          <w:rFonts w:ascii="Helvetica" w:hAnsi="Helvetica" w:cs="Calibri"/>
          <w:sz w:val="22"/>
          <w:szCs w:val="22"/>
          <w:lang w:val="en-US"/>
        </w:rPr>
        <w:t xml:space="preserve">cohort </w:t>
      </w:r>
      <w:r w:rsidR="000146D1" w:rsidRPr="009824AD">
        <w:rPr>
          <w:rFonts w:ascii="Helvetica" w:hAnsi="Helvetica" w:cs="Calibri"/>
          <w:sz w:val="22"/>
          <w:szCs w:val="22"/>
          <w:lang w:val="en-US"/>
        </w:rPr>
        <w:t xml:space="preserve">underwent LLR. </w:t>
      </w:r>
      <w:r w:rsidR="000B416F" w:rsidRPr="009824AD">
        <w:rPr>
          <w:rStyle w:val="A1"/>
          <w:rFonts w:ascii="Helvetica" w:hAnsi="Helvetica" w:cs="Calibri"/>
          <w:sz w:val="22"/>
          <w:szCs w:val="22"/>
          <w:lang w:val="en-US"/>
        </w:rPr>
        <w:t xml:space="preserve">Similarly, </w:t>
      </w:r>
      <w:r w:rsidR="000B416F" w:rsidRPr="009824AD">
        <w:rPr>
          <w:rFonts w:ascii="Helvetica" w:hAnsi="Helvetica" w:cs="Calibri"/>
          <w:sz w:val="22"/>
          <w:szCs w:val="22"/>
          <w:lang w:val="en-US"/>
        </w:rPr>
        <w:t>a</w:t>
      </w:r>
      <w:r w:rsidR="006523D0" w:rsidRPr="009824AD">
        <w:rPr>
          <w:rFonts w:ascii="Helvetica" w:hAnsi="Helvetica" w:cs="Calibri"/>
          <w:sz w:val="22"/>
          <w:szCs w:val="22"/>
          <w:lang w:val="en-US"/>
        </w:rPr>
        <w:t xml:space="preserve"> large nationwide study </w:t>
      </w:r>
      <w:r w:rsidR="000B416F" w:rsidRPr="009824AD">
        <w:rPr>
          <w:rFonts w:ascii="Helvetica" w:hAnsi="Helvetica" w:cs="Calibri"/>
          <w:sz w:val="22"/>
          <w:szCs w:val="22"/>
          <w:lang w:val="en-US"/>
        </w:rPr>
        <w:t>including 6</w:t>
      </w:r>
      <w:r w:rsidR="00927A6F" w:rsidRPr="009824AD">
        <w:rPr>
          <w:rFonts w:ascii="Helvetica" w:hAnsi="Helvetica" w:cs="Calibri"/>
          <w:sz w:val="22"/>
          <w:szCs w:val="22"/>
          <w:lang w:val="en-US"/>
        </w:rPr>
        <w:t>,</w:t>
      </w:r>
      <w:r w:rsidR="000B416F" w:rsidRPr="009824AD">
        <w:rPr>
          <w:rFonts w:ascii="Helvetica" w:hAnsi="Helvetica" w:cs="Calibri"/>
          <w:sz w:val="22"/>
          <w:szCs w:val="22"/>
          <w:lang w:val="en-US"/>
        </w:rPr>
        <w:t xml:space="preserve">859 patients from the NSQIP dataset showed that patients with </w:t>
      </w:r>
      <w:r w:rsidR="00936EC2" w:rsidRPr="009824AD">
        <w:rPr>
          <w:rFonts w:ascii="Helvetica" w:hAnsi="Helvetica" w:cs="Calibri"/>
          <w:sz w:val="22"/>
          <w:szCs w:val="22"/>
          <w:lang w:val="en-US"/>
        </w:rPr>
        <w:t>PO</w:t>
      </w:r>
      <w:r w:rsidR="000B416F" w:rsidRPr="009824AD">
        <w:rPr>
          <w:rFonts w:ascii="Helvetica" w:hAnsi="Helvetica" w:cs="Calibri"/>
          <w:sz w:val="22"/>
          <w:szCs w:val="22"/>
          <w:lang w:val="en-US"/>
        </w:rPr>
        <w:t xml:space="preserve">BL </w:t>
      </w:r>
      <w:r w:rsidR="00B34B38" w:rsidRPr="009824AD">
        <w:rPr>
          <w:rFonts w:ascii="Helvetica" w:hAnsi="Helvetica" w:cs="Calibri"/>
          <w:sz w:val="22"/>
          <w:szCs w:val="22"/>
          <w:lang w:val="en-US"/>
        </w:rPr>
        <w:t xml:space="preserve">experienced a worse postoperative course, including more postoperative complications, a prolonged </w:t>
      </w:r>
      <w:r w:rsidR="00936EC2" w:rsidRPr="009824AD">
        <w:rPr>
          <w:rFonts w:ascii="Helvetica" w:hAnsi="Helvetica" w:cs="Calibri"/>
          <w:sz w:val="22"/>
          <w:szCs w:val="22"/>
          <w:lang w:val="en-US"/>
        </w:rPr>
        <w:t>LOS</w:t>
      </w:r>
      <w:r w:rsidR="00C64AB3" w:rsidRPr="009824AD">
        <w:rPr>
          <w:rFonts w:ascii="Helvetica" w:hAnsi="Helvetica" w:cs="Calibri"/>
          <w:sz w:val="22"/>
          <w:szCs w:val="22"/>
          <w:lang w:val="en-US"/>
        </w:rPr>
        <w:t>,</w:t>
      </w:r>
      <w:r w:rsidR="00B34B38" w:rsidRPr="009824AD">
        <w:rPr>
          <w:rFonts w:ascii="Helvetica" w:hAnsi="Helvetica" w:cs="Calibri"/>
          <w:sz w:val="22"/>
          <w:szCs w:val="22"/>
          <w:lang w:val="en-US"/>
        </w:rPr>
        <w:t xml:space="preserve"> more </w:t>
      </w:r>
      <w:r w:rsidR="00936EC2" w:rsidRPr="009824AD">
        <w:rPr>
          <w:rFonts w:ascii="Helvetica" w:hAnsi="Helvetica" w:cs="Calibri"/>
          <w:sz w:val="22"/>
          <w:szCs w:val="22"/>
          <w:lang w:val="en-US"/>
        </w:rPr>
        <w:t>surgical site infections</w:t>
      </w:r>
      <w:r w:rsidR="00B34B38" w:rsidRPr="009824AD">
        <w:rPr>
          <w:rFonts w:ascii="Helvetica" w:hAnsi="Helvetica" w:cs="Calibri"/>
          <w:sz w:val="22"/>
          <w:szCs w:val="22"/>
          <w:lang w:val="en-US"/>
        </w:rPr>
        <w:t xml:space="preserve">, more readmissions and a higher mortality rate as compared to patients without </w:t>
      </w:r>
      <w:r w:rsidR="00936EC2" w:rsidRPr="009824AD">
        <w:rPr>
          <w:rFonts w:ascii="Helvetica" w:hAnsi="Helvetica" w:cs="Calibri"/>
          <w:sz w:val="22"/>
          <w:szCs w:val="22"/>
          <w:lang w:val="en-US"/>
        </w:rPr>
        <w:t>PO</w:t>
      </w:r>
      <w:r w:rsidR="00B34B38" w:rsidRPr="009824AD">
        <w:rPr>
          <w:rFonts w:ascii="Helvetica" w:hAnsi="Helvetica" w:cs="Calibri"/>
          <w:sz w:val="22"/>
          <w:szCs w:val="22"/>
          <w:lang w:val="en-US"/>
        </w:rPr>
        <w:t>BL</w:t>
      </w:r>
      <w:r w:rsidR="00565F8A" w:rsidRPr="009824AD">
        <w:rPr>
          <w:rFonts w:ascii="Helvetica" w:hAnsi="Helvetica" w:cs="Calibri"/>
          <w:sz w:val="22"/>
          <w:szCs w:val="22"/>
          <w:lang w:val="en-US"/>
        </w:rPr>
        <w:fldChar w:fldCharType="begin" w:fldLock="1"/>
      </w:r>
      <w:r w:rsidR="000D44B8" w:rsidRPr="009824AD">
        <w:rPr>
          <w:rFonts w:ascii="Helvetica" w:hAnsi="Helvetica" w:cs="Calibri"/>
          <w:sz w:val="22"/>
          <w:szCs w:val="22"/>
          <w:lang w:val="en-US"/>
        </w:rPr>
        <w:instrText>ADDIN CSL_CITATION {"citationItems":[{"id":"ITEM-1","itemData":{"DOI":"10.1007/s11605-017-3650-4","ISSN":"1873-4626","PMID":"29247421","abstract":"BACKGROUND Despite technical advances, bile leak remains a significant complication after hepatectomy. The current study uses a targeted multi-institutional dataset to characterize perioperative factors that are associated with bile leakage after hepatectomy to better understand the impact of bile leak on morbidity and mortality. METHODS Adult patients in the 2014-2015 ACS NSQIP targeted hepatectomy dataset were linked to the ACS NSQIP PUF dataset. Bivariable and multivariable regression analyses were used to assess the associations between clinical factors and post-hepatectomy bile leak. RESULTS Of 6859 patients, 530 (7.7%) had a postoperative bile leak. Proportion of bile leaks was significantly greater in patients after major compared to minor hepatectomy (12.6 vs. 5.1%, p &lt; 0.001). The proportion of patients with bile leak was significantly greater in patients after major hepatectomy who had concomitant enterohepatic reconstruction (31.8 vs. 10.1%, p &lt; 0.001). Postoperative mortality was significantly greater in patients with bile leaks (6.0 vs. 1.7%, p &lt; 0.001). After adjusting for significant covariates, bile leak was independently associated with increased risk of postoperative morbidity (OR = 4.55; 95% CI 3.72-5.56; p &lt; 0.001). After adjusting for significant effects of postoperative complications, liver failure, and reoperation (all p&lt;0.001), bile leak was not independently associated with increased risk of postoperative mortality (p = 0.262). CONCLUSION Major hepatectomy and enterohepatic biliary reconstruction are associated with significantly greater rates of bile leak after liver resection. Bile leak is independently associated with significant postoperative morbidity. Mitigation of bile leak is critical in reducing morbidity and mortality after liver resection.","author":[{"dropping-particle":"","family":"Martin","given":"Allison N","non-dropping-particle":"","parse-names":false,"suffix":""},{"dropping-particle":"","family":"Narayanan","given":"Sowmya","non-dropping-particle":"","parse-names":false,"suffix":""},{"dropping-particle":"","family":"Turrentine","given":"Florence E","non-dropping-particle":"","parse-names":false,"suffix":""},{"dropping-particle":"","family":"Bauer","given":"Todd W","non-dropping-particle":"","parse-names":false,"suffix":""},{"dropping-particle":"","family":"Adams","given":"Reid B","non-dropping-particle":"","parse-names":false,"suffix":""},{"dropping-particle":"","family":"Stukenborg","given":"George J","non-dropping-particle":"","parse-names":false,"suffix":""},{"dropping-particle":"","family":"Zaydfudim","given":"Victor M","non-dropping-particle":"","parse-names":false,"suffix":""}],"container-title":"Journal of gastrointestinal surgery : official journal of the Society for Surgery of the Alimentary Tract","id":"ITEM-1","issue":"4","issued":{"date-parts":[["2018"]]},"page":"661-667","publisher":"NIH Public Access","title":"Clinical Factors and Postoperative Impact of Bile Leak After Liver Resection.","type":"article-journal","volume":"22"},"uris":["http://www.mendeley.com/documents/?uuid=26c2b9ba-ae09-3f42-b6bf-6d3d69e1fd57"]}],"mendeley":{"formattedCitation":"(13)","plainTextFormattedCitation":"(13)","previouslyFormattedCitation":"(13)"},"properties":{"noteIndex":0},"schema":"https://github.com/citation-style-language/schema/raw/master/csl-citation.json"}</w:instrText>
      </w:r>
      <w:r w:rsidR="00565F8A" w:rsidRPr="009824AD">
        <w:rPr>
          <w:rFonts w:ascii="Helvetica" w:hAnsi="Helvetica" w:cs="Calibri"/>
          <w:sz w:val="22"/>
          <w:szCs w:val="22"/>
          <w:lang w:val="en-US"/>
        </w:rPr>
        <w:fldChar w:fldCharType="separate"/>
      </w:r>
      <w:r w:rsidR="000D44B8" w:rsidRPr="009824AD">
        <w:rPr>
          <w:rFonts w:ascii="Helvetica" w:hAnsi="Helvetica" w:cs="Calibri"/>
          <w:noProof/>
          <w:sz w:val="22"/>
          <w:szCs w:val="22"/>
          <w:lang w:val="en-US"/>
        </w:rPr>
        <w:t>(13)</w:t>
      </w:r>
      <w:r w:rsidR="00565F8A" w:rsidRPr="009824AD">
        <w:rPr>
          <w:rFonts w:ascii="Helvetica" w:hAnsi="Helvetica" w:cs="Calibri"/>
          <w:sz w:val="22"/>
          <w:szCs w:val="22"/>
          <w:lang w:val="en-US"/>
        </w:rPr>
        <w:fldChar w:fldCharType="end"/>
      </w:r>
      <w:r w:rsidR="00E444F2" w:rsidRPr="009824AD">
        <w:rPr>
          <w:rFonts w:ascii="Helvetica" w:hAnsi="Helvetica" w:cs="Calibri"/>
          <w:sz w:val="22"/>
          <w:szCs w:val="22"/>
          <w:lang w:val="en-US"/>
        </w:rPr>
        <w:t>.</w:t>
      </w:r>
      <w:r w:rsidR="000146D1" w:rsidRPr="009824AD">
        <w:rPr>
          <w:rFonts w:ascii="Helvetica" w:hAnsi="Helvetica" w:cs="Calibri"/>
          <w:sz w:val="22"/>
          <w:szCs w:val="22"/>
          <w:lang w:val="en-US"/>
        </w:rPr>
        <w:t xml:space="preserve"> However, </w:t>
      </w:r>
      <w:r w:rsidR="00C64AB3" w:rsidRPr="009824AD">
        <w:rPr>
          <w:rFonts w:ascii="Helvetica" w:hAnsi="Helvetica" w:cs="Calibri"/>
          <w:sz w:val="22"/>
          <w:szCs w:val="22"/>
          <w:lang w:val="en-US"/>
        </w:rPr>
        <w:t xml:space="preserve">the </w:t>
      </w:r>
      <w:r w:rsidR="00B34B38" w:rsidRPr="009824AD">
        <w:rPr>
          <w:rFonts w:ascii="Helvetica" w:hAnsi="Helvetica" w:cs="Calibri"/>
          <w:sz w:val="22"/>
          <w:szCs w:val="22"/>
          <w:lang w:val="en-US"/>
        </w:rPr>
        <w:t xml:space="preserve">number of patients after LLR </w:t>
      </w:r>
      <w:r w:rsidR="00C64AB3" w:rsidRPr="009824AD">
        <w:rPr>
          <w:rFonts w:ascii="Helvetica" w:hAnsi="Helvetica" w:cs="Calibri"/>
          <w:sz w:val="22"/>
          <w:szCs w:val="22"/>
          <w:lang w:val="en-US"/>
        </w:rPr>
        <w:t>was</w:t>
      </w:r>
      <w:r w:rsidR="00B34B38" w:rsidRPr="009824AD">
        <w:rPr>
          <w:rFonts w:ascii="Helvetica" w:hAnsi="Helvetica" w:cs="Calibri"/>
          <w:sz w:val="22"/>
          <w:szCs w:val="22"/>
          <w:lang w:val="en-US"/>
        </w:rPr>
        <w:t xml:space="preserve"> </w:t>
      </w:r>
      <w:r w:rsidR="000146D1" w:rsidRPr="009824AD">
        <w:rPr>
          <w:rFonts w:ascii="Helvetica" w:hAnsi="Helvetica" w:cs="Calibri"/>
          <w:sz w:val="22"/>
          <w:szCs w:val="22"/>
          <w:lang w:val="en-US"/>
        </w:rPr>
        <w:t>relatively</w:t>
      </w:r>
      <w:r w:rsidR="00B34B38" w:rsidRPr="009824AD">
        <w:rPr>
          <w:rFonts w:ascii="Helvetica" w:hAnsi="Helvetica" w:cs="Calibri"/>
          <w:sz w:val="22"/>
          <w:szCs w:val="22"/>
          <w:lang w:val="en-US"/>
        </w:rPr>
        <w:t xml:space="preserve"> small </w:t>
      </w:r>
      <w:r w:rsidR="000146D1" w:rsidRPr="009824AD">
        <w:rPr>
          <w:rFonts w:ascii="Helvetica" w:hAnsi="Helvetica" w:cs="Calibri"/>
          <w:sz w:val="22"/>
          <w:szCs w:val="22"/>
          <w:lang w:val="en-US"/>
        </w:rPr>
        <w:t>and</w:t>
      </w:r>
      <w:r w:rsidR="00C64AB3" w:rsidRPr="009824AD">
        <w:rPr>
          <w:rFonts w:ascii="Helvetica" w:hAnsi="Helvetica" w:cs="Calibri"/>
          <w:sz w:val="22"/>
          <w:szCs w:val="22"/>
          <w:lang w:val="en-US"/>
        </w:rPr>
        <w:t xml:space="preserve"> </w:t>
      </w:r>
      <w:r w:rsidR="000146D1" w:rsidRPr="009824AD">
        <w:rPr>
          <w:rFonts w:ascii="Helvetica" w:hAnsi="Helvetica" w:cs="Calibri"/>
          <w:sz w:val="22"/>
          <w:szCs w:val="22"/>
          <w:lang w:val="en-US"/>
        </w:rPr>
        <w:t xml:space="preserve">a stratification into severity of </w:t>
      </w:r>
      <w:r w:rsidR="00936EC2" w:rsidRPr="009824AD">
        <w:rPr>
          <w:rFonts w:ascii="Helvetica" w:hAnsi="Helvetica" w:cs="Calibri"/>
          <w:sz w:val="22"/>
          <w:szCs w:val="22"/>
          <w:lang w:val="en-US"/>
        </w:rPr>
        <w:t>PO</w:t>
      </w:r>
      <w:r w:rsidR="000146D1" w:rsidRPr="009824AD">
        <w:rPr>
          <w:rFonts w:ascii="Helvetica" w:hAnsi="Helvetica" w:cs="Calibri"/>
          <w:sz w:val="22"/>
          <w:szCs w:val="22"/>
          <w:lang w:val="en-US"/>
        </w:rPr>
        <w:t>BL</w:t>
      </w:r>
      <w:r w:rsidR="00C64AB3" w:rsidRPr="009824AD">
        <w:rPr>
          <w:rFonts w:ascii="Helvetica" w:hAnsi="Helvetica" w:cs="Calibri"/>
          <w:sz w:val="22"/>
          <w:szCs w:val="22"/>
          <w:lang w:val="en-US"/>
        </w:rPr>
        <w:t xml:space="preserve"> was lacking</w:t>
      </w:r>
      <w:r w:rsidR="000146D1" w:rsidRPr="009824AD">
        <w:rPr>
          <w:rFonts w:ascii="Helvetica" w:hAnsi="Helvetica" w:cs="Calibri"/>
          <w:sz w:val="22"/>
          <w:szCs w:val="22"/>
          <w:lang w:val="en-US"/>
        </w:rPr>
        <w:t>. In contrast, only one retrospective cohort study</w:t>
      </w:r>
      <w:r w:rsidR="00BF1368" w:rsidRPr="009824AD">
        <w:rPr>
          <w:rFonts w:ascii="Helvetica" w:hAnsi="Helvetica" w:cs="Calibri"/>
          <w:sz w:val="22"/>
          <w:szCs w:val="22"/>
          <w:lang w:val="en-US"/>
        </w:rPr>
        <w:t xml:space="preserve"> specifically </w:t>
      </w:r>
      <w:r w:rsidR="00645258" w:rsidRPr="009824AD">
        <w:rPr>
          <w:rFonts w:ascii="Helvetica" w:hAnsi="Helvetica" w:cs="Calibri"/>
          <w:sz w:val="22"/>
          <w:szCs w:val="22"/>
          <w:lang w:val="en-US"/>
        </w:rPr>
        <w:t xml:space="preserve">focused </w:t>
      </w:r>
      <w:r w:rsidR="000146D1" w:rsidRPr="009824AD">
        <w:rPr>
          <w:rFonts w:ascii="Helvetica" w:hAnsi="Helvetica" w:cs="Calibri"/>
          <w:sz w:val="22"/>
          <w:szCs w:val="22"/>
          <w:lang w:val="en-US"/>
        </w:rPr>
        <w:t xml:space="preserve">on the clinical impact of </w:t>
      </w:r>
      <w:r w:rsidR="00936EC2" w:rsidRPr="009824AD">
        <w:rPr>
          <w:rFonts w:ascii="Helvetica" w:hAnsi="Helvetica" w:cs="Calibri"/>
          <w:sz w:val="22"/>
          <w:szCs w:val="22"/>
          <w:lang w:val="en-US"/>
        </w:rPr>
        <w:t>PO</w:t>
      </w:r>
      <w:r w:rsidR="000146D1" w:rsidRPr="009824AD">
        <w:rPr>
          <w:rFonts w:ascii="Helvetica" w:hAnsi="Helvetica" w:cs="Calibri"/>
          <w:sz w:val="22"/>
          <w:szCs w:val="22"/>
          <w:lang w:val="en-US"/>
        </w:rPr>
        <w:t xml:space="preserve">BL </w:t>
      </w:r>
      <w:r w:rsidR="00BF1368" w:rsidRPr="009824AD">
        <w:rPr>
          <w:rFonts w:ascii="Helvetica" w:hAnsi="Helvetica" w:cs="Calibri"/>
          <w:sz w:val="22"/>
          <w:szCs w:val="22"/>
          <w:lang w:val="en-US"/>
        </w:rPr>
        <w:t>after</w:t>
      </w:r>
      <w:r w:rsidR="000146D1" w:rsidRPr="009824AD">
        <w:rPr>
          <w:rFonts w:ascii="Helvetica" w:hAnsi="Helvetica" w:cs="Calibri"/>
          <w:sz w:val="22"/>
          <w:szCs w:val="22"/>
          <w:lang w:val="en-US"/>
        </w:rPr>
        <w:t xml:space="preserve"> LLR</w:t>
      </w:r>
      <w:r w:rsidR="00565F8A" w:rsidRPr="009824AD">
        <w:rPr>
          <w:rFonts w:ascii="Helvetica" w:hAnsi="Helvetica" w:cs="Calibri"/>
          <w:sz w:val="22"/>
          <w:szCs w:val="22"/>
          <w:lang w:val="en-US"/>
        </w:rPr>
        <w:fldChar w:fldCharType="begin" w:fldLock="1"/>
      </w:r>
      <w:r w:rsidR="006E2594">
        <w:rPr>
          <w:rFonts w:ascii="Helvetica" w:hAnsi="Helvetica" w:cs="Calibri"/>
          <w:sz w:val="22"/>
          <w:szCs w:val="22"/>
          <w:lang w:val="en-US"/>
        </w:rPr>
        <w:instrText>ADDIN CSL_CITATION {"citationItems":[{"id":"ITEM-1","itemData":{"DOI":"10.1007/s00464-015-4666-z","ISSN":"14322218","abstract":"© 2015, Springer Science+Business Media New York. Background: Bile leakage (BL) remains a common cause of major morbidity after open major liver resection but has only been poorly described in patients undergoing laparoscopic major hepatectomy (LMH). The present study aimed to determine the incidence, risk factors and consequences of BL following LMH. Methods: All 223 patients undergoing LMH between 2000 and 2013 at two tertiary referral centres were retrospectively analysed. BL was defined according to the International Study Group of Liver Surgery, and its incidence and consequences were assessed. Risk factors for BL were determined on multivariate analysis. Results: BL occurred in 30 (13.5 %) patients, and its incidence remained stable over time (p = 0.200). BL was diagnosed following the presence of bile into the abdominal drain in 14 (46.7 %) patients and after drainage of symptomatic abdominal collections in 16 (53.3 %) patients without intra-operative drain placement. Grade A, B and C BL occurred in 3 (10.0 %), 23 (76.6 %) and 4 (13.4 %) cases, respectively. Interventional procedures for BL included endoscopic retrograde cholangiography, percutaneous and surgical drainage in 10 (33.3 %), 23 (76.7 %) and 4 (13.3 %) patients, respectively. BL was associated with significantly increased rates of symptomatic pleural effusion (30.0 vs. 11.4 %, p = 0.006), multiorgan failure (13.3 vs. 3.6 %, p = 0.022), postoperative death (10.0 vs. 1.6 %, p = 0.008) and prolonged hospital stay (18 vs. 8 days, p  &lt;  0.001). On multivariable analysis, BMI  &gt;  28 kg/m 2  (OR 2.439, 95 % CI 1.878–2.771, p = 0.036), history of hepatectomy (OR 1.675, 95 % CI 1.256–2.035, p = 0.044) and biliary reconstruction (OR 1.975, 95 % CI 1.452–2.371, p = 0.039) were significantly associated with increased risk of BL. Conclusions and relevance: After LMH, BL occurred in 13.5 % of the patients and was associated with significant morbidity. Patients with one or several risk factors for BL should benefit intra-operative drain placement.","author":[{"dropping-particle":"","family":"Cauchy","given":"François","non-dropping-particle":"","parse-names":false,"suffix":""},{"dropping-particle":"","family":"Fuks","given":"David","non-dropping-particle":"","parse-names":false,"suffix":""},{"dropping-particle":"","family":"Nomi","given":"Takeo","non-dropping-particle":"","parse-names":false,"suffix":""},{"dropping-particle":"","family":"Schwarz","given":"Lilian","non-dropping-particle":"","parse-names":false,"suffix":""},{"dropping-particle":"","family":"Belgaumkar","given":"Ajay","non-dropping-particle":"","parse-names":false,"suffix":""},{"dropping-particle":"","family":"Scatton","given":"Olivier","non-dropping-particle":"","parse-names":false,"suffix":""},{"dropping-particle":"","family":"Soubrane","given":"Olivier","non-dropping-particle":"","parse-names":false,"suffix":""},{"dropping-particle":"","family":"Gayet","given":"Brice","non-dropping-particle":"","parse-names":false,"suffix":""}],"container-title":"Surgical Endoscopy","id":"ITEM-1","issue":"9","issued":{"date-parts":[["2016"]]},"page":"3709-3719","title":"Incidence, risk factors and consequences of bile leakage following laparoscopic major hepatectomy","type":"article-journal","volume":"30"},"uris":["http://www.mendeley.com/documents/?uuid=5a22859f-5168-487f-b3d6-e662d33a570a"]}],"mendeley":{"formattedCitation":"(42)","plainTextFormattedCitation":"(42)","previouslyFormattedCitation":"(41)"},"properties":{"noteIndex":0},"schema":"https://github.com/citation-style-language/schema/raw/master/csl-citation.json"}</w:instrText>
      </w:r>
      <w:r w:rsidR="00565F8A" w:rsidRPr="009824AD">
        <w:rPr>
          <w:rFonts w:ascii="Helvetica" w:hAnsi="Helvetica" w:cs="Calibri"/>
          <w:sz w:val="22"/>
          <w:szCs w:val="22"/>
          <w:lang w:val="en-US"/>
        </w:rPr>
        <w:fldChar w:fldCharType="separate"/>
      </w:r>
      <w:r w:rsidR="006E2594" w:rsidRPr="006E2594">
        <w:rPr>
          <w:rFonts w:ascii="Helvetica" w:hAnsi="Helvetica" w:cs="Calibri"/>
          <w:noProof/>
          <w:sz w:val="22"/>
          <w:szCs w:val="22"/>
          <w:lang w:val="en-US"/>
        </w:rPr>
        <w:t>(42)</w:t>
      </w:r>
      <w:r w:rsidR="00565F8A" w:rsidRPr="009824AD">
        <w:rPr>
          <w:rFonts w:ascii="Helvetica" w:hAnsi="Helvetica" w:cs="Calibri"/>
          <w:sz w:val="22"/>
          <w:szCs w:val="22"/>
          <w:lang w:val="en-US"/>
        </w:rPr>
        <w:fldChar w:fldCharType="end"/>
      </w:r>
      <w:r w:rsidR="00E444F2" w:rsidRPr="009824AD">
        <w:rPr>
          <w:rFonts w:ascii="Helvetica" w:hAnsi="Helvetica" w:cs="Calibri"/>
          <w:sz w:val="22"/>
          <w:szCs w:val="22"/>
          <w:lang w:val="en-US"/>
        </w:rPr>
        <w:t>.</w:t>
      </w:r>
      <w:r w:rsidR="000146D1" w:rsidRPr="009824AD">
        <w:rPr>
          <w:rFonts w:ascii="Helvetica" w:hAnsi="Helvetica" w:cs="Calibri"/>
          <w:sz w:val="22"/>
          <w:szCs w:val="22"/>
          <w:lang w:val="en-US"/>
        </w:rPr>
        <w:t xml:space="preserve"> </w:t>
      </w:r>
      <w:r w:rsidR="00645258" w:rsidRPr="009824AD">
        <w:rPr>
          <w:rFonts w:ascii="Helvetica" w:hAnsi="Helvetica" w:cs="Calibri"/>
          <w:sz w:val="22"/>
          <w:szCs w:val="22"/>
          <w:lang w:val="en-US"/>
        </w:rPr>
        <w:t xml:space="preserve">That study </w:t>
      </w:r>
      <w:r w:rsidR="000146D1" w:rsidRPr="009824AD">
        <w:rPr>
          <w:rFonts w:ascii="Helvetica" w:hAnsi="Helvetica" w:cs="Calibri"/>
          <w:sz w:val="22"/>
          <w:szCs w:val="22"/>
          <w:lang w:val="en-US"/>
        </w:rPr>
        <w:t xml:space="preserve">included 230 patients who underwent major LLR from two </w:t>
      </w:r>
      <w:r w:rsidR="00C64AB3" w:rsidRPr="009824AD">
        <w:rPr>
          <w:rFonts w:ascii="Helvetica" w:hAnsi="Helvetica" w:cs="Calibri"/>
          <w:sz w:val="22"/>
          <w:szCs w:val="22"/>
          <w:lang w:val="en-US"/>
        </w:rPr>
        <w:t>French</w:t>
      </w:r>
      <w:r w:rsidR="000146D1" w:rsidRPr="009824AD">
        <w:rPr>
          <w:rFonts w:ascii="Helvetica" w:hAnsi="Helvetica" w:cs="Calibri"/>
          <w:sz w:val="22"/>
          <w:szCs w:val="22"/>
          <w:lang w:val="en-US"/>
        </w:rPr>
        <w:t xml:space="preserve"> tertiary referral </w:t>
      </w:r>
      <w:r w:rsidR="000B7DA3" w:rsidRPr="009824AD">
        <w:rPr>
          <w:rFonts w:ascii="Helvetica" w:hAnsi="Helvetica" w:cs="Calibri"/>
          <w:sz w:val="22"/>
          <w:szCs w:val="22"/>
          <w:lang w:val="en-US"/>
        </w:rPr>
        <w:t>center</w:t>
      </w:r>
      <w:r w:rsidR="000146D1" w:rsidRPr="009824AD">
        <w:rPr>
          <w:rFonts w:ascii="Helvetica" w:hAnsi="Helvetica" w:cs="Calibri"/>
          <w:sz w:val="22"/>
          <w:szCs w:val="22"/>
          <w:lang w:val="en-US"/>
        </w:rPr>
        <w:t>s</w:t>
      </w:r>
      <w:r w:rsidR="00BF1368" w:rsidRPr="009824AD">
        <w:rPr>
          <w:rFonts w:ascii="Helvetica" w:hAnsi="Helvetica" w:cs="Calibri"/>
          <w:sz w:val="22"/>
          <w:szCs w:val="22"/>
          <w:lang w:val="en-US"/>
        </w:rPr>
        <w:t xml:space="preserve"> and, unlike the current study, showed that </w:t>
      </w:r>
      <w:r w:rsidR="00936EC2" w:rsidRPr="009824AD">
        <w:rPr>
          <w:rFonts w:ascii="Helvetica" w:hAnsi="Helvetica" w:cs="Calibri"/>
          <w:sz w:val="22"/>
          <w:szCs w:val="22"/>
          <w:lang w:val="en-US"/>
        </w:rPr>
        <w:t>PO</w:t>
      </w:r>
      <w:r w:rsidR="00BF1368" w:rsidRPr="009824AD">
        <w:rPr>
          <w:rFonts w:ascii="Helvetica" w:hAnsi="Helvetica" w:cs="Calibri"/>
          <w:sz w:val="22"/>
          <w:szCs w:val="22"/>
          <w:lang w:val="en-US"/>
        </w:rPr>
        <w:t xml:space="preserve">BL was </w:t>
      </w:r>
      <w:r w:rsidR="00BF1368" w:rsidRPr="009824AD">
        <w:rPr>
          <w:rFonts w:ascii="Helvetica" w:hAnsi="Helvetica" w:cs="Calibri"/>
          <w:sz w:val="22"/>
          <w:szCs w:val="22"/>
          <w:lang w:val="en-US"/>
        </w:rPr>
        <w:lastRenderedPageBreak/>
        <w:t xml:space="preserve">associated with more infectious complications, more pulmonary complications, more acute renal insufficiency and more multiorgan failure as compared to patients without </w:t>
      </w:r>
      <w:r w:rsidR="00936EC2" w:rsidRPr="009824AD">
        <w:rPr>
          <w:rFonts w:ascii="Helvetica" w:hAnsi="Helvetica" w:cs="Calibri"/>
          <w:sz w:val="22"/>
          <w:szCs w:val="22"/>
          <w:lang w:val="en-US"/>
        </w:rPr>
        <w:t>PO</w:t>
      </w:r>
      <w:r w:rsidR="00BF1368" w:rsidRPr="009824AD">
        <w:rPr>
          <w:rFonts w:ascii="Helvetica" w:hAnsi="Helvetica" w:cs="Calibri"/>
          <w:sz w:val="22"/>
          <w:szCs w:val="22"/>
          <w:lang w:val="en-US"/>
        </w:rPr>
        <w:t>BL. Since th</w:t>
      </w:r>
      <w:r w:rsidR="00645258" w:rsidRPr="009824AD">
        <w:rPr>
          <w:rFonts w:ascii="Helvetica" w:hAnsi="Helvetica" w:cs="Calibri"/>
          <w:sz w:val="22"/>
          <w:szCs w:val="22"/>
          <w:lang w:val="en-US"/>
        </w:rPr>
        <w:t>at</w:t>
      </w:r>
      <w:r w:rsidR="00BF1368" w:rsidRPr="009824AD">
        <w:rPr>
          <w:rFonts w:ascii="Helvetica" w:hAnsi="Helvetica" w:cs="Calibri"/>
          <w:sz w:val="22"/>
          <w:szCs w:val="22"/>
          <w:lang w:val="en-US"/>
        </w:rPr>
        <w:t xml:space="preserve"> study focused </w:t>
      </w:r>
      <w:r w:rsidR="00F92E12" w:rsidRPr="009824AD">
        <w:rPr>
          <w:rFonts w:ascii="Helvetica" w:hAnsi="Helvetica" w:cs="Calibri"/>
          <w:sz w:val="22"/>
          <w:szCs w:val="22"/>
          <w:lang w:val="en-US"/>
        </w:rPr>
        <w:t xml:space="preserve">only </w:t>
      </w:r>
      <w:r w:rsidR="00BF1368" w:rsidRPr="009824AD">
        <w:rPr>
          <w:rFonts w:ascii="Helvetica" w:hAnsi="Helvetica" w:cs="Calibri"/>
          <w:sz w:val="22"/>
          <w:szCs w:val="22"/>
          <w:lang w:val="en-US"/>
        </w:rPr>
        <w:t>on patients after major LLR</w:t>
      </w:r>
      <w:r w:rsidR="00F92E12" w:rsidRPr="009824AD">
        <w:rPr>
          <w:rFonts w:ascii="Helvetica" w:hAnsi="Helvetica" w:cs="Calibri"/>
          <w:sz w:val="22"/>
          <w:szCs w:val="22"/>
          <w:lang w:val="en-US"/>
        </w:rPr>
        <w:t xml:space="preserve"> </w:t>
      </w:r>
      <w:r w:rsidR="00BF1368" w:rsidRPr="009824AD">
        <w:rPr>
          <w:rFonts w:ascii="Helvetica" w:hAnsi="Helvetica" w:cs="Calibri"/>
          <w:sz w:val="22"/>
          <w:szCs w:val="22"/>
          <w:lang w:val="en-US"/>
        </w:rPr>
        <w:t xml:space="preserve">and didn’t stratify for the severity of </w:t>
      </w:r>
      <w:r w:rsidR="00936EC2" w:rsidRPr="009824AD">
        <w:rPr>
          <w:rFonts w:ascii="Helvetica" w:hAnsi="Helvetica" w:cs="Calibri"/>
          <w:sz w:val="22"/>
          <w:szCs w:val="22"/>
          <w:lang w:val="en-US"/>
        </w:rPr>
        <w:t>PO</w:t>
      </w:r>
      <w:r w:rsidR="00BF1368" w:rsidRPr="009824AD">
        <w:rPr>
          <w:rFonts w:ascii="Helvetica" w:hAnsi="Helvetica" w:cs="Calibri"/>
          <w:sz w:val="22"/>
          <w:szCs w:val="22"/>
          <w:lang w:val="en-US"/>
        </w:rPr>
        <w:t>BL, their results are difficult to extrapolate.</w:t>
      </w:r>
      <w:r w:rsidR="005A011C" w:rsidRPr="009824AD">
        <w:rPr>
          <w:rFonts w:ascii="Helvetica" w:hAnsi="Helvetica" w:cs="Calibri"/>
          <w:sz w:val="22"/>
          <w:szCs w:val="22"/>
          <w:lang w:val="en-US"/>
        </w:rPr>
        <w:t xml:space="preserve"> </w:t>
      </w:r>
      <w:r w:rsidR="008F06FF" w:rsidRPr="009824AD">
        <w:rPr>
          <w:rFonts w:ascii="Helvetica" w:hAnsi="Helvetica" w:cs="Calibri"/>
          <w:sz w:val="22"/>
          <w:szCs w:val="22"/>
          <w:lang w:val="en-US"/>
        </w:rPr>
        <w:t>T</w:t>
      </w:r>
      <w:r w:rsidR="00FD0529" w:rsidRPr="009824AD">
        <w:rPr>
          <w:rFonts w:ascii="Helvetica" w:hAnsi="Helvetica" w:cs="Calibri"/>
          <w:sz w:val="22"/>
          <w:szCs w:val="22"/>
          <w:lang w:val="en-US"/>
        </w:rPr>
        <w:t xml:space="preserve">he </w:t>
      </w:r>
      <w:r w:rsidR="00565F8A" w:rsidRPr="009824AD">
        <w:rPr>
          <w:rFonts w:ascii="Helvetica" w:hAnsi="Helvetica" w:cs="Calibri"/>
          <w:sz w:val="22"/>
          <w:szCs w:val="22"/>
          <w:lang w:val="en-US"/>
        </w:rPr>
        <w:t xml:space="preserve">findings of the </w:t>
      </w:r>
      <w:r w:rsidR="00FD0529" w:rsidRPr="009824AD">
        <w:rPr>
          <w:rFonts w:ascii="Helvetica" w:hAnsi="Helvetica" w:cs="Calibri"/>
          <w:sz w:val="22"/>
          <w:szCs w:val="22"/>
          <w:lang w:val="en-US"/>
        </w:rPr>
        <w:t>current study s</w:t>
      </w:r>
      <w:r w:rsidR="00565F8A" w:rsidRPr="009824AD">
        <w:rPr>
          <w:rFonts w:ascii="Helvetica" w:hAnsi="Helvetica" w:cs="Calibri"/>
          <w:sz w:val="22"/>
          <w:szCs w:val="22"/>
          <w:lang w:val="en-US"/>
        </w:rPr>
        <w:t>uggest</w:t>
      </w:r>
      <w:r w:rsidR="00FD0529" w:rsidRPr="009824AD">
        <w:rPr>
          <w:rFonts w:ascii="Helvetica" w:hAnsi="Helvetica" w:cs="Calibri"/>
          <w:sz w:val="22"/>
          <w:szCs w:val="22"/>
          <w:lang w:val="en-US"/>
        </w:rPr>
        <w:t xml:space="preserve"> that refinements of </w:t>
      </w:r>
      <w:r w:rsidR="00A55828" w:rsidRPr="009824AD">
        <w:rPr>
          <w:rFonts w:ascii="Helvetica" w:hAnsi="Helvetica" w:cs="Calibri"/>
          <w:sz w:val="22"/>
          <w:szCs w:val="22"/>
          <w:lang w:val="en-US"/>
        </w:rPr>
        <w:t>the</w:t>
      </w:r>
      <w:r w:rsidR="00FD0529" w:rsidRPr="009824AD">
        <w:rPr>
          <w:rFonts w:ascii="Helvetica" w:hAnsi="Helvetica" w:cs="Calibri"/>
          <w:sz w:val="22"/>
          <w:szCs w:val="22"/>
          <w:lang w:val="en-US"/>
        </w:rPr>
        <w:t xml:space="preserve"> </w:t>
      </w:r>
      <w:r w:rsidR="00A55828" w:rsidRPr="009824AD">
        <w:rPr>
          <w:rFonts w:ascii="Helvetica" w:hAnsi="Helvetica" w:cs="Calibri"/>
          <w:sz w:val="22"/>
          <w:szCs w:val="22"/>
          <w:lang w:val="en-US"/>
        </w:rPr>
        <w:t>laparoscopic</w:t>
      </w:r>
      <w:r w:rsidR="00FD0529" w:rsidRPr="009824AD">
        <w:rPr>
          <w:rFonts w:ascii="Helvetica" w:hAnsi="Helvetica" w:cs="Calibri"/>
          <w:sz w:val="22"/>
          <w:szCs w:val="22"/>
          <w:lang w:val="en-US"/>
        </w:rPr>
        <w:t xml:space="preserve"> approach </w:t>
      </w:r>
      <w:r w:rsidR="003B216B" w:rsidRPr="009824AD">
        <w:rPr>
          <w:rFonts w:ascii="Helvetica" w:hAnsi="Helvetica" w:cs="Calibri"/>
          <w:sz w:val="22"/>
          <w:szCs w:val="22"/>
          <w:lang w:val="en-US"/>
        </w:rPr>
        <w:t xml:space="preserve">including the instrument used during parenchymal transection </w:t>
      </w:r>
      <w:r w:rsidR="00FD0529" w:rsidRPr="009824AD">
        <w:rPr>
          <w:rFonts w:ascii="Helvetica" w:hAnsi="Helvetica" w:cs="Calibri"/>
          <w:sz w:val="22"/>
          <w:szCs w:val="22"/>
          <w:lang w:val="en-US"/>
        </w:rPr>
        <w:t xml:space="preserve">may be </w:t>
      </w:r>
      <w:r w:rsidR="00A55828" w:rsidRPr="009824AD">
        <w:rPr>
          <w:rFonts w:ascii="Helvetica" w:hAnsi="Helvetica" w:cs="Calibri"/>
          <w:sz w:val="22"/>
          <w:szCs w:val="22"/>
          <w:lang w:val="en-US"/>
        </w:rPr>
        <w:t xml:space="preserve">contributory </w:t>
      </w:r>
      <w:r w:rsidR="00FD0529" w:rsidRPr="009824AD">
        <w:rPr>
          <w:rFonts w:ascii="Helvetica" w:hAnsi="Helvetica" w:cs="Calibri"/>
          <w:sz w:val="22"/>
          <w:szCs w:val="22"/>
          <w:lang w:val="en-US"/>
        </w:rPr>
        <w:t xml:space="preserve">in </w:t>
      </w:r>
      <w:r w:rsidR="00A55828" w:rsidRPr="009824AD">
        <w:rPr>
          <w:rFonts w:ascii="Helvetica" w:hAnsi="Helvetica" w:cs="Calibri"/>
          <w:sz w:val="22"/>
          <w:szCs w:val="22"/>
          <w:lang w:val="en-US"/>
        </w:rPr>
        <w:t xml:space="preserve">limiting </w:t>
      </w:r>
      <w:r w:rsidR="00FD0529" w:rsidRPr="009824AD">
        <w:rPr>
          <w:rFonts w:ascii="Helvetica" w:hAnsi="Helvetica" w:cs="Calibri"/>
          <w:sz w:val="22"/>
          <w:szCs w:val="22"/>
          <w:lang w:val="en-US"/>
        </w:rPr>
        <w:t xml:space="preserve">tissue </w:t>
      </w:r>
      <w:r w:rsidR="00A55828" w:rsidRPr="009824AD">
        <w:rPr>
          <w:rFonts w:ascii="Helvetica" w:hAnsi="Helvetica" w:cs="Calibri"/>
          <w:sz w:val="22"/>
          <w:szCs w:val="22"/>
          <w:lang w:val="en-US"/>
        </w:rPr>
        <w:t>harm</w:t>
      </w:r>
      <w:r w:rsidR="00FD0529" w:rsidRPr="009824AD">
        <w:rPr>
          <w:rFonts w:ascii="Helvetica" w:hAnsi="Helvetica" w:cs="Calibri"/>
          <w:sz w:val="22"/>
          <w:szCs w:val="22"/>
          <w:lang w:val="en-US"/>
        </w:rPr>
        <w:t xml:space="preserve"> during surgery</w:t>
      </w:r>
      <w:r w:rsidR="00F34BA1" w:rsidRPr="009824AD">
        <w:rPr>
          <w:rFonts w:ascii="Helvetica" w:hAnsi="Helvetica" w:cs="Calibri"/>
          <w:sz w:val="22"/>
          <w:szCs w:val="22"/>
          <w:lang w:val="en-US"/>
        </w:rPr>
        <w:t xml:space="preserve">. </w:t>
      </w:r>
      <w:r w:rsidR="003B216B" w:rsidRPr="009824AD">
        <w:rPr>
          <w:rFonts w:ascii="Helvetica" w:hAnsi="Helvetica" w:cs="Calibri"/>
          <w:sz w:val="22"/>
          <w:szCs w:val="22"/>
          <w:lang w:val="en-US"/>
        </w:rPr>
        <w:t xml:space="preserve">In addition, laparoscopy </w:t>
      </w:r>
      <w:r w:rsidR="00F34BA1" w:rsidRPr="009824AD">
        <w:rPr>
          <w:rFonts w:ascii="Helvetica" w:hAnsi="Helvetica" w:cs="Calibri"/>
          <w:sz w:val="22"/>
          <w:szCs w:val="22"/>
          <w:lang w:val="en-US"/>
        </w:rPr>
        <w:t xml:space="preserve">may </w:t>
      </w:r>
      <w:r w:rsidR="003B216B" w:rsidRPr="009824AD">
        <w:rPr>
          <w:rFonts w:ascii="Helvetica" w:hAnsi="Helvetica" w:cs="Calibri"/>
          <w:sz w:val="22"/>
          <w:szCs w:val="22"/>
          <w:lang w:val="en-US"/>
        </w:rPr>
        <w:t>provide a better view of the resection bed</w:t>
      </w:r>
      <w:r w:rsidR="00F34BA1" w:rsidRPr="009824AD">
        <w:rPr>
          <w:rFonts w:ascii="Helvetica" w:hAnsi="Helvetica" w:cs="Calibri"/>
          <w:sz w:val="22"/>
          <w:szCs w:val="22"/>
          <w:lang w:val="en-US"/>
        </w:rPr>
        <w:t xml:space="preserve">, making it more feasible to notice </w:t>
      </w:r>
      <w:r w:rsidR="003B216B" w:rsidRPr="009824AD">
        <w:rPr>
          <w:rFonts w:ascii="Helvetica" w:hAnsi="Helvetica" w:cs="Calibri"/>
          <w:sz w:val="22"/>
          <w:szCs w:val="22"/>
          <w:lang w:val="en-US"/>
        </w:rPr>
        <w:t xml:space="preserve">small bile leaks </w:t>
      </w:r>
      <w:r w:rsidR="00F34BA1" w:rsidRPr="009824AD">
        <w:rPr>
          <w:rFonts w:ascii="Helvetica" w:hAnsi="Helvetica" w:cs="Calibri"/>
          <w:sz w:val="22"/>
          <w:szCs w:val="22"/>
          <w:lang w:val="en-US"/>
        </w:rPr>
        <w:t xml:space="preserve">which can be controlled easily with sealing or sutures. </w:t>
      </w:r>
    </w:p>
    <w:p w14:paraId="6D4C145F" w14:textId="073F64DB" w:rsidR="00BF1368" w:rsidRPr="009824AD" w:rsidRDefault="00BF1368" w:rsidP="000146D1">
      <w:pPr>
        <w:pStyle w:val="Default"/>
        <w:spacing w:line="480" w:lineRule="auto"/>
        <w:jc w:val="both"/>
        <w:rPr>
          <w:rFonts w:ascii="Helvetica" w:hAnsi="Helvetica" w:cs="Calibri"/>
          <w:sz w:val="22"/>
          <w:szCs w:val="22"/>
          <w:lang w:val="en-US"/>
        </w:rPr>
      </w:pPr>
    </w:p>
    <w:p w14:paraId="14E67A5F" w14:textId="3E0ECF81" w:rsidR="00F35715" w:rsidRPr="009824AD" w:rsidRDefault="00F92E12" w:rsidP="00FB3300">
      <w:pPr>
        <w:pStyle w:val="Geenafstand"/>
        <w:spacing w:line="480" w:lineRule="auto"/>
        <w:jc w:val="both"/>
        <w:rPr>
          <w:rFonts w:ascii="Helvetica" w:hAnsi="Helvetica" w:cs="Calibri"/>
          <w:lang w:val="en-US"/>
        </w:rPr>
      </w:pPr>
      <w:r w:rsidRPr="009824AD">
        <w:rPr>
          <w:rFonts w:ascii="Helvetica" w:hAnsi="Helvetica" w:cs="Calibri"/>
          <w:lang w:val="en-US"/>
        </w:rPr>
        <w:t>In recent years, several nationwide registry studies showed an increased</w:t>
      </w:r>
      <w:r w:rsidR="00D538E8" w:rsidRPr="009824AD">
        <w:rPr>
          <w:rFonts w:ascii="Helvetica" w:hAnsi="Helvetica" w:cs="Calibri"/>
          <w:lang w:val="en-US"/>
        </w:rPr>
        <w:t xml:space="preserve"> </w:t>
      </w:r>
      <w:r w:rsidRPr="009824AD">
        <w:rPr>
          <w:rFonts w:ascii="Helvetica" w:hAnsi="Helvetica" w:cs="Calibri"/>
          <w:lang w:val="en-US"/>
        </w:rPr>
        <w:t>implementation of LL</w:t>
      </w:r>
      <w:r w:rsidR="00565F8A" w:rsidRPr="009824AD">
        <w:rPr>
          <w:rFonts w:ascii="Helvetica" w:hAnsi="Helvetica" w:cs="Calibri"/>
          <w:lang w:val="en-US"/>
        </w:rPr>
        <w:t>R</w:t>
      </w:r>
      <w:r w:rsidRPr="009824AD">
        <w:rPr>
          <w:rFonts w:ascii="Helvetica" w:hAnsi="Helvetica" w:cs="Calibri"/>
          <w:lang w:val="en-US"/>
        </w:rPr>
        <w:t xml:space="preserve"> into daily clinical practice</w:t>
      </w:r>
      <w:r w:rsidR="00565F8A" w:rsidRPr="009824AD">
        <w:rPr>
          <w:rFonts w:ascii="Helvetica" w:hAnsi="Helvetica" w:cs="Calibri"/>
          <w:color w:val="000000" w:themeColor="text1"/>
          <w:lang w:val="en-US"/>
        </w:rPr>
        <w:fldChar w:fldCharType="begin" w:fldLock="1"/>
      </w:r>
      <w:r w:rsidR="006E2594">
        <w:rPr>
          <w:rFonts w:ascii="Helvetica" w:hAnsi="Helvetica" w:cs="Calibri"/>
          <w:color w:val="000000" w:themeColor="text1"/>
          <w:lang w:val="en-US"/>
        </w:rPr>
        <w:instrText>ADDIN CSL_CITATION {"citationItems":[{"id":"ITEM-1","itemData":{"DOI":"10.1002/bjs.11369","ISSN":"13652168","PMID":"32167174","abstract":"Background: Surgical outcomes may be associated with hospital volume and the influence of volume on minimally invasive liver surgery (MILS) is not known. Methods: Patients entered into the prospective registry of the Italian Group of MILS from 2014 to 2018 were considered. Only centres with an accrual period of at least 12 months and stable MILS activity during the enrolment period were included. Case volume was defined by the mean number of minimally invasive liver resections performed per month (MILS/month). Results: A total of 2225 MILS operations were undertaken by 46 centres; nine centres performed more than two MILS/month (1376 patients) and 37 centres carried out two or fewer MILS/month (849 patients). The proportion of resections of anterolateral segments decreased with case volume, whereas that of major hepatectomies increased. Left lateral sectionectomies and resections of anterolateral segments had similar outcome in the two groups. Resections of posterosuperior segments and major hepatectomies had higher overall and severe morbidity rates in centres performing two or fewer MILS/month than in those undertaking a larger number (posterosuperior segments resections: overall morbidity 30·4 versus 18·7 per cent respectively, and severe morbidity 9·9 versus 4·0 per cent; left hepatectomy: 46 versus 22 per cent, and 19 versus 5 per cent; right hepatectomy: 42 versus 34 per cent, and 25 versus 15 per cent). Conclusion: A volume–outcome association existed for minimally invasive hepatectomy. Complex and major resections may be best managed in high-volume centres.","author":[{"dropping-particle":"","family":"Viganò","given":"L.","non-dropping-particle":"","parse-names":false,"suffix":""},{"dropping-particle":"","family":"Cimino","given":"M.","non-dropping-particle":"","parse-names":false,"suffix":""},{"dropping-particle":"","family":"Aldrighetti","given":"L.","non-dropping-particle":"","parse-names":false,"suffix":""},{"dropping-particle":"","family":"Ferrero","given":"A.","non-dropping-particle":"","parse-names":false,"suffix":""},{"dropping-particle":"","family":"Cillo","given":"U.","non-dropping-particle":"","parse-names":false,"suffix":""},{"dropping-particle":"","family":"Guglielmi","given":"A.","non-dropping-particle":"","parse-names":false,"suffix":""},{"dropping-particle":"","family":"Ettorre","given":"G. M.","non-dropping-particle":"","parse-names":false,"suffix":""},{"dropping-particle":"","family":"Giuliante","given":"F.","non-dropping-particle":"","parse-names":false,"suffix":""},{"dropping-particle":"","family":"Dalla Valle","given":"R.","non-dropping-particle":"","parse-names":false,"suffix":""},{"dropping-particle":"","family":"Mazzaferro","given":"V.","non-dropping-particle":"","parse-names":false,"suffix":""},{"dropping-particle":"","family":"Jovine","given":"E.","non-dropping-particle":"","parse-names":false,"suffix":""},{"dropping-particle":"","family":"Carlis","given":"L.","non-dropping-particle":"De","parse-names":false,"suffix":""},{"dropping-particle":"","family":"Calise","given":"F.","non-dropping-particle":"","parse-names":false,"suffix":""},{"dropping-particle":"","family":"Torzilli","given":"G.","non-dropping-particle":"","parse-names":false,"suffix":""},{"dropping-particle":"","family":"Ratti","given":"F.","non-dropping-particle":"","parse-names":false,"suffix":""},{"dropping-particle":"","family":"Gringeri","given":"E.","non-dropping-particle":"","parse-names":false,"suffix":""},{"dropping-particle":"","family":"Russolillo","given":"N.","non-dropping-particle":"","parse-names":false,"suffix":""},{"dropping-particle":"","family":"Levi Sandri","given":"G. B.","non-dropping-particle":"","parse-names":false,"suffix":""},{"dropping-particle":"","family":"Ardito","given":"F.","non-dropping-particle":"","parse-names":false,"suffix":""},{"dropping-particle":"","family":"Boggi","given":"U.","non-dropping-particle":"","parse-names":false,"suffix":""},{"dropping-particle":"","family":"Gruttadauria","given":"S.","non-dropping-particle":"","parse-names":false,"suffix":""},{"dropping-particle":"","family":"Benedetto","given":"F.","non-dropping-particle":"Di","parse-names":false,"suffix":""},{"dropping-particle":"","family":"Rossi","given":"G. E.","non-dropping-particle":"","parse-names":false,"suffix":""},{"dropping-particle":"","family":"Berti","given":"S.","non-dropping-particle":"","parse-names":false,"suffix":""},{"dropping-particle":"","family":"Ceccarelli","given":"G.","non-dropping-particle":"","parse-names":false,"suffix":""},{"dropping-particle":"","family":"Vincenti","given":"L.","non-dropping-particle":"","parse-names":false,"suffix":""},{"dropping-particle":"","family":"Belli","given":"G.","non-dropping-particle":"","parse-names":false,"suffix":""},{"dropping-particle":"","family":"Zamboni","given":"F.","non-dropping-particle":"","parse-names":false,"suffix":""},{"dropping-particle":"","family":"Coratti","given":"A.","non-dropping-particle":"","parse-names":false,"suffix":""},{"dropping-particle":"","family":"Mezzatesta","given":"P.","non-dropping-particle":"","parse-names":false,"suffix":""},{"dropping-particle":"","family":"Santambrogio","given":"R.","non-dropping-particle":"","parse-names":false,"suffix":""},{"dropping-particle":"","family":"Navarra","given":"G.","non-dropping-particle":"","parse-names":false,"suffix":""},{"dropping-particle":"","family":"Giuliani","given":"A.","non-dropping-particle":"","parse-names":false,"suffix":""},{"dropping-particle":"","family":"Pinna","given":"A. D.","non-dropping-particle":"","parse-names":false,"suffix":""},{"dropping-particle":"","family":"Parisi","given":"A.","non-dropping-particle":"","parse-names":false,"suffix":""},{"dropping-particle":"","family":"Colledan","given":"M.","non-dropping-particle":"","parse-names":false,"suffix":""},{"dropping-particle":"","family":"Slim","given":"A.","non-dropping-particle":"","parse-names":false,"suffix":""},{"dropping-particle":"","family":"Antonucci","given":"A.","non-dropping-particle":"","parse-names":false,"suffix":""},{"dropping-particle":"","family":"Grazi","given":"G. L.","non-dropping-particle":"","parse-names":false,"suffix":""},{"dropping-particle":"","family":"Frena","given":"A.","non-dropping-particle":"","parse-names":false,"suffix":""},{"dropping-particle":"","family":"Sgroi","given":"G.","non-dropping-particle":"","parse-names":false,"suffix":""},{"dropping-particle":"","family":"Brolese","given":"A.","non-dropping-particle":"","parse-names":false,"suffix":""},{"dropping-particle":"","family":"Morelli","given":"L.","non-dropping-particle":"","parse-names":false,"suffix":""},{"dropping-particle":"","family":"Floridi","given":"A.","non-dropping-particle":"","parse-names":false,"suffix":""},{"dropping-particle":"","family":"Patriti","given":"A.","non-dropping-particle":"","parse-names":false,"suffix":""},{"dropping-particle":"","family":"Veneroni","given":"L.","non-dropping-particle":"","parse-names":false,"suffix":""},{"dropping-particle":"","family":"Boni","given":"L.","non-dropping-particle":"","parse-names":false,"suffix":""},{"dropping-particle":"","family":"Maida","given":"P.","non-dropping-particle":"","parse-names":false,"suffix":""},{"dropping-particle":"","family":"Griseri","given":"G.","non-dropping-particle":"","parse-names":false,"suffix":""},{"dropping-particle":"","family":"Filauro","given":"M.","non-dropping-particle":"","parse-names":false,"suffix":""},{"dropping-particle":"","family":"Guerriero","given":"S.","non-dropping-particle":"","parse-names":false,"suffix":""},{"dropping-particle":"","family":"Tisone","given":"G.","non-dropping-particle":"","parse-names":false,"suffix":""},{"dropping-particle":"","family":"Romito","given":"R.","non-dropping-particle":"","parse-names":false,"suffix":""},{"dropping-particle":"","family":"Tedeschi","given":"U.","non-dropping-particle":"","parse-names":false,"suffix":""},{"dropping-particle":"","family":"Zimmitti","given":"G.","non-dropping-particle":"","parse-names":false,"suffix":""}],"container-title":"British Journal of Surgery","id":"ITEM-1","issue":"4","issued":{"date-parts":[["2020","12","9"]]},"page":"443-451","title":"Multicentre evaluation of case volume in minimally invasive hepatectomy","type":"article-journal","volume":"107"},"uris":["http://www.mendeley.com/documents/?uuid=c8cf8ab2-23a0-3590-a62b-eaa6c9033a4c"]},{"id":"ITEM-2","itemData":{"DOI":"10.1016/j.hpb.2019.05.002","ISSN":"14772574","PMID":"31235430","abstract":"Background: While most of the evidence on minimally invasive liver surgery (MILS) is derived from expert centers, nationwide outcomes remain underreported. This study aimed to evaluate the implementation and outcome of MILS on a nationwide scale. Methods: Electronic patient files were reviewed in all Dutch liver surgery centers and all patients undergoing MILS between 2011 and 2016 were selected. Operative outcomes were stratified based on extent of the resection and annual MILS volume. Results: Overall, 6951 liver resections were included, with a median annual volume of 50 resections per center. The overall use of MILS was 13% (n = 916), which varied from 3% to 36% (P &lt; 0.001) between centers. The nationwide use of MILS increased from 6% in 2011 to 23% in 2016 (P &lt; 0.001). Outcomes of minor MILS were comparable with international studies (conversion 0–13%, mortality &lt;1%). In centers which performed ≥20 MILS annually, major MILS was associated with less conversions (14 (11%) versus 41 (30%), P &lt; 0.001), shorter operating time (184 (117–239) versus 200 (139–308) minutes, P = 0.010), and less overall complications (37 (30%) versus 58 (42%), P = 0.040). Conclusion: The nationwide use of MILS is increasing, although large variation remains between centers. Outcomes of major MILS are better in centers with higher volumes.","author":[{"dropping-particle":"","family":"Poel","given":"Marcel J.","non-dropping-particle":"Van der","parse-names":false,"suffix":""},{"dropping-particle":"","family":"Fichtinger","given":"Robert S.","non-dropping-particle":"","parse-names":false,"suffix":""},{"dropping-particle":"","family":"Bemelmans","given":"Marc","non-dropping-particle":"","parse-names":false,"suffix":""},{"dropping-particle":"","family":"Bosscha","given":"Koop","non-dropping-particle":"","parse-names":false,"suffix":""},{"dropping-particle":"","family":"Braat","given":"Andries E.","non-dropping-particle":"","parse-names":false,"suffix":""},{"dropping-particle":"","family":"Boer","given":"Marieke T.","non-dropping-particle":"de","parse-names":false,"suffix":""},{"dropping-particle":"","family":"Dejong","given":"Cornelis H.C.","non-dropping-particle":"","parse-names":false,"suffix":""},{"dropping-particle":"","family":"Doornebosch","given":"Pascal G.","non-dropping-particle":"","parse-names":false,"suffix":""},{"dropping-particle":"","family":"Draaisma","given":"Werner A.","non-dropping-particle":"","parse-names":false,"suffix":""},{"dropping-particle":"","family":"Gerhards","given":"Michael F.","non-dropping-particle":"","parse-names":false,"suffix":""},{"dropping-particle":"","family":"Gobardhan","given":"Paul D.","non-dropping-particle":"","parse-names":false,"suffix":""},{"dropping-particle":"","family":"Gorgec","given":"Burak","non-dropping-particle":"","parse-names":false,"suffix":""},{"dropping-particle":"","family":"Hagendoorn","given":"Jeroen","non-dropping-particle":"","parse-names":false,"suffix":""},{"dropping-particle":"","family":"Kazemier","given":"Geert","non-dropping-particle":"","parse-names":false,"suffix":""},{"dropping-particle":"","family":"Klaase","given":"Joost","non-dropping-particle":"","parse-names":false,"suffix":""},{"dropping-particle":"","family":"Leclercq","given":"Wouter K.G.","non-dropping-particle":"","parse-names":false,"suffix":""},{"dropping-particle":"","family":"Liem","given":"Mike S.","non-dropping-particle":"","parse-names":false,"suffix":""},{"dropping-particle":"","family":"Lips","given":"Daan J.","non-dropping-particle":"","parse-names":false,"suffix":""},{"dropping-particle":"","family":"Marsman","given":"Hendrik A.","non-dropping-particle":"","parse-names":false,"suffix":""},{"dropping-particle":"","family":"Mieog","given":"J. Sven D.","non-dropping-particle":"","parse-names":false,"suffix":""},{"dropping-particle":"","family":"Molenaar","given":"Quintus I.","non-dropping-particle":"","parse-names":false,"suffix":""},{"dropping-particle":"","family":"Nieuwenhuijs","given":"Vincent B.","non-dropping-particle":"","parse-names":false,"suffix":""},{"dropping-particle":"","family":"Nota","given":"Carolijn L.","non-dropping-particle":"","parse-names":false,"suffix":""},{"dropping-particle":"","family":"Patijn","given":"Gijs A.","non-dropping-particle":"","parse-names":false,"suffix":""},{"dropping-particle":"","family":"Rijken","given":"Arjen M.","non-dropping-particle":"","parse-names":false,"suffix":""},{"dropping-particle":"","family":"Slooter","given":"Gerrit D.","non-dropping-particle":"","parse-names":false,"suffix":""},{"dropping-particle":"","family":"Stommel","given":"Martijn W.J.","non-dropping-particle":"","parse-names":false,"suffix":""},{"dropping-particle":"","family":"Swijnenburg","given":"Rutger Jan","non-dropping-particle":"","parse-names":false,"suffix":""},{"dropping-particle":"","family":"Tanis","given":"Pieter J.","non-dropping-particle":"","parse-names":false,"suffix":""},{"dropping-particle":"","family":"Riele","given":"Wouter W.","non-dropping-particle":"te","parse-names":false,"suffix":""},{"dropping-particle":"","family":"Terkivatan","given":"Türkan","non-dropping-particle":"","parse-names":false,"suffix":""},{"dropping-particle":"","family":"Tol","given":"Petrousjka M.","non-dropping-particle":"van den","parse-names":false,"suffix":""},{"dropping-particle":"","family":"Boezem","given":"Peter B.","non-dropping-particle":"van den","parse-names":false,"suffix":""},{"dropping-particle":"","family":"Hoeven","given":"Joost A.","non-dropping-particle":"van der","parse-names":false,"suffix":""},{"dropping-particle":"","family":"Vermaas","given":"Maarten","non-dropping-particle":"","parse-names":false,"suffix":""},{"dropping-particle":"","family":"Abu Hilal","given":"Moh'd","non-dropping-particle":"","parse-names":false,"suffix":""},{"dropping-particle":"","family":"Dam","given":"Ronald M.","non-dropping-particle":"van","parse-names":false,"suffix":""},{"dropping-particle":"","family":"Besselink","given":"Marc G.","non-dropping-particle":"","parse-names":false,"suffix":""},{"dropping-particle":"","family":"Zonderhuis","given":"Babs","non-dropping-particle":"","parse-names":false,"suffix":""},{"dropping-particle":"","family":"Rinkes","given":"Inne B.","non-dropping-particle":"","parse-names":false,"suffix":""},{"dropping-particle":"","family":"Hoff","given":"Christiaan","non-dropping-particle":"","parse-names":false,"suffix":""},{"dropping-particle":"","family":"Oosterling","given":"Steven","non-dropping-particle":"","parse-names":false,"suffix":""}],"container-title":"HPB","id":"ITEM-2","issue":"12","issued":{"date-parts":[["2019","6"]]},"page":"1734-1743","title":"Implementation and outcome of minor and major minimally invasive liver surgery in the Netherlands","type":"article-journal","volume":"21"},"uris":["http://www.mendeley.com/documents/?uuid=8ddac13e-bbca-3938-affd-dfa5a225a53b"]},{"id":"ITEM-3","itemData":{"DOI":"10.1007/s13304-017-0489-x","ISSN":"2038-131X","PMID":"28861759","abstract":"The Italian Group of MILS (I Go MILS) prospective registry was established in 2014 with the goals to create a hub for data and projects on a national basis and to promote the diffusion and implementation of MILS programs on a national scale. The primary endpoint of the present study is to give a snapshot of the real diffusion and outcomes of MILS in Italy, while analyzing the role of the registry in the implementation of MILS programs nationwide. The I Go MILS Registry is a prospective and intention-to-treat registry opened to any Italian center performing MILS, without restriction criteria based on number of procedures. The Registry is developed through the eClinical, an electronic platform for the management of clinical trials and is based on 34 clinical variables, regarding indication, intra- and postoperative course. Clinical outcomes and data regarding implementation of MILS activity have been analyzed for the aim of the study. Between November 2014 and June 2017, data from 1678 MILS performed in 48 centers have been collected (mean number of procedures per center 35, range 1-302). 22% of procedures were performed for benign and 78% for malignant disease (HCC constituted the 49.1% and CRLM the 31.2% of malignant tumors). Major liver resections (&gt;3 liver segments), including right and left hepatectomies, trisectionectomies and ALPPS procedures were 10% of the series. Mean blood loss was 200 ± 230 mL Morbidity rate was 20.5% and mortality was 0.3%. 10.4% of cases were converted to open approach. Median length of stay was 5 days. MILS/total resections ratio in 13 experienced centers increased from 14 to 30% after Registry establishment. MILS programs are well established in Italy, with progressive increase both in the number of cases and in the numerosity of centers. The I Go MILS Registry is playing a crucial role in monitoring the development of MILS in the real world on a national basis while giving a significant contribution to the implementation of MILS programs.","author":[{"dropping-particle":"","family":"Aldrighetti","given":"Luca","non-dropping-particle":"","parse-names":false,"suffix":""},{"dropping-particle":"","family":"Ratti","given":"Francesca","non-dropping-particle":"","parse-names":false,"suffix":""},{"dropping-particle":"","family":"Cillo","given":"Umberto","non-dropping-particle":"","parse-names":false,"suffix":""},{"dropping-particle":"","family":"Ferrero","given":"Alessandro","non-dropping-particle":"","parse-names":false,"suffix":""},{"dropping-particle":"","family":"Ettorre","given":"Giuseppe Maria","non-dropping-particle":"","parse-names":false,"suffix":""},{"dropping-particle":"","family":"Guglielmi","given":"Alfredo","non-dropping-particle":"","parse-names":false,"suffix":""},{"dropping-particle":"","family":"Giuliante","given":"Felice","non-dropping-particle":"","parse-names":false,"suffix":""},{"dropping-particle":"","family":"Calise","given":"Fulvio","non-dropping-particle":"","parse-names":false,"suffix":""},{"dropping-particle":"","family":"Italian Group of Minimally Invasive Liver Surgery (I GO MILS)","given":"","non-dropping-particle":"","parse-names":false,"suffix":""}],"container-title":"Updates in Surgery","id":"ITEM-3","issue":"3","issued":{"date-parts":[["2017","9"]]},"page":"271-283","title":"Diffusion, outcomes and implementation of minimally invasive liver surgery: a snapshot from the I Go MILS (Italian Group of Minimally Invasive Liver Surgery) Registry","type":"article-journal","volume":"69"},"uris":["http://www.mendeley.com/documents/?uuid=8327118f-f7a6-35e5-9119-14ce86e7e799"]},{"id":"ITEM-4","itemData":{"DOI":"10.1097/SLA.0000000000000950","ISSN":"15281140","abstract":"Objectives: Analyze, at a national level, the adoption and practice of laparoscopic liver resections (LAP), compared to open resections (OPEN). Background: LAP initiated 20 years ago, has been described for all hepatectomies, and is considered as the reference technique for some resections. There are, however, no data on its adoption outside selected specialty centers. Methods: French Healthcare databases were screened to identify all patients who underwent an elective LAP or OPEN between 2007 and 2012. Patients' demographics, associated conditions, indication for surgery, hepatectomy performed, and hospital type and hepatectomy caseload were retrieved. Patients who had possible overcoding of biopsies as wedge resections were identified to select REAL resections. Time trend analyses were performed using a piecewise linear regression and the average annual percent change (AAPC) calculated. Results: There were 7881 (17.8%) LAP and 36,359 (82.2%) OPEN performed in an average of 483 hospitals. Of these, biopsies accounted for 29.9% of the LAP (7.3% of the OPEN, P &lt; 0.0001) and the incidence of LAP biopsies increased after 2009. The AAPC of the incidence of real LAP increased more than that of real OPEN (7.0% vs 1.3%) but most were minor resections (61.1% vs 28.9% for OPEN, P &lt; 0.0001), only 15% of patients were operated by LAP and intermediate (or major) resections were performed in 19.5% (or 4.8%) of hospitals performing liver resections. The proportion of resections performed by LAP was inversely related to annual caseload. The overall incidence of resections performed for benign conditions did not increase. Conclusions: LAP is not developing, has not been adopted for intermediate/ major resections, does not result in overuse for benign indications and some of the 2009 -consensus statements are not applied.","author":[{"dropping-particle":"","family":"Farges","given":"Olivier","non-dropping-particle":"","parse-names":false,"suffix":""},{"dropping-particle":"","family":"Goutte","given":"Nathalie","non-dropping-particle":"","parse-names":false,"suffix":""},{"dropping-particle":"","family":"Dokmak","given":"Safi","non-dropping-particle":"","parse-names":false,"suffix":""},{"dropping-particle":"","family":"Bendersky","given":"Noelle","non-dropping-particle":"","parse-names":false,"suffix":""},{"dropping-particle":"","family":"Falissard","given":"Bruno","non-dropping-particle":"","parse-names":false,"suffix":""}],"container-title":"Annals of Surgery","id":"ITEM-4","issue":"5","issued":{"date-parts":[["2014"]]},"page":"916-922","publisher":"Lippincott Williams and Wilkins","title":"How surgical technology translates into practice: The model of laparoscopic liver resections performed in France","type":"paper-conference","volume":"260"},"uris":["http://www.mendeley.com/documents/?uuid=3da0bda5-efde-3390-9263-869a87f50afe"]}],"mendeley":{"formattedCitation":"(43–46)","plainTextFormattedCitation":"(43–46)","previouslyFormattedCitation":"(42–45)"},"properties":{"noteIndex":0},"schema":"https://github.com/citation-style-language/schema/raw/master/csl-citation.json"}</w:instrText>
      </w:r>
      <w:r w:rsidR="00565F8A" w:rsidRPr="009824AD">
        <w:rPr>
          <w:rFonts w:ascii="Helvetica" w:hAnsi="Helvetica" w:cs="Calibri"/>
          <w:color w:val="000000" w:themeColor="text1"/>
          <w:lang w:val="en-US"/>
        </w:rPr>
        <w:fldChar w:fldCharType="separate"/>
      </w:r>
      <w:r w:rsidR="006E2594" w:rsidRPr="006E2594">
        <w:rPr>
          <w:rFonts w:ascii="Helvetica" w:hAnsi="Helvetica" w:cs="Calibri"/>
          <w:noProof/>
          <w:color w:val="000000" w:themeColor="text1"/>
          <w:lang w:val="en-US"/>
        </w:rPr>
        <w:t>(43–46)</w:t>
      </w:r>
      <w:r w:rsidR="00565F8A" w:rsidRPr="009824AD">
        <w:rPr>
          <w:rFonts w:ascii="Helvetica" w:hAnsi="Helvetica" w:cs="Calibri"/>
          <w:color w:val="000000" w:themeColor="text1"/>
          <w:lang w:val="en-US"/>
        </w:rPr>
        <w:fldChar w:fldCharType="end"/>
      </w:r>
      <w:r w:rsidR="00E444F2" w:rsidRPr="009824AD">
        <w:rPr>
          <w:rFonts w:ascii="Helvetica" w:hAnsi="Helvetica" w:cs="Calibri"/>
          <w:color w:val="000000" w:themeColor="text1"/>
          <w:lang w:val="en-US"/>
        </w:rPr>
        <w:t>.</w:t>
      </w:r>
      <w:r w:rsidRPr="009824AD">
        <w:rPr>
          <w:rFonts w:ascii="Helvetica" w:hAnsi="Helvetica" w:cs="Calibri"/>
          <w:lang w:val="en-US"/>
        </w:rPr>
        <w:t xml:space="preserve"> According to the </w:t>
      </w:r>
      <w:r w:rsidR="00131C63" w:rsidRPr="009824AD">
        <w:rPr>
          <w:rFonts w:ascii="Helvetica" w:hAnsi="Helvetica" w:cs="Calibri"/>
          <w:lang w:val="en-US"/>
        </w:rPr>
        <w:t xml:space="preserve">most </w:t>
      </w:r>
      <w:r w:rsidRPr="009824AD">
        <w:rPr>
          <w:rFonts w:ascii="Helvetica" w:hAnsi="Helvetica" w:cs="Calibri"/>
          <w:lang w:val="en-US"/>
        </w:rPr>
        <w:t xml:space="preserve">recent Southampton </w:t>
      </w:r>
      <w:r w:rsidR="00093BF5" w:rsidRPr="009824AD">
        <w:rPr>
          <w:rFonts w:ascii="Helvetica" w:hAnsi="Helvetica" w:cs="Calibri"/>
          <w:lang w:val="en-US"/>
        </w:rPr>
        <w:t xml:space="preserve">consensus </w:t>
      </w:r>
      <w:r w:rsidRPr="009824AD">
        <w:rPr>
          <w:rFonts w:ascii="Helvetica" w:hAnsi="Helvetica" w:cs="Calibri"/>
          <w:lang w:val="en-US"/>
        </w:rPr>
        <w:t xml:space="preserve">guidelines, </w:t>
      </w:r>
      <w:r w:rsidR="00131C63" w:rsidRPr="009824AD">
        <w:rPr>
          <w:rFonts w:ascii="Helvetica" w:hAnsi="Helvetica" w:cs="Calibri"/>
          <w:lang w:val="en-US"/>
        </w:rPr>
        <w:t xml:space="preserve">LLR is now considered the standard approach for minor liver resections, while </w:t>
      </w:r>
      <w:r w:rsidRPr="009824AD">
        <w:rPr>
          <w:rFonts w:ascii="Helvetica" w:hAnsi="Helvetica" w:cs="Calibri"/>
          <w:lang w:val="en-US"/>
        </w:rPr>
        <w:t>major LLR is considered feasible</w:t>
      </w:r>
      <w:r w:rsidR="00131C63" w:rsidRPr="009824AD">
        <w:rPr>
          <w:rFonts w:ascii="Helvetica" w:hAnsi="Helvetica" w:cs="Calibri"/>
          <w:lang w:val="en-US"/>
        </w:rPr>
        <w:t xml:space="preserve">, </w:t>
      </w:r>
      <w:r w:rsidRPr="009824AD">
        <w:rPr>
          <w:rFonts w:ascii="Helvetica" w:hAnsi="Helvetica" w:cs="Calibri"/>
          <w:lang w:val="en-US"/>
        </w:rPr>
        <w:t xml:space="preserve">safe </w:t>
      </w:r>
      <w:r w:rsidR="00131C63" w:rsidRPr="009824AD">
        <w:rPr>
          <w:rFonts w:ascii="Helvetica" w:hAnsi="Helvetica" w:cs="Calibri"/>
          <w:lang w:val="en-US"/>
        </w:rPr>
        <w:t xml:space="preserve">and effective </w:t>
      </w:r>
      <w:r w:rsidRPr="009824AD">
        <w:rPr>
          <w:rFonts w:ascii="Helvetica" w:hAnsi="Helvetica" w:cs="Calibri"/>
          <w:lang w:val="en-US"/>
        </w:rPr>
        <w:t>in selected patients</w:t>
      </w:r>
      <w:r w:rsidR="00645258" w:rsidRPr="009824AD">
        <w:rPr>
          <w:rFonts w:ascii="Helvetica" w:hAnsi="Helvetica" w:cs="Calibri"/>
          <w:lang w:val="en-US"/>
        </w:rPr>
        <w:t xml:space="preserve"> and in experienced hands</w:t>
      </w:r>
      <w:r w:rsidR="00565F8A" w:rsidRPr="009824AD">
        <w:rPr>
          <w:rFonts w:ascii="Helvetica" w:hAnsi="Helvetica" w:cs="Calibri"/>
          <w:lang w:val="en-US"/>
        </w:rPr>
        <w:fldChar w:fldCharType="begin" w:fldLock="1"/>
      </w:r>
      <w:r w:rsidR="006E2594">
        <w:rPr>
          <w:rFonts w:ascii="Helvetica" w:hAnsi="Helvetica" w:cs="Calibri"/>
          <w:lang w:val="en-US"/>
        </w:rPr>
        <w:instrText>ADDIN CSL_CITATION {"citationItems":[{"id":"ITEM-1","itemData":{"DOI":"10.1097/SLA.0000000000002524","ISSN":"1528-1140","PMID":"29064908","abstract":"OBJECTIVE The European Guidelines Meeting on Laparoscopic Liver Surgery was held in Southampton on February 10 and 11, 2017 with the aim of presenting and validating clinical practice guidelines for laparoscopic liver surgery. BACKGROUND The exponential growth of laparoscopic liver surgery in recent years mandates the development of clinical practice guidelines to direct the speciality's continued safe progression and dissemination. METHODS A unique approach to the development of clinical guidelines was adopted. Three well-validated methods were integrated: the Scottish Intercollegiate Guidelines Network methodology for the assessment of evidence and development of guideline statements; the Delphi method of establishing expert consensus, and the AGREE II-GRS Instrument for the assessment of the methodological quality and external validation of the final statements. RESULTS Along with the committee chairman, 22 European experts; 7 junior experts and an independent validation committee of 11 international surgeons produced 67 guideline statements for the safe progression and dissemination of laparoscopic liver surgery. Each of the statements reached at least a 95% consensus among the experts and were endorsed by the independent validation committee. CONCLUSION The European Guidelines Meeting for Laparoscopic Liver Surgery has produced a set of clinical practice guidelines that have been independently validated for the safe development and progression of laparoscopic liver surgery. The Southampton Guidelines have amalgamated the available evidence and a wealth of experts' knowledge taking in consideration the relevant stakeholders' opinions and complying with the international methodology standards.","author":[{"dropping-particle":"","family":"Abu Hilal","given":"Mohammad","non-dropping-particle":"","parse-names":false,"suffix":""},{"dropping-particle":"","family":"Aldrighetti","given":"Luca","non-dropping-particle":"","parse-names":false,"suffix":""},{"dropping-particle":"","family":"Dagher","given":"Ibrahim","non-dropping-particle":"","parse-names":false,"suffix":""},{"dropping-particle":"","family":"Edwin","given":"Bjorn","non-dropping-particle":"","parse-names":false,"suffix":""},{"dropping-particle":"","family":"Troisi","given":"Roberto Ivan","non-dropping-particle":"","parse-names":false,"suffix":""},{"dropping-particle":"","family":"Alikhanov","given":"Ruslan","non-dropping-particle":"","parse-names":false,"suffix":""},{"dropping-particle":"","family":"Aroori","given":"Somaiah","non-dropping-particle":"","parse-names":false,"suffix":""},{"dropping-particle":"","family":"Belli","given":"Giulio","non-dropping-particle":"","parse-names":false,"suffix":""},{"dropping-particle":"","family":"Besselink","given":"Marc","non-dropping-particle":"","parse-names":false,"suffix":""},{"dropping-particle":"","family":"Briceno","given":"Javier","non-dropping-particle":"","parse-names":false,"suffix":""},{"dropping-particle":"","family":"Gayet","given":"Brice","non-dropping-particle":"","parse-names":false,"suffix":""},{"dropping-particle":"","family":"D'Hondt","given":"Mathieu","non-dropping-particle":"","parse-names":false,"suffix":""},{"dropping-particle":"","family":"Lesurtel","given":"Mickael","non-dropping-particle":"","parse-names":false,"suffix":""},{"dropping-particle":"","family":"Menon","given":"Krishna","non-dropping-particle":"","parse-names":false,"suffix":""},{"dropping-particle":"","family":"Lodge","given":"Peter","non-dropping-particle":"","parse-names":false,"suffix":""},{"dropping-particle":"","family":"Rotellar","given":"Fernando","non-dropping-particle":"","parse-names":false,"suffix":""},{"dropping-particle":"","family":"Santoyo","given":"Julio","non-dropping-particle":"","parse-names":false,"suffix":""},{"dropping-particle":"","family":"Scatton","given":"Olivier","non-dropping-particle":"","parse-names":false,"suffix":""},{"dropping-particle":"","family":"Soubrane","given":"Olivier","non-dropping-particle":"","parse-names":false,"suffix":""},{"dropping-particle":"","family":"Sutcliffe","given":"Robert","non-dropping-particle":"","parse-names":false,"suffix":""},{"dropping-particle":"","family":"Dam","given":"Ronald","non-dropping-particle":"Van","parse-names":false,"suffix":""},{"dropping-particle":"","family":"White","given":"Steve","non-dropping-particle":"","parse-names":false,"suffix":""},{"dropping-particle":"","family":"Halls","given":"Mark Christopher","non-dropping-particle":"","parse-names":false,"suffix":""},{"dropping-particle":"","family":"Cipriani","given":"Federica","non-dropping-particle":"","parse-names":false,"suffix":""},{"dropping-particle":"","family":"Poel","given":"Marcel","non-dropping-particle":"Van der","parse-names":false,"suffix":""},{"dropping-particle":"","family":"Ciria","given":"Ruben","non-dropping-particle":"","parse-names":false,"suffix":""},{"dropping-particle":"","family":"Barkhatov","given":"Leonid","non-dropping-particle":"","parse-names":false,"suffix":""},{"dropping-particle":"","family":"Gomez-Luque","given":"Yrene","non-dropping-particle":"","parse-names":false,"suffix":""},{"dropping-particle":"","family":"Ocana-Garcia","given":"Sira","non-dropping-particle":"","parse-names":false,"suffix":""},{"dropping-particle":"","family":"Cook","given":"Andrew","non-dropping-particle":"","parse-names":false,"suffix":""},{"dropping-particle":"","family":"Buell","given":"Joseph","non-dropping-particle":"","parse-names":false,"suffix":""},{"dropping-particle":"","family":"Clavien","given":"Pierre-Alain","non-dropping-particle":"","parse-names":false,"suffix":""},{"dropping-particle":"","family":"Dervenis","given":"Christos","non-dropping-particle":"","parse-names":false,"suffix":""},{"dropping-particle":"","family":"Fusai","given":"Giuseppe","non-dropping-particle":"","parse-names":false,"suffix":""},{"dropping-particle":"","family":"Geller","given":"David","non-dropping-particle":"","parse-names":false,"suffix":""},{"dropping-particle":"","family":"Lang","given":"Hauke","non-dropping-particle":"","parse-names":false,"suffix":""},{"dropping-particle":"","family":"Primrose","given":"John","non-dropping-particle":"","parse-names":false,"suffix":""},{"dropping-particle":"","family":"Taylor","given":"Mark","non-dropping-particle":"","parse-names":false,"suffix":""},{"dropping-particle":"","family":"Gulik","given":"Thomas","non-dropping-particle":"Van","parse-names":false,"suffix":""},{"dropping-particle":"","family":"Wakabayashi","given":"Go","non-dropping-particle":"","parse-names":false,"suffix":""},{"dropping-particle":"","family":"Asbun","given":"Horacio","non-dropping-particle":"","parse-names":false,"suffix":""},{"dropping-particle":"","family":"Cherqui","given":"Daniel","non-dropping-particle":"","parse-names":false,"suffix":""}],"container-title":"Annals of surgery","id":"ITEM-1","issue":"1","issued":{"date-parts":[["2018","7"]]},"page":"11-18","publisher":"Lippincott Williams &amp; Wilkins","title":"The Southampton Consensus Guidelines for Laparoscopic Liver Surgery: From Indication to Implementation.","type":"article-journal","volume":"268"},"uris":["http://www.mendeley.com/documents/?uuid=a761815e-4338-39bc-aefe-9e9f705911e9"]}],"mendeley":{"formattedCitation":"(47)","plainTextFormattedCitation":"(47)","previouslyFormattedCitation":"(46)"},"properties":{"noteIndex":0},"schema":"https://github.com/citation-style-language/schema/raw/master/csl-citation.json"}</w:instrText>
      </w:r>
      <w:r w:rsidR="00565F8A" w:rsidRPr="009824AD">
        <w:rPr>
          <w:rFonts w:ascii="Helvetica" w:hAnsi="Helvetica" w:cs="Calibri"/>
          <w:lang w:val="en-US"/>
        </w:rPr>
        <w:fldChar w:fldCharType="separate"/>
      </w:r>
      <w:r w:rsidR="006E2594" w:rsidRPr="006E2594">
        <w:rPr>
          <w:rFonts w:ascii="Helvetica" w:hAnsi="Helvetica" w:cs="Calibri"/>
          <w:noProof/>
          <w:lang w:val="en-US"/>
        </w:rPr>
        <w:t>(47)</w:t>
      </w:r>
      <w:r w:rsidR="00565F8A" w:rsidRPr="009824AD">
        <w:rPr>
          <w:rFonts w:ascii="Helvetica" w:hAnsi="Helvetica" w:cs="Calibri"/>
          <w:lang w:val="en-US"/>
        </w:rPr>
        <w:fldChar w:fldCharType="end"/>
      </w:r>
      <w:r w:rsidR="00E444F2" w:rsidRPr="009824AD">
        <w:rPr>
          <w:rFonts w:ascii="Helvetica" w:hAnsi="Helvetica" w:cs="Calibri"/>
          <w:lang w:val="en-US"/>
        </w:rPr>
        <w:t>.</w:t>
      </w:r>
      <w:r w:rsidRPr="009824AD">
        <w:rPr>
          <w:rFonts w:ascii="Helvetica" w:hAnsi="Helvetica" w:cs="Calibri"/>
          <w:lang w:val="en-US"/>
        </w:rPr>
        <w:t xml:space="preserve"> The current study </w:t>
      </w:r>
      <w:r w:rsidR="000B7DA3" w:rsidRPr="009824AD">
        <w:rPr>
          <w:rFonts w:ascii="Helvetica" w:hAnsi="Helvetica" w:cs="Calibri"/>
          <w:lang w:val="en-US"/>
        </w:rPr>
        <w:t xml:space="preserve">suggests </w:t>
      </w:r>
      <w:r w:rsidRPr="009824AD">
        <w:rPr>
          <w:rFonts w:ascii="Helvetica" w:hAnsi="Helvetica" w:cs="Calibri"/>
          <w:lang w:val="en-US"/>
        </w:rPr>
        <w:t>that LLR has potential advantages</w:t>
      </w:r>
      <w:r w:rsidR="00D538E8" w:rsidRPr="009824AD">
        <w:rPr>
          <w:rFonts w:ascii="Helvetica" w:hAnsi="Helvetica" w:cs="Calibri"/>
          <w:lang w:val="en-US"/>
        </w:rPr>
        <w:t xml:space="preserve"> </w:t>
      </w:r>
      <w:r w:rsidRPr="009824AD">
        <w:rPr>
          <w:rFonts w:ascii="Helvetica" w:hAnsi="Helvetica" w:cs="Calibri"/>
          <w:lang w:val="en-US"/>
        </w:rPr>
        <w:t xml:space="preserve">in patients with </w:t>
      </w:r>
      <w:r w:rsidR="0072020D" w:rsidRPr="009824AD">
        <w:rPr>
          <w:rFonts w:ascii="Helvetica" w:hAnsi="Helvetica" w:cs="Calibri"/>
          <w:lang w:val="en-US"/>
        </w:rPr>
        <w:t>CR-POBL</w:t>
      </w:r>
      <w:r w:rsidRPr="009824AD">
        <w:rPr>
          <w:rFonts w:ascii="Helvetica" w:hAnsi="Helvetica" w:cs="Calibri"/>
          <w:lang w:val="en-US"/>
        </w:rPr>
        <w:t xml:space="preserve"> as compared to patients after OLR, especially in terms of severe additional postoperative complications, surgical site infections</w:t>
      </w:r>
      <w:r w:rsidR="00E444F2" w:rsidRPr="009824AD">
        <w:rPr>
          <w:rFonts w:ascii="Helvetica" w:hAnsi="Helvetica" w:cs="Calibri"/>
          <w:lang w:val="en-US"/>
        </w:rPr>
        <w:t xml:space="preserve"> and</w:t>
      </w:r>
      <w:r w:rsidRPr="009824AD">
        <w:rPr>
          <w:rFonts w:ascii="Helvetica" w:hAnsi="Helvetica" w:cs="Calibri"/>
          <w:lang w:val="en-US"/>
        </w:rPr>
        <w:t xml:space="preserve"> LOS. </w:t>
      </w:r>
      <w:r w:rsidR="00936EC2" w:rsidRPr="009824AD">
        <w:rPr>
          <w:rFonts w:ascii="Helvetica" w:hAnsi="Helvetica" w:cs="Calibri"/>
          <w:lang w:val="en-US"/>
        </w:rPr>
        <w:t>These potential benefits in short term outcomes may also affect long term prognosis, as proposed by several previous studies</w:t>
      </w:r>
      <w:r w:rsidR="00936EC2" w:rsidRPr="009824AD">
        <w:rPr>
          <w:rFonts w:ascii="Helvetica" w:hAnsi="Helvetica" w:cs="Calibri"/>
          <w:color w:val="000000"/>
          <w:lang w:val="en-US"/>
        </w:rPr>
        <w:fldChar w:fldCharType="begin" w:fldLock="1"/>
      </w:r>
      <w:r w:rsidR="006E2594">
        <w:rPr>
          <w:rFonts w:ascii="Helvetica" w:hAnsi="Helvetica" w:cs="Calibri"/>
          <w:color w:val="000000"/>
          <w:lang w:val="en-US"/>
        </w:rPr>
        <w:instrText>ADDIN CSL_CITATION {"citationItems":[{"id":"ITEM-1","itemData":{"DOI":"10.1097/SLA.0000000000003672","ISSN":"1528-1140","PMID":"31714304","abstract":"OBJECTIVE To perform an individual participant data meta-analysis using randomized trials and propensity-score matched (PSM) studies which compared laparoscopic versus open hepatectomy for patients with colorectal liver metastases (CLM). BACKGROUND Randomized trials and PSM studies constitute the highest level of evidence in addressing the long-term oncologic efficacy of laparoscopic versus open resection for CLM. However, individual studies are limited by the reporting of overall survival in ways not amenable to traditional methods of meta-analysis, and violation of the proportional hazards assumption. METHODS Survival information of individual patients was reconstructed from the published Kaplan-Meier curves with the aid of a computer vision program. Frequentist and Bayesian survival models (taking into account random-effects and nonproportional hazards) were fitted to compare overall survival of patients who underwent laparoscopic versus open surgery. To handle long plateaus in the tails of survival curves, we also exploited \"cure models\" to estimate the fraction of patients effectively \"cured\" of disease. RESULTS Individual patient data from 2 randomized trials and 13 PSM studies involving 3148 participants were reconstructed. Laparoscopic resection was associated with a lower hazard rate of death (stratified hazard ratio = 0.853, 95% confidence interval: 0.754-0.965, P = 0.0114), and there was evidence of time-varying effects (P = 0.0324) in which the magnitude of hazard ratios increased over time. The fractions of long-term cancer survivors were estimated to be 47.4% and 18.0% in the laparoscopy and open surgery groups, respectively. At 10-year follow-up, the restricted mean survival time was 8.6 months (or 12.1%) longer in the laparoscopy arm (P &lt; 0.0001). In a subgroup analysis, elderly patients (≥65 years old) treated with laparoscopy experienced longer 3-year average life expectancy (+6.2%, P = 0.018), and those who live past the 5-year milestone (46.1%) seem to be cured of disease. CONCLUSIONS This patient-level meta-analysis of high-quality studies demonstrated an unexpected survival benefit in favor of laparoscopic over open resection for CLM in the long-term. From a conservative viewpoint, these results can be interpreted to indicate that laparoscopy is at least not inferior to the standard open approach.","author":[{"dropping-particle":"","family":"Syn","given":"Nicholas L","non-dropping-particle":"","parse-names":false,"suffix":""},{"dropping-particle":"","family":"Kabir","given":"Tousif","non-dropping-particle":"","parse-names":false,"suffix":""},{"dropping-particle":"","family":"Koh","given":"Ye Xin","non-dropping-particle":"","parse-names":false,"suffix":""},{"dropping-particle":"","family":"Tan","given":"Hwee Leong","non-dropping-particle":"","parse-names":false,"suffix":""},{"dropping-particle":"","family":"Wang","given":"Louis Z","non-dropping-particle":"","parse-names":false,"suffix":""},{"dropping-particle":"","family":"Chin","given":"Brian Zhaojie","non-dropping-particle":"","parse-names":false,"suffix":""},{"dropping-particle":"","family":"Wee","given":"Ian","non-dropping-particle":"","parse-names":false,"suffix":""},{"dropping-particle":"","family":"Teo","given":"Jin Yao","non-dropping-particle":"","parse-names":false,"suffix":""},{"dropping-particle":"","family":"Tai","given":"Bee Choo","non-dropping-particle":"","parse-names":false,"suffix":""},{"dropping-particle":"","family":"Goh","given":"Brian K P","non-dropping-particle":"","parse-names":false,"suffix":""}],"container-title":"Annals of surgery","id":"ITEM-1","issued":{"date-parts":[["2019"]]},"title":"Survival Advantage of Laparoscopic Versus Open Resection For Colorectal Liver Metastases: A Meta-analysis of Individual Patient Data From Randomized Trials and Propensity-score Matched Studies.","type":"article-journal"},"uris":["http://www.mendeley.com/documents/?uuid=2878b860-da14-35cc-a0f4-b26e4de9b706"]},{"id":"ITEM-2","itemData":{"DOI":"10.1002/cncr.29419","ISSN":"0008543X","abstract":"BACKGROUND The impact of postoperative complications on the long-term outcomes of patients undergoing surgery for cancer is unclear. The objective of the current study was to define the incidence of complications among patients undergoing surgery for intrahepatic cholangiocarcinoma (ICC) and identify the association between morbidity and long-term outcomes. METHODS A total of 583 patients undergoing surgery with curative intent for ICC between 1990 and 2013 at 1 of 12 participating institutions were identified. The association between the occurrence and severity of postoperative complications on long-term survival was analyzed. RESULTS The median age of the patients was 59.9 years and the majority of patients were Male (52.3%). A total of 91 patients (15.6%) and 153 patients (26.2%) developed a major and minor postoperative complication, respectively; 18 patients (3.5%) died within 90 days of surgery. Median, 1-year, 3-year, and 5-year recurrence-free survival were 10.0 months, 43.3%, 16.7%, and 11.1%, respectively. Postoperative complications (hazard ratio [HR], 1.37, 95% confidence interval [95% CI], 1.08-1.73 [P=.01]) and severity of complications (major vs none: HR, 1.55; 95% CI, 1.14-2.11 [P=.01]; minor vs none: HR, 1.30; 95% CI, 0.99-1.70 [P=.06]) independently predicted shorter recurrence-free survival. Median, 1-year, 3-year, and 5-year overall survival was 27.8 months, 76.8%, 39.0%, and 23.4%, respectively. Postoperative complications (HR, 1.64; 95% CI, 1.30-2.08 [P&lt;.001]) and severity of complications (major vs none: HR, 1.79; 95% CI, 1.31-2.44 [P&lt;.001]; minor vs none: HR, 1.50; 95% CI, 1.15-1.95 [P&lt;.01]) independently predicted shorter overall survival. CONCLUSIONS Postoperative complications were found to be independent predictors of worse long-term outcomes. The prevention and management of postoperative complications is crucial to increase both short-term and long-term survival. Cancer 2015;121:2730-2739.","author":[{"dropping-particle":"","family":"Spolverato","given":"Gaya","non-dropping-particle":"","parse-names":false,"suffix":""},{"dropping-particle":"","family":"Yakoob","given":"Mohammad Y.","non-dropping-particle":"","parse-names":false,"suffix":""},{"dropping-particle":"","family":"Kim","given":"Yuhree","non-dropping-particle":"","parse-names":false,"suffix":""},{"dropping-particle":"","family":"Alexandrescu","given":"Sorin","non-dropping-particle":"","parse-names":false,"suffix":""},{"dropping-particle":"","family":"Marques","given":"Hugo P.","non-dropping-particle":"","parse-names":false,"suffix":""},{"dropping-particle":"","family":"Lamelas","given":"Jorge","non-dropping-particle":"","parse-names":false,"suffix":""},{"dropping-particle":"","family":"Aldrighetti","given":"Luca","non-dropping-particle":"","parse-names":false,"suffix":""},{"dropping-particle":"","family":"Gamblin","given":"T. Clark","non-dropping-particle":"","parse-names":false,"suffix":""},{"dropping-particle":"","family":"Maithel","given":"Shishir K.","non-dropping-particle":"","parse-names":false,"suffix":""},{"dropping-particle":"","family":"Pulitano","given":"Carlo","non-dropping-particle":"","parse-names":false,"suffix":""},{"dropping-particle":"","family":"Bauer","given":"Todd W.","non-dropping-particle":"","parse-names":false,"suffix":""},{"dropping-particle":"","family":"Shen","given":"Feng","non-dropping-particle":"","parse-names":false,"suffix":""},{"dropping-particle":"","family":"Poultsides","given":"George A.","non-dropping-particle":"","parse-names":false,"suffix":""},{"dropping-particle":"","family":"Marsh","given":"J. Wallis","non-dropping-particle":"","parse-names":false,"suffix":""},{"dropping-particle":"","family":"Pawlik","given":"Timothy M.","non-dropping-particle":"","parse-names":false,"suffix":""}],"container-title":"Cancer","id":"ITEM-2","issue":"16","issued":{"date-parts":[["2015","8","15"]]},"page":"2730-2739","publisher":"John Wiley and Sons Inc.","title":"Impact of complications on long-term survival after resection of intrahepatic cholangiocarcinoma","type":"article-journal","volume":"121"},"uris":["http://www.mendeley.com/documents/?uuid=ecbc39fd-045b-303f-8d88-dfa215c012f5"]},{"id":"ITEM-3","itemData":{"DOI":"10.1002/jso.24576","ISSN":"00224790","abstract":"BACKGROUND: Resection is the most effective treatment for HCC. However, postoperative morbidity is common and its impact on long-term oncological outcome remains unclear. METHODS: Long-term outcomes of 774 patients who underwent curative resection for early stage HCC at Johns Hopkins Hospital and Toranomon Hospital were investigated after stratifying by the development of postoperative overall and infectious complications. RESULTS: A minor or major postoperative complication developed in 281 and 65 patients, respectively, while postoperative mortality was 1.3% (n = 10). The 5-year cumulative recurrence and overall survival(OS) rates were 57.2% and 76.4%, respectively. Overall postoperative complications independently predicted worse OS in multivariable analysis (HR = 1.42, P = 0.021). Complication severity did not correlate with OS (P &gt; 0.05). While infectious complications were not independent predictors of OS, the combination of blood transfusion and infectious complications led to significantly worse OS (66.3% vs. 44.9%, P = 0.008). Postoperative complications also correlated with increased recurrence risk, but only in patients with non-cirrhotic parenchyma (55.0% vs. 47.7%, P = 0.035) or non-viral hepatitis (55.6% vs. 44.4%, P = 0.002). CONCLUSIONS: Post-operative morbidity independently predicted poor OS following hepatectomy for early stage HCC. A similar effect on recurrence was noted only in patients with favorable etiopathologic factors. Finally, the combination of peri-operative transfusion and subsequent infectious complications was associated with a synergistic negative effect on prognosis.","author":[{"dropping-particle":"","family":"Margonis","given":"Georgios Antonios","non-dropping-particle":"","parse-names":false,"suffix":""},{"dropping-particle":"","family":"Sasaki","given":"Kazunari","non-dropping-particle":"","parse-names":false,"suffix":""},{"dropping-particle":"","family":"Andreatos","given":"Nikolaos","non-dropping-particle":"","parse-names":false,"suffix":""},{"dropping-particle":"","family":"Nishioka","given":"Yujiro","non-dropping-particle":"","parse-names":false,"suffix":""},{"dropping-particle":"","family":"Sugawara","given":"Toshitaka","non-dropping-particle":"","parse-names":false,"suffix":""},{"dropping-particle":"","family":"Amini","given":"Neda","non-dropping-particle":"","parse-names":false,"suffix":""},{"dropping-particle":"","family":"Buettner","given":"Stefan","non-dropping-particle":"","parse-names":false,"suffix":""},{"dropping-particle":"","family":"Hashimoto","given":"Masaji","non-dropping-particle":"","parse-names":false,"suffix":""},{"dropping-particle":"","family":"Shindoh","given":"Junichi","non-dropping-particle":"","parse-names":false,"suffix":""},{"dropping-particle":"","family":"Pawlik","given":"Timothy M.","non-dropping-particle":"","parse-names":false,"suffix":""}],"container-title":"Journal of Surgical Oncology","id":"ITEM-3","issue":"7","issued":{"date-parts":[["2017","6","1"]]},"page":"791-804","publisher":"John Wiley and Sons Inc.","title":"Prognostic impact of complications after resection of early stage hepatocellular carcinoma","type":"article-journal","volume":"115"},"uris":["http://www.mendeley.com/documents/?uuid=c7e1da9c-c9a2-321a-8697-f11e2fa02dd8"]},{"id":"ITEM-4","itemData":{"DOI":"10.1002/bjs.9060","ISSN":"00071323","abstract":"Background Postoperative complications may have an adverse effect not only on short-term but also long-term outcome among patients having surgery for cancer. A retrospective series of patients who had surgery for colorectal liver metastases (CLM) was used to assess this association. Methods Patients who had surgery with curative intent for CLM from 2000 to 2009 were included. The impact of postoperative complications, patient characteristics, disease stage and treatment on long-term survival was analysed using multivariable Cox regression models. Results A total of 251 patients were included. The median age was 58 (interquartile range 51-68) years and there were 87 women (34·7 per cent). A minor or major postoperative complication developed in 41 and 14 patients respectively, and five patients (2·0 per cent) died after surgery. The 5-year recurrence-free (RFS) and overall survival rates were 19·5 and 41·9 per cent respectively. Multivariable analysis revealed that postoperative complications independently predicted shorter RFS (hazard ratio (HR) 2·36, 95 per cent confidence interval 1·56 to 3·58) and overall survival (HR 2·34, 1·46 to 3·74). Other independent predictors of shorter RFS and overall survival included lymph node metastasis, concomitant extrahepatic disease, a serum carcinoembryonic antigen level of at least 100 ng/dl, and the use of radiofrequency ablation (RFS only). The severity of complications also correlated with RFS (P = 0·006) and overall survival (P = 0·001). Conclusion Postoperative complications were independently associated with decreased long-term survival after surgery for CLM with curative intent. The prevention and management of postoperative adverse events may be important oncologically. © 2013 British Journal of Surgery Society Ltd. Published by John Wiley &amp; Sons Ltd.","author":[{"dropping-particle":"","family":"Mavros","given":"M. N.","non-dropping-particle":"","parse-names":false,"suffix":""},{"dropping-particle":"","family":"Jong","given":"M.","non-dropping-particle":"de","parse-names":false,"suffix":""},{"dropping-particle":"","family":"Dogeas","given":"E.","non-dropping-particle":"","parse-names":false,"suffix":""},{"dropping-particle":"","family":"Hyder","given":"O.","non-dropping-particle":"","parse-names":false,"suffix":""},{"dropping-particle":"","family":"Pawlik","given":"T. M.","non-dropping-particle":"","parse-names":false,"suffix":""}],"container-title":"British Journal of Surgery","id":"ITEM-4","issue":"5","issued":{"date-parts":[["2013","4","1"]]},"page":"711-718","publisher":"John Wiley &amp; Sons, Ltd","title":"Impact of complications on long-term survival after resection of colorectal liver metastases","type":"article-journal","volume":"100"},"uris":["http://www.mendeley.com/documents/?uuid=332d13f0-7504-3d93-b211-98f5f8e29724"]}],"mendeley":{"formattedCitation":"(48–51)","plainTextFormattedCitation":"(48–51)","previouslyFormattedCitation":"(47–50)"},"properties":{"noteIndex":0},"schema":"https://github.com/citation-style-language/schema/raw/master/csl-citation.json"}</w:instrText>
      </w:r>
      <w:r w:rsidR="00936EC2" w:rsidRPr="009824AD">
        <w:rPr>
          <w:rFonts w:ascii="Helvetica" w:hAnsi="Helvetica" w:cs="Calibri"/>
          <w:color w:val="000000"/>
          <w:lang w:val="en-US"/>
        </w:rPr>
        <w:fldChar w:fldCharType="separate"/>
      </w:r>
      <w:r w:rsidR="006E2594" w:rsidRPr="006E2594">
        <w:rPr>
          <w:rFonts w:ascii="Helvetica" w:hAnsi="Helvetica" w:cs="Calibri"/>
          <w:noProof/>
          <w:color w:val="000000"/>
          <w:lang w:val="en-US"/>
        </w:rPr>
        <w:t>(48–51)</w:t>
      </w:r>
      <w:r w:rsidR="00936EC2" w:rsidRPr="009824AD">
        <w:rPr>
          <w:rFonts w:ascii="Helvetica" w:hAnsi="Helvetica" w:cs="Calibri"/>
          <w:color w:val="000000"/>
          <w:lang w:val="en-US"/>
        </w:rPr>
        <w:fldChar w:fldCharType="end"/>
      </w:r>
      <w:r w:rsidR="00E444F2" w:rsidRPr="009824AD">
        <w:rPr>
          <w:rFonts w:ascii="Helvetica" w:hAnsi="Helvetica" w:cs="Calibri"/>
          <w:color w:val="000000"/>
          <w:lang w:val="en-US"/>
        </w:rPr>
        <w:t>.</w:t>
      </w:r>
      <w:r w:rsidR="00205365" w:rsidRPr="009824AD">
        <w:rPr>
          <w:rFonts w:ascii="Helvetica" w:hAnsi="Helvetica" w:cs="Calibri"/>
          <w:lang w:val="en-US"/>
        </w:rPr>
        <w:t xml:space="preserve"> </w:t>
      </w:r>
      <w:r w:rsidR="00D538E8" w:rsidRPr="009824AD">
        <w:rPr>
          <w:rFonts w:ascii="Helvetica" w:hAnsi="Helvetica" w:cs="Calibri"/>
          <w:lang w:val="en-US"/>
        </w:rPr>
        <w:t xml:space="preserve">Therefore, </w:t>
      </w:r>
      <w:r w:rsidR="00142AD0" w:rsidRPr="009824AD">
        <w:rPr>
          <w:rFonts w:ascii="Helvetica" w:hAnsi="Helvetica" w:cs="Calibri"/>
          <w:lang w:val="en-US"/>
        </w:rPr>
        <w:t xml:space="preserve">as stated by the Southampton guidelines, </w:t>
      </w:r>
      <w:r w:rsidR="00D538E8" w:rsidRPr="009824AD">
        <w:rPr>
          <w:rFonts w:ascii="Helvetica" w:hAnsi="Helvetica" w:cs="Calibri"/>
          <w:lang w:val="en-US"/>
        </w:rPr>
        <w:t xml:space="preserve">the further implementation of LLR </w:t>
      </w:r>
      <w:r w:rsidR="000B7DA3" w:rsidRPr="009824AD">
        <w:rPr>
          <w:rFonts w:ascii="Helvetica" w:hAnsi="Helvetica" w:cs="Calibri"/>
          <w:lang w:val="en-US"/>
        </w:rPr>
        <w:t xml:space="preserve">may </w:t>
      </w:r>
      <w:r w:rsidR="00D538E8" w:rsidRPr="009824AD">
        <w:rPr>
          <w:rFonts w:ascii="Helvetica" w:hAnsi="Helvetica" w:cs="Calibri"/>
          <w:lang w:val="en-US"/>
        </w:rPr>
        <w:t xml:space="preserve">be encouraged by starting LLR programs in all liver surgery </w:t>
      </w:r>
      <w:r w:rsidR="000B7DA3" w:rsidRPr="009824AD">
        <w:rPr>
          <w:rFonts w:ascii="Helvetica" w:hAnsi="Helvetica" w:cs="Calibri"/>
          <w:lang w:val="en-US"/>
        </w:rPr>
        <w:t>center</w:t>
      </w:r>
      <w:r w:rsidR="00D538E8" w:rsidRPr="009824AD">
        <w:rPr>
          <w:rFonts w:ascii="Helvetica" w:hAnsi="Helvetica" w:cs="Calibri"/>
          <w:lang w:val="en-US"/>
        </w:rPr>
        <w:t xml:space="preserve">s </w:t>
      </w:r>
      <w:r w:rsidR="00874209" w:rsidRPr="009824AD">
        <w:rPr>
          <w:rFonts w:ascii="Helvetica" w:hAnsi="Helvetica" w:cs="Calibri"/>
          <w:lang w:val="en-US"/>
        </w:rPr>
        <w:t xml:space="preserve">in a stepwise fashion </w:t>
      </w:r>
      <w:r w:rsidR="00D538E8" w:rsidRPr="009824AD">
        <w:rPr>
          <w:rFonts w:ascii="Helvetica" w:hAnsi="Helvetica" w:cs="Calibri"/>
          <w:lang w:val="en-US"/>
        </w:rPr>
        <w:t>and disseminating LLR on a national scale</w:t>
      </w:r>
      <w:r w:rsidR="00205365" w:rsidRPr="009824AD">
        <w:rPr>
          <w:rFonts w:ascii="Helvetica" w:hAnsi="Helvetica" w:cs="Calibri"/>
          <w:lang w:val="en-US"/>
        </w:rPr>
        <w:t>.</w:t>
      </w:r>
      <w:r w:rsidR="00093BF5" w:rsidRPr="009824AD">
        <w:rPr>
          <w:rFonts w:ascii="Helvetica" w:hAnsi="Helvetica" w:cs="Calibri"/>
          <w:lang w:val="en-US"/>
        </w:rPr>
        <w:fldChar w:fldCharType="begin" w:fldLock="1"/>
      </w:r>
      <w:r w:rsidR="006E2594">
        <w:rPr>
          <w:rFonts w:ascii="Helvetica" w:hAnsi="Helvetica" w:cs="Calibri"/>
          <w:lang w:val="en-US"/>
        </w:rPr>
        <w:instrText>ADDIN CSL_CITATION {"citationItems":[{"id":"ITEM-1","itemData":{"DOI":"10.1097/SLA.0000000000002524","ISSN":"1528-1140","PMID":"29064908","abstract":"OBJECTIVE The European Guidelines Meeting on Laparoscopic Liver Surgery was held in Southampton on February 10 and 11, 2017 with the aim of presenting and validating clinical practice guidelines for laparoscopic liver surgery. BACKGROUND The exponential growth of laparoscopic liver surgery in recent years mandates the development of clinical practice guidelines to direct the speciality's continued safe progression and dissemination. METHODS A unique approach to the development of clinical guidelines was adopted. Three well-validated methods were integrated: the Scottish Intercollegiate Guidelines Network methodology for the assessment of evidence and development of guideline statements; the Delphi method of establishing expert consensus, and the AGREE II-GRS Instrument for the assessment of the methodological quality and external validation of the final statements. RESULTS Along with the committee chairman, 22 European experts; 7 junior experts and an independent validation committee of 11 international surgeons produced 67 guideline statements for the safe progression and dissemination of laparoscopic liver surgery. Each of the statements reached at least a 95% consensus among the experts and were endorsed by the independent validation committee. CONCLUSION The European Guidelines Meeting for Laparoscopic Liver Surgery has produced a set of clinical practice guidelines that have been independently validated for the safe development and progression of laparoscopic liver surgery. The Southampton Guidelines have amalgamated the available evidence and a wealth of experts' knowledge taking in consideration the relevant stakeholders' opinions and complying with the international methodology standards.","author":[{"dropping-particle":"","family":"Abu Hilal","given":"Mohammad","non-dropping-particle":"","parse-names":false,"suffix":""},{"dropping-particle":"","family":"Aldrighetti","given":"Luca","non-dropping-particle":"","parse-names":false,"suffix":""},{"dropping-particle":"","family":"Dagher","given":"Ibrahim","non-dropping-particle":"","parse-names":false,"suffix":""},{"dropping-particle":"","family":"Edwin","given":"Bjorn","non-dropping-particle":"","parse-names":false,"suffix":""},{"dropping-particle":"","family":"Troisi","given":"Roberto Ivan","non-dropping-particle":"","parse-names":false,"suffix":""},{"dropping-particle":"","family":"Alikhanov","given":"Ruslan","non-dropping-particle":"","parse-names":false,"suffix":""},{"dropping-particle":"","family":"Aroori","given":"Somaiah","non-dropping-particle":"","parse-names":false,"suffix":""},{"dropping-particle":"","family":"Belli","given":"Giulio","non-dropping-particle":"","parse-names":false,"suffix":""},{"dropping-particle":"","family":"Besselink","given":"Marc","non-dropping-particle":"","parse-names":false,"suffix":""},{"dropping-particle":"","family":"Briceno","given":"Javier","non-dropping-particle":"","parse-names":false,"suffix":""},{"dropping-particle":"","family":"Gayet","given":"Brice","non-dropping-particle":"","parse-names":false,"suffix":""},{"dropping-particle":"","family":"D'Hondt","given":"Mathieu","non-dropping-particle":"","parse-names":false,"suffix":""},{"dropping-particle":"","family":"Lesurtel","given":"Mickael","non-dropping-particle":"","parse-names":false,"suffix":""},{"dropping-particle":"","family":"Menon","given":"Krishna","non-dropping-particle":"","parse-names":false,"suffix":""},{"dropping-particle":"","family":"Lodge","given":"Peter","non-dropping-particle":"","parse-names":false,"suffix":""},{"dropping-particle":"","family":"Rotellar","given":"Fernando","non-dropping-particle":"","parse-names":false,"suffix":""},{"dropping-particle":"","family":"Santoyo","given":"Julio","non-dropping-particle":"","parse-names":false,"suffix":""},{"dropping-particle":"","family":"Scatton","given":"Olivier","non-dropping-particle":"","parse-names":false,"suffix":""},{"dropping-particle":"","family":"Soubrane","given":"Olivier","non-dropping-particle":"","parse-names":false,"suffix":""},{"dropping-particle":"","family":"Sutcliffe","given":"Robert","non-dropping-particle":"","parse-names":false,"suffix":""},{"dropping-particle":"","family":"Dam","given":"Ronald","non-dropping-particle":"Van","parse-names":false,"suffix":""},{"dropping-particle":"","family":"White","given":"Steve","non-dropping-particle":"","parse-names":false,"suffix":""},{"dropping-particle":"","family":"Halls","given":"Mark Christopher","non-dropping-particle":"","parse-names":false,"suffix":""},{"dropping-particle":"","family":"Cipriani","given":"Federica","non-dropping-particle":"","parse-names":false,"suffix":""},{"dropping-particle":"","family":"Poel","given":"Marcel","non-dropping-particle":"Van der","parse-names":false,"suffix":""},{"dropping-particle":"","family":"Ciria","given":"Ruben","non-dropping-particle":"","parse-names":false,"suffix":""},{"dropping-particle":"","family":"Barkhatov","given":"Leonid","non-dropping-particle":"","parse-names":false,"suffix":""},{"dropping-particle":"","family":"Gomez-Luque","given":"Yrene","non-dropping-particle":"","parse-names":false,"suffix":""},{"dropping-particle":"","family":"Ocana-Garcia","given":"Sira","non-dropping-particle":"","parse-names":false,"suffix":""},{"dropping-particle":"","family":"Cook","given":"Andrew","non-dropping-particle":"","parse-names":false,"suffix":""},{"dropping-particle":"","family":"Buell","given":"Joseph","non-dropping-particle":"","parse-names":false,"suffix":""},{"dropping-particle":"","family":"Clavien","given":"Pierre-Alain","non-dropping-particle":"","parse-names":false,"suffix":""},{"dropping-particle":"","family":"Dervenis","given":"Christos","non-dropping-particle":"","parse-names":false,"suffix":""},{"dropping-particle":"","family":"Fusai","given":"Giuseppe","non-dropping-particle":"","parse-names":false,"suffix":""},{"dropping-particle":"","family":"Geller","given":"David","non-dropping-particle":"","parse-names":false,"suffix":""},{"dropping-particle":"","family":"Lang","given":"Hauke","non-dropping-particle":"","parse-names":false,"suffix":""},{"dropping-particle":"","family":"Primrose","given":"John","non-dropping-particle":"","parse-names":false,"suffix":""},{"dropping-particle":"","family":"Taylor","given":"Mark","non-dropping-particle":"","parse-names":false,"suffix":""},{"dropping-particle":"","family":"Gulik","given":"Thomas","non-dropping-particle":"Van","parse-names":false,"suffix":""},{"dropping-particle":"","family":"Wakabayashi","given":"Go","non-dropping-particle":"","parse-names":false,"suffix":""},{"dropping-particle":"","family":"Asbun","given":"Horacio","non-dropping-particle":"","parse-names":false,"suffix":""},{"dropping-particle":"","family":"Cherqui","given":"Daniel","non-dropping-particle":"","parse-names":false,"suffix":""}],"container-title":"Annals of surgery","id":"ITEM-1","issue":"1","issued":{"date-parts":[["2018","7"]]},"page":"11-18","publisher":"Lippincott Williams &amp; Wilkins","title":"The Southampton Consensus Guidelines for Laparoscopic Liver Surgery: From Indication to Implementation.","type":"article-journal","volume":"268"},"uris":["http://www.mendeley.com/documents/?uuid=a761815e-4338-39bc-aefe-9e9f705911e9"]}],"mendeley":{"formattedCitation":"(47)","plainTextFormattedCitation":"(47)","previouslyFormattedCitation":"(46)"},"properties":{"noteIndex":0},"schema":"https://github.com/citation-style-language/schema/raw/master/csl-citation.json"}</w:instrText>
      </w:r>
      <w:r w:rsidR="00093BF5" w:rsidRPr="009824AD">
        <w:rPr>
          <w:rFonts w:ascii="Helvetica" w:hAnsi="Helvetica" w:cs="Calibri"/>
          <w:lang w:val="en-US"/>
        </w:rPr>
        <w:fldChar w:fldCharType="separate"/>
      </w:r>
      <w:r w:rsidR="006E2594" w:rsidRPr="006E2594">
        <w:rPr>
          <w:rFonts w:ascii="Helvetica" w:hAnsi="Helvetica" w:cs="Calibri"/>
          <w:noProof/>
          <w:lang w:val="en-US"/>
        </w:rPr>
        <w:t>(47)</w:t>
      </w:r>
      <w:r w:rsidR="00093BF5" w:rsidRPr="009824AD">
        <w:rPr>
          <w:rFonts w:ascii="Helvetica" w:hAnsi="Helvetica" w:cs="Calibri"/>
          <w:lang w:val="en-US"/>
        </w:rPr>
        <w:fldChar w:fldCharType="end"/>
      </w:r>
      <w:r w:rsidR="00D538E8" w:rsidRPr="009824AD">
        <w:rPr>
          <w:rFonts w:ascii="Helvetica" w:hAnsi="Helvetica" w:cs="Calibri"/>
          <w:lang w:val="en-US"/>
        </w:rPr>
        <w:t xml:space="preserve"> </w:t>
      </w:r>
      <w:r w:rsidR="000B7DA3" w:rsidRPr="009824AD">
        <w:rPr>
          <w:rFonts w:ascii="Helvetica" w:hAnsi="Helvetica" w:cs="Calibri"/>
          <w:lang w:val="en-US"/>
        </w:rPr>
        <w:t>However,</w:t>
      </w:r>
      <w:r w:rsidR="00D538E8" w:rsidRPr="009824AD">
        <w:rPr>
          <w:rFonts w:ascii="Helvetica" w:hAnsi="Helvetica" w:cs="Calibri"/>
          <w:lang w:val="en-US"/>
        </w:rPr>
        <w:t xml:space="preserve"> </w:t>
      </w:r>
      <w:r w:rsidR="00294DC9" w:rsidRPr="009824AD">
        <w:rPr>
          <w:rFonts w:ascii="Helvetica" w:hAnsi="Helvetica" w:cs="Calibri"/>
          <w:lang w:val="en-US"/>
        </w:rPr>
        <w:t xml:space="preserve">OLR will remain of paramount importance in the treatment of liver diseases. </w:t>
      </w:r>
      <w:r w:rsidR="00B973BF" w:rsidRPr="009824AD">
        <w:rPr>
          <w:rFonts w:ascii="Helvetica" w:hAnsi="Helvetica" w:cs="Calibri"/>
          <w:lang w:val="en-US"/>
        </w:rPr>
        <w:t xml:space="preserve">Complex LLR procedures such as resection of lesions of 3 cm or more, repeat liver resection and resection of lesions in the posterior/superior segments are </w:t>
      </w:r>
      <w:r w:rsidR="00936EC2" w:rsidRPr="009824AD">
        <w:rPr>
          <w:rFonts w:ascii="Helvetica" w:hAnsi="Helvetica" w:cs="Calibri"/>
          <w:lang w:val="en-US"/>
        </w:rPr>
        <w:t xml:space="preserve">namely </w:t>
      </w:r>
      <w:r w:rsidR="00B973BF" w:rsidRPr="009824AD">
        <w:rPr>
          <w:rFonts w:ascii="Helvetica" w:hAnsi="Helvetica" w:cs="Calibri"/>
          <w:lang w:val="en-US"/>
        </w:rPr>
        <w:t>all safe and feasible, but are considered technically difficult procedures</w:t>
      </w:r>
      <w:r w:rsidR="00B973BF" w:rsidRPr="009824AD">
        <w:rPr>
          <w:rFonts w:ascii="Helvetica" w:hAnsi="Helvetica" w:cs="Calibri"/>
          <w:lang w:val="en-US"/>
        </w:rPr>
        <w:fldChar w:fldCharType="begin" w:fldLock="1"/>
      </w:r>
      <w:r w:rsidR="006E2594">
        <w:rPr>
          <w:rFonts w:ascii="Helvetica" w:hAnsi="Helvetica" w:cs="Calibri"/>
          <w:lang w:val="en-US"/>
        </w:rPr>
        <w:instrText>ADDIN CSL_CITATION {"citationItems":[{"id":"ITEM-1","itemData":{"DOI":"10.1002/bjs.11096","ISSN":"13652168","abstract":"Background: Repeat liver resection is often the best treatment option for patients with recurrent colorectal liver metastases (CRLM). Repeat resections can be complex, however, owing to adhesions and altered liver anatomy. It remains uncertain whether the advantages of a laparoscopic approach are upheld in this setting. The aim of this retrospective, propensity score-matched study was to compare the short-term outcome of laparoscopic (LRLR) and open (ORLR) repeat liver resection. Methods: A multicentre retrospective propensity score-matched study was performed including all patients who underwent LRLRs and ORLRs for CRLM performed in nine high-volume centres from seven European countries between 2000 and 2016. Patients were matched based on propensity scores in a 1 : 1 ratio. Propensity scores were calculated based on 12 preoperative variables, including the approach to, and extent of, the previous liver resection. Operative outcomes were compared using paired tests. Results: Overall, 425 repeat liver resections were included. Of 271 LRLRs, 105 were matched with an ORLR. Baseline characteristics were comparable after matching. LRLR was associated with a shorter duration of operation (median 200 (i.q.r. 123–273) versus 256 (199–320) min; P &lt; 0·001), less intraoperative blood loss (200 (50–450) versus 300 (100–600) ml; P = 0·077) and a shorter postoperative hospital stay (5 (3–8) versus 6 (5–8) days; P = 0·028). Postoperative morbidity and mortality rates were similar after LRLR and ORLR. Conclusion: LRLR for CRLM is feasible in selected patients and may offer advantages over an open approach.","author":[{"dropping-particle":"","family":"Poel","given":"M. J.","non-dropping-particle":"van der","parse-names":false,"suffix":""},{"dropping-particle":"","family":"Barkhatov","given":"L.","non-dropping-particle":"","parse-names":false,"suffix":""},{"dropping-particle":"","family":"Fuks","given":"D.","non-dropping-particle":"","parse-names":false,"suffix":""},{"dropping-particle":"","family":"Berardi","given":"G.","non-dropping-particle":"","parse-names":false,"suffix":""},{"dropping-particle":"","family":"Cipriani","given":"F.","non-dropping-particle":"","parse-names":false,"suffix":""},{"dropping-particle":"","family":"Aljaiuossi","given":"A.","non-dropping-particle":"","parse-names":false,"suffix":""},{"dropping-particle":"","family":"Lainas","given":"P.","non-dropping-particle":"","parse-names":false,"suffix":""},{"dropping-particle":"","family":"Dagher","given":"I.","non-dropping-particle":"","parse-names":false,"suffix":""},{"dropping-particle":"","family":"D'Hondt","given":"M.","non-dropping-particle":"","parse-names":false,"suffix":""},{"dropping-particle":"","family":"Rotellar","given":"F.","non-dropping-particle":"","parse-names":false,"suffix":""},{"dropping-particle":"","family":"Besselink","given":"M. G.","non-dropping-particle":"","parse-names":false,"suffix":""},{"dropping-particle":"","family":"Aldrighetti","given":"L.","non-dropping-particle":"","parse-names":false,"suffix":""},{"dropping-particle":"","family":"Troisi","given":"R. I.","non-dropping-particle":"","parse-names":false,"suffix":""},{"dropping-particle":"","family":"Gayet","given":"B.","non-dropping-particle":"","parse-names":false,"suffix":""},{"dropping-particle":"","family":"Edwin","given":"B.","non-dropping-particle":"","parse-names":false,"suffix":""},{"dropping-particle":"","family":"Abu Hilal","given":"M.","non-dropping-particle":"","parse-names":false,"suffix":""}],"container-title":"British Journal of Surgery","id":"ITEM-1","issue":"6","issued":{"date-parts":[["2019","5","1"]]},"page":"783-789","publisher":"John Wiley and Sons Ltd","title":"Multicentre propensity score-matched study of laparoscopic versus open repeat liver resection for colorectal liver metastases","type":"article-journal","volume":"106"},"uris":["http://www.mendeley.com/documents/?uuid=97d6e209-765c-33ff-8d2d-7ad7f6022e0c"]},{"id":"ITEM-2","itemData":{"DOI":"10.1001/archsurg.142.12.1144","ISSN":"15383644","PMID":"18086980","abstract":"Background: Repeat liver resection because of recurrent colorectal liver metastases can provide survival benefit with a low rate of complications. Design: Retrospective study. Participants: Forty patients who underwent a second hepatectomy because of liver metastases from colorectal cancer. Main Outcome Measures: Short- and long-term results of a second hepatectomy and determination of prognostic factors. Results: The postoperative mortality rate was 2.5%. The postoperative morbidity rate was not significantly different after a second hepatectomy compared with single hepatectomy (42.5% and 27.5%, respectively; P = .10). Transfusion requirement and hospital stay were comparable for both a single and a second hepatectomy. Three- and 5-year overall survival rates were 55% and 31%, respectively. Disease-free survival rates at 3 and 5 years were, respectively, 49% and 27%. The interval between first and second hepatectomies and the presence of extrahepatic disease were independently related to survival (multivariate analysis). Conclusions: A second liver resection because of recurrent liver metastases from colorectal cancer is safe and provides a survival benefit similar to that with single hepatectomy. Our analysis suggests that the benefit of treatment is limited in patients who undergo a second hepatectomy within 1 year of the first operation and in those with extrahepatic disease. ©2007 American Medical Association. All rights reserved.","author":[{"dropping-particle":"","family":"Sa Cunha","given":"Antonio","non-dropping-particle":"","parse-names":false,"suffix":""},{"dropping-particle":"","family":"Laurent","given":"Christophe","non-dropping-particle":"","parse-names":false,"suffix":""},{"dropping-particle":"","family":"Rault","given":"Alexandre","non-dropping-particle":"","parse-names":false,"suffix":""},{"dropping-particle":"","family":"Couderc","given":"Philippe","non-dropping-particle":"","parse-names":false,"suffix":""},{"dropping-particle":"","family":"Rullier","given":"Eric","non-dropping-particle":"","parse-names":false,"suffix":""},{"dropping-particle":"","family":"Saric","given":"Jean","non-dropping-particle":"","parse-names":false,"suffix":""}],"container-title":"Archives of Surgery","id":"ITEM-2","issue":"12","issued":{"date-parts":[["2007","12","1"]]},"page":"1144-1149","publisher":"American Medical Association","title":"A second liver resection due to recurrent colorectal liver metastases","type":"article-journal","volume":"142"},"uris":["http://www.mendeley.com/documents/?uuid=c78e1e00-a4df-3c26-a149-0b73574a1721"]},{"id":"ITEM-3","itemData":{"DOI":"10.1016/j.jamcollsurg.2015.03.029","ISSN":"18791190","abstract":"Background Surgical management of liver lesions has moved toward \"parenchymal-sparing\" strategies. Although open parenchymal-sparing liver resections are supported by encouraging results, the applicability of the laparoscopic approach for nonperipheral tumors is still questionable. Our aim was to assess the feasibility, safety, and oncologic adequacy of laparoscopic parenchymal-sparing liver resection for nonperipheral lesions with a description of the technique adopted in this setting. Study Design A prospectively collected single-center database of 517 laparoscopic liver resections was reviewed. Laparoscopic nonperipheral parenchymal-sparing liver resections (LapPSLRs), that is, entirely intraparenchymal limited resections performed on nonperipheral lesions, were selected. Intra- and perioperative outcomes were analyzed along with 3-year actuarial survival for patients with colorectal liver metastases. Results The group comprised 49 LapPSLRs. Colorectal liver metastases were the most frequent diagnosis (n = 24 patients). Lesions were located in segments 8, 7, 4a, and 3 in 51%, 8.2%, 36.7%, and 4.1% of cases, respectively. Conversion occurred in 4 patients (8%). Intra- and postoperative short-term outcomes were calculated for the 24 isolated LapPSLR (not associated with any concurrent liver resection). Median operative time and blood loss were 215 minutes and 225 mL, respectively. Pringle maneuver was used in 75% of cases. Postoperative 90-day mortality was nil and morbidity rate was 12.5%. Median postoperative stay was 3 days. Median tumor-free margin was 4 mm and 100% R0 rate was achieved for all LapPSLRs with curative intent. Three-year overall, recurrence-free, and disease-free survival rates were 100%, 65.2%, and 69.6%, respectively. Conclusions Laparoscopic parenchymal-sparing liver resections for nonperipheral liver lesions are feasible and can be performed safely without compromising perioperative and oncological outcomes.","author":[{"dropping-particle":"","family":"Cipriani","given":"Federica","non-dropping-particle":"","parse-names":false,"suffix":""},{"dropping-particle":"","family":"Shelat","given":"Vishal G.","non-dropping-particle":"","parse-names":false,"suffix":""},{"dropping-particle":"","family":"Rawashdeh","given":"Majd","non-dropping-particle":"","parse-names":false,"suffix":""},{"dropping-particle":"","family":"Francone","given":"Elisa","non-dropping-particle":"","parse-names":false,"suffix":""},{"dropping-particle":"","family":"Aldrighetti","given":"Luca","non-dropping-particle":"","parse-names":false,"suffix":""},{"dropping-particle":"","family":"Takhar","given":"Arjun","non-dropping-particle":"","parse-names":false,"suffix":""},{"dropping-particle":"","family":"Armstrong","given":"Thomas","non-dropping-particle":"","parse-names":false,"suffix":""},{"dropping-particle":"","family":"Pearce","given":"Neil W.","non-dropping-particle":"","parse-names":false,"suffix":""},{"dropping-particle":"","family":"Abu Hilal","given":"Mohammad","non-dropping-particle":"","parse-names":false,"suffix":""}],"container-title":"Journal of the American College of Surgeons","id":"ITEM-3","issue":"2","issued":{"date-parts":[["2015","8","1"]]},"page":"265-272","publisher":"Elsevier Inc.","title":"Laparoscopic Parenchymal-Sparing Resections for Nonperipheral Liver Lesions, the Diamond Technique: Technical Aspects, Clinical Outcomes, and Oncologic Efficiency","type":"article-journal","volume":"221"},"uris":["http://www.mendeley.com/documents/?uuid=cc1acb46-0e38-3cb1-8ac4-373bfe8b1881"]},{"id":"ITEM-4","itemData":{"DOI":"10.1016/j.ijsu.2020.06.052","ISSN":"17439159","PMID":"32738544","abstract":"Laparoscopic liver resections of lesions in the postero-superior segments (Sg 4a, 7, 8) can be technically challenging. A profound experience in open and laparoscopic surgery is essential to ensure success without compromising surgical safety and oncologic efficiency when applying the laparoscopic approach for these segments. While many experienced surgeons have initially called the postero-superior segments the non-laparoscopic segments, this dogma has been challenged by different groups reporting good results in terms of safety and feasibility for parenchymal-sparing non-anatomical and, however less so, for anatomical resections (AR). Parenchymal-sparing liver resection is nowadays the gold standard for the treatment of colorectal liver metastases where repeated resections have demonstrated to improve patient's cancer related short and long-term outcome. This can be achieved by performing anatomical or non-anatomical segmental resections. Different surgical techniques to facilitate such resections have been described. The diamond technique has specifically been developed for the non-anatomical resection of non-peripheral lesions in the postero-superior segments and reported to be feasible, reproducible and moreover, oncologic efficient. Similarly, techniques for AR have been described acknowledging that in the minimally invasive setting such resections are technically more demanding requiring precise preoperative planning and a standardized surgical technique to allow pursuing oncological quality of the parenchyma sparing principle. We herein discuss technique, results and tips and tricks of applying the diamond technique for non-anatomical liver resection as well as the practice for AR of lesions in the postero-superior segments.","author":[{"dropping-particle":"","family":"Abu Hilal","given":"Mohammad","non-dropping-particle":"","parse-names":false,"suffix":""},{"dropping-particle":"","family":"Tschuor","given":"Christoph","non-dropping-particle":"","parse-names":false,"suffix":""},{"dropping-particle":"","family":"Kuemmerli","given":"Christoph","non-dropping-particle":"","parse-names":false,"suffix":""},{"dropping-particle":"","family":"López-Ben","given":"Santiago","non-dropping-particle":"","parse-names":false,"suffix":""},{"dropping-particle":"","family":"Lesurtel","given":"Mickaël","non-dropping-particle":"","parse-names":false,"suffix":""},{"dropping-particle":"","family":"Rotellar","given":"Fernando","non-dropping-particle":"","parse-names":false,"suffix":""}],"container-title":"International Journal of Surgery","id":"ITEM-4","issued":{"date-parts":[["2020"]]},"page":"178-186","publisher":"Elsevier Ltd","title":"Laparoscopic posterior segmental resections: How I do it: Tips and pitfalls","type":"article","volume":"82"},"uris":["http://www.mendeley.com/documents/?uuid=69a1d74d-2a37-325b-bd2d-f6004deb2d58"]},{"id":"ITEM-5","itemData":{"DOI":"10.5754/hge14417","ISSN":"01726390","PMID":"25436300","abstract":"Background/Aims: Controversies still exist regarding the management of giant hemangiomas. The purpose of this study was to evaluate in a retrospective manner the effects of size and type of surgical procedures on early postoperative results. Methodology: Between January 2000 and January 2011, a total of 82 patients underwent surgery. Patients were divided into 2 groups; according to size (Group 1 &gt;10cm and Group 2 ≤10cm) and the selected operative procedure. Results: When the patients were compared according to size of the lesions, the operation time was significantly longer (p=0.01) and the amount of blood loss was significantly higher (p=0.04) in hemangiomas &gt;10cm. If the patients were compared according to type of the surgical procedure, hepatic resection was more frequently preferred in bilobar and left lobe localized lesions, whereas enucleation was significantly more chosen in lesions localized to the right lobe (p=0.01). Conclusion: Size of the hemangioma did not alter selection of the surgical procedure in this series. Larger hemangiomas are associated with longer operation time and more blood loss. Surgical results after enucleation and resection are similar. Although enucleation seems preferable, it is not an easy procedure, and may result in severe bleeding. © H.G.E. Update Medical Publishing S.A.","author":[{"dropping-particle":"","family":"Ulas","given":"Murat","non-dropping-particle":"","parse-names":false,"suffix":""},{"dropping-particle":"","family":"Ozer","given":"Ilter","non-dropping-particle":"","parse-names":false,"suffix":""},{"dropping-particle":"","family":"Bostanci","given":"Erdal Birol","non-dropping-particle":"","parse-names":false,"suffix":""},{"dropping-particle":"","family":"Karaman","given":"Kerem","non-dropping-particle":"","parse-names":false,"suffix":""},{"dropping-particle":"","family":"Dalgic","given":"Tahsin","non-dropping-particle":"","parse-names":false,"suffix":""},{"dropping-particle":"","family":"Polat","given":"Erdal","non-dropping-particle":"","parse-names":false,"suffix":""},{"dropping-particle":"","family":"Ercan","given":"Metin","non-dropping-particle":"","parse-names":false,"suffix":""},{"dropping-particle":"","family":"Ozogul","given":"Yusuf Bayram","non-dropping-particle":"","parse-names":false,"suffix":""},{"dropping-particle":"","family":"Akoglu","given":"Musa","non-dropping-particle":"","parse-names":false,"suffix":""}],"container-title":"Hepato-Gastroenterology","id":"ITEM-5","issue":"133","issued":{"date-parts":[["2014"]]},"page":"1297-1301","publisher":"H.G.E. Update Medical Publishing Ltd.","title":"Giant hemangiomas: Effects of size and type of surgical procedure on postoperative outcome","type":"article-journal","volume":"61"},"uris":["http://www.mendeley.com/documents/?uuid=06ceaed5-1271-3d6b-9710-83961a532602"]},{"id":"ITEM-6","itemData":{"DOI":"10.1007/s00464-018-6225-x","ISSN":"14322218","PMID":"29770883","abstract":"Objective: In this study, we aim to assess the impact of tumor size on clinical and oncological outcomes in patients undergoing laparoscopic liver resection (LLR) for hepatocellular carcinoma (HCC). Background: LLR has been shown to be feasible, safe, and oncologically efficient. However, it has been slow to develop in patients with HCC who often suffer from chronic liver disease which represents an additional challenge for the surgeon. The experience with large HCCs is even more limited. Methods: Between 2003 and 2016, 172 patients from two high-volume liver surgery centers underwent LLR for HCC. Prospectively collected data were analyzed after stratification in 3 groups according to tumor major diameter (group 1: &lt; 3 cm; group 2: between 3 and 5 cm; group 3: ≥ 5 cm). Perioperative and long-term outcomes were compared between the three groups and sub-analyses were carried out on the extent and location of the resections. Results: Groups 1, 2, and 3 consisted of 82, 52, and 38 patients, respectively. Minor and major resections were performed in 98.8% and 1.2% in group 1, in 90.4% and 9.6% in group 2, and in 68.4% and 31.6% in group 3, respectively. Postero-superior “technically major” resections were performed in 15.8% patients in group 1, in 19.2% in group 2, and in 15.8% in group 3, respectively. Group 3 had higher conversion rates (p &lt; 0.001), more frequent (p = 0.056) and more prolonged (p = 0,075) pedicle clamping and longer operative time (p &lt; 0.001), higher blood losses (p = 0.025), and longer total hospital and intensive care unit stays. These differences ceased after removing the major resections from the study population, except for the postoperative length of stay. There were no differences in morbidity, mortality, completeness of resection rates, and long-term outcomes between the three groups. Conclusion: LLR for HCC appears to be safe and oncologically efficient when performed in high-volume HPB and laparoscopic centers. Tumor size does not appear to impact negatively on the outcomes except for postoperative hospital stay.","author":[{"dropping-particle":"","family":"Levi Sandri","given":"Giovanni Battista","non-dropping-particle":"","parse-names":false,"suffix":""},{"dropping-particle":"","family":"Spoletini","given":"Gabriele","non-dropping-particle":"","parse-names":false,"suffix":""},{"dropping-particle":"","family":"Vennarecci","given":"Giovanni","non-dropping-particle":"","parse-names":false,"suffix":""},{"dropping-particle":"","family":"Francone","given":"Elisa","non-dropping-particle":"","parse-names":false,"suffix":""},{"dropping-particle":"","family":"Abu Hilal","given":"Mohammed","non-dropping-particle":"","parse-names":false,"suffix":""},{"dropping-particle":"","family":"Ettorre","given":"Giuseppe Maria","non-dropping-particle":"","parse-names":false,"suffix":""}],"container-title":"Surgical Endoscopy","id":"ITEM-6","issue":"12","issued":{"date-parts":[["2018","12","1"]]},"page":"4772-4779","publisher":"Springer New York LLC","title":"Laparoscopic liver resection for large HCC: short- and long-term outcomes in relation to tumor size","type":"article-journal","volume":"32"},"uris":["http://www.mendeley.com/documents/?uuid=c2f55cd5-39c7-3fa5-8dfd-873e81d23066"]}],"mendeley":{"formattedCitation":"(52–57)","plainTextFormattedCitation":"(52–57)","previouslyFormattedCitation":"(51–56)"},"properties":{"noteIndex":0},"schema":"https://github.com/citation-style-language/schema/raw/master/csl-citation.json"}</w:instrText>
      </w:r>
      <w:r w:rsidR="00B973BF" w:rsidRPr="009824AD">
        <w:rPr>
          <w:rFonts w:ascii="Helvetica" w:hAnsi="Helvetica" w:cs="Calibri"/>
          <w:lang w:val="en-US"/>
        </w:rPr>
        <w:fldChar w:fldCharType="separate"/>
      </w:r>
      <w:r w:rsidR="006E2594" w:rsidRPr="006E2594">
        <w:rPr>
          <w:rFonts w:ascii="Helvetica" w:hAnsi="Helvetica" w:cs="Calibri"/>
          <w:noProof/>
          <w:lang w:val="en-US"/>
        </w:rPr>
        <w:t>(52–57)</w:t>
      </w:r>
      <w:r w:rsidR="00B973BF" w:rsidRPr="009824AD">
        <w:rPr>
          <w:rFonts w:ascii="Helvetica" w:hAnsi="Helvetica" w:cs="Calibri"/>
          <w:lang w:val="en-US"/>
        </w:rPr>
        <w:fldChar w:fldCharType="end"/>
      </w:r>
      <w:r w:rsidR="00E444F2" w:rsidRPr="009824AD">
        <w:rPr>
          <w:rFonts w:ascii="Helvetica" w:hAnsi="Helvetica" w:cs="Calibri"/>
          <w:lang w:val="en-US"/>
        </w:rPr>
        <w:t>.</w:t>
      </w:r>
      <w:r w:rsidR="00B973BF" w:rsidRPr="009824AD">
        <w:rPr>
          <w:rFonts w:ascii="Helvetica" w:hAnsi="Helvetica" w:cs="Calibri"/>
          <w:lang w:val="en-US"/>
        </w:rPr>
        <w:t xml:space="preserve"> Increased operative time, blood loss and postoperative complications have been acknowledged for complex and difficult LLR procedures, and therefore, a great emphasize should be put on selecting </w:t>
      </w:r>
      <w:r w:rsidR="00B640A1" w:rsidRPr="009824AD">
        <w:rPr>
          <w:rFonts w:ascii="Helvetica" w:hAnsi="Helvetica" w:cs="Calibri"/>
          <w:lang w:val="en-US"/>
        </w:rPr>
        <w:t>suitable</w:t>
      </w:r>
      <w:r w:rsidR="00B973BF" w:rsidRPr="009824AD">
        <w:rPr>
          <w:rFonts w:ascii="Helvetica" w:hAnsi="Helvetica" w:cs="Calibri"/>
          <w:lang w:val="en-US"/>
        </w:rPr>
        <w:t xml:space="preserve"> patients</w:t>
      </w:r>
      <w:r w:rsidR="00605F20" w:rsidRPr="009824AD">
        <w:rPr>
          <w:rFonts w:ascii="Helvetica" w:hAnsi="Helvetica" w:cs="Calibri"/>
          <w:lang w:val="en-US"/>
        </w:rPr>
        <w:t xml:space="preserve"> for LLR</w:t>
      </w:r>
      <w:r w:rsidR="00B973BF" w:rsidRPr="009824AD">
        <w:rPr>
          <w:rFonts w:ascii="Helvetica" w:hAnsi="Helvetica" w:cs="Calibri"/>
          <w:lang w:val="en-US"/>
        </w:rPr>
        <w:t xml:space="preserve">. </w:t>
      </w:r>
      <w:r w:rsidR="00874209" w:rsidRPr="009824AD">
        <w:rPr>
          <w:rFonts w:ascii="Helvetica" w:hAnsi="Helvetica" w:cs="Calibri"/>
          <w:lang w:val="en-US"/>
        </w:rPr>
        <w:t>To this end, r</w:t>
      </w:r>
      <w:r w:rsidR="00294DC9" w:rsidRPr="009824AD">
        <w:rPr>
          <w:rFonts w:ascii="Helvetica" w:hAnsi="Helvetica" w:cs="Calibri"/>
          <w:lang w:val="en-US"/>
        </w:rPr>
        <w:t xml:space="preserve">isk factor assessment </w:t>
      </w:r>
      <w:r w:rsidR="00874209" w:rsidRPr="009824AD">
        <w:rPr>
          <w:rFonts w:ascii="Helvetica" w:hAnsi="Helvetica" w:cs="Calibri"/>
          <w:lang w:val="en-US"/>
        </w:rPr>
        <w:t xml:space="preserve">for </w:t>
      </w:r>
      <w:r w:rsidR="0072020D" w:rsidRPr="009824AD">
        <w:rPr>
          <w:rFonts w:ascii="Helvetica" w:hAnsi="Helvetica" w:cs="Calibri"/>
          <w:lang w:val="en-US"/>
        </w:rPr>
        <w:t>CR-POBL</w:t>
      </w:r>
      <w:r w:rsidR="00874209" w:rsidRPr="009824AD">
        <w:rPr>
          <w:rFonts w:ascii="Helvetica" w:hAnsi="Helvetica" w:cs="Calibri"/>
          <w:lang w:val="en-US"/>
        </w:rPr>
        <w:t xml:space="preserve"> </w:t>
      </w:r>
      <w:r w:rsidR="00294DC9" w:rsidRPr="009824AD">
        <w:rPr>
          <w:rFonts w:ascii="Helvetica" w:hAnsi="Helvetica" w:cs="Calibri"/>
          <w:lang w:val="en-US"/>
        </w:rPr>
        <w:t xml:space="preserve">in patients </w:t>
      </w:r>
      <w:r w:rsidR="00874209" w:rsidRPr="009824AD">
        <w:rPr>
          <w:rFonts w:ascii="Helvetica" w:hAnsi="Helvetica" w:cs="Calibri"/>
          <w:lang w:val="en-US"/>
        </w:rPr>
        <w:t xml:space="preserve">with an indication for liver </w:t>
      </w:r>
      <w:r w:rsidR="00874209" w:rsidRPr="009824AD">
        <w:rPr>
          <w:rFonts w:ascii="Helvetica" w:hAnsi="Helvetica" w:cs="Calibri"/>
          <w:lang w:val="en-US"/>
        </w:rPr>
        <w:lastRenderedPageBreak/>
        <w:t xml:space="preserve">surgery </w:t>
      </w:r>
      <w:r w:rsidR="00294DC9" w:rsidRPr="009824AD">
        <w:rPr>
          <w:rFonts w:ascii="Helvetica" w:hAnsi="Helvetica" w:cs="Calibri"/>
          <w:lang w:val="en-US"/>
        </w:rPr>
        <w:t>is crucial</w:t>
      </w:r>
      <w:r w:rsidR="00142AD0" w:rsidRPr="009824AD">
        <w:rPr>
          <w:rFonts w:ascii="Helvetica" w:hAnsi="Helvetica" w:cs="Calibri"/>
          <w:lang w:val="en-US"/>
        </w:rPr>
        <w:t xml:space="preserve"> to finetune the surgical strategy including the </w:t>
      </w:r>
      <w:r w:rsidR="0016676F" w:rsidRPr="009824AD">
        <w:rPr>
          <w:rFonts w:ascii="Helvetica" w:hAnsi="Helvetica" w:cs="Calibri"/>
          <w:lang w:val="en-US"/>
        </w:rPr>
        <w:t xml:space="preserve">choice of approach. </w:t>
      </w:r>
      <w:r w:rsidR="003F7C1D" w:rsidRPr="009824AD">
        <w:rPr>
          <w:rFonts w:ascii="Helvetica" w:hAnsi="Helvetica" w:cs="Calibri"/>
          <w:lang w:val="en-US"/>
        </w:rPr>
        <w:t xml:space="preserve">The French Association of Hepatopancreatobiliary Surgery and Transplantation </w:t>
      </w:r>
      <w:r w:rsidR="00FB3300" w:rsidRPr="009824AD">
        <w:rPr>
          <w:rFonts w:ascii="Helvetica" w:hAnsi="Helvetica" w:cs="Calibri"/>
          <w:lang w:val="en-US"/>
        </w:rPr>
        <w:t xml:space="preserve">(ACHBT) </w:t>
      </w:r>
      <w:r w:rsidR="00142AD0" w:rsidRPr="009824AD">
        <w:rPr>
          <w:rFonts w:ascii="Helvetica" w:hAnsi="Helvetica" w:cs="Calibri"/>
          <w:lang w:val="en-US"/>
        </w:rPr>
        <w:t>developed a score to predict</w:t>
      </w:r>
      <w:r w:rsidR="00936EC2" w:rsidRPr="009824AD">
        <w:rPr>
          <w:rFonts w:ascii="Helvetica" w:hAnsi="Helvetica" w:cs="Calibri"/>
          <w:lang w:val="en-US"/>
        </w:rPr>
        <w:t xml:space="preserve"> </w:t>
      </w:r>
      <w:r w:rsidR="0072020D" w:rsidRPr="009824AD">
        <w:rPr>
          <w:rFonts w:ascii="Helvetica" w:hAnsi="Helvetica" w:cs="Calibri"/>
          <w:lang w:val="en-US"/>
        </w:rPr>
        <w:t>CR-POBL</w:t>
      </w:r>
      <w:r w:rsidR="00142AD0" w:rsidRPr="009824AD">
        <w:rPr>
          <w:rFonts w:ascii="Helvetica" w:hAnsi="Helvetica" w:cs="Calibri"/>
          <w:lang w:val="en-US"/>
        </w:rPr>
        <w:t xml:space="preserve"> after </w:t>
      </w:r>
      <w:r w:rsidR="00FB3300" w:rsidRPr="009824AD">
        <w:rPr>
          <w:rFonts w:ascii="Helvetica" w:hAnsi="Helvetica" w:cs="Calibri"/>
          <w:lang w:val="en-US"/>
        </w:rPr>
        <w:t>liver surgery</w:t>
      </w:r>
      <w:r w:rsidR="00093BF5" w:rsidRPr="009824AD">
        <w:rPr>
          <w:rFonts w:ascii="Helvetica" w:hAnsi="Helvetica" w:cs="Calibri"/>
          <w:lang w:val="en-US"/>
        </w:rPr>
        <w:fldChar w:fldCharType="begin" w:fldLock="1"/>
      </w:r>
      <w:r w:rsidR="006E2594">
        <w:rPr>
          <w:rFonts w:ascii="Helvetica" w:hAnsi="Helvetica" w:cs="Calibri"/>
          <w:lang w:val="en-US"/>
        </w:rPr>
        <w:instrText>ADDIN CSL_CITATION {"citationItems":[{"id":"ITEM-1","itemData":{"DOI":"10.1002/bjs.10647","author":[{"dropping-particle":"","family":"Mohkam","given":"K","non-dropping-particle":"","parse-names":false,"suffix":""},{"dropping-particle":"","family":"Farges","given":"O","non-dropping-particle":"","parse-names":false,"suffix":""},{"dropping-particle":"","family":"Vibert","given":"E","non-dropping-particle":"","parse-names":false,"suffix":""},{"dropping-particle":"","family":"Soubrane","given":"O","non-dropping-particle":"","parse-names":false,"suffix":""},{"dropping-particle":"","family":"Adam","given":"R","non-dropping-particle":"","parse-names":false,"suffix":""},{"dropping-particle":"","family":"Pruvot","given":"F","non-dropping-particle":"","parse-names":false,"suffix":""},{"dropping-particle":"","family":"Regimbeau","given":"J","non-dropping-particle":"","parse-names":false,"suffix":""},{"dropping-particle":"","family":"Adham","given":"M","non-dropping-particle":"","parse-names":false,"suffix":""},{"dropping-particle":"","family":"Boleslawski","given":"E","non-dropping-particle":"","parse-names":false,"suffix":""},{"dropping-particle":"","family":"Mabrut","given":"J","non-dropping-particle":"","parse-names":false,"suffix":""}],"id":"ITEM-1","issued":{"date-parts":[["2017"]]},"title":"Risk score to predict biliary leakage after elective liver resection","type":"article-journal"},"uris":["http://www.mendeley.com/documents/?uuid=8a8b916d-7946-4b72-9567-873b38377019"]}],"mendeley":{"formattedCitation":"(58)","plainTextFormattedCitation":"(58)","previouslyFormattedCitation":"(57)"},"properties":{"noteIndex":0},"schema":"https://github.com/citation-style-language/schema/raw/master/csl-citation.json"}</w:instrText>
      </w:r>
      <w:r w:rsidR="00093BF5" w:rsidRPr="009824AD">
        <w:rPr>
          <w:rFonts w:ascii="Helvetica" w:hAnsi="Helvetica" w:cs="Calibri"/>
          <w:lang w:val="en-US"/>
        </w:rPr>
        <w:fldChar w:fldCharType="separate"/>
      </w:r>
      <w:r w:rsidR="006E2594" w:rsidRPr="006E2594">
        <w:rPr>
          <w:rFonts w:ascii="Helvetica" w:hAnsi="Helvetica" w:cs="Calibri"/>
          <w:noProof/>
          <w:lang w:val="en-US"/>
        </w:rPr>
        <w:t>(58)</w:t>
      </w:r>
      <w:r w:rsidR="00093BF5" w:rsidRPr="009824AD">
        <w:rPr>
          <w:rFonts w:ascii="Helvetica" w:hAnsi="Helvetica" w:cs="Calibri"/>
          <w:lang w:val="en-US"/>
        </w:rPr>
        <w:fldChar w:fldCharType="end"/>
      </w:r>
      <w:r w:rsidR="00E444F2" w:rsidRPr="009824AD">
        <w:rPr>
          <w:rFonts w:ascii="Helvetica" w:hAnsi="Helvetica" w:cs="Calibri"/>
          <w:lang w:val="en-US"/>
        </w:rPr>
        <w:t>.</w:t>
      </w:r>
      <w:r w:rsidR="00142AD0" w:rsidRPr="009824AD">
        <w:rPr>
          <w:rFonts w:ascii="Helvetica" w:hAnsi="Helvetica" w:cs="Calibri"/>
          <w:lang w:val="en-US"/>
        </w:rPr>
        <w:t xml:space="preserve"> </w:t>
      </w:r>
      <w:r w:rsidR="00605F20" w:rsidRPr="009824AD">
        <w:rPr>
          <w:rFonts w:ascii="Helvetica" w:hAnsi="Helvetica" w:cs="Calibri"/>
          <w:lang w:val="en-US"/>
        </w:rPr>
        <w:t>This</w:t>
      </w:r>
      <w:r w:rsidR="00936EC2" w:rsidRPr="009824AD">
        <w:rPr>
          <w:rFonts w:ascii="Helvetica" w:hAnsi="Helvetica" w:cs="Calibri"/>
          <w:lang w:val="en-US"/>
        </w:rPr>
        <w:t xml:space="preserve"> </w:t>
      </w:r>
      <w:r w:rsidR="003F7C1D" w:rsidRPr="009824AD">
        <w:rPr>
          <w:rFonts w:ascii="Helvetica" w:hAnsi="Helvetica" w:cs="Calibri"/>
          <w:lang w:val="en-US"/>
        </w:rPr>
        <w:t xml:space="preserve">prediction </w:t>
      </w:r>
      <w:r w:rsidR="00605F20" w:rsidRPr="009824AD">
        <w:rPr>
          <w:rFonts w:ascii="Helvetica" w:hAnsi="Helvetica" w:cs="Calibri"/>
          <w:lang w:val="en-US"/>
        </w:rPr>
        <w:t xml:space="preserve">model </w:t>
      </w:r>
      <w:r w:rsidR="00FB3300" w:rsidRPr="009824AD">
        <w:rPr>
          <w:rFonts w:ascii="Helvetica" w:hAnsi="Helvetica" w:cs="Calibri"/>
          <w:lang w:val="en-US"/>
        </w:rPr>
        <w:t xml:space="preserve">includes blood loss, remnant ischemia, anatomical resection of segment 8, transection along right aspect of left intersectional plane and associating liver partition and portal vein ligation for staged hepatectomy and </w:t>
      </w:r>
      <w:r w:rsidR="003F7C1D" w:rsidRPr="009824AD">
        <w:rPr>
          <w:rFonts w:ascii="Helvetica" w:hAnsi="Helvetica" w:cs="Calibri"/>
          <w:lang w:val="en-US"/>
        </w:rPr>
        <w:t xml:space="preserve">has been </w:t>
      </w:r>
      <w:r w:rsidR="00FB3300" w:rsidRPr="009824AD">
        <w:rPr>
          <w:rFonts w:ascii="Helvetica" w:hAnsi="Helvetica" w:cs="Calibri"/>
          <w:lang w:val="en-US"/>
        </w:rPr>
        <w:t xml:space="preserve">recently </w:t>
      </w:r>
      <w:r w:rsidR="003F7C1D" w:rsidRPr="009824AD">
        <w:rPr>
          <w:rFonts w:ascii="Helvetica" w:hAnsi="Helvetica" w:cs="Calibri"/>
          <w:lang w:val="en-US"/>
        </w:rPr>
        <w:t>externally validated</w:t>
      </w:r>
      <w:r w:rsidR="00587BF6" w:rsidRPr="009824AD">
        <w:rPr>
          <w:rFonts w:ascii="Helvetica" w:hAnsi="Helvetica" w:cs="Calibri"/>
          <w:lang w:val="en-US"/>
        </w:rPr>
        <w:t xml:space="preserve"> for LLR patients</w:t>
      </w:r>
      <w:r w:rsidR="00093BF5" w:rsidRPr="009824AD">
        <w:rPr>
          <w:rFonts w:ascii="Helvetica" w:hAnsi="Helvetica" w:cs="Calibri"/>
          <w:lang w:val="en-US"/>
        </w:rPr>
        <w:fldChar w:fldCharType="begin" w:fldLock="1"/>
      </w:r>
      <w:r w:rsidR="006E2594">
        <w:rPr>
          <w:rFonts w:ascii="Helvetica" w:hAnsi="Helvetica" w:cs="Calibri"/>
          <w:lang w:val="en-US"/>
        </w:rPr>
        <w:instrText>ADDIN CSL_CITATION {"citationItems":[{"id":"ITEM-1","itemData":{"DOI":"10.1016/j.jamcollsurg.2018.03.024","ISSN":"1072-7515","author":[{"dropping-particle":"","family":"Mohkam","given":"Kayvan","non-dropping-particle":"","parse-names":false,"suffix":""},{"dropping-particle":"","family":"Fuks","given":"David","non-dropping-particle":"","parse-names":false,"suffix":""},{"dropping-particle":"","family":"Vibert","given":"Eric","non-dropping-particle":"","parse-names":false,"suffix":""},{"dropping-particle":"","family":"Nomi","given":"Takeo","non-dropping-particle":"","parse-names":false,"suffix":""},{"dropping-particle":"","family":"Cauchy","given":"François","non-dropping-particle":"","parse-names":false,"suffix":""},{"dropping-particle":"","family":"Kawaguchi","given":"Yoshikuni","non-dropping-particle":"","parse-names":false,"suffix":""},{"dropping-particle":"","family":"Boleslawski","given":"Emmanuel","non-dropping-particle":"","parse-names":false,"suffix":""},{"dropping-particle":"","family":"Regimbeau","given":"Jean-marc","non-dropping-particle":"","parse-names":false,"suffix":""},{"dropping-particle":"","family":"Gayet","given":"Brice","non-dropping-particle":"","parse-names":false,"suffix":""},{"dropping-particle":"","family":"Mabrut","given":"Jean-yves","non-dropping-particle":"","parse-names":false,"suffix":""}],"container-title":"Journal of the American College of Surgeons","id":"ITEM-1","issued":{"date-parts":[["2018"]]},"publisher":"American College of Surgeons","title":"External Validation and Optimization of the French Association of Hepatopancreatobiliary Surgery and Transplantation’s Score to Predict Severe Postoperative Biliary Leakage after Open or Laparoscopic Liver Resection","type":"article-journal"},"uris":["http://www.mendeley.com/documents/?uuid=9f647d5e-92cb-4310-b18a-9d2323b47368"]}],"mendeley":{"formattedCitation":"(59)","plainTextFormattedCitation":"(59)","previouslyFormattedCitation":"(58)"},"properties":{"noteIndex":0},"schema":"https://github.com/citation-style-language/schema/raw/master/csl-citation.json"}</w:instrText>
      </w:r>
      <w:r w:rsidR="00093BF5" w:rsidRPr="009824AD">
        <w:rPr>
          <w:rFonts w:ascii="Helvetica" w:hAnsi="Helvetica" w:cs="Calibri"/>
          <w:lang w:val="en-US"/>
        </w:rPr>
        <w:fldChar w:fldCharType="separate"/>
      </w:r>
      <w:r w:rsidR="006E2594" w:rsidRPr="006E2594">
        <w:rPr>
          <w:rFonts w:ascii="Helvetica" w:hAnsi="Helvetica" w:cs="Calibri"/>
          <w:noProof/>
          <w:lang w:val="en-US"/>
        </w:rPr>
        <w:t>(59)</w:t>
      </w:r>
      <w:r w:rsidR="00093BF5" w:rsidRPr="009824AD">
        <w:rPr>
          <w:rFonts w:ascii="Helvetica" w:hAnsi="Helvetica" w:cs="Calibri"/>
          <w:lang w:val="en-US"/>
        </w:rPr>
        <w:fldChar w:fldCharType="end"/>
      </w:r>
      <w:r w:rsidR="00E444F2" w:rsidRPr="009824AD">
        <w:rPr>
          <w:rFonts w:ascii="Helvetica" w:hAnsi="Helvetica" w:cs="Calibri"/>
          <w:lang w:val="en-US"/>
        </w:rPr>
        <w:t>.</w:t>
      </w:r>
      <w:r w:rsidR="00FB3300" w:rsidRPr="009824AD">
        <w:rPr>
          <w:rFonts w:ascii="Helvetica" w:hAnsi="Helvetica" w:cs="Calibri"/>
          <w:lang w:val="en-US"/>
        </w:rPr>
        <w:t xml:space="preserve"> </w:t>
      </w:r>
      <w:r w:rsidR="006F5759" w:rsidRPr="009824AD">
        <w:rPr>
          <w:rFonts w:ascii="Helvetica" w:hAnsi="Helvetica" w:cs="Calibri"/>
          <w:lang w:val="en-US"/>
        </w:rPr>
        <w:t>Of note,</w:t>
      </w:r>
      <w:r w:rsidR="00DF2A1E" w:rsidRPr="009824AD">
        <w:rPr>
          <w:rFonts w:ascii="Helvetica" w:hAnsi="Helvetica" w:cs="Calibri"/>
          <w:lang w:val="en-US"/>
        </w:rPr>
        <w:t xml:space="preserve"> </w:t>
      </w:r>
      <w:r w:rsidR="006F5759" w:rsidRPr="009824AD">
        <w:rPr>
          <w:rFonts w:ascii="Helvetica" w:hAnsi="Helvetica" w:cs="Calibri"/>
          <w:lang w:val="en-US"/>
        </w:rPr>
        <w:t xml:space="preserve"> </w:t>
      </w:r>
      <w:r w:rsidR="00DF2A1E" w:rsidRPr="009824AD">
        <w:rPr>
          <w:rFonts w:ascii="Helvetica" w:hAnsi="Helvetica" w:cs="Calibri"/>
          <w:lang w:val="en-US"/>
        </w:rPr>
        <w:t xml:space="preserve">the ACHBT score has been developed and validated upon a national French cohort and its international </w:t>
      </w:r>
      <w:r w:rsidR="009F6740" w:rsidRPr="009824AD">
        <w:rPr>
          <w:rFonts w:ascii="Helvetica" w:hAnsi="Helvetica" w:cs="Calibri"/>
          <w:lang w:val="en-US"/>
        </w:rPr>
        <w:t xml:space="preserve">application </w:t>
      </w:r>
      <w:r w:rsidR="00DF2A1E" w:rsidRPr="009824AD">
        <w:rPr>
          <w:rFonts w:ascii="Helvetica" w:hAnsi="Helvetica" w:cs="Calibri"/>
          <w:lang w:val="en-US"/>
        </w:rPr>
        <w:t>remains questionable. Further international studies focusing on p</w:t>
      </w:r>
      <w:r w:rsidR="00FB3300" w:rsidRPr="009824AD">
        <w:rPr>
          <w:rFonts w:ascii="Helvetica" w:hAnsi="Helvetica" w:cs="Calibri"/>
          <w:lang w:val="en-US"/>
        </w:rPr>
        <w:t xml:space="preserve">rediction models such as the ACHBT </w:t>
      </w:r>
      <w:r w:rsidR="00093BF5" w:rsidRPr="009824AD">
        <w:rPr>
          <w:rFonts w:ascii="Helvetica" w:hAnsi="Helvetica" w:cs="Calibri"/>
          <w:lang w:val="en-US"/>
        </w:rPr>
        <w:t>score</w:t>
      </w:r>
      <w:r w:rsidR="003F7C1D" w:rsidRPr="009824AD">
        <w:rPr>
          <w:rFonts w:ascii="Helvetica" w:hAnsi="Helvetica" w:cs="Calibri"/>
          <w:lang w:val="en-US"/>
        </w:rPr>
        <w:t xml:space="preserve"> </w:t>
      </w:r>
      <w:r w:rsidR="00DF2A1E" w:rsidRPr="009824AD">
        <w:rPr>
          <w:rFonts w:ascii="Helvetica" w:hAnsi="Helvetica" w:cs="Calibri"/>
          <w:lang w:val="en-US"/>
        </w:rPr>
        <w:t xml:space="preserve">may </w:t>
      </w:r>
      <w:r w:rsidR="003F7C1D" w:rsidRPr="009824AD">
        <w:rPr>
          <w:rFonts w:ascii="Helvetica" w:hAnsi="Helvetica" w:cs="Calibri"/>
          <w:lang w:val="en-US"/>
        </w:rPr>
        <w:t>be of clinical value in the preoperative assessment of patients with an indication for liver surgery</w:t>
      </w:r>
      <w:r w:rsidR="00F35715" w:rsidRPr="009824AD">
        <w:rPr>
          <w:rFonts w:ascii="Helvetica" w:hAnsi="Helvetica" w:cs="Calibri"/>
          <w:lang w:val="en-US"/>
        </w:rPr>
        <w:t xml:space="preserve">. </w:t>
      </w:r>
    </w:p>
    <w:p w14:paraId="440D2062" w14:textId="46A03BA6" w:rsidR="002334B3" w:rsidRPr="009824AD" w:rsidRDefault="002334B3" w:rsidP="00FB3300">
      <w:pPr>
        <w:pStyle w:val="Geenafstand"/>
        <w:spacing w:line="480" w:lineRule="auto"/>
        <w:jc w:val="both"/>
        <w:rPr>
          <w:rFonts w:ascii="Helvetica" w:hAnsi="Helvetica" w:cs="Calibri"/>
          <w:lang w:val="en-US"/>
        </w:rPr>
      </w:pPr>
    </w:p>
    <w:p w14:paraId="36624548" w14:textId="509AC480" w:rsidR="00900E85" w:rsidRPr="009824AD" w:rsidRDefault="00D66004" w:rsidP="00D66004">
      <w:pPr>
        <w:pStyle w:val="Geenafstand"/>
        <w:spacing w:line="480" w:lineRule="auto"/>
        <w:jc w:val="both"/>
        <w:rPr>
          <w:rFonts w:ascii="Helvetica" w:hAnsi="Helvetica" w:cs="Calibri"/>
          <w:lang w:val="en-US"/>
        </w:rPr>
      </w:pPr>
      <w:r w:rsidRPr="009824AD">
        <w:rPr>
          <w:rFonts w:ascii="Helvetica" w:hAnsi="Helvetica" w:cs="Calibri"/>
          <w:lang w:val="en-US"/>
        </w:rPr>
        <w:t xml:space="preserve">The current study has several limitations. First, the retrospective design </w:t>
      </w:r>
      <w:r w:rsidR="0054328A" w:rsidRPr="009824AD">
        <w:rPr>
          <w:rFonts w:ascii="Helvetica" w:hAnsi="Helvetica" w:cs="Calibri"/>
          <w:lang w:val="en-US"/>
        </w:rPr>
        <w:t xml:space="preserve">of the study could </w:t>
      </w:r>
      <w:r w:rsidRPr="009824AD">
        <w:rPr>
          <w:rFonts w:ascii="Helvetica" w:hAnsi="Helvetica" w:cs="Calibri"/>
          <w:lang w:val="en-US"/>
        </w:rPr>
        <w:t>introduce selection bias</w:t>
      </w:r>
      <w:r w:rsidR="00A32A02" w:rsidRPr="009824AD">
        <w:rPr>
          <w:rFonts w:ascii="Helvetica" w:hAnsi="Helvetica" w:cs="Calibri"/>
          <w:lang w:val="en-US"/>
        </w:rPr>
        <w:t xml:space="preserve"> since more complex procedures were performed in the open group. </w:t>
      </w:r>
      <w:r w:rsidR="00447240" w:rsidRPr="009824AD">
        <w:rPr>
          <w:rFonts w:ascii="Helvetica" w:hAnsi="Helvetica" w:cs="Calibri"/>
          <w:lang w:val="en-US"/>
        </w:rPr>
        <w:t>Hence</w:t>
      </w:r>
      <w:r w:rsidR="0054328A" w:rsidRPr="009824AD">
        <w:rPr>
          <w:rFonts w:ascii="Helvetica" w:hAnsi="Helvetica" w:cs="Calibri"/>
          <w:lang w:val="en-US"/>
        </w:rPr>
        <w:t>, PSM has been applied to limit this effect</w:t>
      </w:r>
      <w:r w:rsidR="00A32A02" w:rsidRPr="009824AD">
        <w:rPr>
          <w:rFonts w:ascii="Helvetica" w:hAnsi="Helvetica" w:cs="Calibri"/>
          <w:lang w:val="en-US"/>
        </w:rPr>
        <w:t xml:space="preserve"> and ensure a more reliable comparison between LLR and OLR</w:t>
      </w:r>
      <w:r w:rsidR="0054328A" w:rsidRPr="009824AD">
        <w:rPr>
          <w:rFonts w:ascii="Helvetica" w:hAnsi="Helvetica" w:cs="Calibri"/>
          <w:lang w:val="en-US"/>
        </w:rPr>
        <w:t>.</w:t>
      </w:r>
      <w:r w:rsidR="00F75A7E" w:rsidRPr="009824AD">
        <w:rPr>
          <w:rFonts w:ascii="Helvetica" w:hAnsi="Helvetica" w:cs="Calibri"/>
          <w:lang w:val="en-US"/>
        </w:rPr>
        <w:t xml:space="preserve"> </w:t>
      </w:r>
      <w:r w:rsidRPr="009824AD">
        <w:rPr>
          <w:rFonts w:ascii="Helvetica" w:hAnsi="Helvetica" w:cs="Calibri"/>
          <w:lang w:val="en-US"/>
        </w:rPr>
        <w:t xml:space="preserve">Second, results in the current study were obtained from 15 </w:t>
      </w:r>
      <w:r w:rsidR="00855E2C" w:rsidRPr="009824AD">
        <w:rPr>
          <w:rFonts w:ascii="Helvetica" w:hAnsi="Helvetica" w:cs="Calibri"/>
          <w:lang w:val="en-US"/>
        </w:rPr>
        <w:t xml:space="preserve">international </w:t>
      </w:r>
      <w:r w:rsidRPr="009824AD">
        <w:rPr>
          <w:rFonts w:ascii="Helvetica" w:eastAsia="Times New Roman" w:hAnsi="Helvetica" w:cs="Calibri"/>
          <w:lang w:val="en-US" w:eastAsia="nl-NL"/>
        </w:rPr>
        <w:t xml:space="preserve">tertiary referral </w:t>
      </w:r>
      <w:r w:rsidR="000B7DA3" w:rsidRPr="009824AD">
        <w:rPr>
          <w:rFonts w:ascii="Helvetica" w:eastAsia="Times New Roman" w:hAnsi="Helvetica" w:cs="Calibri"/>
          <w:lang w:val="en-US" w:eastAsia="nl-NL"/>
        </w:rPr>
        <w:t>center</w:t>
      </w:r>
      <w:r w:rsidRPr="009824AD">
        <w:rPr>
          <w:rFonts w:ascii="Helvetica" w:eastAsia="Times New Roman" w:hAnsi="Helvetica" w:cs="Calibri"/>
          <w:lang w:val="en-US" w:eastAsia="nl-NL"/>
        </w:rPr>
        <w:t xml:space="preserve">s with a large experience in </w:t>
      </w:r>
      <w:r w:rsidR="00A32A02" w:rsidRPr="009824AD">
        <w:rPr>
          <w:rFonts w:ascii="Helvetica" w:eastAsia="Times New Roman" w:hAnsi="Helvetica" w:cs="Calibri"/>
          <w:lang w:val="en-US" w:eastAsia="nl-NL"/>
        </w:rPr>
        <w:t xml:space="preserve">minimally invasive liver surgery and where OLR was mainly reserved for cases where LLR was not indicated. Therefore, a </w:t>
      </w:r>
      <w:r w:rsidR="007E36B8" w:rsidRPr="009824AD">
        <w:rPr>
          <w:rFonts w:ascii="Helvetica" w:eastAsia="Times New Roman" w:hAnsi="Helvetica" w:cs="Calibri"/>
          <w:lang w:val="en-US" w:eastAsia="nl-NL"/>
        </w:rPr>
        <w:t>cautious interpretation of these data regarding generalizability</w:t>
      </w:r>
      <w:r w:rsidR="00A32A02" w:rsidRPr="009824AD">
        <w:rPr>
          <w:rFonts w:ascii="Helvetica" w:eastAsia="Times New Roman" w:hAnsi="Helvetica" w:cs="Calibri"/>
          <w:lang w:val="en-US" w:eastAsia="nl-NL"/>
        </w:rPr>
        <w:t xml:space="preserve"> is required</w:t>
      </w:r>
      <w:r w:rsidR="007E36B8" w:rsidRPr="009824AD">
        <w:rPr>
          <w:rFonts w:ascii="Helvetica" w:eastAsia="Times New Roman" w:hAnsi="Helvetica" w:cs="Calibri"/>
          <w:lang w:val="en-US" w:eastAsia="nl-NL"/>
        </w:rPr>
        <w:t xml:space="preserve">. </w:t>
      </w:r>
      <w:r w:rsidR="00855E2C" w:rsidRPr="009824AD">
        <w:rPr>
          <w:rFonts w:ascii="Helvetica" w:eastAsia="Times New Roman" w:hAnsi="Helvetica" w:cs="Calibri"/>
          <w:lang w:val="en-US" w:eastAsia="nl-NL"/>
        </w:rPr>
        <w:t>However, this is the largest multi</w:t>
      </w:r>
      <w:r w:rsidR="000B7DA3" w:rsidRPr="009824AD">
        <w:rPr>
          <w:rFonts w:ascii="Helvetica" w:eastAsia="Times New Roman" w:hAnsi="Helvetica" w:cs="Calibri"/>
          <w:lang w:val="en-US" w:eastAsia="nl-NL"/>
        </w:rPr>
        <w:t>center</w:t>
      </w:r>
      <w:r w:rsidR="00855E2C" w:rsidRPr="009824AD">
        <w:rPr>
          <w:rFonts w:ascii="Helvetica" w:eastAsia="Times New Roman" w:hAnsi="Helvetica" w:cs="Calibri"/>
          <w:lang w:val="en-US" w:eastAsia="nl-NL"/>
        </w:rPr>
        <w:t xml:space="preserve"> series so far </w:t>
      </w:r>
      <w:r w:rsidR="00DF2A1E" w:rsidRPr="009824AD">
        <w:rPr>
          <w:rFonts w:ascii="Helvetica" w:eastAsia="Times New Roman" w:hAnsi="Helvetica" w:cs="Calibri"/>
          <w:lang w:val="en-US" w:eastAsia="nl-NL"/>
        </w:rPr>
        <w:t xml:space="preserve">comparing </w:t>
      </w:r>
      <w:r w:rsidR="00447240" w:rsidRPr="009824AD">
        <w:rPr>
          <w:rFonts w:ascii="Helvetica" w:eastAsia="Times New Roman" w:hAnsi="Helvetica" w:cs="Calibri"/>
          <w:lang w:val="en-US" w:eastAsia="nl-NL"/>
        </w:rPr>
        <w:t xml:space="preserve">LLR and OLR and in particular </w:t>
      </w:r>
      <w:r w:rsidR="00855E2C" w:rsidRPr="009824AD">
        <w:rPr>
          <w:rFonts w:ascii="Helvetica" w:eastAsia="Times New Roman" w:hAnsi="Helvetica" w:cs="Calibri"/>
          <w:lang w:val="en-US" w:eastAsia="nl-NL"/>
        </w:rPr>
        <w:t xml:space="preserve">investigating the occurrence and clinical impact of </w:t>
      </w:r>
      <w:r w:rsidR="0072020D" w:rsidRPr="009824AD">
        <w:rPr>
          <w:rFonts w:ascii="Helvetica" w:eastAsia="Times New Roman" w:hAnsi="Helvetica" w:cs="Calibri"/>
          <w:lang w:val="en-US" w:eastAsia="nl-NL"/>
        </w:rPr>
        <w:t>CR-POBL</w:t>
      </w:r>
      <w:r w:rsidR="00855E2C" w:rsidRPr="009824AD">
        <w:rPr>
          <w:rFonts w:ascii="Helvetica" w:eastAsia="Times New Roman" w:hAnsi="Helvetica" w:cs="Calibri"/>
          <w:lang w:val="en-US" w:eastAsia="nl-NL"/>
        </w:rPr>
        <w:t xml:space="preserve"> of patients after LLR and OLR. </w:t>
      </w:r>
      <w:r w:rsidR="007E36B8" w:rsidRPr="009824AD">
        <w:rPr>
          <w:rFonts w:ascii="Helvetica" w:eastAsia="Times New Roman" w:hAnsi="Helvetica" w:cs="Calibri"/>
          <w:lang w:val="en-US" w:eastAsia="nl-NL"/>
        </w:rPr>
        <w:t xml:space="preserve">Third, </w:t>
      </w:r>
      <w:r w:rsidR="00FA10BB" w:rsidRPr="009824AD">
        <w:rPr>
          <w:rFonts w:ascii="Helvetica" w:eastAsia="Times New Roman" w:hAnsi="Helvetica"/>
          <w:color w:val="1C1D1E"/>
          <w:shd w:val="clear" w:color="auto" w:fill="FFFFFF"/>
          <w:lang w:val="en-US" w:eastAsia="nl-NL"/>
        </w:rPr>
        <w:t xml:space="preserve">the long study period </w:t>
      </w:r>
      <w:r w:rsidR="00056AEF" w:rsidRPr="009824AD">
        <w:rPr>
          <w:rFonts w:ascii="Helvetica" w:eastAsia="Times New Roman" w:hAnsi="Helvetica"/>
          <w:color w:val="1C1D1E"/>
          <w:shd w:val="clear" w:color="auto" w:fill="FFFFFF"/>
          <w:lang w:val="en-US" w:eastAsia="nl-NL"/>
        </w:rPr>
        <w:t xml:space="preserve">of 19 years may </w:t>
      </w:r>
      <w:r w:rsidR="00056AEF" w:rsidRPr="009824AD">
        <w:rPr>
          <w:rFonts w:ascii="Helvetica" w:hAnsi="Helvetica" w:cs="Times New Roman"/>
          <w:bCs/>
          <w:color w:val="000000" w:themeColor="text1"/>
          <w:lang w:val="en-US"/>
        </w:rPr>
        <w:t xml:space="preserve">be subject to bias </w:t>
      </w:r>
      <w:r w:rsidR="00056AEF" w:rsidRPr="009824AD">
        <w:rPr>
          <w:rFonts w:ascii="Helvetica" w:eastAsia="Times New Roman" w:hAnsi="Helvetica"/>
          <w:color w:val="1C1D1E"/>
          <w:shd w:val="clear" w:color="auto" w:fill="FFFFFF"/>
          <w:lang w:val="en-US" w:eastAsia="nl-NL"/>
        </w:rPr>
        <w:t xml:space="preserve">due to </w:t>
      </w:r>
      <w:r w:rsidR="00FA10BB" w:rsidRPr="009824AD">
        <w:rPr>
          <w:rFonts w:ascii="Helvetica" w:eastAsia="Times New Roman" w:hAnsi="Helvetica"/>
          <w:color w:val="1C1D1E"/>
          <w:shd w:val="clear" w:color="auto" w:fill="FFFFFF"/>
          <w:lang w:val="en-US" w:eastAsia="nl-NL"/>
        </w:rPr>
        <w:t xml:space="preserve">changes in technology, </w:t>
      </w:r>
      <w:r w:rsidR="00056AEF" w:rsidRPr="009824AD">
        <w:rPr>
          <w:rFonts w:ascii="Helvetica" w:eastAsia="Times New Roman" w:hAnsi="Helvetica"/>
          <w:color w:val="1C1D1E"/>
          <w:shd w:val="clear" w:color="auto" w:fill="FFFFFF"/>
          <w:lang w:val="en-US" w:eastAsia="nl-NL"/>
        </w:rPr>
        <w:t xml:space="preserve">perioperative management </w:t>
      </w:r>
      <w:r w:rsidR="00FA10BB" w:rsidRPr="009824AD">
        <w:rPr>
          <w:rFonts w:ascii="Helvetica" w:eastAsia="Times New Roman" w:hAnsi="Helvetica"/>
          <w:color w:val="1C1D1E"/>
          <w:shd w:val="clear" w:color="auto" w:fill="FFFFFF"/>
          <w:lang w:val="en-US" w:eastAsia="nl-NL"/>
        </w:rPr>
        <w:t>and patient care</w:t>
      </w:r>
      <w:r w:rsidR="00056AEF" w:rsidRPr="009824AD">
        <w:rPr>
          <w:rFonts w:ascii="Helvetica" w:eastAsia="Times New Roman" w:hAnsi="Helvetica"/>
          <w:color w:val="1C1D1E"/>
          <w:shd w:val="clear" w:color="auto" w:fill="FFFFFF"/>
          <w:lang w:val="en-US" w:eastAsia="nl-NL"/>
        </w:rPr>
        <w:t xml:space="preserve"> over time</w:t>
      </w:r>
      <w:r w:rsidR="00FA10BB" w:rsidRPr="009824AD">
        <w:rPr>
          <w:rFonts w:ascii="Helvetica" w:eastAsia="Times New Roman" w:hAnsi="Helvetica"/>
          <w:color w:val="1C1D1E"/>
          <w:shd w:val="clear" w:color="auto" w:fill="FFFFFF"/>
          <w:lang w:val="en-US" w:eastAsia="nl-NL"/>
        </w:rPr>
        <w:t>. However,</w:t>
      </w:r>
      <w:r w:rsidR="00056AEF" w:rsidRPr="009824AD">
        <w:rPr>
          <w:rFonts w:ascii="Helvetica" w:eastAsia="Times New Roman" w:hAnsi="Helvetica"/>
          <w:color w:val="1C1D1E"/>
          <w:shd w:val="clear" w:color="auto" w:fill="FFFFFF"/>
          <w:lang w:val="en-US" w:eastAsia="nl-NL"/>
        </w:rPr>
        <w:t xml:space="preserve"> a sensitivity analysis was performed to eliminate any time effect by excluding all patients before 2011 and showing comparable results as in the entire cohort. </w:t>
      </w:r>
      <w:r w:rsidR="00056AEF" w:rsidRPr="009824AD">
        <w:rPr>
          <w:rFonts w:ascii="Helvetica" w:eastAsia="Times New Roman" w:hAnsi="Helvetica" w:cs="Calibri"/>
          <w:lang w:val="en-US" w:eastAsia="nl-NL"/>
        </w:rPr>
        <w:t xml:space="preserve">Fourth, </w:t>
      </w:r>
      <w:r w:rsidR="00855E2C" w:rsidRPr="009824AD">
        <w:rPr>
          <w:rFonts w:ascii="Helvetica" w:hAnsi="Helvetica" w:cs="Calibri"/>
          <w:lang w:val="en-US"/>
        </w:rPr>
        <w:t>although the multi</w:t>
      </w:r>
      <w:r w:rsidR="000B7DA3" w:rsidRPr="009824AD">
        <w:rPr>
          <w:rFonts w:ascii="Helvetica" w:hAnsi="Helvetica" w:cs="Calibri"/>
          <w:lang w:val="en-US"/>
        </w:rPr>
        <w:t>center</w:t>
      </w:r>
      <w:r w:rsidR="00855E2C" w:rsidRPr="009824AD">
        <w:rPr>
          <w:rFonts w:ascii="Helvetica" w:hAnsi="Helvetica" w:cs="Calibri"/>
          <w:lang w:val="en-US"/>
        </w:rPr>
        <w:t xml:space="preserve"> nature of the cohort was a strength, there may be some variation in the perioperative management of patients at the individual </w:t>
      </w:r>
      <w:r w:rsidR="000B7DA3" w:rsidRPr="009824AD">
        <w:rPr>
          <w:rFonts w:ascii="Helvetica" w:hAnsi="Helvetica" w:cs="Calibri"/>
          <w:lang w:val="en-US"/>
        </w:rPr>
        <w:t>center</w:t>
      </w:r>
      <w:r w:rsidR="00117BD9" w:rsidRPr="009824AD">
        <w:rPr>
          <w:rFonts w:ascii="Helvetica" w:hAnsi="Helvetica" w:cs="Calibri"/>
          <w:lang w:val="en-US"/>
        </w:rPr>
        <w:t xml:space="preserve"> level</w:t>
      </w:r>
      <w:r w:rsidR="00D35FBF" w:rsidRPr="009824AD">
        <w:rPr>
          <w:rFonts w:ascii="Helvetica" w:hAnsi="Helvetica" w:cs="Calibri"/>
          <w:lang w:val="en-US"/>
        </w:rPr>
        <w:t xml:space="preserve"> such as the routine use of a leakage test</w:t>
      </w:r>
      <w:r w:rsidR="00855E2C" w:rsidRPr="009824AD">
        <w:rPr>
          <w:rFonts w:ascii="Helvetica" w:hAnsi="Helvetica" w:cs="Calibri"/>
          <w:lang w:val="en-US"/>
        </w:rPr>
        <w:t>.</w:t>
      </w:r>
      <w:r w:rsidR="00D35FBF" w:rsidRPr="009824AD">
        <w:rPr>
          <w:rFonts w:ascii="Helvetica" w:hAnsi="Helvetica" w:cs="Calibri"/>
          <w:lang w:val="en-US"/>
        </w:rPr>
        <w:t xml:space="preserve"> </w:t>
      </w:r>
      <w:r w:rsidR="00F32683">
        <w:rPr>
          <w:rFonts w:ascii="Helvetica" w:hAnsi="Helvetica" w:cs="Calibri"/>
          <w:lang w:val="en-US"/>
        </w:rPr>
        <w:t xml:space="preserve">At last, previous literature showed that intraoperative drain placement was associated with increased diagnosis of POBL, especially </w:t>
      </w:r>
      <w:r w:rsidR="00F32683">
        <w:rPr>
          <w:rFonts w:ascii="Helvetica" w:hAnsi="Helvetica" w:cs="Calibri"/>
          <w:lang w:val="en-US"/>
        </w:rPr>
        <w:lastRenderedPageBreak/>
        <w:t xml:space="preserve">in bile leaks not requiring an intervention </w:t>
      </w:r>
      <w:r w:rsidR="00F32683">
        <w:rPr>
          <w:rFonts w:ascii="Helvetica" w:hAnsi="Helvetica" w:cs="Calibri"/>
          <w:lang w:val="en-US"/>
        </w:rPr>
        <w:fldChar w:fldCharType="begin" w:fldLock="1"/>
      </w:r>
      <w:r w:rsidR="006E2594">
        <w:rPr>
          <w:rFonts w:ascii="Helvetica" w:hAnsi="Helvetica" w:cs="Calibri"/>
          <w:lang w:val="en-US"/>
        </w:rPr>
        <w:instrText>ADDIN CSL_CITATION {"citationItems":[{"id":"ITEM-1","itemData":{"DOI":"10.1016/J.JAMCOLLSURG.2016.09.004","PMID":"27793459","abstract":"Background Operative site drainage (OSD) after elective hepatectomy remains widely used despite data suggesting limited benefit. Multi-institutional, quality-driven databases and analytic techniques offer a unique source from which the utility of OSD can be assessed. Study Design Elective hepatectomies from the 2014 American College of Surgeons (ACS) NSQIP Targeted Hepatectomy Database were propensity score matched on the use of OSD using preoperative and intraoperative variables. The influence of OSD on the diagnosis of postoperative bile leaks, rates of subsequent intervention, and other outcomes within 30 days were assessed using paired testing. Results Operative site drainage was used in 42.2% of 2,583 eligible hepatectomies. There were 1,868 cases matched, with 7.2% experiencing a post-hepatectomy bile leak. The incidence of bile leak initially requiring intervention was no different between the OSD and no OSD groups (n = 32 vs n = 24, p = 0.278), and OSD was associated with a greater number of drainage procedures to manage post-hepatectomy bile leak (n = 27 in the OSD group, n = 13 in the no OSD group, p = 0.034, relative risk [RR] 2.1 [95% CI 1.1 to 4.0]). The OSD group had a greater mean length of stay (+0.8 days, p = 0.004) and more 30-day readmissions (p &lt; 0.001, RR 1.6 [95% CI 1.2 to 2.1]). On multivariate analysis, post-hepatectomy bile leak and receipt of additional drainage procedures were stronger predictors of increased length of stay and readmissions than OSD. Conclusions In a propensity score matched cohort, OSD did not improve the rate of diagnosis of major bile leaks and was associated with increased interventions, greater length of stay, and more 30-day readmissions. These data suggest that routine OSD after elective hepatectomy may not be helpful in capturing clinically relevant bile leaks and has additional consequences.","author":[{"dropping-particle":"","family":"Brauer","given":"David G","non-dropping-particle":"","parse-names":false,"suffix":""},{"dropping-particle":"","family":"Nywening","given":"Timothy M","non-dropping-particle":"","parse-names":false,"suffix":""},{"dropping-particle":"","family":"Jaques","given":"David P","non-dropping-particle":"","parse-names":false,"suffix":""},{"dropping-particle":"","family":"Doyle","given":"MB Majella","non-dropping-particle":"","parse-names":false,"suffix":""},{"dropping-particle":"","family":"Chapman","given":"William C","non-dropping-particle":"","parse-names":false,"suffix":""},{"dropping-particle":"","family":"Fields","given":"Ryan C","non-dropping-particle":"","parse-names":false,"suffix":""},{"dropping-particle":"","family":"Hawkins","given":"William G","non-dropping-particle":"","parse-names":false,"suffix":""}],"container-title":"Journal of the American College of Surgeons","id":"ITEM-1","issue":"6","issued":{"date-parts":[["2016","12","1"]]},"page":"774","publisher":"NIH Public Access","title":"Operative Site Drainage after Hepatectomy: A Propensity Score Matched Analysis Using the American College of Surgeons NSQIP Targeted Hepatectomy Database","type":"article-journal","volume":"223"},"uris":["http://www.mendeley.com/documents/?uuid=9e918adc-0bb4-30fb-a855-77d44e881137"]}],"mendeley":{"formattedCitation":"(60)","plainTextFormattedCitation":"(60)","previouslyFormattedCitation":"(59)"},"properties":{"noteIndex":0},"schema":"https://github.com/citation-style-language/schema/raw/master/csl-citation.json"}</w:instrText>
      </w:r>
      <w:r w:rsidR="00F32683">
        <w:rPr>
          <w:rFonts w:ascii="Helvetica" w:hAnsi="Helvetica" w:cs="Calibri"/>
          <w:lang w:val="en-US"/>
        </w:rPr>
        <w:fldChar w:fldCharType="separate"/>
      </w:r>
      <w:r w:rsidR="006E2594" w:rsidRPr="006E2594">
        <w:rPr>
          <w:rFonts w:ascii="Helvetica" w:hAnsi="Helvetica" w:cs="Calibri"/>
          <w:noProof/>
          <w:lang w:val="en-US"/>
        </w:rPr>
        <w:t>(60)</w:t>
      </w:r>
      <w:r w:rsidR="00F32683">
        <w:rPr>
          <w:rFonts w:ascii="Helvetica" w:hAnsi="Helvetica" w:cs="Calibri"/>
          <w:lang w:val="en-US"/>
        </w:rPr>
        <w:fldChar w:fldCharType="end"/>
      </w:r>
      <w:r w:rsidR="00F32683">
        <w:rPr>
          <w:rFonts w:ascii="Helvetica" w:hAnsi="Helvetica" w:cs="Calibri"/>
          <w:lang w:val="en-US"/>
        </w:rPr>
        <w:t>. Although all participating center</w:t>
      </w:r>
      <w:r w:rsidR="00670322">
        <w:rPr>
          <w:rFonts w:ascii="Helvetica" w:hAnsi="Helvetica" w:cs="Calibri"/>
          <w:lang w:val="en-US"/>
        </w:rPr>
        <w:t>s</w:t>
      </w:r>
      <w:r w:rsidR="00F32683">
        <w:rPr>
          <w:rFonts w:ascii="Helvetica" w:hAnsi="Helvetica" w:cs="Calibri"/>
          <w:lang w:val="en-US"/>
        </w:rPr>
        <w:t xml:space="preserve"> reported that intraoperative drain placement occurred selectively after LLR and OLR, individual patient data on intraoperative drain placement were not collected. Future studies on LLR and OLR with data on intraoperative drain placement may be valuable to gain further insights in the incidence rates of POBL after LLR and OLR. </w:t>
      </w:r>
    </w:p>
    <w:p w14:paraId="53B7632F" w14:textId="3D64E940" w:rsidR="007852C0" w:rsidRPr="009824AD" w:rsidRDefault="007852C0" w:rsidP="00D66004">
      <w:pPr>
        <w:pStyle w:val="Geenafstand"/>
        <w:spacing w:line="480" w:lineRule="auto"/>
        <w:jc w:val="both"/>
        <w:rPr>
          <w:rFonts w:ascii="Helvetica" w:eastAsia="Times New Roman" w:hAnsi="Helvetica" w:cs="Calibri"/>
          <w:lang w:val="en-US" w:eastAsia="nl-NL"/>
        </w:rPr>
      </w:pPr>
    </w:p>
    <w:p w14:paraId="63551AA8" w14:textId="52EC9A23" w:rsidR="007852C0" w:rsidRPr="009824AD" w:rsidRDefault="007852C0" w:rsidP="00D66004">
      <w:pPr>
        <w:pStyle w:val="Geenafstand"/>
        <w:spacing w:line="480" w:lineRule="auto"/>
        <w:jc w:val="both"/>
        <w:rPr>
          <w:rFonts w:ascii="Helvetica" w:eastAsia="Times New Roman" w:hAnsi="Helvetica" w:cs="Calibri"/>
          <w:lang w:val="en-US" w:eastAsia="nl-NL"/>
        </w:rPr>
      </w:pPr>
    </w:p>
    <w:p w14:paraId="59E21B43" w14:textId="523CBE6B" w:rsidR="007852C0" w:rsidRPr="009824AD" w:rsidRDefault="007852C0" w:rsidP="00D66004">
      <w:pPr>
        <w:pStyle w:val="Geenafstand"/>
        <w:spacing w:line="480" w:lineRule="auto"/>
        <w:jc w:val="both"/>
        <w:rPr>
          <w:rFonts w:ascii="Helvetica" w:eastAsia="Times New Roman" w:hAnsi="Helvetica" w:cs="Calibri"/>
          <w:lang w:val="en-US" w:eastAsia="nl-NL"/>
        </w:rPr>
      </w:pPr>
    </w:p>
    <w:p w14:paraId="7F61E9FB" w14:textId="6A5A3D97" w:rsidR="007852C0" w:rsidRPr="009824AD" w:rsidRDefault="007852C0" w:rsidP="00D66004">
      <w:pPr>
        <w:pStyle w:val="Geenafstand"/>
        <w:spacing w:line="480" w:lineRule="auto"/>
        <w:jc w:val="both"/>
        <w:rPr>
          <w:rFonts w:ascii="Helvetica" w:eastAsia="Times New Roman" w:hAnsi="Helvetica" w:cs="Calibri"/>
          <w:lang w:val="en-US" w:eastAsia="nl-NL"/>
        </w:rPr>
      </w:pPr>
    </w:p>
    <w:p w14:paraId="22F9A9FE" w14:textId="123A78D1" w:rsidR="007852C0" w:rsidRPr="009824AD" w:rsidRDefault="007852C0" w:rsidP="00D66004">
      <w:pPr>
        <w:pStyle w:val="Geenafstand"/>
        <w:spacing w:line="480" w:lineRule="auto"/>
        <w:jc w:val="both"/>
        <w:rPr>
          <w:rFonts w:ascii="Helvetica" w:eastAsia="Times New Roman" w:hAnsi="Helvetica" w:cs="Calibri"/>
          <w:lang w:val="en-US" w:eastAsia="nl-NL"/>
        </w:rPr>
      </w:pPr>
    </w:p>
    <w:p w14:paraId="10B8B529" w14:textId="77777777" w:rsidR="009824AD" w:rsidRPr="009824AD" w:rsidRDefault="009824AD" w:rsidP="00D66004">
      <w:pPr>
        <w:pStyle w:val="Geenafstand"/>
        <w:spacing w:line="480" w:lineRule="auto"/>
        <w:jc w:val="both"/>
        <w:rPr>
          <w:rFonts w:ascii="Helvetica" w:eastAsia="Times New Roman" w:hAnsi="Helvetica" w:cs="Calibri"/>
          <w:lang w:val="en-US" w:eastAsia="nl-NL"/>
        </w:rPr>
        <w:sectPr w:rsidR="009824AD" w:rsidRPr="009824AD" w:rsidSect="00CA02C7">
          <w:pgSz w:w="11900" w:h="16840"/>
          <w:pgMar w:top="1417" w:right="1417" w:bottom="1417" w:left="1417" w:header="708" w:footer="708" w:gutter="0"/>
          <w:cols w:space="708"/>
          <w:docGrid w:linePitch="360"/>
        </w:sectPr>
      </w:pPr>
    </w:p>
    <w:p w14:paraId="5A62B75B" w14:textId="63870FBF" w:rsidR="000B7DA3" w:rsidRPr="009824AD" w:rsidRDefault="007852C0" w:rsidP="009824AD">
      <w:pPr>
        <w:pStyle w:val="Kop1"/>
        <w:rPr>
          <w:rFonts w:ascii="Helvetica" w:hAnsi="Helvetica"/>
          <w:lang w:val="en-US" w:eastAsia="nl-NL"/>
        </w:rPr>
      </w:pPr>
      <w:r w:rsidRPr="009824AD">
        <w:rPr>
          <w:rFonts w:ascii="Helvetica" w:hAnsi="Helvetica"/>
          <w:lang w:val="en-US" w:eastAsia="nl-NL"/>
        </w:rPr>
        <w:lastRenderedPageBreak/>
        <w:t>CONCLUSIONS</w:t>
      </w:r>
    </w:p>
    <w:p w14:paraId="4E690818" w14:textId="5A8A38E3" w:rsidR="00E15493" w:rsidRPr="009824AD" w:rsidRDefault="007852C0" w:rsidP="00E15493">
      <w:pPr>
        <w:autoSpaceDE w:val="0"/>
        <w:autoSpaceDN w:val="0"/>
        <w:adjustRightInd w:val="0"/>
        <w:spacing w:line="480" w:lineRule="auto"/>
        <w:jc w:val="both"/>
        <w:rPr>
          <w:rFonts w:ascii="Helvetica" w:eastAsia="Times New Roman" w:hAnsi="Helvetica" w:cs="Calibri"/>
          <w:sz w:val="22"/>
          <w:szCs w:val="22"/>
          <w:lang w:val="en-US" w:eastAsia="nl-NL"/>
        </w:rPr>
      </w:pPr>
      <w:r w:rsidRPr="009824AD">
        <w:rPr>
          <w:rFonts w:ascii="Helvetica" w:eastAsia="Times New Roman" w:hAnsi="Helvetica" w:cs="Calibri"/>
          <w:sz w:val="22"/>
          <w:szCs w:val="22"/>
          <w:lang w:val="en-US" w:eastAsia="nl-NL"/>
        </w:rPr>
        <w:t>T</w:t>
      </w:r>
      <w:r w:rsidR="00E15493" w:rsidRPr="009824AD">
        <w:rPr>
          <w:rFonts w:ascii="Helvetica" w:eastAsia="Times New Roman" w:hAnsi="Helvetica" w:cs="Calibri"/>
          <w:sz w:val="22"/>
          <w:szCs w:val="22"/>
          <w:lang w:val="en-US" w:eastAsia="nl-NL"/>
        </w:rPr>
        <w:t>his international multi</w:t>
      </w:r>
      <w:r w:rsidR="000B7DA3" w:rsidRPr="009824AD">
        <w:rPr>
          <w:rFonts w:ascii="Helvetica" w:eastAsia="Times New Roman" w:hAnsi="Helvetica" w:cs="Calibri"/>
          <w:sz w:val="22"/>
          <w:szCs w:val="22"/>
          <w:lang w:val="en-US" w:eastAsia="nl-NL"/>
        </w:rPr>
        <w:t>center</w:t>
      </w:r>
      <w:r w:rsidR="00645258" w:rsidRPr="009824AD">
        <w:rPr>
          <w:rFonts w:ascii="Helvetica" w:eastAsia="Times New Roman" w:hAnsi="Helvetica" w:cs="Calibri"/>
          <w:sz w:val="22"/>
          <w:szCs w:val="22"/>
          <w:lang w:val="en-US" w:eastAsia="nl-NL"/>
        </w:rPr>
        <w:t xml:space="preserve"> propensity-score matched</w:t>
      </w:r>
      <w:r w:rsidR="00E15493" w:rsidRPr="009824AD">
        <w:rPr>
          <w:rFonts w:ascii="Helvetica" w:eastAsia="Times New Roman" w:hAnsi="Helvetica" w:cs="Calibri"/>
          <w:sz w:val="22"/>
          <w:szCs w:val="22"/>
          <w:lang w:val="en-US" w:eastAsia="nl-NL"/>
        </w:rPr>
        <w:t xml:space="preserve"> study shows that LLR </w:t>
      </w:r>
      <w:r w:rsidR="00900E85" w:rsidRPr="009824AD">
        <w:rPr>
          <w:rFonts w:ascii="Helvetica" w:eastAsia="Times New Roman" w:hAnsi="Helvetica" w:cs="Calibri"/>
          <w:sz w:val="22"/>
          <w:szCs w:val="22"/>
          <w:lang w:val="en-US" w:eastAsia="nl-NL"/>
        </w:rPr>
        <w:t>seems to</w:t>
      </w:r>
      <w:r w:rsidR="00D35FBF" w:rsidRPr="009824AD">
        <w:rPr>
          <w:rFonts w:ascii="Helvetica" w:eastAsia="Times New Roman" w:hAnsi="Helvetica" w:cs="Calibri"/>
          <w:sz w:val="22"/>
          <w:szCs w:val="22"/>
          <w:lang w:val="en-US" w:eastAsia="nl-NL"/>
        </w:rPr>
        <w:t xml:space="preserve"> have</w:t>
      </w:r>
      <w:r w:rsidR="00E15493" w:rsidRPr="009824AD">
        <w:rPr>
          <w:rFonts w:ascii="Helvetica" w:eastAsia="Times New Roman" w:hAnsi="Helvetica" w:cs="Calibri"/>
          <w:sz w:val="22"/>
          <w:szCs w:val="22"/>
          <w:lang w:val="en-US" w:eastAsia="nl-NL"/>
        </w:rPr>
        <w:t xml:space="preserve"> a lower incidence rate of </w:t>
      </w:r>
      <w:r w:rsidR="0072020D" w:rsidRPr="009824AD">
        <w:rPr>
          <w:rFonts w:ascii="Helvetica" w:eastAsia="Times New Roman" w:hAnsi="Helvetica" w:cs="Calibri"/>
          <w:sz w:val="22"/>
          <w:szCs w:val="22"/>
          <w:lang w:val="en-US" w:eastAsia="nl-NL"/>
        </w:rPr>
        <w:t>CR-POBL</w:t>
      </w:r>
      <w:r w:rsidR="00E15493" w:rsidRPr="009824AD">
        <w:rPr>
          <w:rFonts w:ascii="Helvetica" w:eastAsia="Times New Roman" w:hAnsi="Helvetica" w:cs="Calibri"/>
          <w:sz w:val="22"/>
          <w:szCs w:val="22"/>
          <w:lang w:val="en-US" w:eastAsia="nl-NL"/>
        </w:rPr>
        <w:t xml:space="preserve"> as compared to the open approach. </w:t>
      </w:r>
      <w:r w:rsidR="00C935FE" w:rsidRPr="009824AD">
        <w:rPr>
          <w:rFonts w:ascii="Helvetica" w:eastAsia="Times New Roman" w:hAnsi="Helvetica" w:cs="Calibri"/>
          <w:sz w:val="22"/>
          <w:szCs w:val="22"/>
          <w:lang w:val="en-US" w:eastAsia="nl-NL"/>
        </w:rPr>
        <w:t xml:space="preserve">Our findings </w:t>
      </w:r>
      <w:r w:rsidR="000B7DA3" w:rsidRPr="009824AD">
        <w:rPr>
          <w:rFonts w:ascii="Helvetica" w:hAnsi="Helvetica" w:cs="Calibri"/>
          <w:sz w:val="22"/>
          <w:szCs w:val="22"/>
          <w:lang w:val="en-US"/>
        </w:rPr>
        <w:t xml:space="preserve">suggest </w:t>
      </w:r>
      <w:r w:rsidR="00447240" w:rsidRPr="009824AD">
        <w:rPr>
          <w:rFonts w:ascii="Helvetica" w:hAnsi="Helvetica" w:cs="Calibri"/>
          <w:sz w:val="22"/>
          <w:szCs w:val="22"/>
          <w:lang w:val="en-US"/>
        </w:rPr>
        <w:t xml:space="preserve">that </w:t>
      </w:r>
      <w:r w:rsidR="0072020D" w:rsidRPr="009824AD">
        <w:rPr>
          <w:rFonts w:ascii="Helvetica" w:hAnsi="Helvetica" w:cs="Calibri"/>
          <w:sz w:val="22"/>
          <w:szCs w:val="22"/>
          <w:lang w:val="en-US"/>
        </w:rPr>
        <w:t>CR-POBL</w:t>
      </w:r>
      <w:r w:rsidR="00447240" w:rsidRPr="009824AD">
        <w:rPr>
          <w:rFonts w:ascii="Helvetica" w:hAnsi="Helvetica" w:cs="Calibri"/>
          <w:sz w:val="22"/>
          <w:szCs w:val="22"/>
          <w:lang w:val="en-US"/>
        </w:rPr>
        <w:t xml:space="preserve"> negatively affects outcomes after both LLR and OLR</w:t>
      </w:r>
      <w:r w:rsidR="00447240" w:rsidRPr="009824AD">
        <w:rPr>
          <w:rFonts w:ascii="Helvetica" w:eastAsia="Times New Roman" w:hAnsi="Helvetica" w:cs="Calibri"/>
          <w:sz w:val="22"/>
          <w:szCs w:val="22"/>
          <w:lang w:val="en-US" w:eastAsia="nl-NL"/>
        </w:rPr>
        <w:t xml:space="preserve"> , but</w:t>
      </w:r>
      <w:r w:rsidR="00C935FE" w:rsidRPr="009824AD">
        <w:rPr>
          <w:rFonts w:ascii="Helvetica" w:eastAsia="Times New Roman" w:hAnsi="Helvetica" w:cs="Calibri"/>
          <w:sz w:val="22"/>
          <w:szCs w:val="22"/>
          <w:lang w:val="en-US" w:eastAsia="nl-NL"/>
        </w:rPr>
        <w:t xml:space="preserve"> that patients after LLR with </w:t>
      </w:r>
      <w:r w:rsidR="0072020D" w:rsidRPr="009824AD">
        <w:rPr>
          <w:rFonts w:ascii="Helvetica" w:eastAsia="Times New Roman" w:hAnsi="Helvetica" w:cs="Calibri"/>
          <w:sz w:val="22"/>
          <w:szCs w:val="22"/>
          <w:lang w:val="en-US" w:eastAsia="nl-NL"/>
        </w:rPr>
        <w:t>CR-POBL</w:t>
      </w:r>
      <w:r w:rsidR="00C935FE" w:rsidRPr="009824AD">
        <w:rPr>
          <w:rFonts w:ascii="Helvetica" w:eastAsia="Times New Roman" w:hAnsi="Helvetica" w:cs="Calibri"/>
          <w:sz w:val="22"/>
          <w:szCs w:val="22"/>
          <w:lang w:val="en-US" w:eastAsia="nl-NL"/>
        </w:rPr>
        <w:t xml:space="preserve"> experience </w:t>
      </w:r>
      <w:r w:rsidR="0072020D" w:rsidRPr="009824AD">
        <w:rPr>
          <w:rFonts w:ascii="Helvetica" w:eastAsia="Times New Roman" w:hAnsi="Helvetica" w:cs="Calibri"/>
          <w:sz w:val="22"/>
          <w:szCs w:val="22"/>
          <w:lang w:val="en-US" w:eastAsia="nl-NL"/>
        </w:rPr>
        <w:t xml:space="preserve">less impactful </w:t>
      </w:r>
      <w:r w:rsidR="00C935FE" w:rsidRPr="009824AD">
        <w:rPr>
          <w:rFonts w:ascii="Helvetica" w:eastAsia="Times New Roman" w:hAnsi="Helvetica" w:cs="Calibri"/>
          <w:sz w:val="22"/>
          <w:szCs w:val="22"/>
          <w:lang w:val="en-US" w:eastAsia="nl-NL"/>
        </w:rPr>
        <w:t xml:space="preserve">postoperative </w:t>
      </w:r>
      <w:r w:rsidR="00447240" w:rsidRPr="009824AD">
        <w:rPr>
          <w:rFonts w:ascii="Helvetica" w:eastAsia="Times New Roman" w:hAnsi="Helvetica" w:cs="Calibri"/>
          <w:sz w:val="22"/>
          <w:szCs w:val="22"/>
          <w:lang w:val="en-US" w:eastAsia="nl-NL"/>
        </w:rPr>
        <w:t xml:space="preserve">clinical outcomes </w:t>
      </w:r>
      <w:r w:rsidR="00E15493" w:rsidRPr="009824AD">
        <w:rPr>
          <w:rFonts w:ascii="Helvetica" w:eastAsia="Times New Roman" w:hAnsi="Helvetica" w:cs="Calibri"/>
          <w:sz w:val="22"/>
          <w:szCs w:val="22"/>
          <w:lang w:val="en-US" w:eastAsia="nl-NL"/>
        </w:rPr>
        <w:t xml:space="preserve">as compared to patients after </w:t>
      </w:r>
      <w:r w:rsidR="00C935FE" w:rsidRPr="009824AD">
        <w:rPr>
          <w:rFonts w:ascii="Helvetica" w:eastAsia="Times New Roman" w:hAnsi="Helvetica" w:cs="Calibri"/>
          <w:sz w:val="22"/>
          <w:szCs w:val="22"/>
          <w:lang w:val="en-US" w:eastAsia="nl-NL"/>
        </w:rPr>
        <w:t>OLR</w:t>
      </w:r>
      <w:r w:rsidR="00D3257A" w:rsidRPr="009824AD">
        <w:rPr>
          <w:rFonts w:ascii="Helvetica" w:eastAsia="Times New Roman" w:hAnsi="Helvetica" w:cs="Calibri"/>
          <w:sz w:val="22"/>
          <w:szCs w:val="22"/>
          <w:lang w:val="en-US" w:eastAsia="nl-NL"/>
        </w:rPr>
        <w:t xml:space="preserve"> with </w:t>
      </w:r>
      <w:r w:rsidR="0072020D" w:rsidRPr="009824AD">
        <w:rPr>
          <w:rFonts w:ascii="Helvetica" w:eastAsia="Times New Roman" w:hAnsi="Helvetica" w:cs="Calibri"/>
          <w:sz w:val="22"/>
          <w:szCs w:val="22"/>
          <w:lang w:val="en-US" w:eastAsia="nl-NL"/>
        </w:rPr>
        <w:t>CR-POBL</w:t>
      </w:r>
      <w:r w:rsidR="00E15493" w:rsidRPr="009824AD">
        <w:rPr>
          <w:rFonts w:ascii="Helvetica" w:eastAsia="Times New Roman" w:hAnsi="Helvetica" w:cs="Calibri"/>
          <w:sz w:val="22"/>
          <w:szCs w:val="22"/>
          <w:lang w:val="en-US" w:eastAsia="nl-NL"/>
        </w:rPr>
        <w:t>.</w:t>
      </w:r>
      <w:r w:rsidR="000B7DA3" w:rsidRPr="009824AD">
        <w:rPr>
          <w:rFonts w:ascii="Helvetica" w:eastAsia="Times New Roman" w:hAnsi="Helvetica" w:cs="Calibri"/>
          <w:sz w:val="22"/>
          <w:szCs w:val="22"/>
          <w:lang w:val="en-US" w:eastAsia="nl-NL"/>
        </w:rPr>
        <w:t xml:space="preserve"> </w:t>
      </w:r>
      <w:r w:rsidR="00EE078A" w:rsidRPr="009824AD">
        <w:rPr>
          <w:rFonts w:ascii="Helvetica" w:eastAsia="Times New Roman" w:hAnsi="Helvetica" w:cs="Calibri"/>
          <w:sz w:val="22"/>
          <w:szCs w:val="22"/>
          <w:lang w:val="en-US" w:eastAsia="nl-NL"/>
        </w:rPr>
        <w:t>Future international studies focusing on r</w:t>
      </w:r>
      <w:r w:rsidR="00E15493" w:rsidRPr="009824AD">
        <w:rPr>
          <w:rFonts w:ascii="Helvetica" w:eastAsia="Times New Roman" w:hAnsi="Helvetica" w:cs="Calibri"/>
          <w:sz w:val="22"/>
          <w:szCs w:val="22"/>
          <w:lang w:val="en-US" w:eastAsia="nl-NL"/>
        </w:rPr>
        <w:t xml:space="preserve">isk factor assessment for </w:t>
      </w:r>
      <w:r w:rsidR="0072020D" w:rsidRPr="009824AD">
        <w:rPr>
          <w:rFonts w:ascii="Helvetica" w:eastAsia="Times New Roman" w:hAnsi="Helvetica" w:cs="Calibri"/>
          <w:sz w:val="22"/>
          <w:szCs w:val="22"/>
          <w:lang w:val="en-US" w:eastAsia="nl-NL"/>
        </w:rPr>
        <w:t>CR-POBL</w:t>
      </w:r>
      <w:r w:rsidR="00E15493" w:rsidRPr="009824AD">
        <w:rPr>
          <w:rFonts w:ascii="Helvetica" w:eastAsia="Times New Roman" w:hAnsi="Helvetica" w:cs="Calibri"/>
          <w:sz w:val="22"/>
          <w:szCs w:val="22"/>
          <w:lang w:val="en-US" w:eastAsia="nl-NL"/>
        </w:rPr>
        <w:t xml:space="preserve"> </w:t>
      </w:r>
      <w:r w:rsidR="00D547DC" w:rsidRPr="009824AD">
        <w:rPr>
          <w:rFonts w:ascii="Helvetica" w:eastAsia="Times New Roman" w:hAnsi="Helvetica" w:cs="Calibri"/>
          <w:sz w:val="22"/>
          <w:szCs w:val="22"/>
          <w:lang w:val="en-US" w:eastAsia="nl-NL"/>
        </w:rPr>
        <w:t>may be useful in selecting</w:t>
      </w:r>
      <w:r w:rsidR="00E15493" w:rsidRPr="009824AD">
        <w:rPr>
          <w:rFonts w:ascii="Helvetica" w:eastAsia="Times New Roman" w:hAnsi="Helvetica" w:cs="Calibri"/>
          <w:sz w:val="22"/>
          <w:szCs w:val="22"/>
          <w:lang w:val="en-US" w:eastAsia="nl-NL"/>
        </w:rPr>
        <w:t xml:space="preserve"> the most suitable</w:t>
      </w:r>
      <w:r w:rsidR="00D547DC" w:rsidRPr="009824AD">
        <w:rPr>
          <w:rFonts w:ascii="Helvetica" w:eastAsia="Times New Roman" w:hAnsi="Helvetica" w:cs="Calibri"/>
          <w:sz w:val="22"/>
          <w:szCs w:val="22"/>
          <w:lang w:val="en-US" w:eastAsia="nl-NL"/>
        </w:rPr>
        <w:t xml:space="preserve"> operative</w:t>
      </w:r>
      <w:r w:rsidR="00E15493" w:rsidRPr="009824AD">
        <w:rPr>
          <w:rFonts w:ascii="Helvetica" w:eastAsia="Times New Roman" w:hAnsi="Helvetica" w:cs="Calibri"/>
          <w:sz w:val="22"/>
          <w:szCs w:val="22"/>
          <w:lang w:val="en-US" w:eastAsia="nl-NL"/>
        </w:rPr>
        <w:t xml:space="preserve"> </w:t>
      </w:r>
      <w:r w:rsidR="00532AD7" w:rsidRPr="009824AD">
        <w:rPr>
          <w:rFonts w:ascii="Helvetica" w:eastAsia="Times New Roman" w:hAnsi="Helvetica" w:cs="Calibri"/>
          <w:sz w:val="22"/>
          <w:szCs w:val="22"/>
          <w:lang w:val="en-US" w:eastAsia="nl-NL"/>
        </w:rPr>
        <w:t xml:space="preserve">approach </w:t>
      </w:r>
      <w:r w:rsidR="00D547DC" w:rsidRPr="009824AD">
        <w:rPr>
          <w:rFonts w:ascii="Helvetica" w:eastAsia="Times New Roman" w:hAnsi="Helvetica" w:cs="Calibri"/>
          <w:sz w:val="22"/>
          <w:szCs w:val="22"/>
          <w:lang w:val="en-US" w:eastAsia="nl-NL"/>
        </w:rPr>
        <w:t>on a per-patient base.</w:t>
      </w:r>
    </w:p>
    <w:p w14:paraId="54BC1471" w14:textId="77777777" w:rsidR="00E15493" w:rsidRPr="009824AD" w:rsidRDefault="00E15493" w:rsidP="00243B0E">
      <w:pPr>
        <w:autoSpaceDE w:val="0"/>
        <w:autoSpaceDN w:val="0"/>
        <w:adjustRightInd w:val="0"/>
        <w:rPr>
          <w:rFonts w:ascii="Helvetica" w:eastAsia="Times New Roman" w:hAnsi="Helvetica" w:cs="Calibri"/>
          <w:lang w:val="en-US" w:eastAsia="nl-NL"/>
        </w:rPr>
      </w:pPr>
    </w:p>
    <w:p w14:paraId="6F71E807" w14:textId="77777777" w:rsidR="00645258" w:rsidRPr="009824AD" w:rsidRDefault="00645258">
      <w:pPr>
        <w:rPr>
          <w:rFonts w:ascii="Helvetica" w:eastAsia="Calibri" w:hAnsi="Helvetica" w:cs="Calibri"/>
          <w:b/>
          <w:bCs/>
          <w:sz w:val="22"/>
          <w:szCs w:val="22"/>
          <w:lang w:val="en-US"/>
        </w:rPr>
      </w:pPr>
      <w:r w:rsidRPr="009824AD">
        <w:rPr>
          <w:rFonts w:ascii="Helvetica" w:eastAsia="Calibri" w:hAnsi="Helvetica" w:cs="Calibri"/>
          <w:b/>
          <w:bCs/>
          <w:sz w:val="22"/>
          <w:szCs w:val="22"/>
          <w:lang w:val="en-US"/>
        </w:rPr>
        <w:br w:type="page"/>
      </w:r>
    </w:p>
    <w:p w14:paraId="57BB0D36" w14:textId="7A5379BB" w:rsidR="006F333E" w:rsidRPr="009824AD" w:rsidRDefault="006F333E" w:rsidP="00EC12A5">
      <w:pPr>
        <w:pStyle w:val="Kop1"/>
        <w:rPr>
          <w:rFonts w:ascii="Helvetica" w:hAnsi="Helvetica"/>
          <w:lang w:val="en-US"/>
        </w:rPr>
      </w:pPr>
      <w:r w:rsidRPr="009824AD">
        <w:rPr>
          <w:rFonts w:ascii="Helvetica" w:hAnsi="Helvetica"/>
          <w:lang w:val="en-US"/>
        </w:rPr>
        <w:lastRenderedPageBreak/>
        <w:t>ACKNOWLEDGMENTS</w:t>
      </w:r>
    </w:p>
    <w:p w14:paraId="2211B315" w14:textId="77777777" w:rsidR="009554AB" w:rsidRPr="009824AD" w:rsidRDefault="009554AB" w:rsidP="009554AB">
      <w:pPr>
        <w:spacing w:line="480" w:lineRule="auto"/>
        <w:jc w:val="both"/>
        <w:rPr>
          <w:rFonts w:ascii="Helvetica" w:hAnsi="Helvetica" w:cs="Calibri"/>
          <w:sz w:val="22"/>
          <w:szCs w:val="22"/>
          <w:lang w:val="en-US"/>
        </w:rPr>
      </w:pPr>
      <w:r w:rsidRPr="009824AD">
        <w:rPr>
          <w:rFonts w:ascii="Helvetica" w:hAnsi="Helvetica" w:cs="Calibri"/>
          <w:sz w:val="22"/>
          <w:szCs w:val="22"/>
          <w:lang w:val="en-US"/>
        </w:rPr>
        <w:t>We would like to acknowledge the following collaborators:</w:t>
      </w:r>
    </w:p>
    <w:p w14:paraId="77EBCEBC" w14:textId="53D17CFA" w:rsidR="009554AB" w:rsidRPr="009824AD" w:rsidRDefault="00E338E8" w:rsidP="009554AB">
      <w:pPr>
        <w:spacing w:line="480" w:lineRule="auto"/>
        <w:jc w:val="both"/>
        <w:rPr>
          <w:rFonts w:ascii="Helvetica" w:eastAsia="Times New Roman" w:hAnsi="Helvetica" w:cs="Calibri"/>
          <w:color w:val="212121"/>
          <w:sz w:val="20"/>
          <w:szCs w:val="20"/>
          <w:shd w:val="clear" w:color="auto" w:fill="FFFFFF"/>
          <w:lang w:val="en-US" w:eastAsia="nl-NL"/>
        </w:rPr>
      </w:pPr>
      <w:r w:rsidRPr="009824AD">
        <w:rPr>
          <w:rFonts w:ascii="Helvetica" w:eastAsia="Calibri" w:hAnsi="Helvetica" w:cs="Calibri"/>
          <w:sz w:val="22"/>
          <w:szCs w:val="22"/>
          <w:lang w:val="en-US"/>
        </w:rPr>
        <w:t>Mikhail Efanov</w:t>
      </w:r>
      <w:r w:rsidR="009554AB" w:rsidRPr="009824AD">
        <w:rPr>
          <w:rFonts w:ascii="Helvetica" w:eastAsia="Calibri" w:hAnsi="Helvetica" w:cs="Calibri"/>
          <w:sz w:val="22"/>
          <w:szCs w:val="22"/>
          <w:lang w:val="en-US"/>
        </w:rPr>
        <w:t xml:space="preserve"> (</w:t>
      </w:r>
      <w:r w:rsidR="009554AB" w:rsidRPr="009824AD">
        <w:rPr>
          <w:rFonts w:ascii="Helvetica" w:eastAsia="Times New Roman" w:hAnsi="Helvetica" w:cs="Calibri"/>
          <w:color w:val="212121"/>
          <w:sz w:val="22"/>
          <w:szCs w:val="22"/>
          <w:shd w:val="clear" w:color="auto" w:fill="FFFFFF"/>
          <w:lang w:val="en-US" w:eastAsia="nl-NL"/>
        </w:rPr>
        <w:t xml:space="preserve">Department of Hepato-Pancreato-Biliary Surgery, Moscow Clinical Research </w:t>
      </w:r>
      <w:r w:rsidR="000B7DA3" w:rsidRPr="009824AD">
        <w:rPr>
          <w:rFonts w:ascii="Helvetica" w:eastAsia="Times New Roman" w:hAnsi="Helvetica" w:cs="Calibri"/>
          <w:color w:val="212121"/>
          <w:sz w:val="22"/>
          <w:szCs w:val="22"/>
          <w:shd w:val="clear" w:color="auto" w:fill="FFFFFF"/>
          <w:lang w:val="en-US" w:eastAsia="nl-NL"/>
        </w:rPr>
        <w:t>Center</w:t>
      </w:r>
      <w:r w:rsidR="009554AB" w:rsidRPr="009824AD">
        <w:rPr>
          <w:rFonts w:ascii="Helvetica" w:eastAsia="Times New Roman" w:hAnsi="Helvetica" w:cs="Calibri"/>
          <w:color w:val="212121"/>
          <w:sz w:val="22"/>
          <w:szCs w:val="22"/>
          <w:shd w:val="clear" w:color="auto" w:fill="FFFFFF"/>
          <w:lang w:val="en-US" w:eastAsia="nl-NL"/>
        </w:rPr>
        <w:t>, Moscow, Russia),</w:t>
      </w:r>
      <w:r w:rsidRPr="009824AD">
        <w:rPr>
          <w:rFonts w:ascii="Helvetica" w:eastAsia="Calibri" w:hAnsi="Helvetica" w:cs="Calibri"/>
          <w:sz w:val="22"/>
          <w:szCs w:val="22"/>
          <w:lang w:val="en-US"/>
        </w:rPr>
        <w:t xml:space="preserve"> Adnan Alseidi</w:t>
      </w:r>
      <w:r w:rsidR="009554AB" w:rsidRPr="009824AD">
        <w:rPr>
          <w:rFonts w:ascii="Helvetica" w:eastAsia="Calibri" w:hAnsi="Helvetica" w:cs="Calibri"/>
          <w:sz w:val="22"/>
          <w:szCs w:val="22"/>
          <w:lang w:val="en-US"/>
        </w:rPr>
        <w:t xml:space="preserve"> (Department of Surgery, University of California San Francisco, California, USA) and </w:t>
      </w:r>
      <w:r w:rsidRPr="009824AD">
        <w:rPr>
          <w:rFonts w:ascii="Helvetica" w:eastAsia="Calibri" w:hAnsi="Helvetica" w:cs="Calibri"/>
          <w:sz w:val="22"/>
          <w:szCs w:val="22"/>
          <w:lang w:val="en-US"/>
        </w:rPr>
        <w:t>Andrea Ruzzenente</w:t>
      </w:r>
      <w:r w:rsidR="009554AB" w:rsidRPr="009824AD">
        <w:rPr>
          <w:rFonts w:ascii="Helvetica" w:eastAsia="Calibri" w:hAnsi="Helvetica" w:cs="Calibri"/>
          <w:sz w:val="22"/>
          <w:szCs w:val="22"/>
          <w:lang w:val="en-US"/>
        </w:rPr>
        <w:t xml:space="preserve"> (</w:t>
      </w:r>
      <w:r w:rsidR="009554AB" w:rsidRPr="009824AD">
        <w:rPr>
          <w:rFonts w:ascii="Helvetica" w:eastAsia="Times New Roman" w:hAnsi="Helvetica" w:cs="Calibri"/>
          <w:color w:val="212121"/>
          <w:sz w:val="22"/>
          <w:szCs w:val="22"/>
          <w:shd w:val="clear" w:color="auto" w:fill="FFFFFF"/>
          <w:lang w:val="en-US" w:eastAsia="nl-NL"/>
        </w:rPr>
        <w:t>Department of Surgery, University of Verona, Verona, Italy).</w:t>
      </w:r>
      <w:r w:rsidR="009554AB" w:rsidRPr="009824AD">
        <w:rPr>
          <w:rFonts w:ascii="Helvetica" w:eastAsia="Times New Roman" w:hAnsi="Helvetica" w:cs="Calibri"/>
          <w:color w:val="212121"/>
          <w:sz w:val="20"/>
          <w:szCs w:val="20"/>
          <w:shd w:val="clear" w:color="auto" w:fill="FFFFFF"/>
          <w:lang w:val="en-US" w:eastAsia="nl-NL"/>
        </w:rPr>
        <w:t xml:space="preserve"> </w:t>
      </w:r>
    </w:p>
    <w:p w14:paraId="07F44D86" w14:textId="793AC321" w:rsidR="009554AB" w:rsidRPr="009824AD" w:rsidRDefault="009554AB" w:rsidP="009554AB">
      <w:pPr>
        <w:spacing w:line="480" w:lineRule="auto"/>
        <w:jc w:val="both"/>
        <w:rPr>
          <w:rFonts w:ascii="Helvetica" w:eastAsia="Times New Roman" w:hAnsi="Helvetica" w:cs="Calibri"/>
          <w:color w:val="212121"/>
          <w:sz w:val="20"/>
          <w:szCs w:val="20"/>
          <w:shd w:val="clear" w:color="auto" w:fill="FFFFFF"/>
          <w:lang w:val="en-US" w:eastAsia="nl-NL"/>
        </w:rPr>
      </w:pPr>
    </w:p>
    <w:p w14:paraId="5E5CD3FB" w14:textId="13C1F8A6" w:rsidR="009554AB" w:rsidRPr="009824AD" w:rsidRDefault="009554AB" w:rsidP="009554AB">
      <w:pPr>
        <w:spacing w:line="480" w:lineRule="auto"/>
        <w:jc w:val="both"/>
        <w:rPr>
          <w:rFonts w:ascii="Helvetica" w:eastAsia="Times New Roman" w:hAnsi="Helvetica" w:cs="Calibri"/>
          <w:color w:val="212121"/>
          <w:sz w:val="20"/>
          <w:szCs w:val="20"/>
          <w:shd w:val="clear" w:color="auto" w:fill="FFFFFF"/>
          <w:lang w:val="en-US" w:eastAsia="nl-NL"/>
        </w:rPr>
      </w:pPr>
    </w:p>
    <w:p w14:paraId="136CBC0B" w14:textId="77777777" w:rsidR="009554AB" w:rsidRPr="009824AD" w:rsidRDefault="009554AB" w:rsidP="00736A3C">
      <w:pPr>
        <w:spacing w:line="480" w:lineRule="auto"/>
        <w:jc w:val="both"/>
        <w:rPr>
          <w:rFonts w:ascii="Helvetica" w:hAnsi="Helvetica"/>
          <w:lang w:val="en-US"/>
        </w:rPr>
      </w:pPr>
    </w:p>
    <w:p w14:paraId="368CDDC4" w14:textId="77777777" w:rsidR="00936EC2" w:rsidRPr="009824AD" w:rsidRDefault="00936EC2" w:rsidP="00736A3C">
      <w:pPr>
        <w:spacing w:line="480" w:lineRule="auto"/>
        <w:jc w:val="both"/>
        <w:rPr>
          <w:rFonts w:ascii="Helvetica" w:hAnsi="Helvetica"/>
          <w:lang w:val="en-US"/>
        </w:rPr>
      </w:pPr>
    </w:p>
    <w:p w14:paraId="217842E4" w14:textId="77777777" w:rsidR="00BF2A0C" w:rsidRPr="009824AD" w:rsidRDefault="00BF2A0C" w:rsidP="00392E94">
      <w:pPr>
        <w:rPr>
          <w:rFonts w:ascii="Helvetica" w:eastAsia="Times New Roman" w:hAnsi="Helvetica" w:cs="Calibri"/>
          <w:b/>
          <w:bCs/>
          <w:lang w:val="en-US" w:eastAsia="nl-NL"/>
        </w:rPr>
      </w:pPr>
    </w:p>
    <w:p w14:paraId="1DAAE7AB" w14:textId="77777777" w:rsidR="00BF2A0C" w:rsidRPr="009824AD" w:rsidRDefault="00BF2A0C" w:rsidP="00392E94">
      <w:pPr>
        <w:rPr>
          <w:rFonts w:ascii="Helvetica" w:eastAsia="Times New Roman" w:hAnsi="Helvetica" w:cs="Calibri"/>
          <w:b/>
          <w:bCs/>
          <w:lang w:val="en-US" w:eastAsia="nl-NL"/>
        </w:rPr>
      </w:pPr>
    </w:p>
    <w:p w14:paraId="40863F7F" w14:textId="77777777" w:rsidR="00BF2A0C" w:rsidRPr="009824AD" w:rsidRDefault="00BF2A0C" w:rsidP="00392E94">
      <w:pPr>
        <w:rPr>
          <w:rFonts w:ascii="Helvetica" w:eastAsia="Times New Roman" w:hAnsi="Helvetica" w:cs="Calibri"/>
          <w:b/>
          <w:bCs/>
          <w:lang w:val="en-US" w:eastAsia="nl-NL"/>
        </w:rPr>
      </w:pPr>
    </w:p>
    <w:p w14:paraId="793EC3B3" w14:textId="77777777" w:rsidR="00BF2A0C" w:rsidRPr="009824AD" w:rsidRDefault="00BF2A0C" w:rsidP="00392E94">
      <w:pPr>
        <w:rPr>
          <w:rFonts w:ascii="Helvetica" w:eastAsia="Times New Roman" w:hAnsi="Helvetica" w:cs="Calibri"/>
          <w:b/>
          <w:bCs/>
          <w:lang w:val="en-US" w:eastAsia="nl-NL"/>
        </w:rPr>
      </w:pPr>
    </w:p>
    <w:p w14:paraId="77E69EB0" w14:textId="77777777" w:rsidR="00BF2A0C" w:rsidRPr="009824AD" w:rsidRDefault="00BF2A0C" w:rsidP="00392E94">
      <w:pPr>
        <w:rPr>
          <w:rFonts w:ascii="Helvetica" w:eastAsia="Times New Roman" w:hAnsi="Helvetica" w:cs="Calibri"/>
          <w:b/>
          <w:bCs/>
          <w:lang w:val="en-US" w:eastAsia="nl-NL"/>
        </w:rPr>
      </w:pPr>
    </w:p>
    <w:p w14:paraId="6562BF18" w14:textId="77777777" w:rsidR="00BF2A0C" w:rsidRPr="009824AD" w:rsidRDefault="00BF2A0C" w:rsidP="00392E94">
      <w:pPr>
        <w:rPr>
          <w:rFonts w:ascii="Helvetica" w:eastAsia="Times New Roman" w:hAnsi="Helvetica" w:cs="Calibri"/>
          <w:b/>
          <w:bCs/>
          <w:sz w:val="28"/>
          <w:szCs w:val="28"/>
          <w:lang w:val="en-US" w:eastAsia="nl-NL"/>
        </w:rPr>
      </w:pPr>
    </w:p>
    <w:p w14:paraId="1849F0FC" w14:textId="77777777" w:rsidR="00BF2A0C" w:rsidRPr="009824AD" w:rsidRDefault="00BF2A0C" w:rsidP="00392E94">
      <w:pPr>
        <w:rPr>
          <w:rFonts w:ascii="Helvetica" w:eastAsia="Times New Roman" w:hAnsi="Helvetica" w:cs="Calibri"/>
          <w:b/>
          <w:bCs/>
          <w:sz w:val="28"/>
          <w:szCs w:val="28"/>
          <w:lang w:val="en-US" w:eastAsia="nl-NL"/>
        </w:rPr>
      </w:pPr>
    </w:p>
    <w:p w14:paraId="67AEB149" w14:textId="77777777" w:rsidR="00BF2A0C" w:rsidRPr="009824AD" w:rsidRDefault="00BF2A0C" w:rsidP="00392E94">
      <w:pPr>
        <w:rPr>
          <w:rFonts w:ascii="Helvetica" w:eastAsia="Times New Roman" w:hAnsi="Helvetica" w:cs="Calibri"/>
          <w:b/>
          <w:bCs/>
          <w:sz w:val="28"/>
          <w:szCs w:val="28"/>
          <w:lang w:val="en-US" w:eastAsia="nl-NL"/>
        </w:rPr>
      </w:pPr>
    </w:p>
    <w:p w14:paraId="33D43123" w14:textId="77777777" w:rsidR="00BF2A0C" w:rsidRPr="009824AD" w:rsidRDefault="00BF2A0C" w:rsidP="00392E94">
      <w:pPr>
        <w:rPr>
          <w:rFonts w:ascii="Helvetica" w:eastAsia="Times New Roman" w:hAnsi="Helvetica" w:cs="Calibri"/>
          <w:b/>
          <w:bCs/>
          <w:sz w:val="28"/>
          <w:szCs w:val="28"/>
          <w:lang w:val="en-US" w:eastAsia="nl-NL"/>
        </w:rPr>
      </w:pPr>
    </w:p>
    <w:p w14:paraId="6E6DC99A" w14:textId="77777777" w:rsidR="00BF2A0C" w:rsidRPr="009824AD" w:rsidRDefault="00BF2A0C" w:rsidP="00392E94">
      <w:pPr>
        <w:rPr>
          <w:rFonts w:ascii="Helvetica" w:eastAsia="Times New Roman" w:hAnsi="Helvetica" w:cs="Calibri"/>
          <w:b/>
          <w:bCs/>
          <w:sz w:val="28"/>
          <w:szCs w:val="28"/>
          <w:lang w:val="en-US" w:eastAsia="nl-NL"/>
        </w:rPr>
      </w:pPr>
    </w:p>
    <w:p w14:paraId="04DC1A80" w14:textId="77777777" w:rsidR="00BF2A0C" w:rsidRPr="009824AD" w:rsidRDefault="00BF2A0C" w:rsidP="00392E94">
      <w:pPr>
        <w:rPr>
          <w:rFonts w:ascii="Helvetica" w:eastAsia="Times New Roman" w:hAnsi="Helvetica" w:cs="Calibri"/>
          <w:b/>
          <w:bCs/>
          <w:sz w:val="28"/>
          <w:szCs w:val="28"/>
          <w:lang w:val="en-US" w:eastAsia="nl-NL"/>
        </w:rPr>
      </w:pPr>
    </w:p>
    <w:p w14:paraId="0AF1563A" w14:textId="77777777" w:rsidR="00BF2A0C" w:rsidRPr="009824AD" w:rsidRDefault="00BF2A0C" w:rsidP="00392E94">
      <w:pPr>
        <w:rPr>
          <w:rFonts w:ascii="Helvetica" w:eastAsia="Times New Roman" w:hAnsi="Helvetica" w:cs="Calibri"/>
          <w:b/>
          <w:bCs/>
          <w:sz w:val="28"/>
          <w:szCs w:val="28"/>
          <w:lang w:val="en-US" w:eastAsia="nl-NL"/>
        </w:rPr>
      </w:pPr>
    </w:p>
    <w:p w14:paraId="6785AB9C" w14:textId="77777777" w:rsidR="00BF2A0C" w:rsidRPr="009824AD" w:rsidRDefault="00BF2A0C" w:rsidP="00392E94">
      <w:pPr>
        <w:rPr>
          <w:rFonts w:ascii="Helvetica" w:eastAsia="Times New Roman" w:hAnsi="Helvetica" w:cs="Calibri"/>
          <w:b/>
          <w:bCs/>
          <w:sz w:val="28"/>
          <w:szCs w:val="28"/>
          <w:lang w:val="en-US" w:eastAsia="nl-NL"/>
        </w:rPr>
      </w:pPr>
    </w:p>
    <w:p w14:paraId="0E1576E3" w14:textId="77777777" w:rsidR="00BF2A0C" w:rsidRPr="009824AD" w:rsidRDefault="00BF2A0C" w:rsidP="00392E94">
      <w:pPr>
        <w:rPr>
          <w:rFonts w:ascii="Helvetica" w:eastAsia="Times New Roman" w:hAnsi="Helvetica" w:cs="Calibri"/>
          <w:b/>
          <w:bCs/>
          <w:sz w:val="28"/>
          <w:szCs w:val="28"/>
          <w:lang w:val="en-US" w:eastAsia="nl-NL"/>
        </w:rPr>
      </w:pPr>
    </w:p>
    <w:p w14:paraId="687E9590" w14:textId="77777777" w:rsidR="00BF2A0C" w:rsidRPr="009824AD" w:rsidRDefault="00BF2A0C" w:rsidP="00392E94">
      <w:pPr>
        <w:rPr>
          <w:rFonts w:ascii="Helvetica" w:eastAsia="Times New Roman" w:hAnsi="Helvetica" w:cs="Calibri"/>
          <w:b/>
          <w:bCs/>
          <w:sz w:val="28"/>
          <w:szCs w:val="28"/>
          <w:lang w:val="en-US" w:eastAsia="nl-NL"/>
        </w:rPr>
      </w:pPr>
    </w:p>
    <w:p w14:paraId="5B3CB0DE" w14:textId="77777777" w:rsidR="00BF2A0C" w:rsidRPr="009824AD" w:rsidRDefault="00BF2A0C" w:rsidP="00392E94">
      <w:pPr>
        <w:rPr>
          <w:rFonts w:ascii="Helvetica" w:eastAsia="Times New Roman" w:hAnsi="Helvetica" w:cs="Calibri"/>
          <w:b/>
          <w:bCs/>
          <w:sz w:val="28"/>
          <w:szCs w:val="28"/>
          <w:lang w:val="en-US" w:eastAsia="nl-NL"/>
        </w:rPr>
      </w:pPr>
    </w:p>
    <w:p w14:paraId="425A22A5" w14:textId="77777777" w:rsidR="00BF2A0C" w:rsidRPr="009824AD" w:rsidRDefault="00BF2A0C" w:rsidP="00392E94">
      <w:pPr>
        <w:rPr>
          <w:rFonts w:ascii="Helvetica" w:eastAsia="Times New Roman" w:hAnsi="Helvetica" w:cs="Calibri"/>
          <w:b/>
          <w:bCs/>
          <w:sz w:val="28"/>
          <w:szCs w:val="28"/>
          <w:lang w:val="en-US" w:eastAsia="nl-NL"/>
        </w:rPr>
      </w:pPr>
    </w:p>
    <w:p w14:paraId="16EFE04C" w14:textId="77777777" w:rsidR="00BF2A0C" w:rsidRPr="009824AD" w:rsidRDefault="00BF2A0C" w:rsidP="00392E94">
      <w:pPr>
        <w:rPr>
          <w:rFonts w:ascii="Helvetica" w:eastAsia="Times New Roman" w:hAnsi="Helvetica" w:cs="Calibri"/>
          <w:b/>
          <w:bCs/>
          <w:sz w:val="28"/>
          <w:szCs w:val="28"/>
          <w:lang w:val="en-US" w:eastAsia="nl-NL"/>
        </w:rPr>
      </w:pPr>
    </w:p>
    <w:p w14:paraId="3B167278" w14:textId="77777777" w:rsidR="00850E81" w:rsidRPr="009824AD" w:rsidRDefault="00850E81" w:rsidP="00392E94">
      <w:pPr>
        <w:rPr>
          <w:rFonts w:ascii="Helvetica" w:eastAsia="Times New Roman" w:hAnsi="Helvetica" w:cs="Calibri"/>
          <w:b/>
          <w:bCs/>
          <w:sz w:val="28"/>
          <w:szCs w:val="28"/>
          <w:lang w:val="en-US" w:eastAsia="nl-NL"/>
        </w:rPr>
      </w:pPr>
    </w:p>
    <w:p w14:paraId="21ADF56C" w14:textId="77777777" w:rsidR="000B62F3" w:rsidRPr="009824AD" w:rsidRDefault="000B62F3" w:rsidP="00392E94">
      <w:pPr>
        <w:rPr>
          <w:rFonts w:ascii="Helvetica" w:eastAsia="Times New Roman" w:hAnsi="Helvetica" w:cs="Calibri"/>
          <w:b/>
          <w:bCs/>
          <w:sz w:val="28"/>
          <w:szCs w:val="28"/>
          <w:lang w:val="en-US" w:eastAsia="nl-NL"/>
        </w:rPr>
      </w:pPr>
    </w:p>
    <w:p w14:paraId="6D4BB960" w14:textId="77777777" w:rsidR="000B62F3" w:rsidRPr="009824AD" w:rsidRDefault="000B62F3" w:rsidP="00392E94">
      <w:pPr>
        <w:rPr>
          <w:rFonts w:ascii="Helvetica" w:eastAsia="Times New Roman" w:hAnsi="Helvetica" w:cs="Calibri"/>
          <w:b/>
          <w:bCs/>
          <w:sz w:val="28"/>
          <w:szCs w:val="28"/>
          <w:lang w:val="en-US" w:eastAsia="nl-NL"/>
        </w:rPr>
      </w:pPr>
    </w:p>
    <w:p w14:paraId="4193420C" w14:textId="77777777" w:rsidR="000B62F3" w:rsidRPr="009824AD" w:rsidRDefault="000B62F3" w:rsidP="00392E94">
      <w:pPr>
        <w:rPr>
          <w:rFonts w:ascii="Helvetica" w:eastAsia="Times New Roman" w:hAnsi="Helvetica" w:cs="Calibri"/>
          <w:b/>
          <w:bCs/>
          <w:sz w:val="28"/>
          <w:szCs w:val="28"/>
          <w:lang w:val="en-US" w:eastAsia="nl-NL"/>
        </w:rPr>
      </w:pPr>
    </w:p>
    <w:p w14:paraId="0EDF30A4" w14:textId="77777777" w:rsidR="000B62F3" w:rsidRPr="009824AD" w:rsidRDefault="000B62F3" w:rsidP="00392E94">
      <w:pPr>
        <w:rPr>
          <w:rFonts w:ascii="Helvetica" w:eastAsia="Times New Roman" w:hAnsi="Helvetica" w:cs="Calibri"/>
          <w:b/>
          <w:bCs/>
          <w:sz w:val="28"/>
          <w:szCs w:val="28"/>
          <w:lang w:val="en-US" w:eastAsia="nl-NL"/>
        </w:rPr>
      </w:pPr>
    </w:p>
    <w:p w14:paraId="45EFAD51" w14:textId="77777777" w:rsidR="000B62F3" w:rsidRPr="009824AD" w:rsidRDefault="000B62F3" w:rsidP="00392E94">
      <w:pPr>
        <w:rPr>
          <w:rFonts w:ascii="Helvetica" w:eastAsia="Times New Roman" w:hAnsi="Helvetica" w:cs="Calibri"/>
          <w:b/>
          <w:bCs/>
          <w:sz w:val="28"/>
          <w:szCs w:val="28"/>
          <w:lang w:val="en-US" w:eastAsia="nl-NL"/>
        </w:rPr>
      </w:pPr>
    </w:p>
    <w:p w14:paraId="21D2E016" w14:textId="77777777" w:rsidR="009F1B4A" w:rsidRDefault="009F1B4A" w:rsidP="00392E94">
      <w:pPr>
        <w:rPr>
          <w:rFonts w:ascii="Helvetica" w:eastAsia="Times New Roman" w:hAnsi="Helvetica" w:cs="Calibri"/>
          <w:b/>
          <w:bCs/>
          <w:sz w:val="28"/>
          <w:szCs w:val="28"/>
          <w:lang w:val="en-US" w:eastAsia="nl-NL"/>
        </w:rPr>
        <w:sectPr w:rsidR="009F1B4A" w:rsidSect="00CA02C7">
          <w:pgSz w:w="11900" w:h="16840"/>
          <w:pgMar w:top="1417" w:right="1417" w:bottom="1417" w:left="1417" w:header="708" w:footer="708" w:gutter="0"/>
          <w:cols w:space="708"/>
          <w:docGrid w:linePitch="360"/>
        </w:sectPr>
      </w:pPr>
    </w:p>
    <w:p w14:paraId="6AF9D0A7" w14:textId="656E52CB" w:rsidR="00FA798E" w:rsidRPr="009824AD" w:rsidRDefault="00392E94" w:rsidP="00EC12A5">
      <w:pPr>
        <w:pStyle w:val="Kop1"/>
        <w:rPr>
          <w:rFonts w:ascii="Helvetica" w:hAnsi="Helvetica"/>
          <w:lang w:val="en-US" w:eastAsia="nl-NL"/>
        </w:rPr>
      </w:pPr>
      <w:r w:rsidRPr="009824AD">
        <w:rPr>
          <w:rFonts w:ascii="Helvetica" w:hAnsi="Helvetica"/>
          <w:lang w:val="en-US" w:eastAsia="nl-NL"/>
        </w:rPr>
        <w:lastRenderedPageBreak/>
        <w:t>REFERENCES</w:t>
      </w:r>
    </w:p>
    <w:p w14:paraId="39DC14BD" w14:textId="0BC5918F" w:rsidR="006E2594" w:rsidRPr="006E2594" w:rsidRDefault="000B62F3" w:rsidP="006E2594">
      <w:pPr>
        <w:widowControl w:val="0"/>
        <w:autoSpaceDE w:val="0"/>
        <w:autoSpaceDN w:val="0"/>
        <w:adjustRightInd w:val="0"/>
        <w:spacing w:line="480" w:lineRule="auto"/>
        <w:rPr>
          <w:rFonts w:ascii="Helvetica" w:hAnsi="Helvetica" w:cs="Times New Roman"/>
          <w:noProof/>
          <w:sz w:val="22"/>
        </w:rPr>
      </w:pPr>
      <w:r w:rsidRPr="009824AD">
        <w:rPr>
          <w:rFonts w:ascii="Helvetica" w:eastAsia="Times New Roman" w:hAnsi="Helvetica" w:cs="Calibri"/>
          <w:b/>
          <w:bCs/>
          <w:sz w:val="22"/>
          <w:szCs w:val="22"/>
          <w:lang w:val="en-US" w:eastAsia="nl-NL"/>
        </w:rPr>
        <w:fldChar w:fldCharType="begin" w:fldLock="1"/>
      </w:r>
      <w:r w:rsidRPr="009824AD">
        <w:rPr>
          <w:rFonts w:ascii="Helvetica" w:eastAsia="Times New Roman" w:hAnsi="Helvetica" w:cs="Calibri"/>
          <w:b/>
          <w:bCs/>
          <w:sz w:val="22"/>
          <w:szCs w:val="22"/>
          <w:lang w:val="en-US" w:eastAsia="nl-NL"/>
        </w:rPr>
        <w:instrText xml:space="preserve">ADDIN Mendeley Bibliography CSL_BIBLIOGRAPHY </w:instrText>
      </w:r>
      <w:r w:rsidRPr="009824AD">
        <w:rPr>
          <w:rFonts w:ascii="Helvetica" w:eastAsia="Times New Roman" w:hAnsi="Helvetica" w:cs="Calibri"/>
          <w:b/>
          <w:bCs/>
          <w:sz w:val="22"/>
          <w:szCs w:val="22"/>
          <w:lang w:val="en-US" w:eastAsia="nl-NL"/>
        </w:rPr>
        <w:fldChar w:fldCharType="separate"/>
      </w:r>
      <w:r w:rsidR="006E2594" w:rsidRPr="006E2594">
        <w:rPr>
          <w:rFonts w:ascii="Helvetica" w:hAnsi="Helvetica" w:cs="Times New Roman"/>
          <w:noProof/>
          <w:sz w:val="22"/>
        </w:rPr>
        <w:t>1. Ciria R, Cherqui D, Geller DA, et al. Comparative short-term benefits of laparoscopic liver resection: 9000 cases and climbing. Ann Surg 2016;263:761–777.</w:t>
      </w:r>
    </w:p>
    <w:p w14:paraId="4B147645" w14:textId="77777777" w:rsidR="006E2594" w:rsidRPr="006E2594" w:rsidRDefault="006E2594" w:rsidP="006E2594">
      <w:pPr>
        <w:widowControl w:val="0"/>
        <w:autoSpaceDE w:val="0"/>
        <w:autoSpaceDN w:val="0"/>
        <w:adjustRightInd w:val="0"/>
        <w:spacing w:line="480" w:lineRule="auto"/>
        <w:rPr>
          <w:rFonts w:ascii="Helvetica" w:hAnsi="Helvetica" w:cs="Times New Roman"/>
          <w:noProof/>
          <w:sz w:val="22"/>
        </w:rPr>
      </w:pPr>
      <w:r w:rsidRPr="006E2594">
        <w:rPr>
          <w:rFonts w:ascii="Helvetica" w:hAnsi="Helvetica" w:cs="Times New Roman"/>
          <w:noProof/>
          <w:sz w:val="22"/>
        </w:rPr>
        <w:t>2. Kasai M, Cipriani F, Gayet B, et al. Laparoscopic versus open major hepatectomy: a systematic review and meta-analysis of individual patient data. Surgery 2018;163:985–995.</w:t>
      </w:r>
    </w:p>
    <w:p w14:paraId="6B0A0636" w14:textId="77777777" w:rsidR="006E2594" w:rsidRPr="0089742D" w:rsidRDefault="006E2594" w:rsidP="006E2594">
      <w:pPr>
        <w:widowControl w:val="0"/>
        <w:autoSpaceDE w:val="0"/>
        <w:autoSpaceDN w:val="0"/>
        <w:adjustRightInd w:val="0"/>
        <w:spacing w:line="480" w:lineRule="auto"/>
        <w:rPr>
          <w:rFonts w:ascii="Helvetica" w:hAnsi="Helvetica" w:cs="Times New Roman"/>
          <w:noProof/>
          <w:sz w:val="22"/>
          <w:lang w:val="nl-NL"/>
        </w:rPr>
      </w:pPr>
      <w:r w:rsidRPr="006E2594">
        <w:rPr>
          <w:rFonts w:ascii="Helvetica" w:hAnsi="Helvetica" w:cs="Times New Roman"/>
          <w:noProof/>
          <w:sz w:val="22"/>
        </w:rPr>
        <w:t xml:space="preserve">3. Mirnezami R, Mirnezami AH, Chandrakumaran K, et al. Short- and long-term outcomes after laparoscopic and open hepatic resection: systematic review and meta-analysis. </w:t>
      </w:r>
      <w:r w:rsidRPr="0089742D">
        <w:rPr>
          <w:rFonts w:ascii="Helvetica" w:hAnsi="Helvetica" w:cs="Times New Roman"/>
          <w:noProof/>
          <w:sz w:val="22"/>
          <w:lang w:val="nl-NL"/>
        </w:rPr>
        <w:t>HPB 2011;13:295–308.</w:t>
      </w:r>
    </w:p>
    <w:p w14:paraId="7A9D3AF4" w14:textId="77777777" w:rsidR="006E2594" w:rsidRPr="0089742D" w:rsidRDefault="006E2594" w:rsidP="006E2594">
      <w:pPr>
        <w:widowControl w:val="0"/>
        <w:autoSpaceDE w:val="0"/>
        <w:autoSpaceDN w:val="0"/>
        <w:adjustRightInd w:val="0"/>
        <w:spacing w:line="480" w:lineRule="auto"/>
        <w:rPr>
          <w:rFonts w:ascii="Helvetica" w:hAnsi="Helvetica" w:cs="Times New Roman"/>
          <w:noProof/>
          <w:sz w:val="22"/>
          <w:lang w:val="nl-NL"/>
        </w:rPr>
      </w:pPr>
      <w:r w:rsidRPr="0089742D">
        <w:rPr>
          <w:rFonts w:ascii="Helvetica" w:hAnsi="Helvetica" w:cs="Times New Roman"/>
          <w:noProof/>
          <w:sz w:val="22"/>
          <w:lang w:val="nl-NL"/>
        </w:rPr>
        <w:t xml:space="preserve">4. Abu Hilal M, Di Fabio F, Teng MJ, et al. </w:t>
      </w:r>
      <w:r w:rsidRPr="006E2594">
        <w:rPr>
          <w:rFonts w:ascii="Helvetica" w:hAnsi="Helvetica" w:cs="Times New Roman"/>
          <w:noProof/>
          <w:sz w:val="22"/>
        </w:rPr>
        <w:t xml:space="preserve">Single-Centre Comparative Study of Laparoscopic Versus Open Right Hepatectomy. </w:t>
      </w:r>
      <w:r w:rsidRPr="0089742D">
        <w:rPr>
          <w:rFonts w:ascii="Helvetica" w:hAnsi="Helvetica" w:cs="Times New Roman"/>
          <w:noProof/>
          <w:sz w:val="22"/>
          <w:lang w:val="nl-NL"/>
        </w:rPr>
        <w:t>J Gastrointest Surg 2011;15:818–823.</w:t>
      </w:r>
    </w:p>
    <w:p w14:paraId="7CEB8DDC" w14:textId="77777777" w:rsidR="006E2594" w:rsidRPr="0089742D" w:rsidRDefault="006E2594" w:rsidP="006E2594">
      <w:pPr>
        <w:widowControl w:val="0"/>
        <w:autoSpaceDE w:val="0"/>
        <w:autoSpaceDN w:val="0"/>
        <w:adjustRightInd w:val="0"/>
        <w:spacing w:line="480" w:lineRule="auto"/>
        <w:rPr>
          <w:rFonts w:ascii="Helvetica" w:hAnsi="Helvetica" w:cs="Times New Roman"/>
          <w:noProof/>
          <w:sz w:val="22"/>
          <w:lang w:val="nl-NL"/>
        </w:rPr>
      </w:pPr>
      <w:r w:rsidRPr="0089742D">
        <w:rPr>
          <w:rFonts w:ascii="Helvetica" w:hAnsi="Helvetica" w:cs="Times New Roman"/>
          <w:noProof/>
          <w:sz w:val="22"/>
          <w:lang w:val="nl-NL"/>
        </w:rPr>
        <w:t xml:space="preserve">5. Fretland ÅA, Dagenborg VJ, Bjørnelv GMW, et al. </w:t>
      </w:r>
      <w:r w:rsidRPr="006E2594">
        <w:rPr>
          <w:rFonts w:ascii="Helvetica" w:hAnsi="Helvetica" w:cs="Times New Roman"/>
          <w:noProof/>
          <w:sz w:val="22"/>
        </w:rPr>
        <w:t xml:space="preserve">Laparoscopic Versus Open Resection for Colorectal Liver Metastases. </w:t>
      </w:r>
      <w:r w:rsidRPr="0089742D">
        <w:rPr>
          <w:rFonts w:ascii="Helvetica" w:hAnsi="Helvetica" w:cs="Times New Roman"/>
          <w:noProof/>
          <w:sz w:val="22"/>
          <w:lang w:val="nl-NL"/>
        </w:rPr>
        <w:t>Ann Surg 2018;267:199–207.</w:t>
      </w:r>
    </w:p>
    <w:p w14:paraId="73AE2E6D" w14:textId="77777777" w:rsidR="006E2594" w:rsidRPr="0089742D" w:rsidRDefault="006E2594" w:rsidP="006E2594">
      <w:pPr>
        <w:widowControl w:val="0"/>
        <w:autoSpaceDE w:val="0"/>
        <w:autoSpaceDN w:val="0"/>
        <w:adjustRightInd w:val="0"/>
        <w:spacing w:line="480" w:lineRule="auto"/>
        <w:rPr>
          <w:rFonts w:ascii="Helvetica" w:hAnsi="Helvetica" w:cs="Times New Roman"/>
          <w:noProof/>
          <w:sz w:val="22"/>
          <w:lang w:val="nl-NL"/>
        </w:rPr>
      </w:pPr>
      <w:r w:rsidRPr="0089742D">
        <w:rPr>
          <w:rFonts w:ascii="Helvetica" w:hAnsi="Helvetica" w:cs="Times New Roman"/>
          <w:noProof/>
          <w:sz w:val="22"/>
          <w:lang w:val="nl-NL"/>
        </w:rPr>
        <w:t xml:space="preserve">6. Görgec B, Suhool A, Al-Jarrah R, et al. </w:t>
      </w:r>
      <w:r w:rsidRPr="006E2594">
        <w:rPr>
          <w:rFonts w:ascii="Helvetica" w:hAnsi="Helvetica" w:cs="Times New Roman"/>
          <w:noProof/>
          <w:sz w:val="22"/>
        </w:rPr>
        <w:t xml:space="preserve">Surgical technique and clinical results of one- or two-stage laparoscopic right hemihepatectomy after portal vein embolization in patients with initially unresectable colorectal liver metastases: A case series. </w:t>
      </w:r>
      <w:r w:rsidRPr="0089742D">
        <w:rPr>
          <w:rFonts w:ascii="Helvetica" w:hAnsi="Helvetica" w:cs="Times New Roman"/>
          <w:noProof/>
          <w:sz w:val="22"/>
          <w:lang w:val="nl-NL"/>
        </w:rPr>
        <w:t>Int J Surg Elsevier Ltd 2020;77:69–75.</w:t>
      </w:r>
    </w:p>
    <w:p w14:paraId="7C37EF06" w14:textId="77777777" w:rsidR="006E2594" w:rsidRPr="006E2594" w:rsidRDefault="006E2594" w:rsidP="006E2594">
      <w:pPr>
        <w:widowControl w:val="0"/>
        <w:autoSpaceDE w:val="0"/>
        <w:autoSpaceDN w:val="0"/>
        <w:adjustRightInd w:val="0"/>
        <w:spacing w:line="480" w:lineRule="auto"/>
        <w:rPr>
          <w:rFonts w:ascii="Helvetica" w:hAnsi="Helvetica" w:cs="Times New Roman"/>
          <w:noProof/>
          <w:sz w:val="22"/>
        </w:rPr>
      </w:pPr>
      <w:r w:rsidRPr="0089742D">
        <w:rPr>
          <w:rFonts w:ascii="Helvetica" w:hAnsi="Helvetica" w:cs="Times New Roman"/>
          <w:noProof/>
          <w:sz w:val="22"/>
          <w:lang w:val="nl-NL"/>
        </w:rPr>
        <w:t xml:space="preserve">7. Aghayan DL, Kazaryan AM, Dagenborg VJ, et al. </w:t>
      </w:r>
      <w:r w:rsidRPr="006E2594">
        <w:rPr>
          <w:rFonts w:ascii="Helvetica" w:hAnsi="Helvetica" w:cs="Times New Roman"/>
          <w:noProof/>
          <w:sz w:val="22"/>
        </w:rPr>
        <w:t>Long-Term Oncologic Outcomes After Laparoscopic Versus Open Resection for Colorectal Liver Metastases. Ann Intern Med American College of Physicians 2020.</w:t>
      </w:r>
    </w:p>
    <w:p w14:paraId="08D9BAE2" w14:textId="77777777" w:rsidR="006E2594" w:rsidRPr="006E2594" w:rsidRDefault="006E2594" w:rsidP="006E2594">
      <w:pPr>
        <w:widowControl w:val="0"/>
        <w:autoSpaceDE w:val="0"/>
        <w:autoSpaceDN w:val="0"/>
        <w:adjustRightInd w:val="0"/>
        <w:spacing w:line="480" w:lineRule="auto"/>
        <w:rPr>
          <w:rFonts w:ascii="Helvetica" w:hAnsi="Helvetica" w:cs="Times New Roman"/>
          <w:noProof/>
          <w:sz w:val="22"/>
        </w:rPr>
      </w:pPr>
      <w:r w:rsidRPr="006E2594">
        <w:rPr>
          <w:rFonts w:ascii="Helvetica" w:hAnsi="Helvetica" w:cs="Times New Roman"/>
          <w:noProof/>
          <w:sz w:val="22"/>
        </w:rPr>
        <w:t>8. Cipriani F, Ratti F, Cardella A, et al. Laparoscopic Versus Open Major Hepatectomy: Analysis of Clinical Outcomes and Cost Effectiveness in a High-Volume Center. J Gastrointest Surg 2019.</w:t>
      </w:r>
    </w:p>
    <w:p w14:paraId="23E333C4" w14:textId="77777777" w:rsidR="006E2594" w:rsidRPr="006E2594" w:rsidRDefault="006E2594" w:rsidP="006E2594">
      <w:pPr>
        <w:widowControl w:val="0"/>
        <w:autoSpaceDE w:val="0"/>
        <w:autoSpaceDN w:val="0"/>
        <w:adjustRightInd w:val="0"/>
        <w:spacing w:line="480" w:lineRule="auto"/>
        <w:rPr>
          <w:rFonts w:ascii="Helvetica" w:hAnsi="Helvetica" w:cs="Times New Roman"/>
          <w:noProof/>
          <w:sz w:val="22"/>
        </w:rPr>
      </w:pPr>
      <w:r w:rsidRPr="006E2594">
        <w:rPr>
          <w:rFonts w:ascii="Helvetica" w:hAnsi="Helvetica" w:cs="Times New Roman"/>
          <w:noProof/>
          <w:sz w:val="22"/>
        </w:rPr>
        <w:t>9. Dagher I, OʼRourke N, Geller DA, et al. Laparoscopic Major Hepatectomy. Ann Surg 2009;250:856–860.</w:t>
      </w:r>
    </w:p>
    <w:p w14:paraId="5E459A80" w14:textId="77777777" w:rsidR="006E2594" w:rsidRPr="006E2594" w:rsidRDefault="006E2594" w:rsidP="006E2594">
      <w:pPr>
        <w:widowControl w:val="0"/>
        <w:autoSpaceDE w:val="0"/>
        <w:autoSpaceDN w:val="0"/>
        <w:adjustRightInd w:val="0"/>
        <w:spacing w:line="480" w:lineRule="auto"/>
        <w:rPr>
          <w:rFonts w:ascii="Helvetica" w:hAnsi="Helvetica" w:cs="Times New Roman"/>
          <w:noProof/>
          <w:sz w:val="22"/>
        </w:rPr>
      </w:pPr>
      <w:r w:rsidRPr="006E2594">
        <w:rPr>
          <w:rFonts w:ascii="Helvetica" w:hAnsi="Helvetica" w:cs="Times New Roman"/>
          <w:noProof/>
          <w:sz w:val="22"/>
        </w:rPr>
        <w:t>10. Panaro F, Hacina L, Bouyabrine H, et al. Risk factors for postoperative bile leakage: a retrospective single-center analysis of 411 hepatectomies. Hepatobiliary Pancreat Dis Int 2016;15:81–6.</w:t>
      </w:r>
    </w:p>
    <w:p w14:paraId="2F451876" w14:textId="77777777" w:rsidR="006E2594" w:rsidRPr="006E2594" w:rsidRDefault="006E2594" w:rsidP="006E2594">
      <w:pPr>
        <w:widowControl w:val="0"/>
        <w:autoSpaceDE w:val="0"/>
        <w:autoSpaceDN w:val="0"/>
        <w:adjustRightInd w:val="0"/>
        <w:spacing w:line="480" w:lineRule="auto"/>
        <w:rPr>
          <w:rFonts w:ascii="Helvetica" w:hAnsi="Helvetica" w:cs="Times New Roman"/>
          <w:noProof/>
          <w:sz w:val="22"/>
        </w:rPr>
      </w:pPr>
      <w:r w:rsidRPr="006E2594">
        <w:rPr>
          <w:rFonts w:ascii="Helvetica" w:hAnsi="Helvetica" w:cs="Times New Roman"/>
          <w:noProof/>
          <w:sz w:val="22"/>
        </w:rPr>
        <w:lastRenderedPageBreak/>
        <w:t>11. Rahbari NN, Elbers H, Koch M, et al. Bilirubin level in the drainage fluid is an early and independent predictor of clinically relevant bile leakage after hepatic resection. Surgery 2012;152:821–831.</w:t>
      </w:r>
    </w:p>
    <w:p w14:paraId="08C8394B" w14:textId="77777777" w:rsidR="006E2594" w:rsidRPr="006E2594" w:rsidRDefault="006E2594" w:rsidP="006E2594">
      <w:pPr>
        <w:widowControl w:val="0"/>
        <w:autoSpaceDE w:val="0"/>
        <w:autoSpaceDN w:val="0"/>
        <w:adjustRightInd w:val="0"/>
        <w:spacing w:line="480" w:lineRule="auto"/>
        <w:rPr>
          <w:rFonts w:ascii="Helvetica" w:hAnsi="Helvetica" w:cs="Times New Roman"/>
          <w:noProof/>
          <w:sz w:val="22"/>
        </w:rPr>
      </w:pPr>
      <w:r w:rsidRPr="006E2594">
        <w:rPr>
          <w:rFonts w:ascii="Helvetica" w:hAnsi="Helvetica" w:cs="Times New Roman"/>
          <w:noProof/>
          <w:sz w:val="22"/>
        </w:rPr>
        <w:t>12. Yokoo H, Miyata H, Konno H, et al. Models predicting the risks of six life-threatening morbidities and bile leakage in 14,970 hepatectomy patients registered in the National Clinical Database of Japan. Medicine (Baltimore) Wolters Kluwer Health 2016;95:e5466.</w:t>
      </w:r>
    </w:p>
    <w:p w14:paraId="044A9E3C" w14:textId="77777777" w:rsidR="006E2594" w:rsidRPr="006E2594" w:rsidRDefault="006E2594" w:rsidP="006E2594">
      <w:pPr>
        <w:widowControl w:val="0"/>
        <w:autoSpaceDE w:val="0"/>
        <w:autoSpaceDN w:val="0"/>
        <w:adjustRightInd w:val="0"/>
        <w:spacing w:line="480" w:lineRule="auto"/>
        <w:rPr>
          <w:rFonts w:ascii="Helvetica" w:hAnsi="Helvetica" w:cs="Times New Roman"/>
          <w:noProof/>
          <w:sz w:val="22"/>
        </w:rPr>
      </w:pPr>
      <w:r w:rsidRPr="006E2594">
        <w:rPr>
          <w:rFonts w:ascii="Helvetica" w:hAnsi="Helvetica" w:cs="Times New Roman"/>
          <w:noProof/>
          <w:sz w:val="22"/>
        </w:rPr>
        <w:t>13. Martin AN, Narayanan S, Turrentine FE, et al. Clinical Factors and Postoperative Impact of Bile Leak After Liver Resection. J Gastrointest Surg NIH Public Access 2018;22:661–667.</w:t>
      </w:r>
    </w:p>
    <w:p w14:paraId="3DA508D0" w14:textId="77777777" w:rsidR="006E2594" w:rsidRPr="006E2594" w:rsidRDefault="006E2594" w:rsidP="006E2594">
      <w:pPr>
        <w:widowControl w:val="0"/>
        <w:autoSpaceDE w:val="0"/>
        <w:autoSpaceDN w:val="0"/>
        <w:adjustRightInd w:val="0"/>
        <w:spacing w:line="480" w:lineRule="auto"/>
        <w:rPr>
          <w:rFonts w:ascii="Helvetica" w:hAnsi="Helvetica" w:cs="Times New Roman"/>
          <w:noProof/>
          <w:sz w:val="22"/>
        </w:rPr>
      </w:pPr>
      <w:r w:rsidRPr="006E2594">
        <w:rPr>
          <w:rFonts w:ascii="Helvetica" w:hAnsi="Helvetica" w:cs="Times New Roman"/>
          <w:noProof/>
          <w:sz w:val="22"/>
        </w:rPr>
        <w:t>14. Smith A, Konstantinidis IT, Fong Y, et al. A multi-institutional analysis of minimally invasive liver resections. Laparosc Surg 2018.</w:t>
      </w:r>
    </w:p>
    <w:p w14:paraId="7F4FE30F" w14:textId="77777777" w:rsidR="006E2594" w:rsidRPr="006E2594" w:rsidRDefault="006E2594" w:rsidP="006E2594">
      <w:pPr>
        <w:widowControl w:val="0"/>
        <w:autoSpaceDE w:val="0"/>
        <w:autoSpaceDN w:val="0"/>
        <w:adjustRightInd w:val="0"/>
        <w:spacing w:line="480" w:lineRule="auto"/>
        <w:rPr>
          <w:rFonts w:ascii="Helvetica" w:hAnsi="Helvetica" w:cs="Times New Roman"/>
          <w:noProof/>
          <w:sz w:val="22"/>
        </w:rPr>
      </w:pPr>
      <w:r w:rsidRPr="006E2594">
        <w:rPr>
          <w:rFonts w:ascii="Helvetica" w:hAnsi="Helvetica" w:cs="Times New Roman"/>
          <w:noProof/>
          <w:sz w:val="22"/>
        </w:rPr>
        <w:t>15. Braunwarth E, Primavesi F, Göbel G, et al. Is bile leakage after hepatic resection associated with impaired long-term survival? Eur J Surg Oncol 2019;45:1077–1083.</w:t>
      </w:r>
    </w:p>
    <w:p w14:paraId="36C6ABF0" w14:textId="77777777" w:rsidR="006E2594" w:rsidRPr="006E2594" w:rsidRDefault="006E2594" w:rsidP="006E2594">
      <w:pPr>
        <w:widowControl w:val="0"/>
        <w:autoSpaceDE w:val="0"/>
        <w:autoSpaceDN w:val="0"/>
        <w:adjustRightInd w:val="0"/>
        <w:spacing w:line="480" w:lineRule="auto"/>
        <w:rPr>
          <w:rFonts w:ascii="Helvetica" w:hAnsi="Helvetica" w:cs="Times New Roman"/>
          <w:noProof/>
          <w:sz w:val="22"/>
        </w:rPr>
      </w:pPr>
      <w:r w:rsidRPr="006E2594">
        <w:rPr>
          <w:rFonts w:ascii="Helvetica" w:hAnsi="Helvetica" w:cs="Times New Roman"/>
          <w:noProof/>
          <w:sz w:val="22"/>
        </w:rPr>
        <w:t>16. Imamura H, Seyama Y, Kokudo N, et al. One Thousand Fifty-Six Hepatectomies Without Mortality in 8 Years. Arch Surg American Medical Association 2003;138:1198.</w:t>
      </w:r>
    </w:p>
    <w:p w14:paraId="7EBEE8D4" w14:textId="77777777" w:rsidR="006E2594" w:rsidRPr="006E2594" w:rsidRDefault="006E2594" w:rsidP="006E2594">
      <w:pPr>
        <w:widowControl w:val="0"/>
        <w:autoSpaceDE w:val="0"/>
        <w:autoSpaceDN w:val="0"/>
        <w:adjustRightInd w:val="0"/>
        <w:spacing w:line="480" w:lineRule="auto"/>
        <w:rPr>
          <w:rFonts w:ascii="Helvetica" w:hAnsi="Helvetica" w:cs="Times New Roman"/>
          <w:noProof/>
          <w:sz w:val="22"/>
        </w:rPr>
      </w:pPr>
      <w:r w:rsidRPr="006E2594">
        <w:rPr>
          <w:rFonts w:ascii="Helvetica" w:hAnsi="Helvetica" w:cs="Times New Roman"/>
          <w:noProof/>
          <w:sz w:val="22"/>
        </w:rPr>
        <w:t>17. Poon RT, Fan ST, Lo CM, et al. Improving perioperative outcome expands the role of hepatectomy in management of benign and malignant hepatobiliary diseases: analysis of 1222 consecutive patients from a prospective database. Ann Surg Lippincott, Williams, and Wilkins 2004;240:698–708; discussion 708-10.</w:t>
      </w:r>
    </w:p>
    <w:p w14:paraId="7CF71AA0" w14:textId="77777777" w:rsidR="006E2594" w:rsidRPr="006E2594" w:rsidRDefault="006E2594" w:rsidP="006E2594">
      <w:pPr>
        <w:widowControl w:val="0"/>
        <w:autoSpaceDE w:val="0"/>
        <w:autoSpaceDN w:val="0"/>
        <w:adjustRightInd w:val="0"/>
        <w:spacing w:line="480" w:lineRule="auto"/>
        <w:rPr>
          <w:rFonts w:ascii="Helvetica" w:hAnsi="Helvetica" w:cs="Times New Roman"/>
          <w:noProof/>
          <w:sz w:val="22"/>
        </w:rPr>
      </w:pPr>
      <w:r w:rsidRPr="006E2594">
        <w:rPr>
          <w:rFonts w:ascii="Helvetica" w:hAnsi="Helvetica" w:cs="Times New Roman"/>
          <w:noProof/>
          <w:sz w:val="22"/>
        </w:rPr>
        <w:t>18. Jarnagin WR, Gonen M, Fong Y, et al. Improvement in perioperative outcome after hepatic resection: analysis of 1,803 consecutive cases over the past decade. Ann Surg 2002;236:397–406; discussion 406-7.</w:t>
      </w:r>
    </w:p>
    <w:p w14:paraId="2EC57804" w14:textId="77777777" w:rsidR="006E2594" w:rsidRPr="006E2594" w:rsidRDefault="006E2594" w:rsidP="006E2594">
      <w:pPr>
        <w:widowControl w:val="0"/>
        <w:autoSpaceDE w:val="0"/>
        <w:autoSpaceDN w:val="0"/>
        <w:adjustRightInd w:val="0"/>
        <w:spacing w:line="480" w:lineRule="auto"/>
        <w:rPr>
          <w:rFonts w:ascii="Helvetica" w:hAnsi="Helvetica" w:cs="Times New Roman"/>
          <w:noProof/>
          <w:sz w:val="22"/>
        </w:rPr>
      </w:pPr>
      <w:r w:rsidRPr="006E2594">
        <w:rPr>
          <w:rFonts w:ascii="Helvetica" w:hAnsi="Helvetica" w:cs="Times New Roman"/>
          <w:noProof/>
          <w:sz w:val="22"/>
        </w:rPr>
        <w:t>19. Reed DN, Vitale GC, Wrightson WR, et al. Decreasing mortality of bile leaks after elective hepatic surgery. Am J Surg 2003;185:316–8.</w:t>
      </w:r>
    </w:p>
    <w:p w14:paraId="689A1016" w14:textId="77777777" w:rsidR="006E2594" w:rsidRPr="0089742D" w:rsidRDefault="006E2594" w:rsidP="006E2594">
      <w:pPr>
        <w:widowControl w:val="0"/>
        <w:autoSpaceDE w:val="0"/>
        <w:autoSpaceDN w:val="0"/>
        <w:adjustRightInd w:val="0"/>
        <w:spacing w:line="480" w:lineRule="auto"/>
        <w:rPr>
          <w:rFonts w:ascii="Helvetica" w:hAnsi="Helvetica" w:cs="Times New Roman"/>
          <w:noProof/>
          <w:sz w:val="22"/>
          <w:lang w:val="nl-NL"/>
        </w:rPr>
      </w:pPr>
      <w:r w:rsidRPr="006E2594">
        <w:rPr>
          <w:rFonts w:ascii="Helvetica" w:hAnsi="Helvetica" w:cs="Times New Roman"/>
          <w:noProof/>
          <w:sz w:val="22"/>
        </w:rPr>
        <w:t xml:space="preserve">20. Guillaud A, Pery C, Campillo B, et al. Incidence and predictive factors of clinically relevant bile leakage in the modern era of liver resections. </w:t>
      </w:r>
      <w:r w:rsidRPr="0089742D">
        <w:rPr>
          <w:rFonts w:ascii="Helvetica" w:hAnsi="Helvetica" w:cs="Times New Roman"/>
          <w:noProof/>
          <w:sz w:val="22"/>
          <w:lang w:val="nl-NL"/>
        </w:rPr>
        <w:t>HPB 2013;15:224–229.</w:t>
      </w:r>
    </w:p>
    <w:p w14:paraId="796805A3" w14:textId="77777777" w:rsidR="006E2594" w:rsidRPr="006E2594" w:rsidRDefault="006E2594" w:rsidP="006E2594">
      <w:pPr>
        <w:widowControl w:val="0"/>
        <w:autoSpaceDE w:val="0"/>
        <w:autoSpaceDN w:val="0"/>
        <w:adjustRightInd w:val="0"/>
        <w:spacing w:line="480" w:lineRule="auto"/>
        <w:rPr>
          <w:rFonts w:ascii="Helvetica" w:hAnsi="Helvetica" w:cs="Times New Roman"/>
          <w:noProof/>
          <w:sz w:val="22"/>
        </w:rPr>
      </w:pPr>
      <w:r w:rsidRPr="0089742D">
        <w:rPr>
          <w:rFonts w:ascii="Helvetica" w:hAnsi="Helvetica" w:cs="Times New Roman"/>
          <w:noProof/>
          <w:sz w:val="22"/>
          <w:lang w:val="nl-NL"/>
        </w:rPr>
        <w:t xml:space="preserve">21. Li S-Q, Liang L-J, Peng B-G, et al. </w:t>
      </w:r>
      <w:r w:rsidRPr="006E2594">
        <w:rPr>
          <w:rFonts w:ascii="Helvetica" w:hAnsi="Helvetica" w:cs="Times New Roman"/>
          <w:noProof/>
          <w:sz w:val="22"/>
        </w:rPr>
        <w:t>Bile leakage after hepatectomy for hepatolithiasis: risk factors and management. Surgery Elsevier 2007;141:340–5.</w:t>
      </w:r>
    </w:p>
    <w:p w14:paraId="26AD42C4" w14:textId="77777777" w:rsidR="006E2594" w:rsidRPr="0089742D" w:rsidRDefault="006E2594" w:rsidP="006E2594">
      <w:pPr>
        <w:widowControl w:val="0"/>
        <w:autoSpaceDE w:val="0"/>
        <w:autoSpaceDN w:val="0"/>
        <w:adjustRightInd w:val="0"/>
        <w:spacing w:line="480" w:lineRule="auto"/>
        <w:rPr>
          <w:rFonts w:ascii="Helvetica" w:hAnsi="Helvetica" w:cs="Times New Roman"/>
          <w:noProof/>
          <w:sz w:val="22"/>
          <w:lang w:val="nl-NL"/>
        </w:rPr>
      </w:pPr>
      <w:r w:rsidRPr="006E2594">
        <w:rPr>
          <w:rFonts w:ascii="Helvetica" w:hAnsi="Helvetica" w:cs="Times New Roman"/>
          <w:noProof/>
          <w:sz w:val="22"/>
        </w:rPr>
        <w:lastRenderedPageBreak/>
        <w:t xml:space="preserve">22. Lederer A, Seehofer D, Schirmeier A, et al. Postoperative Bile Leakage Inhibits Liver Regeneration after 70% Hepatectomy in Rats. </w:t>
      </w:r>
      <w:r w:rsidRPr="0089742D">
        <w:rPr>
          <w:rFonts w:ascii="Helvetica" w:hAnsi="Helvetica" w:cs="Times New Roman"/>
          <w:noProof/>
          <w:sz w:val="22"/>
          <w:lang w:val="nl-NL"/>
        </w:rPr>
        <w:t>J Investig Surg 2013;26:36–45.</w:t>
      </w:r>
    </w:p>
    <w:p w14:paraId="5FE7191E" w14:textId="77777777" w:rsidR="006E2594" w:rsidRPr="0089742D" w:rsidRDefault="006E2594" w:rsidP="006E2594">
      <w:pPr>
        <w:widowControl w:val="0"/>
        <w:autoSpaceDE w:val="0"/>
        <w:autoSpaceDN w:val="0"/>
        <w:adjustRightInd w:val="0"/>
        <w:spacing w:line="480" w:lineRule="auto"/>
        <w:rPr>
          <w:rFonts w:ascii="Helvetica" w:hAnsi="Helvetica" w:cs="Times New Roman"/>
          <w:noProof/>
          <w:sz w:val="22"/>
          <w:lang w:val="nl-NL"/>
        </w:rPr>
      </w:pPr>
      <w:r w:rsidRPr="0089742D">
        <w:rPr>
          <w:rFonts w:ascii="Helvetica" w:hAnsi="Helvetica" w:cs="Times New Roman"/>
          <w:noProof/>
          <w:sz w:val="22"/>
          <w:lang w:val="nl-NL"/>
        </w:rPr>
        <w:t xml:space="preserve">23. Spetzler VN, Schepers M, Pinnschmidt HO, et al. </w:t>
      </w:r>
      <w:r w:rsidRPr="006E2594">
        <w:rPr>
          <w:rFonts w:ascii="Helvetica" w:hAnsi="Helvetica" w:cs="Times New Roman"/>
          <w:noProof/>
          <w:sz w:val="22"/>
        </w:rPr>
        <w:t xml:space="preserve">The incidence and severity of post-hepatectomy bile leaks is affected by surgical indications, preoperative chemotherapy, and surgical procedures. </w:t>
      </w:r>
      <w:r w:rsidRPr="0089742D">
        <w:rPr>
          <w:rFonts w:ascii="Helvetica" w:hAnsi="Helvetica" w:cs="Times New Roman"/>
          <w:noProof/>
          <w:sz w:val="22"/>
          <w:lang w:val="nl-NL"/>
        </w:rPr>
        <w:t>HepatoBiliary Surg Nutr 2019;8:101–110.</w:t>
      </w:r>
    </w:p>
    <w:p w14:paraId="3FBB6B6A" w14:textId="77777777" w:rsidR="006E2594" w:rsidRPr="0089742D" w:rsidRDefault="006E2594" w:rsidP="006E2594">
      <w:pPr>
        <w:widowControl w:val="0"/>
        <w:autoSpaceDE w:val="0"/>
        <w:autoSpaceDN w:val="0"/>
        <w:adjustRightInd w:val="0"/>
        <w:spacing w:line="480" w:lineRule="auto"/>
        <w:rPr>
          <w:rFonts w:ascii="Helvetica" w:hAnsi="Helvetica" w:cs="Times New Roman"/>
          <w:noProof/>
          <w:sz w:val="22"/>
          <w:lang w:val="nl-NL"/>
        </w:rPr>
      </w:pPr>
      <w:r w:rsidRPr="0089742D">
        <w:rPr>
          <w:rFonts w:ascii="Helvetica" w:hAnsi="Helvetica" w:cs="Times New Roman"/>
          <w:noProof/>
          <w:sz w:val="22"/>
          <w:lang w:val="nl-NL"/>
        </w:rPr>
        <w:t xml:space="preserve">24. Vandenbroucke JP, von Elm E, Altman DG, et al. </w:t>
      </w:r>
      <w:r w:rsidRPr="006E2594">
        <w:rPr>
          <w:rFonts w:ascii="Helvetica" w:hAnsi="Helvetica" w:cs="Times New Roman"/>
          <w:noProof/>
          <w:sz w:val="22"/>
        </w:rPr>
        <w:t xml:space="preserve">Strengthening the Reporting of Observational Studies in Epidemiology (STROBE): Explanation and elaboration. </w:t>
      </w:r>
      <w:r w:rsidRPr="0089742D">
        <w:rPr>
          <w:rFonts w:ascii="Helvetica" w:hAnsi="Helvetica" w:cs="Times New Roman"/>
          <w:noProof/>
          <w:sz w:val="22"/>
          <w:lang w:val="nl-NL"/>
        </w:rPr>
        <w:t>Int J Surg 2014;12:1500–1524.</w:t>
      </w:r>
    </w:p>
    <w:p w14:paraId="1414A158" w14:textId="77777777" w:rsidR="006E2594" w:rsidRPr="0089742D" w:rsidRDefault="006E2594" w:rsidP="006E2594">
      <w:pPr>
        <w:widowControl w:val="0"/>
        <w:autoSpaceDE w:val="0"/>
        <w:autoSpaceDN w:val="0"/>
        <w:adjustRightInd w:val="0"/>
        <w:spacing w:line="480" w:lineRule="auto"/>
        <w:rPr>
          <w:rFonts w:ascii="Helvetica" w:hAnsi="Helvetica" w:cs="Times New Roman"/>
          <w:noProof/>
          <w:sz w:val="22"/>
          <w:lang w:val="nl-NL"/>
        </w:rPr>
      </w:pPr>
      <w:r w:rsidRPr="0089742D">
        <w:rPr>
          <w:rFonts w:ascii="Helvetica" w:hAnsi="Helvetica" w:cs="Times New Roman"/>
          <w:noProof/>
          <w:sz w:val="22"/>
          <w:lang w:val="nl-NL"/>
        </w:rPr>
        <w:t xml:space="preserve">25. Koch M, Garden OJ, Padbury R, et al. </w:t>
      </w:r>
      <w:r w:rsidRPr="006E2594">
        <w:rPr>
          <w:rFonts w:ascii="Helvetica" w:hAnsi="Helvetica" w:cs="Times New Roman"/>
          <w:noProof/>
          <w:sz w:val="22"/>
        </w:rPr>
        <w:t xml:space="preserve">Bile leakage after hepatobiliary and pancreatic surgery: A definition and grading of severity by the International Study Group of Liver Surgery. </w:t>
      </w:r>
      <w:r w:rsidRPr="0089742D">
        <w:rPr>
          <w:rFonts w:ascii="Helvetica" w:hAnsi="Helvetica" w:cs="Times New Roman"/>
          <w:noProof/>
          <w:sz w:val="22"/>
          <w:lang w:val="nl-NL"/>
        </w:rPr>
        <w:t>Surgery 2011;149:680–688.</w:t>
      </w:r>
    </w:p>
    <w:p w14:paraId="767E6CA8" w14:textId="77777777" w:rsidR="006E2594" w:rsidRPr="0089742D" w:rsidRDefault="006E2594" w:rsidP="006E2594">
      <w:pPr>
        <w:widowControl w:val="0"/>
        <w:autoSpaceDE w:val="0"/>
        <w:autoSpaceDN w:val="0"/>
        <w:adjustRightInd w:val="0"/>
        <w:spacing w:line="480" w:lineRule="auto"/>
        <w:rPr>
          <w:rFonts w:ascii="Helvetica" w:hAnsi="Helvetica" w:cs="Times New Roman"/>
          <w:noProof/>
          <w:sz w:val="22"/>
          <w:lang w:val="nl-NL"/>
        </w:rPr>
      </w:pPr>
      <w:r w:rsidRPr="0089742D">
        <w:rPr>
          <w:rFonts w:ascii="Helvetica" w:hAnsi="Helvetica" w:cs="Times New Roman"/>
          <w:noProof/>
          <w:sz w:val="22"/>
          <w:lang w:val="nl-NL"/>
        </w:rPr>
        <w:t xml:space="preserve">26. Clavien PA, Barkun J, de Oliveira ML, et al. </w:t>
      </w:r>
      <w:r w:rsidRPr="006E2594">
        <w:rPr>
          <w:rFonts w:ascii="Helvetica" w:hAnsi="Helvetica" w:cs="Times New Roman"/>
          <w:noProof/>
          <w:sz w:val="22"/>
        </w:rPr>
        <w:t xml:space="preserve">The Clavien-Dindo Classification of Surgical Complications. </w:t>
      </w:r>
      <w:r w:rsidRPr="0089742D">
        <w:rPr>
          <w:rFonts w:ascii="Helvetica" w:hAnsi="Helvetica" w:cs="Times New Roman"/>
          <w:noProof/>
          <w:sz w:val="22"/>
          <w:lang w:val="nl-NL"/>
        </w:rPr>
        <w:t>Ann Surg 2009;250:187–196.</w:t>
      </w:r>
    </w:p>
    <w:p w14:paraId="6B1B5201" w14:textId="77777777" w:rsidR="006E2594" w:rsidRPr="006E2594" w:rsidRDefault="006E2594" w:rsidP="006E2594">
      <w:pPr>
        <w:widowControl w:val="0"/>
        <w:autoSpaceDE w:val="0"/>
        <w:autoSpaceDN w:val="0"/>
        <w:adjustRightInd w:val="0"/>
        <w:spacing w:line="480" w:lineRule="auto"/>
        <w:rPr>
          <w:rFonts w:ascii="Helvetica" w:hAnsi="Helvetica" w:cs="Times New Roman"/>
          <w:noProof/>
          <w:sz w:val="22"/>
        </w:rPr>
      </w:pPr>
      <w:r w:rsidRPr="0089742D">
        <w:rPr>
          <w:rFonts w:ascii="Helvetica" w:hAnsi="Helvetica" w:cs="Times New Roman"/>
          <w:noProof/>
          <w:sz w:val="22"/>
          <w:lang w:val="nl-NL"/>
        </w:rPr>
        <w:t xml:space="preserve">27. Rahbari NN, Garden OJ, Padbury R, et al. </w:t>
      </w:r>
      <w:r w:rsidRPr="006E2594">
        <w:rPr>
          <w:rFonts w:ascii="Helvetica" w:hAnsi="Helvetica" w:cs="Times New Roman"/>
          <w:noProof/>
          <w:sz w:val="22"/>
        </w:rPr>
        <w:t>Posthepatectomy liver failure: A definition and grading by the International Study Group of Liver Surgery (ISGLS). Surgery Surgery 2011;149:713–724.</w:t>
      </w:r>
    </w:p>
    <w:p w14:paraId="1225DCA3" w14:textId="77777777" w:rsidR="006E2594" w:rsidRPr="006E2594" w:rsidRDefault="006E2594" w:rsidP="006E2594">
      <w:pPr>
        <w:widowControl w:val="0"/>
        <w:autoSpaceDE w:val="0"/>
        <w:autoSpaceDN w:val="0"/>
        <w:adjustRightInd w:val="0"/>
        <w:spacing w:line="480" w:lineRule="auto"/>
        <w:rPr>
          <w:rFonts w:ascii="Helvetica" w:hAnsi="Helvetica" w:cs="Times New Roman"/>
          <w:noProof/>
          <w:sz w:val="22"/>
        </w:rPr>
      </w:pPr>
      <w:r w:rsidRPr="006E2594">
        <w:rPr>
          <w:rFonts w:ascii="Helvetica" w:hAnsi="Helvetica" w:cs="Times New Roman"/>
          <w:noProof/>
          <w:sz w:val="22"/>
        </w:rPr>
        <w:t>28. Mangram AJ, Horan TC, Pearson ML, et al. Guideline for prevention of surgical site infection, 1999. Hospital Infection Control Practices Advisory Committee. Infect Control Hosp Epidemiol Infect Control Hosp Epidemiol 1999;20:250–78; quiz 279–80.</w:t>
      </w:r>
    </w:p>
    <w:p w14:paraId="518E1ED3" w14:textId="77777777" w:rsidR="006E2594" w:rsidRPr="006E2594" w:rsidRDefault="006E2594" w:rsidP="006E2594">
      <w:pPr>
        <w:widowControl w:val="0"/>
        <w:autoSpaceDE w:val="0"/>
        <w:autoSpaceDN w:val="0"/>
        <w:adjustRightInd w:val="0"/>
        <w:spacing w:line="480" w:lineRule="auto"/>
        <w:rPr>
          <w:rFonts w:ascii="Helvetica" w:hAnsi="Helvetica" w:cs="Times New Roman"/>
          <w:noProof/>
          <w:sz w:val="22"/>
        </w:rPr>
      </w:pPr>
      <w:r w:rsidRPr="0089742D">
        <w:rPr>
          <w:rFonts w:ascii="Helvetica" w:hAnsi="Helvetica" w:cs="Times New Roman"/>
          <w:noProof/>
          <w:sz w:val="22"/>
          <w:lang w:val="nl-NL"/>
        </w:rPr>
        <w:t xml:space="preserve">29. Togo S, Matsuo K, Tanaka K, et al. </w:t>
      </w:r>
      <w:r w:rsidRPr="006E2594">
        <w:rPr>
          <w:rFonts w:ascii="Helvetica" w:hAnsi="Helvetica" w:cs="Times New Roman"/>
          <w:noProof/>
          <w:sz w:val="22"/>
        </w:rPr>
        <w:t>Perioperative infection control and its effectiveness in hepatectomy patients. J Gastroenterol Hepatol Blackwell Publishing 2007;22:1942–1948.</w:t>
      </w:r>
    </w:p>
    <w:p w14:paraId="544154AD" w14:textId="77777777" w:rsidR="006E2594" w:rsidRPr="006E2594" w:rsidRDefault="006E2594" w:rsidP="006E2594">
      <w:pPr>
        <w:widowControl w:val="0"/>
        <w:autoSpaceDE w:val="0"/>
        <w:autoSpaceDN w:val="0"/>
        <w:adjustRightInd w:val="0"/>
        <w:spacing w:line="480" w:lineRule="auto"/>
        <w:rPr>
          <w:rFonts w:ascii="Helvetica" w:hAnsi="Helvetica" w:cs="Times New Roman"/>
          <w:noProof/>
          <w:sz w:val="22"/>
        </w:rPr>
      </w:pPr>
      <w:r w:rsidRPr="006E2594">
        <w:rPr>
          <w:rFonts w:ascii="Helvetica" w:hAnsi="Helvetica" w:cs="Times New Roman"/>
          <w:noProof/>
          <w:sz w:val="22"/>
        </w:rPr>
        <w:t>30. Rahbari NN, Garden OJ, Padbury R, et al. Post-hepatectomy haemorrhage: A definition and grading by the International Study Group of Liver Surgery (ISGLS). HPB Blackwell Publishing Ltd 2011;13:528–535.</w:t>
      </w:r>
    </w:p>
    <w:p w14:paraId="695A4A63" w14:textId="77777777" w:rsidR="006E2594" w:rsidRPr="006E2594" w:rsidRDefault="006E2594" w:rsidP="006E2594">
      <w:pPr>
        <w:widowControl w:val="0"/>
        <w:autoSpaceDE w:val="0"/>
        <w:autoSpaceDN w:val="0"/>
        <w:adjustRightInd w:val="0"/>
        <w:spacing w:line="480" w:lineRule="auto"/>
        <w:rPr>
          <w:rFonts w:ascii="Helvetica" w:hAnsi="Helvetica" w:cs="Times New Roman"/>
          <w:noProof/>
          <w:sz w:val="22"/>
        </w:rPr>
      </w:pPr>
      <w:r w:rsidRPr="006E2594">
        <w:rPr>
          <w:rFonts w:ascii="Helvetica" w:hAnsi="Helvetica" w:cs="Times New Roman"/>
          <w:noProof/>
          <w:sz w:val="22"/>
        </w:rPr>
        <w:t>31. Strasberg SM. Nomenclature of hepatic anatomy and resections: A review of the Brisbane 2000 system. J Hepatobiliary Pancreat Surg J Hepatobiliary Pancreat Surg 2005;12:351–355.</w:t>
      </w:r>
    </w:p>
    <w:p w14:paraId="47E49420" w14:textId="77777777" w:rsidR="006E2594" w:rsidRPr="006E2594" w:rsidRDefault="006E2594" w:rsidP="006E2594">
      <w:pPr>
        <w:widowControl w:val="0"/>
        <w:autoSpaceDE w:val="0"/>
        <w:autoSpaceDN w:val="0"/>
        <w:adjustRightInd w:val="0"/>
        <w:spacing w:line="480" w:lineRule="auto"/>
        <w:rPr>
          <w:rFonts w:ascii="Helvetica" w:hAnsi="Helvetica" w:cs="Times New Roman"/>
          <w:noProof/>
          <w:sz w:val="22"/>
        </w:rPr>
      </w:pPr>
      <w:r w:rsidRPr="006E2594">
        <w:rPr>
          <w:rFonts w:ascii="Helvetica" w:hAnsi="Helvetica" w:cs="Times New Roman"/>
          <w:noProof/>
          <w:sz w:val="22"/>
        </w:rPr>
        <w:lastRenderedPageBreak/>
        <w:t>32. Lalmahomed ZS, Ayez N, Van Der Pool AEM, et al. Anatomical versus nonanatomical resection of colorectal liver metastases: Is there a difference in surgical and oncological outcome? World J Surg World J Surg 2011;35:656–661.</w:t>
      </w:r>
    </w:p>
    <w:p w14:paraId="27137980" w14:textId="77777777" w:rsidR="006E2594" w:rsidRPr="006E2594" w:rsidRDefault="006E2594" w:rsidP="006E2594">
      <w:pPr>
        <w:widowControl w:val="0"/>
        <w:autoSpaceDE w:val="0"/>
        <w:autoSpaceDN w:val="0"/>
        <w:adjustRightInd w:val="0"/>
        <w:spacing w:line="480" w:lineRule="auto"/>
        <w:rPr>
          <w:rFonts w:ascii="Helvetica" w:hAnsi="Helvetica" w:cs="Times New Roman"/>
          <w:noProof/>
          <w:sz w:val="22"/>
        </w:rPr>
      </w:pPr>
      <w:r w:rsidRPr="006E2594">
        <w:rPr>
          <w:rFonts w:ascii="Helvetica" w:hAnsi="Helvetica" w:cs="Times New Roman"/>
          <w:noProof/>
          <w:sz w:val="22"/>
        </w:rPr>
        <w:t>33. Lonjon G, Porcher R, Ergina P, et al. Potential Pitfalls of Reporting and Bias in Observational Studies With Propensity Score Analysis Assessing a Surgical Procedure. Ann Surg 2017;265:901–909.</w:t>
      </w:r>
    </w:p>
    <w:p w14:paraId="3128F03A" w14:textId="77777777" w:rsidR="006E2594" w:rsidRPr="006E2594" w:rsidRDefault="006E2594" w:rsidP="006E2594">
      <w:pPr>
        <w:widowControl w:val="0"/>
        <w:autoSpaceDE w:val="0"/>
        <w:autoSpaceDN w:val="0"/>
        <w:adjustRightInd w:val="0"/>
        <w:spacing w:line="480" w:lineRule="auto"/>
        <w:rPr>
          <w:rFonts w:ascii="Helvetica" w:hAnsi="Helvetica" w:cs="Times New Roman"/>
          <w:noProof/>
          <w:sz w:val="22"/>
        </w:rPr>
      </w:pPr>
      <w:r w:rsidRPr="006E2594">
        <w:rPr>
          <w:rFonts w:ascii="Helvetica" w:hAnsi="Helvetica" w:cs="Times New Roman"/>
          <w:noProof/>
          <w:sz w:val="22"/>
        </w:rPr>
        <w:t>34. Smith AA, Monlezun DJ, Martinie J, et al. Bile Leak Reduction with Laparoscopic Versus Open Liver Resection : A Multi-institutional Propensity Score-Adjusted Multivariable Regression Analysis. World J Surg Springer International Publishing 2020;44:1578–1585.</w:t>
      </w:r>
    </w:p>
    <w:p w14:paraId="0A94BAEA" w14:textId="77777777" w:rsidR="006E2594" w:rsidRPr="006E2594" w:rsidRDefault="006E2594" w:rsidP="006E2594">
      <w:pPr>
        <w:widowControl w:val="0"/>
        <w:autoSpaceDE w:val="0"/>
        <w:autoSpaceDN w:val="0"/>
        <w:adjustRightInd w:val="0"/>
        <w:spacing w:line="480" w:lineRule="auto"/>
        <w:rPr>
          <w:rFonts w:ascii="Helvetica" w:hAnsi="Helvetica" w:cs="Times New Roman"/>
          <w:noProof/>
          <w:sz w:val="22"/>
        </w:rPr>
      </w:pPr>
      <w:r w:rsidRPr="006E2594">
        <w:rPr>
          <w:rFonts w:ascii="Helvetica" w:hAnsi="Helvetica" w:cs="Times New Roman"/>
          <w:noProof/>
          <w:sz w:val="22"/>
        </w:rPr>
        <w:t>35. Kabir T, Syn N, Koh Y-X, et al. Impact of tumor size on the difficulty of minimally invasive liver resection. Eur J Surg Oncol Elsevier 2021;0.</w:t>
      </w:r>
    </w:p>
    <w:p w14:paraId="06D34E52" w14:textId="77777777" w:rsidR="006E2594" w:rsidRPr="006E2594" w:rsidRDefault="006E2594" w:rsidP="006E2594">
      <w:pPr>
        <w:widowControl w:val="0"/>
        <w:autoSpaceDE w:val="0"/>
        <w:autoSpaceDN w:val="0"/>
        <w:adjustRightInd w:val="0"/>
        <w:spacing w:line="480" w:lineRule="auto"/>
        <w:rPr>
          <w:rFonts w:ascii="Helvetica" w:hAnsi="Helvetica" w:cs="Times New Roman"/>
          <w:noProof/>
          <w:sz w:val="22"/>
        </w:rPr>
      </w:pPr>
      <w:r w:rsidRPr="006E2594">
        <w:rPr>
          <w:rFonts w:ascii="Helvetica" w:hAnsi="Helvetica" w:cs="Times New Roman"/>
          <w:noProof/>
          <w:sz w:val="22"/>
        </w:rPr>
        <w:t>36. Görgec B, Cacciaguerra AB, Lanari J, et al. Assessment of Textbook Outcome in Laparoscopic and Open Liver Surgery. JAMA Surg American Medical Association 2021;156:e212064–e212064.</w:t>
      </w:r>
    </w:p>
    <w:p w14:paraId="737052D0" w14:textId="77777777" w:rsidR="006E2594" w:rsidRPr="006E2594" w:rsidRDefault="006E2594" w:rsidP="006E2594">
      <w:pPr>
        <w:widowControl w:val="0"/>
        <w:autoSpaceDE w:val="0"/>
        <w:autoSpaceDN w:val="0"/>
        <w:adjustRightInd w:val="0"/>
        <w:spacing w:line="480" w:lineRule="auto"/>
        <w:rPr>
          <w:rFonts w:ascii="Helvetica" w:hAnsi="Helvetica" w:cs="Times New Roman"/>
          <w:noProof/>
          <w:sz w:val="22"/>
        </w:rPr>
      </w:pPr>
      <w:r w:rsidRPr="006E2594">
        <w:rPr>
          <w:rFonts w:ascii="Helvetica" w:hAnsi="Helvetica" w:cs="Times New Roman"/>
          <w:noProof/>
          <w:sz w:val="22"/>
        </w:rPr>
        <w:t>37. Sakamoto K, Tamesa T, Yukio T, Tokuhisa Y. Risk Factors and Managements of Bile Leakage After Hepatectomy. World J Surg Springer International Publishing 2016;40:182–189.</w:t>
      </w:r>
    </w:p>
    <w:p w14:paraId="3725EA27" w14:textId="77777777" w:rsidR="006E2594" w:rsidRPr="006E2594" w:rsidRDefault="006E2594" w:rsidP="006E2594">
      <w:pPr>
        <w:widowControl w:val="0"/>
        <w:autoSpaceDE w:val="0"/>
        <w:autoSpaceDN w:val="0"/>
        <w:adjustRightInd w:val="0"/>
        <w:spacing w:line="480" w:lineRule="auto"/>
        <w:rPr>
          <w:rFonts w:ascii="Helvetica" w:hAnsi="Helvetica" w:cs="Times New Roman"/>
          <w:noProof/>
          <w:sz w:val="22"/>
        </w:rPr>
      </w:pPr>
      <w:r w:rsidRPr="006E2594">
        <w:rPr>
          <w:rFonts w:ascii="Helvetica" w:hAnsi="Helvetica" w:cs="Times New Roman"/>
          <w:noProof/>
          <w:sz w:val="22"/>
        </w:rPr>
        <w:t>38. Kajiwara T, Midorikawa Y, Yamazaki S, et al. Clinical score to predict the risk of bile leakage after liver resection. BMC Surg 2016;16:30.</w:t>
      </w:r>
    </w:p>
    <w:p w14:paraId="4494A5EC" w14:textId="77777777" w:rsidR="006E2594" w:rsidRPr="006E2594" w:rsidRDefault="006E2594" w:rsidP="006E2594">
      <w:pPr>
        <w:widowControl w:val="0"/>
        <w:autoSpaceDE w:val="0"/>
        <w:autoSpaceDN w:val="0"/>
        <w:adjustRightInd w:val="0"/>
        <w:spacing w:line="480" w:lineRule="auto"/>
        <w:rPr>
          <w:rFonts w:ascii="Helvetica" w:hAnsi="Helvetica" w:cs="Times New Roman"/>
          <w:noProof/>
          <w:sz w:val="22"/>
        </w:rPr>
      </w:pPr>
      <w:r w:rsidRPr="006E2594">
        <w:rPr>
          <w:rFonts w:ascii="Helvetica" w:hAnsi="Helvetica" w:cs="Times New Roman"/>
          <w:noProof/>
          <w:sz w:val="22"/>
        </w:rPr>
        <w:t>39. Nguyen KT, Gamblin TC, Geller DA. World Review of Laparoscopic Liver Resection—2,804 Patients. Ann Surg 2009;250:831–841.</w:t>
      </w:r>
    </w:p>
    <w:p w14:paraId="15AE1AB7" w14:textId="77777777" w:rsidR="006E2594" w:rsidRPr="006E2594" w:rsidRDefault="006E2594" w:rsidP="006E2594">
      <w:pPr>
        <w:widowControl w:val="0"/>
        <w:autoSpaceDE w:val="0"/>
        <w:autoSpaceDN w:val="0"/>
        <w:adjustRightInd w:val="0"/>
        <w:spacing w:line="480" w:lineRule="auto"/>
        <w:rPr>
          <w:rFonts w:ascii="Helvetica" w:hAnsi="Helvetica" w:cs="Times New Roman"/>
          <w:noProof/>
          <w:sz w:val="22"/>
        </w:rPr>
      </w:pPr>
      <w:r w:rsidRPr="006E2594">
        <w:rPr>
          <w:rFonts w:ascii="Helvetica" w:hAnsi="Helvetica" w:cs="Times New Roman"/>
          <w:noProof/>
          <w:sz w:val="22"/>
        </w:rPr>
        <w:t>40. Soubrane O, Goumard C, Laurent A, et al. Laparoscopic resection of hepatocellular carcinoma: A French survey in 351 patients. HPB Blackwell Publishing Ltd 2014;16:357–365.</w:t>
      </w:r>
    </w:p>
    <w:p w14:paraId="53439900" w14:textId="77777777" w:rsidR="006E2594" w:rsidRPr="006E2594" w:rsidRDefault="006E2594" w:rsidP="006E2594">
      <w:pPr>
        <w:widowControl w:val="0"/>
        <w:autoSpaceDE w:val="0"/>
        <w:autoSpaceDN w:val="0"/>
        <w:adjustRightInd w:val="0"/>
        <w:spacing w:line="480" w:lineRule="auto"/>
        <w:rPr>
          <w:rFonts w:ascii="Helvetica" w:hAnsi="Helvetica" w:cs="Times New Roman"/>
          <w:noProof/>
          <w:sz w:val="22"/>
        </w:rPr>
      </w:pPr>
      <w:r w:rsidRPr="006E2594">
        <w:rPr>
          <w:rFonts w:ascii="Helvetica" w:hAnsi="Helvetica" w:cs="Times New Roman"/>
          <w:noProof/>
          <w:sz w:val="22"/>
        </w:rPr>
        <w:t>41. Cannon RM, Brock GN, Marvin MR, Buell JF. Laparoscopic liver resection: An examination of our first 300 patients. J Am Coll Surg Elsevier Inc. 2011;213:501–507.</w:t>
      </w:r>
    </w:p>
    <w:p w14:paraId="63516984" w14:textId="77777777" w:rsidR="006E2594" w:rsidRPr="006E2594" w:rsidRDefault="006E2594" w:rsidP="006E2594">
      <w:pPr>
        <w:widowControl w:val="0"/>
        <w:autoSpaceDE w:val="0"/>
        <w:autoSpaceDN w:val="0"/>
        <w:adjustRightInd w:val="0"/>
        <w:spacing w:line="480" w:lineRule="auto"/>
        <w:rPr>
          <w:rFonts w:ascii="Helvetica" w:hAnsi="Helvetica" w:cs="Times New Roman"/>
          <w:noProof/>
          <w:sz w:val="22"/>
        </w:rPr>
      </w:pPr>
      <w:r w:rsidRPr="006E2594">
        <w:rPr>
          <w:rFonts w:ascii="Helvetica" w:hAnsi="Helvetica" w:cs="Times New Roman"/>
          <w:noProof/>
          <w:sz w:val="22"/>
        </w:rPr>
        <w:t>42. Cauchy F, Fuks D, Nomi T, et al. Incidence, risk factors and consequences of bile leakage following laparoscopic major hepatectomy. Surg Endosc 2016;30:3709–3719.</w:t>
      </w:r>
    </w:p>
    <w:p w14:paraId="4549E8F6" w14:textId="77777777" w:rsidR="006E2594" w:rsidRPr="0089742D" w:rsidRDefault="006E2594" w:rsidP="006E2594">
      <w:pPr>
        <w:widowControl w:val="0"/>
        <w:autoSpaceDE w:val="0"/>
        <w:autoSpaceDN w:val="0"/>
        <w:adjustRightInd w:val="0"/>
        <w:spacing w:line="480" w:lineRule="auto"/>
        <w:rPr>
          <w:rFonts w:ascii="Helvetica" w:hAnsi="Helvetica" w:cs="Times New Roman"/>
          <w:noProof/>
          <w:sz w:val="22"/>
          <w:lang w:val="nl-NL"/>
        </w:rPr>
      </w:pPr>
      <w:r w:rsidRPr="006E2594">
        <w:rPr>
          <w:rFonts w:ascii="Helvetica" w:hAnsi="Helvetica" w:cs="Times New Roman"/>
          <w:noProof/>
          <w:sz w:val="22"/>
        </w:rPr>
        <w:lastRenderedPageBreak/>
        <w:t xml:space="preserve">43. Viganò L, Cimino M, Aldrighetti L, et al. Multicentre evaluation of case volume in minimally invasive hepatectomy. </w:t>
      </w:r>
      <w:r w:rsidRPr="0089742D">
        <w:rPr>
          <w:rFonts w:ascii="Helvetica" w:hAnsi="Helvetica" w:cs="Times New Roman"/>
          <w:noProof/>
          <w:sz w:val="22"/>
          <w:lang w:val="nl-NL"/>
        </w:rPr>
        <w:t>Br J Surg 2020;107:443–451.</w:t>
      </w:r>
    </w:p>
    <w:p w14:paraId="3F7AF072" w14:textId="77777777" w:rsidR="006E2594" w:rsidRPr="006E2594" w:rsidRDefault="006E2594" w:rsidP="006E2594">
      <w:pPr>
        <w:widowControl w:val="0"/>
        <w:autoSpaceDE w:val="0"/>
        <w:autoSpaceDN w:val="0"/>
        <w:adjustRightInd w:val="0"/>
        <w:spacing w:line="480" w:lineRule="auto"/>
        <w:rPr>
          <w:rFonts w:ascii="Helvetica" w:hAnsi="Helvetica" w:cs="Times New Roman"/>
          <w:noProof/>
          <w:sz w:val="22"/>
        </w:rPr>
      </w:pPr>
      <w:r w:rsidRPr="0089742D">
        <w:rPr>
          <w:rFonts w:ascii="Helvetica" w:hAnsi="Helvetica" w:cs="Times New Roman"/>
          <w:noProof/>
          <w:sz w:val="22"/>
          <w:lang w:val="nl-NL"/>
        </w:rPr>
        <w:t xml:space="preserve">44. Van der Poel MJ, Fichtinger RS, Bemelmans M, et al. </w:t>
      </w:r>
      <w:r w:rsidRPr="006E2594">
        <w:rPr>
          <w:rFonts w:ascii="Helvetica" w:hAnsi="Helvetica" w:cs="Times New Roman"/>
          <w:noProof/>
          <w:sz w:val="22"/>
        </w:rPr>
        <w:t>Implementation and outcome of minor and major minimally invasive liver surgery in the Netherlands. HPB 2019;21:1734–1743.</w:t>
      </w:r>
    </w:p>
    <w:p w14:paraId="6A671F67" w14:textId="77777777" w:rsidR="006E2594" w:rsidRPr="006E2594" w:rsidRDefault="006E2594" w:rsidP="006E2594">
      <w:pPr>
        <w:widowControl w:val="0"/>
        <w:autoSpaceDE w:val="0"/>
        <w:autoSpaceDN w:val="0"/>
        <w:adjustRightInd w:val="0"/>
        <w:spacing w:line="480" w:lineRule="auto"/>
        <w:rPr>
          <w:rFonts w:ascii="Helvetica" w:hAnsi="Helvetica" w:cs="Times New Roman"/>
          <w:noProof/>
          <w:sz w:val="22"/>
        </w:rPr>
      </w:pPr>
      <w:r w:rsidRPr="006E2594">
        <w:rPr>
          <w:rFonts w:ascii="Helvetica" w:hAnsi="Helvetica" w:cs="Times New Roman"/>
          <w:noProof/>
          <w:sz w:val="22"/>
        </w:rPr>
        <w:t>45. Aldrighetti L, Ratti F, Cillo U, et al. Diffusion, outcomes and implementation of minimally invasive liver surgery: a snapshot from the I Go MILS (Italian Group of Minimally Invasive Liver Surgery) Registry. Updates Surg 2017;69:271–283.</w:t>
      </w:r>
    </w:p>
    <w:p w14:paraId="112C9208" w14:textId="77777777" w:rsidR="006E2594" w:rsidRPr="006E2594" w:rsidRDefault="006E2594" w:rsidP="006E2594">
      <w:pPr>
        <w:widowControl w:val="0"/>
        <w:autoSpaceDE w:val="0"/>
        <w:autoSpaceDN w:val="0"/>
        <w:adjustRightInd w:val="0"/>
        <w:spacing w:line="480" w:lineRule="auto"/>
        <w:rPr>
          <w:rFonts w:ascii="Helvetica" w:hAnsi="Helvetica" w:cs="Times New Roman"/>
          <w:noProof/>
          <w:sz w:val="22"/>
        </w:rPr>
      </w:pPr>
      <w:r w:rsidRPr="006E2594">
        <w:rPr>
          <w:rFonts w:ascii="Helvetica" w:hAnsi="Helvetica" w:cs="Times New Roman"/>
          <w:noProof/>
          <w:sz w:val="22"/>
        </w:rPr>
        <w:t>46. Farges O, Goutte N, Dokmak S, et al. How surgical technology translates into practice: The model of laparoscopic liver resections performed in France. Annals of Surgery. Vol 260. Lippincott Williams and Wilkins; 2014:916–922.</w:t>
      </w:r>
    </w:p>
    <w:p w14:paraId="75EAE7B0" w14:textId="77777777" w:rsidR="006E2594" w:rsidRPr="006E2594" w:rsidRDefault="006E2594" w:rsidP="006E2594">
      <w:pPr>
        <w:widowControl w:val="0"/>
        <w:autoSpaceDE w:val="0"/>
        <w:autoSpaceDN w:val="0"/>
        <w:adjustRightInd w:val="0"/>
        <w:spacing w:line="480" w:lineRule="auto"/>
        <w:rPr>
          <w:rFonts w:ascii="Helvetica" w:hAnsi="Helvetica" w:cs="Times New Roman"/>
          <w:noProof/>
          <w:sz w:val="22"/>
        </w:rPr>
      </w:pPr>
      <w:r w:rsidRPr="006E2594">
        <w:rPr>
          <w:rFonts w:ascii="Helvetica" w:hAnsi="Helvetica" w:cs="Times New Roman"/>
          <w:noProof/>
          <w:sz w:val="22"/>
        </w:rPr>
        <w:t>47. Abu Hilal M, Aldrighetti L, Dagher I, et al. The Southampton Consensus Guidelines for Laparoscopic Liver Surgery: From Indication to Implementation. Ann Surg Lippincott Williams &amp; Wilkins 2018;268:11–18.</w:t>
      </w:r>
    </w:p>
    <w:p w14:paraId="4FC74046" w14:textId="77777777" w:rsidR="006E2594" w:rsidRPr="006E2594" w:rsidRDefault="006E2594" w:rsidP="006E2594">
      <w:pPr>
        <w:widowControl w:val="0"/>
        <w:autoSpaceDE w:val="0"/>
        <w:autoSpaceDN w:val="0"/>
        <w:adjustRightInd w:val="0"/>
        <w:spacing w:line="480" w:lineRule="auto"/>
        <w:rPr>
          <w:rFonts w:ascii="Helvetica" w:hAnsi="Helvetica" w:cs="Times New Roman"/>
          <w:noProof/>
          <w:sz w:val="22"/>
        </w:rPr>
      </w:pPr>
      <w:r w:rsidRPr="006E2594">
        <w:rPr>
          <w:rFonts w:ascii="Helvetica" w:hAnsi="Helvetica" w:cs="Times New Roman"/>
          <w:noProof/>
          <w:sz w:val="22"/>
        </w:rPr>
        <w:t>48. Syn NL, Kabir T, Koh YX, et al. Survival Advantage of Laparoscopic Versus Open Resection For Colorectal Liver Metastases: A Meta-analysis of Individual Patient Data From Randomized Trials and Propensity-score Matched Studies. Ann Surg 2019.</w:t>
      </w:r>
    </w:p>
    <w:p w14:paraId="29F9A8A7" w14:textId="77777777" w:rsidR="006E2594" w:rsidRPr="006E2594" w:rsidRDefault="006E2594" w:rsidP="006E2594">
      <w:pPr>
        <w:widowControl w:val="0"/>
        <w:autoSpaceDE w:val="0"/>
        <w:autoSpaceDN w:val="0"/>
        <w:adjustRightInd w:val="0"/>
        <w:spacing w:line="480" w:lineRule="auto"/>
        <w:rPr>
          <w:rFonts w:ascii="Helvetica" w:hAnsi="Helvetica" w:cs="Times New Roman"/>
          <w:noProof/>
          <w:sz w:val="22"/>
        </w:rPr>
      </w:pPr>
      <w:r w:rsidRPr="006E2594">
        <w:rPr>
          <w:rFonts w:ascii="Helvetica" w:hAnsi="Helvetica" w:cs="Times New Roman"/>
          <w:noProof/>
          <w:sz w:val="22"/>
        </w:rPr>
        <w:t>49. Spolverato G, Yakoob MY, Kim Y, et al. Impact of complications on long-term survival after resection of intrahepatic cholangiocarcinoma. Cancer John Wiley and Sons Inc. 2015;121:2730–2739.</w:t>
      </w:r>
    </w:p>
    <w:p w14:paraId="69C7E5BB" w14:textId="77777777" w:rsidR="006E2594" w:rsidRPr="006E2594" w:rsidRDefault="006E2594" w:rsidP="006E2594">
      <w:pPr>
        <w:widowControl w:val="0"/>
        <w:autoSpaceDE w:val="0"/>
        <w:autoSpaceDN w:val="0"/>
        <w:adjustRightInd w:val="0"/>
        <w:spacing w:line="480" w:lineRule="auto"/>
        <w:rPr>
          <w:rFonts w:ascii="Helvetica" w:hAnsi="Helvetica" w:cs="Times New Roman"/>
          <w:noProof/>
          <w:sz w:val="22"/>
        </w:rPr>
      </w:pPr>
      <w:r w:rsidRPr="006E2594">
        <w:rPr>
          <w:rFonts w:ascii="Helvetica" w:hAnsi="Helvetica" w:cs="Times New Roman"/>
          <w:noProof/>
          <w:sz w:val="22"/>
        </w:rPr>
        <w:t>50. Margonis GA, Sasaki K, Andreatos N, et al. Prognostic impact of complications after resection of early stage hepatocellular carcinoma. J Surg Oncol John Wiley and Sons Inc. 2017;115:791–804.</w:t>
      </w:r>
    </w:p>
    <w:p w14:paraId="34C539AF" w14:textId="77777777" w:rsidR="006E2594" w:rsidRPr="0089742D" w:rsidRDefault="006E2594" w:rsidP="006E2594">
      <w:pPr>
        <w:widowControl w:val="0"/>
        <w:autoSpaceDE w:val="0"/>
        <w:autoSpaceDN w:val="0"/>
        <w:adjustRightInd w:val="0"/>
        <w:spacing w:line="480" w:lineRule="auto"/>
        <w:rPr>
          <w:rFonts w:ascii="Helvetica" w:hAnsi="Helvetica" w:cs="Times New Roman"/>
          <w:noProof/>
          <w:sz w:val="22"/>
          <w:lang w:val="nl-NL"/>
        </w:rPr>
      </w:pPr>
      <w:r w:rsidRPr="006E2594">
        <w:rPr>
          <w:rFonts w:ascii="Helvetica" w:hAnsi="Helvetica" w:cs="Times New Roman"/>
          <w:noProof/>
          <w:sz w:val="22"/>
        </w:rPr>
        <w:t xml:space="preserve">51. Mavros MN, de Jong M, Dogeas E, et al. Impact of complications on long-term survival after resection of colorectal liver metastases. </w:t>
      </w:r>
      <w:r w:rsidRPr="0089742D">
        <w:rPr>
          <w:rFonts w:ascii="Helvetica" w:hAnsi="Helvetica" w:cs="Times New Roman"/>
          <w:noProof/>
          <w:sz w:val="22"/>
          <w:lang w:val="nl-NL"/>
        </w:rPr>
        <w:t>Br J Surg John Wiley &amp; Sons, Ltd 2013;100:711–718.</w:t>
      </w:r>
    </w:p>
    <w:p w14:paraId="0D42C6FE" w14:textId="77777777" w:rsidR="006E2594" w:rsidRPr="006E2594" w:rsidRDefault="006E2594" w:rsidP="006E2594">
      <w:pPr>
        <w:widowControl w:val="0"/>
        <w:autoSpaceDE w:val="0"/>
        <w:autoSpaceDN w:val="0"/>
        <w:adjustRightInd w:val="0"/>
        <w:spacing w:line="480" w:lineRule="auto"/>
        <w:rPr>
          <w:rFonts w:ascii="Helvetica" w:hAnsi="Helvetica" w:cs="Times New Roman"/>
          <w:noProof/>
          <w:sz w:val="22"/>
        </w:rPr>
      </w:pPr>
      <w:r w:rsidRPr="0089742D">
        <w:rPr>
          <w:rFonts w:ascii="Helvetica" w:hAnsi="Helvetica" w:cs="Times New Roman"/>
          <w:noProof/>
          <w:sz w:val="22"/>
          <w:lang w:val="nl-NL"/>
        </w:rPr>
        <w:t xml:space="preserve">52. van der Poel MJ, Barkhatov L, Fuks D, et al. </w:t>
      </w:r>
      <w:r w:rsidRPr="006E2594">
        <w:rPr>
          <w:rFonts w:ascii="Helvetica" w:hAnsi="Helvetica" w:cs="Times New Roman"/>
          <w:noProof/>
          <w:sz w:val="22"/>
        </w:rPr>
        <w:t xml:space="preserve">Multicentre propensity score-matched study </w:t>
      </w:r>
      <w:r w:rsidRPr="006E2594">
        <w:rPr>
          <w:rFonts w:ascii="Helvetica" w:hAnsi="Helvetica" w:cs="Times New Roman"/>
          <w:noProof/>
          <w:sz w:val="22"/>
        </w:rPr>
        <w:lastRenderedPageBreak/>
        <w:t>of laparoscopic versus open repeat liver resection for colorectal liver metastases. Br J Surg John Wiley and Sons Ltd 2019;106:783–789.</w:t>
      </w:r>
    </w:p>
    <w:p w14:paraId="55D8BEA3" w14:textId="77777777" w:rsidR="006E2594" w:rsidRPr="006E2594" w:rsidRDefault="006E2594" w:rsidP="006E2594">
      <w:pPr>
        <w:widowControl w:val="0"/>
        <w:autoSpaceDE w:val="0"/>
        <w:autoSpaceDN w:val="0"/>
        <w:adjustRightInd w:val="0"/>
        <w:spacing w:line="480" w:lineRule="auto"/>
        <w:rPr>
          <w:rFonts w:ascii="Helvetica" w:hAnsi="Helvetica" w:cs="Times New Roman"/>
          <w:noProof/>
          <w:sz w:val="22"/>
        </w:rPr>
      </w:pPr>
      <w:r w:rsidRPr="006E2594">
        <w:rPr>
          <w:rFonts w:ascii="Helvetica" w:hAnsi="Helvetica" w:cs="Times New Roman"/>
          <w:noProof/>
          <w:sz w:val="22"/>
        </w:rPr>
        <w:t>53. Sa Cunha A, Laurent C, Rault A, et al. A second liver resection due to recurrent colorectal liver metastases. Arch Surg American Medical Association 2007;142:1144–1149.</w:t>
      </w:r>
    </w:p>
    <w:p w14:paraId="77164E2D" w14:textId="77777777" w:rsidR="006E2594" w:rsidRPr="006E2594" w:rsidRDefault="006E2594" w:rsidP="006E2594">
      <w:pPr>
        <w:widowControl w:val="0"/>
        <w:autoSpaceDE w:val="0"/>
        <w:autoSpaceDN w:val="0"/>
        <w:adjustRightInd w:val="0"/>
        <w:spacing w:line="480" w:lineRule="auto"/>
        <w:rPr>
          <w:rFonts w:ascii="Helvetica" w:hAnsi="Helvetica" w:cs="Times New Roman"/>
          <w:noProof/>
          <w:sz w:val="22"/>
        </w:rPr>
      </w:pPr>
      <w:r w:rsidRPr="006E2594">
        <w:rPr>
          <w:rFonts w:ascii="Helvetica" w:hAnsi="Helvetica" w:cs="Times New Roman"/>
          <w:noProof/>
          <w:sz w:val="22"/>
        </w:rPr>
        <w:t>54. Cipriani F, Shelat VG, Rawashdeh M, et al. Laparoscopic Parenchymal-Sparing Resections for Nonperipheral Liver Lesions, the Diamond Technique: Technical Aspects, Clinical Outcomes, and Oncologic Efficiency. J Am Coll Surg Elsevier Inc. 2015;221:265–272.</w:t>
      </w:r>
    </w:p>
    <w:p w14:paraId="2DC201D2" w14:textId="77777777" w:rsidR="006E2594" w:rsidRPr="006E2594" w:rsidRDefault="006E2594" w:rsidP="006E2594">
      <w:pPr>
        <w:widowControl w:val="0"/>
        <w:autoSpaceDE w:val="0"/>
        <w:autoSpaceDN w:val="0"/>
        <w:adjustRightInd w:val="0"/>
        <w:spacing w:line="480" w:lineRule="auto"/>
        <w:rPr>
          <w:rFonts w:ascii="Helvetica" w:hAnsi="Helvetica" w:cs="Times New Roman"/>
          <w:noProof/>
          <w:sz w:val="22"/>
        </w:rPr>
      </w:pPr>
      <w:r w:rsidRPr="006E2594">
        <w:rPr>
          <w:rFonts w:ascii="Helvetica" w:hAnsi="Helvetica" w:cs="Times New Roman"/>
          <w:noProof/>
          <w:sz w:val="22"/>
        </w:rPr>
        <w:t>55. Abu Hilal M, Tschuor C, Kuemmerli C, et al. Laparoscopic posterior segmental resections: How I do it: Tips and pitfalls. Int. J. Surg. 2020;82:178–186.</w:t>
      </w:r>
    </w:p>
    <w:p w14:paraId="06CC974E" w14:textId="77777777" w:rsidR="006E2594" w:rsidRPr="006E2594" w:rsidRDefault="006E2594" w:rsidP="006E2594">
      <w:pPr>
        <w:widowControl w:val="0"/>
        <w:autoSpaceDE w:val="0"/>
        <w:autoSpaceDN w:val="0"/>
        <w:adjustRightInd w:val="0"/>
        <w:spacing w:line="480" w:lineRule="auto"/>
        <w:rPr>
          <w:rFonts w:ascii="Helvetica" w:hAnsi="Helvetica" w:cs="Times New Roman"/>
          <w:noProof/>
          <w:sz w:val="22"/>
        </w:rPr>
      </w:pPr>
      <w:r w:rsidRPr="006E2594">
        <w:rPr>
          <w:rFonts w:ascii="Helvetica" w:hAnsi="Helvetica" w:cs="Times New Roman"/>
          <w:noProof/>
          <w:sz w:val="22"/>
        </w:rPr>
        <w:t>56. Ulas M, Ozer I, Bostanci EB, et al. Giant hemangiomas: Effects of size and type of surgical procedure on postoperative outcome. Hepatogastroenterology H.G.E. Update Medical Publishing Ltd. 2014;61:1297–1301.</w:t>
      </w:r>
    </w:p>
    <w:p w14:paraId="71D53FC8" w14:textId="77777777" w:rsidR="006E2594" w:rsidRPr="006E2594" w:rsidRDefault="006E2594" w:rsidP="006E2594">
      <w:pPr>
        <w:widowControl w:val="0"/>
        <w:autoSpaceDE w:val="0"/>
        <w:autoSpaceDN w:val="0"/>
        <w:adjustRightInd w:val="0"/>
        <w:spacing w:line="480" w:lineRule="auto"/>
        <w:rPr>
          <w:rFonts w:ascii="Helvetica" w:hAnsi="Helvetica" w:cs="Times New Roman"/>
          <w:noProof/>
          <w:sz w:val="22"/>
        </w:rPr>
      </w:pPr>
      <w:r w:rsidRPr="006E2594">
        <w:rPr>
          <w:rFonts w:ascii="Helvetica" w:hAnsi="Helvetica" w:cs="Times New Roman"/>
          <w:noProof/>
          <w:sz w:val="22"/>
        </w:rPr>
        <w:t>57. Levi Sandri GB, Spoletini G, Vennarecci G, et al. Laparoscopic liver resection for large HCC: short- and long-term outcomes in relation to tumor size. Surg Endosc Springer New York LLC 2018;32:4772–4779.</w:t>
      </w:r>
    </w:p>
    <w:p w14:paraId="1CFCE18E" w14:textId="77777777" w:rsidR="006E2594" w:rsidRPr="006E2594" w:rsidRDefault="006E2594" w:rsidP="006E2594">
      <w:pPr>
        <w:widowControl w:val="0"/>
        <w:autoSpaceDE w:val="0"/>
        <w:autoSpaceDN w:val="0"/>
        <w:adjustRightInd w:val="0"/>
        <w:spacing w:line="480" w:lineRule="auto"/>
        <w:rPr>
          <w:rFonts w:ascii="Helvetica" w:hAnsi="Helvetica" w:cs="Times New Roman"/>
          <w:noProof/>
          <w:sz w:val="22"/>
        </w:rPr>
      </w:pPr>
      <w:r w:rsidRPr="006E2594">
        <w:rPr>
          <w:rFonts w:ascii="Helvetica" w:hAnsi="Helvetica" w:cs="Times New Roman"/>
          <w:noProof/>
          <w:sz w:val="22"/>
        </w:rPr>
        <w:t>58. Mohkam K, Farges O, Vibert E, et al. Risk score to predict biliary leakage after elective liver resection. 2017.</w:t>
      </w:r>
    </w:p>
    <w:p w14:paraId="2C65CED7" w14:textId="77777777" w:rsidR="006E2594" w:rsidRPr="006E2594" w:rsidRDefault="006E2594" w:rsidP="006E2594">
      <w:pPr>
        <w:widowControl w:val="0"/>
        <w:autoSpaceDE w:val="0"/>
        <w:autoSpaceDN w:val="0"/>
        <w:adjustRightInd w:val="0"/>
        <w:spacing w:line="480" w:lineRule="auto"/>
        <w:rPr>
          <w:rFonts w:ascii="Helvetica" w:hAnsi="Helvetica" w:cs="Times New Roman"/>
          <w:noProof/>
          <w:sz w:val="22"/>
        </w:rPr>
      </w:pPr>
      <w:r w:rsidRPr="006E2594">
        <w:rPr>
          <w:rFonts w:ascii="Helvetica" w:hAnsi="Helvetica" w:cs="Times New Roman"/>
          <w:noProof/>
          <w:sz w:val="22"/>
        </w:rPr>
        <w:t>59. Mohkam K, Fuks D, Vibert E, et al. External Validation and Optimization of the French Association of Hepatopancreatobiliary Surgery and Transplantation’s Score to Predict Severe Postoperative Biliary Leakage after Open or Laparoscopic Liver Resection. J Am Coll Surg American College of Surgeons 2018.</w:t>
      </w:r>
    </w:p>
    <w:p w14:paraId="58BCE82B" w14:textId="77777777" w:rsidR="006E2594" w:rsidRPr="006E2594" w:rsidRDefault="006E2594" w:rsidP="006E2594">
      <w:pPr>
        <w:widowControl w:val="0"/>
        <w:autoSpaceDE w:val="0"/>
        <w:autoSpaceDN w:val="0"/>
        <w:adjustRightInd w:val="0"/>
        <w:spacing w:line="480" w:lineRule="auto"/>
        <w:rPr>
          <w:rFonts w:ascii="Helvetica" w:hAnsi="Helvetica"/>
          <w:noProof/>
          <w:sz w:val="22"/>
        </w:rPr>
      </w:pPr>
      <w:r w:rsidRPr="006E2594">
        <w:rPr>
          <w:rFonts w:ascii="Helvetica" w:hAnsi="Helvetica" w:cs="Times New Roman"/>
          <w:noProof/>
          <w:sz w:val="22"/>
        </w:rPr>
        <w:t>60. Brauer DG, Nywening TM, Jaques DP, et al. Operative Site Drainage after Hepatectomy: A Propensity Score Matched Analysis Using the American College of Surgeons NSQIP Targeted Hepatectomy Database. J Am Coll Surg NIH Public Access 2016;223:774.</w:t>
      </w:r>
    </w:p>
    <w:p w14:paraId="2A2B828E" w14:textId="51E22590" w:rsidR="003E7B28" w:rsidRPr="009824AD" w:rsidRDefault="000B62F3" w:rsidP="0089742D">
      <w:pPr>
        <w:widowControl w:val="0"/>
        <w:autoSpaceDE w:val="0"/>
        <w:autoSpaceDN w:val="0"/>
        <w:adjustRightInd w:val="0"/>
        <w:spacing w:line="480" w:lineRule="auto"/>
        <w:rPr>
          <w:rFonts w:ascii="Helvetica" w:hAnsi="Helvetica" w:cs="Calibri"/>
          <w:b/>
          <w:bCs/>
          <w:sz w:val="20"/>
          <w:szCs w:val="20"/>
          <w:lang w:val="en-US"/>
        </w:rPr>
      </w:pPr>
      <w:r w:rsidRPr="009824AD">
        <w:rPr>
          <w:rFonts w:ascii="Helvetica" w:eastAsia="Times New Roman" w:hAnsi="Helvetica" w:cs="Calibri"/>
          <w:b/>
          <w:bCs/>
          <w:sz w:val="22"/>
          <w:szCs w:val="22"/>
          <w:lang w:val="en-US" w:eastAsia="nl-NL"/>
        </w:rPr>
        <w:fldChar w:fldCharType="end"/>
      </w:r>
      <w:bookmarkStart w:id="5" w:name="OLE_LINK3"/>
      <w:bookmarkStart w:id="6" w:name="OLE_LINK4"/>
    </w:p>
    <w:p w14:paraId="3C1CC95B" w14:textId="77777777" w:rsidR="003E7B28" w:rsidRPr="009824AD" w:rsidRDefault="003E7B28" w:rsidP="00605E30">
      <w:pPr>
        <w:widowControl w:val="0"/>
        <w:autoSpaceDE w:val="0"/>
        <w:autoSpaceDN w:val="0"/>
        <w:adjustRightInd w:val="0"/>
        <w:spacing w:line="360" w:lineRule="auto"/>
        <w:rPr>
          <w:rFonts w:ascii="Helvetica" w:hAnsi="Helvetica" w:cs="Calibri"/>
          <w:b/>
          <w:bCs/>
          <w:sz w:val="20"/>
          <w:szCs w:val="20"/>
          <w:lang w:val="en-US"/>
        </w:rPr>
      </w:pPr>
    </w:p>
    <w:p w14:paraId="53173A73" w14:textId="77777777" w:rsidR="000D44B8" w:rsidRPr="009824AD" w:rsidRDefault="000D44B8" w:rsidP="00605E30">
      <w:pPr>
        <w:widowControl w:val="0"/>
        <w:autoSpaceDE w:val="0"/>
        <w:autoSpaceDN w:val="0"/>
        <w:adjustRightInd w:val="0"/>
        <w:spacing w:line="360" w:lineRule="auto"/>
        <w:rPr>
          <w:rFonts w:ascii="Helvetica" w:hAnsi="Helvetica" w:cs="Calibri"/>
          <w:b/>
          <w:bCs/>
          <w:sz w:val="20"/>
          <w:szCs w:val="20"/>
          <w:lang w:val="en-US"/>
        </w:rPr>
        <w:sectPr w:rsidR="000D44B8" w:rsidRPr="009824AD" w:rsidSect="00CA02C7">
          <w:pgSz w:w="11900" w:h="16840"/>
          <w:pgMar w:top="1417" w:right="1417" w:bottom="1417" w:left="1417" w:header="708" w:footer="708" w:gutter="0"/>
          <w:cols w:space="708"/>
          <w:docGrid w:linePitch="360"/>
        </w:sectPr>
      </w:pPr>
    </w:p>
    <w:p w14:paraId="1B216D9A" w14:textId="60694827" w:rsidR="00853F09" w:rsidRPr="009824AD" w:rsidRDefault="00853F09" w:rsidP="00002C7D">
      <w:pPr>
        <w:pStyle w:val="Kop3"/>
        <w:rPr>
          <w:rFonts w:ascii="Helvetica" w:hAnsi="Helvetica"/>
          <w:lang w:val="en-US"/>
        </w:rPr>
      </w:pPr>
      <w:r w:rsidRPr="009824AD">
        <w:rPr>
          <w:rFonts w:ascii="Helvetica" w:hAnsi="Helvetica"/>
          <w:lang w:val="en-US"/>
        </w:rPr>
        <w:lastRenderedPageBreak/>
        <w:t>TABLES</w:t>
      </w:r>
    </w:p>
    <w:p w14:paraId="4201E52C" w14:textId="77777777" w:rsidR="00853F09" w:rsidRPr="009824AD" w:rsidRDefault="00853F09" w:rsidP="000D44B8">
      <w:pPr>
        <w:rPr>
          <w:rFonts w:ascii="Helvetica" w:hAnsi="Helvetica" w:cs="Calibri"/>
          <w:b/>
          <w:bCs/>
          <w:sz w:val="20"/>
          <w:szCs w:val="20"/>
          <w:lang w:val="en-US"/>
        </w:rPr>
      </w:pPr>
    </w:p>
    <w:p w14:paraId="45FDF7CB" w14:textId="4A7C3C48" w:rsidR="000D44B8" w:rsidRPr="009824AD" w:rsidRDefault="000D44B8" w:rsidP="000D44B8">
      <w:pPr>
        <w:rPr>
          <w:rFonts w:ascii="Helvetica" w:hAnsi="Helvetica" w:cs="Calibri"/>
          <w:sz w:val="20"/>
          <w:szCs w:val="20"/>
          <w:lang w:val="en-US"/>
        </w:rPr>
      </w:pPr>
      <w:r w:rsidRPr="009824AD">
        <w:rPr>
          <w:rFonts w:ascii="Helvetica" w:hAnsi="Helvetica" w:cs="Calibri"/>
          <w:b/>
          <w:bCs/>
          <w:sz w:val="20"/>
          <w:szCs w:val="20"/>
          <w:lang w:val="en-US"/>
        </w:rPr>
        <w:t>Table 1.</w:t>
      </w:r>
      <w:r w:rsidRPr="009824AD">
        <w:rPr>
          <w:rFonts w:ascii="Helvetica" w:hAnsi="Helvetica" w:cs="Calibri"/>
          <w:sz w:val="20"/>
          <w:szCs w:val="20"/>
          <w:lang w:val="en-US"/>
        </w:rPr>
        <w:t xml:space="preserve"> Baseline and procedure characteristics and incidence of postoperative bile leakage (POBL) following laparoscopic and open liver surgery, before and after propensity score matching</w:t>
      </w:r>
    </w:p>
    <w:p w14:paraId="3B17FCFD" w14:textId="77777777" w:rsidR="000D44B8" w:rsidRPr="009824AD" w:rsidRDefault="000D44B8" w:rsidP="000D44B8">
      <w:pPr>
        <w:rPr>
          <w:rFonts w:ascii="Helvetica" w:hAnsi="Helvetica" w:cs="Calibri"/>
          <w:sz w:val="20"/>
          <w:szCs w:val="20"/>
          <w:lang w:val="en-US"/>
        </w:rPr>
      </w:pPr>
    </w:p>
    <w:tbl>
      <w:tblPr>
        <w:tblStyle w:val="Tabelraster"/>
        <w:tblW w:w="148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5"/>
        <w:gridCol w:w="1842"/>
        <w:gridCol w:w="1843"/>
        <w:gridCol w:w="851"/>
        <w:gridCol w:w="708"/>
        <w:gridCol w:w="1843"/>
        <w:gridCol w:w="1843"/>
        <w:gridCol w:w="850"/>
        <w:gridCol w:w="709"/>
      </w:tblGrid>
      <w:tr w:rsidR="000D44B8" w:rsidRPr="009824AD" w14:paraId="1BCA1C5D" w14:textId="77777777" w:rsidTr="00C67DD2">
        <w:tc>
          <w:tcPr>
            <w:tcW w:w="4395" w:type="dxa"/>
            <w:tcBorders>
              <w:right w:val="single" w:sz="4" w:space="0" w:color="auto"/>
            </w:tcBorders>
            <w:vAlign w:val="center"/>
          </w:tcPr>
          <w:p w14:paraId="22515260" w14:textId="77777777" w:rsidR="000D44B8" w:rsidRPr="009824AD" w:rsidRDefault="000D44B8" w:rsidP="006E3A16">
            <w:pPr>
              <w:ind w:left="170"/>
              <w:rPr>
                <w:rFonts w:ascii="Helvetica" w:eastAsia="Times New Roman" w:hAnsi="Helvetica" w:cs="Calibri"/>
                <w:b/>
                <w:color w:val="000000"/>
                <w:sz w:val="20"/>
                <w:szCs w:val="20"/>
                <w:lang w:val="en-US" w:eastAsia="nl-NL"/>
              </w:rPr>
            </w:pPr>
          </w:p>
        </w:tc>
        <w:tc>
          <w:tcPr>
            <w:tcW w:w="5244" w:type="dxa"/>
            <w:gridSpan w:val="4"/>
            <w:tcBorders>
              <w:left w:val="single" w:sz="4" w:space="0" w:color="auto"/>
              <w:bottom w:val="single" w:sz="4" w:space="0" w:color="auto"/>
              <w:right w:val="single" w:sz="4" w:space="0" w:color="auto"/>
            </w:tcBorders>
          </w:tcPr>
          <w:p w14:paraId="24D1E5E6" w14:textId="77777777" w:rsidR="000D44B8" w:rsidRPr="009824AD" w:rsidRDefault="000D44B8" w:rsidP="006E3A16">
            <w:pPr>
              <w:jc w:val="center"/>
              <w:rPr>
                <w:rFonts w:ascii="Helvetica" w:hAnsi="Helvetica" w:cs="Calibri"/>
                <w:b/>
                <w:bCs/>
                <w:sz w:val="20"/>
                <w:szCs w:val="20"/>
                <w:lang w:val="en-US"/>
              </w:rPr>
            </w:pPr>
            <w:r w:rsidRPr="009824AD">
              <w:rPr>
                <w:rFonts w:ascii="Helvetica" w:hAnsi="Helvetica" w:cs="Calibri"/>
                <w:b/>
                <w:bCs/>
                <w:sz w:val="20"/>
                <w:szCs w:val="20"/>
                <w:lang w:val="en-US"/>
              </w:rPr>
              <w:t>Before PSM</w:t>
            </w:r>
          </w:p>
        </w:tc>
        <w:tc>
          <w:tcPr>
            <w:tcW w:w="5245" w:type="dxa"/>
            <w:gridSpan w:val="4"/>
            <w:tcBorders>
              <w:left w:val="single" w:sz="4" w:space="0" w:color="auto"/>
              <w:bottom w:val="single" w:sz="4" w:space="0" w:color="auto"/>
            </w:tcBorders>
          </w:tcPr>
          <w:p w14:paraId="236D64CD" w14:textId="77777777" w:rsidR="000D44B8" w:rsidRPr="009824AD" w:rsidRDefault="000D44B8" w:rsidP="006E3A16">
            <w:pPr>
              <w:jc w:val="center"/>
              <w:rPr>
                <w:rFonts w:ascii="Helvetica" w:hAnsi="Helvetica" w:cs="Calibri"/>
                <w:b/>
                <w:bCs/>
                <w:color w:val="000000" w:themeColor="text1"/>
                <w:sz w:val="20"/>
                <w:szCs w:val="20"/>
                <w:lang w:val="en-US"/>
              </w:rPr>
            </w:pPr>
            <w:r w:rsidRPr="009824AD">
              <w:rPr>
                <w:rFonts w:ascii="Helvetica" w:hAnsi="Helvetica" w:cs="Calibri"/>
                <w:b/>
                <w:bCs/>
                <w:color w:val="000000" w:themeColor="text1"/>
                <w:sz w:val="20"/>
                <w:szCs w:val="20"/>
                <w:lang w:val="en-US"/>
              </w:rPr>
              <w:t>After PSM</w:t>
            </w:r>
          </w:p>
          <w:p w14:paraId="36C0C173" w14:textId="77777777" w:rsidR="000D44B8" w:rsidRPr="009824AD" w:rsidRDefault="000D44B8" w:rsidP="006E3A16">
            <w:pPr>
              <w:jc w:val="center"/>
              <w:rPr>
                <w:rFonts w:ascii="Helvetica" w:hAnsi="Helvetica" w:cs="Calibri"/>
                <w:b/>
                <w:bCs/>
                <w:color w:val="000000" w:themeColor="text1"/>
                <w:sz w:val="20"/>
                <w:szCs w:val="20"/>
                <w:lang w:val="en-US"/>
              </w:rPr>
            </w:pPr>
          </w:p>
        </w:tc>
      </w:tr>
      <w:tr w:rsidR="000D44B8" w:rsidRPr="009824AD" w14:paraId="5C0933B1" w14:textId="77777777" w:rsidTr="00C67DD2">
        <w:tc>
          <w:tcPr>
            <w:tcW w:w="4395" w:type="dxa"/>
            <w:tcBorders>
              <w:bottom w:val="single" w:sz="4" w:space="0" w:color="auto"/>
              <w:right w:val="single" w:sz="4" w:space="0" w:color="auto"/>
            </w:tcBorders>
            <w:vAlign w:val="center"/>
          </w:tcPr>
          <w:p w14:paraId="33AEEF7B" w14:textId="77777777" w:rsidR="000D44B8" w:rsidRPr="009824AD" w:rsidRDefault="000D44B8" w:rsidP="006E3A16">
            <w:pPr>
              <w:ind w:left="170"/>
              <w:rPr>
                <w:rFonts w:ascii="Helvetica" w:eastAsia="Times New Roman" w:hAnsi="Helvetica" w:cs="Calibri"/>
                <w:b/>
                <w:color w:val="000000"/>
                <w:sz w:val="20"/>
                <w:szCs w:val="20"/>
                <w:lang w:val="en-US" w:eastAsia="nl-NL"/>
              </w:rPr>
            </w:pPr>
          </w:p>
        </w:tc>
        <w:tc>
          <w:tcPr>
            <w:tcW w:w="1842" w:type="dxa"/>
            <w:tcBorders>
              <w:top w:val="single" w:sz="4" w:space="0" w:color="auto"/>
              <w:left w:val="single" w:sz="4" w:space="0" w:color="auto"/>
              <w:bottom w:val="single" w:sz="4" w:space="0" w:color="auto"/>
            </w:tcBorders>
            <w:vAlign w:val="center"/>
          </w:tcPr>
          <w:p w14:paraId="59261766" w14:textId="77777777" w:rsidR="000D44B8" w:rsidRPr="009824AD" w:rsidRDefault="000D44B8" w:rsidP="006E3A16">
            <w:pPr>
              <w:jc w:val="center"/>
              <w:rPr>
                <w:rFonts w:ascii="Helvetica" w:eastAsia="Times New Roman" w:hAnsi="Helvetica" w:cs="Calibri"/>
                <w:b/>
                <w:bCs/>
                <w:sz w:val="20"/>
                <w:szCs w:val="20"/>
                <w:lang w:val="en-US" w:eastAsia="nl-NL"/>
              </w:rPr>
            </w:pPr>
            <w:r w:rsidRPr="009824AD">
              <w:rPr>
                <w:rFonts w:ascii="Helvetica" w:eastAsia="Times New Roman" w:hAnsi="Helvetica" w:cs="Calibri"/>
                <w:b/>
                <w:bCs/>
                <w:sz w:val="20"/>
                <w:szCs w:val="20"/>
                <w:lang w:val="en-US" w:eastAsia="nl-NL"/>
              </w:rPr>
              <w:t>Laparoscopic</w:t>
            </w:r>
          </w:p>
          <w:p w14:paraId="255C9C77" w14:textId="77777777" w:rsidR="000D44B8" w:rsidRPr="009824AD" w:rsidRDefault="000D44B8" w:rsidP="006E3A16">
            <w:pPr>
              <w:jc w:val="center"/>
              <w:rPr>
                <w:rFonts w:ascii="Helvetica" w:eastAsia="Times New Roman" w:hAnsi="Helvetica" w:cs="Calibri"/>
                <w:b/>
                <w:bCs/>
                <w:sz w:val="20"/>
                <w:szCs w:val="20"/>
                <w:lang w:val="en-US" w:eastAsia="nl-NL"/>
              </w:rPr>
            </w:pPr>
            <w:r w:rsidRPr="009824AD">
              <w:rPr>
                <w:rFonts w:ascii="Helvetica" w:eastAsia="Times New Roman" w:hAnsi="Helvetica" w:cs="Calibri"/>
                <w:b/>
                <w:bCs/>
                <w:sz w:val="20"/>
                <w:szCs w:val="20"/>
                <w:lang w:val="en-US" w:eastAsia="nl-NL"/>
              </w:rPr>
              <w:t>(N = 6369)</w:t>
            </w:r>
          </w:p>
        </w:tc>
        <w:tc>
          <w:tcPr>
            <w:tcW w:w="1843" w:type="dxa"/>
            <w:tcBorders>
              <w:top w:val="single" w:sz="4" w:space="0" w:color="auto"/>
              <w:bottom w:val="single" w:sz="4" w:space="0" w:color="auto"/>
            </w:tcBorders>
            <w:vAlign w:val="center"/>
          </w:tcPr>
          <w:p w14:paraId="6CEB5719" w14:textId="77777777" w:rsidR="000D44B8" w:rsidRPr="009824AD" w:rsidRDefault="000D44B8" w:rsidP="006E3A16">
            <w:pPr>
              <w:jc w:val="center"/>
              <w:rPr>
                <w:rFonts w:ascii="Helvetica" w:eastAsia="Times New Roman" w:hAnsi="Helvetica" w:cs="Calibri"/>
                <w:b/>
                <w:bCs/>
                <w:sz w:val="20"/>
                <w:szCs w:val="20"/>
                <w:lang w:val="en-US" w:eastAsia="nl-NL"/>
              </w:rPr>
            </w:pPr>
            <w:r w:rsidRPr="009824AD">
              <w:rPr>
                <w:rFonts w:ascii="Helvetica" w:eastAsia="Times New Roman" w:hAnsi="Helvetica" w:cs="Calibri"/>
                <w:b/>
                <w:bCs/>
                <w:sz w:val="20"/>
                <w:szCs w:val="20"/>
                <w:lang w:val="en-US" w:eastAsia="nl-NL"/>
              </w:rPr>
              <w:t>Open</w:t>
            </w:r>
          </w:p>
          <w:p w14:paraId="1B793A11" w14:textId="77777777" w:rsidR="000D44B8" w:rsidRPr="009824AD" w:rsidRDefault="000D44B8" w:rsidP="006E3A16">
            <w:pPr>
              <w:jc w:val="center"/>
              <w:rPr>
                <w:rFonts w:ascii="Helvetica" w:eastAsia="Times New Roman" w:hAnsi="Helvetica" w:cs="Calibri"/>
                <w:b/>
                <w:bCs/>
                <w:sz w:val="20"/>
                <w:szCs w:val="20"/>
                <w:lang w:val="en-US" w:eastAsia="nl-NL"/>
              </w:rPr>
            </w:pPr>
            <w:r w:rsidRPr="009824AD">
              <w:rPr>
                <w:rFonts w:ascii="Helvetica" w:eastAsia="Times New Roman" w:hAnsi="Helvetica" w:cs="Calibri"/>
                <w:b/>
                <w:bCs/>
                <w:sz w:val="20"/>
                <w:szCs w:val="20"/>
                <w:lang w:val="en-US" w:eastAsia="nl-NL"/>
              </w:rPr>
              <w:t>(N = 7010)</w:t>
            </w:r>
          </w:p>
        </w:tc>
        <w:tc>
          <w:tcPr>
            <w:tcW w:w="851" w:type="dxa"/>
            <w:tcBorders>
              <w:top w:val="single" w:sz="4" w:space="0" w:color="auto"/>
              <w:bottom w:val="single" w:sz="4" w:space="0" w:color="auto"/>
            </w:tcBorders>
            <w:vAlign w:val="bottom"/>
          </w:tcPr>
          <w:p w14:paraId="14B56BE1" w14:textId="77777777" w:rsidR="000D44B8" w:rsidRPr="009824AD" w:rsidRDefault="000D44B8" w:rsidP="006E3A16">
            <w:pPr>
              <w:jc w:val="center"/>
              <w:rPr>
                <w:rFonts w:ascii="Helvetica" w:hAnsi="Helvetica" w:cs="Calibri"/>
                <w:b/>
                <w:bCs/>
                <w:i/>
                <w:iCs/>
                <w:sz w:val="20"/>
                <w:szCs w:val="20"/>
                <w:lang w:val="en-US"/>
              </w:rPr>
            </w:pPr>
            <w:r w:rsidRPr="009824AD">
              <w:rPr>
                <w:rFonts w:ascii="Helvetica" w:hAnsi="Helvetica" w:cs="Calibri"/>
                <w:b/>
                <w:bCs/>
                <w:i/>
                <w:iCs/>
                <w:sz w:val="20"/>
                <w:szCs w:val="20"/>
                <w:lang w:val="en-US"/>
              </w:rPr>
              <w:t>P</w:t>
            </w:r>
          </w:p>
        </w:tc>
        <w:tc>
          <w:tcPr>
            <w:tcW w:w="708" w:type="dxa"/>
            <w:tcBorders>
              <w:top w:val="single" w:sz="4" w:space="0" w:color="auto"/>
              <w:bottom w:val="single" w:sz="4" w:space="0" w:color="auto"/>
              <w:right w:val="single" w:sz="4" w:space="0" w:color="auto"/>
            </w:tcBorders>
            <w:vAlign w:val="bottom"/>
          </w:tcPr>
          <w:p w14:paraId="0EF85814" w14:textId="77777777" w:rsidR="000D44B8" w:rsidRPr="009824AD" w:rsidRDefault="000D44B8" w:rsidP="006E3A16">
            <w:pPr>
              <w:jc w:val="center"/>
              <w:rPr>
                <w:rFonts w:ascii="Helvetica" w:hAnsi="Helvetica" w:cs="Calibri"/>
                <w:b/>
                <w:bCs/>
                <w:sz w:val="20"/>
                <w:szCs w:val="20"/>
                <w:lang w:val="en-US"/>
              </w:rPr>
            </w:pPr>
            <w:r w:rsidRPr="009824AD">
              <w:rPr>
                <w:rFonts w:ascii="Helvetica" w:hAnsi="Helvetica" w:cs="Calibri"/>
                <w:b/>
                <w:bCs/>
                <w:sz w:val="20"/>
                <w:szCs w:val="20"/>
                <w:lang w:val="en-US"/>
              </w:rPr>
              <w:t>SMD</w:t>
            </w:r>
          </w:p>
        </w:tc>
        <w:tc>
          <w:tcPr>
            <w:tcW w:w="1843" w:type="dxa"/>
            <w:tcBorders>
              <w:top w:val="single" w:sz="4" w:space="0" w:color="auto"/>
              <w:left w:val="single" w:sz="4" w:space="0" w:color="auto"/>
              <w:bottom w:val="single" w:sz="4" w:space="0" w:color="auto"/>
            </w:tcBorders>
            <w:vAlign w:val="center"/>
          </w:tcPr>
          <w:p w14:paraId="6857B9BA" w14:textId="77777777" w:rsidR="000D44B8" w:rsidRPr="009824AD" w:rsidRDefault="000D44B8" w:rsidP="006E3A16">
            <w:pPr>
              <w:jc w:val="center"/>
              <w:rPr>
                <w:rFonts w:ascii="Helvetica" w:eastAsia="Times New Roman" w:hAnsi="Helvetica" w:cs="Calibri"/>
                <w:b/>
                <w:bCs/>
                <w:color w:val="000000" w:themeColor="text1"/>
                <w:sz w:val="20"/>
                <w:szCs w:val="20"/>
                <w:lang w:val="en-US" w:eastAsia="nl-NL"/>
              </w:rPr>
            </w:pPr>
            <w:r w:rsidRPr="009824AD">
              <w:rPr>
                <w:rFonts w:ascii="Helvetica" w:eastAsia="Times New Roman" w:hAnsi="Helvetica" w:cs="Calibri"/>
                <w:b/>
                <w:bCs/>
                <w:color w:val="000000" w:themeColor="text1"/>
                <w:sz w:val="20"/>
                <w:szCs w:val="20"/>
                <w:lang w:val="en-US" w:eastAsia="nl-NL"/>
              </w:rPr>
              <w:t>Laparoscopic</w:t>
            </w:r>
          </w:p>
          <w:p w14:paraId="087CF2D5" w14:textId="77777777" w:rsidR="000D44B8" w:rsidRPr="009824AD" w:rsidRDefault="000D44B8" w:rsidP="006E3A16">
            <w:pPr>
              <w:jc w:val="center"/>
              <w:rPr>
                <w:rFonts w:ascii="Helvetica" w:eastAsia="Times New Roman" w:hAnsi="Helvetica" w:cs="Calibri"/>
                <w:b/>
                <w:bCs/>
                <w:color w:val="000000" w:themeColor="text1"/>
                <w:sz w:val="20"/>
                <w:szCs w:val="20"/>
                <w:lang w:val="en-US" w:eastAsia="nl-NL"/>
              </w:rPr>
            </w:pPr>
            <w:r w:rsidRPr="009824AD">
              <w:rPr>
                <w:rFonts w:ascii="Helvetica" w:eastAsia="Times New Roman" w:hAnsi="Helvetica" w:cs="Calibri"/>
                <w:b/>
                <w:bCs/>
                <w:color w:val="000000" w:themeColor="text1"/>
                <w:sz w:val="20"/>
                <w:szCs w:val="20"/>
                <w:lang w:val="en-US" w:eastAsia="nl-NL"/>
              </w:rPr>
              <w:t>(N = 3565)</w:t>
            </w:r>
          </w:p>
        </w:tc>
        <w:tc>
          <w:tcPr>
            <w:tcW w:w="1843" w:type="dxa"/>
            <w:tcBorders>
              <w:top w:val="single" w:sz="4" w:space="0" w:color="auto"/>
              <w:bottom w:val="single" w:sz="4" w:space="0" w:color="auto"/>
            </w:tcBorders>
            <w:vAlign w:val="center"/>
          </w:tcPr>
          <w:p w14:paraId="3C7C9C30" w14:textId="77777777" w:rsidR="000D44B8" w:rsidRPr="009824AD" w:rsidRDefault="000D44B8" w:rsidP="006E3A16">
            <w:pPr>
              <w:jc w:val="center"/>
              <w:rPr>
                <w:rFonts w:ascii="Helvetica" w:eastAsia="Times New Roman" w:hAnsi="Helvetica" w:cs="Calibri"/>
                <w:b/>
                <w:bCs/>
                <w:color w:val="000000" w:themeColor="text1"/>
                <w:sz w:val="20"/>
                <w:szCs w:val="20"/>
                <w:lang w:val="en-US" w:eastAsia="nl-NL"/>
              </w:rPr>
            </w:pPr>
            <w:r w:rsidRPr="009824AD">
              <w:rPr>
                <w:rFonts w:ascii="Helvetica" w:eastAsia="Times New Roman" w:hAnsi="Helvetica" w:cs="Calibri"/>
                <w:b/>
                <w:bCs/>
                <w:color w:val="000000" w:themeColor="text1"/>
                <w:sz w:val="20"/>
                <w:szCs w:val="20"/>
                <w:lang w:val="en-US" w:eastAsia="nl-NL"/>
              </w:rPr>
              <w:t>Open</w:t>
            </w:r>
          </w:p>
          <w:p w14:paraId="1380A9DE" w14:textId="77777777" w:rsidR="000D44B8" w:rsidRPr="009824AD" w:rsidRDefault="000D44B8" w:rsidP="006E3A16">
            <w:pPr>
              <w:jc w:val="center"/>
              <w:rPr>
                <w:rFonts w:ascii="Helvetica" w:eastAsia="Times New Roman" w:hAnsi="Helvetica" w:cs="Calibri"/>
                <w:b/>
                <w:bCs/>
                <w:color w:val="000000" w:themeColor="text1"/>
                <w:sz w:val="20"/>
                <w:szCs w:val="20"/>
                <w:lang w:val="en-US" w:eastAsia="nl-NL"/>
              </w:rPr>
            </w:pPr>
            <w:r w:rsidRPr="009824AD">
              <w:rPr>
                <w:rFonts w:ascii="Helvetica" w:eastAsia="Times New Roman" w:hAnsi="Helvetica" w:cs="Calibri"/>
                <w:b/>
                <w:bCs/>
                <w:color w:val="000000" w:themeColor="text1"/>
                <w:sz w:val="20"/>
                <w:szCs w:val="20"/>
                <w:lang w:val="en-US" w:eastAsia="nl-NL"/>
              </w:rPr>
              <w:t>(N = 3565)</w:t>
            </w:r>
          </w:p>
        </w:tc>
        <w:tc>
          <w:tcPr>
            <w:tcW w:w="850" w:type="dxa"/>
            <w:tcBorders>
              <w:top w:val="single" w:sz="4" w:space="0" w:color="auto"/>
              <w:bottom w:val="single" w:sz="4" w:space="0" w:color="auto"/>
            </w:tcBorders>
            <w:vAlign w:val="bottom"/>
          </w:tcPr>
          <w:p w14:paraId="4A01679D" w14:textId="77777777" w:rsidR="000D44B8" w:rsidRPr="009824AD" w:rsidRDefault="000D44B8" w:rsidP="006E3A16">
            <w:pPr>
              <w:jc w:val="center"/>
              <w:rPr>
                <w:rFonts w:ascii="Helvetica" w:hAnsi="Helvetica" w:cs="Calibri"/>
                <w:b/>
                <w:bCs/>
                <w:i/>
                <w:iCs/>
                <w:color w:val="000000" w:themeColor="text1"/>
                <w:sz w:val="20"/>
                <w:szCs w:val="20"/>
                <w:lang w:val="en-US"/>
              </w:rPr>
            </w:pPr>
            <w:r w:rsidRPr="009824AD">
              <w:rPr>
                <w:rFonts w:ascii="Helvetica" w:hAnsi="Helvetica" w:cs="Calibri"/>
                <w:b/>
                <w:bCs/>
                <w:i/>
                <w:iCs/>
                <w:color w:val="000000" w:themeColor="text1"/>
                <w:sz w:val="20"/>
                <w:szCs w:val="20"/>
                <w:lang w:val="en-US"/>
              </w:rPr>
              <w:t>P</w:t>
            </w:r>
          </w:p>
        </w:tc>
        <w:tc>
          <w:tcPr>
            <w:tcW w:w="709" w:type="dxa"/>
            <w:tcBorders>
              <w:top w:val="single" w:sz="4" w:space="0" w:color="auto"/>
              <w:bottom w:val="single" w:sz="4" w:space="0" w:color="auto"/>
            </w:tcBorders>
            <w:vAlign w:val="bottom"/>
          </w:tcPr>
          <w:p w14:paraId="32F0D431" w14:textId="77777777" w:rsidR="000D44B8" w:rsidRPr="009824AD" w:rsidRDefault="000D44B8" w:rsidP="006E3A16">
            <w:pPr>
              <w:jc w:val="center"/>
              <w:rPr>
                <w:rFonts w:ascii="Helvetica" w:hAnsi="Helvetica" w:cs="Calibri"/>
                <w:b/>
                <w:bCs/>
                <w:color w:val="000000" w:themeColor="text1"/>
                <w:sz w:val="20"/>
                <w:szCs w:val="20"/>
                <w:lang w:val="en-US"/>
              </w:rPr>
            </w:pPr>
            <w:r w:rsidRPr="009824AD">
              <w:rPr>
                <w:rFonts w:ascii="Helvetica" w:hAnsi="Helvetica" w:cs="Calibri"/>
                <w:b/>
                <w:bCs/>
                <w:color w:val="000000" w:themeColor="text1"/>
                <w:sz w:val="20"/>
                <w:szCs w:val="20"/>
                <w:lang w:val="en-US"/>
              </w:rPr>
              <w:t>SMD</w:t>
            </w:r>
          </w:p>
        </w:tc>
      </w:tr>
      <w:tr w:rsidR="000D44B8" w:rsidRPr="009824AD" w14:paraId="6AA76D40" w14:textId="77777777" w:rsidTr="00C67DD2">
        <w:tc>
          <w:tcPr>
            <w:tcW w:w="4395" w:type="dxa"/>
            <w:tcBorders>
              <w:top w:val="single" w:sz="4" w:space="0" w:color="auto"/>
              <w:right w:val="single" w:sz="4" w:space="0" w:color="auto"/>
            </w:tcBorders>
            <w:vAlign w:val="center"/>
          </w:tcPr>
          <w:p w14:paraId="6810E99C" w14:textId="77777777" w:rsidR="000D44B8" w:rsidRPr="009824AD" w:rsidRDefault="000D44B8" w:rsidP="006E3A16">
            <w:pPr>
              <w:rPr>
                <w:rFonts w:ascii="Helvetica" w:eastAsia="Times New Roman" w:hAnsi="Helvetica" w:cs="Calibri"/>
                <w:b/>
                <w:color w:val="000000"/>
                <w:sz w:val="20"/>
                <w:szCs w:val="20"/>
                <w:lang w:val="en-US" w:eastAsia="nl-NL"/>
              </w:rPr>
            </w:pPr>
            <w:r w:rsidRPr="009824AD">
              <w:rPr>
                <w:rFonts w:ascii="Helvetica" w:eastAsia="Times New Roman" w:hAnsi="Helvetica" w:cs="Calibri"/>
                <w:b/>
                <w:color w:val="000000"/>
                <w:sz w:val="20"/>
                <w:szCs w:val="20"/>
                <w:lang w:val="en-US" w:eastAsia="nl-NL"/>
              </w:rPr>
              <w:t>Patient characteristics</w:t>
            </w:r>
          </w:p>
        </w:tc>
        <w:tc>
          <w:tcPr>
            <w:tcW w:w="1842" w:type="dxa"/>
            <w:tcBorders>
              <w:top w:val="single" w:sz="4" w:space="0" w:color="auto"/>
              <w:left w:val="single" w:sz="4" w:space="0" w:color="auto"/>
            </w:tcBorders>
            <w:vAlign w:val="center"/>
          </w:tcPr>
          <w:p w14:paraId="6BDEFD7B" w14:textId="77777777" w:rsidR="000D44B8" w:rsidRPr="009824AD" w:rsidRDefault="000D44B8" w:rsidP="006E3A16">
            <w:pPr>
              <w:jc w:val="center"/>
              <w:rPr>
                <w:rFonts w:ascii="Helvetica" w:eastAsia="Times New Roman" w:hAnsi="Helvetica" w:cs="Calibri"/>
                <w:b/>
                <w:bCs/>
                <w:sz w:val="20"/>
                <w:szCs w:val="20"/>
                <w:lang w:val="en-US" w:eastAsia="nl-NL"/>
              </w:rPr>
            </w:pPr>
          </w:p>
        </w:tc>
        <w:tc>
          <w:tcPr>
            <w:tcW w:w="1843" w:type="dxa"/>
            <w:tcBorders>
              <w:top w:val="single" w:sz="4" w:space="0" w:color="auto"/>
            </w:tcBorders>
            <w:vAlign w:val="center"/>
          </w:tcPr>
          <w:p w14:paraId="64AF4288" w14:textId="77777777" w:rsidR="000D44B8" w:rsidRPr="009824AD" w:rsidRDefault="000D44B8" w:rsidP="006E3A16">
            <w:pPr>
              <w:jc w:val="center"/>
              <w:rPr>
                <w:rFonts w:ascii="Helvetica" w:eastAsia="Times New Roman" w:hAnsi="Helvetica" w:cs="Calibri"/>
                <w:b/>
                <w:bCs/>
                <w:sz w:val="20"/>
                <w:szCs w:val="20"/>
                <w:lang w:val="en-US" w:eastAsia="nl-NL"/>
              </w:rPr>
            </w:pPr>
          </w:p>
        </w:tc>
        <w:tc>
          <w:tcPr>
            <w:tcW w:w="851" w:type="dxa"/>
            <w:tcBorders>
              <w:top w:val="single" w:sz="4" w:space="0" w:color="auto"/>
            </w:tcBorders>
          </w:tcPr>
          <w:p w14:paraId="32983625" w14:textId="77777777" w:rsidR="000D44B8" w:rsidRPr="009824AD" w:rsidRDefault="000D44B8" w:rsidP="006E3A16">
            <w:pPr>
              <w:jc w:val="center"/>
              <w:rPr>
                <w:rFonts w:ascii="Helvetica" w:hAnsi="Helvetica" w:cs="Calibri"/>
                <w:sz w:val="20"/>
                <w:szCs w:val="20"/>
                <w:lang w:val="en-US"/>
              </w:rPr>
            </w:pPr>
          </w:p>
        </w:tc>
        <w:tc>
          <w:tcPr>
            <w:tcW w:w="708" w:type="dxa"/>
            <w:tcBorders>
              <w:top w:val="single" w:sz="4" w:space="0" w:color="auto"/>
              <w:right w:val="single" w:sz="4" w:space="0" w:color="auto"/>
            </w:tcBorders>
          </w:tcPr>
          <w:p w14:paraId="14620202" w14:textId="77777777" w:rsidR="000D44B8" w:rsidRPr="009824AD" w:rsidRDefault="000D44B8" w:rsidP="006E3A16">
            <w:pPr>
              <w:jc w:val="center"/>
              <w:rPr>
                <w:rFonts w:ascii="Helvetica" w:hAnsi="Helvetica" w:cs="Calibri"/>
                <w:sz w:val="20"/>
                <w:szCs w:val="20"/>
                <w:lang w:val="en-US"/>
              </w:rPr>
            </w:pPr>
          </w:p>
        </w:tc>
        <w:tc>
          <w:tcPr>
            <w:tcW w:w="1843" w:type="dxa"/>
            <w:tcBorders>
              <w:top w:val="single" w:sz="4" w:space="0" w:color="auto"/>
              <w:left w:val="single" w:sz="4" w:space="0" w:color="auto"/>
            </w:tcBorders>
            <w:vAlign w:val="center"/>
          </w:tcPr>
          <w:p w14:paraId="0EF3D508" w14:textId="77777777" w:rsidR="000D44B8" w:rsidRPr="009824AD" w:rsidRDefault="000D44B8" w:rsidP="006E3A16">
            <w:pPr>
              <w:jc w:val="center"/>
              <w:rPr>
                <w:rFonts w:ascii="Helvetica" w:eastAsia="Times New Roman" w:hAnsi="Helvetica" w:cs="Calibri"/>
                <w:b/>
                <w:bCs/>
                <w:color w:val="000000" w:themeColor="text1"/>
                <w:sz w:val="20"/>
                <w:szCs w:val="20"/>
                <w:lang w:val="en-US" w:eastAsia="nl-NL"/>
              </w:rPr>
            </w:pPr>
          </w:p>
        </w:tc>
        <w:tc>
          <w:tcPr>
            <w:tcW w:w="1843" w:type="dxa"/>
            <w:tcBorders>
              <w:top w:val="single" w:sz="4" w:space="0" w:color="auto"/>
            </w:tcBorders>
            <w:vAlign w:val="center"/>
          </w:tcPr>
          <w:p w14:paraId="3B404044" w14:textId="77777777" w:rsidR="000D44B8" w:rsidRPr="009824AD" w:rsidRDefault="000D44B8" w:rsidP="006E3A16">
            <w:pPr>
              <w:jc w:val="center"/>
              <w:rPr>
                <w:rFonts w:ascii="Helvetica" w:eastAsia="Times New Roman" w:hAnsi="Helvetica" w:cs="Calibri"/>
                <w:b/>
                <w:bCs/>
                <w:color w:val="000000" w:themeColor="text1"/>
                <w:sz w:val="20"/>
                <w:szCs w:val="20"/>
                <w:lang w:val="en-US" w:eastAsia="nl-NL"/>
              </w:rPr>
            </w:pPr>
          </w:p>
        </w:tc>
        <w:tc>
          <w:tcPr>
            <w:tcW w:w="850" w:type="dxa"/>
            <w:tcBorders>
              <w:top w:val="single" w:sz="4" w:space="0" w:color="auto"/>
            </w:tcBorders>
          </w:tcPr>
          <w:p w14:paraId="2AEE3890" w14:textId="77777777" w:rsidR="000D44B8" w:rsidRPr="009824AD" w:rsidRDefault="000D44B8" w:rsidP="006E3A16">
            <w:pPr>
              <w:jc w:val="center"/>
              <w:rPr>
                <w:rFonts w:ascii="Helvetica" w:hAnsi="Helvetica" w:cs="Calibri"/>
                <w:color w:val="000000" w:themeColor="text1"/>
                <w:sz w:val="20"/>
                <w:szCs w:val="20"/>
                <w:lang w:val="en-US"/>
              </w:rPr>
            </w:pPr>
          </w:p>
        </w:tc>
        <w:tc>
          <w:tcPr>
            <w:tcW w:w="709" w:type="dxa"/>
            <w:tcBorders>
              <w:top w:val="single" w:sz="4" w:space="0" w:color="auto"/>
            </w:tcBorders>
          </w:tcPr>
          <w:p w14:paraId="0FFCA736" w14:textId="77777777" w:rsidR="000D44B8" w:rsidRPr="009824AD" w:rsidRDefault="000D44B8" w:rsidP="006E3A16">
            <w:pPr>
              <w:jc w:val="center"/>
              <w:rPr>
                <w:rFonts w:ascii="Helvetica" w:hAnsi="Helvetica" w:cs="Calibri"/>
                <w:color w:val="000000" w:themeColor="text1"/>
                <w:sz w:val="20"/>
                <w:szCs w:val="20"/>
                <w:lang w:val="en-US"/>
              </w:rPr>
            </w:pPr>
          </w:p>
        </w:tc>
      </w:tr>
      <w:tr w:rsidR="000D44B8" w:rsidRPr="009824AD" w14:paraId="3B29FC44" w14:textId="77777777" w:rsidTr="00C67DD2">
        <w:tc>
          <w:tcPr>
            <w:tcW w:w="4395" w:type="dxa"/>
            <w:tcBorders>
              <w:right w:val="single" w:sz="4" w:space="0" w:color="auto"/>
            </w:tcBorders>
            <w:vAlign w:val="center"/>
          </w:tcPr>
          <w:p w14:paraId="601BEBD9" w14:textId="77777777" w:rsidR="000D44B8" w:rsidRDefault="000D44B8" w:rsidP="006E3A16">
            <w:pPr>
              <w:ind w:left="170"/>
              <w:rPr>
                <w:rFonts w:ascii="Helvetica" w:eastAsia="Times New Roman" w:hAnsi="Helvetica" w:cs="Calibri"/>
                <w:color w:val="000000"/>
                <w:sz w:val="20"/>
                <w:szCs w:val="20"/>
                <w:lang w:val="en-US" w:eastAsia="nl-NL"/>
              </w:rPr>
            </w:pPr>
            <w:r w:rsidRPr="009824AD">
              <w:rPr>
                <w:rFonts w:ascii="Helvetica" w:eastAsia="Times New Roman" w:hAnsi="Helvetica" w:cs="Calibri"/>
                <w:color w:val="000000"/>
                <w:sz w:val="20"/>
                <w:szCs w:val="20"/>
                <w:lang w:val="en-US" w:eastAsia="nl-NL"/>
              </w:rPr>
              <w:t>Age, years, median (</w:t>
            </w:r>
            <w:r w:rsidR="00493F8D" w:rsidRPr="009824AD">
              <w:rPr>
                <w:rFonts w:ascii="Helvetica" w:eastAsia="Times New Roman" w:hAnsi="Helvetica" w:cs="Calibri"/>
                <w:color w:val="000000"/>
                <w:sz w:val="20"/>
                <w:szCs w:val="20"/>
                <w:lang w:val="en-US" w:eastAsia="nl-NL"/>
              </w:rPr>
              <w:t>IQR</w:t>
            </w:r>
            <w:r w:rsidRPr="009824AD">
              <w:rPr>
                <w:rFonts w:ascii="Helvetica" w:eastAsia="Times New Roman" w:hAnsi="Helvetica" w:cs="Calibri"/>
                <w:color w:val="000000"/>
                <w:sz w:val="20"/>
                <w:szCs w:val="20"/>
                <w:lang w:val="en-US" w:eastAsia="nl-NL"/>
              </w:rPr>
              <w:t>)</w:t>
            </w:r>
          </w:p>
          <w:p w14:paraId="341717A7" w14:textId="17D0A5EE" w:rsidR="00F32683" w:rsidRPr="00F32683" w:rsidRDefault="00F32683" w:rsidP="00F32683">
            <w:pPr>
              <w:ind w:left="340"/>
              <w:rPr>
                <w:rFonts w:ascii="Helvetica" w:eastAsia="Times New Roman" w:hAnsi="Helvetica" w:cs="Calibri"/>
                <w:i/>
                <w:iCs/>
                <w:sz w:val="20"/>
                <w:szCs w:val="20"/>
                <w:lang w:val="en-US" w:eastAsia="nl-NL"/>
              </w:rPr>
            </w:pPr>
            <w:r w:rsidRPr="00F32683">
              <w:rPr>
                <w:rFonts w:ascii="Helvetica" w:eastAsia="Times New Roman" w:hAnsi="Helvetica" w:cs="Calibri"/>
                <w:i/>
                <w:iCs/>
                <w:sz w:val="20"/>
                <w:szCs w:val="20"/>
                <w:lang w:val="en-US" w:eastAsia="nl-NL"/>
              </w:rPr>
              <w:t>Missing (%)</w:t>
            </w:r>
          </w:p>
        </w:tc>
        <w:tc>
          <w:tcPr>
            <w:tcW w:w="1842" w:type="dxa"/>
            <w:tcBorders>
              <w:left w:val="single" w:sz="4" w:space="0" w:color="auto"/>
            </w:tcBorders>
            <w:vAlign w:val="center"/>
          </w:tcPr>
          <w:p w14:paraId="5F9128C5" w14:textId="77777777" w:rsidR="000D44B8" w:rsidRDefault="000D44B8" w:rsidP="006E3A16">
            <w:pPr>
              <w:autoSpaceDE w:val="0"/>
              <w:autoSpaceDN w:val="0"/>
              <w:adjustRightInd w:val="0"/>
              <w:jc w:val="center"/>
              <w:rPr>
                <w:rFonts w:ascii="Helvetica" w:hAnsi="Helvetica" w:cs="Calibri"/>
                <w:sz w:val="20"/>
                <w:szCs w:val="20"/>
                <w:lang w:val="en-US"/>
              </w:rPr>
            </w:pPr>
            <w:r w:rsidRPr="009824AD">
              <w:rPr>
                <w:rFonts w:ascii="Helvetica" w:hAnsi="Helvetica" w:cs="Calibri"/>
                <w:sz w:val="20"/>
                <w:szCs w:val="20"/>
                <w:lang w:val="en-US"/>
              </w:rPr>
              <w:t>64.5 (55.0 – 72.5)</w:t>
            </w:r>
          </w:p>
          <w:p w14:paraId="74F32E9E" w14:textId="32F32D51" w:rsidR="00F32683" w:rsidRPr="009824AD" w:rsidRDefault="00F32683" w:rsidP="006E3A16">
            <w:pPr>
              <w:autoSpaceDE w:val="0"/>
              <w:autoSpaceDN w:val="0"/>
              <w:adjustRightInd w:val="0"/>
              <w:jc w:val="center"/>
              <w:rPr>
                <w:rFonts w:ascii="Helvetica" w:hAnsi="Helvetica" w:cs="Calibri"/>
                <w:sz w:val="20"/>
                <w:szCs w:val="20"/>
                <w:lang w:val="en-US"/>
              </w:rPr>
            </w:pPr>
            <w:r>
              <w:rPr>
                <w:rFonts w:ascii="Helvetica" w:hAnsi="Helvetica" w:cs="Calibri"/>
                <w:sz w:val="20"/>
                <w:szCs w:val="20"/>
                <w:lang w:val="en-US"/>
              </w:rPr>
              <w:t>543 (8.5)</w:t>
            </w:r>
          </w:p>
        </w:tc>
        <w:tc>
          <w:tcPr>
            <w:tcW w:w="1843" w:type="dxa"/>
            <w:vAlign w:val="center"/>
          </w:tcPr>
          <w:p w14:paraId="6DE2E3F3" w14:textId="77777777" w:rsidR="000D44B8" w:rsidRDefault="000D44B8" w:rsidP="006E3A16">
            <w:pPr>
              <w:autoSpaceDE w:val="0"/>
              <w:autoSpaceDN w:val="0"/>
              <w:adjustRightInd w:val="0"/>
              <w:jc w:val="center"/>
              <w:rPr>
                <w:rFonts w:ascii="Helvetica" w:hAnsi="Helvetica" w:cs="Calibri"/>
                <w:sz w:val="20"/>
                <w:szCs w:val="20"/>
                <w:lang w:val="en-US"/>
              </w:rPr>
            </w:pPr>
            <w:r w:rsidRPr="009824AD">
              <w:rPr>
                <w:rFonts w:ascii="Helvetica" w:hAnsi="Helvetica" w:cs="Calibri"/>
                <w:sz w:val="20"/>
                <w:szCs w:val="20"/>
                <w:lang w:val="en-US"/>
              </w:rPr>
              <w:t>64.0 (55.0 – 71.0)</w:t>
            </w:r>
          </w:p>
          <w:p w14:paraId="30505225" w14:textId="1102A5AE" w:rsidR="00F32683" w:rsidRPr="009824AD" w:rsidRDefault="00F32683" w:rsidP="006E3A16">
            <w:pPr>
              <w:autoSpaceDE w:val="0"/>
              <w:autoSpaceDN w:val="0"/>
              <w:adjustRightInd w:val="0"/>
              <w:jc w:val="center"/>
              <w:rPr>
                <w:rFonts w:ascii="Helvetica" w:hAnsi="Helvetica" w:cs="Calibri"/>
                <w:sz w:val="20"/>
                <w:szCs w:val="20"/>
                <w:lang w:val="en-US"/>
              </w:rPr>
            </w:pPr>
            <w:r>
              <w:rPr>
                <w:rFonts w:ascii="Helvetica" w:hAnsi="Helvetica" w:cs="Calibri"/>
                <w:sz w:val="20"/>
                <w:szCs w:val="20"/>
                <w:lang w:val="en-US"/>
              </w:rPr>
              <w:t>528 (7.5)</w:t>
            </w:r>
          </w:p>
        </w:tc>
        <w:tc>
          <w:tcPr>
            <w:tcW w:w="851" w:type="dxa"/>
          </w:tcPr>
          <w:p w14:paraId="146C1AE7" w14:textId="77777777" w:rsidR="000D44B8" w:rsidRPr="009824AD" w:rsidRDefault="000D44B8" w:rsidP="006E3A16">
            <w:pPr>
              <w:tabs>
                <w:tab w:val="left" w:pos="310"/>
              </w:tabs>
              <w:jc w:val="center"/>
              <w:rPr>
                <w:rFonts w:ascii="Helvetica" w:eastAsia="Times New Roman" w:hAnsi="Helvetica" w:cs="Calibri"/>
                <w:b/>
                <w:bCs/>
                <w:color w:val="000000"/>
                <w:sz w:val="20"/>
                <w:szCs w:val="20"/>
                <w:lang w:val="en-US" w:eastAsia="nl-NL"/>
              </w:rPr>
            </w:pPr>
            <w:r w:rsidRPr="009824AD">
              <w:rPr>
                <w:rFonts w:ascii="Helvetica" w:eastAsia="Times New Roman" w:hAnsi="Helvetica" w:cs="Calibri"/>
                <w:b/>
                <w:bCs/>
                <w:color w:val="000000"/>
                <w:sz w:val="20"/>
                <w:szCs w:val="20"/>
                <w:lang w:val="en-US" w:eastAsia="nl-NL"/>
              </w:rPr>
              <w:t>0.001</w:t>
            </w:r>
          </w:p>
        </w:tc>
        <w:tc>
          <w:tcPr>
            <w:tcW w:w="708" w:type="dxa"/>
            <w:tcBorders>
              <w:right w:val="single" w:sz="4" w:space="0" w:color="auto"/>
            </w:tcBorders>
          </w:tcPr>
          <w:p w14:paraId="1250D202" w14:textId="77777777" w:rsidR="000D44B8" w:rsidRPr="009824AD" w:rsidRDefault="000D44B8" w:rsidP="006E3A16">
            <w:pPr>
              <w:tabs>
                <w:tab w:val="left" w:pos="310"/>
              </w:tabs>
              <w:jc w:val="center"/>
              <w:rPr>
                <w:rFonts w:ascii="Helvetica" w:eastAsia="Times New Roman" w:hAnsi="Helvetica" w:cs="Calibri"/>
                <w:color w:val="000000"/>
                <w:sz w:val="20"/>
                <w:szCs w:val="20"/>
                <w:lang w:val="en-US" w:eastAsia="nl-NL"/>
              </w:rPr>
            </w:pPr>
            <w:r w:rsidRPr="009824AD">
              <w:rPr>
                <w:rFonts w:ascii="Helvetica" w:eastAsia="Times New Roman" w:hAnsi="Helvetica" w:cs="Calibri"/>
                <w:color w:val="000000" w:themeColor="text1"/>
                <w:sz w:val="20"/>
                <w:szCs w:val="20"/>
                <w:lang w:val="en-US" w:eastAsia="nl-NL"/>
              </w:rPr>
              <w:t>0.03</w:t>
            </w:r>
          </w:p>
        </w:tc>
        <w:tc>
          <w:tcPr>
            <w:tcW w:w="1843" w:type="dxa"/>
            <w:tcBorders>
              <w:left w:val="single" w:sz="4" w:space="0" w:color="auto"/>
            </w:tcBorders>
            <w:vAlign w:val="center"/>
          </w:tcPr>
          <w:p w14:paraId="41955225" w14:textId="77777777" w:rsidR="000D44B8" w:rsidRPr="009824AD" w:rsidRDefault="000D44B8" w:rsidP="006E3A16">
            <w:pPr>
              <w:autoSpaceDE w:val="0"/>
              <w:autoSpaceDN w:val="0"/>
              <w:adjustRightInd w:val="0"/>
              <w:jc w:val="center"/>
              <w:rPr>
                <w:rFonts w:ascii="Helvetica" w:hAnsi="Helvetica" w:cs="Calibri"/>
                <w:color w:val="000000" w:themeColor="text1"/>
                <w:sz w:val="20"/>
                <w:szCs w:val="20"/>
                <w:lang w:val="en-US"/>
              </w:rPr>
            </w:pPr>
            <w:r w:rsidRPr="009824AD">
              <w:rPr>
                <w:rFonts w:ascii="Helvetica" w:hAnsi="Helvetica" w:cs="Calibri"/>
                <w:color w:val="000000" w:themeColor="text1"/>
                <w:sz w:val="20"/>
                <w:szCs w:val="20"/>
                <w:lang w:val="en-US"/>
              </w:rPr>
              <w:t>64.0 (55.1 – 72.0)</w:t>
            </w:r>
          </w:p>
        </w:tc>
        <w:tc>
          <w:tcPr>
            <w:tcW w:w="1843" w:type="dxa"/>
            <w:vAlign w:val="center"/>
          </w:tcPr>
          <w:p w14:paraId="187D30DB" w14:textId="77777777" w:rsidR="000D44B8" w:rsidRPr="009824AD" w:rsidRDefault="000D44B8" w:rsidP="006E3A16">
            <w:pPr>
              <w:autoSpaceDE w:val="0"/>
              <w:autoSpaceDN w:val="0"/>
              <w:adjustRightInd w:val="0"/>
              <w:jc w:val="center"/>
              <w:rPr>
                <w:rFonts w:ascii="Helvetica" w:hAnsi="Helvetica" w:cs="Calibri"/>
                <w:color w:val="000000" w:themeColor="text1"/>
                <w:sz w:val="20"/>
                <w:szCs w:val="20"/>
                <w:lang w:val="en-US"/>
              </w:rPr>
            </w:pPr>
            <w:r w:rsidRPr="009824AD">
              <w:rPr>
                <w:rFonts w:ascii="Helvetica" w:hAnsi="Helvetica" w:cs="Calibri"/>
                <w:color w:val="000000" w:themeColor="text1"/>
                <w:sz w:val="20"/>
                <w:szCs w:val="20"/>
                <w:lang w:val="en-US"/>
              </w:rPr>
              <w:t>64.0 (56.0 – 71.0)</w:t>
            </w:r>
          </w:p>
        </w:tc>
        <w:tc>
          <w:tcPr>
            <w:tcW w:w="850" w:type="dxa"/>
          </w:tcPr>
          <w:p w14:paraId="15C80C1D" w14:textId="77777777" w:rsidR="000D44B8" w:rsidRPr="009824AD" w:rsidRDefault="000D44B8" w:rsidP="006E3A16">
            <w:pPr>
              <w:tabs>
                <w:tab w:val="left" w:pos="310"/>
              </w:tabs>
              <w:jc w:val="center"/>
              <w:rPr>
                <w:rFonts w:ascii="Helvetica" w:eastAsia="Times New Roman" w:hAnsi="Helvetica" w:cs="Calibri"/>
                <w:color w:val="000000" w:themeColor="text1"/>
                <w:sz w:val="20"/>
                <w:szCs w:val="20"/>
                <w:lang w:val="en-US" w:eastAsia="nl-NL"/>
              </w:rPr>
            </w:pPr>
            <w:r w:rsidRPr="009824AD">
              <w:rPr>
                <w:rFonts w:ascii="Helvetica" w:eastAsia="Times New Roman" w:hAnsi="Helvetica" w:cs="Calibri"/>
                <w:color w:val="000000" w:themeColor="text1"/>
                <w:sz w:val="20"/>
                <w:szCs w:val="20"/>
                <w:lang w:val="en-US" w:eastAsia="nl-NL"/>
              </w:rPr>
              <w:t>0.127</w:t>
            </w:r>
          </w:p>
        </w:tc>
        <w:tc>
          <w:tcPr>
            <w:tcW w:w="709" w:type="dxa"/>
          </w:tcPr>
          <w:p w14:paraId="3685841C" w14:textId="77777777" w:rsidR="000D44B8" w:rsidRPr="009824AD" w:rsidRDefault="000D44B8" w:rsidP="006E3A16">
            <w:pPr>
              <w:tabs>
                <w:tab w:val="left" w:pos="310"/>
              </w:tabs>
              <w:jc w:val="center"/>
              <w:rPr>
                <w:rFonts w:ascii="Helvetica" w:eastAsia="Times New Roman" w:hAnsi="Helvetica" w:cs="Calibri"/>
                <w:color w:val="000000" w:themeColor="text1"/>
                <w:sz w:val="20"/>
                <w:szCs w:val="20"/>
                <w:lang w:val="en-US" w:eastAsia="nl-NL"/>
              </w:rPr>
            </w:pPr>
            <w:r w:rsidRPr="009824AD">
              <w:rPr>
                <w:rFonts w:ascii="Helvetica" w:eastAsia="Times New Roman" w:hAnsi="Helvetica" w:cs="Calibri"/>
                <w:color w:val="000000" w:themeColor="text1"/>
                <w:sz w:val="20"/>
                <w:szCs w:val="20"/>
                <w:lang w:val="en-US" w:eastAsia="nl-NL"/>
              </w:rPr>
              <w:t>0.00</w:t>
            </w:r>
          </w:p>
        </w:tc>
      </w:tr>
      <w:tr w:rsidR="000D44B8" w:rsidRPr="009824AD" w14:paraId="5A307669" w14:textId="77777777" w:rsidTr="00C67DD2">
        <w:trPr>
          <w:trHeight w:val="105"/>
        </w:trPr>
        <w:tc>
          <w:tcPr>
            <w:tcW w:w="4395" w:type="dxa"/>
            <w:tcBorders>
              <w:right w:val="single" w:sz="4" w:space="0" w:color="auto"/>
            </w:tcBorders>
            <w:vAlign w:val="center"/>
          </w:tcPr>
          <w:p w14:paraId="36955713" w14:textId="2F4CA576" w:rsidR="000D44B8" w:rsidRDefault="000D44B8" w:rsidP="006E3A16">
            <w:pPr>
              <w:ind w:left="170"/>
              <w:rPr>
                <w:rFonts w:ascii="Helvetica" w:eastAsia="Times New Roman" w:hAnsi="Helvetica" w:cs="Calibri"/>
                <w:color w:val="000000"/>
                <w:sz w:val="20"/>
                <w:szCs w:val="20"/>
                <w:lang w:val="en-US" w:eastAsia="nl-NL"/>
              </w:rPr>
            </w:pPr>
            <w:r w:rsidRPr="009824AD">
              <w:rPr>
                <w:rFonts w:ascii="Helvetica" w:eastAsia="Times New Roman" w:hAnsi="Helvetica" w:cs="Calibri"/>
                <w:color w:val="000000"/>
                <w:sz w:val="20"/>
                <w:szCs w:val="20"/>
                <w:lang w:val="en-US" w:eastAsia="nl-NL"/>
              </w:rPr>
              <w:t>Sex, male (%)</w:t>
            </w:r>
          </w:p>
          <w:p w14:paraId="54BF8B3A" w14:textId="78BFAFD2" w:rsidR="00F32683" w:rsidRPr="00F32683" w:rsidRDefault="00F32683" w:rsidP="00F32683">
            <w:pPr>
              <w:tabs>
                <w:tab w:val="left" w:pos="310"/>
              </w:tabs>
              <w:ind w:left="170"/>
              <w:contextualSpacing/>
              <w:rPr>
                <w:rFonts w:ascii="Helvetica" w:hAnsi="Helvetica" w:cs="Calibri"/>
                <w:sz w:val="20"/>
                <w:szCs w:val="20"/>
                <w:lang w:val="en-US"/>
              </w:rPr>
            </w:pPr>
            <w:r>
              <w:rPr>
                <w:rFonts w:ascii="Helvetica" w:hAnsi="Helvetica" w:cs="Calibri"/>
                <w:color w:val="000000"/>
                <w:sz w:val="20"/>
                <w:szCs w:val="20"/>
                <w:lang w:val="en-US"/>
              </w:rPr>
              <w:tab/>
            </w:r>
            <w:r w:rsidRPr="00A5449C">
              <w:rPr>
                <w:rFonts w:ascii="Helvetica" w:eastAsia="Times New Roman" w:hAnsi="Helvetica" w:cs="Calibri"/>
                <w:i/>
                <w:iCs/>
                <w:color w:val="000000"/>
                <w:sz w:val="20"/>
                <w:szCs w:val="20"/>
                <w:lang w:val="en-US" w:eastAsia="nl-NL"/>
              </w:rPr>
              <w:t>Missing (%)</w:t>
            </w:r>
          </w:p>
        </w:tc>
        <w:tc>
          <w:tcPr>
            <w:tcW w:w="1842" w:type="dxa"/>
            <w:tcBorders>
              <w:left w:val="single" w:sz="4" w:space="0" w:color="auto"/>
            </w:tcBorders>
            <w:vAlign w:val="center"/>
          </w:tcPr>
          <w:p w14:paraId="62B5496D" w14:textId="77777777" w:rsidR="000D44B8" w:rsidRDefault="000D44B8" w:rsidP="006E3A16">
            <w:pPr>
              <w:jc w:val="center"/>
              <w:rPr>
                <w:rFonts w:ascii="Helvetica" w:eastAsia="Times New Roman" w:hAnsi="Helvetica" w:cs="Calibri"/>
                <w:sz w:val="20"/>
                <w:szCs w:val="20"/>
                <w:lang w:val="en-US" w:eastAsia="nl-NL"/>
              </w:rPr>
            </w:pPr>
            <w:r w:rsidRPr="009824AD">
              <w:rPr>
                <w:rFonts w:ascii="Helvetica" w:eastAsia="Times New Roman" w:hAnsi="Helvetica" w:cs="Calibri"/>
                <w:sz w:val="20"/>
                <w:szCs w:val="20"/>
                <w:lang w:val="en-US" w:eastAsia="nl-NL"/>
              </w:rPr>
              <w:t>3503 (55.6)</w:t>
            </w:r>
          </w:p>
          <w:p w14:paraId="534D17B2" w14:textId="407E7025" w:rsidR="00F32683" w:rsidRPr="009824AD" w:rsidRDefault="00F32683" w:rsidP="006E3A16">
            <w:pPr>
              <w:jc w:val="center"/>
              <w:rPr>
                <w:rFonts w:ascii="Helvetica" w:eastAsia="Times New Roman" w:hAnsi="Helvetica" w:cs="Calibri"/>
                <w:sz w:val="20"/>
                <w:szCs w:val="20"/>
                <w:lang w:val="en-US" w:eastAsia="nl-NL"/>
              </w:rPr>
            </w:pPr>
            <w:r>
              <w:rPr>
                <w:rFonts w:ascii="Helvetica" w:eastAsia="Times New Roman" w:hAnsi="Helvetica" w:cs="Calibri"/>
                <w:sz w:val="20"/>
                <w:szCs w:val="20"/>
                <w:lang w:val="en-US" w:eastAsia="nl-NL"/>
              </w:rPr>
              <w:t>67 (1.1)</w:t>
            </w:r>
          </w:p>
        </w:tc>
        <w:tc>
          <w:tcPr>
            <w:tcW w:w="1843" w:type="dxa"/>
            <w:vAlign w:val="center"/>
          </w:tcPr>
          <w:p w14:paraId="1C8D4914" w14:textId="77777777" w:rsidR="000D44B8" w:rsidRDefault="000D44B8" w:rsidP="006E3A16">
            <w:pPr>
              <w:jc w:val="center"/>
              <w:rPr>
                <w:rFonts w:ascii="Helvetica" w:eastAsia="Times New Roman" w:hAnsi="Helvetica" w:cs="Calibri"/>
                <w:sz w:val="20"/>
                <w:szCs w:val="20"/>
                <w:lang w:val="en-US" w:eastAsia="nl-NL"/>
              </w:rPr>
            </w:pPr>
            <w:r w:rsidRPr="009824AD">
              <w:rPr>
                <w:rFonts w:ascii="Helvetica" w:eastAsia="Times New Roman" w:hAnsi="Helvetica" w:cs="Calibri"/>
                <w:sz w:val="20"/>
                <w:szCs w:val="20"/>
                <w:lang w:val="en-US" w:eastAsia="nl-NL"/>
              </w:rPr>
              <w:t>4250 (60.6)</w:t>
            </w:r>
          </w:p>
          <w:p w14:paraId="4F92E985" w14:textId="103FC874" w:rsidR="00F32683" w:rsidRPr="009824AD" w:rsidRDefault="00F32683" w:rsidP="006E3A16">
            <w:pPr>
              <w:jc w:val="center"/>
              <w:rPr>
                <w:rFonts w:ascii="Helvetica" w:eastAsia="Times New Roman" w:hAnsi="Helvetica" w:cs="Calibri"/>
                <w:sz w:val="20"/>
                <w:szCs w:val="20"/>
                <w:lang w:val="en-US" w:eastAsia="nl-NL"/>
              </w:rPr>
            </w:pPr>
            <w:r>
              <w:rPr>
                <w:rFonts w:ascii="Helvetica" w:eastAsia="Times New Roman" w:hAnsi="Helvetica" w:cs="Calibri"/>
                <w:sz w:val="20"/>
                <w:szCs w:val="20"/>
                <w:lang w:val="en-US" w:eastAsia="nl-NL"/>
              </w:rPr>
              <w:t>2 (0.0)</w:t>
            </w:r>
          </w:p>
        </w:tc>
        <w:tc>
          <w:tcPr>
            <w:tcW w:w="851" w:type="dxa"/>
          </w:tcPr>
          <w:p w14:paraId="521575B2" w14:textId="77777777" w:rsidR="000D44B8" w:rsidRPr="009824AD" w:rsidRDefault="000D44B8" w:rsidP="006E3A16">
            <w:pPr>
              <w:tabs>
                <w:tab w:val="left" w:pos="310"/>
              </w:tabs>
              <w:jc w:val="center"/>
              <w:rPr>
                <w:rFonts w:ascii="Helvetica" w:eastAsia="Times New Roman" w:hAnsi="Helvetica" w:cs="Calibri"/>
                <w:b/>
                <w:bCs/>
                <w:color w:val="000000"/>
                <w:sz w:val="20"/>
                <w:szCs w:val="20"/>
                <w:lang w:val="en-US" w:eastAsia="nl-NL"/>
              </w:rPr>
            </w:pPr>
            <w:r w:rsidRPr="009824AD">
              <w:rPr>
                <w:rFonts w:ascii="Helvetica" w:eastAsia="Times New Roman" w:hAnsi="Helvetica" w:cs="Calibri"/>
                <w:b/>
                <w:bCs/>
                <w:color w:val="000000"/>
                <w:sz w:val="20"/>
                <w:szCs w:val="20"/>
                <w:lang w:val="en-US" w:eastAsia="nl-NL"/>
              </w:rPr>
              <w:t>&lt;0.001</w:t>
            </w:r>
          </w:p>
        </w:tc>
        <w:tc>
          <w:tcPr>
            <w:tcW w:w="708" w:type="dxa"/>
            <w:tcBorders>
              <w:right w:val="single" w:sz="4" w:space="0" w:color="auto"/>
            </w:tcBorders>
          </w:tcPr>
          <w:p w14:paraId="1C511A76" w14:textId="77777777" w:rsidR="000D44B8" w:rsidRPr="009824AD" w:rsidRDefault="000D44B8" w:rsidP="006E3A16">
            <w:pPr>
              <w:tabs>
                <w:tab w:val="left" w:pos="310"/>
              </w:tabs>
              <w:jc w:val="center"/>
              <w:rPr>
                <w:rFonts w:ascii="Helvetica" w:eastAsia="Times New Roman" w:hAnsi="Helvetica" w:cs="Calibri"/>
                <w:color w:val="000000"/>
                <w:sz w:val="20"/>
                <w:szCs w:val="20"/>
                <w:lang w:val="en-US" w:eastAsia="nl-NL"/>
              </w:rPr>
            </w:pPr>
            <w:r w:rsidRPr="009824AD">
              <w:rPr>
                <w:rFonts w:ascii="Helvetica" w:eastAsia="Times New Roman" w:hAnsi="Helvetica" w:cs="Calibri"/>
                <w:color w:val="000000"/>
                <w:sz w:val="20"/>
                <w:szCs w:val="20"/>
                <w:lang w:val="en-US" w:eastAsia="nl-NL"/>
              </w:rPr>
              <w:t>0.10</w:t>
            </w:r>
          </w:p>
        </w:tc>
        <w:tc>
          <w:tcPr>
            <w:tcW w:w="1843" w:type="dxa"/>
            <w:tcBorders>
              <w:left w:val="single" w:sz="4" w:space="0" w:color="auto"/>
            </w:tcBorders>
            <w:vAlign w:val="center"/>
          </w:tcPr>
          <w:p w14:paraId="6E70F0D0" w14:textId="77777777" w:rsidR="000D44B8" w:rsidRPr="009824AD" w:rsidRDefault="000D44B8" w:rsidP="006E3A16">
            <w:pPr>
              <w:jc w:val="center"/>
              <w:rPr>
                <w:rFonts w:ascii="Helvetica" w:eastAsia="Times New Roman" w:hAnsi="Helvetica" w:cs="Calibri"/>
                <w:color w:val="000000" w:themeColor="text1"/>
                <w:sz w:val="20"/>
                <w:szCs w:val="20"/>
                <w:lang w:val="en-US" w:eastAsia="nl-NL"/>
              </w:rPr>
            </w:pPr>
            <w:r w:rsidRPr="009824AD">
              <w:rPr>
                <w:rFonts w:ascii="Helvetica" w:eastAsia="Times New Roman" w:hAnsi="Helvetica" w:cs="Calibri"/>
                <w:color w:val="000000" w:themeColor="text1"/>
                <w:sz w:val="20"/>
                <w:szCs w:val="20"/>
                <w:lang w:val="en-US" w:eastAsia="nl-NL"/>
              </w:rPr>
              <w:t>2090 (58.6)</w:t>
            </w:r>
          </w:p>
        </w:tc>
        <w:tc>
          <w:tcPr>
            <w:tcW w:w="1843" w:type="dxa"/>
            <w:vAlign w:val="center"/>
          </w:tcPr>
          <w:p w14:paraId="7DD3547E" w14:textId="77777777" w:rsidR="000D44B8" w:rsidRPr="009824AD" w:rsidRDefault="000D44B8" w:rsidP="006E3A16">
            <w:pPr>
              <w:jc w:val="center"/>
              <w:rPr>
                <w:rFonts w:ascii="Helvetica" w:eastAsia="Times New Roman" w:hAnsi="Helvetica" w:cs="Calibri"/>
                <w:color w:val="000000" w:themeColor="text1"/>
                <w:sz w:val="20"/>
                <w:szCs w:val="20"/>
                <w:lang w:val="en-US" w:eastAsia="nl-NL"/>
              </w:rPr>
            </w:pPr>
            <w:r w:rsidRPr="009824AD">
              <w:rPr>
                <w:rFonts w:ascii="Helvetica" w:eastAsia="Times New Roman" w:hAnsi="Helvetica" w:cs="Calibri"/>
                <w:color w:val="000000" w:themeColor="text1"/>
                <w:sz w:val="20"/>
                <w:szCs w:val="20"/>
                <w:lang w:val="en-US" w:eastAsia="nl-NL"/>
              </w:rPr>
              <w:t>2084 (58.5)</w:t>
            </w:r>
          </w:p>
        </w:tc>
        <w:tc>
          <w:tcPr>
            <w:tcW w:w="850" w:type="dxa"/>
          </w:tcPr>
          <w:p w14:paraId="2F5D6C92" w14:textId="77777777" w:rsidR="000D44B8" w:rsidRPr="009824AD" w:rsidRDefault="000D44B8" w:rsidP="006E3A16">
            <w:pPr>
              <w:tabs>
                <w:tab w:val="left" w:pos="310"/>
              </w:tabs>
              <w:jc w:val="center"/>
              <w:rPr>
                <w:rFonts w:ascii="Helvetica" w:eastAsia="Times New Roman" w:hAnsi="Helvetica" w:cs="Calibri"/>
                <w:color w:val="000000" w:themeColor="text1"/>
                <w:sz w:val="20"/>
                <w:szCs w:val="20"/>
                <w:lang w:val="en-US" w:eastAsia="nl-NL"/>
              </w:rPr>
            </w:pPr>
            <w:r w:rsidRPr="009824AD">
              <w:rPr>
                <w:rFonts w:ascii="Helvetica" w:eastAsia="Times New Roman" w:hAnsi="Helvetica" w:cs="Calibri"/>
                <w:color w:val="000000" w:themeColor="text1"/>
                <w:sz w:val="20"/>
                <w:szCs w:val="20"/>
                <w:lang w:val="en-US" w:eastAsia="nl-NL"/>
              </w:rPr>
              <w:t>0.885</w:t>
            </w:r>
          </w:p>
        </w:tc>
        <w:tc>
          <w:tcPr>
            <w:tcW w:w="709" w:type="dxa"/>
          </w:tcPr>
          <w:p w14:paraId="2E1AEE30" w14:textId="77777777" w:rsidR="000D44B8" w:rsidRPr="009824AD" w:rsidRDefault="000D44B8" w:rsidP="006E3A16">
            <w:pPr>
              <w:tabs>
                <w:tab w:val="left" w:pos="310"/>
              </w:tabs>
              <w:jc w:val="center"/>
              <w:rPr>
                <w:rFonts w:ascii="Helvetica" w:eastAsia="Times New Roman" w:hAnsi="Helvetica" w:cs="Calibri"/>
                <w:color w:val="000000" w:themeColor="text1"/>
                <w:sz w:val="20"/>
                <w:szCs w:val="20"/>
                <w:lang w:val="en-US" w:eastAsia="nl-NL"/>
              </w:rPr>
            </w:pPr>
            <w:r w:rsidRPr="009824AD">
              <w:rPr>
                <w:rFonts w:ascii="Helvetica" w:eastAsia="Times New Roman" w:hAnsi="Helvetica" w:cs="Calibri"/>
                <w:color w:val="000000" w:themeColor="text1"/>
                <w:sz w:val="20"/>
                <w:szCs w:val="20"/>
                <w:lang w:val="en-US" w:eastAsia="nl-NL"/>
              </w:rPr>
              <w:t>0.00</w:t>
            </w:r>
          </w:p>
        </w:tc>
      </w:tr>
      <w:tr w:rsidR="000D44B8" w:rsidRPr="009824AD" w14:paraId="37B3B243" w14:textId="77777777" w:rsidTr="00C67DD2">
        <w:tc>
          <w:tcPr>
            <w:tcW w:w="4395" w:type="dxa"/>
            <w:tcBorders>
              <w:right w:val="single" w:sz="4" w:space="0" w:color="auto"/>
            </w:tcBorders>
            <w:vAlign w:val="center"/>
          </w:tcPr>
          <w:p w14:paraId="6AB64F90" w14:textId="77777777" w:rsidR="000D44B8" w:rsidRDefault="000D44B8" w:rsidP="006E3A16">
            <w:pPr>
              <w:ind w:left="170"/>
              <w:rPr>
                <w:rFonts w:ascii="Helvetica" w:eastAsia="Times New Roman" w:hAnsi="Helvetica" w:cs="Calibri"/>
                <w:sz w:val="20"/>
                <w:szCs w:val="20"/>
                <w:lang w:val="en-US" w:eastAsia="nl-NL"/>
              </w:rPr>
            </w:pPr>
            <w:r w:rsidRPr="009824AD">
              <w:rPr>
                <w:rFonts w:ascii="Helvetica" w:eastAsia="Times New Roman" w:hAnsi="Helvetica" w:cs="Calibri"/>
                <w:sz w:val="20"/>
                <w:szCs w:val="20"/>
                <w:lang w:val="en-US" w:eastAsia="nl-NL"/>
              </w:rPr>
              <w:t>BMI, kg/m</w:t>
            </w:r>
            <w:r w:rsidRPr="009824AD">
              <w:rPr>
                <w:rFonts w:ascii="Helvetica" w:eastAsia="Times New Roman" w:hAnsi="Helvetica" w:cs="Calibri"/>
                <w:sz w:val="20"/>
                <w:szCs w:val="20"/>
                <w:vertAlign w:val="superscript"/>
                <w:lang w:val="en-US" w:eastAsia="nl-NL"/>
              </w:rPr>
              <w:t>2</w:t>
            </w:r>
            <w:r w:rsidRPr="009824AD">
              <w:rPr>
                <w:rFonts w:ascii="Helvetica" w:eastAsia="Times New Roman" w:hAnsi="Helvetica" w:cs="Calibri"/>
                <w:sz w:val="20"/>
                <w:szCs w:val="20"/>
                <w:lang w:val="en-US" w:eastAsia="nl-NL"/>
              </w:rPr>
              <w:t>, median(</w:t>
            </w:r>
            <w:r w:rsidR="00493F8D" w:rsidRPr="009824AD">
              <w:rPr>
                <w:rFonts w:ascii="Helvetica" w:eastAsia="Times New Roman" w:hAnsi="Helvetica" w:cs="Calibri"/>
                <w:sz w:val="20"/>
                <w:szCs w:val="20"/>
                <w:lang w:val="en-US" w:eastAsia="nl-NL"/>
              </w:rPr>
              <w:t>IQR</w:t>
            </w:r>
            <w:r w:rsidRPr="009824AD">
              <w:rPr>
                <w:rFonts w:ascii="Helvetica" w:eastAsia="Times New Roman" w:hAnsi="Helvetica" w:cs="Calibri"/>
                <w:sz w:val="20"/>
                <w:szCs w:val="20"/>
                <w:lang w:val="en-US" w:eastAsia="nl-NL"/>
              </w:rPr>
              <w:t>)</w:t>
            </w:r>
          </w:p>
          <w:p w14:paraId="103B8538" w14:textId="09B544A2" w:rsidR="00F32683" w:rsidRPr="009824AD" w:rsidRDefault="00F32683" w:rsidP="006E3A16">
            <w:pPr>
              <w:ind w:left="170"/>
              <w:rPr>
                <w:rFonts w:ascii="Helvetica" w:eastAsia="Times New Roman" w:hAnsi="Helvetica" w:cs="Calibri"/>
                <w:sz w:val="20"/>
                <w:szCs w:val="20"/>
                <w:lang w:val="en-US" w:eastAsia="nl-NL"/>
              </w:rPr>
            </w:pPr>
            <w:r>
              <w:rPr>
                <w:rFonts w:ascii="Helvetica" w:eastAsia="Times New Roman" w:hAnsi="Helvetica" w:cs="Calibri"/>
                <w:i/>
                <w:iCs/>
                <w:color w:val="000000"/>
                <w:sz w:val="20"/>
                <w:szCs w:val="20"/>
                <w:lang w:val="en-US" w:eastAsia="nl-NL"/>
              </w:rPr>
              <w:t xml:space="preserve">  </w:t>
            </w:r>
            <w:r w:rsidRPr="00A5449C">
              <w:rPr>
                <w:rFonts w:ascii="Helvetica" w:eastAsia="Times New Roman" w:hAnsi="Helvetica" w:cs="Calibri"/>
                <w:i/>
                <w:iCs/>
                <w:color w:val="000000"/>
                <w:sz w:val="20"/>
                <w:szCs w:val="20"/>
                <w:lang w:val="en-US" w:eastAsia="nl-NL"/>
              </w:rPr>
              <w:t>Missing (%)</w:t>
            </w:r>
          </w:p>
        </w:tc>
        <w:tc>
          <w:tcPr>
            <w:tcW w:w="1842" w:type="dxa"/>
            <w:tcBorders>
              <w:left w:val="single" w:sz="4" w:space="0" w:color="auto"/>
            </w:tcBorders>
            <w:vAlign w:val="center"/>
          </w:tcPr>
          <w:p w14:paraId="555B816F" w14:textId="77777777" w:rsidR="000D44B8" w:rsidRDefault="000D44B8" w:rsidP="006E3A16">
            <w:pPr>
              <w:autoSpaceDE w:val="0"/>
              <w:autoSpaceDN w:val="0"/>
              <w:adjustRightInd w:val="0"/>
              <w:jc w:val="center"/>
              <w:rPr>
                <w:rFonts w:ascii="Helvetica" w:hAnsi="Helvetica" w:cs="Calibri"/>
                <w:sz w:val="20"/>
                <w:szCs w:val="20"/>
                <w:lang w:val="en-US"/>
              </w:rPr>
            </w:pPr>
            <w:r w:rsidRPr="009824AD">
              <w:rPr>
                <w:rFonts w:ascii="Helvetica" w:hAnsi="Helvetica" w:cs="Calibri"/>
                <w:sz w:val="20"/>
                <w:szCs w:val="20"/>
                <w:lang w:val="en-US"/>
              </w:rPr>
              <w:t>26.0 (23.3-28.4)</w:t>
            </w:r>
          </w:p>
          <w:p w14:paraId="56727E79" w14:textId="32816FF2" w:rsidR="00F32683" w:rsidRPr="009824AD" w:rsidRDefault="00F32683" w:rsidP="006E3A16">
            <w:pPr>
              <w:autoSpaceDE w:val="0"/>
              <w:autoSpaceDN w:val="0"/>
              <w:adjustRightInd w:val="0"/>
              <w:jc w:val="center"/>
              <w:rPr>
                <w:rFonts w:ascii="Helvetica" w:hAnsi="Helvetica" w:cs="Calibri"/>
                <w:sz w:val="20"/>
                <w:szCs w:val="20"/>
                <w:lang w:val="en-US"/>
              </w:rPr>
            </w:pPr>
            <w:r>
              <w:rPr>
                <w:rFonts w:ascii="Helvetica" w:eastAsia="Times New Roman" w:hAnsi="Helvetica" w:cs="Calibri"/>
                <w:sz w:val="20"/>
                <w:szCs w:val="20"/>
                <w:lang w:val="en-US" w:eastAsia="nl-NL"/>
              </w:rPr>
              <w:t>1678 (26.3)</w:t>
            </w:r>
          </w:p>
        </w:tc>
        <w:tc>
          <w:tcPr>
            <w:tcW w:w="1843" w:type="dxa"/>
            <w:vAlign w:val="center"/>
          </w:tcPr>
          <w:p w14:paraId="4B9DC7E9" w14:textId="77777777" w:rsidR="000D44B8" w:rsidRDefault="000D44B8" w:rsidP="006E3A16">
            <w:pPr>
              <w:autoSpaceDE w:val="0"/>
              <w:autoSpaceDN w:val="0"/>
              <w:adjustRightInd w:val="0"/>
              <w:jc w:val="center"/>
              <w:rPr>
                <w:rFonts w:ascii="Helvetica" w:hAnsi="Helvetica" w:cs="Calibri"/>
                <w:sz w:val="20"/>
                <w:szCs w:val="20"/>
                <w:lang w:val="en-US"/>
              </w:rPr>
            </w:pPr>
            <w:r w:rsidRPr="009824AD">
              <w:rPr>
                <w:rFonts w:ascii="Helvetica" w:hAnsi="Helvetica" w:cs="Calibri"/>
                <w:sz w:val="20"/>
                <w:szCs w:val="20"/>
                <w:lang w:val="en-US"/>
              </w:rPr>
              <w:t>25.4 (22.8 – 28.4)</w:t>
            </w:r>
          </w:p>
          <w:p w14:paraId="016ACC97" w14:textId="511D0FAC" w:rsidR="00F32683" w:rsidRPr="009824AD" w:rsidRDefault="00F32683" w:rsidP="006E3A16">
            <w:pPr>
              <w:autoSpaceDE w:val="0"/>
              <w:autoSpaceDN w:val="0"/>
              <w:adjustRightInd w:val="0"/>
              <w:jc w:val="center"/>
              <w:rPr>
                <w:rFonts w:ascii="Helvetica" w:hAnsi="Helvetica" w:cs="Calibri"/>
                <w:sz w:val="20"/>
                <w:szCs w:val="20"/>
                <w:lang w:val="en-US"/>
              </w:rPr>
            </w:pPr>
            <w:r>
              <w:rPr>
                <w:rFonts w:ascii="Helvetica" w:eastAsia="Times New Roman" w:hAnsi="Helvetica" w:cs="Calibri"/>
                <w:sz w:val="20"/>
                <w:szCs w:val="20"/>
                <w:lang w:val="en-US" w:eastAsia="nl-NL"/>
              </w:rPr>
              <w:t>3097 (44.2)</w:t>
            </w:r>
          </w:p>
        </w:tc>
        <w:tc>
          <w:tcPr>
            <w:tcW w:w="851" w:type="dxa"/>
          </w:tcPr>
          <w:p w14:paraId="79376E28" w14:textId="77777777" w:rsidR="000D44B8" w:rsidRPr="009824AD" w:rsidRDefault="000D44B8" w:rsidP="006E3A16">
            <w:pPr>
              <w:tabs>
                <w:tab w:val="left" w:pos="310"/>
              </w:tabs>
              <w:jc w:val="center"/>
              <w:rPr>
                <w:rFonts w:ascii="Helvetica" w:eastAsia="Times New Roman" w:hAnsi="Helvetica" w:cs="Calibri"/>
                <w:b/>
                <w:bCs/>
                <w:color w:val="000000"/>
                <w:sz w:val="20"/>
                <w:szCs w:val="20"/>
                <w:lang w:val="en-US" w:eastAsia="nl-NL"/>
              </w:rPr>
            </w:pPr>
            <w:r w:rsidRPr="009824AD">
              <w:rPr>
                <w:rFonts w:ascii="Helvetica" w:eastAsia="Times New Roman" w:hAnsi="Helvetica" w:cs="Calibri"/>
                <w:b/>
                <w:bCs/>
                <w:color w:val="000000"/>
                <w:sz w:val="20"/>
                <w:szCs w:val="20"/>
                <w:lang w:val="en-US" w:eastAsia="nl-NL"/>
              </w:rPr>
              <w:t>&lt;0.001</w:t>
            </w:r>
          </w:p>
        </w:tc>
        <w:tc>
          <w:tcPr>
            <w:tcW w:w="708" w:type="dxa"/>
            <w:tcBorders>
              <w:right w:val="single" w:sz="4" w:space="0" w:color="auto"/>
            </w:tcBorders>
          </w:tcPr>
          <w:p w14:paraId="5E89E24D" w14:textId="77777777" w:rsidR="000D44B8" w:rsidRPr="009824AD" w:rsidRDefault="000D44B8" w:rsidP="006E3A16">
            <w:pPr>
              <w:tabs>
                <w:tab w:val="left" w:pos="310"/>
              </w:tabs>
              <w:jc w:val="center"/>
              <w:rPr>
                <w:rFonts w:ascii="Helvetica" w:eastAsia="Times New Roman" w:hAnsi="Helvetica" w:cs="Calibri"/>
                <w:color w:val="000000"/>
                <w:sz w:val="20"/>
                <w:szCs w:val="20"/>
                <w:lang w:val="en-US" w:eastAsia="nl-NL"/>
              </w:rPr>
            </w:pPr>
            <w:r w:rsidRPr="009824AD">
              <w:rPr>
                <w:rFonts w:ascii="Helvetica" w:eastAsia="Times New Roman" w:hAnsi="Helvetica" w:cs="Calibri"/>
                <w:color w:val="000000" w:themeColor="text1"/>
                <w:sz w:val="20"/>
                <w:szCs w:val="20"/>
                <w:lang w:val="en-US" w:eastAsia="nl-NL"/>
              </w:rPr>
              <w:t>0.07</w:t>
            </w:r>
          </w:p>
        </w:tc>
        <w:tc>
          <w:tcPr>
            <w:tcW w:w="1843" w:type="dxa"/>
            <w:tcBorders>
              <w:left w:val="single" w:sz="4" w:space="0" w:color="auto"/>
            </w:tcBorders>
            <w:vAlign w:val="center"/>
          </w:tcPr>
          <w:p w14:paraId="6ABB8D65" w14:textId="77777777" w:rsidR="000D44B8" w:rsidRPr="009824AD" w:rsidRDefault="000D44B8" w:rsidP="006E3A16">
            <w:pPr>
              <w:autoSpaceDE w:val="0"/>
              <w:autoSpaceDN w:val="0"/>
              <w:adjustRightInd w:val="0"/>
              <w:jc w:val="center"/>
              <w:rPr>
                <w:rFonts w:ascii="Helvetica" w:hAnsi="Helvetica" w:cs="Calibri"/>
                <w:color w:val="000000" w:themeColor="text1"/>
                <w:sz w:val="20"/>
                <w:szCs w:val="20"/>
                <w:lang w:val="en-US"/>
              </w:rPr>
            </w:pPr>
            <w:r w:rsidRPr="009824AD">
              <w:rPr>
                <w:rFonts w:ascii="Helvetica" w:hAnsi="Helvetica" w:cs="Calibri"/>
                <w:color w:val="000000" w:themeColor="text1"/>
                <w:sz w:val="20"/>
                <w:szCs w:val="20"/>
                <w:lang w:val="en-US"/>
              </w:rPr>
              <w:t>26.0 (23.8-28.0)</w:t>
            </w:r>
          </w:p>
        </w:tc>
        <w:tc>
          <w:tcPr>
            <w:tcW w:w="1843" w:type="dxa"/>
            <w:vAlign w:val="center"/>
          </w:tcPr>
          <w:p w14:paraId="382C4B56" w14:textId="77777777" w:rsidR="000D44B8" w:rsidRPr="009824AD" w:rsidRDefault="000D44B8" w:rsidP="006E3A16">
            <w:pPr>
              <w:autoSpaceDE w:val="0"/>
              <w:autoSpaceDN w:val="0"/>
              <w:adjustRightInd w:val="0"/>
              <w:jc w:val="center"/>
              <w:rPr>
                <w:rFonts w:ascii="Helvetica" w:hAnsi="Helvetica" w:cs="Calibri"/>
                <w:color w:val="000000" w:themeColor="text1"/>
                <w:sz w:val="20"/>
                <w:szCs w:val="20"/>
                <w:lang w:val="en-US"/>
              </w:rPr>
            </w:pPr>
            <w:r w:rsidRPr="009824AD">
              <w:rPr>
                <w:rFonts w:ascii="Helvetica" w:hAnsi="Helvetica" w:cs="Calibri"/>
                <w:color w:val="000000" w:themeColor="text1"/>
                <w:sz w:val="20"/>
                <w:szCs w:val="20"/>
                <w:lang w:val="en-US"/>
              </w:rPr>
              <w:t>25.7 (23.7 – 27.9)</w:t>
            </w:r>
          </w:p>
        </w:tc>
        <w:tc>
          <w:tcPr>
            <w:tcW w:w="850" w:type="dxa"/>
          </w:tcPr>
          <w:p w14:paraId="1652EE72" w14:textId="77777777" w:rsidR="000D44B8" w:rsidRPr="009824AD" w:rsidRDefault="000D44B8" w:rsidP="006E3A16">
            <w:pPr>
              <w:tabs>
                <w:tab w:val="left" w:pos="310"/>
              </w:tabs>
              <w:jc w:val="center"/>
              <w:rPr>
                <w:rFonts w:ascii="Helvetica" w:eastAsia="Times New Roman" w:hAnsi="Helvetica" w:cs="Calibri"/>
                <w:b/>
                <w:bCs/>
                <w:color w:val="000000" w:themeColor="text1"/>
                <w:sz w:val="20"/>
                <w:szCs w:val="20"/>
                <w:lang w:val="en-US" w:eastAsia="nl-NL"/>
              </w:rPr>
            </w:pPr>
            <w:r w:rsidRPr="009824AD">
              <w:rPr>
                <w:rFonts w:ascii="Helvetica" w:eastAsia="Times New Roman" w:hAnsi="Helvetica" w:cs="Calibri"/>
                <w:b/>
                <w:bCs/>
                <w:color w:val="000000" w:themeColor="text1"/>
                <w:sz w:val="20"/>
                <w:szCs w:val="20"/>
                <w:lang w:val="en-US" w:eastAsia="nl-NL"/>
              </w:rPr>
              <w:t>0.033</w:t>
            </w:r>
          </w:p>
        </w:tc>
        <w:tc>
          <w:tcPr>
            <w:tcW w:w="709" w:type="dxa"/>
          </w:tcPr>
          <w:p w14:paraId="06925AD8" w14:textId="77777777" w:rsidR="000D44B8" w:rsidRPr="009824AD" w:rsidRDefault="000D44B8" w:rsidP="006E3A16">
            <w:pPr>
              <w:tabs>
                <w:tab w:val="left" w:pos="310"/>
              </w:tabs>
              <w:jc w:val="center"/>
              <w:rPr>
                <w:rFonts w:ascii="Helvetica" w:eastAsia="Times New Roman" w:hAnsi="Helvetica" w:cs="Calibri"/>
                <w:color w:val="000000" w:themeColor="text1"/>
                <w:sz w:val="20"/>
                <w:szCs w:val="20"/>
                <w:lang w:val="en-US" w:eastAsia="nl-NL"/>
              </w:rPr>
            </w:pPr>
            <w:r w:rsidRPr="009824AD">
              <w:rPr>
                <w:rFonts w:ascii="Helvetica" w:eastAsia="Times New Roman" w:hAnsi="Helvetica" w:cs="Calibri"/>
                <w:color w:val="000000" w:themeColor="text1"/>
                <w:sz w:val="20"/>
                <w:szCs w:val="20"/>
                <w:lang w:val="en-US" w:eastAsia="nl-NL"/>
              </w:rPr>
              <w:t>0.03</w:t>
            </w:r>
          </w:p>
        </w:tc>
      </w:tr>
      <w:tr w:rsidR="000D44B8" w:rsidRPr="009824AD" w14:paraId="1C4C7749" w14:textId="77777777" w:rsidTr="00C67DD2">
        <w:tc>
          <w:tcPr>
            <w:tcW w:w="4395" w:type="dxa"/>
            <w:tcBorders>
              <w:right w:val="single" w:sz="4" w:space="0" w:color="auto"/>
            </w:tcBorders>
            <w:vAlign w:val="center"/>
          </w:tcPr>
          <w:p w14:paraId="03CA8B1C" w14:textId="77777777" w:rsidR="000D44B8" w:rsidRPr="009824AD" w:rsidRDefault="000D44B8" w:rsidP="006E3A16">
            <w:pPr>
              <w:ind w:left="170"/>
              <w:rPr>
                <w:rFonts w:ascii="Helvetica" w:eastAsia="Times New Roman" w:hAnsi="Helvetica" w:cs="Calibri"/>
                <w:color w:val="000000"/>
                <w:sz w:val="20"/>
                <w:szCs w:val="20"/>
                <w:lang w:val="en-US" w:eastAsia="nl-NL"/>
              </w:rPr>
            </w:pPr>
            <w:r w:rsidRPr="009824AD">
              <w:rPr>
                <w:rFonts w:ascii="Helvetica" w:eastAsia="Times New Roman" w:hAnsi="Helvetica" w:cs="Calibri"/>
                <w:color w:val="000000"/>
                <w:sz w:val="20"/>
                <w:szCs w:val="20"/>
                <w:lang w:val="en-US" w:eastAsia="nl-NL"/>
              </w:rPr>
              <w:t>ASA grade</w:t>
            </w:r>
          </w:p>
          <w:p w14:paraId="0C4771B0" w14:textId="77777777" w:rsidR="000D44B8" w:rsidRPr="009824AD" w:rsidRDefault="000D44B8" w:rsidP="006E3A16">
            <w:pPr>
              <w:tabs>
                <w:tab w:val="left" w:pos="310"/>
              </w:tabs>
              <w:ind w:left="170"/>
              <w:contextualSpacing/>
              <w:rPr>
                <w:rFonts w:ascii="Helvetica" w:hAnsi="Helvetica" w:cs="Calibri"/>
                <w:sz w:val="20"/>
                <w:szCs w:val="20"/>
                <w:lang w:val="en-US"/>
              </w:rPr>
            </w:pPr>
            <w:r w:rsidRPr="009824AD">
              <w:rPr>
                <w:rFonts w:ascii="Helvetica" w:hAnsi="Helvetica" w:cs="Calibri"/>
                <w:color w:val="000000"/>
                <w:sz w:val="20"/>
                <w:szCs w:val="20"/>
                <w:lang w:val="en-US"/>
              </w:rPr>
              <w:tab/>
              <w:t>ASA 1 (%)</w:t>
            </w:r>
          </w:p>
          <w:p w14:paraId="2BE12F7A" w14:textId="77777777" w:rsidR="000D44B8" w:rsidRPr="009824AD" w:rsidRDefault="000D44B8" w:rsidP="006E3A16">
            <w:pPr>
              <w:tabs>
                <w:tab w:val="left" w:pos="310"/>
              </w:tabs>
              <w:ind w:left="170"/>
              <w:contextualSpacing/>
              <w:rPr>
                <w:rFonts w:ascii="Helvetica" w:hAnsi="Helvetica" w:cs="Calibri"/>
                <w:sz w:val="20"/>
                <w:szCs w:val="20"/>
                <w:lang w:val="en-US"/>
              </w:rPr>
            </w:pPr>
            <w:r w:rsidRPr="009824AD">
              <w:rPr>
                <w:rFonts w:ascii="Helvetica" w:hAnsi="Helvetica" w:cs="Calibri"/>
                <w:sz w:val="20"/>
                <w:szCs w:val="20"/>
                <w:lang w:val="en-US"/>
              </w:rPr>
              <w:tab/>
              <w:t>ASA 2 (%)</w:t>
            </w:r>
          </w:p>
          <w:p w14:paraId="78E71A2F" w14:textId="77777777" w:rsidR="000D44B8" w:rsidRPr="009824AD" w:rsidRDefault="000D44B8" w:rsidP="006E3A16">
            <w:pPr>
              <w:tabs>
                <w:tab w:val="left" w:pos="310"/>
              </w:tabs>
              <w:ind w:left="170"/>
              <w:contextualSpacing/>
              <w:rPr>
                <w:rFonts w:ascii="Helvetica" w:hAnsi="Helvetica" w:cs="Calibri"/>
                <w:sz w:val="20"/>
                <w:szCs w:val="20"/>
                <w:lang w:val="en-US"/>
              </w:rPr>
            </w:pPr>
            <w:r w:rsidRPr="009824AD">
              <w:rPr>
                <w:rFonts w:ascii="Helvetica" w:hAnsi="Helvetica" w:cs="Calibri"/>
                <w:sz w:val="20"/>
                <w:szCs w:val="20"/>
                <w:lang w:val="en-US"/>
              </w:rPr>
              <w:tab/>
              <w:t>ASA 3 (%)</w:t>
            </w:r>
          </w:p>
          <w:p w14:paraId="0A41C80C" w14:textId="77777777" w:rsidR="000D44B8" w:rsidRDefault="000D44B8" w:rsidP="006E3A16">
            <w:pPr>
              <w:tabs>
                <w:tab w:val="left" w:pos="310"/>
              </w:tabs>
              <w:ind w:left="170"/>
              <w:contextualSpacing/>
              <w:rPr>
                <w:rFonts w:ascii="Helvetica" w:hAnsi="Helvetica" w:cs="Calibri"/>
                <w:sz w:val="20"/>
                <w:szCs w:val="20"/>
                <w:lang w:val="en-US"/>
              </w:rPr>
            </w:pPr>
            <w:r w:rsidRPr="009824AD">
              <w:rPr>
                <w:rFonts w:ascii="Helvetica" w:hAnsi="Helvetica" w:cs="Calibri"/>
                <w:sz w:val="20"/>
                <w:szCs w:val="20"/>
                <w:lang w:val="en-US"/>
              </w:rPr>
              <w:tab/>
            </w:r>
            <w:bookmarkStart w:id="7" w:name="OLE_LINK5"/>
            <w:bookmarkStart w:id="8" w:name="OLE_LINK6"/>
            <w:r w:rsidRPr="009824AD">
              <w:rPr>
                <w:rFonts w:ascii="Helvetica" w:hAnsi="Helvetica" w:cs="Calibri"/>
                <w:sz w:val="20"/>
                <w:szCs w:val="20"/>
                <w:lang w:val="en-US"/>
              </w:rPr>
              <w:t>ASA 4 (%)</w:t>
            </w:r>
            <w:bookmarkEnd w:id="7"/>
            <w:bookmarkEnd w:id="8"/>
          </w:p>
          <w:p w14:paraId="54E4661F" w14:textId="4B7C6859" w:rsidR="00F32683" w:rsidRPr="009824AD" w:rsidRDefault="00F32683" w:rsidP="006E3A16">
            <w:pPr>
              <w:tabs>
                <w:tab w:val="left" w:pos="310"/>
              </w:tabs>
              <w:ind w:left="170"/>
              <w:contextualSpacing/>
              <w:rPr>
                <w:rFonts w:ascii="Helvetica" w:hAnsi="Helvetica" w:cs="Calibri"/>
                <w:sz w:val="20"/>
                <w:szCs w:val="20"/>
                <w:lang w:val="en-US"/>
              </w:rPr>
            </w:pPr>
            <w:r>
              <w:rPr>
                <w:rFonts w:ascii="Helvetica" w:eastAsia="Times New Roman" w:hAnsi="Helvetica" w:cs="Calibri"/>
                <w:i/>
                <w:iCs/>
                <w:color w:val="000000"/>
                <w:sz w:val="20"/>
                <w:szCs w:val="20"/>
                <w:lang w:val="en-US" w:eastAsia="nl-NL"/>
              </w:rPr>
              <w:tab/>
            </w:r>
            <w:r w:rsidRPr="00A5449C">
              <w:rPr>
                <w:rFonts w:ascii="Helvetica" w:eastAsia="Times New Roman" w:hAnsi="Helvetica" w:cs="Calibri"/>
                <w:i/>
                <w:iCs/>
                <w:color w:val="000000"/>
                <w:sz w:val="20"/>
                <w:szCs w:val="20"/>
                <w:lang w:val="en-US" w:eastAsia="nl-NL"/>
              </w:rPr>
              <w:t>Missing (%)</w:t>
            </w:r>
          </w:p>
        </w:tc>
        <w:tc>
          <w:tcPr>
            <w:tcW w:w="1842" w:type="dxa"/>
            <w:tcBorders>
              <w:left w:val="single" w:sz="4" w:space="0" w:color="auto"/>
            </w:tcBorders>
            <w:vAlign w:val="center"/>
          </w:tcPr>
          <w:p w14:paraId="592EA693" w14:textId="77777777" w:rsidR="000D44B8" w:rsidRPr="009824AD" w:rsidRDefault="000D44B8" w:rsidP="006E3A16">
            <w:pPr>
              <w:jc w:val="center"/>
              <w:rPr>
                <w:rFonts w:ascii="Helvetica" w:eastAsia="Times New Roman" w:hAnsi="Helvetica" w:cs="Calibri"/>
                <w:sz w:val="20"/>
                <w:szCs w:val="20"/>
                <w:lang w:val="en-US" w:eastAsia="nl-NL"/>
              </w:rPr>
            </w:pPr>
          </w:p>
          <w:p w14:paraId="6DB94425" w14:textId="77777777" w:rsidR="000D44B8" w:rsidRPr="009824AD" w:rsidRDefault="000D44B8" w:rsidP="006E3A16">
            <w:pPr>
              <w:jc w:val="center"/>
              <w:rPr>
                <w:rFonts w:ascii="Helvetica" w:eastAsia="Times New Roman" w:hAnsi="Helvetica" w:cs="Calibri"/>
                <w:sz w:val="20"/>
                <w:szCs w:val="20"/>
                <w:lang w:val="en-US" w:eastAsia="nl-NL"/>
              </w:rPr>
            </w:pPr>
            <w:r w:rsidRPr="009824AD">
              <w:rPr>
                <w:rFonts w:ascii="Helvetica" w:eastAsia="Times New Roman" w:hAnsi="Helvetica" w:cs="Calibri"/>
                <w:sz w:val="20"/>
                <w:szCs w:val="20"/>
                <w:lang w:val="en-US" w:eastAsia="nl-NL"/>
              </w:rPr>
              <w:t>433 (7.9)</w:t>
            </w:r>
          </w:p>
          <w:p w14:paraId="77782B1C" w14:textId="77777777" w:rsidR="000D44B8" w:rsidRPr="009824AD" w:rsidRDefault="000D44B8" w:rsidP="006E3A16">
            <w:pPr>
              <w:jc w:val="center"/>
              <w:rPr>
                <w:rFonts w:ascii="Helvetica" w:eastAsia="Times New Roman" w:hAnsi="Helvetica" w:cs="Calibri"/>
                <w:sz w:val="20"/>
                <w:szCs w:val="20"/>
                <w:lang w:val="en-US" w:eastAsia="nl-NL"/>
              </w:rPr>
            </w:pPr>
            <w:r w:rsidRPr="009824AD">
              <w:rPr>
                <w:rFonts w:ascii="Helvetica" w:eastAsia="Times New Roman" w:hAnsi="Helvetica" w:cs="Calibri"/>
                <w:sz w:val="20"/>
                <w:szCs w:val="20"/>
                <w:lang w:val="en-US" w:eastAsia="nl-NL"/>
              </w:rPr>
              <w:t>3243 (59.2)</w:t>
            </w:r>
          </w:p>
          <w:p w14:paraId="581AD21F" w14:textId="77777777" w:rsidR="000D44B8" w:rsidRPr="009824AD" w:rsidRDefault="000D44B8" w:rsidP="006E3A16">
            <w:pPr>
              <w:jc w:val="center"/>
              <w:rPr>
                <w:rFonts w:ascii="Helvetica" w:eastAsia="Times New Roman" w:hAnsi="Helvetica" w:cs="Calibri"/>
                <w:sz w:val="20"/>
                <w:szCs w:val="20"/>
                <w:lang w:val="en-US" w:eastAsia="nl-NL"/>
              </w:rPr>
            </w:pPr>
            <w:r w:rsidRPr="009824AD">
              <w:rPr>
                <w:rFonts w:ascii="Helvetica" w:eastAsia="Times New Roman" w:hAnsi="Helvetica" w:cs="Calibri"/>
                <w:sz w:val="20"/>
                <w:szCs w:val="20"/>
                <w:lang w:val="en-US" w:eastAsia="nl-NL"/>
              </w:rPr>
              <w:t>1753 (32.0)</w:t>
            </w:r>
          </w:p>
          <w:p w14:paraId="7B6C6955" w14:textId="77777777" w:rsidR="000D44B8" w:rsidRDefault="000D44B8" w:rsidP="006E3A16">
            <w:pPr>
              <w:jc w:val="center"/>
              <w:rPr>
                <w:rFonts w:ascii="Helvetica" w:eastAsia="Times New Roman" w:hAnsi="Helvetica" w:cs="Calibri"/>
                <w:sz w:val="20"/>
                <w:szCs w:val="20"/>
                <w:lang w:val="en-US" w:eastAsia="nl-NL"/>
              </w:rPr>
            </w:pPr>
            <w:r w:rsidRPr="009824AD">
              <w:rPr>
                <w:rFonts w:ascii="Helvetica" w:eastAsia="Times New Roman" w:hAnsi="Helvetica" w:cs="Calibri"/>
                <w:sz w:val="20"/>
                <w:szCs w:val="20"/>
                <w:lang w:val="en-US" w:eastAsia="nl-NL"/>
              </w:rPr>
              <w:t>53 (1.0)</w:t>
            </w:r>
          </w:p>
          <w:p w14:paraId="17FBE055" w14:textId="3A4365D8" w:rsidR="00F32683" w:rsidRPr="009824AD" w:rsidRDefault="00F32683" w:rsidP="006E3A16">
            <w:pPr>
              <w:jc w:val="center"/>
              <w:rPr>
                <w:rFonts w:ascii="Helvetica" w:eastAsia="Times New Roman" w:hAnsi="Helvetica" w:cs="Calibri"/>
                <w:sz w:val="20"/>
                <w:szCs w:val="20"/>
                <w:lang w:val="en-US" w:eastAsia="nl-NL"/>
              </w:rPr>
            </w:pPr>
            <w:r>
              <w:rPr>
                <w:rFonts w:ascii="Helvetica" w:eastAsia="Times New Roman" w:hAnsi="Helvetica" w:cs="Calibri"/>
                <w:sz w:val="20"/>
                <w:szCs w:val="20"/>
                <w:lang w:val="en-US" w:eastAsia="nl-NL"/>
              </w:rPr>
              <w:t>889 (14.0)</w:t>
            </w:r>
          </w:p>
        </w:tc>
        <w:tc>
          <w:tcPr>
            <w:tcW w:w="1843" w:type="dxa"/>
            <w:vAlign w:val="center"/>
          </w:tcPr>
          <w:p w14:paraId="34D9D407" w14:textId="77777777" w:rsidR="000D44B8" w:rsidRPr="009824AD" w:rsidRDefault="000D44B8" w:rsidP="006E3A16">
            <w:pPr>
              <w:jc w:val="center"/>
              <w:rPr>
                <w:rFonts w:ascii="Helvetica" w:eastAsia="Times New Roman" w:hAnsi="Helvetica" w:cs="Calibri"/>
                <w:sz w:val="20"/>
                <w:szCs w:val="20"/>
                <w:lang w:val="en-US" w:eastAsia="nl-NL"/>
              </w:rPr>
            </w:pPr>
          </w:p>
          <w:p w14:paraId="23A7DE65" w14:textId="77777777" w:rsidR="000D44B8" w:rsidRPr="009824AD" w:rsidRDefault="000D44B8" w:rsidP="006E3A16">
            <w:pPr>
              <w:jc w:val="center"/>
              <w:rPr>
                <w:rFonts w:ascii="Helvetica" w:eastAsia="Times New Roman" w:hAnsi="Helvetica" w:cs="Calibri"/>
                <w:sz w:val="20"/>
                <w:szCs w:val="20"/>
                <w:lang w:val="en-US" w:eastAsia="nl-NL"/>
              </w:rPr>
            </w:pPr>
            <w:r w:rsidRPr="009824AD">
              <w:rPr>
                <w:rFonts w:ascii="Helvetica" w:eastAsia="Times New Roman" w:hAnsi="Helvetica" w:cs="Calibri"/>
                <w:sz w:val="20"/>
                <w:szCs w:val="20"/>
                <w:lang w:val="en-US" w:eastAsia="nl-NL"/>
              </w:rPr>
              <w:t>632 (11.4)</w:t>
            </w:r>
          </w:p>
          <w:p w14:paraId="7A0B97F6" w14:textId="77777777" w:rsidR="000D44B8" w:rsidRPr="009824AD" w:rsidRDefault="000D44B8" w:rsidP="006E3A16">
            <w:pPr>
              <w:jc w:val="center"/>
              <w:rPr>
                <w:rFonts w:ascii="Helvetica" w:eastAsia="Times New Roman" w:hAnsi="Helvetica" w:cs="Calibri"/>
                <w:sz w:val="20"/>
                <w:szCs w:val="20"/>
                <w:lang w:val="en-US" w:eastAsia="nl-NL"/>
              </w:rPr>
            </w:pPr>
            <w:r w:rsidRPr="009824AD">
              <w:rPr>
                <w:rFonts w:ascii="Helvetica" w:eastAsia="Times New Roman" w:hAnsi="Helvetica" w:cs="Calibri"/>
                <w:sz w:val="20"/>
                <w:szCs w:val="20"/>
                <w:lang w:val="en-US" w:eastAsia="nl-NL"/>
              </w:rPr>
              <w:t>2880 (51.8)</w:t>
            </w:r>
          </w:p>
          <w:p w14:paraId="29D1BF51" w14:textId="77777777" w:rsidR="000D44B8" w:rsidRPr="009824AD" w:rsidRDefault="000D44B8" w:rsidP="006E3A16">
            <w:pPr>
              <w:jc w:val="center"/>
              <w:rPr>
                <w:rFonts w:ascii="Helvetica" w:eastAsia="Times New Roman" w:hAnsi="Helvetica" w:cs="Calibri"/>
                <w:sz w:val="20"/>
                <w:szCs w:val="20"/>
                <w:lang w:val="en-US" w:eastAsia="nl-NL"/>
              </w:rPr>
            </w:pPr>
            <w:r w:rsidRPr="009824AD">
              <w:rPr>
                <w:rFonts w:ascii="Helvetica" w:eastAsia="Times New Roman" w:hAnsi="Helvetica" w:cs="Calibri"/>
                <w:sz w:val="20"/>
                <w:szCs w:val="20"/>
                <w:lang w:val="en-US" w:eastAsia="nl-NL"/>
              </w:rPr>
              <w:t>1955 (35.2)</w:t>
            </w:r>
          </w:p>
          <w:p w14:paraId="0A1826FB" w14:textId="77777777" w:rsidR="000D44B8" w:rsidRDefault="000D44B8" w:rsidP="006E3A16">
            <w:pPr>
              <w:jc w:val="center"/>
              <w:rPr>
                <w:rFonts w:ascii="Helvetica" w:eastAsia="Times New Roman" w:hAnsi="Helvetica" w:cs="Calibri"/>
                <w:sz w:val="20"/>
                <w:szCs w:val="20"/>
                <w:lang w:val="en-US" w:eastAsia="nl-NL"/>
              </w:rPr>
            </w:pPr>
            <w:r w:rsidRPr="009824AD">
              <w:rPr>
                <w:rFonts w:ascii="Helvetica" w:eastAsia="Times New Roman" w:hAnsi="Helvetica" w:cs="Calibri"/>
                <w:sz w:val="20"/>
                <w:szCs w:val="20"/>
                <w:lang w:val="en-US" w:eastAsia="nl-NL"/>
              </w:rPr>
              <w:t>87 (1.6)</w:t>
            </w:r>
          </w:p>
          <w:p w14:paraId="6EA53F25" w14:textId="22FE70F2" w:rsidR="00F32683" w:rsidRPr="009824AD" w:rsidRDefault="00F32683" w:rsidP="006E3A16">
            <w:pPr>
              <w:jc w:val="center"/>
              <w:rPr>
                <w:rFonts w:ascii="Helvetica" w:eastAsia="Times New Roman" w:hAnsi="Helvetica" w:cs="Calibri"/>
                <w:sz w:val="20"/>
                <w:szCs w:val="20"/>
                <w:lang w:val="en-US" w:eastAsia="nl-NL"/>
              </w:rPr>
            </w:pPr>
            <w:r>
              <w:rPr>
                <w:rFonts w:ascii="Helvetica" w:eastAsia="Times New Roman" w:hAnsi="Helvetica" w:cs="Calibri"/>
                <w:sz w:val="20"/>
                <w:szCs w:val="20"/>
                <w:lang w:val="en-US" w:eastAsia="nl-NL"/>
              </w:rPr>
              <w:t>1455 (20.8)</w:t>
            </w:r>
          </w:p>
        </w:tc>
        <w:tc>
          <w:tcPr>
            <w:tcW w:w="851" w:type="dxa"/>
          </w:tcPr>
          <w:p w14:paraId="54745B89" w14:textId="77777777" w:rsidR="000D44B8" w:rsidRPr="009824AD" w:rsidRDefault="000D44B8" w:rsidP="006E3A16">
            <w:pPr>
              <w:tabs>
                <w:tab w:val="left" w:pos="310"/>
              </w:tabs>
              <w:jc w:val="center"/>
              <w:rPr>
                <w:rFonts w:ascii="Helvetica" w:eastAsia="Times New Roman" w:hAnsi="Helvetica" w:cs="Calibri"/>
                <w:b/>
                <w:bCs/>
                <w:color w:val="000000"/>
                <w:sz w:val="20"/>
                <w:szCs w:val="20"/>
                <w:lang w:val="en-US" w:eastAsia="nl-NL"/>
              </w:rPr>
            </w:pPr>
            <w:r w:rsidRPr="009824AD">
              <w:rPr>
                <w:rFonts w:ascii="Helvetica" w:eastAsia="Times New Roman" w:hAnsi="Helvetica" w:cs="Calibri"/>
                <w:b/>
                <w:bCs/>
                <w:color w:val="000000"/>
                <w:sz w:val="20"/>
                <w:szCs w:val="20"/>
                <w:lang w:val="en-US" w:eastAsia="nl-NL"/>
              </w:rPr>
              <w:t>&lt;0.001</w:t>
            </w:r>
          </w:p>
        </w:tc>
        <w:tc>
          <w:tcPr>
            <w:tcW w:w="708" w:type="dxa"/>
            <w:tcBorders>
              <w:right w:val="single" w:sz="4" w:space="0" w:color="auto"/>
            </w:tcBorders>
          </w:tcPr>
          <w:p w14:paraId="0EE88298" w14:textId="77777777" w:rsidR="000D44B8" w:rsidRPr="009824AD" w:rsidRDefault="000D44B8" w:rsidP="006E3A16">
            <w:pPr>
              <w:tabs>
                <w:tab w:val="left" w:pos="310"/>
              </w:tabs>
              <w:jc w:val="center"/>
              <w:rPr>
                <w:rFonts w:ascii="Helvetica" w:eastAsia="Times New Roman" w:hAnsi="Helvetica" w:cs="Calibri"/>
                <w:color w:val="000000"/>
                <w:sz w:val="20"/>
                <w:szCs w:val="20"/>
                <w:lang w:val="en-US" w:eastAsia="nl-NL"/>
              </w:rPr>
            </w:pPr>
            <w:r w:rsidRPr="009824AD">
              <w:rPr>
                <w:rFonts w:ascii="Helvetica" w:eastAsia="Times New Roman" w:hAnsi="Helvetica" w:cs="Calibri"/>
                <w:color w:val="000000"/>
                <w:sz w:val="20"/>
                <w:szCs w:val="20"/>
                <w:lang w:val="en-US" w:eastAsia="nl-NL"/>
              </w:rPr>
              <w:t>0.01</w:t>
            </w:r>
          </w:p>
        </w:tc>
        <w:tc>
          <w:tcPr>
            <w:tcW w:w="1843" w:type="dxa"/>
            <w:tcBorders>
              <w:left w:val="single" w:sz="4" w:space="0" w:color="auto"/>
            </w:tcBorders>
            <w:vAlign w:val="center"/>
          </w:tcPr>
          <w:p w14:paraId="08E6C34F" w14:textId="77777777" w:rsidR="000D44B8" w:rsidRPr="009824AD" w:rsidRDefault="000D44B8" w:rsidP="006E3A16">
            <w:pPr>
              <w:jc w:val="center"/>
              <w:rPr>
                <w:rFonts w:ascii="Helvetica" w:eastAsia="Times New Roman" w:hAnsi="Helvetica" w:cs="Calibri"/>
                <w:color w:val="000000" w:themeColor="text1"/>
                <w:sz w:val="20"/>
                <w:szCs w:val="20"/>
                <w:lang w:val="en-US" w:eastAsia="nl-NL"/>
              </w:rPr>
            </w:pPr>
          </w:p>
          <w:p w14:paraId="17DF691F" w14:textId="77777777" w:rsidR="000D44B8" w:rsidRPr="009824AD" w:rsidRDefault="000D44B8" w:rsidP="006E3A16">
            <w:pPr>
              <w:jc w:val="center"/>
              <w:rPr>
                <w:rFonts w:ascii="Helvetica" w:eastAsia="Times New Roman" w:hAnsi="Helvetica" w:cs="Calibri"/>
                <w:color w:val="000000" w:themeColor="text1"/>
                <w:sz w:val="20"/>
                <w:szCs w:val="20"/>
                <w:lang w:val="en-US" w:eastAsia="nl-NL"/>
              </w:rPr>
            </w:pPr>
            <w:r w:rsidRPr="009824AD">
              <w:rPr>
                <w:rFonts w:ascii="Helvetica" w:eastAsia="Times New Roman" w:hAnsi="Helvetica" w:cs="Calibri"/>
                <w:color w:val="000000" w:themeColor="text1"/>
                <w:sz w:val="20"/>
                <w:szCs w:val="20"/>
                <w:lang w:val="en-US" w:eastAsia="nl-NL"/>
              </w:rPr>
              <w:t>324 (9.1)</w:t>
            </w:r>
          </w:p>
          <w:p w14:paraId="70D07F4F" w14:textId="77777777" w:rsidR="000D44B8" w:rsidRPr="009824AD" w:rsidRDefault="000D44B8" w:rsidP="006E3A16">
            <w:pPr>
              <w:jc w:val="center"/>
              <w:rPr>
                <w:rFonts w:ascii="Helvetica" w:eastAsia="Times New Roman" w:hAnsi="Helvetica" w:cs="Calibri"/>
                <w:color w:val="000000" w:themeColor="text1"/>
                <w:sz w:val="20"/>
                <w:szCs w:val="20"/>
                <w:lang w:val="en-US" w:eastAsia="nl-NL"/>
              </w:rPr>
            </w:pPr>
            <w:r w:rsidRPr="009824AD">
              <w:rPr>
                <w:rFonts w:ascii="Helvetica" w:eastAsia="Times New Roman" w:hAnsi="Helvetica" w:cs="Calibri"/>
                <w:color w:val="000000" w:themeColor="text1"/>
                <w:sz w:val="20"/>
                <w:szCs w:val="20"/>
                <w:lang w:val="en-US" w:eastAsia="nl-NL"/>
              </w:rPr>
              <w:t>1996 (56.0)</w:t>
            </w:r>
          </w:p>
          <w:p w14:paraId="09B0EA9F" w14:textId="77777777" w:rsidR="000D44B8" w:rsidRPr="009824AD" w:rsidRDefault="000D44B8" w:rsidP="006E3A16">
            <w:pPr>
              <w:jc w:val="center"/>
              <w:rPr>
                <w:rFonts w:ascii="Helvetica" w:eastAsia="Times New Roman" w:hAnsi="Helvetica" w:cs="Calibri"/>
                <w:color w:val="000000" w:themeColor="text1"/>
                <w:sz w:val="20"/>
                <w:szCs w:val="20"/>
                <w:lang w:val="en-US" w:eastAsia="nl-NL"/>
              </w:rPr>
            </w:pPr>
            <w:r w:rsidRPr="009824AD">
              <w:rPr>
                <w:rFonts w:ascii="Helvetica" w:eastAsia="Times New Roman" w:hAnsi="Helvetica" w:cs="Calibri"/>
                <w:color w:val="000000" w:themeColor="text1"/>
                <w:sz w:val="20"/>
                <w:szCs w:val="20"/>
                <w:lang w:val="en-US" w:eastAsia="nl-NL"/>
              </w:rPr>
              <w:t>1204 (33.8)</w:t>
            </w:r>
          </w:p>
          <w:p w14:paraId="63257F0C" w14:textId="77777777" w:rsidR="000D44B8" w:rsidRPr="009824AD" w:rsidRDefault="000D44B8" w:rsidP="006E3A16">
            <w:pPr>
              <w:jc w:val="center"/>
              <w:rPr>
                <w:rFonts w:ascii="Helvetica" w:eastAsia="Times New Roman" w:hAnsi="Helvetica" w:cs="Calibri"/>
                <w:color w:val="000000" w:themeColor="text1"/>
                <w:sz w:val="20"/>
                <w:szCs w:val="20"/>
                <w:lang w:val="en-US" w:eastAsia="nl-NL"/>
              </w:rPr>
            </w:pPr>
            <w:r w:rsidRPr="009824AD">
              <w:rPr>
                <w:rFonts w:ascii="Helvetica" w:eastAsia="Times New Roman" w:hAnsi="Helvetica" w:cs="Calibri"/>
                <w:color w:val="000000" w:themeColor="text1"/>
                <w:sz w:val="20"/>
                <w:szCs w:val="20"/>
                <w:lang w:val="en-US" w:eastAsia="nl-NL"/>
              </w:rPr>
              <w:t>41 (1.2)</w:t>
            </w:r>
          </w:p>
        </w:tc>
        <w:tc>
          <w:tcPr>
            <w:tcW w:w="1843" w:type="dxa"/>
            <w:vAlign w:val="center"/>
          </w:tcPr>
          <w:p w14:paraId="3087CC6C" w14:textId="77777777" w:rsidR="000D44B8" w:rsidRPr="009824AD" w:rsidRDefault="000D44B8" w:rsidP="006E3A16">
            <w:pPr>
              <w:jc w:val="center"/>
              <w:rPr>
                <w:rFonts w:ascii="Helvetica" w:eastAsia="Times New Roman" w:hAnsi="Helvetica" w:cs="Calibri"/>
                <w:color w:val="000000" w:themeColor="text1"/>
                <w:sz w:val="20"/>
                <w:szCs w:val="20"/>
                <w:lang w:val="en-US" w:eastAsia="nl-NL"/>
              </w:rPr>
            </w:pPr>
          </w:p>
          <w:p w14:paraId="64BA15A3" w14:textId="77777777" w:rsidR="000D44B8" w:rsidRPr="009824AD" w:rsidRDefault="000D44B8" w:rsidP="006E3A16">
            <w:pPr>
              <w:jc w:val="center"/>
              <w:rPr>
                <w:rFonts w:ascii="Helvetica" w:eastAsia="Times New Roman" w:hAnsi="Helvetica" w:cs="Calibri"/>
                <w:color w:val="000000" w:themeColor="text1"/>
                <w:sz w:val="20"/>
                <w:szCs w:val="20"/>
                <w:lang w:val="en-US" w:eastAsia="nl-NL"/>
              </w:rPr>
            </w:pPr>
            <w:r w:rsidRPr="009824AD">
              <w:rPr>
                <w:rFonts w:ascii="Helvetica" w:eastAsia="Times New Roman" w:hAnsi="Helvetica" w:cs="Calibri"/>
                <w:color w:val="000000" w:themeColor="text1"/>
                <w:sz w:val="20"/>
                <w:szCs w:val="20"/>
                <w:lang w:val="en-US" w:eastAsia="nl-NL"/>
              </w:rPr>
              <w:t>331 (9.3)</w:t>
            </w:r>
          </w:p>
          <w:p w14:paraId="51DCF637" w14:textId="77777777" w:rsidR="000D44B8" w:rsidRPr="009824AD" w:rsidRDefault="000D44B8" w:rsidP="006E3A16">
            <w:pPr>
              <w:jc w:val="center"/>
              <w:rPr>
                <w:rFonts w:ascii="Helvetica" w:eastAsia="Times New Roman" w:hAnsi="Helvetica" w:cs="Calibri"/>
                <w:color w:val="000000" w:themeColor="text1"/>
                <w:sz w:val="20"/>
                <w:szCs w:val="20"/>
                <w:lang w:val="en-US" w:eastAsia="nl-NL"/>
              </w:rPr>
            </w:pPr>
            <w:r w:rsidRPr="009824AD">
              <w:rPr>
                <w:rFonts w:ascii="Helvetica" w:eastAsia="Times New Roman" w:hAnsi="Helvetica" w:cs="Calibri"/>
                <w:color w:val="000000" w:themeColor="text1"/>
                <w:sz w:val="20"/>
                <w:szCs w:val="20"/>
                <w:lang w:val="en-US" w:eastAsia="nl-NL"/>
              </w:rPr>
              <w:t>2010 (56.4)</w:t>
            </w:r>
          </w:p>
          <w:p w14:paraId="24DE7A51" w14:textId="77777777" w:rsidR="000D44B8" w:rsidRPr="009824AD" w:rsidRDefault="000D44B8" w:rsidP="006E3A16">
            <w:pPr>
              <w:jc w:val="center"/>
              <w:rPr>
                <w:rFonts w:ascii="Helvetica" w:eastAsia="Times New Roman" w:hAnsi="Helvetica" w:cs="Calibri"/>
                <w:color w:val="000000" w:themeColor="text1"/>
                <w:sz w:val="20"/>
                <w:szCs w:val="20"/>
                <w:lang w:val="en-US" w:eastAsia="nl-NL"/>
              </w:rPr>
            </w:pPr>
            <w:r w:rsidRPr="009824AD">
              <w:rPr>
                <w:rFonts w:ascii="Helvetica" w:eastAsia="Times New Roman" w:hAnsi="Helvetica" w:cs="Calibri"/>
                <w:color w:val="000000" w:themeColor="text1"/>
                <w:sz w:val="20"/>
                <w:szCs w:val="20"/>
                <w:lang w:val="en-US" w:eastAsia="nl-NL"/>
              </w:rPr>
              <w:t>1186 (33.3)</w:t>
            </w:r>
          </w:p>
          <w:p w14:paraId="06074335" w14:textId="77777777" w:rsidR="000D44B8" w:rsidRPr="009824AD" w:rsidRDefault="000D44B8" w:rsidP="006E3A16">
            <w:pPr>
              <w:jc w:val="center"/>
              <w:rPr>
                <w:rFonts w:ascii="Helvetica" w:eastAsia="Times New Roman" w:hAnsi="Helvetica" w:cs="Calibri"/>
                <w:color w:val="000000" w:themeColor="text1"/>
                <w:sz w:val="20"/>
                <w:szCs w:val="20"/>
                <w:lang w:val="en-US" w:eastAsia="nl-NL"/>
              </w:rPr>
            </w:pPr>
            <w:r w:rsidRPr="009824AD">
              <w:rPr>
                <w:rFonts w:ascii="Helvetica" w:eastAsia="Times New Roman" w:hAnsi="Helvetica" w:cs="Calibri"/>
                <w:color w:val="000000" w:themeColor="text1"/>
                <w:sz w:val="20"/>
                <w:szCs w:val="20"/>
                <w:lang w:val="en-US" w:eastAsia="nl-NL"/>
              </w:rPr>
              <w:t>38 (1.1)</w:t>
            </w:r>
          </w:p>
        </w:tc>
        <w:tc>
          <w:tcPr>
            <w:tcW w:w="850" w:type="dxa"/>
          </w:tcPr>
          <w:p w14:paraId="5FA9EA32" w14:textId="77777777" w:rsidR="000D44B8" w:rsidRPr="009824AD" w:rsidRDefault="000D44B8" w:rsidP="006E3A16">
            <w:pPr>
              <w:tabs>
                <w:tab w:val="left" w:pos="310"/>
              </w:tabs>
              <w:jc w:val="center"/>
              <w:rPr>
                <w:rFonts w:ascii="Helvetica" w:eastAsia="Times New Roman" w:hAnsi="Helvetica" w:cs="Calibri"/>
                <w:color w:val="000000" w:themeColor="text1"/>
                <w:sz w:val="20"/>
                <w:szCs w:val="20"/>
                <w:lang w:val="en-US" w:eastAsia="nl-NL"/>
              </w:rPr>
            </w:pPr>
            <w:r w:rsidRPr="009824AD">
              <w:rPr>
                <w:rFonts w:ascii="Helvetica" w:eastAsia="Times New Roman" w:hAnsi="Helvetica" w:cs="Calibri"/>
                <w:color w:val="000000" w:themeColor="text1"/>
                <w:sz w:val="20"/>
                <w:szCs w:val="20"/>
                <w:lang w:val="en-US" w:eastAsia="nl-NL"/>
              </w:rPr>
              <w:t>0.946</w:t>
            </w:r>
          </w:p>
        </w:tc>
        <w:tc>
          <w:tcPr>
            <w:tcW w:w="709" w:type="dxa"/>
          </w:tcPr>
          <w:p w14:paraId="148A64DF" w14:textId="77777777" w:rsidR="000D44B8" w:rsidRPr="009824AD" w:rsidRDefault="000D44B8" w:rsidP="006E3A16">
            <w:pPr>
              <w:tabs>
                <w:tab w:val="left" w:pos="310"/>
              </w:tabs>
              <w:jc w:val="center"/>
              <w:rPr>
                <w:rFonts w:ascii="Helvetica" w:eastAsia="Times New Roman" w:hAnsi="Helvetica" w:cs="Calibri"/>
                <w:color w:val="000000" w:themeColor="text1"/>
                <w:sz w:val="20"/>
                <w:szCs w:val="20"/>
                <w:lang w:val="en-US" w:eastAsia="nl-NL"/>
              </w:rPr>
            </w:pPr>
            <w:r w:rsidRPr="009824AD">
              <w:rPr>
                <w:rFonts w:ascii="Helvetica" w:eastAsia="Times New Roman" w:hAnsi="Helvetica" w:cs="Calibri"/>
                <w:color w:val="000000" w:themeColor="text1"/>
                <w:sz w:val="20"/>
                <w:szCs w:val="20"/>
                <w:lang w:val="en-US" w:eastAsia="nl-NL"/>
              </w:rPr>
              <w:t>0.01</w:t>
            </w:r>
          </w:p>
        </w:tc>
      </w:tr>
      <w:tr w:rsidR="000D44B8" w:rsidRPr="009824AD" w14:paraId="37FAD63D" w14:textId="77777777" w:rsidTr="00C67DD2">
        <w:tc>
          <w:tcPr>
            <w:tcW w:w="4395" w:type="dxa"/>
            <w:tcBorders>
              <w:right w:val="single" w:sz="4" w:space="0" w:color="auto"/>
            </w:tcBorders>
            <w:vAlign w:val="center"/>
          </w:tcPr>
          <w:p w14:paraId="0CAAFBF8" w14:textId="77777777" w:rsidR="000D44B8" w:rsidRDefault="000D44B8" w:rsidP="006E3A16">
            <w:pPr>
              <w:tabs>
                <w:tab w:val="left" w:pos="310"/>
              </w:tabs>
              <w:ind w:left="170"/>
              <w:rPr>
                <w:rFonts w:ascii="Helvetica" w:hAnsi="Helvetica" w:cs="Calibri"/>
                <w:sz w:val="20"/>
                <w:szCs w:val="20"/>
                <w:lang w:val="en-US"/>
              </w:rPr>
            </w:pPr>
            <w:r w:rsidRPr="009824AD">
              <w:rPr>
                <w:rFonts w:ascii="Helvetica" w:hAnsi="Helvetica" w:cs="Calibri"/>
                <w:sz w:val="20"/>
                <w:szCs w:val="20"/>
                <w:lang w:val="en-US"/>
              </w:rPr>
              <w:t>Cirrhosis (%)</w:t>
            </w:r>
          </w:p>
          <w:p w14:paraId="3C88EECE" w14:textId="0DB52608" w:rsidR="00F32683" w:rsidRPr="009824AD" w:rsidRDefault="00F32683" w:rsidP="006E3A16">
            <w:pPr>
              <w:tabs>
                <w:tab w:val="left" w:pos="310"/>
              </w:tabs>
              <w:ind w:left="170"/>
              <w:rPr>
                <w:rFonts w:ascii="Helvetica" w:hAnsi="Helvetica" w:cs="Calibri"/>
                <w:sz w:val="20"/>
                <w:szCs w:val="20"/>
                <w:lang w:val="en-US"/>
              </w:rPr>
            </w:pPr>
            <w:r>
              <w:rPr>
                <w:rFonts w:ascii="Helvetica" w:hAnsi="Helvetica" w:cs="Calibri"/>
                <w:sz w:val="20"/>
                <w:szCs w:val="20"/>
                <w:lang w:val="en-US"/>
              </w:rPr>
              <w:tab/>
            </w:r>
            <w:r w:rsidRPr="00A5449C">
              <w:rPr>
                <w:rFonts w:ascii="Helvetica" w:eastAsia="Times New Roman" w:hAnsi="Helvetica" w:cs="Calibri"/>
                <w:i/>
                <w:iCs/>
                <w:color w:val="000000"/>
                <w:sz w:val="20"/>
                <w:szCs w:val="20"/>
                <w:lang w:val="en-US" w:eastAsia="nl-NL"/>
              </w:rPr>
              <w:t>Missing (%)</w:t>
            </w:r>
          </w:p>
        </w:tc>
        <w:tc>
          <w:tcPr>
            <w:tcW w:w="1842" w:type="dxa"/>
            <w:tcBorders>
              <w:left w:val="single" w:sz="4" w:space="0" w:color="auto"/>
            </w:tcBorders>
            <w:vAlign w:val="center"/>
          </w:tcPr>
          <w:p w14:paraId="111B694B" w14:textId="77777777" w:rsidR="000D44B8" w:rsidRDefault="000D44B8" w:rsidP="006E3A16">
            <w:pPr>
              <w:jc w:val="center"/>
              <w:rPr>
                <w:rFonts w:ascii="Helvetica" w:eastAsia="Times New Roman" w:hAnsi="Helvetica" w:cs="Calibri"/>
                <w:sz w:val="20"/>
                <w:szCs w:val="20"/>
                <w:lang w:val="en-US" w:eastAsia="nl-NL"/>
              </w:rPr>
            </w:pPr>
            <w:r w:rsidRPr="009824AD">
              <w:rPr>
                <w:rFonts w:ascii="Helvetica" w:eastAsia="Times New Roman" w:hAnsi="Helvetica" w:cs="Calibri"/>
                <w:sz w:val="20"/>
                <w:szCs w:val="20"/>
                <w:lang w:val="en-US" w:eastAsia="nl-NL"/>
              </w:rPr>
              <w:t>1061 (17.8)</w:t>
            </w:r>
          </w:p>
          <w:p w14:paraId="6C3E3305" w14:textId="3B786DB0" w:rsidR="00F32683" w:rsidRPr="009824AD" w:rsidRDefault="00F32683" w:rsidP="006E3A16">
            <w:pPr>
              <w:jc w:val="center"/>
              <w:rPr>
                <w:rFonts w:ascii="Helvetica" w:eastAsia="Times New Roman" w:hAnsi="Helvetica" w:cs="Calibri"/>
                <w:sz w:val="20"/>
                <w:szCs w:val="20"/>
                <w:lang w:val="en-US" w:eastAsia="nl-NL"/>
              </w:rPr>
            </w:pPr>
            <w:r>
              <w:rPr>
                <w:rFonts w:ascii="Helvetica" w:eastAsia="Times New Roman" w:hAnsi="Helvetica" w:cs="Calibri"/>
                <w:sz w:val="20"/>
                <w:szCs w:val="20"/>
                <w:lang w:val="en-US" w:eastAsia="nl-NL"/>
              </w:rPr>
              <w:t>411 (6.5)</w:t>
            </w:r>
          </w:p>
        </w:tc>
        <w:tc>
          <w:tcPr>
            <w:tcW w:w="1843" w:type="dxa"/>
            <w:vAlign w:val="center"/>
          </w:tcPr>
          <w:p w14:paraId="284F5C17" w14:textId="77777777" w:rsidR="000D44B8" w:rsidRDefault="000D44B8" w:rsidP="006E3A16">
            <w:pPr>
              <w:jc w:val="center"/>
              <w:rPr>
                <w:rFonts w:ascii="Helvetica" w:eastAsia="Times New Roman" w:hAnsi="Helvetica" w:cs="Calibri"/>
                <w:sz w:val="20"/>
                <w:szCs w:val="20"/>
                <w:lang w:val="en-US" w:eastAsia="nl-NL"/>
              </w:rPr>
            </w:pPr>
            <w:r w:rsidRPr="009824AD">
              <w:rPr>
                <w:rFonts w:ascii="Helvetica" w:eastAsia="Times New Roman" w:hAnsi="Helvetica" w:cs="Calibri"/>
                <w:sz w:val="20"/>
                <w:szCs w:val="20"/>
                <w:lang w:val="en-US" w:eastAsia="nl-NL"/>
              </w:rPr>
              <w:t>947 (17.1)</w:t>
            </w:r>
          </w:p>
          <w:p w14:paraId="29382D05" w14:textId="04812C70" w:rsidR="00F32683" w:rsidRPr="009824AD" w:rsidRDefault="00F32683" w:rsidP="006E3A16">
            <w:pPr>
              <w:jc w:val="center"/>
              <w:rPr>
                <w:rFonts w:ascii="Helvetica" w:eastAsia="Times New Roman" w:hAnsi="Helvetica" w:cs="Calibri"/>
                <w:sz w:val="20"/>
                <w:szCs w:val="20"/>
                <w:lang w:val="en-US" w:eastAsia="nl-NL"/>
              </w:rPr>
            </w:pPr>
            <w:r>
              <w:rPr>
                <w:rFonts w:ascii="Helvetica" w:eastAsia="Times New Roman" w:hAnsi="Helvetica" w:cs="Calibri"/>
                <w:sz w:val="20"/>
                <w:szCs w:val="20"/>
                <w:lang w:val="en-US" w:eastAsia="nl-NL"/>
              </w:rPr>
              <w:t>1463 (20.9)</w:t>
            </w:r>
          </w:p>
        </w:tc>
        <w:tc>
          <w:tcPr>
            <w:tcW w:w="851" w:type="dxa"/>
          </w:tcPr>
          <w:p w14:paraId="6B23E95D" w14:textId="77777777" w:rsidR="000D44B8" w:rsidRPr="009824AD" w:rsidRDefault="000D44B8" w:rsidP="006E3A16">
            <w:pPr>
              <w:tabs>
                <w:tab w:val="left" w:pos="310"/>
              </w:tabs>
              <w:jc w:val="center"/>
              <w:rPr>
                <w:rFonts w:ascii="Helvetica" w:eastAsia="Times New Roman" w:hAnsi="Helvetica" w:cs="Calibri"/>
                <w:color w:val="000000"/>
                <w:sz w:val="20"/>
                <w:szCs w:val="20"/>
                <w:lang w:val="en-US" w:eastAsia="nl-NL"/>
              </w:rPr>
            </w:pPr>
            <w:r w:rsidRPr="009824AD">
              <w:rPr>
                <w:rFonts w:ascii="Helvetica" w:eastAsia="Times New Roman" w:hAnsi="Helvetica" w:cs="Calibri"/>
                <w:color w:val="000000"/>
                <w:sz w:val="20"/>
                <w:szCs w:val="20"/>
                <w:lang w:val="en-US" w:eastAsia="nl-NL"/>
              </w:rPr>
              <w:t>0.299</w:t>
            </w:r>
          </w:p>
        </w:tc>
        <w:tc>
          <w:tcPr>
            <w:tcW w:w="708" w:type="dxa"/>
            <w:tcBorders>
              <w:right w:val="single" w:sz="4" w:space="0" w:color="auto"/>
            </w:tcBorders>
          </w:tcPr>
          <w:p w14:paraId="5BBC78BD" w14:textId="77777777" w:rsidR="000D44B8" w:rsidRPr="009824AD" w:rsidRDefault="000D44B8" w:rsidP="006E3A16">
            <w:pPr>
              <w:tabs>
                <w:tab w:val="left" w:pos="310"/>
              </w:tabs>
              <w:jc w:val="center"/>
              <w:rPr>
                <w:rFonts w:ascii="Helvetica" w:eastAsia="Times New Roman" w:hAnsi="Helvetica" w:cs="Calibri"/>
                <w:color w:val="000000"/>
                <w:sz w:val="20"/>
                <w:szCs w:val="20"/>
                <w:lang w:val="en-US" w:eastAsia="nl-NL"/>
              </w:rPr>
            </w:pPr>
            <w:r w:rsidRPr="009824AD">
              <w:rPr>
                <w:rFonts w:ascii="Helvetica" w:eastAsia="Times New Roman" w:hAnsi="Helvetica" w:cs="Calibri"/>
                <w:color w:val="000000"/>
                <w:sz w:val="20"/>
                <w:szCs w:val="20"/>
                <w:lang w:val="en-US" w:eastAsia="nl-NL"/>
              </w:rPr>
              <w:t>0.02</w:t>
            </w:r>
          </w:p>
        </w:tc>
        <w:tc>
          <w:tcPr>
            <w:tcW w:w="1843" w:type="dxa"/>
            <w:tcBorders>
              <w:left w:val="single" w:sz="4" w:space="0" w:color="auto"/>
            </w:tcBorders>
            <w:vAlign w:val="center"/>
          </w:tcPr>
          <w:p w14:paraId="6870D07C" w14:textId="77777777" w:rsidR="000D44B8" w:rsidRPr="009824AD" w:rsidRDefault="000D44B8" w:rsidP="006E3A16">
            <w:pPr>
              <w:jc w:val="center"/>
              <w:rPr>
                <w:rFonts w:ascii="Helvetica" w:eastAsia="Times New Roman" w:hAnsi="Helvetica" w:cs="Calibri"/>
                <w:color w:val="000000" w:themeColor="text1"/>
                <w:sz w:val="20"/>
                <w:szCs w:val="20"/>
                <w:lang w:val="en-US" w:eastAsia="nl-NL"/>
              </w:rPr>
            </w:pPr>
            <w:r w:rsidRPr="009824AD">
              <w:rPr>
                <w:rFonts w:ascii="Helvetica" w:eastAsia="Times New Roman" w:hAnsi="Helvetica" w:cs="Calibri"/>
                <w:color w:val="000000" w:themeColor="text1"/>
                <w:sz w:val="20"/>
                <w:szCs w:val="20"/>
                <w:lang w:val="en-US" w:eastAsia="nl-NL"/>
              </w:rPr>
              <w:t>519 (14.6)</w:t>
            </w:r>
          </w:p>
        </w:tc>
        <w:tc>
          <w:tcPr>
            <w:tcW w:w="1843" w:type="dxa"/>
            <w:vAlign w:val="center"/>
          </w:tcPr>
          <w:p w14:paraId="4AFB1F7B" w14:textId="77777777" w:rsidR="000D44B8" w:rsidRPr="009824AD" w:rsidRDefault="000D44B8" w:rsidP="006E3A16">
            <w:pPr>
              <w:jc w:val="center"/>
              <w:rPr>
                <w:rFonts w:ascii="Helvetica" w:eastAsia="Times New Roman" w:hAnsi="Helvetica" w:cs="Calibri"/>
                <w:color w:val="000000" w:themeColor="text1"/>
                <w:sz w:val="20"/>
                <w:szCs w:val="20"/>
                <w:lang w:val="en-US" w:eastAsia="nl-NL"/>
              </w:rPr>
            </w:pPr>
            <w:r w:rsidRPr="009824AD">
              <w:rPr>
                <w:rFonts w:ascii="Helvetica" w:eastAsia="Times New Roman" w:hAnsi="Helvetica" w:cs="Calibri"/>
                <w:color w:val="000000" w:themeColor="text1"/>
                <w:sz w:val="20"/>
                <w:szCs w:val="20"/>
                <w:lang w:val="en-US" w:eastAsia="nl-NL"/>
              </w:rPr>
              <w:t>535 (15.0)</w:t>
            </w:r>
          </w:p>
        </w:tc>
        <w:tc>
          <w:tcPr>
            <w:tcW w:w="850" w:type="dxa"/>
          </w:tcPr>
          <w:p w14:paraId="1EF383E2" w14:textId="77777777" w:rsidR="000D44B8" w:rsidRPr="009824AD" w:rsidRDefault="000D44B8" w:rsidP="006E3A16">
            <w:pPr>
              <w:tabs>
                <w:tab w:val="left" w:pos="310"/>
              </w:tabs>
              <w:jc w:val="center"/>
              <w:rPr>
                <w:rFonts w:ascii="Helvetica" w:eastAsia="Times New Roman" w:hAnsi="Helvetica" w:cs="Calibri"/>
                <w:color w:val="000000" w:themeColor="text1"/>
                <w:sz w:val="20"/>
                <w:szCs w:val="20"/>
                <w:lang w:val="en-US" w:eastAsia="nl-NL"/>
              </w:rPr>
            </w:pPr>
            <w:r w:rsidRPr="009824AD">
              <w:rPr>
                <w:rFonts w:ascii="Helvetica" w:eastAsia="Times New Roman" w:hAnsi="Helvetica" w:cs="Calibri"/>
                <w:color w:val="000000" w:themeColor="text1"/>
                <w:sz w:val="20"/>
                <w:szCs w:val="20"/>
                <w:lang w:val="en-US" w:eastAsia="nl-NL"/>
              </w:rPr>
              <w:t>0.593</w:t>
            </w:r>
          </w:p>
        </w:tc>
        <w:tc>
          <w:tcPr>
            <w:tcW w:w="709" w:type="dxa"/>
          </w:tcPr>
          <w:p w14:paraId="7F17328A" w14:textId="77777777" w:rsidR="000D44B8" w:rsidRPr="009824AD" w:rsidRDefault="000D44B8" w:rsidP="006E3A16">
            <w:pPr>
              <w:tabs>
                <w:tab w:val="left" w:pos="310"/>
              </w:tabs>
              <w:jc w:val="center"/>
              <w:rPr>
                <w:rFonts w:ascii="Helvetica" w:eastAsia="Times New Roman" w:hAnsi="Helvetica" w:cs="Calibri"/>
                <w:color w:val="000000" w:themeColor="text1"/>
                <w:sz w:val="20"/>
                <w:szCs w:val="20"/>
                <w:lang w:val="en-US" w:eastAsia="nl-NL"/>
              </w:rPr>
            </w:pPr>
            <w:r w:rsidRPr="009824AD">
              <w:rPr>
                <w:rFonts w:ascii="Helvetica" w:eastAsia="Times New Roman" w:hAnsi="Helvetica" w:cs="Calibri"/>
                <w:color w:val="000000" w:themeColor="text1"/>
                <w:sz w:val="20"/>
                <w:szCs w:val="20"/>
                <w:lang w:val="en-US" w:eastAsia="nl-NL"/>
              </w:rPr>
              <w:t>0.01</w:t>
            </w:r>
          </w:p>
        </w:tc>
      </w:tr>
      <w:tr w:rsidR="000D44B8" w:rsidRPr="009824AD" w14:paraId="07CFF4D8" w14:textId="77777777" w:rsidTr="00C67DD2">
        <w:tc>
          <w:tcPr>
            <w:tcW w:w="4395" w:type="dxa"/>
            <w:tcBorders>
              <w:right w:val="single" w:sz="4" w:space="0" w:color="auto"/>
            </w:tcBorders>
            <w:vAlign w:val="center"/>
          </w:tcPr>
          <w:p w14:paraId="5A6F5B72" w14:textId="77777777" w:rsidR="000D44B8" w:rsidRDefault="000D44B8" w:rsidP="006E3A16">
            <w:pPr>
              <w:tabs>
                <w:tab w:val="left" w:pos="310"/>
              </w:tabs>
              <w:ind w:left="170"/>
              <w:rPr>
                <w:rFonts w:ascii="Helvetica" w:eastAsia="Times New Roman" w:hAnsi="Helvetica" w:cs="Calibri"/>
                <w:color w:val="000000"/>
                <w:sz w:val="20"/>
                <w:szCs w:val="20"/>
                <w:lang w:val="en-US" w:eastAsia="nl-NL"/>
              </w:rPr>
            </w:pPr>
            <w:r w:rsidRPr="009824AD">
              <w:rPr>
                <w:rFonts w:ascii="Helvetica" w:eastAsia="Times New Roman" w:hAnsi="Helvetica" w:cs="Calibri"/>
                <w:color w:val="000000"/>
                <w:sz w:val="20"/>
                <w:szCs w:val="20"/>
                <w:lang w:val="en-US" w:eastAsia="nl-NL"/>
              </w:rPr>
              <w:t>Neoadjuvant chemotherapy (%)</w:t>
            </w:r>
          </w:p>
          <w:p w14:paraId="2CF9B09D" w14:textId="0210E0AB" w:rsidR="00F32683" w:rsidRPr="009824AD" w:rsidRDefault="00F32683" w:rsidP="006E3A16">
            <w:pPr>
              <w:tabs>
                <w:tab w:val="left" w:pos="310"/>
              </w:tabs>
              <w:ind w:left="170"/>
              <w:rPr>
                <w:rFonts w:ascii="Helvetica" w:eastAsia="Times New Roman" w:hAnsi="Helvetica" w:cs="Calibri"/>
                <w:color w:val="000000"/>
                <w:sz w:val="20"/>
                <w:szCs w:val="20"/>
                <w:lang w:val="en-US" w:eastAsia="nl-NL"/>
              </w:rPr>
            </w:pPr>
            <w:r>
              <w:rPr>
                <w:rFonts w:ascii="Helvetica" w:eastAsia="Times New Roman" w:hAnsi="Helvetica" w:cs="Calibri"/>
                <w:color w:val="000000"/>
                <w:sz w:val="20"/>
                <w:szCs w:val="20"/>
                <w:lang w:val="en-US" w:eastAsia="nl-NL"/>
              </w:rPr>
              <w:tab/>
            </w:r>
            <w:r w:rsidRPr="00A5449C">
              <w:rPr>
                <w:rFonts w:ascii="Helvetica" w:eastAsia="Times New Roman" w:hAnsi="Helvetica" w:cs="Calibri"/>
                <w:i/>
                <w:iCs/>
                <w:color w:val="000000"/>
                <w:sz w:val="20"/>
                <w:szCs w:val="20"/>
                <w:lang w:val="en-US" w:eastAsia="nl-NL"/>
              </w:rPr>
              <w:t>Missing (%)</w:t>
            </w:r>
          </w:p>
        </w:tc>
        <w:tc>
          <w:tcPr>
            <w:tcW w:w="1842" w:type="dxa"/>
            <w:tcBorders>
              <w:left w:val="single" w:sz="4" w:space="0" w:color="auto"/>
            </w:tcBorders>
            <w:vAlign w:val="center"/>
          </w:tcPr>
          <w:p w14:paraId="36D2FA62" w14:textId="77777777" w:rsidR="000D44B8" w:rsidRDefault="000D44B8" w:rsidP="006E3A16">
            <w:pPr>
              <w:jc w:val="center"/>
              <w:rPr>
                <w:rFonts w:ascii="Helvetica" w:eastAsia="Times New Roman" w:hAnsi="Helvetica" w:cs="Calibri"/>
                <w:sz w:val="20"/>
                <w:szCs w:val="20"/>
                <w:lang w:val="en-US" w:eastAsia="nl-NL"/>
              </w:rPr>
            </w:pPr>
            <w:r w:rsidRPr="009824AD">
              <w:rPr>
                <w:rFonts w:ascii="Helvetica" w:eastAsia="Times New Roman" w:hAnsi="Helvetica" w:cs="Calibri"/>
                <w:sz w:val="20"/>
                <w:szCs w:val="20"/>
                <w:lang w:val="en-US" w:eastAsia="nl-NL"/>
              </w:rPr>
              <w:t>1928 (32.3)</w:t>
            </w:r>
          </w:p>
          <w:p w14:paraId="01F93155" w14:textId="5E441771" w:rsidR="00F32683" w:rsidRPr="009824AD" w:rsidRDefault="00F32683" w:rsidP="006E3A16">
            <w:pPr>
              <w:jc w:val="center"/>
              <w:rPr>
                <w:rFonts w:ascii="Helvetica" w:eastAsia="Times New Roman" w:hAnsi="Helvetica" w:cs="Calibri"/>
                <w:sz w:val="20"/>
                <w:szCs w:val="20"/>
                <w:lang w:val="en-US" w:eastAsia="nl-NL"/>
              </w:rPr>
            </w:pPr>
            <w:r>
              <w:rPr>
                <w:rFonts w:ascii="Helvetica" w:eastAsia="Times New Roman" w:hAnsi="Helvetica" w:cs="Calibri"/>
                <w:sz w:val="20"/>
                <w:szCs w:val="20"/>
                <w:lang w:val="en-US" w:eastAsia="nl-NL"/>
              </w:rPr>
              <w:t>391 (6.1)</w:t>
            </w:r>
          </w:p>
        </w:tc>
        <w:tc>
          <w:tcPr>
            <w:tcW w:w="1843" w:type="dxa"/>
            <w:vAlign w:val="center"/>
          </w:tcPr>
          <w:p w14:paraId="5AA7BE05" w14:textId="77777777" w:rsidR="000D44B8" w:rsidRDefault="000D44B8" w:rsidP="006E3A16">
            <w:pPr>
              <w:jc w:val="center"/>
              <w:rPr>
                <w:rFonts w:ascii="Helvetica" w:hAnsi="Helvetica" w:cs="Calibri"/>
                <w:sz w:val="20"/>
                <w:szCs w:val="20"/>
                <w:lang w:val="en-US" w:eastAsia="nl-NL"/>
              </w:rPr>
            </w:pPr>
            <w:r w:rsidRPr="009824AD">
              <w:rPr>
                <w:rFonts w:ascii="Helvetica" w:hAnsi="Helvetica" w:cs="Calibri"/>
                <w:sz w:val="20"/>
                <w:szCs w:val="20"/>
                <w:lang w:val="en-US" w:eastAsia="nl-NL"/>
              </w:rPr>
              <w:t>2659 (41.6)</w:t>
            </w:r>
          </w:p>
          <w:p w14:paraId="4FE6497E" w14:textId="0C277DF8" w:rsidR="00F32683" w:rsidRPr="009824AD" w:rsidRDefault="00F32683" w:rsidP="006E3A16">
            <w:pPr>
              <w:jc w:val="center"/>
              <w:rPr>
                <w:rFonts w:ascii="Helvetica" w:hAnsi="Helvetica" w:cs="Calibri"/>
                <w:sz w:val="20"/>
                <w:szCs w:val="20"/>
                <w:lang w:val="en-US" w:eastAsia="nl-NL"/>
              </w:rPr>
            </w:pPr>
            <w:r>
              <w:rPr>
                <w:rFonts w:ascii="Helvetica" w:hAnsi="Helvetica" w:cs="Calibri"/>
                <w:sz w:val="20"/>
                <w:szCs w:val="20"/>
                <w:lang w:val="en-US" w:eastAsia="nl-NL"/>
              </w:rPr>
              <w:t>620 (8.8)</w:t>
            </w:r>
          </w:p>
        </w:tc>
        <w:tc>
          <w:tcPr>
            <w:tcW w:w="851" w:type="dxa"/>
          </w:tcPr>
          <w:p w14:paraId="509E48C8" w14:textId="77777777" w:rsidR="000D44B8" w:rsidRPr="009824AD" w:rsidRDefault="000D44B8" w:rsidP="006E3A16">
            <w:pPr>
              <w:tabs>
                <w:tab w:val="left" w:pos="310"/>
              </w:tabs>
              <w:jc w:val="center"/>
              <w:rPr>
                <w:rFonts w:ascii="Helvetica" w:eastAsia="Times New Roman" w:hAnsi="Helvetica" w:cs="Calibri"/>
                <w:b/>
                <w:bCs/>
                <w:color w:val="000000"/>
                <w:sz w:val="20"/>
                <w:szCs w:val="20"/>
                <w:lang w:val="en-US" w:eastAsia="nl-NL"/>
              </w:rPr>
            </w:pPr>
            <w:r w:rsidRPr="009824AD">
              <w:rPr>
                <w:rFonts w:ascii="Helvetica" w:eastAsia="Times New Roman" w:hAnsi="Helvetica" w:cs="Calibri"/>
                <w:b/>
                <w:bCs/>
                <w:color w:val="000000"/>
                <w:sz w:val="20"/>
                <w:szCs w:val="20"/>
                <w:lang w:val="en-US" w:eastAsia="nl-NL"/>
              </w:rPr>
              <w:t>&lt;0.001</w:t>
            </w:r>
          </w:p>
        </w:tc>
        <w:tc>
          <w:tcPr>
            <w:tcW w:w="708" w:type="dxa"/>
            <w:tcBorders>
              <w:right w:val="single" w:sz="4" w:space="0" w:color="auto"/>
            </w:tcBorders>
          </w:tcPr>
          <w:p w14:paraId="635B019D" w14:textId="77777777" w:rsidR="000D44B8" w:rsidRPr="009824AD" w:rsidRDefault="000D44B8" w:rsidP="006E3A16">
            <w:pPr>
              <w:tabs>
                <w:tab w:val="left" w:pos="310"/>
              </w:tabs>
              <w:jc w:val="center"/>
              <w:rPr>
                <w:rFonts w:ascii="Helvetica" w:eastAsia="Times New Roman" w:hAnsi="Helvetica" w:cs="Calibri"/>
                <w:color w:val="000000"/>
                <w:sz w:val="20"/>
                <w:szCs w:val="20"/>
                <w:lang w:val="en-US" w:eastAsia="nl-NL"/>
              </w:rPr>
            </w:pPr>
            <w:r w:rsidRPr="009824AD">
              <w:rPr>
                <w:rFonts w:ascii="Helvetica" w:eastAsia="Times New Roman" w:hAnsi="Helvetica" w:cs="Calibri"/>
                <w:color w:val="000000"/>
                <w:sz w:val="20"/>
                <w:szCs w:val="20"/>
                <w:lang w:val="en-US" w:eastAsia="nl-NL"/>
              </w:rPr>
              <w:t>0.19</w:t>
            </w:r>
          </w:p>
        </w:tc>
        <w:tc>
          <w:tcPr>
            <w:tcW w:w="1843" w:type="dxa"/>
            <w:tcBorders>
              <w:left w:val="single" w:sz="4" w:space="0" w:color="auto"/>
            </w:tcBorders>
            <w:vAlign w:val="center"/>
          </w:tcPr>
          <w:p w14:paraId="3559BF86" w14:textId="77777777" w:rsidR="000D44B8" w:rsidRPr="009824AD" w:rsidRDefault="000D44B8" w:rsidP="006E3A16">
            <w:pPr>
              <w:jc w:val="center"/>
              <w:rPr>
                <w:rFonts w:ascii="Helvetica" w:eastAsia="Times New Roman" w:hAnsi="Helvetica" w:cs="Calibri"/>
                <w:color w:val="000000" w:themeColor="text1"/>
                <w:sz w:val="20"/>
                <w:szCs w:val="20"/>
                <w:lang w:val="en-US" w:eastAsia="nl-NL"/>
              </w:rPr>
            </w:pPr>
            <w:r w:rsidRPr="009824AD">
              <w:rPr>
                <w:rFonts w:ascii="Helvetica" w:eastAsia="Times New Roman" w:hAnsi="Helvetica" w:cs="Calibri"/>
                <w:color w:val="000000" w:themeColor="text1"/>
                <w:sz w:val="20"/>
                <w:szCs w:val="20"/>
                <w:lang w:val="en-US" w:eastAsia="nl-NL"/>
              </w:rPr>
              <w:t>1351 (37.9)</w:t>
            </w:r>
          </w:p>
        </w:tc>
        <w:tc>
          <w:tcPr>
            <w:tcW w:w="1843" w:type="dxa"/>
            <w:vAlign w:val="center"/>
          </w:tcPr>
          <w:p w14:paraId="4F154933" w14:textId="77777777" w:rsidR="000D44B8" w:rsidRPr="009824AD" w:rsidRDefault="000D44B8" w:rsidP="006E3A16">
            <w:pPr>
              <w:jc w:val="center"/>
              <w:rPr>
                <w:rFonts w:ascii="Helvetica" w:hAnsi="Helvetica" w:cs="Calibri"/>
                <w:color w:val="000000" w:themeColor="text1"/>
                <w:sz w:val="20"/>
                <w:szCs w:val="20"/>
                <w:lang w:val="en-US" w:eastAsia="nl-NL"/>
              </w:rPr>
            </w:pPr>
            <w:r w:rsidRPr="009824AD">
              <w:rPr>
                <w:rFonts w:ascii="Helvetica" w:hAnsi="Helvetica" w:cs="Calibri"/>
                <w:color w:val="000000" w:themeColor="text1"/>
                <w:sz w:val="20"/>
                <w:szCs w:val="20"/>
                <w:lang w:val="en-US" w:eastAsia="nl-NL"/>
              </w:rPr>
              <w:t>1377 (38.6)</w:t>
            </w:r>
          </w:p>
        </w:tc>
        <w:tc>
          <w:tcPr>
            <w:tcW w:w="850" w:type="dxa"/>
          </w:tcPr>
          <w:p w14:paraId="7EA61B57" w14:textId="77777777" w:rsidR="000D44B8" w:rsidRPr="009824AD" w:rsidRDefault="000D44B8" w:rsidP="006E3A16">
            <w:pPr>
              <w:tabs>
                <w:tab w:val="left" w:pos="310"/>
              </w:tabs>
              <w:jc w:val="center"/>
              <w:rPr>
                <w:rFonts w:ascii="Helvetica" w:eastAsia="Times New Roman" w:hAnsi="Helvetica" w:cs="Calibri"/>
                <w:color w:val="000000" w:themeColor="text1"/>
                <w:sz w:val="20"/>
                <w:szCs w:val="20"/>
                <w:lang w:val="en-US" w:eastAsia="nl-NL"/>
              </w:rPr>
            </w:pPr>
            <w:r w:rsidRPr="009824AD">
              <w:rPr>
                <w:rFonts w:ascii="Helvetica" w:eastAsia="Times New Roman" w:hAnsi="Helvetica" w:cs="Calibri"/>
                <w:color w:val="000000" w:themeColor="text1"/>
                <w:sz w:val="20"/>
                <w:szCs w:val="20"/>
                <w:lang w:val="en-US" w:eastAsia="nl-NL"/>
              </w:rPr>
              <w:t>0.526</w:t>
            </w:r>
          </w:p>
        </w:tc>
        <w:tc>
          <w:tcPr>
            <w:tcW w:w="709" w:type="dxa"/>
          </w:tcPr>
          <w:p w14:paraId="4573D570" w14:textId="77777777" w:rsidR="000D44B8" w:rsidRPr="009824AD" w:rsidRDefault="000D44B8" w:rsidP="006E3A16">
            <w:pPr>
              <w:tabs>
                <w:tab w:val="left" w:pos="310"/>
              </w:tabs>
              <w:jc w:val="center"/>
              <w:rPr>
                <w:rFonts w:ascii="Helvetica" w:eastAsia="Times New Roman" w:hAnsi="Helvetica" w:cs="Calibri"/>
                <w:color w:val="000000" w:themeColor="text1"/>
                <w:sz w:val="20"/>
                <w:szCs w:val="20"/>
                <w:lang w:val="en-US" w:eastAsia="nl-NL"/>
              </w:rPr>
            </w:pPr>
            <w:r w:rsidRPr="009824AD">
              <w:rPr>
                <w:rFonts w:ascii="Helvetica" w:eastAsia="Times New Roman" w:hAnsi="Helvetica" w:cs="Calibri"/>
                <w:color w:val="000000" w:themeColor="text1"/>
                <w:sz w:val="20"/>
                <w:szCs w:val="20"/>
                <w:lang w:val="en-US" w:eastAsia="nl-NL"/>
              </w:rPr>
              <w:t>0.01</w:t>
            </w:r>
          </w:p>
        </w:tc>
      </w:tr>
      <w:tr w:rsidR="000D44B8" w:rsidRPr="009824AD" w14:paraId="27676BBE" w14:textId="77777777" w:rsidTr="00C67DD2">
        <w:tc>
          <w:tcPr>
            <w:tcW w:w="4395" w:type="dxa"/>
            <w:tcBorders>
              <w:right w:val="single" w:sz="4" w:space="0" w:color="auto"/>
            </w:tcBorders>
            <w:vAlign w:val="center"/>
          </w:tcPr>
          <w:p w14:paraId="65751682" w14:textId="77777777" w:rsidR="000D44B8" w:rsidRDefault="000D44B8" w:rsidP="006E3A16">
            <w:pPr>
              <w:tabs>
                <w:tab w:val="left" w:pos="310"/>
              </w:tabs>
              <w:ind w:left="170"/>
              <w:rPr>
                <w:rFonts w:ascii="Helvetica" w:eastAsia="Times New Roman" w:hAnsi="Helvetica" w:cs="Calibri"/>
                <w:sz w:val="20"/>
                <w:szCs w:val="20"/>
                <w:lang w:val="en-US" w:eastAsia="nl-NL"/>
              </w:rPr>
            </w:pPr>
            <w:r w:rsidRPr="009824AD">
              <w:rPr>
                <w:rFonts w:ascii="Helvetica" w:eastAsia="Times New Roman" w:hAnsi="Helvetica" w:cs="Calibri"/>
                <w:sz w:val="20"/>
                <w:szCs w:val="20"/>
                <w:lang w:val="en-US" w:eastAsia="nl-NL"/>
              </w:rPr>
              <w:t>Previous extrahepatic abdominal surgery (%)</w:t>
            </w:r>
          </w:p>
          <w:p w14:paraId="4FF0BD10" w14:textId="67DF9793" w:rsidR="00F32683" w:rsidRPr="00C67DD2" w:rsidRDefault="00F32683" w:rsidP="006E3A16">
            <w:pPr>
              <w:tabs>
                <w:tab w:val="left" w:pos="310"/>
              </w:tabs>
              <w:ind w:left="170"/>
              <w:rPr>
                <w:rFonts w:ascii="Helvetica" w:eastAsia="Times New Roman" w:hAnsi="Helvetica" w:cs="Calibri"/>
                <w:i/>
                <w:iCs/>
                <w:color w:val="000000"/>
                <w:sz w:val="20"/>
                <w:szCs w:val="20"/>
                <w:lang w:val="en-US" w:eastAsia="nl-NL"/>
              </w:rPr>
            </w:pPr>
            <w:r>
              <w:rPr>
                <w:rFonts w:ascii="Helvetica" w:eastAsia="Times New Roman" w:hAnsi="Helvetica" w:cs="Calibri"/>
                <w:i/>
                <w:iCs/>
                <w:sz w:val="20"/>
                <w:szCs w:val="20"/>
                <w:lang w:val="en-US" w:eastAsia="nl-NL"/>
              </w:rPr>
              <w:tab/>
            </w:r>
            <w:r w:rsidRPr="00C67DD2">
              <w:rPr>
                <w:rFonts w:ascii="Helvetica" w:eastAsia="Times New Roman" w:hAnsi="Helvetica" w:cs="Calibri"/>
                <w:i/>
                <w:iCs/>
                <w:sz w:val="20"/>
                <w:szCs w:val="20"/>
                <w:lang w:val="en-US" w:eastAsia="nl-NL"/>
              </w:rPr>
              <w:t>Missing (%)</w:t>
            </w:r>
          </w:p>
        </w:tc>
        <w:tc>
          <w:tcPr>
            <w:tcW w:w="1842" w:type="dxa"/>
            <w:tcBorders>
              <w:left w:val="single" w:sz="4" w:space="0" w:color="auto"/>
            </w:tcBorders>
            <w:vAlign w:val="center"/>
          </w:tcPr>
          <w:p w14:paraId="3807AC40" w14:textId="77777777" w:rsidR="000D44B8" w:rsidRDefault="000D44B8" w:rsidP="006E3A16">
            <w:pPr>
              <w:jc w:val="center"/>
              <w:rPr>
                <w:rFonts w:ascii="Helvetica" w:eastAsia="Times New Roman" w:hAnsi="Helvetica" w:cs="Calibri"/>
                <w:sz w:val="20"/>
                <w:szCs w:val="20"/>
                <w:lang w:val="en-US" w:eastAsia="nl-NL"/>
              </w:rPr>
            </w:pPr>
            <w:r w:rsidRPr="009824AD">
              <w:rPr>
                <w:rFonts w:ascii="Helvetica" w:eastAsia="Times New Roman" w:hAnsi="Helvetica" w:cs="Calibri"/>
                <w:sz w:val="20"/>
                <w:szCs w:val="20"/>
                <w:lang w:val="en-US" w:eastAsia="nl-NL"/>
              </w:rPr>
              <w:t>1980 (32.2)</w:t>
            </w:r>
          </w:p>
          <w:p w14:paraId="6191EA4C" w14:textId="228CA5C1" w:rsidR="00F32683" w:rsidRPr="009824AD" w:rsidRDefault="00F32683" w:rsidP="006E3A16">
            <w:pPr>
              <w:jc w:val="center"/>
              <w:rPr>
                <w:rFonts w:ascii="Helvetica" w:eastAsia="Times New Roman" w:hAnsi="Helvetica" w:cs="Calibri"/>
                <w:sz w:val="20"/>
                <w:szCs w:val="20"/>
                <w:lang w:val="en-US" w:eastAsia="nl-NL"/>
              </w:rPr>
            </w:pPr>
            <w:r>
              <w:rPr>
                <w:rFonts w:ascii="Helvetica" w:eastAsia="Times New Roman" w:hAnsi="Helvetica" w:cs="Calibri"/>
                <w:sz w:val="20"/>
                <w:szCs w:val="20"/>
                <w:lang w:val="en-US" w:eastAsia="nl-NL"/>
              </w:rPr>
              <w:t>211 (3.3)</w:t>
            </w:r>
          </w:p>
        </w:tc>
        <w:tc>
          <w:tcPr>
            <w:tcW w:w="1843" w:type="dxa"/>
            <w:vAlign w:val="center"/>
          </w:tcPr>
          <w:p w14:paraId="56CE526D" w14:textId="77777777" w:rsidR="000D44B8" w:rsidRDefault="000D44B8" w:rsidP="006E3A16">
            <w:pPr>
              <w:jc w:val="center"/>
              <w:rPr>
                <w:rFonts w:ascii="Helvetica" w:hAnsi="Helvetica" w:cs="Calibri"/>
                <w:sz w:val="20"/>
                <w:szCs w:val="20"/>
                <w:lang w:val="en-US" w:eastAsia="nl-NL"/>
              </w:rPr>
            </w:pPr>
            <w:r w:rsidRPr="009824AD">
              <w:rPr>
                <w:rFonts w:ascii="Helvetica" w:hAnsi="Helvetica" w:cs="Calibri"/>
                <w:sz w:val="20"/>
                <w:szCs w:val="20"/>
                <w:lang w:val="en-US" w:eastAsia="nl-NL"/>
              </w:rPr>
              <w:t>1957 (30.9)</w:t>
            </w:r>
          </w:p>
          <w:p w14:paraId="35D65D7F" w14:textId="4272C6EA" w:rsidR="00F32683" w:rsidRPr="009824AD" w:rsidRDefault="00F32683" w:rsidP="006E3A16">
            <w:pPr>
              <w:jc w:val="center"/>
              <w:rPr>
                <w:rFonts w:ascii="Helvetica" w:hAnsi="Helvetica" w:cs="Calibri"/>
                <w:sz w:val="20"/>
                <w:szCs w:val="20"/>
                <w:lang w:val="en-US" w:eastAsia="nl-NL"/>
              </w:rPr>
            </w:pPr>
            <w:r>
              <w:rPr>
                <w:rFonts w:ascii="Helvetica" w:hAnsi="Helvetica" w:cs="Calibri"/>
                <w:sz w:val="20"/>
                <w:szCs w:val="20"/>
                <w:lang w:val="en-US" w:eastAsia="nl-NL"/>
              </w:rPr>
              <w:t>673 (9.6)</w:t>
            </w:r>
          </w:p>
        </w:tc>
        <w:tc>
          <w:tcPr>
            <w:tcW w:w="851" w:type="dxa"/>
          </w:tcPr>
          <w:p w14:paraId="7BCD9C96" w14:textId="77777777" w:rsidR="000D44B8" w:rsidRPr="009824AD" w:rsidRDefault="000D44B8" w:rsidP="006E3A16">
            <w:pPr>
              <w:tabs>
                <w:tab w:val="left" w:pos="310"/>
              </w:tabs>
              <w:jc w:val="center"/>
              <w:rPr>
                <w:rFonts w:ascii="Helvetica" w:eastAsia="Times New Roman" w:hAnsi="Helvetica" w:cs="Calibri"/>
                <w:color w:val="000000"/>
                <w:sz w:val="20"/>
                <w:szCs w:val="20"/>
                <w:lang w:val="en-US" w:eastAsia="nl-NL"/>
              </w:rPr>
            </w:pPr>
            <w:r w:rsidRPr="009824AD">
              <w:rPr>
                <w:rFonts w:ascii="Helvetica" w:eastAsia="Times New Roman" w:hAnsi="Helvetica" w:cs="Calibri"/>
                <w:color w:val="000000"/>
                <w:sz w:val="20"/>
                <w:szCs w:val="20"/>
                <w:lang w:val="en-US" w:eastAsia="nl-NL"/>
              </w:rPr>
              <w:t>0.126</w:t>
            </w:r>
          </w:p>
        </w:tc>
        <w:tc>
          <w:tcPr>
            <w:tcW w:w="708" w:type="dxa"/>
            <w:tcBorders>
              <w:right w:val="single" w:sz="4" w:space="0" w:color="auto"/>
            </w:tcBorders>
          </w:tcPr>
          <w:p w14:paraId="19FD2353" w14:textId="77777777" w:rsidR="000D44B8" w:rsidRPr="009824AD" w:rsidRDefault="000D44B8" w:rsidP="006E3A16">
            <w:pPr>
              <w:tabs>
                <w:tab w:val="left" w:pos="310"/>
              </w:tabs>
              <w:jc w:val="center"/>
              <w:rPr>
                <w:rFonts w:ascii="Helvetica" w:eastAsia="Times New Roman" w:hAnsi="Helvetica" w:cs="Calibri"/>
                <w:color w:val="000000"/>
                <w:sz w:val="20"/>
                <w:szCs w:val="20"/>
                <w:lang w:val="en-US" w:eastAsia="nl-NL"/>
              </w:rPr>
            </w:pPr>
            <w:r w:rsidRPr="009824AD">
              <w:rPr>
                <w:rFonts w:ascii="Helvetica" w:eastAsia="Times New Roman" w:hAnsi="Helvetica" w:cs="Calibri"/>
                <w:color w:val="000000"/>
                <w:sz w:val="20"/>
                <w:szCs w:val="20"/>
                <w:lang w:val="en-US" w:eastAsia="nl-NL"/>
              </w:rPr>
              <w:t>0.03</w:t>
            </w:r>
          </w:p>
        </w:tc>
        <w:tc>
          <w:tcPr>
            <w:tcW w:w="1843" w:type="dxa"/>
            <w:tcBorders>
              <w:left w:val="single" w:sz="4" w:space="0" w:color="auto"/>
            </w:tcBorders>
            <w:vAlign w:val="center"/>
          </w:tcPr>
          <w:p w14:paraId="1F40F24F" w14:textId="77777777" w:rsidR="000D44B8" w:rsidRPr="009824AD" w:rsidRDefault="000D44B8" w:rsidP="006E3A16">
            <w:pPr>
              <w:jc w:val="center"/>
              <w:rPr>
                <w:rFonts w:ascii="Helvetica" w:eastAsia="Times New Roman" w:hAnsi="Helvetica" w:cs="Calibri"/>
                <w:color w:val="000000" w:themeColor="text1"/>
                <w:sz w:val="20"/>
                <w:szCs w:val="20"/>
                <w:lang w:val="en-US" w:eastAsia="nl-NL"/>
              </w:rPr>
            </w:pPr>
            <w:r w:rsidRPr="009824AD">
              <w:rPr>
                <w:rFonts w:ascii="Helvetica" w:eastAsia="Times New Roman" w:hAnsi="Helvetica" w:cs="Calibri"/>
                <w:color w:val="000000" w:themeColor="text1"/>
                <w:sz w:val="20"/>
                <w:szCs w:val="20"/>
                <w:lang w:val="en-US" w:eastAsia="nl-NL"/>
              </w:rPr>
              <w:t>1160 (32.5)</w:t>
            </w:r>
          </w:p>
        </w:tc>
        <w:tc>
          <w:tcPr>
            <w:tcW w:w="1843" w:type="dxa"/>
            <w:vAlign w:val="center"/>
          </w:tcPr>
          <w:p w14:paraId="199C7B4C" w14:textId="77777777" w:rsidR="000D44B8" w:rsidRPr="009824AD" w:rsidRDefault="000D44B8" w:rsidP="006E3A16">
            <w:pPr>
              <w:jc w:val="center"/>
              <w:rPr>
                <w:rFonts w:ascii="Helvetica" w:hAnsi="Helvetica" w:cs="Calibri"/>
                <w:color w:val="000000" w:themeColor="text1"/>
                <w:sz w:val="20"/>
                <w:szCs w:val="20"/>
                <w:lang w:val="en-US" w:eastAsia="nl-NL"/>
              </w:rPr>
            </w:pPr>
            <w:r w:rsidRPr="009824AD">
              <w:rPr>
                <w:rFonts w:ascii="Helvetica" w:hAnsi="Helvetica" w:cs="Calibri"/>
                <w:color w:val="000000" w:themeColor="text1"/>
                <w:sz w:val="20"/>
                <w:szCs w:val="20"/>
                <w:lang w:val="en-US" w:eastAsia="nl-NL"/>
              </w:rPr>
              <w:t>1133 (31.8)</w:t>
            </w:r>
          </w:p>
        </w:tc>
        <w:tc>
          <w:tcPr>
            <w:tcW w:w="850" w:type="dxa"/>
          </w:tcPr>
          <w:p w14:paraId="2332C7BC" w14:textId="77777777" w:rsidR="000D44B8" w:rsidRPr="009824AD" w:rsidRDefault="000D44B8" w:rsidP="006E3A16">
            <w:pPr>
              <w:tabs>
                <w:tab w:val="left" w:pos="310"/>
              </w:tabs>
              <w:jc w:val="center"/>
              <w:rPr>
                <w:rFonts w:ascii="Helvetica" w:eastAsia="Times New Roman" w:hAnsi="Helvetica" w:cs="Calibri"/>
                <w:color w:val="000000" w:themeColor="text1"/>
                <w:sz w:val="20"/>
                <w:szCs w:val="20"/>
                <w:lang w:val="en-US" w:eastAsia="nl-NL"/>
              </w:rPr>
            </w:pPr>
            <w:r w:rsidRPr="009824AD">
              <w:rPr>
                <w:rFonts w:ascii="Helvetica" w:eastAsia="Times New Roman" w:hAnsi="Helvetica" w:cs="Calibri"/>
                <w:color w:val="000000" w:themeColor="text1"/>
                <w:sz w:val="20"/>
                <w:szCs w:val="20"/>
                <w:lang w:val="en-US" w:eastAsia="nl-NL"/>
              </w:rPr>
              <w:t>0.494</w:t>
            </w:r>
          </w:p>
        </w:tc>
        <w:tc>
          <w:tcPr>
            <w:tcW w:w="709" w:type="dxa"/>
          </w:tcPr>
          <w:p w14:paraId="6E2548D1" w14:textId="77777777" w:rsidR="000D44B8" w:rsidRPr="009824AD" w:rsidRDefault="000D44B8" w:rsidP="006E3A16">
            <w:pPr>
              <w:tabs>
                <w:tab w:val="left" w:pos="310"/>
              </w:tabs>
              <w:jc w:val="center"/>
              <w:rPr>
                <w:rFonts w:ascii="Helvetica" w:eastAsia="Times New Roman" w:hAnsi="Helvetica" w:cs="Calibri"/>
                <w:color w:val="000000" w:themeColor="text1"/>
                <w:sz w:val="20"/>
                <w:szCs w:val="20"/>
                <w:lang w:val="en-US" w:eastAsia="nl-NL"/>
              </w:rPr>
            </w:pPr>
            <w:r w:rsidRPr="009824AD">
              <w:rPr>
                <w:rFonts w:ascii="Helvetica" w:eastAsia="Times New Roman" w:hAnsi="Helvetica" w:cs="Calibri"/>
                <w:color w:val="000000" w:themeColor="text1"/>
                <w:sz w:val="20"/>
                <w:szCs w:val="20"/>
                <w:lang w:val="en-US" w:eastAsia="nl-NL"/>
              </w:rPr>
              <w:t>0.02</w:t>
            </w:r>
          </w:p>
        </w:tc>
      </w:tr>
      <w:tr w:rsidR="000D44B8" w:rsidRPr="009824AD" w14:paraId="1D8B6127" w14:textId="77777777" w:rsidTr="00C67DD2">
        <w:tc>
          <w:tcPr>
            <w:tcW w:w="4395" w:type="dxa"/>
            <w:tcBorders>
              <w:right w:val="single" w:sz="4" w:space="0" w:color="auto"/>
            </w:tcBorders>
            <w:vAlign w:val="center"/>
          </w:tcPr>
          <w:p w14:paraId="410C38D5" w14:textId="77777777" w:rsidR="000D44B8" w:rsidRDefault="000D44B8" w:rsidP="006E3A16">
            <w:pPr>
              <w:tabs>
                <w:tab w:val="left" w:pos="310"/>
              </w:tabs>
              <w:ind w:left="170"/>
              <w:rPr>
                <w:rFonts w:ascii="Helvetica" w:eastAsia="Times New Roman" w:hAnsi="Helvetica" w:cs="Calibri"/>
                <w:sz w:val="20"/>
                <w:szCs w:val="20"/>
                <w:lang w:val="en-US" w:eastAsia="nl-NL"/>
              </w:rPr>
            </w:pPr>
            <w:r w:rsidRPr="009824AD">
              <w:rPr>
                <w:rFonts w:ascii="Helvetica" w:eastAsia="Times New Roman" w:hAnsi="Helvetica" w:cs="Calibri"/>
                <w:sz w:val="20"/>
                <w:szCs w:val="20"/>
                <w:lang w:val="en-US" w:eastAsia="nl-NL"/>
              </w:rPr>
              <w:t>Previous liver surgery (%)</w:t>
            </w:r>
          </w:p>
          <w:p w14:paraId="459D2E91" w14:textId="07C6E382" w:rsidR="00F32683" w:rsidRPr="00C67DD2" w:rsidRDefault="00F32683" w:rsidP="006E3A16">
            <w:pPr>
              <w:tabs>
                <w:tab w:val="left" w:pos="310"/>
              </w:tabs>
              <w:ind w:left="170"/>
              <w:rPr>
                <w:rFonts w:ascii="Helvetica" w:eastAsia="Times New Roman" w:hAnsi="Helvetica" w:cs="Calibri"/>
                <w:i/>
                <w:iCs/>
                <w:sz w:val="20"/>
                <w:szCs w:val="20"/>
                <w:lang w:val="en-US" w:eastAsia="nl-NL"/>
              </w:rPr>
            </w:pPr>
            <w:r>
              <w:rPr>
                <w:rFonts w:ascii="Helvetica" w:eastAsia="Times New Roman" w:hAnsi="Helvetica" w:cs="Calibri"/>
                <w:i/>
                <w:iCs/>
                <w:sz w:val="20"/>
                <w:szCs w:val="20"/>
                <w:lang w:val="en-US" w:eastAsia="nl-NL"/>
              </w:rPr>
              <w:tab/>
            </w:r>
            <w:r w:rsidRPr="00C67DD2">
              <w:rPr>
                <w:rFonts w:ascii="Helvetica" w:eastAsia="Times New Roman" w:hAnsi="Helvetica" w:cs="Calibri"/>
                <w:i/>
                <w:iCs/>
                <w:sz w:val="20"/>
                <w:szCs w:val="20"/>
                <w:lang w:val="en-US" w:eastAsia="nl-NL"/>
              </w:rPr>
              <w:t>Missing (%)</w:t>
            </w:r>
          </w:p>
        </w:tc>
        <w:tc>
          <w:tcPr>
            <w:tcW w:w="1842" w:type="dxa"/>
            <w:tcBorders>
              <w:left w:val="single" w:sz="4" w:space="0" w:color="auto"/>
            </w:tcBorders>
            <w:vAlign w:val="center"/>
          </w:tcPr>
          <w:p w14:paraId="7EEE65DE" w14:textId="77777777" w:rsidR="000D44B8" w:rsidRDefault="000D44B8" w:rsidP="006E3A16">
            <w:pPr>
              <w:jc w:val="center"/>
              <w:rPr>
                <w:rFonts w:ascii="Helvetica" w:eastAsia="Times New Roman" w:hAnsi="Helvetica" w:cs="Calibri"/>
                <w:sz w:val="20"/>
                <w:szCs w:val="20"/>
                <w:lang w:val="en-US" w:eastAsia="nl-NL"/>
              </w:rPr>
            </w:pPr>
            <w:r w:rsidRPr="009824AD">
              <w:rPr>
                <w:rFonts w:ascii="Helvetica" w:eastAsia="Times New Roman" w:hAnsi="Helvetica" w:cs="Calibri"/>
                <w:sz w:val="20"/>
                <w:szCs w:val="20"/>
                <w:lang w:val="en-US" w:eastAsia="nl-NL"/>
              </w:rPr>
              <w:t>557 (11.2)</w:t>
            </w:r>
          </w:p>
          <w:p w14:paraId="3A1042A6" w14:textId="74ABFA50" w:rsidR="00F32683" w:rsidRPr="009824AD" w:rsidRDefault="00F32683" w:rsidP="006E3A16">
            <w:pPr>
              <w:jc w:val="center"/>
              <w:rPr>
                <w:rFonts w:ascii="Helvetica" w:eastAsia="Times New Roman" w:hAnsi="Helvetica" w:cs="Calibri"/>
                <w:sz w:val="20"/>
                <w:szCs w:val="20"/>
                <w:lang w:val="en-US" w:eastAsia="nl-NL"/>
              </w:rPr>
            </w:pPr>
            <w:r>
              <w:rPr>
                <w:rFonts w:ascii="Helvetica" w:eastAsia="Times New Roman" w:hAnsi="Helvetica" w:cs="Calibri"/>
                <w:sz w:val="20"/>
                <w:szCs w:val="20"/>
                <w:lang w:val="en-US" w:eastAsia="nl-NL"/>
              </w:rPr>
              <w:t>1402 (22.0)</w:t>
            </w:r>
          </w:p>
        </w:tc>
        <w:tc>
          <w:tcPr>
            <w:tcW w:w="1843" w:type="dxa"/>
            <w:vAlign w:val="center"/>
          </w:tcPr>
          <w:p w14:paraId="5BFDF2F2" w14:textId="77777777" w:rsidR="000D44B8" w:rsidRDefault="000D44B8" w:rsidP="006E3A16">
            <w:pPr>
              <w:jc w:val="center"/>
              <w:rPr>
                <w:rFonts w:ascii="Helvetica" w:hAnsi="Helvetica" w:cs="Calibri"/>
                <w:sz w:val="20"/>
                <w:szCs w:val="20"/>
                <w:lang w:val="en-US" w:eastAsia="nl-NL"/>
              </w:rPr>
            </w:pPr>
            <w:r w:rsidRPr="009824AD">
              <w:rPr>
                <w:rFonts w:ascii="Helvetica" w:hAnsi="Helvetica" w:cs="Calibri"/>
                <w:sz w:val="20"/>
                <w:szCs w:val="20"/>
                <w:lang w:val="en-US" w:eastAsia="nl-NL"/>
              </w:rPr>
              <w:t>841 (15.7)</w:t>
            </w:r>
          </w:p>
          <w:p w14:paraId="1CD9A935" w14:textId="100211FC" w:rsidR="00F32683" w:rsidRPr="009824AD" w:rsidRDefault="00F32683" w:rsidP="006E3A16">
            <w:pPr>
              <w:jc w:val="center"/>
              <w:rPr>
                <w:rFonts w:ascii="Helvetica" w:hAnsi="Helvetica" w:cs="Calibri"/>
                <w:sz w:val="20"/>
                <w:szCs w:val="20"/>
                <w:lang w:val="en-US" w:eastAsia="nl-NL"/>
              </w:rPr>
            </w:pPr>
            <w:r>
              <w:rPr>
                <w:rFonts w:ascii="Helvetica" w:hAnsi="Helvetica" w:cs="Calibri"/>
                <w:sz w:val="20"/>
                <w:szCs w:val="20"/>
                <w:lang w:val="en-US" w:eastAsia="nl-NL"/>
              </w:rPr>
              <w:t>1651 (23.6)</w:t>
            </w:r>
          </w:p>
        </w:tc>
        <w:tc>
          <w:tcPr>
            <w:tcW w:w="851" w:type="dxa"/>
          </w:tcPr>
          <w:p w14:paraId="653D13FE" w14:textId="050DD15D" w:rsidR="00F32683" w:rsidRPr="009824AD" w:rsidRDefault="000D44B8" w:rsidP="00F32683">
            <w:pPr>
              <w:tabs>
                <w:tab w:val="left" w:pos="310"/>
              </w:tabs>
              <w:jc w:val="center"/>
              <w:rPr>
                <w:rFonts w:ascii="Helvetica" w:eastAsia="Times New Roman" w:hAnsi="Helvetica" w:cs="Calibri"/>
                <w:b/>
                <w:bCs/>
                <w:color w:val="000000"/>
                <w:sz w:val="20"/>
                <w:szCs w:val="20"/>
                <w:lang w:val="en-US" w:eastAsia="nl-NL"/>
              </w:rPr>
            </w:pPr>
            <w:r w:rsidRPr="009824AD">
              <w:rPr>
                <w:rFonts w:ascii="Helvetica" w:eastAsia="Times New Roman" w:hAnsi="Helvetica" w:cs="Calibri"/>
                <w:b/>
                <w:bCs/>
                <w:color w:val="000000"/>
                <w:sz w:val="20"/>
                <w:szCs w:val="20"/>
                <w:lang w:val="en-US" w:eastAsia="nl-NL"/>
              </w:rPr>
              <w:t>&lt;0.001</w:t>
            </w:r>
          </w:p>
        </w:tc>
        <w:tc>
          <w:tcPr>
            <w:tcW w:w="708" w:type="dxa"/>
            <w:tcBorders>
              <w:right w:val="single" w:sz="4" w:space="0" w:color="auto"/>
            </w:tcBorders>
          </w:tcPr>
          <w:p w14:paraId="7334EAE3" w14:textId="77777777" w:rsidR="000D44B8" w:rsidRPr="009824AD" w:rsidRDefault="000D44B8" w:rsidP="006E3A16">
            <w:pPr>
              <w:tabs>
                <w:tab w:val="left" w:pos="310"/>
              </w:tabs>
              <w:jc w:val="center"/>
              <w:rPr>
                <w:rFonts w:ascii="Helvetica" w:eastAsia="Times New Roman" w:hAnsi="Helvetica" w:cs="Calibri"/>
                <w:color w:val="000000"/>
                <w:sz w:val="20"/>
                <w:szCs w:val="20"/>
                <w:lang w:val="en-US" w:eastAsia="nl-NL"/>
              </w:rPr>
            </w:pPr>
            <w:r w:rsidRPr="009824AD">
              <w:rPr>
                <w:rFonts w:ascii="Helvetica" w:eastAsia="Times New Roman" w:hAnsi="Helvetica" w:cs="Calibri"/>
                <w:color w:val="000000"/>
                <w:sz w:val="20"/>
                <w:szCs w:val="20"/>
                <w:lang w:val="en-US" w:eastAsia="nl-NL"/>
              </w:rPr>
              <w:t>0.13</w:t>
            </w:r>
          </w:p>
        </w:tc>
        <w:tc>
          <w:tcPr>
            <w:tcW w:w="1843" w:type="dxa"/>
            <w:tcBorders>
              <w:left w:val="single" w:sz="4" w:space="0" w:color="auto"/>
            </w:tcBorders>
            <w:vAlign w:val="center"/>
          </w:tcPr>
          <w:p w14:paraId="5023EAB8" w14:textId="77777777" w:rsidR="000D44B8" w:rsidRPr="009824AD" w:rsidRDefault="000D44B8" w:rsidP="006E3A16">
            <w:pPr>
              <w:jc w:val="center"/>
              <w:rPr>
                <w:rFonts w:ascii="Helvetica" w:eastAsia="Times New Roman" w:hAnsi="Helvetica" w:cs="Calibri"/>
                <w:color w:val="000000" w:themeColor="text1"/>
                <w:sz w:val="20"/>
                <w:szCs w:val="20"/>
                <w:lang w:val="en-US" w:eastAsia="nl-NL"/>
              </w:rPr>
            </w:pPr>
            <w:r w:rsidRPr="009824AD">
              <w:rPr>
                <w:rFonts w:ascii="Helvetica" w:eastAsia="Times New Roman" w:hAnsi="Helvetica" w:cs="Calibri"/>
                <w:color w:val="000000" w:themeColor="text1"/>
                <w:sz w:val="20"/>
                <w:szCs w:val="20"/>
                <w:lang w:val="en-US" w:eastAsia="nl-NL"/>
              </w:rPr>
              <w:t>396 (11.1)</w:t>
            </w:r>
          </w:p>
        </w:tc>
        <w:tc>
          <w:tcPr>
            <w:tcW w:w="1843" w:type="dxa"/>
            <w:vAlign w:val="center"/>
          </w:tcPr>
          <w:p w14:paraId="0CF0702F" w14:textId="77777777" w:rsidR="000D44B8" w:rsidRPr="009824AD" w:rsidRDefault="000D44B8" w:rsidP="006E3A16">
            <w:pPr>
              <w:jc w:val="center"/>
              <w:rPr>
                <w:rFonts w:ascii="Helvetica" w:hAnsi="Helvetica" w:cs="Calibri"/>
                <w:color w:val="000000" w:themeColor="text1"/>
                <w:sz w:val="20"/>
                <w:szCs w:val="20"/>
                <w:lang w:val="en-US" w:eastAsia="nl-NL"/>
              </w:rPr>
            </w:pPr>
            <w:r w:rsidRPr="009824AD">
              <w:rPr>
                <w:rFonts w:ascii="Helvetica" w:hAnsi="Helvetica" w:cs="Calibri"/>
                <w:color w:val="000000" w:themeColor="text1"/>
                <w:sz w:val="20"/>
                <w:szCs w:val="20"/>
                <w:lang w:val="en-US" w:eastAsia="nl-NL"/>
              </w:rPr>
              <w:t>393 (11.0)</w:t>
            </w:r>
          </w:p>
        </w:tc>
        <w:tc>
          <w:tcPr>
            <w:tcW w:w="850" w:type="dxa"/>
          </w:tcPr>
          <w:p w14:paraId="7F0C7EA8" w14:textId="77777777" w:rsidR="000D44B8" w:rsidRPr="009824AD" w:rsidRDefault="000D44B8" w:rsidP="006E3A16">
            <w:pPr>
              <w:tabs>
                <w:tab w:val="left" w:pos="310"/>
              </w:tabs>
              <w:jc w:val="center"/>
              <w:rPr>
                <w:rFonts w:ascii="Helvetica" w:eastAsia="Times New Roman" w:hAnsi="Helvetica" w:cs="Calibri"/>
                <w:color w:val="000000" w:themeColor="text1"/>
                <w:sz w:val="20"/>
                <w:szCs w:val="20"/>
                <w:lang w:val="en-US" w:eastAsia="nl-NL"/>
              </w:rPr>
            </w:pPr>
            <w:r w:rsidRPr="009824AD">
              <w:rPr>
                <w:rFonts w:ascii="Helvetica" w:eastAsia="Times New Roman" w:hAnsi="Helvetica" w:cs="Calibri"/>
                <w:color w:val="000000" w:themeColor="text1"/>
                <w:sz w:val="20"/>
                <w:szCs w:val="20"/>
                <w:lang w:val="en-US" w:eastAsia="nl-NL"/>
              </w:rPr>
              <w:t>0.910</w:t>
            </w:r>
          </w:p>
        </w:tc>
        <w:tc>
          <w:tcPr>
            <w:tcW w:w="709" w:type="dxa"/>
          </w:tcPr>
          <w:p w14:paraId="1D63ED18" w14:textId="77777777" w:rsidR="000D44B8" w:rsidRPr="009824AD" w:rsidRDefault="000D44B8" w:rsidP="006E3A16">
            <w:pPr>
              <w:tabs>
                <w:tab w:val="left" w:pos="310"/>
              </w:tabs>
              <w:jc w:val="center"/>
              <w:rPr>
                <w:rFonts w:ascii="Helvetica" w:eastAsia="Times New Roman" w:hAnsi="Helvetica" w:cs="Calibri"/>
                <w:color w:val="000000" w:themeColor="text1"/>
                <w:sz w:val="20"/>
                <w:szCs w:val="20"/>
                <w:lang w:val="en-US" w:eastAsia="nl-NL"/>
              </w:rPr>
            </w:pPr>
            <w:r w:rsidRPr="009824AD">
              <w:rPr>
                <w:rFonts w:ascii="Helvetica" w:eastAsia="Times New Roman" w:hAnsi="Helvetica" w:cs="Calibri"/>
                <w:color w:val="000000" w:themeColor="text1"/>
                <w:sz w:val="20"/>
                <w:szCs w:val="20"/>
                <w:lang w:val="en-US" w:eastAsia="nl-NL"/>
              </w:rPr>
              <w:t>0.00</w:t>
            </w:r>
          </w:p>
        </w:tc>
      </w:tr>
      <w:tr w:rsidR="000D44B8" w:rsidRPr="009824AD" w14:paraId="5AB97C03" w14:textId="77777777" w:rsidTr="00C67DD2">
        <w:tc>
          <w:tcPr>
            <w:tcW w:w="4395" w:type="dxa"/>
            <w:tcBorders>
              <w:right w:val="single" w:sz="4" w:space="0" w:color="auto"/>
            </w:tcBorders>
            <w:vAlign w:val="center"/>
          </w:tcPr>
          <w:p w14:paraId="071AC7D3" w14:textId="26A5096B" w:rsidR="000D44B8" w:rsidRPr="009824AD" w:rsidRDefault="000D44B8" w:rsidP="006E3A16">
            <w:pPr>
              <w:rPr>
                <w:rFonts w:ascii="Helvetica" w:eastAsia="Times New Roman" w:hAnsi="Helvetica" w:cs="Calibri"/>
                <w:b/>
                <w:sz w:val="20"/>
                <w:szCs w:val="20"/>
                <w:lang w:val="en-US" w:eastAsia="nl-NL"/>
              </w:rPr>
            </w:pPr>
            <w:r w:rsidRPr="009824AD">
              <w:rPr>
                <w:rFonts w:ascii="Helvetica" w:eastAsia="Times New Roman" w:hAnsi="Helvetica" w:cs="Calibri"/>
                <w:b/>
                <w:sz w:val="20"/>
                <w:szCs w:val="20"/>
                <w:lang w:val="en-US" w:eastAsia="nl-NL"/>
              </w:rPr>
              <w:t>Tumor characteristics</w:t>
            </w:r>
          </w:p>
        </w:tc>
        <w:tc>
          <w:tcPr>
            <w:tcW w:w="1842" w:type="dxa"/>
            <w:tcBorders>
              <w:left w:val="single" w:sz="4" w:space="0" w:color="auto"/>
            </w:tcBorders>
          </w:tcPr>
          <w:p w14:paraId="2970950A" w14:textId="77777777" w:rsidR="000D44B8" w:rsidRPr="009824AD" w:rsidRDefault="000D44B8" w:rsidP="006E3A16">
            <w:pPr>
              <w:jc w:val="center"/>
              <w:rPr>
                <w:rFonts w:ascii="Helvetica" w:hAnsi="Helvetica" w:cs="Calibri"/>
                <w:sz w:val="20"/>
                <w:szCs w:val="20"/>
                <w:lang w:val="en-US"/>
              </w:rPr>
            </w:pPr>
          </w:p>
        </w:tc>
        <w:tc>
          <w:tcPr>
            <w:tcW w:w="1843" w:type="dxa"/>
          </w:tcPr>
          <w:p w14:paraId="5F125AA0" w14:textId="77777777" w:rsidR="000D44B8" w:rsidRPr="009824AD" w:rsidRDefault="000D44B8" w:rsidP="006E3A16">
            <w:pPr>
              <w:jc w:val="center"/>
              <w:rPr>
                <w:rFonts w:ascii="Helvetica" w:hAnsi="Helvetica" w:cs="Calibri"/>
                <w:sz w:val="20"/>
                <w:szCs w:val="20"/>
                <w:lang w:val="en-US"/>
              </w:rPr>
            </w:pPr>
          </w:p>
        </w:tc>
        <w:tc>
          <w:tcPr>
            <w:tcW w:w="851" w:type="dxa"/>
          </w:tcPr>
          <w:p w14:paraId="5E2B9C97" w14:textId="77777777" w:rsidR="000D44B8" w:rsidRPr="009824AD" w:rsidRDefault="000D44B8" w:rsidP="006E3A16">
            <w:pPr>
              <w:jc w:val="center"/>
              <w:rPr>
                <w:rFonts w:ascii="Helvetica" w:hAnsi="Helvetica" w:cs="Calibri"/>
                <w:sz w:val="20"/>
                <w:szCs w:val="20"/>
                <w:lang w:val="en-US"/>
              </w:rPr>
            </w:pPr>
          </w:p>
        </w:tc>
        <w:tc>
          <w:tcPr>
            <w:tcW w:w="708" w:type="dxa"/>
            <w:tcBorders>
              <w:right w:val="single" w:sz="4" w:space="0" w:color="auto"/>
            </w:tcBorders>
          </w:tcPr>
          <w:p w14:paraId="4A233F58" w14:textId="77777777" w:rsidR="000D44B8" w:rsidRPr="009824AD" w:rsidRDefault="000D44B8" w:rsidP="006E3A16">
            <w:pPr>
              <w:jc w:val="center"/>
              <w:rPr>
                <w:rFonts w:ascii="Helvetica" w:hAnsi="Helvetica" w:cs="Calibri"/>
                <w:sz w:val="20"/>
                <w:szCs w:val="20"/>
                <w:lang w:val="en-US"/>
              </w:rPr>
            </w:pPr>
          </w:p>
        </w:tc>
        <w:tc>
          <w:tcPr>
            <w:tcW w:w="1843" w:type="dxa"/>
            <w:tcBorders>
              <w:left w:val="single" w:sz="4" w:space="0" w:color="auto"/>
            </w:tcBorders>
          </w:tcPr>
          <w:p w14:paraId="454201CA" w14:textId="77777777" w:rsidR="000D44B8" w:rsidRPr="009824AD" w:rsidRDefault="000D44B8" w:rsidP="006E3A16">
            <w:pPr>
              <w:jc w:val="center"/>
              <w:rPr>
                <w:rFonts w:ascii="Helvetica" w:hAnsi="Helvetica" w:cs="Calibri"/>
                <w:color w:val="000000" w:themeColor="text1"/>
                <w:sz w:val="20"/>
                <w:szCs w:val="20"/>
                <w:lang w:val="en-US"/>
              </w:rPr>
            </w:pPr>
          </w:p>
        </w:tc>
        <w:tc>
          <w:tcPr>
            <w:tcW w:w="1843" w:type="dxa"/>
          </w:tcPr>
          <w:p w14:paraId="104B6EAA" w14:textId="77777777" w:rsidR="000D44B8" w:rsidRPr="009824AD" w:rsidRDefault="000D44B8" w:rsidP="006E3A16">
            <w:pPr>
              <w:jc w:val="center"/>
              <w:rPr>
                <w:rFonts w:ascii="Helvetica" w:hAnsi="Helvetica" w:cs="Calibri"/>
                <w:color w:val="000000" w:themeColor="text1"/>
                <w:sz w:val="20"/>
                <w:szCs w:val="20"/>
                <w:lang w:val="en-US"/>
              </w:rPr>
            </w:pPr>
          </w:p>
        </w:tc>
        <w:tc>
          <w:tcPr>
            <w:tcW w:w="850" w:type="dxa"/>
          </w:tcPr>
          <w:p w14:paraId="38E11FCA" w14:textId="77777777" w:rsidR="000D44B8" w:rsidRPr="009824AD" w:rsidRDefault="000D44B8" w:rsidP="006E3A16">
            <w:pPr>
              <w:jc w:val="center"/>
              <w:rPr>
                <w:rFonts w:ascii="Helvetica" w:hAnsi="Helvetica" w:cs="Calibri"/>
                <w:color w:val="000000" w:themeColor="text1"/>
                <w:sz w:val="20"/>
                <w:szCs w:val="20"/>
                <w:lang w:val="en-US"/>
              </w:rPr>
            </w:pPr>
          </w:p>
        </w:tc>
        <w:tc>
          <w:tcPr>
            <w:tcW w:w="709" w:type="dxa"/>
          </w:tcPr>
          <w:p w14:paraId="2F8D4C6B" w14:textId="77777777" w:rsidR="000D44B8" w:rsidRPr="009824AD" w:rsidRDefault="000D44B8" w:rsidP="006E3A16">
            <w:pPr>
              <w:jc w:val="center"/>
              <w:rPr>
                <w:rFonts w:ascii="Helvetica" w:hAnsi="Helvetica" w:cs="Calibri"/>
                <w:color w:val="000000" w:themeColor="text1"/>
                <w:sz w:val="20"/>
                <w:szCs w:val="20"/>
                <w:lang w:val="en-US"/>
              </w:rPr>
            </w:pPr>
          </w:p>
        </w:tc>
      </w:tr>
      <w:tr w:rsidR="000D44B8" w:rsidRPr="009824AD" w14:paraId="0D0F45BF" w14:textId="77777777" w:rsidTr="00C67DD2">
        <w:tc>
          <w:tcPr>
            <w:tcW w:w="4395" w:type="dxa"/>
            <w:tcBorders>
              <w:right w:val="single" w:sz="4" w:space="0" w:color="auto"/>
            </w:tcBorders>
            <w:vAlign w:val="center"/>
          </w:tcPr>
          <w:p w14:paraId="18D76273" w14:textId="77777777" w:rsidR="000D44B8" w:rsidRPr="009824AD" w:rsidRDefault="000D44B8" w:rsidP="006E3A16">
            <w:pPr>
              <w:tabs>
                <w:tab w:val="left" w:pos="310"/>
              </w:tabs>
              <w:ind w:left="170"/>
              <w:rPr>
                <w:rFonts w:ascii="Helvetica" w:eastAsia="Times New Roman" w:hAnsi="Helvetica" w:cs="Calibri"/>
                <w:sz w:val="20"/>
                <w:szCs w:val="20"/>
                <w:lang w:val="en-US" w:eastAsia="nl-NL"/>
              </w:rPr>
            </w:pPr>
            <w:r w:rsidRPr="009824AD">
              <w:rPr>
                <w:rFonts w:ascii="Helvetica" w:eastAsia="Times New Roman" w:hAnsi="Helvetica" w:cs="Calibri"/>
                <w:sz w:val="20"/>
                <w:szCs w:val="20"/>
                <w:lang w:val="en-US" w:eastAsia="nl-NL"/>
              </w:rPr>
              <w:t>Histological Diagnosis</w:t>
            </w:r>
          </w:p>
          <w:p w14:paraId="19E883B6" w14:textId="77777777" w:rsidR="000D44B8" w:rsidRPr="009824AD" w:rsidRDefault="000D44B8" w:rsidP="006E3A16">
            <w:pPr>
              <w:tabs>
                <w:tab w:val="left" w:pos="310"/>
              </w:tabs>
              <w:ind w:left="170"/>
              <w:contextualSpacing/>
              <w:rPr>
                <w:rFonts w:ascii="Helvetica" w:hAnsi="Helvetica" w:cs="Calibri"/>
                <w:sz w:val="20"/>
                <w:szCs w:val="20"/>
                <w:lang w:val="en-US"/>
              </w:rPr>
            </w:pPr>
            <w:r w:rsidRPr="009824AD">
              <w:rPr>
                <w:rFonts w:ascii="Helvetica" w:hAnsi="Helvetica" w:cs="Calibri"/>
                <w:sz w:val="20"/>
                <w:szCs w:val="20"/>
                <w:lang w:val="en-US"/>
              </w:rPr>
              <w:tab/>
              <w:t>CRLM (%)</w:t>
            </w:r>
          </w:p>
          <w:p w14:paraId="08119DDC" w14:textId="77777777" w:rsidR="000D44B8" w:rsidRPr="009824AD" w:rsidRDefault="000D44B8" w:rsidP="006E3A16">
            <w:pPr>
              <w:tabs>
                <w:tab w:val="left" w:pos="310"/>
              </w:tabs>
              <w:ind w:left="170"/>
              <w:contextualSpacing/>
              <w:rPr>
                <w:rFonts w:ascii="Helvetica" w:hAnsi="Helvetica" w:cs="Calibri"/>
                <w:sz w:val="20"/>
                <w:szCs w:val="20"/>
                <w:lang w:val="en-US"/>
              </w:rPr>
            </w:pPr>
            <w:r w:rsidRPr="009824AD">
              <w:rPr>
                <w:rFonts w:ascii="Helvetica" w:hAnsi="Helvetica" w:cs="Calibri"/>
                <w:sz w:val="20"/>
                <w:szCs w:val="20"/>
                <w:lang w:val="en-US"/>
              </w:rPr>
              <w:tab/>
              <w:t>HCC (%)</w:t>
            </w:r>
          </w:p>
          <w:p w14:paraId="26E1B200" w14:textId="77777777" w:rsidR="000D44B8" w:rsidRPr="009824AD" w:rsidRDefault="000D44B8" w:rsidP="006E3A16">
            <w:pPr>
              <w:tabs>
                <w:tab w:val="left" w:pos="310"/>
              </w:tabs>
              <w:ind w:left="170"/>
              <w:contextualSpacing/>
              <w:rPr>
                <w:rFonts w:ascii="Helvetica" w:hAnsi="Helvetica" w:cs="Calibri"/>
                <w:sz w:val="20"/>
                <w:szCs w:val="20"/>
                <w:lang w:val="en-US"/>
              </w:rPr>
            </w:pPr>
            <w:r w:rsidRPr="009824AD">
              <w:rPr>
                <w:rFonts w:ascii="Helvetica" w:hAnsi="Helvetica" w:cs="Calibri"/>
                <w:sz w:val="20"/>
                <w:szCs w:val="20"/>
                <w:lang w:val="en-US"/>
              </w:rPr>
              <w:tab/>
              <w:t>Intrahepatic Cholangiocarcinoma (%)</w:t>
            </w:r>
          </w:p>
          <w:p w14:paraId="3B7682DE" w14:textId="77777777" w:rsidR="000D44B8" w:rsidRPr="009824AD" w:rsidRDefault="000D44B8" w:rsidP="006E3A16">
            <w:pPr>
              <w:tabs>
                <w:tab w:val="left" w:pos="310"/>
              </w:tabs>
              <w:ind w:left="170"/>
              <w:contextualSpacing/>
              <w:rPr>
                <w:rFonts w:ascii="Helvetica" w:hAnsi="Helvetica" w:cs="Calibri"/>
                <w:sz w:val="20"/>
                <w:szCs w:val="20"/>
                <w:lang w:val="en-US"/>
              </w:rPr>
            </w:pPr>
            <w:r w:rsidRPr="009824AD">
              <w:rPr>
                <w:rFonts w:ascii="Helvetica" w:hAnsi="Helvetica" w:cs="Calibri"/>
                <w:sz w:val="20"/>
                <w:szCs w:val="20"/>
                <w:lang w:val="en-US"/>
              </w:rPr>
              <w:tab/>
              <w:t>Gallbladdercarcinoma (%)</w:t>
            </w:r>
          </w:p>
          <w:p w14:paraId="4C874275" w14:textId="77777777" w:rsidR="000D44B8" w:rsidRPr="009824AD" w:rsidRDefault="000D44B8" w:rsidP="006E3A16">
            <w:pPr>
              <w:tabs>
                <w:tab w:val="left" w:pos="310"/>
              </w:tabs>
              <w:ind w:left="170"/>
              <w:contextualSpacing/>
              <w:rPr>
                <w:rFonts w:ascii="Helvetica" w:hAnsi="Helvetica" w:cs="Calibri"/>
                <w:sz w:val="20"/>
                <w:szCs w:val="20"/>
                <w:lang w:val="en-US"/>
              </w:rPr>
            </w:pPr>
            <w:r w:rsidRPr="009824AD">
              <w:rPr>
                <w:rFonts w:ascii="Helvetica" w:hAnsi="Helvetica" w:cs="Calibri"/>
                <w:sz w:val="20"/>
                <w:szCs w:val="20"/>
                <w:lang w:val="en-US"/>
              </w:rPr>
              <w:tab/>
              <w:t>Non-CRLM (%)</w:t>
            </w:r>
          </w:p>
          <w:p w14:paraId="7C0D6B1A" w14:textId="77777777" w:rsidR="000D44B8" w:rsidRPr="009824AD" w:rsidRDefault="000D44B8" w:rsidP="006E3A16">
            <w:pPr>
              <w:tabs>
                <w:tab w:val="left" w:pos="310"/>
              </w:tabs>
              <w:ind w:left="170"/>
              <w:contextualSpacing/>
              <w:rPr>
                <w:rFonts w:ascii="Helvetica" w:hAnsi="Helvetica" w:cs="Calibri"/>
                <w:sz w:val="20"/>
                <w:szCs w:val="20"/>
                <w:lang w:val="en-US"/>
              </w:rPr>
            </w:pPr>
            <w:r w:rsidRPr="009824AD">
              <w:rPr>
                <w:rFonts w:ascii="Helvetica" w:hAnsi="Helvetica" w:cs="Calibri"/>
                <w:sz w:val="20"/>
                <w:szCs w:val="20"/>
                <w:lang w:val="en-US"/>
              </w:rPr>
              <w:lastRenderedPageBreak/>
              <w:tab/>
              <w:t>Other malignancy (%)</w:t>
            </w:r>
          </w:p>
          <w:p w14:paraId="4229CBD3" w14:textId="77777777" w:rsidR="000D44B8" w:rsidRDefault="000D44B8" w:rsidP="006E3A16">
            <w:pPr>
              <w:tabs>
                <w:tab w:val="left" w:pos="310"/>
              </w:tabs>
              <w:ind w:left="170"/>
              <w:contextualSpacing/>
              <w:rPr>
                <w:rFonts w:ascii="Helvetica" w:hAnsi="Helvetica" w:cs="Calibri"/>
                <w:sz w:val="20"/>
                <w:szCs w:val="20"/>
                <w:lang w:val="en-US"/>
              </w:rPr>
            </w:pPr>
            <w:r w:rsidRPr="009824AD">
              <w:rPr>
                <w:rFonts w:ascii="Helvetica" w:hAnsi="Helvetica" w:cs="Calibri"/>
                <w:sz w:val="20"/>
                <w:szCs w:val="20"/>
                <w:lang w:val="en-US"/>
              </w:rPr>
              <w:tab/>
              <w:t>Benign (%)</w:t>
            </w:r>
          </w:p>
          <w:p w14:paraId="29D2B42A" w14:textId="1ABCD2DD" w:rsidR="00F32683" w:rsidRPr="00C67DD2" w:rsidRDefault="00F32683" w:rsidP="006E3A16">
            <w:pPr>
              <w:tabs>
                <w:tab w:val="left" w:pos="310"/>
              </w:tabs>
              <w:ind w:left="170"/>
              <w:contextualSpacing/>
              <w:rPr>
                <w:rFonts w:ascii="Helvetica" w:hAnsi="Helvetica" w:cs="Calibri"/>
                <w:i/>
                <w:iCs/>
                <w:sz w:val="20"/>
                <w:szCs w:val="20"/>
                <w:lang w:val="en-US"/>
              </w:rPr>
            </w:pPr>
            <w:r>
              <w:rPr>
                <w:rFonts w:ascii="Helvetica" w:hAnsi="Helvetica" w:cs="Calibri"/>
                <w:sz w:val="20"/>
                <w:szCs w:val="20"/>
                <w:lang w:val="en-US"/>
              </w:rPr>
              <w:tab/>
            </w:r>
            <w:r w:rsidRPr="00C67DD2">
              <w:rPr>
                <w:rFonts w:ascii="Helvetica" w:hAnsi="Helvetica" w:cs="Calibri"/>
                <w:i/>
                <w:iCs/>
                <w:sz w:val="20"/>
                <w:szCs w:val="20"/>
                <w:lang w:val="en-US"/>
              </w:rPr>
              <w:t>Missing (%)</w:t>
            </w:r>
          </w:p>
        </w:tc>
        <w:tc>
          <w:tcPr>
            <w:tcW w:w="1842" w:type="dxa"/>
            <w:tcBorders>
              <w:left w:val="single" w:sz="4" w:space="0" w:color="auto"/>
            </w:tcBorders>
            <w:vAlign w:val="center"/>
          </w:tcPr>
          <w:p w14:paraId="13568282" w14:textId="77777777" w:rsidR="000D44B8" w:rsidRPr="009824AD" w:rsidRDefault="000D44B8" w:rsidP="006E3A16">
            <w:pPr>
              <w:jc w:val="center"/>
              <w:rPr>
                <w:rFonts w:ascii="Helvetica" w:eastAsia="Times New Roman" w:hAnsi="Helvetica" w:cs="Calibri"/>
                <w:sz w:val="20"/>
                <w:szCs w:val="20"/>
                <w:lang w:val="en-US" w:eastAsia="nl-NL"/>
              </w:rPr>
            </w:pPr>
          </w:p>
          <w:p w14:paraId="78D96122" w14:textId="77777777" w:rsidR="000D44B8" w:rsidRPr="009824AD" w:rsidRDefault="000D44B8" w:rsidP="006E3A16">
            <w:pPr>
              <w:jc w:val="center"/>
              <w:rPr>
                <w:rFonts w:ascii="Helvetica" w:eastAsia="Times New Roman" w:hAnsi="Helvetica" w:cs="Calibri"/>
                <w:sz w:val="20"/>
                <w:szCs w:val="20"/>
                <w:lang w:val="en-US" w:eastAsia="nl-NL"/>
              </w:rPr>
            </w:pPr>
            <w:r w:rsidRPr="009824AD">
              <w:rPr>
                <w:rFonts w:ascii="Helvetica" w:eastAsia="Times New Roman" w:hAnsi="Helvetica" w:cs="Calibri"/>
                <w:sz w:val="20"/>
                <w:szCs w:val="20"/>
                <w:lang w:val="en-US" w:eastAsia="nl-NL"/>
              </w:rPr>
              <w:t>2882 (45.4)</w:t>
            </w:r>
          </w:p>
          <w:p w14:paraId="46704020" w14:textId="77777777" w:rsidR="000D44B8" w:rsidRPr="009824AD" w:rsidRDefault="000D44B8" w:rsidP="006E3A16">
            <w:pPr>
              <w:jc w:val="center"/>
              <w:rPr>
                <w:rFonts w:ascii="Helvetica" w:eastAsia="Times New Roman" w:hAnsi="Helvetica" w:cs="Calibri"/>
                <w:sz w:val="20"/>
                <w:szCs w:val="20"/>
                <w:lang w:val="en-US" w:eastAsia="nl-NL"/>
              </w:rPr>
            </w:pPr>
            <w:r w:rsidRPr="009824AD">
              <w:rPr>
                <w:rFonts w:ascii="Helvetica" w:eastAsia="Times New Roman" w:hAnsi="Helvetica" w:cs="Calibri"/>
                <w:sz w:val="20"/>
                <w:szCs w:val="20"/>
                <w:lang w:val="en-US" w:eastAsia="nl-NL"/>
              </w:rPr>
              <w:t>1289 (20.3)</w:t>
            </w:r>
          </w:p>
          <w:p w14:paraId="5B58DF52" w14:textId="77777777" w:rsidR="000D44B8" w:rsidRPr="009824AD" w:rsidRDefault="000D44B8" w:rsidP="006E3A16">
            <w:pPr>
              <w:jc w:val="center"/>
              <w:rPr>
                <w:rFonts w:ascii="Helvetica" w:eastAsia="Times New Roman" w:hAnsi="Helvetica" w:cs="Calibri"/>
                <w:sz w:val="20"/>
                <w:szCs w:val="20"/>
                <w:lang w:val="en-US" w:eastAsia="nl-NL"/>
              </w:rPr>
            </w:pPr>
            <w:r w:rsidRPr="009824AD">
              <w:rPr>
                <w:rFonts w:ascii="Helvetica" w:eastAsia="Times New Roman" w:hAnsi="Helvetica" w:cs="Calibri"/>
                <w:sz w:val="20"/>
                <w:szCs w:val="20"/>
                <w:lang w:val="en-US" w:eastAsia="nl-NL"/>
              </w:rPr>
              <w:t>292 (4.6)</w:t>
            </w:r>
          </w:p>
          <w:p w14:paraId="7B7C2281" w14:textId="77777777" w:rsidR="000D44B8" w:rsidRPr="009824AD" w:rsidRDefault="000D44B8" w:rsidP="006E3A16">
            <w:pPr>
              <w:jc w:val="center"/>
              <w:rPr>
                <w:rFonts w:ascii="Helvetica" w:eastAsia="Times New Roman" w:hAnsi="Helvetica" w:cs="Calibri"/>
                <w:sz w:val="20"/>
                <w:szCs w:val="20"/>
                <w:lang w:val="en-US" w:eastAsia="nl-NL"/>
              </w:rPr>
            </w:pPr>
            <w:r w:rsidRPr="009824AD">
              <w:rPr>
                <w:rFonts w:ascii="Helvetica" w:eastAsia="Times New Roman" w:hAnsi="Helvetica" w:cs="Calibri"/>
                <w:sz w:val="20"/>
                <w:szCs w:val="20"/>
                <w:lang w:val="en-US" w:eastAsia="nl-NL"/>
              </w:rPr>
              <w:t>69 (1.1)</w:t>
            </w:r>
          </w:p>
          <w:p w14:paraId="6444A745" w14:textId="77777777" w:rsidR="000D44B8" w:rsidRPr="009824AD" w:rsidRDefault="000D44B8" w:rsidP="006E3A16">
            <w:pPr>
              <w:jc w:val="center"/>
              <w:rPr>
                <w:rFonts w:ascii="Helvetica" w:eastAsia="Times New Roman" w:hAnsi="Helvetica" w:cs="Calibri"/>
                <w:sz w:val="20"/>
                <w:szCs w:val="20"/>
                <w:lang w:val="en-US" w:eastAsia="nl-NL"/>
              </w:rPr>
            </w:pPr>
            <w:r w:rsidRPr="009824AD">
              <w:rPr>
                <w:rFonts w:ascii="Helvetica" w:eastAsia="Times New Roman" w:hAnsi="Helvetica" w:cs="Calibri"/>
                <w:sz w:val="20"/>
                <w:szCs w:val="20"/>
                <w:lang w:val="en-US" w:eastAsia="nl-NL"/>
              </w:rPr>
              <w:t>613 (9.7)</w:t>
            </w:r>
          </w:p>
          <w:p w14:paraId="38D1FE60" w14:textId="77777777" w:rsidR="000D44B8" w:rsidRPr="009824AD" w:rsidRDefault="000D44B8" w:rsidP="006E3A16">
            <w:pPr>
              <w:jc w:val="center"/>
              <w:rPr>
                <w:rFonts w:ascii="Helvetica" w:eastAsia="Times New Roman" w:hAnsi="Helvetica" w:cs="Calibri"/>
                <w:sz w:val="20"/>
                <w:szCs w:val="20"/>
                <w:lang w:val="en-US" w:eastAsia="nl-NL"/>
              </w:rPr>
            </w:pPr>
            <w:r w:rsidRPr="009824AD">
              <w:rPr>
                <w:rFonts w:ascii="Helvetica" w:eastAsia="Times New Roman" w:hAnsi="Helvetica" w:cs="Calibri"/>
                <w:sz w:val="20"/>
                <w:szCs w:val="20"/>
                <w:lang w:val="en-US" w:eastAsia="nl-NL"/>
              </w:rPr>
              <w:lastRenderedPageBreak/>
              <w:t>158 (2.5)</w:t>
            </w:r>
          </w:p>
          <w:p w14:paraId="5EB1F062" w14:textId="77777777" w:rsidR="000D44B8" w:rsidRDefault="000D44B8" w:rsidP="006E3A16">
            <w:pPr>
              <w:jc w:val="center"/>
              <w:rPr>
                <w:rFonts w:ascii="Helvetica" w:eastAsia="Times New Roman" w:hAnsi="Helvetica" w:cs="Calibri"/>
                <w:sz w:val="20"/>
                <w:szCs w:val="20"/>
                <w:lang w:val="en-US" w:eastAsia="nl-NL"/>
              </w:rPr>
            </w:pPr>
            <w:r w:rsidRPr="009824AD">
              <w:rPr>
                <w:rFonts w:ascii="Helvetica" w:eastAsia="Times New Roman" w:hAnsi="Helvetica" w:cs="Calibri"/>
                <w:sz w:val="20"/>
                <w:szCs w:val="20"/>
                <w:lang w:val="en-US" w:eastAsia="nl-NL"/>
              </w:rPr>
              <w:t>1049 (16.5)</w:t>
            </w:r>
          </w:p>
          <w:p w14:paraId="6B186976" w14:textId="18D67DA1" w:rsidR="00F32683" w:rsidRPr="009824AD" w:rsidRDefault="00F32683" w:rsidP="006E3A16">
            <w:pPr>
              <w:jc w:val="center"/>
              <w:rPr>
                <w:rFonts w:ascii="Helvetica" w:eastAsia="Times New Roman" w:hAnsi="Helvetica" w:cs="Calibri"/>
                <w:sz w:val="20"/>
                <w:szCs w:val="20"/>
                <w:lang w:val="en-US" w:eastAsia="nl-NL"/>
              </w:rPr>
            </w:pPr>
            <w:r>
              <w:rPr>
                <w:rFonts w:ascii="Helvetica" w:eastAsia="Times New Roman" w:hAnsi="Helvetica" w:cs="Calibri"/>
                <w:sz w:val="20"/>
                <w:szCs w:val="20"/>
                <w:lang w:val="en-US" w:eastAsia="nl-NL"/>
              </w:rPr>
              <w:t>17 (0.3)</w:t>
            </w:r>
          </w:p>
        </w:tc>
        <w:tc>
          <w:tcPr>
            <w:tcW w:w="1843" w:type="dxa"/>
            <w:vAlign w:val="center"/>
          </w:tcPr>
          <w:p w14:paraId="2292C3BD" w14:textId="77777777" w:rsidR="000D44B8" w:rsidRPr="009824AD" w:rsidRDefault="000D44B8" w:rsidP="006E3A16">
            <w:pPr>
              <w:autoSpaceDE w:val="0"/>
              <w:autoSpaceDN w:val="0"/>
              <w:adjustRightInd w:val="0"/>
              <w:jc w:val="center"/>
              <w:rPr>
                <w:rFonts w:ascii="Helvetica" w:hAnsi="Helvetica" w:cs="Calibri"/>
                <w:sz w:val="20"/>
                <w:szCs w:val="20"/>
                <w:lang w:val="en-US"/>
              </w:rPr>
            </w:pPr>
          </w:p>
          <w:p w14:paraId="736BE47A" w14:textId="77777777" w:rsidR="000D44B8" w:rsidRPr="009824AD" w:rsidRDefault="000D44B8" w:rsidP="006E3A16">
            <w:pPr>
              <w:autoSpaceDE w:val="0"/>
              <w:autoSpaceDN w:val="0"/>
              <w:adjustRightInd w:val="0"/>
              <w:jc w:val="center"/>
              <w:rPr>
                <w:rFonts w:ascii="Helvetica" w:hAnsi="Helvetica" w:cs="Calibri"/>
                <w:sz w:val="20"/>
                <w:szCs w:val="20"/>
                <w:lang w:val="en-US"/>
              </w:rPr>
            </w:pPr>
            <w:r w:rsidRPr="009824AD">
              <w:rPr>
                <w:rFonts w:ascii="Helvetica" w:hAnsi="Helvetica" w:cs="Calibri"/>
                <w:sz w:val="20"/>
                <w:szCs w:val="20"/>
                <w:lang w:val="en-US"/>
              </w:rPr>
              <w:t>3227 (47.5)</w:t>
            </w:r>
          </w:p>
          <w:p w14:paraId="0D290CB7" w14:textId="77777777" w:rsidR="000D44B8" w:rsidRPr="009824AD" w:rsidRDefault="000D44B8" w:rsidP="006E3A16">
            <w:pPr>
              <w:autoSpaceDE w:val="0"/>
              <w:autoSpaceDN w:val="0"/>
              <w:adjustRightInd w:val="0"/>
              <w:jc w:val="center"/>
              <w:rPr>
                <w:rFonts w:ascii="Helvetica" w:hAnsi="Helvetica" w:cs="Calibri"/>
                <w:sz w:val="20"/>
                <w:szCs w:val="20"/>
                <w:lang w:val="en-US"/>
              </w:rPr>
            </w:pPr>
            <w:r w:rsidRPr="009824AD">
              <w:rPr>
                <w:rFonts w:ascii="Helvetica" w:hAnsi="Helvetica" w:cs="Calibri"/>
                <w:sz w:val="20"/>
                <w:szCs w:val="20"/>
                <w:lang w:val="en-US"/>
              </w:rPr>
              <w:t>1274 (18.8)</w:t>
            </w:r>
          </w:p>
          <w:p w14:paraId="7AD98DA3" w14:textId="77777777" w:rsidR="000D44B8" w:rsidRPr="009824AD" w:rsidRDefault="000D44B8" w:rsidP="006E3A16">
            <w:pPr>
              <w:autoSpaceDE w:val="0"/>
              <w:autoSpaceDN w:val="0"/>
              <w:adjustRightInd w:val="0"/>
              <w:jc w:val="center"/>
              <w:rPr>
                <w:rFonts w:ascii="Helvetica" w:hAnsi="Helvetica" w:cs="Calibri"/>
                <w:sz w:val="20"/>
                <w:szCs w:val="20"/>
                <w:lang w:val="en-US"/>
              </w:rPr>
            </w:pPr>
            <w:r w:rsidRPr="009824AD">
              <w:rPr>
                <w:rFonts w:ascii="Helvetica" w:hAnsi="Helvetica" w:cs="Calibri"/>
                <w:sz w:val="20"/>
                <w:szCs w:val="20"/>
                <w:lang w:val="en-US"/>
              </w:rPr>
              <w:t>684 (10.1)</w:t>
            </w:r>
          </w:p>
          <w:p w14:paraId="071B9929" w14:textId="77777777" w:rsidR="000D44B8" w:rsidRPr="009824AD" w:rsidRDefault="000D44B8" w:rsidP="006E3A16">
            <w:pPr>
              <w:autoSpaceDE w:val="0"/>
              <w:autoSpaceDN w:val="0"/>
              <w:adjustRightInd w:val="0"/>
              <w:jc w:val="center"/>
              <w:rPr>
                <w:rFonts w:ascii="Helvetica" w:hAnsi="Helvetica" w:cs="Calibri"/>
                <w:sz w:val="20"/>
                <w:szCs w:val="20"/>
                <w:lang w:val="en-US"/>
              </w:rPr>
            </w:pPr>
            <w:r w:rsidRPr="009824AD">
              <w:rPr>
                <w:rFonts w:ascii="Helvetica" w:hAnsi="Helvetica" w:cs="Calibri"/>
                <w:sz w:val="20"/>
                <w:szCs w:val="20"/>
                <w:lang w:val="en-US"/>
              </w:rPr>
              <w:t>198 (2.9)</w:t>
            </w:r>
          </w:p>
          <w:p w14:paraId="48CF5F95" w14:textId="77777777" w:rsidR="000D44B8" w:rsidRPr="009824AD" w:rsidRDefault="000D44B8" w:rsidP="006E3A16">
            <w:pPr>
              <w:autoSpaceDE w:val="0"/>
              <w:autoSpaceDN w:val="0"/>
              <w:adjustRightInd w:val="0"/>
              <w:jc w:val="center"/>
              <w:rPr>
                <w:rFonts w:ascii="Helvetica" w:hAnsi="Helvetica" w:cs="Calibri"/>
                <w:sz w:val="20"/>
                <w:szCs w:val="20"/>
                <w:lang w:val="en-US"/>
              </w:rPr>
            </w:pPr>
            <w:r w:rsidRPr="009824AD">
              <w:rPr>
                <w:rFonts w:ascii="Helvetica" w:hAnsi="Helvetica" w:cs="Calibri"/>
                <w:sz w:val="20"/>
                <w:szCs w:val="20"/>
                <w:lang w:val="en-US"/>
              </w:rPr>
              <w:t>564 (8.3)</w:t>
            </w:r>
          </w:p>
          <w:p w14:paraId="5692BEFA" w14:textId="77777777" w:rsidR="000D44B8" w:rsidRPr="009824AD" w:rsidRDefault="000D44B8" w:rsidP="006E3A16">
            <w:pPr>
              <w:autoSpaceDE w:val="0"/>
              <w:autoSpaceDN w:val="0"/>
              <w:adjustRightInd w:val="0"/>
              <w:jc w:val="center"/>
              <w:rPr>
                <w:rFonts w:ascii="Helvetica" w:hAnsi="Helvetica" w:cs="Calibri"/>
                <w:sz w:val="20"/>
                <w:szCs w:val="20"/>
                <w:lang w:val="en-US"/>
              </w:rPr>
            </w:pPr>
            <w:r w:rsidRPr="009824AD">
              <w:rPr>
                <w:rFonts w:ascii="Helvetica" w:hAnsi="Helvetica" w:cs="Calibri"/>
                <w:sz w:val="20"/>
                <w:szCs w:val="20"/>
                <w:lang w:val="en-US"/>
              </w:rPr>
              <w:lastRenderedPageBreak/>
              <w:t>181 (2.7)</w:t>
            </w:r>
          </w:p>
          <w:p w14:paraId="571CBEE3" w14:textId="77777777" w:rsidR="000D44B8" w:rsidRDefault="000D44B8" w:rsidP="006E3A16">
            <w:pPr>
              <w:autoSpaceDE w:val="0"/>
              <w:autoSpaceDN w:val="0"/>
              <w:adjustRightInd w:val="0"/>
              <w:jc w:val="center"/>
              <w:rPr>
                <w:rFonts w:ascii="Helvetica" w:hAnsi="Helvetica" w:cs="Calibri"/>
                <w:sz w:val="20"/>
                <w:szCs w:val="20"/>
                <w:lang w:val="en-US"/>
              </w:rPr>
            </w:pPr>
            <w:r w:rsidRPr="009824AD">
              <w:rPr>
                <w:rFonts w:ascii="Helvetica" w:hAnsi="Helvetica" w:cs="Calibri"/>
                <w:sz w:val="20"/>
                <w:szCs w:val="20"/>
                <w:lang w:val="en-US"/>
              </w:rPr>
              <w:t>665 (9.8)</w:t>
            </w:r>
          </w:p>
          <w:p w14:paraId="56B57395" w14:textId="43C9D362" w:rsidR="00F32683" w:rsidRPr="009824AD" w:rsidRDefault="00F32683" w:rsidP="006E3A16">
            <w:pPr>
              <w:autoSpaceDE w:val="0"/>
              <w:autoSpaceDN w:val="0"/>
              <w:adjustRightInd w:val="0"/>
              <w:jc w:val="center"/>
              <w:rPr>
                <w:rFonts w:ascii="Helvetica" w:hAnsi="Helvetica" w:cs="Calibri"/>
                <w:sz w:val="20"/>
                <w:szCs w:val="20"/>
                <w:lang w:val="en-US"/>
              </w:rPr>
            </w:pPr>
            <w:r>
              <w:rPr>
                <w:rFonts w:ascii="Helvetica" w:hAnsi="Helvetica" w:cs="Calibri"/>
                <w:sz w:val="20"/>
                <w:szCs w:val="20"/>
                <w:lang w:val="en-US"/>
              </w:rPr>
              <w:t>217 (3.1)</w:t>
            </w:r>
          </w:p>
        </w:tc>
        <w:tc>
          <w:tcPr>
            <w:tcW w:w="851" w:type="dxa"/>
          </w:tcPr>
          <w:p w14:paraId="0A1FF126" w14:textId="77777777" w:rsidR="000D44B8" w:rsidRPr="009824AD" w:rsidRDefault="000D44B8" w:rsidP="006E3A16">
            <w:pPr>
              <w:tabs>
                <w:tab w:val="left" w:pos="310"/>
              </w:tabs>
              <w:jc w:val="center"/>
              <w:rPr>
                <w:rFonts w:ascii="Helvetica" w:eastAsia="Times New Roman" w:hAnsi="Helvetica" w:cs="Calibri"/>
                <w:b/>
                <w:bCs/>
                <w:color w:val="000000"/>
                <w:sz w:val="20"/>
                <w:szCs w:val="20"/>
                <w:lang w:val="en-US" w:eastAsia="nl-NL"/>
              </w:rPr>
            </w:pPr>
            <w:r w:rsidRPr="009824AD">
              <w:rPr>
                <w:rFonts w:ascii="Helvetica" w:eastAsia="Times New Roman" w:hAnsi="Helvetica" w:cs="Calibri"/>
                <w:b/>
                <w:bCs/>
                <w:color w:val="000000"/>
                <w:sz w:val="20"/>
                <w:szCs w:val="20"/>
                <w:lang w:val="en-US" w:eastAsia="nl-NL"/>
              </w:rPr>
              <w:lastRenderedPageBreak/>
              <w:t>&lt;0.001</w:t>
            </w:r>
          </w:p>
        </w:tc>
        <w:tc>
          <w:tcPr>
            <w:tcW w:w="708" w:type="dxa"/>
            <w:tcBorders>
              <w:right w:val="single" w:sz="4" w:space="0" w:color="auto"/>
            </w:tcBorders>
          </w:tcPr>
          <w:p w14:paraId="0673065D" w14:textId="77777777" w:rsidR="000D44B8" w:rsidRPr="009824AD" w:rsidRDefault="000D44B8" w:rsidP="006E3A16">
            <w:pPr>
              <w:tabs>
                <w:tab w:val="left" w:pos="310"/>
              </w:tabs>
              <w:jc w:val="center"/>
              <w:rPr>
                <w:rFonts w:ascii="Helvetica" w:eastAsia="Times New Roman" w:hAnsi="Helvetica" w:cs="Calibri"/>
                <w:color w:val="000000"/>
                <w:sz w:val="20"/>
                <w:szCs w:val="20"/>
                <w:lang w:val="en-US" w:eastAsia="nl-NL"/>
              </w:rPr>
            </w:pPr>
            <w:r w:rsidRPr="009824AD">
              <w:rPr>
                <w:rFonts w:ascii="Helvetica" w:eastAsia="Times New Roman" w:hAnsi="Helvetica" w:cs="Calibri"/>
                <w:color w:val="000000"/>
                <w:sz w:val="20"/>
                <w:szCs w:val="20"/>
                <w:lang w:val="en-US" w:eastAsia="nl-NL"/>
              </w:rPr>
              <w:t>0.14</w:t>
            </w:r>
          </w:p>
        </w:tc>
        <w:tc>
          <w:tcPr>
            <w:tcW w:w="1843" w:type="dxa"/>
            <w:tcBorders>
              <w:left w:val="single" w:sz="4" w:space="0" w:color="auto"/>
            </w:tcBorders>
            <w:vAlign w:val="center"/>
          </w:tcPr>
          <w:p w14:paraId="05C7E32C" w14:textId="77777777" w:rsidR="000D44B8" w:rsidRPr="009824AD" w:rsidRDefault="000D44B8" w:rsidP="006E3A16">
            <w:pPr>
              <w:jc w:val="center"/>
              <w:rPr>
                <w:rFonts w:ascii="Helvetica" w:eastAsia="Times New Roman" w:hAnsi="Helvetica" w:cs="Calibri"/>
                <w:color w:val="000000" w:themeColor="text1"/>
                <w:sz w:val="20"/>
                <w:szCs w:val="20"/>
                <w:lang w:val="en-US" w:eastAsia="nl-NL"/>
              </w:rPr>
            </w:pPr>
          </w:p>
          <w:p w14:paraId="6062CA1A" w14:textId="77777777" w:rsidR="000D44B8" w:rsidRPr="009824AD" w:rsidRDefault="000D44B8" w:rsidP="006E3A16">
            <w:pPr>
              <w:jc w:val="center"/>
              <w:rPr>
                <w:rFonts w:ascii="Helvetica" w:eastAsia="Times New Roman" w:hAnsi="Helvetica" w:cs="Calibri"/>
                <w:color w:val="000000" w:themeColor="text1"/>
                <w:sz w:val="20"/>
                <w:szCs w:val="20"/>
                <w:lang w:val="en-US" w:eastAsia="nl-NL"/>
              </w:rPr>
            </w:pPr>
            <w:r w:rsidRPr="009824AD">
              <w:rPr>
                <w:rFonts w:ascii="Helvetica" w:eastAsia="Times New Roman" w:hAnsi="Helvetica" w:cs="Calibri"/>
                <w:color w:val="000000" w:themeColor="text1"/>
                <w:sz w:val="20"/>
                <w:szCs w:val="20"/>
                <w:lang w:val="en-US" w:eastAsia="nl-NL"/>
              </w:rPr>
              <w:t>1731 (48.6)</w:t>
            </w:r>
          </w:p>
          <w:p w14:paraId="48F02D59" w14:textId="77777777" w:rsidR="000D44B8" w:rsidRPr="009824AD" w:rsidRDefault="000D44B8" w:rsidP="006E3A16">
            <w:pPr>
              <w:jc w:val="center"/>
              <w:rPr>
                <w:rFonts w:ascii="Helvetica" w:eastAsia="Times New Roman" w:hAnsi="Helvetica" w:cs="Calibri"/>
                <w:color w:val="000000" w:themeColor="text1"/>
                <w:sz w:val="20"/>
                <w:szCs w:val="20"/>
                <w:lang w:val="en-US" w:eastAsia="nl-NL"/>
              </w:rPr>
            </w:pPr>
            <w:r w:rsidRPr="009824AD">
              <w:rPr>
                <w:rFonts w:ascii="Helvetica" w:eastAsia="Times New Roman" w:hAnsi="Helvetica" w:cs="Calibri"/>
                <w:color w:val="000000" w:themeColor="text1"/>
                <w:sz w:val="20"/>
                <w:szCs w:val="20"/>
                <w:lang w:val="en-US" w:eastAsia="nl-NL"/>
              </w:rPr>
              <w:t>634 (17.8)</w:t>
            </w:r>
          </w:p>
          <w:p w14:paraId="41088A5F" w14:textId="77777777" w:rsidR="000D44B8" w:rsidRPr="009824AD" w:rsidRDefault="000D44B8" w:rsidP="006E3A16">
            <w:pPr>
              <w:jc w:val="center"/>
              <w:rPr>
                <w:rFonts w:ascii="Helvetica" w:eastAsia="Times New Roman" w:hAnsi="Helvetica" w:cs="Calibri"/>
                <w:color w:val="000000" w:themeColor="text1"/>
                <w:sz w:val="20"/>
                <w:szCs w:val="20"/>
                <w:lang w:val="en-US" w:eastAsia="nl-NL"/>
              </w:rPr>
            </w:pPr>
            <w:r w:rsidRPr="009824AD">
              <w:rPr>
                <w:rFonts w:ascii="Helvetica" w:eastAsia="Times New Roman" w:hAnsi="Helvetica" w:cs="Calibri"/>
                <w:color w:val="000000" w:themeColor="text1"/>
                <w:sz w:val="20"/>
                <w:szCs w:val="20"/>
                <w:lang w:val="en-US" w:eastAsia="nl-NL"/>
              </w:rPr>
              <w:t>250 (7.0)</w:t>
            </w:r>
          </w:p>
          <w:p w14:paraId="7FB12C95" w14:textId="77777777" w:rsidR="000D44B8" w:rsidRPr="009824AD" w:rsidRDefault="000D44B8" w:rsidP="006E3A16">
            <w:pPr>
              <w:jc w:val="center"/>
              <w:rPr>
                <w:rFonts w:ascii="Helvetica" w:eastAsia="Times New Roman" w:hAnsi="Helvetica" w:cs="Calibri"/>
                <w:color w:val="000000" w:themeColor="text1"/>
                <w:sz w:val="20"/>
                <w:szCs w:val="20"/>
                <w:lang w:val="en-US" w:eastAsia="nl-NL"/>
              </w:rPr>
            </w:pPr>
            <w:r w:rsidRPr="009824AD">
              <w:rPr>
                <w:rFonts w:ascii="Helvetica" w:eastAsia="Times New Roman" w:hAnsi="Helvetica" w:cs="Calibri"/>
                <w:color w:val="000000" w:themeColor="text1"/>
                <w:sz w:val="20"/>
                <w:szCs w:val="20"/>
                <w:lang w:val="en-US" w:eastAsia="nl-NL"/>
              </w:rPr>
              <w:t>65 (1.8)</w:t>
            </w:r>
          </w:p>
          <w:p w14:paraId="4B085AAC" w14:textId="77777777" w:rsidR="000D44B8" w:rsidRPr="009824AD" w:rsidRDefault="000D44B8" w:rsidP="006E3A16">
            <w:pPr>
              <w:jc w:val="center"/>
              <w:rPr>
                <w:rFonts w:ascii="Helvetica" w:eastAsia="Times New Roman" w:hAnsi="Helvetica" w:cs="Calibri"/>
                <w:color w:val="000000" w:themeColor="text1"/>
                <w:sz w:val="20"/>
                <w:szCs w:val="20"/>
                <w:lang w:val="en-US" w:eastAsia="nl-NL"/>
              </w:rPr>
            </w:pPr>
            <w:r w:rsidRPr="009824AD">
              <w:rPr>
                <w:rFonts w:ascii="Helvetica" w:eastAsia="Times New Roman" w:hAnsi="Helvetica" w:cs="Calibri"/>
                <w:color w:val="000000" w:themeColor="text1"/>
                <w:sz w:val="20"/>
                <w:szCs w:val="20"/>
                <w:lang w:val="en-US" w:eastAsia="nl-NL"/>
              </w:rPr>
              <w:t>317 (8.9)</w:t>
            </w:r>
          </w:p>
          <w:p w14:paraId="1A8B4CC8" w14:textId="77777777" w:rsidR="000D44B8" w:rsidRPr="009824AD" w:rsidRDefault="000D44B8" w:rsidP="006E3A16">
            <w:pPr>
              <w:jc w:val="center"/>
              <w:rPr>
                <w:rFonts w:ascii="Helvetica" w:eastAsia="Times New Roman" w:hAnsi="Helvetica" w:cs="Calibri"/>
                <w:color w:val="000000" w:themeColor="text1"/>
                <w:sz w:val="20"/>
                <w:szCs w:val="20"/>
                <w:lang w:val="en-US" w:eastAsia="nl-NL"/>
              </w:rPr>
            </w:pPr>
            <w:r w:rsidRPr="009824AD">
              <w:rPr>
                <w:rFonts w:ascii="Helvetica" w:eastAsia="Times New Roman" w:hAnsi="Helvetica" w:cs="Calibri"/>
                <w:color w:val="000000" w:themeColor="text1"/>
                <w:sz w:val="20"/>
                <w:szCs w:val="20"/>
                <w:lang w:val="en-US" w:eastAsia="nl-NL"/>
              </w:rPr>
              <w:lastRenderedPageBreak/>
              <w:t>114 (3.2)</w:t>
            </w:r>
          </w:p>
          <w:p w14:paraId="6D0D5564" w14:textId="77777777" w:rsidR="000D44B8" w:rsidRPr="009824AD" w:rsidRDefault="000D44B8" w:rsidP="006E3A16">
            <w:pPr>
              <w:jc w:val="center"/>
              <w:rPr>
                <w:rFonts w:ascii="Helvetica" w:eastAsia="Times New Roman" w:hAnsi="Helvetica" w:cs="Calibri"/>
                <w:color w:val="000000" w:themeColor="text1"/>
                <w:sz w:val="20"/>
                <w:szCs w:val="20"/>
                <w:lang w:val="en-US" w:eastAsia="nl-NL"/>
              </w:rPr>
            </w:pPr>
            <w:r w:rsidRPr="009824AD">
              <w:rPr>
                <w:rFonts w:ascii="Helvetica" w:eastAsia="Times New Roman" w:hAnsi="Helvetica" w:cs="Calibri"/>
                <w:color w:val="000000" w:themeColor="text1"/>
                <w:sz w:val="20"/>
                <w:szCs w:val="20"/>
                <w:lang w:val="en-US" w:eastAsia="nl-NL"/>
              </w:rPr>
              <w:t>454 (12.7)</w:t>
            </w:r>
          </w:p>
        </w:tc>
        <w:tc>
          <w:tcPr>
            <w:tcW w:w="1843" w:type="dxa"/>
            <w:vAlign w:val="center"/>
          </w:tcPr>
          <w:p w14:paraId="3391DB22" w14:textId="77777777" w:rsidR="000D44B8" w:rsidRPr="009824AD" w:rsidRDefault="000D44B8" w:rsidP="006E3A16">
            <w:pPr>
              <w:autoSpaceDE w:val="0"/>
              <w:autoSpaceDN w:val="0"/>
              <w:adjustRightInd w:val="0"/>
              <w:jc w:val="center"/>
              <w:rPr>
                <w:rFonts w:ascii="Helvetica" w:hAnsi="Helvetica" w:cs="Calibri"/>
                <w:color w:val="000000" w:themeColor="text1"/>
                <w:sz w:val="20"/>
                <w:szCs w:val="20"/>
                <w:lang w:val="en-US"/>
              </w:rPr>
            </w:pPr>
          </w:p>
          <w:p w14:paraId="7D90804A" w14:textId="77777777" w:rsidR="000D44B8" w:rsidRPr="009824AD" w:rsidRDefault="000D44B8" w:rsidP="006E3A16">
            <w:pPr>
              <w:autoSpaceDE w:val="0"/>
              <w:autoSpaceDN w:val="0"/>
              <w:adjustRightInd w:val="0"/>
              <w:jc w:val="center"/>
              <w:rPr>
                <w:rFonts w:ascii="Helvetica" w:hAnsi="Helvetica" w:cs="Calibri"/>
                <w:color w:val="000000" w:themeColor="text1"/>
                <w:sz w:val="20"/>
                <w:szCs w:val="20"/>
                <w:lang w:val="en-US"/>
              </w:rPr>
            </w:pPr>
            <w:r w:rsidRPr="009824AD">
              <w:rPr>
                <w:rFonts w:ascii="Helvetica" w:hAnsi="Helvetica" w:cs="Calibri"/>
                <w:color w:val="000000" w:themeColor="text1"/>
                <w:sz w:val="20"/>
                <w:szCs w:val="20"/>
                <w:lang w:val="en-US"/>
              </w:rPr>
              <w:t>1756 (49.3)</w:t>
            </w:r>
          </w:p>
          <w:p w14:paraId="2B968807" w14:textId="77777777" w:rsidR="000D44B8" w:rsidRPr="009824AD" w:rsidRDefault="000D44B8" w:rsidP="006E3A16">
            <w:pPr>
              <w:autoSpaceDE w:val="0"/>
              <w:autoSpaceDN w:val="0"/>
              <w:adjustRightInd w:val="0"/>
              <w:jc w:val="center"/>
              <w:rPr>
                <w:rFonts w:ascii="Helvetica" w:hAnsi="Helvetica" w:cs="Calibri"/>
                <w:color w:val="000000" w:themeColor="text1"/>
                <w:sz w:val="20"/>
                <w:szCs w:val="20"/>
                <w:lang w:val="en-US"/>
              </w:rPr>
            </w:pPr>
            <w:r w:rsidRPr="009824AD">
              <w:rPr>
                <w:rFonts w:ascii="Helvetica" w:hAnsi="Helvetica" w:cs="Calibri"/>
                <w:color w:val="000000" w:themeColor="text1"/>
                <w:sz w:val="20"/>
                <w:szCs w:val="20"/>
                <w:lang w:val="en-US"/>
              </w:rPr>
              <w:t>647 (18.1)</w:t>
            </w:r>
          </w:p>
          <w:p w14:paraId="48ED32CF" w14:textId="77777777" w:rsidR="000D44B8" w:rsidRPr="009824AD" w:rsidRDefault="000D44B8" w:rsidP="006E3A16">
            <w:pPr>
              <w:autoSpaceDE w:val="0"/>
              <w:autoSpaceDN w:val="0"/>
              <w:adjustRightInd w:val="0"/>
              <w:jc w:val="center"/>
              <w:rPr>
                <w:rFonts w:ascii="Helvetica" w:hAnsi="Helvetica" w:cs="Calibri"/>
                <w:color w:val="000000" w:themeColor="text1"/>
                <w:sz w:val="20"/>
                <w:szCs w:val="20"/>
                <w:lang w:val="en-US"/>
              </w:rPr>
            </w:pPr>
            <w:r w:rsidRPr="009824AD">
              <w:rPr>
                <w:rFonts w:ascii="Helvetica" w:hAnsi="Helvetica" w:cs="Calibri"/>
                <w:color w:val="000000" w:themeColor="text1"/>
                <w:sz w:val="20"/>
                <w:szCs w:val="20"/>
                <w:lang w:val="en-US"/>
              </w:rPr>
              <w:t>229 (6.4)</w:t>
            </w:r>
          </w:p>
          <w:p w14:paraId="4EC306DD" w14:textId="77777777" w:rsidR="000D44B8" w:rsidRPr="009824AD" w:rsidRDefault="000D44B8" w:rsidP="006E3A16">
            <w:pPr>
              <w:autoSpaceDE w:val="0"/>
              <w:autoSpaceDN w:val="0"/>
              <w:adjustRightInd w:val="0"/>
              <w:jc w:val="center"/>
              <w:rPr>
                <w:rFonts w:ascii="Helvetica" w:hAnsi="Helvetica" w:cs="Calibri"/>
                <w:color w:val="000000" w:themeColor="text1"/>
                <w:sz w:val="20"/>
                <w:szCs w:val="20"/>
                <w:lang w:val="en-US"/>
              </w:rPr>
            </w:pPr>
            <w:r w:rsidRPr="009824AD">
              <w:rPr>
                <w:rFonts w:ascii="Helvetica" w:hAnsi="Helvetica" w:cs="Calibri"/>
                <w:color w:val="000000" w:themeColor="text1"/>
                <w:sz w:val="20"/>
                <w:szCs w:val="20"/>
                <w:lang w:val="en-US"/>
              </w:rPr>
              <w:t>69 (1.9)</w:t>
            </w:r>
          </w:p>
          <w:p w14:paraId="2AEB3A0F" w14:textId="77777777" w:rsidR="000D44B8" w:rsidRPr="009824AD" w:rsidRDefault="000D44B8" w:rsidP="006E3A16">
            <w:pPr>
              <w:autoSpaceDE w:val="0"/>
              <w:autoSpaceDN w:val="0"/>
              <w:adjustRightInd w:val="0"/>
              <w:jc w:val="center"/>
              <w:rPr>
                <w:rFonts w:ascii="Helvetica" w:hAnsi="Helvetica" w:cs="Calibri"/>
                <w:color w:val="000000" w:themeColor="text1"/>
                <w:sz w:val="20"/>
                <w:szCs w:val="20"/>
                <w:lang w:val="en-US"/>
              </w:rPr>
            </w:pPr>
            <w:r w:rsidRPr="009824AD">
              <w:rPr>
                <w:rFonts w:ascii="Helvetica" w:hAnsi="Helvetica" w:cs="Calibri"/>
                <w:color w:val="000000" w:themeColor="text1"/>
                <w:sz w:val="20"/>
                <w:szCs w:val="20"/>
                <w:lang w:val="en-US"/>
              </w:rPr>
              <w:t>309 (8.7)</w:t>
            </w:r>
          </w:p>
          <w:p w14:paraId="1D1F08E6" w14:textId="77777777" w:rsidR="000D44B8" w:rsidRPr="009824AD" w:rsidRDefault="000D44B8" w:rsidP="006E3A16">
            <w:pPr>
              <w:autoSpaceDE w:val="0"/>
              <w:autoSpaceDN w:val="0"/>
              <w:adjustRightInd w:val="0"/>
              <w:jc w:val="center"/>
              <w:rPr>
                <w:rFonts w:ascii="Helvetica" w:hAnsi="Helvetica" w:cs="Calibri"/>
                <w:color w:val="000000" w:themeColor="text1"/>
                <w:sz w:val="20"/>
                <w:szCs w:val="20"/>
                <w:lang w:val="en-US"/>
              </w:rPr>
            </w:pPr>
            <w:r w:rsidRPr="009824AD">
              <w:rPr>
                <w:rFonts w:ascii="Helvetica" w:hAnsi="Helvetica" w:cs="Calibri"/>
                <w:color w:val="000000" w:themeColor="text1"/>
                <w:sz w:val="20"/>
                <w:szCs w:val="20"/>
                <w:lang w:val="en-US"/>
              </w:rPr>
              <w:lastRenderedPageBreak/>
              <w:t>102 (2.9)</w:t>
            </w:r>
          </w:p>
          <w:p w14:paraId="4AA522EA" w14:textId="77777777" w:rsidR="000D44B8" w:rsidRPr="009824AD" w:rsidRDefault="000D44B8" w:rsidP="006E3A16">
            <w:pPr>
              <w:autoSpaceDE w:val="0"/>
              <w:autoSpaceDN w:val="0"/>
              <w:adjustRightInd w:val="0"/>
              <w:jc w:val="center"/>
              <w:rPr>
                <w:rFonts w:ascii="Helvetica" w:hAnsi="Helvetica" w:cs="Calibri"/>
                <w:color w:val="000000" w:themeColor="text1"/>
                <w:sz w:val="20"/>
                <w:szCs w:val="20"/>
                <w:lang w:val="en-US"/>
              </w:rPr>
            </w:pPr>
            <w:r w:rsidRPr="009824AD">
              <w:rPr>
                <w:rFonts w:ascii="Helvetica" w:hAnsi="Helvetica" w:cs="Calibri"/>
                <w:color w:val="000000" w:themeColor="text1"/>
                <w:sz w:val="20"/>
                <w:szCs w:val="20"/>
                <w:lang w:val="en-US"/>
              </w:rPr>
              <w:t>453 (12.7)</w:t>
            </w:r>
          </w:p>
        </w:tc>
        <w:tc>
          <w:tcPr>
            <w:tcW w:w="850" w:type="dxa"/>
          </w:tcPr>
          <w:p w14:paraId="3C395029" w14:textId="77777777" w:rsidR="000D44B8" w:rsidRPr="009824AD" w:rsidRDefault="000D44B8" w:rsidP="006E3A16">
            <w:pPr>
              <w:tabs>
                <w:tab w:val="left" w:pos="310"/>
              </w:tabs>
              <w:jc w:val="center"/>
              <w:rPr>
                <w:rFonts w:ascii="Helvetica" w:eastAsia="Times New Roman" w:hAnsi="Helvetica" w:cs="Calibri"/>
                <w:color w:val="000000" w:themeColor="text1"/>
                <w:sz w:val="20"/>
                <w:szCs w:val="20"/>
                <w:lang w:val="en-US" w:eastAsia="nl-NL"/>
              </w:rPr>
            </w:pPr>
            <w:r w:rsidRPr="009824AD">
              <w:rPr>
                <w:rFonts w:ascii="Helvetica" w:eastAsia="Times New Roman" w:hAnsi="Helvetica" w:cs="Calibri"/>
                <w:color w:val="000000" w:themeColor="text1"/>
                <w:sz w:val="20"/>
                <w:szCs w:val="20"/>
                <w:lang w:val="en-US" w:eastAsia="nl-NL"/>
              </w:rPr>
              <w:lastRenderedPageBreak/>
              <w:t>0.908</w:t>
            </w:r>
          </w:p>
        </w:tc>
        <w:tc>
          <w:tcPr>
            <w:tcW w:w="709" w:type="dxa"/>
          </w:tcPr>
          <w:p w14:paraId="7DC516F9" w14:textId="77777777" w:rsidR="000D44B8" w:rsidRPr="009824AD" w:rsidRDefault="000D44B8" w:rsidP="006E3A16">
            <w:pPr>
              <w:tabs>
                <w:tab w:val="left" w:pos="310"/>
              </w:tabs>
              <w:jc w:val="center"/>
              <w:rPr>
                <w:rFonts w:ascii="Helvetica" w:eastAsia="Times New Roman" w:hAnsi="Helvetica" w:cs="Calibri"/>
                <w:color w:val="000000" w:themeColor="text1"/>
                <w:sz w:val="20"/>
                <w:szCs w:val="20"/>
                <w:lang w:val="en-US" w:eastAsia="nl-NL"/>
              </w:rPr>
            </w:pPr>
            <w:r w:rsidRPr="009824AD">
              <w:rPr>
                <w:rFonts w:ascii="Helvetica" w:eastAsia="Times New Roman" w:hAnsi="Helvetica" w:cs="Calibri"/>
                <w:color w:val="000000" w:themeColor="text1"/>
                <w:sz w:val="20"/>
                <w:szCs w:val="20"/>
                <w:lang w:val="en-US" w:eastAsia="nl-NL"/>
              </w:rPr>
              <w:t>0.01</w:t>
            </w:r>
          </w:p>
        </w:tc>
      </w:tr>
      <w:tr w:rsidR="000D44B8" w:rsidRPr="009824AD" w14:paraId="7F95F523" w14:textId="77777777" w:rsidTr="00C67DD2">
        <w:tc>
          <w:tcPr>
            <w:tcW w:w="4395" w:type="dxa"/>
            <w:tcBorders>
              <w:right w:val="single" w:sz="4" w:space="0" w:color="auto"/>
            </w:tcBorders>
            <w:vAlign w:val="center"/>
          </w:tcPr>
          <w:p w14:paraId="1DF36A75" w14:textId="77777777" w:rsidR="000D44B8" w:rsidRPr="009824AD" w:rsidRDefault="000D44B8" w:rsidP="006E3A16">
            <w:pPr>
              <w:tabs>
                <w:tab w:val="left" w:pos="310"/>
              </w:tabs>
              <w:ind w:left="170"/>
              <w:rPr>
                <w:rFonts w:ascii="Helvetica" w:eastAsia="Times New Roman" w:hAnsi="Helvetica" w:cs="Calibri"/>
                <w:sz w:val="20"/>
                <w:szCs w:val="20"/>
                <w:lang w:val="en-US" w:eastAsia="nl-NL"/>
              </w:rPr>
            </w:pPr>
            <w:r w:rsidRPr="009824AD">
              <w:rPr>
                <w:rFonts w:ascii="Helvetica" w:eastAsia="Times New Roman" w:hAnsi="Helvetica" w:cs="Calibri"/>
                <w:sz w:val="20"/>
                <w:szCs w:val="20"/>
                <w:lang w:val="en-US" w:eastAsia="nl-NL"/>
              </w:rPr>
              <w:t>Number of lesions</w:t>
            </w:r>
          </w:p>
          <w:p w14:paraId="1E47DB94" w14:textId="77777777" w:rsidR="000D44B8" w:rsidRPr="009824AD" w:rsidRDefault="000D44B8" w:rsidP="006E3A16">
            <w:pPr>
              <w:numPr>
                <w:ilvl w:val="0"/>
                <w:numId w:val="1"/>
              </w:numPr>
              <w:tabs>
                <w:tab w:val="left" w:pos="310"/>
              </w:tabs>
              <w:ind w:left="170"/>
              <w:rPr>
                <w:rFonts w:ascii="Helvetica" w:eastAsia="Times New Roman" w:hAnsi="Helvetica" w:cs="Calibri"/>
                <w:sz w:val="20"/>
                <w:szCs w:val="20"/>
                <w:lang w:val="en-US" w:eastAsia="nl-NL"/>
              </w:rPr>
            </w:pPr>
            <w:r w:rsidRPr="009824AD">
              <w:rPr>
                <w:rFonts w:ascii="Helvetica" w:eastAsia="Times New Roman" w:hAnsi="Helvetica" w:cs="Calibri"/>
                <w:sz w:val="20"/>
                <w:szCs w:val="20"/>
                <w:lang w:val="en-US" w:eastAsia="nl-NL"/>
              </w:rPr>
              <w:tab/>
              <w:t>0 (%)</w:t>
            </w:r>
          </w:p>
          <w:p w14:paraId="45BF84C6" w14:textId="77777777" w:rsidR="000D44B8" w:rsidRPr="009824AD" w:rsidRDefault="000D44B8" w:rsidP="006E3A16">
            <w:pPr>
              <w:numPr>
                <w:ilvl w:val="0"/>
                <w:numId w:val="1"/>
              </w:numPr>
              <w:tabs>
                <w:tab w:val="left" w:pos="310"/>
              </w:tabs>
              <w:ind w:left="170"/>
              <w:rPr>
                <w:rFonts w:ascii="Helvetica" w:eastAsia="Times New Roman" w:hAnsi="Helvetica" w:cs="Calibri"/>
                <w:sz w:val="20"/>
                <w:szCs w:val="20"/>
                <w:lang w:val="en-US" w:eastAsia="nl-NL"/>
              </w:rPr>
            </w:pPr>
            <w:r w:rsidRPr="009824AD">
              <w:rPr>
                <w:rFonts w:ascii="Helvetica" w:eastAsia="Times New Roman" w:hAnsi="Helvetica" w:cs="Calibri"/>
                <w:sz w:val="20"/>
                <w:szCs w:val="20"/>
                <w:lang w:val="en-US" w:eastAsia="nl-NL"/>
              </w:rPr>
              <w:tab/>
              <w:t>1 (%)</w:t>
            </w:r>
          </w:p>
          <w:p w14:paraId="5F5568C2" w14:textId="77777777" w:rsidR="000D44B8" w:rsidRPr="009824AD" w:rsidRDefault="000D44B8" w:rsidP="006E3A16">
            <w:pPr>
              <w:numPr>
                <w:ilvl w:val="0"/>
                <w:numId w:val="1"/>
              </w:numPr>
              <w:tabs>
                <w:tab w:val="left" w:pos="310"/>
              </w:tabs>
              <w:ind w:left="170"/>
              <w:rPr>
                <w:rFonts w:ascii="Helvetica" w:eastAsia="Times New Roman" w:hAnsi="Helvetica" w:cs="Calibri"/>
                <w:sz w:val="20"/>
                <w:szCs w:val="20"/>
                <w:lang w:val="en-US" w:eastAsia="nl-NL"/>
              </w:rPr>
            </w:pPr>
            <w:r w:rsidRPr="009824AD">
              <w:rPr>
                <w:rFonts w:ascii="Helvetica" w:eastAsia="Times New Roman" w:hAnsi="Helvetica" w:cs="Calibri"/>
                <w:sz w:val="20"/>
                <w:szCs w:val="20"/>
                <w:lang w:val="en-US" w:eastAsia="nl-NL"/>
              </w:rPr>
              <w:tab/>
              <w:t>2 (%)</w:t>
            </w:r>
          </w:p>
          <w:p w14:paraId="6AA0C998" w14:textId="77777777" w:rsidR="000D44B8" w:rsidRPr="009824AD" w:rsidRDefault="000D44B8" w:rsidP="006E3A16">
            <w:pPr>
              <w:numPr>
                <w:ilvl w:val="0"/>
                <w:numId w:val="1"/>
              </w:numPr>
              <w:tabs>
                <w:tab w:val="left" w:pos="310"/>
              </w:tabs>
              <w:ind w:left="170"/>
              <w:rPr>
                <w:rFonts w:ascii="Helvetica" w:eastAsia="Times New Roman" w:hAnsi="Helvetica" w:cs="Calibri"/>
                <w:sz w:val="20"/>
                <w:szCs w:val="20"/>
                <w:lang w:val="en-US" w:eastAsia="nl-NL"/>
              </w:rPr>
            </w:pPr>
            <w:r w:rsidRPr="009824AD">
              <w:rPr>
                <w:rFonts w:ascii="Helvetica" w:eastAsia="Times New Roman" w:hAnsi="Helvetica" w:cs="Calibri"/>
                <w:sz w:val="20"/>
                <w:szCs w:val="20"/>
                <w:lang w:val="en-US" w:eastAsia="nl-NL"/>
              </w:rPr>
              <w:tab/>
              <w:t>3 (%)</w:t>
            </w:r>
          </w:p>
          <w:p w14:paraId="13D2F427" w14:textId="77777777" w:rsidR="000D44B8" w:rsidRDefault="000D44B8" w:rsidP="006E3A16">
            <w:pPr>
              <w:numPr>
                <w:ilvl w:val="0"/>
                <w:numId w:val="1"/>
              </w:numPr>
              <w:tabs>
                <w:tab w:val="left" w:pos="310"/>
              </w:tabs>
              <w:ind w:left="170"/>
              <w:rPr>
                <w:rFonts w:ascii="Helvetica" w:eastAsia="Times New Roman" w:hAnsi="Helvetica" w:cs="Calibri"/>
                <w:sz w:val="20"/>
                <w:szCs w:val="20"/>
                <w:lang w:val="en-US" w:eastAsia="nl-NL"/>
              </w:rPr>
            </w:pPr>
            <w:r w:rsidRPr="009824AD">
              <w:rPr>
                <w:rFonts w:ascii="Helvetica" w:eastAsia="Times New Roman" w:hAnsi="Helvetica" w:cs="Calibri"/>
                <w:sz w:val="20"/>
                <w:szCs w:val="20"/>
                <w:lang w:val="en-US" w:eastAsia="nl-NL"/>
              </w:rPr>
              <w:tab/>
              <w:t>≥ 4 (%)</w:t>
            </w:r>
          </w:p>
          <w:p w14:paraId="3562B45F" w14:textId="37AEE762" w:rsidR="00F32683" w:rsidRPr="00C67DD2" w:rsidRDefault="00F32683" w:rsidP="006E3A16">
            <w:pPr>
              <w:numPr>
                <w:ilvl w:val="0"/>
                <w:numId w:val="1"/>
              </w:numPr>
              <w:tabs>
                <w:tab w:val="left" w:pos="310"/>
              </w:tabs>
              <w:ind w:left="170"/>
              <w:rPr>
                <w:rFonts w:ascii="Helvetica" w:eastAsia="Times New Roman" w:hAnsi="Helvetica" w:cs="Calibri"/>
                <w:i/>
                <w:iCs/>
                <w:sz w:val="20"/>
                <w:szCs w:val="20"/>
                <w:lang w:val="en-US" w:eastAsia="nl-NL"/>
              </w:rPr>
            </w:pPr>
            <w:r>
              <w:rPr>
                <w:rFonts w:ascii="Helvetica" w:eastAsia="Times New Roman" w:hAnsi="Helvetica" w:cs="Calibri"/>
                <w:sz w:val="20"/>
                <w:szCs w:val="20"/>
                <w:lang w:val="en-US" w:eastAsia="nl-NL"/>
              </w:rPr>
              <w:tab/>
            </w:r>
            <w:r w:rsidRPr="00C67DD2">
              <w:rPr>
                <w:rFonts w:ascii="Helvetica" w:eastAsia="Times New Roman" w:hAnsi="Helvetica" w:cs="Calibri"/>
                <w:i/>
                <w:iCs/>
                <w:sz w:val="20"/>
                <w:szCs w:val="20"/>
                <w:lang w:val="en-US" w:eastAsia="nl-NL"/>
              </w:rPr>
              <w:t>Missing (%)</w:t>
            </w:r>
          </w:p>
        </w:tc>
        <w:tc>
          <w:tcPr>
            <w:tcW w:w="1842" w:type="dxa"/>
            <w:tcBorders>
              <w:left w:val="single" w:sz="4" w:space="0" w:color="auto"/>
            </w:tcBorders>
            <w:vAlign w:val="center"/>
          </w:tcPr>
          <w:p w14:paraId="26AE666C" w14:textId="77777777" w:rsidR="000D44B8" w:rsidRPr="009824AD" w:rsidRDefault="000D44B8" w:rsidP="006E3A16">
            <w:pPr>
              <w:autoSpaceDE w:val="0"/>
              <w:autoSpaceDN w:val="0"/>
              <w:adjustRightInd w:val="0"/>
              <w:jc w:val="center"/>
              <w:rPr>
                <w:rFonts w:ascii="Helvetica" w:hAnsi="Helvetica" w:cs="Calibri"/>
                <w:sz w:val="20"/>
                <w:szCs w:val="20"/>
                <w:lang w:val="en-US"/>
              </w:rPr>
            </w:pPr>
          </w:p>
          <w:p w14:paraId="0B9C02C5" w14:textId="77777777" w:rsidR="000D44B8" w:rsidRPr="009824AD" w:rsidRDefault="000D44B8" w:rsidP="006E3A16">
            <w:pPr>
              <w:autoSpaceDE w:val="0"/>
              <w:autoSpaceDN w:val="0"/>
              <w:adjustRightInd w:val="0"/>
              <w:jc w:val="center"/>
              <w:rPr>
                <w:rFonts w:ascii="Helvetica" w:hAnsi="Helvetica" w:cs="Calibri"/>
                <w:sz w:val="20"/>
                <w:szCs w:val="20"/>
                <w:lang w:val="en-US"/>
              </w:rPr>
            </w:pPr>
            <w:r w:rsidRPr="009824AD">
              <w:rPr>
                <w:rFonts w:ascii="Helvetica" w:hAnsi="Helvetica" w:cs="Calibri"/>
                <w:sz w:val="20"/>
                <w:szCs w:val="20"/>
                <w:lang w:val="en-US"/>
              </w:rPr>
              <w:t>148 (3.1)</w:t>
            </w:r>
          </w:p>
          <w:p w14:paraId="7B23089E" w14:textId="77777777" w:rsidR="000D44B8" w:rsidRPr="009824AD" w:rsidRDefault="000D44B8" w:rsidP="006E3A16">
            <w:pPr>
              <w:autoSpaceDE w:val="0"/>
              <w:autoSpaceDN w:val="0"/>
              <w:adjustRightInd w:val="0"/>
              <w:jc w:val="center"/>
              <w:rPr>
                <w:rFonts w:ascii="Helvetica" w:hAnsi="Helvetica" w:cs="Calibri"/>
                <w:sz w:val="20"/>
                <w:szCs w:val="20"/>
                <w:lang w:val="en-US"/>
              </w:rPr>
            </w:pPr>
            <w:r w:rsidRPr="009824AD">
              <w:rPr>
                <w:rFonts w:ascii="Helvetica" w:hAnsi="Helvetica" w:cs="Calibri"/>
                <w:sz w:val="20"/>
                <w:szCs w:val="20"/>
                <w:lang w:val="en-US"/>
              </w:rPr>
              <w:t>3149 (66.7)</w:t>
            </w:r>
          </w:p>
          <w:p w14:paraId="0A0E996D" w14:textId="77777777" w:rsidR="000D44B8" w:rsidRPr="009824AD" w:rsidRDefault="000D44B8" w:rsidP="006E3A16">
            <w:pPr>
              <w:autoSpaceDE w:val="0"/>
              <w:autoSpaceDN w:val="0"/>
              <w:adjustRightInd w:val="0"/>
              <w:jc w:val="center"/>
              <w:rPr>
                <w:rFonts w:ascii="Helvetica" w:hAnsi="Helvetica" w:cs="Calibri"/>
                <w:sz w:val="20"/>
                <w:szCs w:val="20"/>
                <w:lang w:val="en-US"/>
              </w:rPr>
            </w:pPr>
            <w:r w:rsidRPr="009824AD">
              <w:rPr>
                <w:rFonts w:ascii="Helvetica" w:hAnsi="Helvetica" w:cs="Calibri"/>
                <w:sz w:val="20"/>
                <w:szCs w:val="20"/>
                <w:lang w:val="en-US"/>
              </w:rPr>
              <w:t>762 (16.1)</w:t>
            </w:r>
          </w:p>
          <w:p w14:paraId="6D20A02B" w14:textId="77777777" w:rsidR="000D44B8" w:rsidRPr="009824AD" w:rsidRDefault="000D44B8" w:rsidP="006E3A16">
            <w:pPr>
              <w:autoSpaceDE w:val="0"/>
              <w:autoSpaceDN w:val="0"/>
              <w:adjustRightInd w:val="0"/>
              <w:jc w:val="center"/>
              <w:rPr>
                <w:rFonts w:ascii="Helvetica" w:hAnsi="Helvetica" w:cs="Calibri"/>
                <w:sz w:val="20"/>
                <w:szCs w:val="20"/>
                <w:lang w:val="en-US"/>
              </w:rPr>
            </w:pPr>
            <w:r w:rsidRPr="009824AD">
              <w:rPr>
                <w:rFonts w:ascii="Helvetica" w:hAnsi="Helvetica" w:cs="Calibri"/>
                <w:sz w:val="20"/>
                <w:szCs w:val="20"/>
                <w:lang w:val="en-US"/>
              </w:rPr>
              <w:t>342 (7.2)</w:t>
            </w:r>
          </w:p>
          <w:p w14:paraId="2C0E4D33" w14:textId="77777777" w:rsidR="000D44B8" w:rsidRDefault="000D44B8" w:rsidP="006E3A16">
            <w:pPr>
              <w:autoSpaceDE w:val="0"/>
              <w:autoSpaceDN w:val="0"/>
              <w:adjustRightInd w:val="0"/>
              <w:jc w:val="center"/>
              <w:rPr>
                <w:rFonts w:ascii="Helvetica" w:hAnsi="Helvetica" w:cs="Calibri"/>
                <w:sz w:val="20"/>
                <w:szCs w:val="20"/>
                <w:lang w:val="en-US"/>
              </w:rPr>
            </w:pPr>
            <w:r w:rsidRPr="009824AD">
              <w:rPr>
                <w:rFonts w:ascii="Helvetica" w:hAnsi="Helvetica" w:cs="Calibri"/>
                <w:sz w:val="20"/>
                <w:szCs w:val="20"/>
                <w:lang w:val="en-US"/>
              </w:rPr>
              <w:t>322 (6.8)</w:t>
            </w:r>
          </w:p>
          <w:p w14:paraId="17AD8CF5" w14:textId="4AF3A39E" w:rsidR="00F32683" w:rsidRPr="009824AD" w:rsidRDefault="00F32683" w:rsidP="006E3A16">
            <w:pPr>
              <w:autoSpaceDE w:val="0"/>
              <w:autoSpaceDN w:val="0"/>
              <w:adjustRightInd w:val="0"/>
              <w:jc w:val="center"/>
              <w:rPr>
                <w:rFonts w:ascii="Helvetica" w:hAnsi="Helvetica" w:cs="Calibri"/>
                <w:sz w:val="20"/>
                <w:szCs w:val="20"/>
                <w:lang w:val="en-US"/>
              </w:rPr>
            </w:pPr>
            <w:r>
              <w:rPr>
                <w:rFonts w:ascii="Helvetica" w:hAnsi="Helvetica" w:cs="Calibri"/>
                <w:sz w:val="20"/>
                <w:szCs w:val="20"/>
                <w:lang w:val="en-US"/>
              </w:rPr>
              <w:t>1646 (25.8)</w:t>
            </w:r>
          </w:p>
        </w:tc>
        <w:tc>
          <w:tcPr>
            <w:tcW w:w="1843" w:type="dxa"/>
            <w:vAlign w:val="center"/>
          </w:tcPr>
          <w:p w14:paraId="780545E1" w14:textId="77777777" w:rsidR="000D44B8" w:rsidRPr="009824AD" w:rsidRDefault="000D44B8" w:rsidP="006E3A16">
            <w:pPr>
              <w:autoSpaceDE w:val="0"/>
              <w:autoSpaceDN w:val="0"/>
              <w:adjustRightInd w:val="0"/>
              <w:jc w:val="center"/>
              <w:rPr>
                <w:rFonts w:ascii="Helvetica" w:hAnsi="Helvetica" w:cs="Calibri"/>
                <w:sz w:val="20"/>
                <w:szCs w:val="20"/>
                <w:lang w:val="en-US" w:eastAsia="nl-NL"/>
              </w:rPr>
            </w:pPr>
          </w:p>
          <w:p w14:paraId="7D56AF63" w14:textId="77777777" w:rsidR="000D44B8" w:rsidRPr="009824AD" w:rsidRDefault="000D44B8" w:rsidP="006E3A16">
            <w:pPr>
              <w:autoSpaceDE w:val="0"/>
              <w:autoSpaceDN w:val="0"/>
              <w:adjustRightInd w:val="0"/>
              <w:jc w:val="center"/>
              <w:rPr>
                <w:rFonts w:ascii="Helvetica" w:hAnsi="Helvetica" w:cs="Calibri"/>
                <w:sz w:val="20"/>
                <w:szCs w:val="20"/>
                <w:lang w:val="en-US" w:eastAsia="nl-NL"/>
              </w:rPr>
            </w:pPr>
            <w:r w:rsidRPr="009824AD">
              <w:rPr>
                <w:rFonts w:ascii="Helvetica" w:hAnsi="Helvetica" w:cs="Calibri"/>
                <w:sz w:val="20"/>
                <w:szCs w:val="20"/>
                <w:lang w:val="en-US" w:eastAsia="nl-NL"/>
              </w:rPr>
              <w:t>74 (1.9)</w:t>
            </w:r>
          </w:p>
          <w:p w14:paraId="0193637A" w14:textId="77777777" w:rsidR="000D44B8" w:rsidRPr="009824AD" w:rsidRDefault="000D44B8" w:rsidP="006E3A16">
            <w:pPr>
              <w:autoSpaceDE w:val="0"/>
              <w:autoSpaceDN w:val="0"/>
              <w:adjustRightInd w:val="0"/>
              <w:jc w:val="center"/>
              <w:rPr>
                <w:rFonts w:ascii="Helvetica" w:hAnsi="Helvetica" w:cs="Calibri"/>
                <w:sz w:val="20"/>
                <w:szCs w:val="20"/>
                <w:lang w:val="en-US" w:eastAsia="nl-NL"/>
              </w:rPr>
            </w:pPr>
            <w:r w:rsidRPr="009824AD">
              <w:rPr>
                <w:rFonts w:ascii="Helvetica" w:hAnsi="Helvetica" w:cs="Calibri"/>
                <w:sz w:val="20"/>
                <w:szCs w:val="20"/>
                <w:lang w:val="en-US" w:eastAsia="nl-NL"/>
              </w:rPr>
              <w:t>2009 (51.0)</w:t>
            </w:r>
          </w:p>
          <w:p w14:paraId="0E5BF233" w14:textId="77777777" w:rsidR="000D44B8" w:rsidRPr="009824AD" w:rsidRDefault="000D44B8" w:rsidP="006E3A16">
            <w:pPr>
              <w:autoSpaceDE w:val="0"/>
              <w:autoSpaceDN w:val="0"/>
              <w:adjustRightInd w:val="0"/>
              <w:jc w:val="center"/>
              <w:rPr>
                <w:rFonts w:ascii="Helvetica" w:hAnsi="Helvetica" w:cs="Calibri"/>
                <w:sz w:val="20"/>
                <w:szCs w:val="20"/>
                <w:lang w:val="en-US" w:eastAsia="nl-NL"/>
              </w:rPr>
            </w:pPr>
            <w:r w:rsidRPr="009824AD">
              <w:rPr>
                <w:rFonts w:ascii="Helvetica" w:hAnsi="Helvetica" w:cs="Calibri"/>
                <w:sz w:val="20"/>
                <w:szCs w:val="20"/>
                <w:lang w:val="en-US" w:eastAsia="nl-NL"/>
              </w:rPr>
              <w:t>625 (15.9)</w:t>
            </w:r>
          </w:p>
          <w:p w14:paraId="78674ED0" w14:textId="77777777" w:rsidR="000D44B8" w:rsidRPr="009824AD" w:rsidRDefault="000D44B8" w:rsidP="006E3A16">
            <w:pPr>
              <w:autoSpaceDE w:val="0"/>
              <w:autoSpaceDN w:val="0"/>
              <w:adjustRightInd w:val="0"/>
              <w:jc w:val="center"/>
              <w:rPr>
                <w:rFonts w:ascii="Helvetica" w:hAnsi="Helvetica" w:cs="Calibri"/>
                <w:sz w:val="20"/>
                <w:szCs w:val="20"/>
                <w:lang w:val="en-US" w:eastAsia="nl-NL"/>
              </w:rPr>
            </w:pPr>
            <w:r w:rsidRPr="009824AD">
              <w:rPr>
                <w:rFonts w:ascii="Helvetica" w:hAnsi="Helvetica" w:cs="Calibri"/>
                <w:sz w:val="20"/>
                <w:szCs w:val="20"/>
                <w:lang w:val="en-US" w:eastAsia="nl-NL"/>
              </w:rPr>
              <w:t>401 (10.2)</w:t>
            </w:r>
          </w:p>
          <w:p w14:paraId="0C3105EF" w14:textId="77777777" w:rsidR="000D44B8" w:rsidRDefault="000D44B8" w:rsidP="006E3A16">
            <w:pPr>
              <w:autoSpaceDE w:val="0"/>
              <w:autoSpaceDN w:val="0"/>
              <w:adjustRightInd w:val="0"/>
              <w:jc w:val="center"/>
              <w:rPr>
                <w:rFonts w:ascii="Helvetica" w:hAnsi="Helvetica" w:cs="Calibri"/>
                <w:sz w:val="20"/>
                <w:szCs w:val="20"/>
                <w:lang w:val="en-US" w:eastAsia="nl-NL"/>
              </w:rPr>
            </w:pPr>
            <w:r w:rsidRPr="009824AD">
              <w:rPr>
                <w:rFonts w:ascii="Helvetica" w:hAnsi="Helvetica" w:cs="Calibri"/>
                <w:sz w:val="20"/>
                <w:szCs w:val="20"/>
                <w:lang w:val="en-US" w:eastAsia="nl-NL"/>
              </w:rPr>
              <w:t>834 (21.2)</w:t>
            </w:r>
          </w:p>
          <w:p w14:paraId="2E47876C" w14:textId="208F558D" w:rsidR="00F32683" w:rsidRPr="009824AD" w:rsidRDefault="00F32683" w:rsidP="006E3A16">
            <w:pPr>
              <w:autoSpaceDE w:val="0"/>
              <w:autoSpaceDN w:val="0"/>
              <w:adjustRightInd w:val="0"/>
              <w:jc w:val="center"/>
              <w:rPr>
                <w:rFonts w:ascii="Helvetica" w:hAnsi="Helvetica" w:cs="Calibri"/>
                <w:sz w:val="20"/>
                <w:szCs w:val="20"/>
                <w:lang w:val="en-US" w:eastAsia="nl-NL"/>
              </w:rPr>
            </w:pPr>
            <w:r>
              <w:rPr>
                <w:rFonts w:ascii="Helvetica" w:hAnsi="Helvetica" w:cs="Calibri"/>
                <w:sz w:val="20"/>
                <w:szCs w:val="20"/>
                <w:lang w:val="en-US" w:eastAsia="nl-NL"/>
              </w:rPr>
              <w:t>3067 (43.8)</w:t>
            </w:r>
          </w:p>
        </w:tc>
        <w:tc>
          <w:tcPr>
            <w:tcW w:w="851" w:type="dxa"/>
          </w:tcPr>
          <w:p w14:paraId="0923143A" w14:textId="77777777" w:rsidR="000D44B8" w:rsidRPr="009824AD" w:rsidRDefault="000D44B8" w:rsidP="006E3A16">
            <w:pPr>
              <w:tabs>
                <w:tab w:val="left" w:pos="310"/>
              </w:tabs>
              <w:jc w:val="center"/>
              <w:rPr>
                <w:rFonts w:ascii="Helvetica" w:eastAsia="Times New Roman" w:hAnsi="Helvetica" w:cs="Calibri"/>
                <w:b/>
                <w:bCs/>
                <w:color w:val="000000"/>
                <w:sz w:val="20"/>
                <w:szCs w:val="20"/>
                <w:lang w:val="en-US" w:eastAsia="nl-NL"/>
              </w:rPr>
            </w:pPr>
            <w:r w:rsidRPr="009824AD">
              <w:rPr>
                <w:rFonts w:ascii="Helvetica" w:eastAsia="Times New Roman" w:hAnsi="Helvetica" w:cs="Calibri"/>
                <w:b/>
                <w:bCs/>
                <w:color w:val="000000"/>
                <w:sz w:val="20"/>
                <w:szCs w:val="20"/>
                <w:lang w:val="en-US" w:eastAsia="nl-NL"/>
              </w:rPr>
              <w:t>&lt;0.001</w:t>
            </w:r>
          </w:p>
        </w:tc>
        <w:tc>
          <w:tcPr>
            <w:tcW w:w="708" w:type="dxa"/>
            <w:tcBorders>
              <w:right w:val="single" w:sz="4" w:space="0" w:color="auto"/>
            </w:tcBorders>
          </w:tcPr>
          <w:p w14:paraId="21CBAE51" w14:textId="77777777" w:rsidR="000D44B8" w:rsidRPr="009824AD" w:rsidRDefault="000D44B8" w:rsidP="006E3A16">
            <w:pPr>
              <w:tabs>
                <w:tab w:val="left" w:pos="310"/>
              </w:tabs>
              <w:jc w:val="center"/>
              <w:rPr>
                <w:rFonts w:ascii="Helvetica" w:eastAsia="Times New Roman" w:hAnsi="Helvetica" w:cs="Calibri"/>
                <w:color w:val="000000"/>
                <w:sz w:val="20"/>
                <w:szCs w:val="20"/>
                <w:lang w:val="en-US" w:eastAsia="nl-NL"/>
              </w:rPr>
            </w:pPr>
            <w:r w:rsidRPr="009824AD">
              <w:rPr>
                <w:rFonts w:ascii="Helvetica" w:eastAsia="Times New Roman" w:hAnsi="Helvetica" w:cs="Calibri"/>
                <w:color w:val="000000"/>
                <w:sz w:val="20"/>
                <w:szCs w:val="20"/>
                <w:lang w:val="en-US" w:eastAsia="nl-NL"/>
              </w:rPr>
              <w:t>0.45</w:t>
            </w:r>
          </w:p>
        </w:tc>
        <w:tc>
          <w:tcPr>
            <w:tcW w:w="1843" w:type="dxa"/>
            <w:tcBorders>
              <w:left w:val="single" w:sz="4" w:space="0" w:color="auto"/>
            </w:tcBorders>
            <w:vAlign w:val="center"/>
          </w:tcPr>
          <w:p w14:paraId="1DEB2A93" w14:textId="77777777" w:rsidR="000D44B8" w:rsidRPr="009824AD" w:rsidRDefault="000D44B8" w:rsidP="006E3A16">
            <w:pPr>
              <w:autoSpaceDE w:val="0"/>
              <w:autoSpaceDN w:val="0"/>
              <w:adjustRightInd w:val="0"/>
              <w:jc w:val="center"/>
              <w:rPr>
                <w:rFonts w:ascii="Helvetica" w:hAnsi="Helvetica" w:cs="Calibri"/>
                <w:color w:val="000000" w:themeColor="text1"/>
                <w:sz w:val="20"/>
                <w:szCs w:val="20"/>
                <w:lang w:val="en-US"/>
              </w:rPr>
            </w:pPr>
          </w:p>
          <w:p w14:paraId="61CD1860" w14:textId="77777777" w:rsidR="000D44B8" w:rsidRPr="009824AD" w:rsidRDefault="000D44B8" w:rsidP="006E3A16">
            <w:pPr>
              <w:autoSpaceDE w:val="0"/>
              <w:autoSpaceDN w:val="0"/>
              <w:adjustRightInd w:val="0"/>
              <w:jc w:val="center"/>
              <w:rPr>
                <w:rFonts w:ascii="Helvetica" w:hAnsi="Helvetica" w:cs="Calibri"/>
                <w:color w:val="000000" w:themeColor="text1"/>
                <w:sz w:val="20"/>
                <w:szCs w:val="20"/>
                <w:lang w:val="en-US"/>
              </w:rPr>
            </w:pPr>
            <w:r w:rsidRPr="009824AD">
              <w:rPr>
                <w:rFonts w:ascii="Helvetica" w:hAnsi="Helvetica" w:cs="Calibri"/>
                <w:color w:val="000000" w:themeColor="text1"/>
                <w:sz w:val="20"/>
                <w:szCs w:val="20"/>
                <w:lang w:val="en-US"/>
              </w:rPr>
              <w:t>77 (2.2)</w:t>
            </w:r>
          </w:p>
          <w:p w14:paraId="142D05F3" w14:textId="77777777" w:rsidR="000D44B8" w:rsidRPr="009824AD" w:rsidRDefault="000D44B8" w:rsidP="006E3A16">
            <w:pPr>
              <w:autoSpaceDE w:val="0"/>
              <w:autoSpaceDN w:val="0"/>
              <w:adjustRightInd w:val="0"/>
              <w:jc w:val="center"/>
              <w:rPr>
                <w:rFonts w:ascii="Helvetica" w:hAnsi="Helvetica" w:cs="Calibri"/>
                <w:color w:val="000000" w:themeColor="text1"/>
                <w:sz w:val="20"/>
                <w:szCs w:val="20"/>
                <w:lang w:val="en-US"/>
              </w:rPr>
            </w:pPr>
            <w:r w:rsidRPr="009824AD">
              <w:rPr>
                <w:rFonts w:ascii="Helvetica" w:hAnsi="Helvetica" w:cs="Calibri"/>
                <w:color w:val="000000" w:themeColor="text1"/>
                <w:sz w:val="20"/>
                <w:szCs w:val="20"/>
                <w:lang w:val="en-US"/>
              </w:rPr>
              <w:t>2415 (67.7)</w:t>
            </w:r>
          </w:p>
          <w:p w14:paraId="1E4A0469" w14:textId="77777777" w:rsidR="000D44B8" w:rsidRPr="009824AD" w:rsidRDefault="000D44B8" w:rsidP="006E3A16">
            <w:pPr>
              <w:autoSpaceDE w:val="0"/>
              <w:autoSpaceDN w:val="0"/>
              <w:adjustRightInd w:val="0"/>
              <w:jc w:val="center"/>
              <w:rPr>
                <w:rFonts w:ascii="Helvetica" w:hAnsi="Helvetica" w:cs="Calibri"/>
                <w:color w:val="000000" w:themeColor="text1"/>
                <w:sz w:val="20"/>
                <w:szCs w:val="20"/>
                <w:lang w:val="en-US"/>
              </w:rPr>
            </w:pPr>
            <w:r w:rsidRPr="009824AD">
              <w:rPr>
                <w:rFonts w:ascii="Helvetica" w:hAnsi="Helvetica" w:cs="Calibri"/>
                <w:color w:val="000000" w:themeColor="text1"/>
                <w:sz w:val="20"/>
                <w:szCs w:val="20"/>
                <w:lang w:val="en-US"/>
              </w:rPr>
              <w:t>482 (13.5)</w:t>
            </w:r>
          </w:p>
          <w:p w14:paraId="1897EE6A" w14:textId="77777777" w:rsidR="000D44B8" w:rsidRPr="009824AD" w:rsidRDefault="000D44B8" w:rsidP="006E3A16">
            <w:pPr>
              <w:autoSpaceDE w:val="0"/>
              <w:autoSpaceDN w:val="0"/>
              <w:adjustRightInd w:val="0"/>
              <w:jc w:val="center"/>
              <w:rPr>
                <w:rFonts w:ascii="Helvetica" w:hAnsi="Helvetica" w:cs="Calibri"/>
                <w:color w:val="000000" w:themeColor="text1"/>
                <w:sz w:val="20"/>
                <w:szCs w:val="20"/>
                <w:lang w:val="en-US"/>
              </w:rPr>
            </w:pPr>
            <w:r w:rsidRPr="009824AD">
              <w:rPr>
                <w:rFonts w:ascii="Helvetica" w:hAnsi="Helvetica" w:cs="Calibri"/>
                <w:color w:val="000000" w:themeColor="text1"/>
                <w:sz w:val="20"/>
                <w:szCs w:val="20"/>
                <w:lang w:val="en-US"/>
              </w:rPr>
              <w:t>264 (7.4)</w:t>
            </w:r>
          </w:p>
          <w:p w14:paraId="17A209D0" w14:textId="77777777" w:rsidR="000D44B8" w:rsidRPr="009824AD" w:rsidRDefault="000D44B8" w:rsidP="006E3A16">
            <w:pPr>
              <w:autoSpaceDE w:val="0"/>
              <w:autoSpaceDN w:val="0"/>
              <w:adjustRightInd w:val="0"/>
              <w:jc w:val="center"/>
              <w:rPr>
                <w:rFonts w:ascii="Helvetica" w:hAnsi="Helvetica" w:cs="Calibri"/>
                <w:color w:val="000000" w:themeColor="text1"/>
                <w:sz w:val="20"/>
                <w:szCs w:val="20"/>
                <w:lang w:val="en-US"/>
              </w:rPr>
            </w:pPr>
            <w:r w:rsidRPr="009824AD">
              <w:rPr>
                <w:rFonts w:ascii="Helvetica" w:hAnsi="Helvetica" w:cs="Calibri"/>
                <w:color w:val="000000" w:themeColor="text1"/>
                <w:sz w:val="20"/>
                <w:szCs w:val="20"/>
                <w:lang w:val="en-US"/>
              </w:rPr>
              <w:t>327 (9.2)</w:t>
            </w:r>
          </w:p>
        </w:tc>
        <w:tc>
          <w:tcPr>
            <w:tcW w:w="1843" w:type="dxa"/>
            <w:vAlign w:val="center"/>
          </w:tcPr>
          <w:p w14:paraId="3E5F37F8" w14:textId="77777777" w:rsidR="000D44B8" w:rsidRPr="009824AD" w:rsidRDefault="000D44B8" w:rsidP="006E3A16">
            <w:pPr>
              <w:autoSpaceDE w:val="0"/>
              <w:autoSpaceDN w:val="0"/>
              <w:adjustRightInd w:val="0"/>
              <w:jc w:val="center"/>
              <w:rPr>
                <w:rFonts w:ascii="Helvetica" w:hAnsi="Helvetica" w:cs="Calibri"/>
                <w:color w:val="000000" w:themeColor="text1"/>
                <w:sz w:val="20"/>
                <w:szCs w:val="20"/>
                <w:lang w:val="en-US" w:eastAsia="nl-NL"/>
              </w:rPr>
            </w:pPr>
          </w:p>
          <w:p w14:paraId="65F302E7" w14:textId="77777777" w:rsidR="000D44B8" w:rsidRPr="009824AD" w:rsidRDefault="000D44B8" w:rsidP="006E3A16">
            <w:pPr>
              <w:autoSpaceDE w:val="0"/>
              <w:autoSpaceDN w:val="0"/>
              <w:adjustRightInd w:val="0"/>
              <w:jc w:val="center"/>
              <w:rPr>
                <w:rFonts w:ascii="Helvetica" w:hAnsi="Helvetica" w:cs="Calibri"/>
                <w:color w:val="000000" w:themeColor="text1"/>
                <w:sz w:val="20"/>
                <w:szCs w:val="20"/>
                <w:lang w:val="en-US" w:eastAsia="nl-NL"/>
              </w:rPr>
            </w:pPr>
            <w:r w:rsidRPr="009824AD">
              <w:rPr>
                <w:rFonts w:ascii="Helvetica" w:hAnsi="Helvetica" w:cs="Calibri"/>
                <w:color w:val="000000" w:themeColor="text1"/>
                <w:sz w:val="20"/>
                <w:szCs w:val="20"/>
                <w:lang w:val="en-US" w:eastAsia="nl-NL"/>
              </w:rPr>
              <w:t>80 (2.2)</w:t>
            </w:r>
          </w:p>
          <w:p w14:paraId="36C341A5" w14:textId="77777777" w:rsidR="000D44B8" w:rsidRPr="009824AD" w:rsidRDefault="000D44B8" w:rsidP="006E3A16">
            <w:pPr>
              <w:autoSpaceDE w:val="0"/>
              <w:autoSpaceDN w:val="0"/>
              <w:adjustRightInd w:val="0"/>
              <w:jc w:val="center"/>
              <w:rPr>
                <w:rFonts w:ascii="Helvetica" w:hAnsi="Helvetica" w:cs="Calibri"/>
                <w:color w:val="000000" w:themeColor="text1"/>
                <w:sz w:val="20"/>
                <w:szCs w:val="20"/>
                <w:lang w:val="en-US" w:eastAsia="nl-NL"/>
              </w:rPr>
            </w:pPr>
            <w:r w:rsidRPr="009824AD">
              <w:rPr>
                <w:rFonts w:ascii="Helvetica" w:hAnsi="Helvetica" w:cs="Calibri"/>
                <w:color w:val="000000" w:themeColor="text1"/>
                <w:sz w:val="20"/>
                <w:szCs w:val="20"/>
                <w:lang w:val="en-US" w:eastAsia="nl-NL"/>
              </w:rPr>
              <w:t>2421 (67.9)</w:t>
            </w:r>
          </w:p>
          <w:p w14:paraId="7BBA15BA" w14:textId="77777777" w:rsidR="000D44B8" w:rsidRPr="009824AD" w:rsidRDefault="000D44B8" w:rsidP="006E3A16">
            <w:pPr>
              <w:autoSpaceDE w:val="0"/>
              <w:autoSpaceDN w:val="0"/>
              <w:adjustRightInd w:val="0"/>
              <w:jc w:val="center"/>
              <w:rPr>
                <w:rFonts w:ascii="Helvetica" w:hAnsi="Helvetica" w:cs="Calibri"/>
                <w:color w:val="000000" w:themeColor="text1"/>
                <w:sz w:val="20"/>
                <w:szCs w:val="20"/>
                <w:lang w:val="en-US" w:eastAsia="nl-NL"/>
              </w:rPr>
            </w:pPr>
            <w:r w:rsidRPr="009824AD">
              <w:rPr>
                <w:rFonts w:ascii="Helvetica" w:hAnsi="Helvetica" w:cs="Calibri"/>
                <w:color w:val="000000" w:themeColor="text1"/>
                <w:sz w:val="20"/>
                <w:szCs w:val="20"/>
                <w:lang w:val="en-US" w:eastAsia="nl-NL"/>
              </w:rPr>
              <w:t>468 (13.1)</w:t>
            </w:r>
          </w:p>
          <w:p w14:paraId="2CE08904" w14:textId="77777777" w:rsidR="000D44B8" w:rsidRPr="009824AD" w:rsidRDefault="000D44B8" w:rsidP="006E3A16">
            <w:pPr>
              <w:autoSpaceDE w:val="0"/>
              <w:autoSpaceDN w:val="0"/>
              <w:adjustRightInd w:val="0"/>
              <w:jc w:val="center"/>
              <w:rPr>
                <w:rFonts w:ascii="Helvetica" w:hAnsi="Helvetica" w:cs="Calibri"/>
                <w:color w:val="000000" w:themeColor="text1"/>
                <w:sz w:val="20"/>
                <w:szCs w:val="20"/>
                <w:lang w:val="en-US" w:eastAsia="nl-NL"/>
              </w:rPr>
            </w:pPr>
            <w:r w:rsidRPr="009824AD">
              <w:rPr>
                <w:rFonts w:ascii="Helvetica" w:hAnsi="Helvetica" w:cs="Calibri"/>
                <w:color w:val="000000" w:themeColor="text1"/>
                <w:sz w:val="20"/>
                <w:szCs w:val="20"/>
                <w:lang w:val="en-US" w:eastAsia="nl-NL"/>
              </w:rPr>
              <w:t>255 (7.2)</w:t>
            </w:r>
          </w:p>
          <w:p w14:paraId="3CF52F73" w14:textId="77777777" w:rsidR="000D44B8" w:rsidRPr="009824AD" w:rsidRDefault="000D44B8" w:rsidP="006E3A16">
            <w:pPr>
              <w:autoSpaceDE w:val="0"/>
              <w:autoSpaceDN w:val="0"/>
              <w:adjustRightInd w:val="0"/>
              <w:jc w:val="center"/>
              <w:rPr>
                <w:rFonts w:ascii="Helvetica" w:hAnsi="Helvetica" w:cs="Calibri"/>
                <w:color w:val="000000" w:themeColor="text1"/>
                <w:sz w:val="20"/>
                <w:szCs w:val="20"/>
                <w:lang w:val="en-US" w:eastAsia="nl-NL"/>
              </w:rPr>
            </w:pPr>
            <w:r w:rsidRPr="009824AD">
              <w:rPr>
                <w:rFonts w:ascii="Helvetica" w:hAnsi="Helvetica" w:cs="Calibri"/>
                <w:color w:val="000000" w:themeColor="text1"/>
                <w:sz w:val="20"/>
                <w:szCs w:val="20"/>
                <w:lang w:val="en-US" w:eastAsia="nl-NL"/>
              </w:rPr>
              <w:t>341 (9.6)</w:t>
            </w:r>
          </w:p>
        </w:tc>
        <w:tc>
          <w:tcPr>
            <w:tcW w:w="850" w:type="dxa"/>
          </w:tcPr>
          <w:p w14:paraId="252A362E" w14:textId="77777777" w:rsidR="000D44B8" w:rsidRPr="009824AD" w:rsidRDefault="000D44B8" w:rsidP="006E3A16">
            <w:pPr>
              <w:tabs>
                <w:tab w:val="left" w:pos="310"/>
              </w:tabs>
              <w:jc w:val="center"/>
              <w:rPr>
                <w:rFonts w:ascii="Helvetica" w:eastAsia="Times New Roman" w:hAnsi="Helvetica" w:cs="Calibri"/>
                <w:color w:val="000000" w:themeColor="text1"/>
                <w:sz w:val="20"/>
                <w:szCs w:val="20"/>
                <w:lang w:val="en-US" w:eastAsia="nl-NL"/>
              </w:rPr>
            </w:pPr>
            <w:r w:rsidRPr="009824AD">
              <w:rPr>
                <w:rFonts w:ascii="Helvetica" w:eastAsia="Times New Roman" w:hAnsi="Helvetica" w:cs="Calibri"/>
                <w:color w:val="000000" w:themeColor="text1"/>
                <w:sz w:val="20"/>
                <w:szCs w:val="20"/>
                <w:lang w:val="en-US" w:eastAsia="nl-NL"/>
              </w:rPr>
              <w:t>0.949</w:t>
            </w:r>
          </w:p>
        </w:tc>
        <w:tc>
          <w:tcPr>
            <w:tcW w:w="709" w:type="dxa"/>
          </w:tcPr>
          <w:p w14:paraId="5F6D4FA9" w14:textId="77777777" w:rsidR="000D44B8" w:rsidRPr="009824AD" w:rsidRDefault="000D44B8" w:rsidP="006E3A16">
            <w:pPr>
              <w:tabs>
                <w:tab w:val="left" w:pos="310"/>
              </w:tabs>
              <w:jc w:val="center"/>
              <w:rPr>
                <w:rFonts w:ascii="Helvetica" w:eastAsia="Times New Roman" w:hAnsi="Helvetica" w:cs="Calibri"/>
                <w:color w:val="000000" w:themeColor="text1"/>
                <w:sz w:val="20"/>
                <w:szCs w:val="20"/>
                <w:lang w:val="en-US" w:eastAsia="nl-NL"/>
              </w:rPr>
            </w:pPr>
            <w:r w:rsidRPr="009824AD">
              <w:rPr>
                <w:rFonts w:ascii="Helvetica" w:eastAsia="Times New Roman" w:hAnsi="Helvetica" w:cs="Calibri"/>
                <w:color w:val="000000" w:themeColor="text1"/>
                <w:sz w:val="20"/>
                <w:szCs w:val="20"/>
                <w:lang w:val="en-US" w:eastAsia="nl-NL"/>
              </w:rPr>
              <w:t>0.00</w:t>
            </w:r>
          </w:p>
        </w:tc>
      </w:tr>
      <w:tr w:rsidR="000D44B8" w:rsidRPr="009824AD" w14:paraId="4DE81DF5" w14:textId="77777777" w:rsidTr="00C67DD2">
        <w:tc>
          <w:tcPr>
            <w:tcW w:w="4395" w:type="dxa"/>
            <w:tcBorders>
              <w:right w:val="single" w:sz="4" w:space="0" w:color="auto"/>
            </w:tcBorders>
            <w:vAlign w:val="center"/>
          </w:tcPr>
          <w:p w14:paraId="1909F0AF" w14:textId="77777777" w:rsidR="000D44B8" w:rsidRDefault="000D44B8" w:rsidP="006E3A16">
            <w:pPr>
              <w:tabs>
                <w:tab w:val="left" w:pos="310"/>
              </w:tabs>
              <w:ind w:left="170"/>
              <w:rPr>
                <w:rFonts w:ascii="Helvetica" w:eastAsia="Times New Roman" w:hAnsi="Helvetica" w:cs="Calibri"/>
                <w:color w:val="000000"/>
                <w:sz w:val="20"/>
                <w:szCs w:val="20"/>
                <w:lang w:val="en-US" w:eastAsia="nl-NL"/>
              </w:rPr>
            </w:pPr>
            <w:r w:rsidRPr="009824AD">
              <w:rPr>
                <w:rFonts w:ascii="Helvetica" w:eastAsia="Times New Roman" w:hAnsi="Helvetica" w:cs="Calibri"/>
                <w:color w:val="000000"/>
                <w:sz w:val="20"/>
                <w:szCs w:val="20"/>
                <w:lang w:val="en-US" w:eastAsia="nl-NL"/>
              </w:rPr>
              <w:t>Size of largest lesion, mm, median (</w:t>
            </w:r>
            <w:r w:rsidR="00493F8D" w:rsidRPr="009824AD">
              <w:rPr>
                <w:rFonts w:ascii="Helvetica" w:eastAsia="Times New Roman" w:hAnsi="Helvetica" w:cs="Calibri"/>
                <w:color w:val="000000"/>
                <w:sz w:val="20"/>
                <w:szCs w:val="20"/>
                <w:lang w:val="en-US" w:eastAsia="nl-NL"/>
              </w:rPr>
              <w:t>IQR</w:t>
            </w:r>
            <w:r w:rsidRPr="009824AD">
              <w:rPr>
                <w:rFonts w:ascii="Helvetica" w:eastAsia="Times New Roman" w:hAnsi="Helvetica" w:cs="Calibri"/>
                <w:color w:val="000000"/>
                <w:sz w:val="20"/>
                <w:szCs w:val="20"/>
                <w:lang w:val="en-US" w:eastAsia="nl-NL"/>
              </w:rPr>
              <w:t>)</w:t>
            </w:r>
          </w:p>
          <w:p w14:paraId="36EA2B63" w14:textId="706CC982" w:rsidR="00F32683" w:rsidRPr="00C67DD2" w:rsidRDefault="00F32683" w:rsidP="006E3A16">
            <w:pPr>
              <w:tabs>
                <w:tab w:val="left" w:pos="310"/>
              </w:tabs>
              <w:ind w:left="170"/>
              <w:rPr>
                <w:rFonts w:ascii="Helvetica" w:eastAsia="Times New Roman" w:hAnsi="Helvetica" w:cs="Calibri"/>
                <w:i/>
                <w:iCs/>
                <w:color w:val="000000"/>
                <w:sz w:val="20"/>
                <w:szCs w:val="20"/>
                <w:lang w:val="en-US" w:eastAsia="nl-NL"/>
              </w:rPr>
            </w:pPr>
            <w:r w:rsidRPr="00C67DD2">
              <w:rPr>
                <w:rFonts w:ascii="Helvetica" w:eastAsia="Times New Roman" w:hAnsi="Helvetica" w:cs="Calibri"/>
                <w:i/>
                <w:iCs/>
                <w:color w:val="000000"/>
                <w:sz w:val="20"/>
                <w:szCs w:val="20"/>
                <w:lang w:val="en-US" w:eastAsia="nl-NL"/>
              </w:rPr>
              <w:tab/>
              <w:t>Missing (%)</w:t>
            </w:r>
          </w:p>
        </w:tc>
        <w:tc>
          <w:tcPr>
            <w:tcW w:w="1842" w:type="dxa"/>
            <w:tcBorders>
              <w:left w:val="single" w:sz="4" w:space="0" w:color="auto"/>
            </w:tcBorders>
            <w:vAlign w:val="center"/>
          </w:tcPr>
          <w:p w14:paraId="54C9EFFB" w14:textId="77777777" w:rsidR="000D44B8" w:rsidRDefault="000D44B8" w:rsidP="006E3A16">
            <w:pPr>
              <w:jc w:val="center"/>
              <w:rPr>
                <w:rFonts w:ascii="Helvetica" w:eastAsia="Times New Roman" w:hAnsi="Helvetica" w:cs="Calibri"/>
                <w:sz w:val="20"/>
                <w:szCs w:val="20"/>
                <w:lang w:val="en-US" w:eastAsia="nl-NL"/>
              </w:rPr>
            </w:pPr>
            <w:r w:rsidRPr="009824AD">
              <w:rPr>
                <w:rFonts w:ascii="Helvetica" w:eastAsia="Times New Roman" w:hAnsi="Helvetica" w:cs="Calibri"/>
                <w:sz w:val="20"/>
                <w:szCs w:val="20"/>
                <w:lang w:val="en-US" w:eastAsia="nl-NL"/>
              </w:rPr>
              <w:t>28.0 (17.0-45.0)</w:t>
            </w:r>
          </w:p>
          <w:p w14:paraId="508F4F8D" w14:textId="497F4BAF" w:rsidR="00F32683" w:rsidRPr="009824AD" w:rsidRDefault="00F32683" w:rsidP="006E3A16">
            <w:pPr>
              <w:jc w:val="center"/>
              <w:rPr>
                <w:rFonts w:ascii="Helvetica" w:eastAsia="Times New Roman" w:hAnsi="Helvetica" w:cs="Calibri"/>
                <w:sz w:val="20"/>
                <w:szCs w:val="20"/>
                <w:lang w:val="en-US" w:eastAsia="nl-NL"/>
              </w:rPr>
            </w:pPr>
            <w:r>
              <w:rPr>
                <w:rFonts w:ascii="Helvetica" w:eastAsia="Times New Roman" w:hAnsi="Helvetica" w:cs="Calibri"/>
                <w:sz w:val="20"/>
                <w:szCs w:val="20"/>
                <w:lang w:val="en-US" w:eastAsia="nl-NL"/>
              </w:rPr>
              <w:t>1390 (21.8)</w:t>
            </w:r>
          </w:p>
        </w:tc>
        <w:tc>
          <w:tcPr>
            <w:tcW w:w="1843" w:type="dxa"/>
            <w:vAlign w:val="center"/>
          </w:tcPr>
          <w:p w14:paraId="47D58CEA" w14:textId="77777777" w:rsidR="000D44B8" w:rsidRDefault="000D44B8" w:rsidP="006E3A16">
            <w:pPr>
              <w:jc w:val="center"/>
              <w:rPr>
                <w:rFonts w:ascii="Helvetica" w:hAnsi="Helvetica" w:cs="Calibri"/>
                <w:sz w:val="20"/>
                <w:szCs w:val="20"/>
                <w:lang w:val="en-US"/>
              </w:rPr>
            </w:pPr>
            <w:r w:rsidRPr="009824AD">
              <w:rPr>
                <w:rFonts w:ascii="Helvetica" w:hAnsi="Helvetica" w:cs="Calibri"/>
                <w:sz w:val="20"/>
                <w:szCs w:val="20"/>
                <w:lang w:val="en-US"/>
              </w:rPr>
              <w:t>35.0 (20.0-60.0)</w:t>
            </w:r>
          </w:p>
          <w:p w14:paraId="24EBC537" w14:textId="5C586191" w:rsidR="00F32683" w:rsidRPr="009824AD" w:rsidRDefault="00F32683" w:rsidP="006E3A16">
            <w:pPr>
              <w:jc w:val="center"/>
              <w:rPr>
                <w:rFonts w:ascii="Helvetica" w:hAnsi="Helvetica" w:cs="Calibri"/>
                <w:sz w:val="20"/>
                <w:szCs w:val="20"/>
                <w:lang w:val="en-US" w:eastAsia="nl-NL"/>
              </w:rPr>
            </w:pPr>
            <w:r>
              <w:rPr>
                <w:rFonts w:ascii="Helvetica" w:hAnsi="Helvetica" w:cs="Calibri"/>
                <w:sz w:val="20"/>
                <w:szCs w:val="20"/>
                <w:lang w:val="en-US"/>
              </w:rPr>
              <w:t>2365 (33.7)</w:t>
            </w:r>
          </w:p>
        </w:tc>
        <w:tc>
          <w:tcPr>
            <w:tcW w:w="851" w:type="dxa"/>
          </w:tcPr>
          <w:p w14:paraId="03F9A587" w14:textId="77777777" w:rsidR="000D44B8" w:rsidRPr="009824AD" w:rsidRDefault="000D44B8" w:rsidP="006E3A16">
            <w:pPr>
              <w:tabs>
                <w:tab w:val="left" w:pos="310"/>
              </w:tabs>
              <w:jc w:val="center"/>
              <w:rPr>
                <w:rFonts w:ascii="Helvetica" w:eastAsia="Times New Roman" w:hAnsi="Helvetica" w:cs="Calibri"/>
                <w:b/>
                <w:bCs/>
                <w:color w:val="000000"/>
                <w:sz w:val="20"/>
                <w:szCs w:val="20"/>
                <w:lang w:val="en-US" w:eastAsia="nl-NL"/>
              </w:rPr>
            </w:pPr>
            <w:r w:rsidRPr="009824AD">
              <w:rPr>
                <w:rFonts w:ascii="Helvetica" w:eastAsia="Times New Roman" w:hAnsi="Helvetica" w:cs="Calibri"/>
                <w:b/>
                <w:bCs/>
                <w:color w:val="000000"/>
                <w:sz w:val="20"/>
                <w:szCs w:val="20"/>
                <w:lang w:val="en-US" w:eastAsia="nl-NL"/>
              </w:rPr>
              <w:t>&lt;0.001</w:t>
            </w:r>
          </w:p>
        </w:tc>
        <w:tc>
          <w:tcPr>
            <w:tcW w:w="708" w:type="dxa"/>
            <w:tcBorders>
              <w:right w:val="single" w:sz="4" w:space="0" w:color="auto"/>
            </w:tcBorders>
          </w:tcPr>
          <w:p w14:paraId="1B4FD7A7" w14:textId="77777777" w:rsidR="000D44B8" w:rsidRPr="009824AD" w:rsidRDefault="000D44B8" w:rsidP="006E3A16">
            <w:pPr>
              <w:tabs>
                <w:tab w:val="left" w:pos="310"/>
              </w:tabs>
              <w:jc w:val="center"/>
              <w:rPr>
                <w:rFonts w:ascii="Helvetica" w:eastAsia="Times New Roman" w:hAnsi="Helvetica" w:cs="Calibri"/>
                <w:color w:val="000000"/>
                <w:sz w:val="20"/>
                <w:szCs w:val="20"/>
                <w:lang w:val="en-US" w:eastAsia="nl-NL"/>
              </w:rPr>
            </w:pPr>
            <w:r w:rsidRPr="009824AD">
              <w:rPr>
                <w:rFonts w:ascii="Helvetica" w:eastAsia="Times New Roman" w:hAnsi="Helvetica" w:cs="Calibri"/>
                <w:color w:val="000000" w:themeColor="text1"/>
                <w:sz w:val="20"/>
                <w:szCs w:val="20"/>
                <w:lang w:val="en-US" w:eastAsia="nl-NL"/>
              </w:rPr>
              <w:t>0.29</w:t>
            </w:r>
          </w:p>
        </w:tc>
        <w:tc>
          <w:tcPr>
            <w:tcW w:w="1843" w:type="dxa"/>
            <w:tcBorders>
              <w:left w:val="single" w:sz="4" w:space="0" w:color="auto"/>
            </w:tcBorders>
            <w:vAlign w:val="center"/>
          </w:tcPr>
          <w:p w14:paraId="6110F091" w14:textId="77777777" w:rsidR="000D44B8" w:rsidRPr="009824AD" w:rsidRDefault="000D44B8" w:rsidP="006E3A16">
            <w:pPr>
              <w:jc w:val="center"/>
              <w:rPr>
                <w:rFonts w:ascii="Helvetica" w:eastAsia="Times New Roman" w:hAnsi="Helvetica" w:cs="Calibri"/>
                <w:color w:val="000000" w:themeColor="text1"/>
                <w:sz w:val="20"/>
                <w:szCs w:val="20"/>
                <w:lang w:val="en-US" w:eastAsia="nl-NL"/>
              </w:rPr>
            </w:pPr>
            <w:r w:rsidRPr="009824AD">
              <w:rPr>
                <w:rFonts w:ascii="Helvetica" w:eastAsia="Times New Roman" w:hAnsi="Helvetica" w:cs="Calibri"/>
                <w:color w:val="000000" w:themeColor="text1"/>
                <w:sz w:val="20"/>
                <w:szCs w:val="20"/>
                <w:lang w:val="en-US" w:eastAsia="nl-NL"/>
              </w:rPr>
              <w:t>35.7 (23.0-53.8)</w:t>
            </w:r>
          </w:p>
        </w:tc>
        <w:tc>
          <w:tcPr>
            <w:tcW w:w="1843" w:type="dxa"/>
            <w:vAlign w:val="center"/>
          </w:tcPr>
          <w:p w14:paraId="61E9CEC7" w14:textId="77777777" w:rsidR="000D44B8" w:rsidRPr="009824AD" w:rsidRDefault="000D44B8" w:rsidP="006E3A16">
            <w:pPr>
              <w:jc w:val="center"/>
              <w:rPr>
                <w:rFonts w:ascii="Helvetica" w:hAnsi="Helvetica" w:cs="Calibri"/>
                <w:color w:val="000000" w:themeColor="text1"/>
                <w:sz w:val="20"/>
                <w:szCs w:val="20"/>
                <w:lang w:val="en-US" w:eastAsia="nl-NL"/>
              </w:rPr>
            </w:pPr>
            <w:r w:rsidRPr="009824AD">
              <w:rPr>
                <w:rFonts w:ascii="Helvetica" w:hAnsi="Helvetica" w:cs="Calibri"/>
                <w:color w:val="000000" w:themeColor="text1"/>
                <w:sz w:val="20"/>
                <w:szCs w:val="20"/>
                <w:lang w:val="en-US"/>
              </w:rPr>
              <w:t>40.0 (23.0-60.0)</w:t>
            </w:r>
          </w:p>
        </w:tc>
        <w:tc>
          <w:tcPr>
            <w:tcW w:w="850" w:type="dxa"/>
          </w:tcPr>
          <w:p w14:paraId="61AE9BE8" w14:textId="77777777" w:rsidR="000D44B8" w:rsidRPr="009824AD" w:rsidRDefault="000D44B8" w:rsidP="006E3A16">
            <w:pPr>
              <w:tabs>
                <w:tab w:val="left" w:pos="310"/>
              </w:tabs>
              <w:jc w:val="center"/>
              <w:rPr>
                <w:rFonts w:ascii="Helvetica" w:eastAsia="Times New Roman" w:hAnsi="Helvetica" w:cs="Calibri"/>
                <w:b/>
                <w:bCs/>
                <w:color w:val="000000" w:themeColor="text1"/>
                <w:sz w:val="20"/>
                <w:szCs w:val="20"/>
                <w:lang w:val="en-US" w:eastAsia="nl-NL"/>
              </w:rPr>
            </w:pPr>
            <w:r w:rsidRPr="009824AD">
              <w:rPr>
                <w:rFonts w:ascii="Helvetica" w:eastAsia="Times New Roman" w:hAnsi="Helvetica" w:cs="Calibri"/>
                <w:b/>
                <w:bCs/>
                <w:color w:val="000000" w:themeColor="text1"/>
                <w:sz w:val="20"/>
                <w:szCs w:val="20"/>
                <w:lang w:val="en-US" w:eastAsia="nl-NL"/>
              </w:rPr>
              <w:t>&lt;0.001</w:t>
            </w:r>
          </w:p>
        </w:tc>
        <w:tc>
          <w:tcPr>
            <w:tcW w:w="709" w:type="dxa"/>
          </w:tcPr>
          <w:p w14:paraId="029FF78A" w14:textId="77777777" w:rsidR="000D44B8" w:rsidRPr="009824AD" w:rsidRDefault="000D44B8" w:rsidP="006E3A16">
            <w:pPr>
              <w:tabs>
                <w:tab w:val="left" w:pos="310"/>
              </w:tabs>
              <w:jc w:val="center"/>
              <w:rPr>
                <w:rFonts w:ascii="Helvetica" w:eastAsia="Times New Roman" w:hAnsi="Helvetica" w:cs="Calibri"/>
                <w:color w:val="000000" w:themeColor="text1"/>
                <w:sz w:val="20"/>
                <w:szCs w:val="20"/>
                <w:lang w:val="en-US" w:eastAsia="nl-NL"/>
              </w:rPr>
            </w:pPr>
            <w:r w:rsidRPr="009824AD">
              <w:rPr>
                <w:rFonts w:ascii="Helvetica" w:eastAsia="Times New Roman" w:hAnsi="Helvetica" w:cs="Calibri"/>
                <w:color w:val="000000" w:themeColor="text1"/>
                <w:sz w:val="20"/>
                <w:szCs w:val="20"/>
                <w:lang w:val="en-US" w:eastAsia="nl-NL"/>
              </w:rPr>
              <w:t>0.02</w:t>
            </w:r>
          </w:p>
        </w:tc>
      </w:tr>
      <w:tr w:rsidR="000D44B8" w:rsidRPr="009824AD" w14:paraId="17D59BB8" w14:textId="77777777" w:rsidTr="00C67DD2">
        <w:tc>
          <w:tcPr>
            <w:tcW w:w="4395" w:type="dxa"/>
            <w:tcBorders>
              <w:right w:val="single" w:sz="4" w:space="0" w:color="auto"/>
            </w:tcBorders>
            <w:vAlign w:val="center"/>
          </w:tcPr>
          <w:p w14:paraId="5CD21C04" w14:textId="77777777" w:rsidR="000D44B8" w:rsidRPr="009824AD" w:rsidRDefault="000D44B8" w:rsidP="006E3A16">
            <w:pPr>
              <w:tabs>
                <w:tab w:val="left" w:pos="310"/>
              </w:tabs>
              <w:ind w:left="170"/>
              <w:rPr>
                <w:rFonts w:ascii="Helvetica" w:eastAsia="Times New Roman" w:hAnsi="Helvetica" w:cs="Calibri"/>
                <w:color w:val="000000"/>
                <w:sz w:val="20"/>
                <w:szCs w:val="20"/>
                <w:lang w:val="en-US" w:eastAsia="nl-NL"/>
              </w:rPr>
            </w:pPr>
            <w:r w:rsidRPr="009824AD">
              <w:rPr>
                <w:rFonts w:ascii="Helvetica" w:eastAsia="Times New Roman" w:hAnsi="Helvetica" w:cs="Calibri"/>
                <w:color w:val="000000"/>
                <w:sz w:val="20"/>
                <w:szCs w:val="20"/>
                <w:lang w:val="en-US" w:eastAsia="nl-NL"/>
              </w:rPr>
              <w:t>Distribution of lesions</w:t>
            </w:r>
          </w:p>
          <w:p w14:paraId="0389B866" w14:textId="77777777" w:rsidR="000D44B8" w:rsidRPr="009824AD" w:rsidRDefault="000D44B8" w:rsidP="006E3A16">
            <w:pPr>
              <w:tabs>
                <w:tab w:val="left" w:pos="310"/>
              </w:tabs>
              <w:ind w:left="170"/>
              <w:rPr>
                <w:rFonts w:ascii="Helvetica" w:eastAsia="Times New Roman" w:hAnsi="Helvetica" w:cs="Calibri"/>
                <w:color w:val="000000"/>
                <w:sz w:val="20"/>
                <w:szCs w:val="20"/>
                <w:lang w:val="en-US" w:eastAsia="nl-NL"/>
              </w:rPr>
            </w:pPr>
            <w:r w:rsidRPr="009824AD">
              <w:rPr>
                <w:rFonts w:ascii="Helvetica" w:eastAsia="Times New Roman" w:hAnsi="Helvetica" w:cs="Calibri"/>
                <w:color w:val="000000"/>
                <w:sz w:val="20"/>
                <w:szCs w:val="20"/>
                <w:lang w:val="en-US" w:eastAsia="nl-NL"/>
              </w:rPr>
              <w:tab/>
              <w:t>Unilobar (%)</w:t>
            </w:r>
          </w:p>
          <w:p w14:paraId="67C8751F" w14:textId="77777777" w:rsidR="000D44B8" w:rsidRDefault="000D44B8" w:rsidP="006E3A16">
            <w:pPr>
              <w:tabs>
                <w:tab w:val="left" w:pos="310"/>
              </w:tabs>
              <w:ind w:left="170"/>
              <w:rPr>
                <w:rFonts w:ascii="Helvetica" w:eastAsia="Times New Roman" w:hAnsi="Helvetica" w:cs="Calibri"/>
                <w:color w:val="000000"/>
                <w:sz w:val="20"/>
                <w:szCs w:val="20"/>
                <w:lang w:val="en-US" w:eastAsia="nl-NL"/>
              </w:rPr>
            </w:pPr>
            <w:r w:rsidRPr="009824AD">
              <w:rPr>
                <w:rFonts w:ascii="Helvetica" w:eastAsia="Times New Roman" w:hAnsi="Helvetica" w:cs="Calibri"/>
                <w:color w:val="000000"/>
                <w:sz w:val="20"/>
                <w:szCs w:val="20"/>
                <w:lang w:val="en-US" w:eastAsia="nl-NL"/>
              </w:rPr>
              <w:tab/>
              <w:t>Bilobar (%)</w:t>
            </w:r>
          </w:p>
          <w:p w14:paraId="5573C698" w14:textId="51A48EDF" w:rsidR="00F32683" w:rsidRPr="00C67DD2" w:rsidRDefault="00F32683" w:rsidP="006E3A16">
            <w:pPr>
              <w:tabs>
                <w:tab w:val="left" w:pos="310"/>
              </w:tabs>
              <w:ind w:left="170"/>
              <w:rPr>
                <w:rFonts w:ascii="Helvetica" w:eastAsia="Times New Roman" w:hAnsi="Helvetica" w:cs="Calibri"/>
                <w:i/>
                <w:iCs/>
                <w:color w:val="000000"/>
                <w:sz w:val="20"/>
                <w:szCs w:val="20"/>
                <w:lang w:val="en-US" w:eastAsia="nl-NL"/>
              </w:rPr>
            </w:pPr>
            <w:r>
              <w:rPr>
                <w:rFonts w:ascii="Helvetica" w:eastAsia="Times New Roman" w:hAnsi="Helvetica" w:cs="Calibri"/>
                <w:color w:val="000000"/>
                <w:sz w:val="20"/>
                <w:szCs w:val="20"/>
                <w:lang w:val="en-US" w:eastAsia="nl-NL"/>
              </w:rPr>
              <w:tab/>
            </w:r>
            <w:r w:rsidRPr="00C67DD2">
              <w:rPr>
                <w:rFonts w:ascii="Helvetica" w:eastAsia="Times New Roman" w:hAnsi="Helvetica" w:cs="Calibri"/>
                <w:i/>
                <w:iCs/>
                <w:color w:val="000000"/>
                <w:sz w:val="20"/>
                <w:szCs w:val="20"/>
                <w:lang w:val="en-US" w:eastAsia="nl-NL"/>
              </w:rPr>
              <w:t>Missing (%)</w:t>
            </w:r>
          </w:p>
        </w:tc>
        <w:tc>
          <w:tcPr>
            <w:tcW w:w="1842" w:type="dxa"/>
            <w:tcBorders>
              <w:left w:val="single" w:sz="4" w:space="0" w:color="auto"/>
            </w:tcBorders>
            <w:vAlign w:val="center"/>
          </w:tcPr>
          <w:p w14:paraId="55968F22" w14:textId="77777777" w:rsidR="000D44B8" w:rsidRPr="009824AD" w:rsidRDefault="000D44B8" w:rsidP="006E3A16">
            <w:pPr>
              <w:jc w:val="center"/>
              <w:rPr>
                <w:rFonts w:ascii="Helvetica" w:eastAsia="Times New Roman" w:hAnsi="Helvetica" w:cs="Calibri"/>
                <w:sz w:val="20"/>
                <w:szCs w:val="20"/>
                <w:lang w:val="en-US" w:eastAsia="nl-NL"/>
              </w:rPr>
            </w:pPr>
          </w:p>
          <w:p w14:paraId="0BFDE3FF" w14:textId="77777777" w:rsidR="000D44B8" w:rsidRPr="009824AD" w:rsidRDefault="000D44B8" w:rsidP="006E3A16">
            <w:pPr>
              <w:jc w:val="center"/>
              <w:rPr>
                <w:rFonts w:ascii="Helvetica" w:eastAsia="Times New Roman" w:hAnsi="Helvetica" w:cs="Calibri"/>
                <w:sz w:val="20"/>
                <w:szCs w:val="20"/>
                <w:lang w:val="en-US" w:eastAsia="nl-NL"/>
              </w:rPr>
            </w:pPr>
            <w:r w:rsidRPr="009824AD">
              <w:rPr>
                <w:rFonts w:ascii="Helvetica" w:eastAsia="Times New Roman" w:hAnsi="Helvetica" w:cs="Calibri"/>
                <w:sz w:val="20"/>
                <w:szCs w:val="20"/>
                <w:lang w:val="en-US" w:eastAsia="nl-NL"/>
              </w:rPr>
              <w:t>5173 (83.6)</w:t>
            </w:r>
          </w:p>
          <w:p w14:paraId="61181AA2" w14:textId="77777777" w:rsidR="000D44B8" w:rsidRDefault="000D44B8" w:rsidP="006E3A16">
            <w:pPr>
              <w:jc w:val="center"/>
              <w:rPr>
                <w:rFonts w:ascii="Helvetica" w:eastAsia="Times New Roman" w:hAnsi="Helvetica" w:cs="Calibri"/>
                <w:sz w:val="20"/>
                <w:szCs w:val="20"/>
                <w:lang w:val="en-US" w:eastAsia="nl-NL"/>
              </w:rPr>
            </w:pPr>
            <w:r w:rsidRPr="009824AD">
              <w:rPr>
                <w:rFonts w:ascii="Helvetica" w:eastAsia="Times New Roman" w:hAnsi="Helvetica" w:cs="Calibri"/>
                <w:sz w:val="20"/>
                <w:szCs w:val="20"/>
                <w:lang w:val="en-US" w:eastAsia="nl-NL"/>
              </w:rPr>
              <w:t>1018 (16.4)</w:t>
            </w:r>
          </w:p>
          <w:p w14:paraId="26205C8B" w14:textId="43247CCA" w:rsidR="00F32683" w:rsidRPr="009824AD" w:rsidRDefault="00F32683" w:rsidP="006E3A16">
            <w:pPr>
              <w:jc w:val="center"/>
              <w:rPr>
                <w:rFonts w:ascii="Helvetica" w:eastAsia="Times New Roman" w:hAnsi="Helvetica" w:cs="Calibri"/>
                <w:sz w:val="20"/>
                <w:szCs w:val="20"/>
                <w:lang w:val="en-US" w:eastAsia="nl-NL"/>
              </w:rPr>
            </w:pPr>
            <w:r>
              <w:rPr>
                <w:rFonts w:ascii="Helvetica" w:eastAsia="Times New Roman" w:hAnsi="Helvetica" w:cs="Calibri"/>
                <w:sz w:val="20"/>
                <w:szCs w:val="20"/>
                <w:lang w:val="en-US" w:eastAsia="nl-NL"/>
              </w:rPr>
              <w:t>178 (2.8)</w:t>
            </w:r>
          </w:p>
        </w:tc>
        <w:tc>
          <w:tcPr>
            <w:tcW w:w="1843" w:type="dxa"/>
            <w:vAlign w:val="center"/>
          </w:tcPr>
          <w:p w14:paraId="428B0F19" w14:textId="77777777" w:rsidR="000D44B8" w:rsidRPr="009824AD" w:rsidRDefault="000D44B8" w:rsidP="006E3A16">
            <w:pPr>
              <w:jc w:val="center"/>
              <w:rPr>
                <w:rFonts w:ascii="Helvetica" w:hAnsi="Helvetica" w:cs="Calibri"/>
                <w:sz w:val="20"/>
                <w:szCs w:val="20"/>
                <w:lang w:val="en-US"/>
              </w:rPr>
            </w:pPr>
          </w:p>
          <w:p w14:paraId="6BCEFA50" w14:textId="77777777" w:rsidR="000D44B8" w:rsidRPr="009824AD" w:rsidRDefault="000D44B8" w:rsidP="006E3A16">
            <w:pPr>
              <w:jc w:val="center"/>
              <w:rPr>
                <w:rFonts w:ascii="Helvetica" w:hAnsi="Helvetica" w:cs="Calibri"/>
                <w:sz w:val="20"/>
                <w:szCs w:val="20"/>
                <w:lang w:val="en-US"/>
              </w:rPr>
            </w:pPr>
            <w:r w:rsidRPr="009824AD">
              <w:rPr>
                <w:rFonts w:ascii="Helvetica" w:hAnsi="Helvetica" w:cs="Calibri"/>
                <w:sz w:val="20"/>
                <w:szCs w:val="20"/>
                <w:lang w:val="en-US"/>
              </w:rPr>
              <w:t>4745 (70.4)</w:t>
            </w:r>
          </w:p>
          <w:p w14:paraId="6BE64F67" w14:textId="77777777" w:rsidR="000D44B8" w:rsidRDefault="000D44B8" w:rsidP="006E3A16">
            <w:pPr>
              <w:jc w:val="center"/>
              <w:rPr>
                <w:rFonts w:ascii="Helvetica" w:hAnsi="Helvetica" w:cs="Calibri"/>
                <w:sz w:val="20"/>
                <w:szCs w:val="20"/>
                <w:lang w:val="en-US"/>
              </w:rPr>
            </w:pPr>
            <w:r w:rsidRPr="009824AD">
              <w:rPr>
                <w:rFonts w:ascii="Helvetica" w:hAnsi="Helvetica" w:cs="Calibri"/>
                <w:sz w:val="20"/>
                <w:szCs w:val="20"/>
                <w:lang w:val="en-US"/>
              </w:rPr>
              <w:t>1999 (29.6)</w:t>
            </w:r>
          </w:p>
          <w:p w14:paraId="7E65ACCB" w14:textId="4FB5BCB6" w:rsidR="00F32683" w:rsidRPr="009824AD" w:rsidRDefault="00F32683" w:rsidP="006E3A16">
            <w:pPr>
              <w:jc w:val="center"/>
              <w:rPr>
                <w:rFonts w:ascii="Helvetica" w:hAnsi="Helvetica" w:cs="Calibri"/>
                <w:sz w:val="20"/>
                <w:szCs w:val="20"/>
                <w:lang w:val="en-US"/>
              </w:rPr>
            </w:pPr>
            <w:r>
              <w:rPr>
                <w:rFonts w:ascii="Helvetica" w:hAnsi="Helvetica" w:cs="Calibri"/>
                <w:sz w:val="20"/>
                <w:szCs w:val="20"/>
                <w:lang w:val="en-US"/>
              </w:rPr>
              <w:t>266 (3.8)</w:t>
            </w:r>
          </w:p>
        </w:tc>
        <w:tc>
          <w:tcPr>
            <w:tcW w:w="851" w:type="dxa"/>
          </w:tcPr>
          <w:p w14:paraId="1DA2F0F1" w14:textId="77777777" w:rsidR="000D44B8" w:rsidRPr="009824AD" w:rsidRDefault="000D44B8" w:rsidP="006E3A16">
            <w:pPr>
              <w:tabs>
                <w:tab w:val="left" w:pos="310"/>
              </w:tabs>
              <w:jc w:val="center"/>
              <w:rPr>
                <w:rFonts w:ascii="Helvetica" w:eastAsia="Times New Roman" w:hAnsi="Helvetica" w:cs="Calibri"/>
                <w:b/>
                <w:bCs/>
                <w:color w:val="000000"/>
                <w:sz w:val="20"/>
                <w:szCs w:val="20"/>
                <w:lang w:val="en-US" w:eastAsia="nl-NL"/>
              </w:rPr>
            </w:pPr>
            <w:r w:rsidRPr="009824AD">
              <w:rPr>
                <w:rFonts w:ascii="Helvetica" w:eastAsia="Times New Roman" w:hAnsi="Helvetica" w:cs="Calibri"/>
                <w:b/>
                <w:bCs/>
                <w:color w:val="000000"/>
                <w:sz w:val="20"/>
                <w:szCs w:val="20"/>
                <w:lang w:val="en-US" w:eastAsia="nl-NL"/>
              </w:rPr>
              <w:t>&lt;0.001</w:t>
            </w:r>
          </w:p>
        </w:tc>
        <w:tc>
          <w:tcPr>
            <w:tcW w:w="708" w:type="dxa"/>
            <w:tcBorders>
              <w:right w:val="single" w:sz="4" w:space="0" w:color="auto"/>
            </w:tcBorders>
          </w:tcPr>
          <w:p w14:paraId="0F021782" w14:textId="77777777" w:rsidR="000D44B8" w:rsidRPr="009824AD" w:rsidRDefault="000D44B8" w:rsidP="006E3A16">
            <w:pPr>
              <w:tabs>
                <w:tab w:val="left" w:pos="310"/>
              </w:tabs>
              <w:jc w:val="center"/>
              <w:rPr>
                <w:rFonts w:ascii="Helvetica" w:eastAsia="Times New Roman" w:hAnsi="Helvetica" w:cs="Calibri"/>
                <w:color w:val="000000"/>
                <w:sz w:val="20"/>
                <w:szCs w:val="20"/>
                <w:lang w:val="en-US" w:eastAsia="nl-NL"/>
              </w:rPr>
            </w:pPr>
            <w:r w:rsidRPr="009824AD">
              <w:rPr>
                <w:rFonts w:ascii="Helvetica" w:eastAsia="Times New Roman" w:hAnsi="Helvetica" w:cs="Calibri"/>
                <w:color w:val="000000"/>
                <w:sz w:val="20"/>
                <w:szCs w:val="20"/>
                <w:lang w:val="en-US" w:eastAsia="nl-NL"/>
              </w:rPr>
              <w:t>0.32</w:t>
            </w:r>
          </w:p>
        </w:tc>
        <w:tc>
          <w:tcPr>
            <w:tcW w:w="1843" w:type="dxa"/>
            <w:tcBorders>
              <w:left w:val="single" w:sz="4" w:space="0" w:color="auto"/>
            </w:tcBorders>
            <w:vAlign w:val="center"/>
          </w:tcPr>
          <w:p w14:paraId="5E4C946A" w14:textId="77777777" w:rsidR="000D44B8" w:rsidRPr="009824AD" w:rsidRDefault="000D44B8" w:rsidP="006E3A16">
            <w:pPr>
              <w:jc w:val="center"/>
              <w:rPr>
                <w:rFonts w:ascii="Helvetica" w:eastAsia="Times New Roman" w:hAnsi="Helvetica" w:cs="Calibri"/>
                <w:color w:val="000000" w:themeColor="text1"/>
                <w:sz w:val="20"/>
                <w:szCs w:val="20"/>
                <w:lang w:val="en-US" w:eastAsia="nl-NL"/>
              </w:rPr>
            </w:pPr>
          </w:p>
          <w:p w14:paraId="3AE69D92" w14:textId="77777777" w:rsidR="000D44B8" w:rsidRPr="009824AD" w:rsidRDefault="000D44B8" w:rsidP="006E3A16">
            <w:pPr>
              <w:jc w:val="center"/>
              <w:rPr>
                <w:rFonts w:ascii="Helvetica" w:eastAsia="Times New Roman" w:hAnsi="Helvetica" w:cs="Calibri"/>
                <w:color w:val="000000" w:themeColor="text1"/>
                <w:sz w:val="20"/>
                <w:szCs w:val="20"/>
                <w:lang w:val="en-US" w:eastAsia="nl-NL"/>
              </w:rPr>
            </w:pPr>
            <w:r w:rsidRPr="009824AD">
              <w:rPr>
                <w:rFonts w:ascii="Helvetica" w:eastAsia="Times New Roman" w:hAnsi="Helvetica" w:cs="Calibri"/>
                <w:color w:val="000000" w:themeColor="text1"/>
                <w:sz w:val="20"/>
                <w:szCs w:val="20"/>
                <w:lang w:val="en-US" w:eastAsia="nl-NL"/>
              </w:rPr>
              <w:t>2812 (78.9)</w:t>
            </w:r>
          </w:p>
          <w:p w14:paraId="3C37B591" w14:textId="77777777" w:rsidR="000D44B8" w:rsidRPr="009824AD" w:rsidRDefault="000D44B8" w:rsidP="006E3A16">
            <w:pPr>
              <w:jc w:val="center"/>
              <w:rPr>
                <w:rFonts w:ascii="Helvetica" w:eastAsia="Times New Roman" w:hAnsi="Helvetica" w:cs="Calibri"/>
                <w:color w:val="000000" w:themeColor="text1"/>
                <w:sz w:val="20"/>
                <w:szCs w:val="20"/>
                <w:lang w:val="en-US" w:eastAsia="nl-NL"/>
              </w:rPr>
            </w:pPr>
            <w:r w:rsidRPr="009824AD">
              <w:rPr>
                <w:rFonts w:ascii="Helvetica" w:eastAsia="Times New Roman" w:hAnsi="Helvetica" w:cs="Calibri"/>
                <w:color w:val="000000" w:themeColor="text1"/>
                <w:sz w:val="20"/>
                <w:szCs w:val="20"/>
                <w:lang w:val="en-US" w:eastAsia="nl-NL"/>
              </w:rPr>
              <w:t>751 (21.1)</w:t>
            </w:r>
          </w:p>
        </w:tc>
        <w:tc>
          <w:tcPr>
            <w:tcW w:w="1843" w:type="dxa"/>
            <w:vAlign w:val="center"/>
          </w:tcPr>
          <w:p w14:paraId="403D591D" w14:textId="77777777" w:rsidR="000D44B8" w:rsidRPr="009824AD" w:rsidRDefault="000D44B8" w:rsidP="006E3A16">
            <w:pPr>
              <w:jc w:val="center"/>
              <w:rPr>
                <w:rFonts w:ascii="Helvetica" w:hAnsi="Helvetica" w:cs="Calibri"/>
                <w:color w:val="000000" w:themeColor="text1"/>
                <w:sz w:val="20"/>
                <w:szCs w:val="20"/>
                <w:lang w:val="en-US"/>
              </w:rPr>
            </w:pPr>
          </w:p>
          <w:p w14:paraId="0C90746C" w14:textId="77777777" w:rsidR="000D44B8" w:rsidRPr="009824AD" w:rsidRDefault="000D44B8" w:rsidP="006E3A16">
            <w:pPr>
              <w:jc w:val="center"/>
              <w:rPr>
                <w:rFonts w:ascii="Helvetica" w:hAnsi="Helvetica" w:cs="Calibri"/>
                <w:color w:val="000000" w:themeColor="text1"/>
                <w:sz w:val="20"/>
                <w:szCs w:val="20"/>
                <w:lang w:val="en-US"/>
              </w:rPr>
            </w:pPr>
            <w:r w:rsidRPr="009824AD">
              <w:rPr>
                <w:rFonts w:ascii="Helvetica" w:hAnsi="Helvetica" w:cs="Calibri"/>
                <w:color w:val="000000" w:themeColor="text1"/>
                <w:sz w:val="20"/>
                <w:szCs w:val="20"/>
                <w:lang w:val="en-US"/>
              </w:rPr>
              <w:t>2790 (78.3)</w:t>
            </w:r>
          </w:p>
          <w:p w14:paraId="1CCF0045" w14:textId="77777777" w:rsidR="000D44B8" w:rsidRPr="009824AD" w:rsidRDefault="000D44B8" w:rsidP="006E3A16">
            <w:pPr>
              <w:jc w:val="center"/>
              <w:rPr>
                <w:rFonts w:ascii="Helvetica" w:hAnsi="Helvetica" w:cs="Calibri"/>
                <w:color w:val="000000" w:themeColor="text1"/>
                <w:sz w:val="20"/>
                <w:szCs w:val="20"/>
                <w:lang w:val="en-US"/>
              </w:rPr>
            </w:pPr>
            <w:r w:rsidRPr="009824AD">
              <w:rPr>
                <w:rFonts w:ascii="Helvetica" w:hAnsi="Helvetica" w:cs="Calibri"/>
                <w:color w:val="000000" w:themeColor="text1"/>
                <w:sz w:val="20"/>
                <w:szCs w:val="20"/>
                <w:lang w:val="en-US"/>
              </w:rPr>
              <w:t>775 (21.7)</w:t>
            </w:r>
          </w:p>
        </w:tc>
        <w:tc>
          <w:tcPr>
            <w:tcW w:w="850" w:type="dxa"/>
          </w:tcPr>
          <w:p w14:paraId="4C4A10E9" w14:textId="77777777" w:rsidR="000D44B8" w:rsidRPr="009824AD" w:rsidRDefault="000D44B8" w:rsidP="006E3A16">
            <w:pPr>
              <w:tabs>
                <w:tab w:val="left" w:pos="310"/>
              </w:tabs>
              <w:jc w:val="center"/>
              <w:rPr>
                <w:rFonts w:ascii="Helvetica" w:eastAsia="Times New Roman" w:hAnsi="Helvetica" w:cs="Calibri"/>
                <w:color w:val="000000" w:themeColor="text1"/>
                <w:sz w:val="20"/>
                <w:szCs w:val="20"/>
                <w:lang w:val="en-US" w:eastAsia="nl-NL"/>
              </w:rPr>
            </w:pPr>
            <w:r w:rsidRPr="009824AD">
              <w:rPr>
                <w:rFonts w:ascii="Helvetica" w:eastAsia="Times New Roman" w:hAnsi="Helvetica" w:cs="Calibri"/>
                <w:color w:val="000000" w:themeColor="text1"/>
                <w:sz w:val="20"/>
                <w:szCs w:val="20"/>
                <w:lang w:val="en-US" w:eastAsia="nl-NL"/>
              </w:rPr>
              <w:t>0.496</w:t>
            </w:r>
          </w:p>
        </w:tc>
        <w:tc>
          <w:tcPr>
            <w:tcW w:w="709" w:type="dxa"/>
          </w:tcPr>
          <w:p w14:paraId="50779D2D" w14:textId="77777777" w:rsidR="000D44B8" w:rsidRPr="009824AD" w:rsidRDefault="000D44B8" w:rsidP="006E3A16">
            <w:pPr>
              <w:tabs>
                <w:tab w:val="left" w:pos="310"/>
              </w:tabs>
              <w:jc w:val="center"/>
              <w:rPr>
                <w:rFonts w:ascii="Helvetica" w:eastAsia="Times New Roman" w:hAnsi="Helvetica" w:cs="Calibri"/>
                <w:color w:val="000000" w:themeColor="text1"/>
                <w:sz w:val="20"/>
                <w:szCs w:val="20"/>
                <w:lang w:val="en-US" w:eastAsia="nl-NL"/>
              </w:rPr>
            </w:pPr>
            <w:r w:rsidRPr="009824AD">
              <w:rPr>
                <w:rFonts w:ascii="Helvetica" w:eastAsia="Times New Roman" w:hAnsi="Helvetica" w:cs="Calibri"/>
                <w:color w:val="000000" w:themeColor="text1"/>
                <w:sz w:val="20"/>
                <w:szCs w:val="20"/>
                <w:lang w:val="en-US" w:eastAsia="nl-NL"/>
              </w:rPr>
              <w:t>0.02</w:t>
            </w:r>
          </w:p>
        </w:tc>
      </w:tr>
      <w:tr w:rsidR="000D44B8" w:rsidRPr="009824AD" w14:paraId="3064FFF8" w14:textId="77777777" w:rsidTr="00C67DD2">
        <w:tc>
          <w:tcPr>
            <w:tcW w:w="4395" w:type="dxa"/>
            <w:tcBorders>
              <w:right w:val="single" w:sz="4" w:space="0" w:color="auto"/>
            </w:tcBorders>
            <w:vAlign w:val="center"/>
          </w:tcPr>
          <w:p w14:paraId="78C3A98C" w14:textId="77777777" w:rsidR="000D44B8" w:rsidRPr="009824AD" w:rsidRDefault="000D44B8" w:rsidP="006E3A16">
            <w:pPr>
              <w:tabs>
                <w:tab w:val="left" w:pos="310"/>
              </w:tabs>
              <w:rPr>
                <w:rFonts w:ascii="Helvetica" w:eastAsia="Times New Roman" w:hAnsi="Helvetica" w:cs="Calibri"/>
                <w:b/>
                <w:sz w:val="20"/>
                <w:szCs w:val="20"/>
                <w:lang w:val="en-US" w:eastAsia="nl-NL"/>
              </w:rPr>
            </w:pPr>
            <w:r w:rsidRPr="009824AD">
              <w:rPr>
                <w:rFonts w:ascii="Helvetica" w:eastAsia="Times New Roman" w:hAnsi="Helvetica" w:cs="Calibri"/>
                <w:b/>
                <w:sz w:val="20"/>
                <w:szCs w:val="20"/>
                <w:lang w:val="en-US" w:eastAsia="nl-NL"/>
              </w:rPr>
              <w:t>Procedure characteristics</w:t>
            </w:r>
          </w:p>
        </w:tc>
        <w:tc>
          <w:tcPr>
            <w:tcW w:w="1842" w:type="dxa"/>
            <w:tcBorders>
              <w:left w:val="single" w:sz="4" w:space="0" w:color="auto"/>
            </w:tcBorders>
          </w:tcPr>
          <w:p w14:paraId="054C598C" w14:textId="77777777" w:rsidR="000D44B8" w:rsidRPr="009824AD" w:rsidRDefault="000D44B8" w:rsidP="006E3A16">
            <w:pPr>
              <w:jc w:val="center"/>
              <w:rPr>
                <w:rFonts w:ascii="Helvetica" w:hAnsi="Helvetica" w:cs="Calibri"/>
                <w:sz w:val="20"/>
                <w:szCs w:val="20"/>
                <w:lang w:val="en-US"/>
              </w:rPr>
            </w:pPr>
          </w:p>
        </w:tc>
        <w:tc>
          <w:tcPr>
            <w:tcW w:w="1843" w:type="dxa"/>
          </w:tcPr>
          <w:p w14:paraId="5D1402BC" w14:textId="77777777" w:rsidR="000D44B8" w:rsidRPr="009824AD" w:rsidRDefault="000D44B8" w:rsidP="006E3A16">
            <w:pPr>
              <w:jc w:val="center"/>
              <w:rPr>
                <w:rFonts w:ascii="Helvetica" w:hAnsi="Helvetica" w:cs="Calibri"/>
                <w:sz w:val="20"/>
                <w:szCs w:val="20"/>
                <w:lang w:val="en-US"/>
              </w:rPr>
            </w:pPr>
          </w:p>
        </w:tc>
        <w:tc>
          <w:tcPr>
            <w:tcW w:w="851" w:type="dxa"/>
          </w:tcPr>
          <w:p w14:paraId="63B9CCF2" w14:textId="77777777" w:rsidR="000D44B8" w:rsidRPr="009824AD" w:rsidRDefault="000D44B8" w:rsidP="006E3A16">
            <w:pPr>
              <w:jc w:val="center"/>
              <w:rPr>
                <w:rFonts w:ascii="Helvetica" w:hAnsi="Helvetica" w:cs="Calibri"/>
                <w:sz w:val="20"/>
                <w:szCs w:val="20"/>
                <w:lang w:val="en-US"/>
              </w:rPr>
            </w:pPr>
          </w:p>
        </w:tc>
        <w:tc>
          <w:tcPr>
            <w:tcW w:w="708" w:type="dxa"/>
            <w:tcBorders>
              <w:right w:val="single" w:sz="4" w:space="0" w:color="auto"/>
            </w:tcBorders>
          </w:tcPr>
          <w:p w14:paraId="69F85A45" w14:textId="77777777" w:rsidR="000D44B8" w:rsidRPr="009824AD" w:rsidRDefault="000D44B8" w:rsidP="006E3A16">
            <w:pPr>
              <w:jc w:val="center"/>
              <w:rPr>
                <w:rFonts w:ascii="Helvetica" w:hAnsi="Helvetica" w:cs="Calibri"/>
                <w:sz w:val="20"/>
                <w:szCs w:val="20"/>
                <w:lang w:val="en-US"/>
              </w:rPr>
            </w:pPr>
          </w:p>
        </w:tc>
        <w:tc>
          <w:tcPr>
            <w:tcW w:w="1843" w:type="dxa"/>
            <w:tcBorders>
              <w:left w:val="single" w:sz="4" w:space="0" w:color="auto"/>
            </w:tcBorders>
          </w:tcPr>
          <w:p w14:paraId="77ABFAA8" w14:textId="77777777" w:rsidR="000D44B8" w:rsidRPr="009824AD" w:rsidRDefault="000D44B8" w:rsidP="006E3A16">
            <w:pPr>
              <w:jc w:val="center"/>
              <w:rPr>
                <w:rFonts w:ascii="Helvetica" w:hAnsi="Helvetica" w:cs="Calibri"/>
                <w:color w:val="000000" w:themeColor="text1"/>
                <w:sz w:val="20"/>
                <w:szCs w:val="20"/>
                <w:lang w:val="en-US"/>
              </w:rPr>
            </w:pPr>
          </w:p>
        </w:tc>
        <w:tc>
          <w:tcPr>
            <w:tcW w:w="1843" w:type="dxa"/>
          </w:tcPr>
          <w:p w14:paraId="1BBBE6F6" w14:textId="77777777" w:rsidR="000D44B8" w:rsidRPr="009824AD" w:rsidRDefault="000D44B8" w:rsidP="006E3A16">
            <w:pPr>
              <w:jc w:val="center"/>
              <w:rPr>
                <w:rFonts w:ascii="Helvetica" w:hAnsi="Helvetica" w:cs="Calibri"/>
                <w:color w:val="000000" w:themeColor="text1"/>
                <w:sz w:val="20"/>
                <w:szCs w:val="20"/>
                <w:lang w:val="en-US"/>
              </w:rPr>
            </w:pPr>
          </w:p>
        </w:tc>
        <w:tc>
          <w:tcPr>
            <w:tcW w:w="850" w:type="dxa"/>
          </w:tcPr>
          <w:p w14:paraId="12981C73" w14:textId="77777777" w:rsidR="000D44B8" w:rsidRPr="009824AD" w:rsidRDefault="000D44B8" w:rsidP="006E3A16">
            <w:pPr>
              <w:jc w:val="center"/>
              <w:rPr>
                <w:rFonts w:ascii="Helvetica" w:hAnsi="Helvetica" w:cs="Calibri"/>
                <w:color w:val="000000" w:themeColor="text1"/>
                <w:sz w:val="20"/>
                <w:szCs w:val="20"/>
                <w:lang w:val="en-US"/>
              </w:rPr>
            </w:pPr>
          </w:p>
        </w:tc>
        <w:tc>
          <w:tcPr>
            <w:tcW w:w="709" w:type="dxa"/>
          </w:tcPr>
          <w:p w14:paraId="70881A47" w14:textId="77777777" w:rsidR="000D44B8" w:rsidRPr="009824AD" w:rsidRDefault="000D44B8" w:rsidP="006E3A16">
            <w:pPr>
              <w:jc w:val="center"/>
              <w:rPr>
                <w:rFonts w:ascii="Helvetica" w:hAnsi="Helvetica" w:cs="Calibri"/>
                <w:color w:val="000000" w:themeColor="text1"/>
                <w:sz w:val="20"/>
                <w:szCs w:val="20"/>
                <w:lang w:val="en-US"/>
              </w:rPr>
            </w:pPr>
          </w:p>
        </w:tc>
      </w:tr>
      <w:tr w:rsidR="000D44B8" w:rsidRPr="009824AD" w14:paraId="38B0D80F" w14:textId="77777777" w:rsidTr="00C67DD2">
        <w:tc>
          <w:tcPr>
            <w:tcW w:w="4395" w:type="dxa"/>
            <w:tcBorders>
              <w:right w:val="single" w:sz="4" w:space="0" w:color="auto"/>
            </w:tcBorders>
            <w:vAlign w:val="center"/>
          </w:tcPr>
          <w:p w14:paraId="2DBC8F68" w14:textId="77777777" w:rsidR="000D44B8" w:rsidRPr="009824AD" w:rsidRDefault="000D44B8" w:rsidP="006E3A16">
            <w:pPr>
              <w:tabs>
                <w:tab w:val="left" w:pos="310"/>
              </w:tabs>
              <w:ind w:left="170"/>
              <w:rPr>
                <w:rFonts w:ascii="Helvetica" w:eastAsia="Times New Roman" w:hAnsi="Helvetica" w:cs="Calibri"/>
                <w:color w:val="000000"/>
                <w:sz w:val="20"/>
                <w:szCs w:val="20"/>
                <w:lang w:val="en-US" w:eastAsia="nl-NL"/>
              </w:rPr>
            </w:pPr>
            <w:r w:rsidRPr="009824AD">
              <w:rPr>
                <w:rFonts w:ascii="Helvetica" w:eastAsia="Times New Roman" w:hAnsi="Helvetica" w:cs="Calibri"/>
                <w:color w:val="000000"/>
                <w:sz w:val="20"/>
                <w:szCs w:val="20"/>
                <w:lang w:val="en-US" w:eastAsia="nl-NL"/>
              </w:rPr>
              <w:t>Year of surgery</w:t>
            </w:r>
          </w:p>
        </w:tc>
        <w:tc>
          <w:tcPr>
            <w:tcW w:w="1842" w:type="dxa"/>
            <w:tcBorders>
              <w:left w:val="single" w:sz="4" w:space="0" w:color="auto"/>
            </w:tcBorders>
            <w:vAlign w:val="center"/>
          </w:tcPr>
          <w:p w14:paraId="35D6591B" w14:textId="77777777" w:rsidR="000D44B8" w:rsidRPr="009824AD" w:rsidRDefault="000D44B8" w:rsidP="006E3A16">
            <w:pPr>
              <w:jc w:val="center"/>
              <w:rPr>
                <w:rFonts w:ascii="Helvetica" w:eastAsia="Times New Roman" w:hAnsi="Helvetica" w:cs="Calibri"/>
                <w:sz w:val="20"/>
                <w:szCs w:val="20"/>
                <w:lang w:val="en-US" w:eastAsia="nl-NL"/>
              </w:rPr>
            </w:pPr>
            <w:r w:rsidRPr="009824AD">
              <w:rPr>
                <w:rFonts w:ascii="Helvetica" w:eastAsia="Times New Roman" w:hAnsi="Helvetica" w:cs="Calibri"/>
                <w:sz w:val="20"/>
                <w:szCs w:val="20"/>
                <w:lang w:val="en-US" w:eastAsia="nl-NL"/>
              </w:rPr>
              <w:t>2015 (2012-2017)</w:t>
            </w:r>
          </w:p>
        </w:tc>
        <w:tc>
          <w:tcPr>
            <w:tcW w:w="1843" w:type="dxa"/>
            <w:vAlign w:val="center"/>
          </w:tcPr>
          <w:p w14:paraId="7B252FDB" w14:textId="77777777" w:rsidR="000D44B8" w:rsidRPr="009824AD" w:rsidRDefault="000D44B8" w:rsidP="006E3A16">
            <w:pPr>
              <w:jc w:val="center"/>
              <w:rPr>
                <w:rFonts w:ascii="Helvetica" w:hAnsi="Helvetica" w:cs="Calibri"/>
                <w:sz w:val="20"/>
                <w:szCs w:val="20"/>
                <w:lang w:val="en-US"/>
              </w:rPr>
            </w:pPr>
            <w:r w:rsidRPr="009824AD">
              <w:rPr>
                <w:rFonts w:ascii="Helvetica" w:hAnsi="Helvetica" w:cs="Calibri"/>
                <w:sz w:val="20"/>
                <w:szCs w:val="20"/>
                <w:lang w:val="en-US"/>
              </w:rPr>
              <w:t>2012 (2009-2015)</w:t>
            </w:r>
          </w:p>
        </w:tc>
        <w:tc>
          <w:tcPr>
            <w:tcW w:w="851" w:type="dxa"/>
          </w:tcPr>
          <w:p w14:paraId="5CA9D699" w14:textId="77777777" w:rsidR="000D44B8" w:rsidRPr="009824AD" w:rsidRDefault="000D44B8" w:rsidP="006E3A16">
            <w:pPr>
              <w:tabs>
                <w:tab w:val="left" w:pos="310"/>
              </w:tabs>
              <w:jc w:val="center"/>
              <w:rPr>
                <w:rFonts w:ascii="Helvetica" w:eastAsia="Times New Roman" w:hAnsi="Helvetica" w:cs="Calibri"/>
                <w:b/>
                <w:bCs/>
                <w:color w:val="000000"/>
                <w:sz w:val="20"/>
                <w:szCs w:val="20"/>
                <w:lang w:val="en-US" w:eastAsia="nl-NL"/>
              </w:rPr>
            </w:pPr>
            <w:r w:rsidRPr="009824AD">
              <w:rPr>
                <w:rFonts w:ascii="Helvetica" w:eastAsia="Times New Roman" w:hAnsi="Helvetica" w:cs="Calibri"/>
                <w:b/>
                <w:bCs/>
                <w:color w:val="000000"/>
                <w:sz w:val="20"/>
                <w:szCs w:val="20"/>
                <w:lang w:val="en-US" w:eastAsia="nl-NL"/>
              </w:rPr>
              <w:t>&lt;0.001</w:t>
            </w:r>
          </w:p>
        </w:tc>
        <w:tc>
          <w:tcPr>
            <w:tcW w:w="708" w:type="dxa"/>
            <w:tcBorders>
              <w:right w:val="single" w:sz="4" w:space="0" w:color="auto"/>
            </w:tcBorders>
          </w:tcPr>
          <w:p w14:paraId="7A9A971A" w14:textId="77777777" w:rsidR="000D44B8" w:rsidRPr="009824AD" w:rsidRDefault="000D44B8" w:rsidP="006E3A16">
            <w:pPr>
              <w:tabs>
                <w:tab w:val="left" w:pos="310"/>
              </w:tabs>
              <w:jc w:val="center"/>
              <w:rPr>
                <w:rFonts w:ascii="Helvetica" w:eastAsia="Times New Roman" w:hAnsi="Helvetica" w:cs="Calibri"/>
                <w:color w:val="000000"/>
                <w:sz w:val="20"/>
                <w:szCs w:val="20"/>
                <w:lang w:val="en-US" w:eastAsia="nl-NL"/>
              </w:rPr>
            </w:pPr>
            <w:r w:rsidRPr="009824AD">
              <w:rPr>
                <w:rFonts w:ascii="Helvetica" w:eastAsia="Times New Roman" w:hAnsi="Helvetica" w:cs="Calibri"/>
                <w:color w:val="000000"/>
                <w:sz w:val="20"/>
                <w:szCs w:val="20"/>
                <w:lang w:val="en-US" w:eastAsia="nl-NL"/>
              </w:rPr>
              <w:t>0.60</w:t>
            </w:r>
          </w:p>
        </w:tc>
        <w:tc>
          <w:tcPr>
            <w:tcW w:w="1843" w:type="dxa"/>
            <w:tcBorders>
              <w:left w:val="single" w:sz="4" w:space="0" w:color="auto"/>
            </w:tcBorders>
            <w:vAlign w:val="center"/>
          </w:tcPr>
          <w:p w14:paraId="17A3B363" w14:textId="77777777" w:rsidR="000D44B8" w:rsidRPr="009824AD" w:rsidRDefault="000D44B8" w:rsidP="006E3A16">
            <w:pPr>
              <w:jc w:val="center"/>
              <w:rPr>
                <w:rFonts w:ascii="Helvetica" w:eastAsia="Times New Roman" w:hAnsi="Helvetica" w:cs="Calibri"/>
                <w:color w:val="000000" w:themeColor="text1"/>
                <w:sz w:val="20"/>
                <w:szCs w:val="20"/>
                <w:lang w:val="en-US" w:eastAsia="nl-NL"/>
              </w:rPr>
            </w:pPr>
            <w:r w:rsidRPr="009824AD">
              <w:rPr>
                <w:rFonts w:ascii="Helvetica" w:eastAsia="Times New Roman" w:hAnsi="Helvetica" w:cs="Calibri"/>
                <w:color w:val="000000" w:themeColor="text1"/>
                <w:sz w:val="20"/>
                <w:szCs w:val="20"/>
                <w:lang w:val="en-US" w:eastAsia="nl-NL"/>
              </w:rPr>
              <w:t>2014 (2010-2017)</w:t>
            </w:r>
          </w:p>
        </w:tc>
        <w:tc>
          <w:tcPr>
            <w:tcW w:w="1843" w:type="dxa"/>
            <w:vAlign w:val="center"/>
          </w:tcPr>
          <w:p w14:paraId="7E25A903" w14:textId="77777777" w:rsidR="000D44B8" w:rsidRPr="009824AD" w:rsidRDefault="000D44B8" w:rsidP="006E3A16">
            <w:pPr>
              <w:jc w:val="center"/>
              <w:rPr>
                <w:rFonts w:ascii="Helvetica" w:hAnsi="Helvetica" w:cs="Calibri"/>
                <w:color w:val="000000" w:themeColor="text1"/>
                <w:sz w:val="20"/>
                <w:szCs w:val="20"/>
                <w:lang w:val="en-US"/>
              </w:rPr>
            </w:pPr>
            <w:r w:rsidRPr="009824AD">
              <w:rPr>
                <w:rFonts w:ascii="Helvetica" w:hAnsi="Helvetica" w:cs="Calibri"/>
                <w:color w:val="000000" w:themeColor="text1"/>
                <w:sz w:val="20"/>
                <w:szCs w:val="20"/>
                <w:lang w:val="en-US"/>
              </w:rPr>
              <w:t>2013 (2010-2016)</w:t>
            </w:r>
          </w:p>
        </w:tc>
        <w:tc>
          <w:tcPr>
            <w:tcW w:w="850" w:type="dxa"/>
          </w:tcPr>
          <w:p w14:paraId="05D1E64F" w14:textId="77777777" w:rsidR="000D44B8" w:rsidRPr="009824AD" w:rsidRDefault="000D44B8" w:rsidP="006E3A16">
            <w:pPr>
              <w:tabs>
                <w:tab w:val="left" w:pos="310"/>
              </w:tabs>
              <w:jc w:val="center"/>
              <w:rPr>
                <w:rFonts w:ascii="Helvetica" w:eastAsia="Times New Roman" w:hAnsi="Helvetica" w:cs="Calibri"/>
                <w:b/>
                <w:bCs/>
                <w:color w:val="000000" w:themeColor="text1"/>
                <w:sz w:val="20"/>
                <w:szCs w:val="20"/>
                <w:lang w:val="en-US" w:eastAsia="nl-NL"/>
              </w:rPr>
            </w:pPr>
            <w:r w:rsidRPr="009824AD">
              <w:rPr>
                <w:rFonts w:ascii="Helvetica" w:eastAsia="Times New Roman" w:hAnsi="Helvetica" w:cs="Calibri"/>
                <w:b/>
                <w:bCs/>
                <w:color w:val="000000" w:themeColor="text1"/>
                <w:sz w:val="20"/>
                <w:szCs w:val="20"/>
                <w:lang w:val="en-US" w:eastAsia="nl-NL"/>
              </w:rPr>
              <w:t>0.003</w:t>
            </w:r>
          </w:p>
        </w:tc>
        <w:tc>
          <w:tcPr>
            <w:tcW w:w="709" w:type="dxa"/>
          </w:tcPr>
          <w:p w14:paraId="607D0EE2" w14:textId="77777777" w:rsidR="000D44B8" w:rsidRPr="009824AD" w:rsidRDefault="000D44B8" w:rsidP="006E3A16">
            <w:pPr>
              <w:tabs>
                <w:tab w:val="left" w:pos="310"/>
              </w:tabs>
              <w:jc w:val="center"/>
              <w:rPr>
                <w:rFonts w:ascii="Helvetica" w:eastAsia="Times New Roman" w:hAnsi="Helvetica" w:cs="Calibri"/>
                <w:color w:val="000000" w:themeColor="text1"/>
                <w:sz w:val="20"/>
                <w:szCs w:val="20"/>
                <w:lang w:val="en-US" w:eastAsia="nl-NL"/>
              </w:rPr>
            </w:pPr>
            <w:r w:rsidRPr="009824AD">
              <w:rPr>
                <w:rFonts w:ascii="Helvetica" w:eastAsia="Times New Roman" w:hAnsi="Helvetica" w:cs="Calibri"/>
                <w:color w:val="000000" w:themeColor="text1"/>
                <w:sz w:val="20"/>
                <w:szCs w:val="20"/>
                <w:lang w:val="en-US" w:eastAsia="nl-NL"/>
              </w:rPr>
              <w:t>0.00</w:t>
            </w:r>
          </w:p>
        </w:tc>
      </w:tr>
      <w:tr w:rsidR="000D44B8" w:rsidRPr="009824AD" w14:paraId="38C2F59C" w14:textId="77777777" w:rsidTr="00C67DD2">
        <w:tc>
          <w:tcPr>
            <w:tcW w:w="4395" w:type="dxa"/>
            <w:tcBorders>
              <w:right w:val="single" w:sz="4" w:space="0" w:color="auto"/>
            </w:tcBorders>
            <w:vAlign w:val="center"/>
          </w:tcPr>
          <w:p w14:paraId="735D76C3" w14:textId="77777777" w:rsidR="000D44B8" w:rsidRPr="009824AD" w:rsidRDefault="000D44B8" w:rsidP="006E3A16">
            <w:pPr>
              <w:tabs>
                <w:tab w:val="left" w:pos="310"/>
              </w:tabs>
              <w:ind w:left="170"/>
              <w:rPr>
                <w:rFonts w:ascii="Helvetica" w:eastAsia="Times New Roman" w:hAnsi="Helvetica" w:cs="Calibri"/>
                <w:color w:val="000000"/>
                <w:sz w:val="20"/>
                <w:szCs w:val="20"/>
                <w:lang w:val="en-US" w:eastAsia="nl-NL"/>
              </w:rPr>
            </w:pPr>
            <w:r w:rsidRPr="009824AD">
              <w:rPr>
                <w:rFonts w:ascii="Helvetica" w:eastAsia="Times New Roman" w:hAnsi="Helvetica" w:cs="Calibri"/>
                <w:color w:val="000000"/>
                <w:sz w:val="20"/>
                <w:szCs w:val="20"/>
                <w:lang w:val="en-US" w:eastAsia="nl-NL"/>
              </w:rPr>
              <w:t>Type of resection</w:t>
            </w:r>
          </w:p>
          <w:p w14:paraId="63A20356" w14:textId="77777777" w:rsidR="000D44B8" w:rsidRPr="009824AD" w:rsidRDefault="000D44B8" w:rsidP="006E3A16">
            <w:pPr>
              <w:tabs>
                <w:tab w:val="left" w:pos="310"/>
              </w:tabs>
              <w:ind w:left="170"/>
              <w:rPr>
                <w:rFonts w:ascii="Helvetica" w:eastAsia="Times New Roman" w:hAnsi="Helvetica" w:cs="Calibri"/>
                <w:color w:val="000000"/>
                <w:sz w:val="20"/>
                <w:szCs w:val="20"/>
                <w:lang w:val="en-US" w:eastAsia="nl-NL"/>
              </w:rPr>
            </w:pPr>
            <w:r w:rsidRPr="009824AD">
              <w:rPr>
                <w:rFonts w:ascii="Helvetica" w:eastAsia="Times New Roman" w:hAnsi="Helvetica" w:cs="Calibri"/>
                <w:color w:val="000000"/>
                <w:sz w:val="20"/>
                <w:szCs w:val="20"/>
                <w:lang w:val="en-US" w:eastAsia="nl-NL"/>
              </w:rPr>
              <w:tab/>
              <w:t>Anatomical (%)</w:t>
            </w:r>
          </w:p>
          <w:p w14:paraId="5966D4AE" w14:textId="77777777" w:rsidR="000D44B8" w:rsidRPr="009824AD" w:rsidRDefault="000D44B8" w:rsidP="006E3A16">
            <w:pPr>
              <w:tabs>
                <w:tab w:val="left" w:pos="310"/>
              </w:tabs>
              <w:ind w:left="170"/>
              <w:rPr>
                <w:rFonts w:ascii="Helvetica" w:eastAsia="Times New Roman" w:hAnsi="Helvetica" w:cs="Calibri"/>
                <w:color w:val="000000"/>
                <w:sz w:val="20"/>
                <w:szCs w:val="20"/>
                <w:lang w:val="en-US" w:eastAsia="nl-NL"/>
              </w:rPr>
            </w:pPr>
            <w:r w:rsidRPr="009824AD">
              <w:rPr>
                <w:rFonts w:ascii="Helvetica" w:eastAsia="Times New Roman" w:hAnsi="Helvetica" w:cs="Calibri"/>
                <w:color w:val="000000"/>
                <w:sz w:val="20"/>
                <w:szCs w:val="20"/>
                <w:lang w:val="en-US" w:eastAsia="nl-NL"/>
              </w:rPr>
              <w:tab/>
              <w:t>Non-anatomical (%)</w:t>
            </w:r>
          </w:p>
          <w:p w14:paraId="0A3ADE44" w14:textId="77777777" w:rsidR="000D44B8" w:rsidRDefault="000D44B8" w:rsidP="006E3A16">
            <w:pPr>
              <w:tabs>
                <w:tab w:val="left" w:pos="310"/>
              </w:tabs>
              <w:ind w:left="170"/>
              <w:rPr>
                <w:rFonts w:ascii="Helvetica" w:eastAsia="Times New Roman" w:hAnsi="Helvetica" w:cs="Calibri"/>
                <w:color w:val="000000"/>
                <w:sz w:val="20"/>
                <w:szCs w:val="20"/>
                <w:lang w:val="en-US" w:eastAsia="nl-NL"/>
              </w:rPr>
            </w:pPr>
            <w:r w:rsidRPr="009824AD">
              <w:rPr>
                <w:rFonts w:ascii="Helvetica" w:eastAsia="Times New Roman" w:hAnsi="Helvetica" w:cs="Calibri"/>
                <w:color w:val="000000"/>
                <w:sz w:val="20"/>
                <w:szCs w:val="20"/>
                <w:lang w:val="en-US" w:eastAsia="nl-NL"/>
              </w:rPr>
              <w:tab/>
              <w:t>Combined non-anatomical/anatomical (%)</w:t>
            </w:r>
          </w:p>
          <w:p w14:paraId="58F9FA44" w14:textId="6D383BA3" w:rsidR="00F32683" w:rsidRPr="009824AD" w:rsidRDefault="00F32683" w:rsidP="006E3A16">
            <w:pPr>
              <w:tabs>
                <w:tab w:val="left" w:pos="310"/>
              </w:tabs>
              <w:ind w:left="170"/>
              <w:rPr>
                <w:rFonts w:ascii="Helvetica" w:eastAsia="Times New Roman" w:hAnsi="Helvetica" w:cs="Calibri"/>
                <w:color w:val="000000"/>
                <w:sz w:val="20"/>
                <w:szCs w:val="20"/>
                <w:lang w:val="en-US" w:eastAsia="nl-NL"/>
              </w:rPr>
            </w:pPr>
            <w:r>
              <w:rPr>
                <w:rFonts w:ascii="Helvetica" w:eastAsia="Times New Roman" w:hAnsi="Helvetica" w:cs="Calibri"/>
                <w:color w:val="000000"/>
                <w:sz w:val="20"/>
                <w:szCs w:val="20"/>
                <w:lang w:val="en-US" w:eastAsia="nl-NL"/>
              </w:rPr>
              <w:tab/>
              <w:t>Missing (%)</w:t>
            </w:r>
          </w:p>
        </w:tc>
        <w:tc>
          <w:tcPr>
            <w:tcW w:w="1842" w:type="dxa"/>
            <w:tcBorders>
              <w:left w:val="single" w:sz="4" w:space="0" w:color="auto"/>
            </w:tcBorders>
            <w:vAlign w:val="center"/>
          </w:tcPr>
          <w:p w14:paraId="0902E17E" w14:textId="77777777" w:rsidR="000D44B8" w:rsidRPr="009824AD" w:rsidRDefault="000D44B8" w:rsidP="006E3A16">
            <w:pPr>
              <w:jc w:val="center"/>
              <w:rPr>
                <w:rFonts w:ascii="Helvetica" w:eastAsia="Times New Roman" w:hAnsi="Helvetica" w:cs="Calibri"/>
                <w:sz w:val="20"/>
                <w:szCs w:val="20"/>
                <w:lang w:val="en-US" w:eastAsia="nl-NL"/>
              </w:rPr>
            </w:pPr>
          </w:p>
          <w:p w14:paraId="4E9149A2" w14:textId="77777777" w:rsidR="000D44B8" w:rsidRPr="009824AD" w:rsidRDefault="000D44B8" w:rsidP="006E3A16">
            <w:pPr>
              <w:jc w:val="center"/>
              <w:rPr>
                <w:rFonts w:ascii="Helvetica" w:eastAsia="Times New Roman" w:hAnsi="Helvetica" w:cs="Calibri"/>
                <w:sz w:val="20"/>
                <w:szCs w:val="20"/>
                <w:lang w:val="en-US" w:eastAsia="nl-NL"/>
              </w:rPr>
            </w:pPr>
            <w:r w:rsidRPr="009824AD">
              <w:rPr>
                <w:rFonts w:ascii="Helvetica" w:eastAsia="Times New Roman" w:hAnsi="Helvetica" w:cs="Calibri"/>
                <w:sz w:val="20"/>
                <w:szCs w:val="20"/>
                <w:lang w:val="en-US" w:eastAsia="nl-NL"/>
              </w:rPr>
              <w:t>2858 (44.9)</w:t>
            </w:r>
          </w:p>
          <w:p w14:paraId="36C2A1CC" w14:textId="77777777" w:rsidR="000D44B8" w:rsidRPr="009824AD" w:rsidRDefault="000D44B8" w:rsidP="006E3A16">
            <w:pPr>
              <w:jc w:val="center"/>
              <w:rPr>
                <w:rFonts w:ascii="Helvetica" w:eastAsia="Times New Roman" w:hAnsi="Helvetica" w:cs="Calibri"/>
                <w:sz w:val="20"/>
                <w:szCs w:val="20"/>
                <w:lang w:val="en-US" w:eastAsia="nl-NL"/>
              </w:rPr>
            </w:pPr>
            <w:r w:rsidRPr="009824AD">
              <w:rPr>
                <w:rFonts w:ascii="Helvetica" w:eastAsia="Times New Roman" w:hAnsi="Helvetica" w:cs="Calibri"/>
                <w:sz w:val="20"/>
                <w:szCs w:val="20"/>
                <w:lang w:val="en-US" w:eastAsia="nl-NL"/>
              </w:rPr>
              <w:t>3042 (47.8)</w:t>
            </w:r>
          </w:p>
          <w:p w14:paraId="4F70886E" w14:textId="77777777" w:rsidR="000D44B8" w:rsidRDefault="000D44B8" w:rsidP="006E3A16">
            <w:pPr>
              <w:jc w:val="center"/>
              <w:rPr>
                <w:rFonts w:ascii="Helvetica" w:eastAsia="Times New Roman" w:hAnsi="Helvetica" w:cs="Calibri"/>
                <w:sz w:val="20"/>
                <w:szCs w:val="20"/>
                <w:lang w:val="en-US" w:eastAsia="nl-NL"/>
              </w:rPr>
            </w:pPr>
            <w:r w:rsidRPr="009824AD">
              <w:rPr>
                <w:rFonts w:ascii="Helvetica" w:eastAsia="Times New Roman" w:hAnsi="Helvetica" w:cs="Calibri"/>
                <w:sz w:val="20"/>
                <w:szCs w:val="20"/>
                <w:lang w:val="en-US" w:eastAsia="nl-NL"/>
              </w:rPr>
              <w:t>469 (7.4)</w:t>
            </w:r>
          </w:p>
          <w:p w14:paraId="63C5CFB2" w14:textId="6CABD816" w:rsidR="00F32683" w:rsidRPr="009824AD" w:rsidRDefault="00F32683" w:rsidP="006E3A16">
            <w:pPr>
              <w:jc w:val="center"/>
              <w:rPr>
                <w:rFonts w:ascii="Helvetica" w:eastAsia="Times New Roman" w:hAnsi="Helvetica" w:cs="Calibri"/>
                <w:sz w:val="20"/>
                <w:szCs w:val="20"/>
                <w:lang w:val="en-US" w:eastAsia="nl-NL"/>
              </w:rPr>
            </w:pPr>
            <w:r>
              <w:rPr>
                <w:rFonts w:ascii="Helvetica" w:eastAsia="Times New Roman" w:hAnsi="Helvetica" w:cs="Calibri"/>
                <w:sz w:val="20"/>
                <w:szCs w:val="20"/>
                <w:lang w:val="en-US" w:eastAsia="nl-NL"/>
              </w:rPr>
              <w:t>0</w:t>
            </w:r>
          </w:p>
        </w:tc>
        <w:tc>
          <w:tcPr>
            <w:tcW w:w="1843" w:type="dxa"/>
            <w:vAlign w:val="center"/>
          </w:tcPr>
          <w:p w14:paraId="36BDCF88" w14:textId="77777777" w:rsidR="000D44B8" w:rsidRPr="009824AD" w:rsidRDefault="000D44B8" w:rsidP="006E3A16">
            <w:pPr>
              <w:jc w:val="center"/>
              <w:rPr>
                <w:rFonts w:ascii="Helvetica" w:hAnsi="Helvetica" w:cs="Calibri"/>
                <w:sz w:val="20"/>
                <w:szCs w:val="20"/>
                <w:lang w:val="en-US"/>
              </w:rPr>
            </w:pPr>
          </w:p>
          <w:p w14:paraId="2ACF7584" w14:textId="77777777" w:rsidR="000D44B8" w:rsidRPr="009824AD" w:rsidRDefault="000D44B8" w:rsidP="006E3A16">
            <w:pPr>
              <w:jc w:val="center"/>
              <w:rPr>
                <w:rFonts w:ascii="Helvetica" w:hAnsi="Helvetica" w:cs="Calibri"/>
                <w:sz w:val="20"/>
                <w:szCs w:val="20"/>
                <w:lang w:val="en-US"/>
              </w:rPr>
            </w:pPr>
            <w:r w:rsidRPr="009824AD">
              <w:rPr>
                <w:rFonts w:ascii="Helvetica" w:hAnsi="Helvetica" w:cs="Calibri"/>
                <w:sz w:val="20"/>
                <w:szCs w:val="20"/>
                <w:lang w:val="en-US"/>
              </w:rPr>
              <w:t>4080 (58.2)</w:t>
            </w:r>
          </w:p>
          <w:p w14:paraId="73DC0C03" w14:textId="77777777" w:rsidR="000D44B8" w:rsidRPr="009824AD" w:rsidRDefault="000D44B8" w:rsidP="006E3A16">
            <w:pPr>
              <w:jc w:val="center"/>
              <w:rPr>
                <w:rFonts w:ascii="Helvetica" w:hAnsi="Helvetica" w:cs="Calibri"/>
                <w:sz w:val="20"/>
                <w:szCs w:val="20"/>
                <w:lang w:val="en-US"/>
              </w:rPr>
            </w:pPr>
            <w:r w:rsidRPr="009824AD">
              <w:rPr>
                <w:rFonts w:ascii="Helvetica" w:hAnsi="Helvetica" w:cs="Calibri"/>
                <w:sz w:val="20"/>
                <w:szCs w:val="20"/>
                <w:lang w:val="en-US"/>
              </w:rPr>
              <w:t>2285 (32.6)</w:t>
            </w:r>
          </w:p>
          <w:p w14:paraId="395428BE" w14:textId="77777777" w:rsidR="000D44B8" w:rsidRDefault="000D44B8" w:rsidP="006E3A16">
            <w:pPr>
              <w:jc w:val="center"/>
              <w:rPr>
                <w:rFonts w:ascii="Helvetica" w:hAnsi="Helvetica" w:cs="Calibri"/>
                <w:sz w:val="20"/>
                <w:szCs w:val="20"/>
                <w:lang w:val="en-US"/>
              </w:rPr>
            </w:pPr>
            <w:r w:rsidRPr="009824AD">
              <w:rPr>
                <w:rFonts w:ascii="Helvetica" w:hAnsi="Helvetica" w:cs="Calibri"/>
                <w:sz w:val="20"/>
                <w:szCs w:val="20"/>
                <w:lang w:val="en-US"/>
              </w:rPr>
              <w:t>645 (9.2)</w:t>
            </w:r>
          </w:p>
          <w:p w14:paraId="5BC5BEBB" w14:textId="178DC6BF" w:rsidR="00F32683" w:rsidRPr="009824AD" w:rsidRDefault="00F32683" w:rsidP="006E3A16">
            <w:pPr>
              <w:jc w:val="center"/>
              <w:rPr>
                <w:rFonts w:ascii="Helvetica" w:hAnsi="Helvetica" w:cs="Calibri"/>
                <w:sz w:val="20"/>
                <w:szCs w:val="20"/>
                <w:lang w:val="en-US"/>
              </w:rPr>
            </w:pPr>
            <w:r>
              <w:rPr>
                <w:rFonts w:ascii="Helvetica" w:hAnsi="Helvetica" w:cs="Calibri"/>
                <w:sz w:val="20"/>
                <w:szCs w:val="20"/>
                <w:lang w:val="en-US"/>
              </w:rPr>
              <w:t>0</w:t>
            </w:r>
          </w:p>
        </w:tc>
        <w:tc>
          <w:tcPr>
            <w:tcW w:w="851" w:type="dxa"/>
          </w:tcPr>
          <w:p w14:paraId="4C32FEA6" w14:textId="77777777" w:rsidR="000D44B8" w:rsidRPr="009824AD" w:rsidRDefault="000D44B8" w:rsidP="006E3A16">
            <w:pPr>
              <w:tabs>
                <w:tab w:val="left" w:pos="310"/>
              </w:tabs>
              <w:jc w:val="center"/>
              <w:rPr>
                <w:rFonts w:ascii="Helvetica" w:eastAsia="Times New Roman" w:hAnsi="Helvetica" w:cs="Calibri"/>
                <w:b/>
                <w:bCs/>
                <w:color w:val="000000"/>
                <w:sz w:val="20"/>
                <w:szCs w:val="20"/>
                <w:lang w:val="en-US" w:eastAsia="nl-NL"/>
              </w:rPr>
            </w:pPr>
            <w:r w:rsidRPr="009824AD">
              <w:rPr>
                <w:rFonts w:ascii="Helvetica" w:eastAsia="Times New Roman" w:hAnsi="Helvetica" w:cs="Calibri"/>
                <w:b/>
                <w:bCs/>
                <w:color w:val="000000"/>
                <w:sz w:val="20"/>
                <w:szCs w:val="20"/>
                <w:lang w:val="en-US" w:eastAsia="nl-NL"/>
              </w:rPr>
              <w:t>&lt;0.001</w:t>
            </w:r>
          </w:p>
        </w:tc>
        <w:tc>
          <w:tcPr>
            <w:tcW w:w="708" w:type="dxa"/>
            <w:tcBorders>
              <w:right w:val="single" w:sz="4" w:space="0" w:color="auto"/>
            </w:tcBorders>
          </w:tcPr>
          <w:p w14:paraId="5B6003AA" w14:textId="77777777" w:rsidR="000D44B8" w:rsidRPr="009824AD" w:rsidRDefault="000D44B8" w:rsidP="006E3A16">
            <w:pPr>
              <w:tabs>
                <w:tab w:val="left" w:pos="310"/>
              </w:tabs>
              <w:jc w:val="center"/>
              <w:rPr>
                <w:rFonts w:ascii="Helvetica" w:eastAsia="Times New Roman" w:hAnsi="Helvetica" w:cs="Calibri"/>
                <w:color w:val="000000"/>
                <w:sz w:val="20"/>
                <w:szCs w:val="20"/>
                <w:lang w:val="en-US" w:eastAsia="nl-NL"/>
              </w:rPr>
            </w:pPr>
            <w:r w:rsidRPr="009824AD">
              <w:rPr>
                <w:rFonts w:ascii="Helvetica" w:eastAsia="Times New Roman" w:hAnsi="Helvetica" w:cs="Calibri"/>
                <w:color w:val="000000"/>
                <w:sz w:val="20"/>
                <w:szCs w:val="20"/>
                <w:lang w:val="en-US" w:eastAsia="nl-NL"/>
              </w:rPr>
              <w:t>0.18</w:t>
            </w:r>
          </w:p>
        </w:tc>
        <w:tc>
          <w:tcPr>
            <w:tcW w:w="1843" w:type="dxa"/>
            <w:tcBorders>
              <w:left w:val="single" w:sz="4" w:space="0" w:color="auto"/>
            </w:tcBorders>
            <w:vAlign w:val="center"/>
          </w:tcPr>
          <w:p w14:paraId="0D79770A" w14:textId="77777777" w:rsidR="000D44B8" w:rsidRPr="009824AD" w:rsidRDefault="000D44B8" w:rsidP="006E3A16">
            <w:pPr>
              <w:jc w:val="center"/>
              <w:rPr>
                <w:rFonts w:ascii="Helvetica" w:eastAsia="Times New Roman" w:hAnsi="Helvetica" w:cs="Calibri"/>
                <w:color w:val="000000" w:themeColor="text1"/>
                <w:sz w:val="20"/>
                <w:szCs w:val="20"/>
                <w:lang w:val="en-US" w:eastAsia="nl-NL"/>
              </w:rPr>
            </w:pPr>
          </w:p>
          <w:p w14:paraId="07D86BCA" w14:textId="77777777" w:rsidR="000D44B8" w:rsidRPr="009824AD" w:rsidRDefault="000D44B8" w:rsidP="006E3A16">
            <w:pPr>
              <w:jc w:val="center"/>
              <w:rPr>
                <w:rFonts w:ascii="Helvetica" w:eastAsia="Times New Roman" w:hAnsi="Helvetica" w:cs="Calibri"/>
                <w:color w:val="000000" w:themeColor="text1"/>
                <w:sz w:val="20"/>
                <w:szCs w:val="20"/>
                <w:lang w:val="en-US" w:eastAsia="nl-NL"/>
              </w:rPr>
            </w:pPr>
            <w:r w:rsidRPr="009824AD">
              <w:rPr>
                <w:rFonts w:ascii="Helvetica" w:eastAsia="Times New Roman" w:hAnsi="Helvetica" w:cs="Calibri"/>
                <w:color w:val="000000" w:themeColor="text1"/>
                <w:sz w:val="20"/>
                <w:szCs w:val="20"/>
                <w:lang w:val="en-US" w:eastAsia="nl-NL"/>
              </w:rPr>
              <w:t>1814 (50.9)</w:t>
            </w:r>
          </w:p>
          <w:p w14:paraId="14ABDDDB" w14:textId="77777777" w:rsidR="000D44B8" w:rsidRPr="009824AD" w:rsidRDefault="000D44B8" w:rsidP="006E3A16">
            <w:pPr>
              <w:jc w:val="center"/>
              <w:rPr>
                <w:rFonts w:ascii="Helvetica" w:eastAsia="Times New Roman" w:hAnsi="Helvetica" w:cs="Calibri"/>
                <w:color w:val="000000" w:themeColor="text1"/>
                <w:sz w:val="20"/>
                <w:szCs w:val="20"/>
                <w:lang w:val="en-US" w:eastAsia="nl-NL"/>
              </w:rPr>
            </w:pPr>
            <w:r w:rsidRPr="009824AD">
              <w:rPr>
                <w:rFonts w:ascii="Helvetica" w:eastAsia="Times New Roman" w:hAnsi="Helvetica" w:cs="Calibri"/>
                <w:color w:val="000000" w:themeColor="text1"/>
                <w:sz w:val="20"/>
                <w:szCs w:val="20"/>
                <w:lang w:val="en-US" w:eastAsia="nl-NL"/>
              </w:rPr>
              <w:t>1446 (40.6)</w:t>
            </w:r>
          </w:p>
          <w:p w14:paraId="206ADA40" w14:textId="77777777" w:rsidR="000D44B8" w:rsidRPr="009824AD" w:rsidRDefault="000D44B8" w:rsidP="006E3A16">
            <w:pPr>
              <w:jc w:val="center"/>
              <w:rPr>
                <w:rFonts w:ascii="Helvetica" w:eastAsia="Times New Roman" w:hAnsi="Helvetica" w:cs="Calibri"/>
                <w:color w:val="000000" w:themeColor="text1"/>
                <w:sz w:val="20"/>
                <w:szCs w:val="20"/>
                <w:lang w:val="en-US" w:eastAsia="nl-NL"/>
              </w:rPr>
            </w:pPr>
            <w:r w:rsidRPr="009824AD">
              <w:rPr>
                <w:rFonts w:ascii="Helvetica" w:eastAsia="Times New Roman" w:hAnsi="Helvetica" w:cs="Calibri"/>
                <w:color w:val="000000" w:themeColor="text1"/>
                <w:sz w:val="20"/>
                <w:szCs w:val="20"/>
                <w:lang w:val="en-US" w:eastAsia="nl-NL"/>
              </w:rPr>
              <w:t>303 (8.5)</w:t>
            </w:r>
          </w:p>
        </w:tc>
        <w:tc>
          <w:tcPr>
            <w:tcW w:w="1843" w:type="dxa"/>
            <w:vAlign w:val="center"/>
          </w:tcPr>
          <w:p w14:paraId="3E438BDD" w14:textId="77777777" w:rsidR="000D44B8" w:rsidRPr="009824AD" w:rsidRDefault="000D44B8" w:rsidP="006E3A16">
            <w:pPr>
              <w:jc w:val="center"/>
              <w:rPr>
                <w:rFonts w:ascii="Helvetica" w:hAnsi="Helvetica" w:cs="Calibri"/>
                <w:color w:val="000000" w:themeColor="text1"/>
                <w:sz w:val="20"/>
                <w:szCs w:val="20"/>
                <w:lang w:val="en-US"/>
              </w:rPr>
            </w:pPr>
          </w:p>
          <w:p w14:paraId="4059631E" w14:textId="77777777" w:rsidR="000D44B8" w:rsidRPr="009824AD" w:rsidRDefault="000D44B8" w:rsidP="006E3A16">
            <w:pPr>
              <w:jc w:val="center"/>
              <w:rPr>
                <w:rFonts w:ascii="Helvetica" w:hAnsi="Helvetica" w:cs="Calibri"/>
                <w:color w:val="000000" w:themeColor="text1"/>
                <w:sz w:val="20"/>
                <w:szCs w:val="20"/>
                <w:lang w:val="en-US"/>
              </w:rPr>
            </w:pPr>
            <w:r w:rsidRPr="009824AD">
              <w:rPr>
                <w:rFonts w:ascii="Helvetica" w:hAnsi="Helvetica" w:cs="Calibri"/>
                <w:color w:val="000000" w:themeColor="text1"/>
                <w:sz w:val="20"/>
                <w:szCs w:val="20"/>
                <w:lang w:val="en-US"/>
              </w:rPr>
              <w:t>1840 (51.6)</w:t>
            </w:r>
          </w:p>
          <w:p w14:paraId="403C5AD4" w14:textId="77777777" w:rsidR="000D44B8" w:rsidRPr="009824AD" w:rsidRDefault="000D44B8" w:rsidP="006E3A16">
            <w:pPr>
              <w:jc w:val="center"/>
              <w:rPr>
                <w:rFonts w:ascii="Helvetica" w:hAnsi="Helvetica" w:cs="Calibri"/>
                <w:color w:val="000000" w:themeColor="text1"/>
                <w:sz w:val="20"/>
                <w:szCs w:val="20"/>
                <w:lang w:val="en-US"/>
              </w:rPr>
            </w:pPr>
            <w:r w:rsidRPr="009824AD">
              <w:rPr>
                <w:rFonts w:ascii="Helvetica" w:hAnsi="Helvetica" w:cs="Calibri"/>
                <w:color w:val="000000" w:themeColor="text1"/>
                <w:sz w:val="20"/>
                <w:szCs w:val="20"/>
                <w:lang w:val="en-US"/>
              </w:rPr>
              <w:t>1410 (39.6)</w:t>
            </w:r>
          </w:p>
          <w:p w14:paraId="66754431" w14:textId="77777777" w:rsidR="000D44B8" w:rsidRPr="009824AD" w:rsidRDefault="000D44B8" w:rsidP="006E3A16">
            <w:pPr>
              <w:jc w:val="center"/>
              <w:rPr>
                <w:rFonts w:ascii="Helvetica" w:hAnsi="Helvetica" w:cs="Calibri"/>
                <w:color w:val="000000" w:themeColor="text1"/>
                <w:sz w:val="20"/>
                <w:szCs w:val="20"/>
                <w:lang w:val="en-US"/>
              </w:rPr>
            </w:pPr>
            <w:r w:rsidRPr="009824AD">
              <w:rPr>
                <w:rFonts w:ascii="Helvetica" w:hAnsi="Helvetica" w:cs="Calibri"/>
                <w:color w:val="000000" w:themeColor="text1"/>
                <w:sz w:val="20"/>
                <w:szCs w:val="20"/>
                <w:lang w:val="en-US"/>
              </w:rPr>
              <w:t>315 (8.8)</w:t>
            </w:r>
          </w:p>
        </w:tc>
        <w:tc>
          <w:tcPr>
            <w:tcW w:w="850" w:type="dxa"/>
          </w:tcPr>
          <w:p w14:paraId="3BC5E916" w14:textId="77777777" w:rsidR="000D44B8" w:rsidRPr="009824AD" w:rsidRDefault="000D44B8" w:rsidP="006E3A16">
            <w:pPr>
              <w:tabs>
                <w:tab w:val="left" w:pos="310"/>
              </w:tabs>
              <w:jc w:val="center"/>
              <w:rPr>
                <w:rFonts w:ascii="Helvetica" w:eastAsia="Times New Roman" w:hAnsi="Helvetica" w:cs="Calibri"/>
                <w:color w:val="000000" w:themeColor="text1"/>
                <w:sz w:val="20"/>
                <w:szCs w:val="20"/>
                <w:lang w:val="en-US" w:eastAsia="nl-NL"/>
              </w:rPr>
            </w:pPr>
            <w:r w:rsidRPr="009824AD">
              <w:rPr>
                <w:rFonts w:ascii="Helvetica" w:eastAsia="Times New Roman" w:hAnsi="Helvetica" w:cs="Calibri"/>
                <w:color w:val="000000" w:themeColor="text1"/>
                <w:sz w:val="20"/>
                <w:szCs w:val="20"/>
                <w:lang w:val="en-US" w:eastAsia="nl-NL"/>
              </w:rPr>
              <w:t>0.647</w:t>
            </w:r>
          </w:p>
        </w:tc>
        <w:tc>
          <w:tcPr>
            <w:tcW w:w="709" w:type="dxa"/>
          </w:tcPr>
          <w:p w14:paraId="328BD04D" w14:textId="77777777" w:rsidR="000D44B8" w:rsidRPr="009824AD" w:rsidRDefault="000D44B8" w:rsidP="006E3A16">
            <w:pPr>
              <w:tabs>
                <w:tab w:val="left" w:pos="310"/>
              </w:tabs>
              <w:jc w:val="center"/>
              <w:rPr>
                <w:rFonts w:ascii="Helvetica" w:eastAsia="Times New Roman" w:hAnsi="Helvetica" w:cs="Calibri"/>
                <w:color w:val="000000" w:themeColor="text1"/>
                <w:sz w:val="20"/>
                <w:szCs w:val="20"/>
                <w:lang w:val="en-US" w:eastAsia="nl-NL"/>
              </w:rPr>
            </w:pPr>
            <w:r w:rsidRPr="009824AD">
              <w:rPr>
                <w:rFonts w:ascii="Helvetica" w:eastAsia="Times New Roman" w:hAnsi="Helvetica" w:cs="Calibri"/>
                <w:color w:val="000000" w:themeColor="text1"/>
                <w:sz w:val="20"/>
                <w:szCs w:val="20"/>
                <w:lang w:val="en-US" w:eastAsia="nl-NL"/>
              </w:rPr>
              <w:t>0.01</w:t>
            </w:r>
          </w:p>
        </w:tc>
      </w:tr>
      <w:tr w:rsidR="000D44B8" w:rsidRPr="009824AD" w14:paraId="4BDE5B1F" w14:textId="77777777" w:rsidTr="00C67DD2">
        <w:tc>
          <w:tcPr>
            <w:tcW w:w="4395" w:type="dxa"/>
            <w:tcBorders>
              <w:right w:val="single" w:sz="4" w:space="0" w:color="auto"/>
            </w:tcBorders>
            <w:vAlign w:val="center"/>
          </w:tcPr>
          <w:p w14:paraId="2A554122" w14:textId="77777777" w:rsidR="000D44B8" w:rsidRPr="009824AD" w:rsidRDefault="000D44B8" w:rsidP="006E3A16">
            <w:pPr>
              <w:tabs>
                <w:tab w:val="left" w:pos="310"/>
              </w:tabs>
              <w:ind w:left="170"/>
              <w:rPr>
                <w:rFonts w:ascii="Helvetica" w:eastAsia="Times New Roman" w:hAnsi="Helvetica" w:cs="Calibri"/>
                <w:color w:val="000000" w:themeColor="text1"/>
                <w:sz w:val="20"/>
                <w:szCs w:val="20"/>
                <w:lang w:val="en-US" w:eastAsia="nl-NL"/>
              </w:rPr>
            </w:pPr>
            <w:r w:rsidRPr="009824AD">
              <w:rPr>
                <w:rFonts w:ascii="Helvetica" w:eastAsia="Times New Roman" w:hAnsi="Helvetica" w:cs="Calibri"/>
                <w:color w:val="000000" w:themeColor="text1"/>
                <w:sz w:val="20"/>
                <w:szCs w:val="20"/>
                <w:lang w:val="en-US" w:eastAsia="nl-NL"/>
              </w:rPr>
              <w:t>Extent of resection</w:t>
            </w:r>
          </w:p>
          <w:p w14:paraId="23B07890" w14:textId="77777777" w:rsidR="000D44B8" w:rsidRPr="009824AD" w:rsidRDefault="000D44B8" w:rsidP="006E3A16">
            <w:pPr>
              <w:tabs>
                <w:tab w:val="left" w:pos="310"/>
              </w:tabs>
              <w:ind w:left="170"/>
              <w:contextualSpacing/>
              <w:rPr>
                <w:rFonts w:ascii="Helvetica" w:hAnsi="Helvetica" w:cs="Calibri"/>
                <w:i/>
                <w:iCs/>
                <w:color w:val="000000" w:themeColor="text1"/>
                <w:sz w:val="20"/>
                <w:szCs w:val="20"/>
                <w:lang w:val="en-US"/>
              </w:rPr>
            </w:pPr>
            <w:r w:rsidRPr="009824AD">
              <w:rPr>
                <w:rFonts w:ascii="Helvetica" w:hAnsi="Helvetica" w:cs="Calibri"/>
                <w:i/>
                <w:iCs/>
                <w:color w:val="000000" w:themeColor="text1"/>
                <w:sz w:val="20"/>
                <w:szCs w:val="20"/>
                <w:lang w:val="en-US"/>
              </w:rPr>
              <w:tab/>
              <w:t>Anterior/left lateral segments (2,3,4b,5,6)</w:t>
            </w:r>
          </w:p>
          <w:p w14:paraId="440E0387" w14:textId="77777777" w:rsidR="000D44B8" w:rsidRPr="009824AD" w:rsidRDefault="000D44B8" w:rsidP="006E3A16">
            <w:pPr>
              <w:tabs>
                <w:tab w:val="left" w:pos="310"/>
              </w:tabs>
              <w:ind w:left="170"/>
              <w:contextualSpacing/>
              <w:rPr>
                <w:rFonts w:ascii="Helvetica" w:hAnsi="Helvetica" w:cs="Calibri"/>
                <w:color w:val="000000" w:themeColor="text1"/>
                <w:sz w:val="20"/>
                <w:szCs w:val="20"/>
                <w:lang w:val="en-US"/>
              </w:rPr>
            </w:pPr>
            <w:r w:rsidRPr="009824AD">
              <w:rPr>
                <w:rFonts w:ascii="Helvetica" w:hAnsi="Helvetica" w:cs="Calibri"/>
                <w:color w:val="000000" w:themeColor="text1"/>
                <w:sz w:val="20"/>
                <w:szCs w:val="20"/>
                <w:lang w:val="en-US"/>
              </w:rPr>
              <w:tab/>
            </w:r>
            <w:r w:rsidRPr="009824AD">
              <w:rPr>
                <w:rFonts w:ascii="Helvetica" w:hAnsi="Helvetica" w:cs="Calibri"/>
                <w:color w:val="000000" w:themeColor="text1"/>
                <w:sz w:val="20"/>
                <w:szCs w:val="20"/>
                <w:lang w:val="en-US"/>
              </w:rPr>
              <w:tab/>
              <w:t>Wedge (%)</w:t>
            </w:r>
          </w:p>
          <w:p w14:paraId="68AA3C5D" w14:textId="77777777" w:rsidR="000D44B8" w:rsidRPr="009824AD" w:rsidRDefault="000D44B8" w:rsidP="006E3A16">
            <w:pPr>
              <w:tabs>
                <w:tab w:val="left" w:pos="310"/>
              </w:tabs>
              <w:ind w:left="170"/>
              <w:contextualSpacing/>
              <w:rPr>
                <w:rFonts w:ascii="Helvetica" w:hAnsi="Helvetica" w:cs="Calibri"/>
                <w:color w:val="000000" w:themeColor="text1"/>
                <w:sz w:val="20"/>
                <w:szCs w:val="20"/>
                <w:lang w:val="en-US"/>
              </w:rPr>
            </w:pPr>
            <w:r w:rsidRPr="009824AD">
              <w:rPr>
                <w:rFonts w:ascii="Helvetica" w:hAnsi="Helvetica" w:cs="Calibri"/>
                <w:color w:val="000000" w:themeColor="text1"/>
                <w:sz w:val="20"/>
                <w:szCs w:val="20"/>
                <w:lang w:val="en-US"/>
              </w:rPr>
              <w:tab/>
            </w:r>
            <w:r w:rsidRPr="009824AD">
              <w:rPr>
                <w:rFonts w:ascii="Helvetica" w:hAnsi="Helvetica" w:cs="Calibri"/>
                <w:color w:val="000000" w:themeColor="text1"/>
                <w:sz w:val="20"/>
                <w:szCs w:val="20"/>
                <w:lang w:val="en-US"/>
              </w:rPr>
              <w:tab/>
              <w:t>Segmentectomy (%)</w:t>
            </w:r>
          </w:p>
          <w:p w14:paraId="65DAB252" w14:textId="77777777" w:rsidR="000D44B8" w:rsidRPr="009824AD" w:rsidRDefault="000D44B8" w:rsidP="006E3A16">
            <w:pPr>
              <w:tabs>
                <w:tab w:val="left" w:pos="310"/>
              </w:tabs>
              <w:ind w:left="170"/>
              <w:contextualSpacing/>
              <w:rPr>
                <w:rFonts w:ascii="Helvetica" w:hAnsi="Helvetica" w:cs="Calibri"/>
                <w:color w:val="000000" w:themeColor="text1"/>
                <w:sz w:val="20"/>
                <w:szCs w:val="20"/>
                <w:lang w:val="en-US"/>
              </w:rPr>
            </w:pPr>
            <w:r w:rsidRPr="009824AD">
              <w:rPr>
                <w:rFonts w:ascii="Helvetica" w:hAnsi="Helvetica" w:cs="Calibri"/>
                <w:color w:val="000000" w:themeColor="text1"/>
                <w:sz w:val="20"/>
                <w:szCs w:val="20"/>
                <w:lang w:val="en-US"/>
              </w:rPr>
              <w:tab/>
            </w:r>
            <w:r w:rsidRPr="009824AD">
              <w:rPr>
                <w:rFonts w:ascii="Helvetica" w:hAnsi="Helvetica" w:cs="Calibri"/>
                <w:color w:val="000000" w:themeColor="text1"/>
                <w:sz w:val="20"/>
                <w:szCs w:val="20"/>
                <w:lang w:val="en-US"/>
              </w:rPr>
              <w:tab/>
              <w:t>Bisegmentectomy (%)</w:t>
            </w:r>
          </w:p>
          <w:p w14:paraId="11F7DB45" w14:textId="77777777" w:rsidR="000D44B8" w:rsidRPr="009824AD" w:rsidRDefault="000D44B8" w:rsidP="006E3A16">
            <w:pPr>
              <w:tabs>
                <w:tab w:val="left" w:pos="310"/>
              </w:tabs>
              <w:contextualSpacing/>
              <w:rPr>
                <w:rFonts w:ascii="Helvetica" w:hAnsi="Helvetica" w:cs="Calibri"/>
                <w:i/>
                <w:iCs/>
                <w:color w:val="000000" w:themeColor="text1"/>
                <w:sz w:val="20"/>
                <w:szCs w:val="20"/>
                <w:lang w:val="en-US"/>
              </w:rPr>
            </w:pPr>
            <w:r w:rsidRPr="009824AD">
              <w:rPr>
                <w:rFonts w:ascii="Helvetica" w:hAnsi="Helvetica" w:cs="Calibri"/>
                <w:color w:val="000000" w:themeColor="text1"/>
                <w:sz w:val="20"/>
                <w:szCs w:val="20"/>
                <w:lang w:val="en-US"/>
              </w:rPr>
              <w:tab/>
            </w:r>
            <w:r w:rsidRPr="009824AD">
              <w:rPr>
                <w:rFonts w:ascii="Helvetica" w:hAnsi="Helvetica" w:cs="Calibri"/>
                <w:i/>
                <w:iCs/>
                <w:color w:val="000000" w:themeColor="text1"/>
                <w:sz w:val="20"/>
                <w:szCs w:val="20"/>
                <w:lang w:val="en-US"/>
              </w:rPr>
              <w:t>Posterior/superior segments (4a,7,8,1)</w:t>
            </w:r>
          </w:p>
          <w:p w14:paraId="6CA3939F" w14:textId="77777777" w:rsidR="000D44B8" w:rsidRPr="009824AD" w:rsidRDefault="000D44B8" w:rsidP="006E3A16">
            <w:pPr>
              <w:tabs>
                <w:tab w:val="left" w:pos="310"/>
              </w:tabs>
              <w:ind w:left="170"/>
              <w:contextualSpacing/>
              <w:rPr>
                <w:rFonts w:ascii="Helvetica" w:hAnsi="Helvetica" w:cs="Calibri"/>
                <w:color w:val="000000" w:themeColor="text1"/>
                <w:sz w:val="20"/>
                <w:szCs w:val="20"/>
                <w:lang w:val="en-US"/>
              </w:rPr>
            </w:pPr>
            <w:r w:rsidRPr="009824AD">
              <w:rPr>
                <w:rFonts w:ascii="Helvetica" w:hAnsi="Helvetica" w:cs="Calibri"/>
                <w:color w:val="000000" w:themeColor="text1"/>
                <w:sz w:val="20"/>
                <w:szCs w:val="20"/>
                <w:lang w:val="en-US"/>
              </w:rPr>
              <w:tab/>
            </w:r>
            <w:r w:rsidRPr="009824AD">
              <w:rPr>
                <w:rFonts w:ascii="Helvetica" w:hAnsi="Helvetica" w:cs="Calibri"/>
                <w:color w:val="000000" w:themeColor="text1"/>
                <w:sz w:val="20"/>
                <w:szCs w:val="20"/>
                <w:lang w:val="en-US"/>
              </w:rPr>
              <w:tab/>
              <w:t>Wedge (%)</w:t>
            </w:r>
          </w:p>
          <w:p w14:paraId="5A632562" w14:textId="77777777" w:rsidR="000D44B8" w:rsidRPr="009824AD" w:rsidRDefault="000D44B8" w:rsidP="006E3A16">
            <w:pPr>
              <w:tabs>
                <w:tab w:val="left" w:pos="310"/>
              </w:tabs>
              <w:ind w:left="170"/>
              <w:contextualSpacing/>
              <w:rPr>
                <w:rFonts w:ascii="Helvetica" w:hAnsi="Helvetica" w:cs="Calibri"/>
                <w:color w:val="000000" w:themeColor="text1"/>
                <w:sz w:val="20"/>
                <w:szCs w:val="20"/>
                <w:lang w:val="en-US"/>
              </w:rPr>
            </w:pPr>
            <w:r w:rsidRPr="009824AD">
              <w:rPr>
                <w:rFonts w:ascii="Helvetica" w:hAnsi="Helvetica" w:cs="Calibri"/>
                <w:color w:val="000000" w:themeColor="text1"/>
                <w:sz w:val="20"/>
                <w:szCs w:val="20"/>
                <w:lang w:val="en-US"/>
              </w:rPr>
              <w:tab/>
            </w:r>
            <w:r w:rsidRPr="009824AD">
              <w:rPr>
                <w:rFonts w:ascii="Helvetica" w:hAnsi="Helvetica" w:cs="Calibri"/>
                <w:color w:val="000000" w:themeColor="text1"/>
                <w:sz w:val="20"/>
                <w:szCs w:val="20"/>
                <w:lang w:val="en-US"/>
              </w:rPr>
              <w:tab/>
              <w:t>Segmentectomy (%)</w:t>
            </w:r>
          </w:p>
          <w:p w14:paraId="289E0CBA" w14:textId="77777777" w:rsidR="000D44B8" w:rsidRPr="009824AD" w:rsidRDefault="000D44B8" w:rsidP="006E3A16">
            <w:pPr>
              <w:tabs>
                <w:tab w:val="left" w:pos="310"/>
              </w:tabs>
              <w:ind w:left="170"/>
              <w:contextualSpacing/>
              <w:rPr>
                <w:rFonts w:ascii="Helvetica" w:hAnsi="Helvetica" w:cs="Calibri"/>
                <w:color w:val="000000" w:themeColor="text1"/>
                <w:sz w:val="20"/>
                <w:szCs w:val="20"/>
                <w:lang w:val="en-US"/>
              </w:rPr>
            </w:pPr>
            <w:r w:rsidRPr="009824AD">
              <w:rPr>
                <w:rFonts w:ascii="Helvetica" w:hAnsi="Helvetica" w:cs="Calibri"/>
                <w:color w:val="000000" w:themeColor="text1"/>
                <w:sz w:val="20"/>
                <w:szCs w:val="20"/>
                <w:lang w:val="en-US"/>
              </w:rPr>
              <w:tab/>
            </w:r>
            <w:r w:rsidRPr="009824AD">
              <w:rPr>
                <w:rFonts w:ascii="Helvetica" w:hAnsi="Helvetica" w:cs="Calibri"/>
                <w:color w:val="000000" w:themeColor="text1"/>
                <w:sz w:val="20"/>
                <w:szCs w:val="20"/>
                <w:lang w:val="en-US"/>
              </w:rPr>
              <w:tab/>
              <w:t>Bisegmentectomy (%)</w:t>
            </w:r>
          </w:p>
          <w:p w14:paraId="525AF32B" w14:textId="77777777" w:rsidR="000D44B8" w:rsidRPr="009824AD" w:rsidRDefault="000D44B8" w:rsidP="006E3A16">
            <w:pPr>
              <w:tabs>
                <w:tab w:val="left" w:pos="310"/>
              </w:tabs>
              <w:contextualSpacing/>
              <w:rPr>
                <w:rFonts w:ascii="Helvetica" w:hAnsi="Helvetica" w:cs="Calibri"/>
                <w:i/>
                <w:iCs/>
                <w:color w:val="000000" w:themeColor="text1"/>
                <w:sz w:val="20"/>
                <w:szCs w:val="20"/>
                <w:lang w:val="en-US"/>
              </w:rPr>
            </w:pPr>
            <w:r w:rsidRPr="009824AD">
              <w:rPr>
                <w:rFonts w:ascii="Helvetica" w:hAnsi="Helvetica" w:cs="Calibri"/>
                <w:i/>
                <w:iCs/>
                <w:color w:val="000000" w:themeColor="text1"/>
                <w:sz w:val="20"/>
                <w:szCs w:val="20"/>
                <w:lang w:val="en-US"/>
              </w:rPr>
              <w:tab/>
              <w:t>Anatomically Major</w:t>
            </w:r>
          </w:p>
          <w:p w14:paraId="062F89EC" w14:textId="77777777" w:rsidR="000D44B8" w:rsidRPr="009824AD" w:rsidRDefault="000D44B8" w:rsidP="006E3A16">
            <w:pPr>
              <w:tabs>
                <w:tab w:val="left" w:pos="310"/>
              </w:tabs>
              <w:ind w:left="170"/>
              <w:contextualSpacing/>
              <w:rPr>
                <w:rFonts w:ascii="Helvetica" w:hAnsi="Helvetica" w:cs="Calibri"/>
                <w:color w:val="000000" w:themeColor="text1"/>
                <w:sz w:val="20"/>
                <w:szCs w:val="20"/>
                <w:lang w:val="en-US"/>
              </w:rPr>
            </w:pPr>
            <w:r w:rsidRPr="009824AD">
              <w:rPr>
                <w:rFonts w:ascii="Helvetica" w:hAnsi="Helvetica" w:cs="Calibri"/>
                <w:color w:val="000000" w:themeColor="text1"/>
                <w:sz w:val="20"/>
                <w:szCs w:val="20"/>
                <w:lang w:val="en-US"/>
              </w:rPr>
              <w:tab/>
            </w:r>
            <w:r w:rsidRPr="009824AD">
              <w:rPr>
                <w:rFonts w:ascii="Helvetica" w:hAnsi="Helvetica" w:cs="Calibri"/>
                <w:color w:val="000000" w:themeColor="text1"/>
                <w:sz w:val="20"/>
                <w:szCs w:val="20"/>
                <w:lang w:val="en-US"/>
              </w:rPr>
              <w:tab/>
              <w:t>Trisegmentectomy (%)</w:t>
            </w:r>
          </w:p>
          <w:p w14:paraId="68CAD948" w14:textId="77777777" w:rsidR="000D44B8" w:rsidRPr="009824AD" w:rsidRDefault="000D44B8" w:rsidP="006E3A16">
            <w:pPr>
              <w:tabs>
                <w:tab w:val="left" w:pos="310"/>
              </w:tabs>
              <w:ind w:left="170"/>
              <w:contextualSpacing/>
              <w:rPr>
                <w:rFonts w:ascii="Helvetica" w:hAnsi="Helvetica" w:cs="Calibri"/>
                <w:color w:val="000000" w:themeColor="text1"/>
                <w:sz w:val="20"/>
                <w:szCs w:val="20"/>
                <w:lang w:val="en-US"/>
              </w:rPr>
            </w:pPr>
            <w:r w:rsidRPr="009824AD">
              <w:rPr>
                <w:rFonts w:ascii="Helvetica" w:hAnsi="Helvetica" w:cs="Calibri"/>
                <w:color w:val="000000" w:themeColor="text1"/>
                <w:sz w:val="20"/>
                <w:szCs w:val="20"/>
                <w:lang w:val="en-US"/>
              </w:rPr>
              <w:tab/>
            </w:r>
            <w:r w:rsidRPr="009824AD">
              <w:rPr>
                <w:rFonts w:ascii="Helvetica" w:hAnsi="Helvetica" w:cs="Calibri"/>
                <w:color w:val="000000" w:themeColor="text1"/>
                <w:sz w:val="20"/>
                <w:szCs w:val="20"/>
                <w:lang w:val="en-US"/>
              </w:rPr>
              <w:tab/>
              <w:t>Hemihepactectomy (%)</w:t>
            </w:r>
          </w:p>
          <w:p w14:paraId="48FE81FD" w14:textId="77777777" w:rsidR="000D44B8" w:rsidRPr="009824AD" w:rsidRDefault="000D44B8" w:rsidP="006E3A16">
            <w:pPr>
              <w:tabs>
                <w:tab w:val="left" w:pos="310"/>
              </w:tabs>
              <w:ind w:left="170"/>
              <w:contextualSpacing/>
              <w:rPr>
                <w:rFonts w:ascii="Helvetica" w:hAnsi="Helvetica" w:cs="Calibri"/>
                <w:color w:val="000000" w:themeColor="text1"/>
                <w:sz w:val="20"/>
                <w:szCs w:val="20"/>
                <w:lang w:val="en-US"/>
              </w:rPr>
            </w:pPr>
            <w:r w:rsidRPr="009824AD">
              <w:rPr>
                <w:rFonts w:ascii="Helvetica" w:hAnsi="Helvetica" w:cs="Calibri"/>
                <w:color w:val="000000" w:themeColor="text1"/>
                <w:sz w:val="20"/>
                <w:szCs w:val="20"/>
                <w:lang w:val="en-US"/>
              </w:rPr>
              <w:tab/>
            </w:r>
            <w:r w:rsidRPr="009824AD">
              <w:rPr>
                <w:rFonts w:ascii="Helvetica" w:hAnsi="Helvetica" w:cs="Calibri"/>
                <w:color w:val="000000" w:themeColor="text1"/>
                <w:sz w:val="20"/>
                <w:szCs w:val="20"/>
                <w:lang w:val="en-US"/>
              </w:rPr>
              <w:tab/>
              <w:t>Extended hemihepatectomy (%)</w:t>
            </w:r>
          </w:p>
          <w:p w14:paraId="4D986A23" w14:textId="77777777" w:rsidR="000D44B8" w:rsidRDefault="000D44B8" w:rsidP="006E3A16">
            <w:pPr>
              <w:tabs>
                <w:tab w:val="left" w:pos="310"/>
              </w:tabs>
              <w:ind w:left="170"/>
              <w:contextualSpacing/>
              <w:rPr>
                <w:rFonts w:ascii="Helvetica" w:hAnsi="Helvetica" w:cs="Calibri"/>
                <w:color w:val="000000" w:themeColor="text1"/>
                <w:sz w:val="20"/>
                <w:szCs w:val="20"/>
                <w:lang w:val="en-US"/>
              </w:rPr>
            </w:pPr>
            <w:r w:rsidRPr="009824AD">
              <w:rPr>
                <w:rFonts w:ascii="Helvetica" w:hAnsi="Helvetica" w:cs="Calibri"/>
                <w:color w:val="000000" w:themeColor="text1"/>
                <w:sz w:val="20"/>
                <w:szCs w:val="20"/>
                <w:lang w:val="en-US"/>
              </w:rPr>
              <w:tab/>
            </w:r>
            <w:r w:rsidRPr="009824AD">
              <w:rPr>
                <w:rFonts w:ascii="Helvetica" w:hAnsi="Helvetica" w:cs="Calibri"/>
                <w:color w:val="000000" w:themeColor="text1"/>
                <w:sz w:val="20"/>
                <w:szCs w:val="20"/>
                <w:lang w:val="en-US"/>
              </w:rPr>
              <w:tab/>
              <w:t>Other major hepatectomy (%)</w:t>
            </w:r>
          </w:p>
          <w:p w14:paraId="66CD90CA" w14:textId="54AE2E1B" w:rsidR="00F32683" w:rsidRPr="00C67DD2" w:rsidRDefault="00F32683" w:rsidP="006E3A16">
            <w:pPr>
              <w:tabs>
                <w:tab w:val="left" w:pos="310"/>
              </w:tabs>
              <w:ind w:left="170"/>
              <w:contextualSpacing/>
              <w:rPr>
                <w:rFonts w:ascii="Helvetica" w:hAnsi="Helvetica" w:cs="Calibri"/>
                <w:i/>
                <w:iCs/>
                <w:color w:val="000000" w:themeColor="text1"/>
                <w:sz w:val="20"/>
                <w:szCs w:val="20"/>
                <w:lang w:val="en-US"/>
              </w:rPr>
            </w:pPr>
            <w:r>
              <w:rPr>
                <w:rFonts w:ascii="Helvetica" w:hAnsi="Helvetica" w:cs="Calibri"/>
                <w:color w:val="000000" w:themeColor="text1"/>
                <w:sz w:val="20"/>
                <w:szCs w:val="20"/>
                <w:lang w:val="en-US"/>
              </w:rPr>
              <w:lastRenderedPageBreak/>
              <w:tab/>
            </w:r>
            <w:r w:rsidRPr="00C67DD2">
              <w:rPr>
                <w:rFonts w:ascii="Helvetica" w:hAnsi="Helvetica" w:cs="Calibri"/>
                <w:i/>
                <w:iCs/>
                <w:color w:val="000000" w:themeColor="text1"/>
                <w:sz w:val="20"/>
                <w:szCs w:val="20"/>
                <w:lang w:val="en-US"/>
              </w:rPr>
              <w:t>Missing (%)</w:t>
            </w:r>
          </w:p>
        </w:tc>
        <w:tc>
          <w:tcPr>
            <w:tcW w:w="1842" w:type="dxa"/>
            <w:tcBorders>
              <w:left w:val="single" w:sz="4" w:space="0" w:color="auto"/>
            </w:tcBorders>
          </w:tcPr>
          <w:p w14:paraId="773872F7" w14:textId="77777777" w:rsidR="000D44B8" w:rsidRPr="009824AD" w:rsidRDefault="000D44B8" w:rsidP="006E3A16">
            <w:pPr>
              <w:jc w:val="center"/>
              <w:rPr>
                <w:rFonts w:ascii="Helvetica" w:hAnsi="Helvetica" w:cs="Calibri"/>
                <w:sz w:val="20"/>
                <w:szCs w:val="20"/>
                <w:lang w:val="en-US"/>
              </w:rPr>
            </w:pPr>
          </w:p>
          <w:p w14:paraId="4B9F68EA" w14:textId="77777777" w:rsidR="000D44B8" w:rsidRPr="009824AD" w:rsidRDefault="000D44B8" w:rsidP="006E3A16">
            <w:pPr>
              <w:jc w:val="center"/>
              <w:rPr>
                <w:rFonts w:ascii="Helvetica" w:hAnsi="Helvetica" w:cs="Calibri"/>
                <w:sz w:val="20"/>
                <w:szCs w:val="20"/>
                <w:lang w:val="en-US"/>
              </w:rPr>
            </w:pPr>
          </w:p>
          <w:p w14:paraId="3D88A429" w14:textId="77777777" w:rsidR="000D44B8" w:rsidRPr="009824AD" w:rsidRDefault="000D44B8" w:rsidP="006E3A16">
            <w:pPr>
              <w:jc w:val="center"/>
              <w:rPr>
                <w:rFonts w:ascii="Helvetica" w:hAnsi="Helvetica" w:cs="Calibri"/>
                <w:sz w:val="20"/>
                <w:szCs w:val="20"/>
                <w:lang w:val="en-US"/>
              </w:rPr>
            </w:pPr>
            <w:r w:rsidRPr="009824AD">
              <w:rPr>
                <w:rFonts w:ascii="Helvetica" w:hAnsi="Helvetica" w:cs="Calibri"/>
                <w:sz w:val="20"/>
                <w:szCs w:val="20"/>
                <w:lang w:val="en-US"/>
              </w:rPr>
              <w:t>1991 (31.3)</w:t>
            </w:r>
          </w:p>
          <w:p w14:paraId="3E0E99DA" w14:textId="77777777" w:rsidR="000D44B8" w:rsidRPr="009824AD" w:rsidRDefault="000D44B8" w:rsidP="006E3A16">
            <w:pPr>
              <w:jc w:val="center"/>
              <w:rPr>
                <w:rFonts w:ascii="Helvetica" w:hAnsi="Helvetica" w:cs="Calibri"/>
                <w:sz w:val="20"/>
                <w:szCs w:val="20"/>
                <w:lang w:val="en-US"/>
              </w:rPr>
            </w:pPr>
            <w:r w:rsidRPr="009824AD">
              <w:rPr>
                <w:rFonts w:ascii="Helvetica" w:hAnsi="Helvetica" w:cs="Calibri"/>
                <w:sz w:val="20"/>
                <w:szCs w:val="20"/>
                <w:lang w:val="en-US"/>
              </w:rPr>
              <w:t>641 (10.1)</w:t>
            </w:r>
          </w:p>
          <w:p w14:paraId="51311BAF" w14:textId="77777777" w:rsidR="000D44B8" w:rsidRPr="009824AD" w:rsidRDefault="000D44B8" w:rsidP="006E3A16">
            <w:pPr>
              <w:jc w:val="center"/>
              <w:rPr>
                <w:rFonts w:ascii="Helvetica" w:hAnsi="Helvetica" w:cs="Calibri"/>
                <w:sz w:val="20"/>
                <w:szCs w:val="20"/>
                <w:lang w:val="en-US"/>
              </w:rPr>
            </w:pPr>
            <w:r w:rsidRPr="009824AD">
              <w:rPr>
                <w:rFonts w:ascii="Helvetica" w:hAnsi="Helvetica" w:cs="Calibri"/>
                <w:sz w:val="20"/>
                <w:szCs w:val="20"/>
                <w:lang w:val="en-US"/>
              </w:rPr>
              <w:t>984 (15.4)</w:t>
            </w:r>
          </w:p>
          <w:p w14:paraId="63FFDA18" w14:textId="77777777" w:rsidR="000D44B8" w:rsidRPr="009824AD" w:rsidRDefault="000D44B8" w:rsidP="006E3A16">
            <w:pPr>
              <w:jc w:val="center"/>
              <w:rPr>
                <w:rFonts w:ascii="Helvetica" w:hAnsi="Helvetica" w:cs="Calibri"/>
                <w:sz w:val="20"/>
                <w:szCs w:val="20"/>
                <w:lang w:val="en-US"/>
              </w:rPr>
            </w:pPr>
          </w:p>
          <w:p w14:paraId="695EBC88" w14:textId="77777777" w:rsidR="000D44B8" w:rsidRPr="009824AD" w:rsidRDefault="000D44B8" w:rsidP="006E3A16">
            <w:pPr>
              <w:jc w:val="center"/>
              <w:rPr>
                <w:rFonts w:ascii="Helvetica" w:hAnsi="Helvetica" w:cs="Calibri"/>
                <w:sz w:val="20"/>
                <w:szCs w:val="20"/>
                <w:lang w:val="en-US"/>
              </w:rPr>
            </w:pPr>
            <w:r w:rsidRPr="009824AD">
              <w:rPr>
                <w:rFonts w:ascii="Helvetica" w:hAnsi="Helvetica" w:cs="Calibri"/>
                <w:sz w:val="20"/>
                <w:szCs w:val="20"/>
                <w:lang w:val="en-US"/>
              </w:rPr>
              <w:t>1051 (16.5)</w:t>
            </w:r>
          </w:p>
          <w:p w14:paraId="7273AA3C" w14:textId="77777777" w:rsidR="000D44B8" w:rsidRPr="009824AD" w:rsidRDefault="000D44B8" w:rsidP="006E3A16">
            <w:pPr>
              <w:jc w:val="center"/>
              <w:rPr>
                <w:rFonts w:ascii="Helvetica" w:hAnsi="Helvetica" w:cs="Calibri"/>
                <w:sz w:val="20"/>
                <w:szCs w:val="20"/>
                <w:lang w:val="en-US"/>
              </w:rPr>
            </w:pPr>
            <w:r w:rsidRPr="009824AD">
              <w:rPr>
                <w:rFonts w:ascii="Helvetica" w:hAnsi="Helvetica" w:cs="Calibri"/>
                <w:sz w:val="20"/>
                <w:szCs w:val="20"/>
                <w:lang w:val="en-US"/>
              </w:rPr>
              <w:t>279 (4.4)</w:t>
            </w:r>
          </w:p>
          <w:p w14:paraId="5A56B129" w14:textId="77777777" w:rsidR="000D44B8" w:rsidRPr="009824AD" w:rsidRDefault="000D44B8" w:rsidP="006E3A16">
            <w:pPr>
              <w:jc w:val="center"/>
              <w:rPr>
                <w:rFonts w:ascii="Helvetica" w:hAnsi="Helvetica" w:cs="Calibri"/>
                <w:sz w:val="20"/>
                <w:szCs w:val="20"/>
                <w:lang w:val="en-US"/>
              </w:rPr>
            </w:pPr>
            <w:r w:rsidRPr="009824AD">
              <w:rPr>
                <w:rFonts w:ascii="Helvetica" w:hAnsi="Helvetica" w:cs="Calibri"/>
                <w:sz w:val="20"/>
                <w:szCs w:val="20"/>
                <w:lang w:val="en-US"/>
              </w:rPr>
              <w:t>272 (4.3)</w:t>
            </w:r>
          </w:p>
          <w:p w14:paraId="4AD76B5A" w14:textId="77777777" w:rsidR="000D44B8" w:rsidRPr="009824AD" w:rsidRDefault="000D44B8" w:rsidP="006E3A16">
            <w:pPr>
              <w:jc w:val="center"/>
              <w:rPr>
                <w:rFonts w:ascii="Helvetica" w:hAnsi="Helvetica" w:cs="Calibri"/>
                <w:sz w:val="20"/>
                <w:szCs w:val="20"/>
                <w:lang w:val="en-US"/>
              </w:rPr>
            </w:pPr>
          </w:p>
          <w:p w14:paraId="453E4665" w14:textId="77777777" w:rsidR="000D44B8" w:rsidRPr="009824AD" w:rsidRDefault="000D44B8" w:rsidP="006E3A16">
            <w:pPr>
              <w:jc w:val="center"/>
              <w:rPr>
                <w:rFonts w:ascii="Helvetica" w:hAnsi="Helvetica" w:cs="Calibri"/>
                <w:sz w:val="20"/>
                <w:szCs w:val="20"/>
                <w:lang w:val="en-US"/>
              </w:rPr>
            </w:pPr>
            <w:r w:rsidRPr="009824AD">
              <w:rPr>
                <w:rFonts w:ascii="Helvetica" w:hAnsi="Helvetica" w:cs="Calibri"/>
                <w:sz w:val="20"/>
                <w:szCs w:val="20"/>
                <w:lang w:val="en-US"/>
              </w:rPr>
              <w:t>96 (1.5)</w:t>
            </w:r>
          </w:p>
          <w:p w14:paraId="011F5D59" w14:textId="77777777" w:rsidR="000D44B8" w:rsidRPr="009824AD" w:rsidRDefault="000D44B8" w:rsidP="006E3A16">
            <w:pPr>
              <w:jc w:val="center"/>
              <w:rPr>
                <w:rFonts w:ascii="Helvetica" w:hAnsi="Helvetica" w:cs="Calibri"/>
                <w:sz w:val="20"/>
                <w:szCs w:val="20"/>
                <w:lang w:val="en-US"/>
              </w:rPr>
            </w:pPr>
            <w:r w:rsidRPr="009824AD">
              <w:rPr>
                <w:rFonts w:ascii="Helvetica" w:hAnsi="Helvetica" w:cs="Calibri"/>
                <w:sz w:val="20"/>
                <w:szCs w:val="20"/>
                <w:lang w:val="en-US"/>
              </w:rPr>
              <w:t>928 (14.6)</w:t>
            </w:r>
          </w:p>
          <w:p w14:paraId="2B4CCBD7" w14:textId="77777777" w:rsidR="000D44B8" w:rsidRPr="009824AD" w:rsidRDefault="000D44B8" w:rsidP="006E3A16">
            <w:pPr>
              <w:jc w:val="center"/>
              <w:rPr>
                <w:rFonts w:ascii="Helvetica" w:hAnsi="Helvetica" w:cs="Calibri"/>
                <w:sz w:val="20"/>
                <w:szCs w:val="20"/>
                <w:lang w:val="en-US"/>
              </w:rPr>
            </w:pPr>
            <w:r w:rsidRPr="009824AD">
              <w:rPr>
                <w:rFonts w:ascii="Helvetica" w:hAnsi="Helvetica" w:cs="Calibri"/>
                <w:sz w:val="20"/>
                <w:szCs w:val="20"/>
                <w:lang w:val="en-US"/>
              </w:rPr>
              <w:t>107 (1.7)</w:t>
            </w:r>
          </w:p>
          <w:p w14:paraId="58ABA4BA" w14:textId="77777777" w:rsidR="000D44B8" w:rsidRDefault="000D44B8" w:rsidP="006E3A16">
            <w:pPr>
              <w:jc w:val="center"/>
              <w:rPr>
                <w:rFonts w:ascii="Helvetica" w:hAnsi="Helvetica" w:cs="Calibri"/>
                <w:sz w:val="20"/>
                <w:szCs w:val="20"/>
                <w:lang w:val="en-US"/>
              </w:rPr>
            </w:pPr>
            <w:r w:rsidRPr="009824AD">
              <w:rPr>
                <w:rFonts w:ascii="Helvetica" w:hAnsi="Helvetica" w:cs="Calibri"/>
                <w:sz w:val="20"/>
                <w:szCs w:val="20"/>
                <w:lang w:val="en-US"/>
              </w:rPr>
              <w:t>20 (0.3)</w:t>
            </w:r>
          </w:p>
          <w:p w14:paraId="3C34CCE6" w14:textId="4BDB5161" w:rsidR="00F32683" w:rsidRPr="009824AD" w:rsidRDefault="00F32683" w:rsidP="006E3A16">
            <w:pPr>
              <w:jc w:val="center"/>
              <w:rPr>
                <w:rFonts w:ascii="Helvetica" w:hAnsi="Helvetica" w:cs="Calibri"/>
                <w:sz w:val="20"/>
                <w:szCs w:val="20"/>
                <w:lang w:val="en-US"/>
              </w:rPr>
            </w:pPr>
            <w:r>
              <w:rPr>
                <w:rFonts w:ascii="Helvetica" w:hAnsi="Helvetica" w:cs="Calibri"/>
                <w:sz w:val="20"/>
                <w:szCs w:val="20"/>
                <w:lang w:val="en-US"/>
              </w:rPr>
              <w:lastRenderedPageBreak/>
              <w:t>0</w:t>
            </w:r>
          </w:p>
        </w:tc>
        <w:tc>
          <w:tcPr>
            <w:tcW w:w="1843" w:type="dxa"/>
          </w:tcPr>
          <w:p w14:paraId="50A57812" w14:textId="77777777" w:rsidR="000D44B8" w:rsidRPr="009824AD" w:rsidRDefault="000D44B8" w:rsidP="006E3A16">
            <w:pPr>
              <w:jc w:val="center"/>
              <w:rPr>
                <w:rFonts w:ascii="Helvetica" w:hAnsi="Helvetica" w:cs="Calibri"/>
                <w:sz w:val="20"/>
                <w:szCs w:val="20"/>
                <w:lang w:val="en-US"/>
              </w:rPr>
            </w:pPr>
          </w:p>
          <w:p w14:paraId="76FC2AE5" w14:textId="77777777" w:rsidR="000D44B8" w:rsidRPr="009824AD" w:rsidRDefault="000D44B8" w:rsidP="006E3A16">
            <w:pPr>
              <w:jc w:val="center"/>
              <w:rPr>
                <w:rFonts w:ascii="Helvetica" w:hAnsi="Helvetica" w:cs="Calibri"/>
                <w:sz w:val="20"/>
                <w:szCs w:val="20"/>
                <w:lang w:val="en-US"/>
              </w:rPr>
            </w:pPr>
          </w:p>
          <w:p w14:paraId="430683A9" w14:textId="77777777" w:rsidR="000D44B8" w:rsidRPr="009824AD" w:rsidRDefault="000D44B8" w:rsidP="006E3A16">
            <w:pPr>
              <w:jc w:val="center"/>
              <w:rPr>
                <w:rFonts w:ascii="Helvetica" w:hAnsi="Helvetica" w:cs="Calibri"/>
                <w:sz w:val="20"/>
                <w:szCs w:val="20"/>
                <w:lang w:val="en-US"/>
              </w:rPr>
            </w:pPr>
            <w:r w:rsidRPr="009824AD">
              <w:rPr>
                <w:rFonts w:ascii="Helvetica" w:hAnsi="Helvetica" w:cs="Calibri"/>
                <w:sz w:val="20"/>
                <w:szCs w:val="20"/>
                <w:lang w:val="en-US"/>
              </w:rPr>
              <w:t>1275 (18.2)</w:t>
            </w:r>
          </w:p>
          <w:p w14:paraId="6BF5B698" w14:textId="77777777" w:rsidR="000D44B8" w:rsidRPr="009824AD" w:rsidRDefault="000D44B8" w:rsidP="006E3A16">
            <w:pPr>
              <w:jc w:val="center"/>
              <w:rPr>
                <w:rFonts w:ascii="Helvetica" w:hAnsi="Helvetica" w:cs="Calibri"/>
                <w:sz w:val="20"/>
                <w:szCs w:val="20"/>
                <w:lang w:val="en-US"/>
              </w:rPr>
            </w:pPr>
            <w:r w:rsidRPr="009824AD">
              <w:rPr>
                <w:rFonts w:ascii="Helvetica" w:hAnsi="Helvetica" w:cs="Calibri"/>
                <w:sz w:val="20"/>
                <w:szCs w:val="20"/>
                <w:lang w:val="en-US"/>
              </w:rPr>
              <w:t>502 (7.2)</w:t>
            </w:r>
          </w:p>
          <w:p w14:paraId="4C6ADB01" w14:textId="77777777" w:rsidR="000D44B8" w:rsidRPr="009824AD" w:rsidRDefault="000D44B8" w:rsidP="006E3A16">
            <w:pPr>
              <w:jc w:val="center"/>
              <w:rPr>
                <w:rFonts w:ascii="Helvetica" w:hAnsi="Helvetica" w:cs="Calibri"/>
                <w:sz w:val="20"/>
                <w:szCs w:val="20"/>
                <w:lang w:val="en-US"/>
              </w:rPr>
            </w:pPr>
            <w:r w:rsidRPr="009824AD">
              <w:rPr>
                <w:rFonts w:ascii="Helvetica" w:hAnsi="Helvetica" w:cs="Calibri"/>
                <w:sz w:val="20"/>
                <w:szCs w:val="20"/>
                <w:lang w:val="en-US"/>
              </w:rPr>
              <w:t>713 (10.2)</w:t>
            </w:r>
          </w:p>
          <w:p w14:paraId="3A60A3E2" w14:textId="77777777" w:rsidR="000D44B8" w:rsidRPr="009824AD" w:rsidRDefault="000D44B8" w:rsidP="006E3A16">
            <w:pPr>
              <w:jc w:val="center"/>
              <w:rPr>
                <w:rFonts w:ascii="Helvetica" w:hAnsi="Helvetica" w:cs="Calibri"/>
                <w:sz w:val="20"/>
                <w:szCs w:val="20"/>
                <w:lang w:val="en-US"/>
              </w:rPr>
            </w:pPr>
          </w:p>
          <w:p w14:paraId="287BEBDF" w14:textId="77777777" w:rsidR="000D44B8" w:rsidRPr="009824AD" w:rsidRDefault="000D44B8" w:rsidP="006E3A16">
            <w:pPr>
              <w:jc w:val="center"/>
              <w:rPr>
                <w:rFonts w:ascii="Helvetica" w:hAnsi="Helvetica" w:cs="Calibri"/>
                <w:sz w:val="20"/>
                <w:szCs w:val="20"/>
                <w:lang w:val="en-US"/>
              </w:rPr>
            </w:pPr>
            <w:r w:rsidRPr="009824AD">
              <w:rPr>
                <w:rFonts w:ascii="Helvetica" w:hAnsi="Helvetica" w:cs="Calibri"/>
                <w:sz w:val="20"/>
                <w:szCs w:val="20"/>
                <w:lang w:val="en-US"/>
              </w:rPr>
              <w:t>1010 (14.4)</w:t>
            </w:r>
          </w:p>
          <w:p w14:paraId="35148A87" w14:textId="77777777" w:rsidR="000D44B8" w:rsidRPr="009824AD" w:rsidRDefault="000D44B8" w:rsidP="006E3A16">
            <w:pPr>
              <w:jc w:val="center"/>
              <w:rPr>
                <w:rFonts w:ascii="Helvetica" w:hAnsi="Helvetica" w:cs="Calibri"/>
                <w:sz w:val="20"/>
                <w:szCs w:val="20"/>
                <w:lang w:val="en-US"/>
              </w:rPr>
            </w:pPr>
            <w:r w:rsidRPr="009824AD">
              <w:rPr>
                <w:rFonts w:ascii="Helvetica" w:hAnsi="Helvetica" w:cs="Calibri"/>
                <w:sz w:val="20"/>
                <w:szCs w:val="20"/>
                <w:lang w:val="en-US"/>
              </w:rPr>
              <w:t>424 (6.0)</w:t>
            </w:r>
          </w:p>
          <w:p w14:paraId="70131F94" w14:textId="77777777" w:rsidR="000D44B8" w:rsidRPr="009824AD" w:rsidRDefault="000D44B8" w:rsidP="006E3A16">
            <w:pPr>
              <w:jc w:val="center"/>
              <w:rPr>
                <w:rFonts w:ascii="Helvetica" w:hAnsi="Helvetica" w:cs="Calibri"/>
                <w:sz w:val="20"/>
                <w:szCs w:val="20"/>
                <w:lang w:val="en-US"/>
              </w:rPr>
            </w:pPr>
            <w:r w:rsidRPr="009824AD">
              <w:rPr>
                <w:rFonts w:ascii="Helvetica" w:hAnsi="Helvetica" w:cs="Calibri"/>
                <w:sz w:val="20"/>
                <w:szCs w:val="20"/>
                <w:lang w:val="en-US"/>
              </w:rPr>
              <w:t>409 (5.8)</w:t>
            </w:r>
          </w:p>
          <w:p w14:paraId="28AF55FF" w14:textId="77777777" w:rsidR="000D44B8" w:rsidRPr="009824AD" w:rsidRDefault="000D44B8" w:rsidP="006E3A16">
            <w:pPr>
              <w:jc w:val="center"/>
              <w:rPr>
                <w:rFonts w:ascii="Helvetica" w:hAnsi="Helvetica" w:cs="Calibri"/>
                <w:sz w:val="20"/>
                <w:szCs w:val="20"/>
                <w:lang w:val="en-US"/>
              </w:rPr>
            </w:pPr>
          </w:p>
          <w:p w14:paraId="6982DA65" w14:textId="77777777" w:rsidR="000D44B8" w:rsidRPr="009824AD" w:rsidRDefault="000D44B8" w:rsidP="006E3A16">
            <w:pPr>
              <w:jc w:val="center"/>
              <w:rPr>
                <w:rFonts w:ascii="Helvetica" w:hAnsi="Helvetica" w:cs="Calibri"/>
                <w:sz w:val="20"/>
                <w:szCs w:val="20"/>
                <w:lang w:val="en-US"/>
              </w:rPr>
            </w:pPr>
            <w:r w:rsidRPr="009824AD">
              <w:rPr>
                <w:rFonts w:ascii="Helvetica" w:hAnsi="Helvetica" w:cs="Calibri"/>
                <w:sz w:val="20"/>
                <w:szCs w:val="20"/>
                <w:lang w:val="en-US"/>
              </w:rPr>
              <w:t>222 (3.2)</w:t>
            </w:r>
          </w:p>
          <w:p w14:paraId="5C014ED3" w14:textId="77777777" w:rsidR="000D44B8" w:rsidRPr="009824AD" w:rsidRDefault="000D44B8" w:rsidP="006E3A16">
            <w:pPr>
              <w:jc w:val="center"/>
              <w:rPr>
                <w:rFonts w:ascii="Helvetica" w:hAnsi="Helvetica" w:cs="Calibri"/>
                <w:sz w:val="20"/>
                <w:szCs w:val="20"/>
                <w:lang w:val="en-US"/>
              </w:rPr>
            </w:pPr>
            <w:r w:rsidRPr="009824AD">
              <w:rPr>
                <w:rFonts w:ascii="Helvetica" w:hAnsi="Helvetica" w:cs="Calibri"/>
                <w:sz w:val="20"/>
                <w:szCs w:val="20"/>
                <w:lang w:val="en-US"/>
              </w:rPr>
              <w:t>1640 (23.4)</w:t>
            </w:r>
          </w:p>
          <w:p w14:paraId="3939D157" w14:textId="77777777" w:rsidR="000D44B8" w:rsidRPr="009824AD" w:rsidRDefault="000D44B8" w:rsidP="006E3A16">
            <w:pPr>
              <w:jc w:val="center"/>
              <w:rPr>
                <w:rFonts w:ascii="Helvetica" w:hAnsi="Helvetica" w:cs="Calibri"/>
                <w:sz w:val="20"/>
                <w:szCs w:val="20"/>
                <w:lang w:val="en-US"/>
              </w:rPr>
            </w:pPr>
            <w:r w:rsidRPr="009824AD">
              <w:rPr>
                <w:rFonts w:ascii="Helvetica" w:hAnsi="Helvetica" w:cs="Calibri"/>
                <w:sz w:val="20"/>
                <w:szCs w:val="20"/>
                <w:lang w:val="en-US"/>
              </w:rPr>
              <w:t>680 (9.7)</w:t>
            </w:r>
          </w:p>
          <w:p w14:paraId="7015C585" w14:textId="77777777" w:rsidR="000D44B8" w:rsidRDefault="000D44B8" w:rsidP="006E3A16">
            <w:pPr>
              <w:jc w:val="center"/>
              <w:rPr>
                <w:rFonts w:ascii="Helvetica" w:hAnsi="Helvetica" w:cs="Calibri"/>
                <w:sz w:val="20"/>
                <w:szCs w:val="20"/>
                <w:lang w:val="en-US"/>
              </w:rPr>
            </w:pPr>
            <w:r w:rsidRPr="009824AD">
              <w:rPr>
                <w:rFonts w:ascii="Helvetica" w:hAnsi="Helvetica" w:cs="Calibri"/>
                <w:sz w:val="20"/>
                <w:szCs w:val="20"/>
                <w:lang w:val="en-US"/>
              </w:rPr>
              <w:t>135 (1.9)</w:t>
            </w:r>
          </w:p>
          <w:p w14:paraId="7A20C487" w14:textId="0E476167" w:rsidR="00F32683" w:rsidRPr="009824AD" w:rsidRDefault="00F32683" w:rsidP="006E3A16">
            <w:pPr>
              <w:jc w:val="center"/>
              <w:rPr>
                <w:rFonts w:ascii="Helvetica" w:hAnsi="Helvetica" w:cs="Calibri"/>
                <w:sz w:val="20"/>
                <w:szCs w:val="20"/>
                <w:lang w:val="en-US"/>
              </w:rPr>
            </w:pPr>
            <w:r>
              <w:rPr>
                <w:rFonts w:ascii="Helvetica" w:hAnsi="Helvetica" w:cs="Calibri"/>
                <w:sz w:val="20"/>
                <w:szCs w:val="20"/>
                <w:lang w:val="en-US"/>
              </w:rPr>
              <w:lastRenderedPageBreak/>
              <w:t>0</w:t>
            </w:r>
          </w:p>
        </w:tc>
        <w:tc>
          <w:tcPr>
            <w:tcW w:w="851" w:type="dxa"/>
          </w:tcPr>
          <w:p w14:paraId="56206BA6" w14:textId="77777777" w:rsidR="000D44B8" w:rsidRPr="009824AD" w:rsidRDefault="000D44B8" w:rsidP="006E3A16">
            <w:pPr>
              <w:jc w:val="center"/>
              <w:rPr>
                <w:rFonts w:ascii="Helvetica" w:hAnsi="Helvetica" w:cs="Calibri"/>
                <w:b/>
                <w:bCs/>
                <w:sz w:val="20"/>
                <w:szCs w:val="20"/>
                <w:lang w:val="en-US"/>
              </w:rPr>
            </w:pPr>
            <w:r w:rsidRPr="009824AD">
              <w:rPr>
                <w:rFonts w:ascii="Helvetica" w:hAnsi="Helvetica" w:cs="Calibri"/>
                <w:b/>
                <w:bCs/>
                <w:sz w:val="20"/>
                <w:szCs w:val="20"/>
                <w:lang w:val="en-US"/>
              </w:rPr>
              <w:lastRenderedPageBreak/>
              <w:t>&lt;0.001</w:t>
            </w:r>
          </w:p>
        </w:tc>
        <w:tc>
          <w:tcPr>
            <w:tcW w:w="708" w:type="dxa"/>
            <w:tcBorders>
              <w:right w:val="single" w:sz="4" w:space="0" w:color="auto"/>
            </w:tcBorders>
          </w:tcPr>
          <w:p w14:paraId="34CE9BD8" w14:textId="77777777" w:rsidR="000D44B8" w:rsidRPr="009824AD" w:rsidRDefault="000D44B8" w:rsidP="006E3A16">
            <w:pPr>
              <w:jc w:val="center"/>
              <w:rPr>
                <w:rFonts w:ascii="Helvetica" w:eastAsia="Times New Roman" w:hAnsi="Helvetica" w:cs="Calibri"/>
                <w:color w:val="000000"/>
                <w:sz w:val="20"/>
                <w:szCs w:val="20"/>
                <w:lang w:val="en-US" w:eastAsia="nl-NL"/>
              </w:rPr>
            </w:pPr>
            <w:r w:rsidRPr="009824AD">
              <w:rPr>
                <w:rFonts w:ascii="Helvetica" w:eastAsia="Times New Roman" w:hAnsi="Helvetica" w:cs="Calibri"/>
                <w:color w:val="000000"/>
                <w:sz w:val="20"/>
                <w:szCs w:val="20"/>
                <w:lang w:val="en-US" w:eastAsia="nl-NL"/>
              </w:rPr>
              <w:t>0.53</w:t>
            </w:r>
          </w:p>
        </w:tc>
        <w:tc>
          <w:tcPr>
            <w:tcW w:w="1843" w:type="dxa"/>
            <w:tcBorders>
              <w:left w:val="single" w:sz="4" w:space="0" w:color="auto"/>
            </w:tcBorders>
          </w:tcPr>
          <w:p w14:paraId="753D6D74" w14:textId="77777777" w:rsidR="000D44B8" w:rsidRPr="009824AD" w:rsidRDefault="000D44B8" w:rsidP="006E3A16">
            <w:pPr>
              <w:jc w:val="center"/>
              <w:rPr>
                <w:rFonts w:ascii="Helvetica" w:hAnsi="Helvetica" w:cs="Calibri"/>
                <w:color w:val="000000" w:themeColor="text1"/>
                <w:sz w:val="20"/>
                <w:szCs w:val="20"/>
                <w:lang w:val="en-US"/>
              </w:rPr>
            </w:pPr>
          </w:p>
          <w:p w14:paraId="509CFFFD" w14:textId="77777777" w:rsidR="000D44B8" w:rsidRPr="009824AD" w:rsidRDefault="000D44B8" w:rsidP="006E3A16">
            <w:pPr>
              <w:jc w:val="center"/>
              <w:rPr>
                <w:rFonts w:ascii="Helvetica" w:hAnsi="Helvetica" w:cs="Calibri"/>
                <w:color w:val="000000" w:themeColor="text1"/>
                <w:sz w:val="20"/>
                <w:szCs w:val="20"/>
                <w:lang w:val="en-US"/>
              </w:rPr>
            </w:pPr>
          </w:p>
          <w:p w14:paraId="321568B3" w14:textId="77777777" w:rsidR="000D44B8" w:rsidRPr="009824AD" w:rsidRDefault="000D44B8" w:rsidP="006E3A16">
            <w:pPr>
              <w:jc w:val="center"/>
              <w:rPr>
                <w:rFonts w:ascii="Helvetica" w:hAnsi="Helvetica" w:cs="Calibri"/>
                <w:color w:val="000000" w:themeColor="text1"/>
                <w:sz w:val="20"/>
                <w:szCs w:val="20"/>
                <w:lang w:val="en-US"/>
              </w:rPr>
            </w:pPr>
            <w:r w:rsidRPr="009824AD">
              <w:rPr>
                <w:rFonts w:ascii="Helvetica" w:hAnsi="Helvetica" w:cs="Calibri"/>
                <w:color w:val="000000" w:themeColor="text1"/>
                <w:sz w:val="20"/>
                <w:szCs w:val="20"/>
                <w:lang w:val="en-US"/>
              </w:rPr>
              <w:t>847 (23.8)</w:t>
            </w:r>
          </w:p>
          <w:p w14:paraId="7A5E620E" w14:textId="77777777" w:rsidR="000D44B8" w:rsidRPr="009824AD" w:rsidRDefault="000D44B8" w:rsidP="006E3A16">
            <w:pPr>
              <w:jc w:val="center"/>
              <w:rPr>
                <w:rFonts w:ascii="Helvetica" w:hAnsi="Helvetica" w:cs="Calibri"/>
                <w:color w:val="000000" w:themeColor="text1"/>
                <w:sz w:val="20"/>
                <w:szCs w:val="20"/>
                <w:lang w:val="en-US"/>
              </w:rPr>
            </w:pPr>
            <w:r w:rsidRPr="009824AD">
              <w:rPr>
                <w:rFonts w:ascii="Helvetica" w:hAnsi="Helvetica" w:cs="Calibri"/>
                <w:color w:val="000000" w:themeColor="text1"/>
                <w:sz w:val="20"/>
                <w:szCs w:val="20"/>
                <w:lang w:val="en-US"/>
              </w:rPr>
              <w:t>314 (8.8)</w:t>
            </w:r>
          </w:p>
          <w:p w14:paraId="11E4BAC9" w14:textId="77777777" w:rsidR="000D44B8" w:rsidRPr="009824AD" w:rsidRDefault="000D44B8" w:rsidP="006E3A16">
            <w:pPr>
              <w:jc w:val="center"/>
              <w:rPr>
                <w:rFonts w:ascii="Helvetica" w:hAnsi="Helvetica" w:cs="Calibri"/>
                <w:color w:val="000000" w:themeColor="text1"/>
                <w:sz w:val="20"/>
                <w:szCs w:val="20"/>
                <w:lang w:val="en-US"/>
              </w:rPr>
            </w:pPr>
            <w:r w:rsidRPr="009824AD">
              <w:rPr>
                <w:rFonts w:ascii="Helvetica" w:hAnsi="Helvetica" w:cs="Calibri"/>
                <w:color w:val="000000" w:themeColor="text1"/>
                <w:sz w:val="20"/>
                <w:szCs w:val="20"/>
                <w:lang w:val="en-US"/>
              </w:rPr>
              <w:t>446 (12.5)</w:t>
            </w:r>
          </w:p>
          <w:p w14:paraId="0EDE62B3" w14:textId="77777777" w:rsidR="000D44B8" w:rsidRPr="009824AD" w:rsidRDefault="000D44B8" w:rsidP="006E3A16">
            <w:pPr>
              <w:jc w:val="center"/>
              <w:rPr>
                <w:rFonts w:ascii="Helvetica" w:hAnsi="Helvetica" w:cs="Calibri"/>
                <w:color w:val="000000" w:themeColor="text1"/>
                <w:sz w:val="20"/>
                <w:szCs w:val="20"/>
                <w:lang w:val="en-US"/>
              </w:rPr>
            </w:pPr>
          </w:p>
          <w:p w14:paraId="047D30EB" w14:textId="77777777" w:rsidR="000D44B8" w:rsidRPr="009824AD" w:rsidRDefault="000D44B8" w:rsidP="006E3A16">
            <w:pPr>
              <w:jc w:val="center"/>
              <w:rPr>
                <w:rFonts w:ascii="Helvetica" w:hAnsi="Helvetica" w:cs="Calibri"/>
                <w:color w:val="000000" w:themeColor="text1"/>
                <w:sz w:val="20"/>
                <w:szCs w:val="20"/>
                <w:lang w:val="en-US"/>
              </w:rPr>
            </w:pPr>
            <w:r w:rsidRPr="009824AD">
              <w:rPr>
                <w:rFonts w:ascii="Helvetica" w:hAnsi="Helvetica" w:cs="Calibri"/>
                <w:color w:val="000000" w:themeColor="text1"/>
                <w:sz w:val="20"/>
                <w:szCs w:val="20"/>
                <w:lang w:val="en-US"/>
              </w:rPr>
              <w:t>599 (16.8)</w:t>
            </w:r>
          </w:p>
          <w:p w14:paraId="51CA4A36" w14:textId="77777777" w:rsidR="000D44B8" w:rsidRPr="009824AD" w:rsidRDefault="000D44B8" w:rsidP="006E3A16">
            <w:pPr>
              <w:jc w:val="center"/>
              <w:rPr>
                <w:rFonts w:ascii="Helvetica" w:hAnsi="Helvetica" w:cs="Calibri"/>
                <w:color w:val="000000" w:themeColor="text1"/>
                <w:sz w:val="20"/>
                <w:szCs w:val="20"/>
                <w:lang w:val="en-US"/>
              </w:rPr>
            </w:pPr>
            <w:r w:rsidRPr="009824AD">
              <w:rPr>
                <w:rFonts w:ascii="Helvetica" w:hAnsi="Helvetica" w:cs="Calibri"/>
                <w:color w:val="000000" w:themeColor="text1"/>
                <w:sz w:val="20"/>
                <w:szCs w:val="20"/>
                <w:lang w:val="en-US"/>
              </w:rPr>
              <w:t>213 (6.0)</w:t>
            </w:r>
          </w:p>
          <w:p w14:paraId="588DE537" w14:textId="77777777" w:rsidR="000D44B8" w:rsidRPr="009824AD" w:rsidRDefault="000D44B8" w:rsidP="006E3A16">
            <w:pPr>
              <w:jc w:val="center"/>
              <w:rPr>
                <w:rFonts w:ascii="Helvetica" w:hAnsi="Helvetica" w:cs="Calibri"/>
                <w:color w:val="000000" w:themeColor="text1"/>
                <w:sz w:val="20"/>
                <w:szCs w:val="20"/>
                <w:lang w:val="en-US"/>
              </w:rPr>
            </w:pPr>
            <w:r w:rsidRPr="009824AD">
              <w:rPr>
                <w:rFonts w:ascii="Helvetica" w:hAnsi="Helvetica" w:cs="Calibri"/>
                <w:color w:val="000000" w:themeColor="text1"/>
                <w:sz w:val="20"/>
                <w:szCs w:val="20"/>
                <w:lang w:val="en-US"/>
              </w:rPr>
              <w:t>199 (5.6)</w:t>
            </w:r>
          </w:p>
          <w:p w14:paraId="569F4286" w14:textId="77777777" w:rsidR="000D44B8" w:rsidRPr="009824AD" w:rsidRDefault="000D44B8" w:rsidP="006E3A16">
            <w:pPr>
              <w:jc w:val="center"/>
              <w:rPr>
                <w:rFonts w:ascii="Helvetica" w:hAnsi="Helvetica" w:cs="Calibri"/>
                <w:color w:val="000000" w:themeColor="text1"/>
                <w:sz w:val="20"/>
                <w:szCs w:val="20"/>
                <w:lang w:val="en-US"/>
              </w:rPr>
            </w:pPr>
          </w:p>
          <w:p w14:paraId="36C7FCD3" w14:textId="77777777" w:rsidR="000D44B8" w:rsidRPr="009824AD" w:rsidRDefault="000D44B8" w:rsidP="006E3A16">
            <w:pPr>
              <w:jc w:val="center"/>
              <w:rPr>
                <w:rFonts w:ascii="Helvetica" w:hAnsi="Helvetica" w:cs="Calibri"/>
                <w:color w:val="000000" w:themeColor="text1"/>
                <w:sz w:val="20"/>
                <w:szCs w:val="20"/>
                <w:lang w:val="en-US"/>
              </w:rPr>
            </w:pPr>
            <w:r w:rsidRPr="009824AD">
              <w:rPr>
                <w:rFonts w:ascii="Helvetica" w:hAnsi="Helvetica" w:cs="Calibri"/>
                <w:color w:val="000000" w:themeColor="text1"/>
                <w:sz w:val="20"/>
                <w:szCs w:val="20"/>
                <w:lang w:val="en-US"/>
              </w:rPr>
              <w:t>87 (2.4)</w:t>
            </w:r>
          </w:p>
          <w:p w14:paraId="313B04F1" w14:textId="77777777" w:rsidR="000D44B8" w:rsidRPr="009824AD" w:rsidRDefault="000D44B8" w:rsidP="006E3A16">
            <w:pPr>
              <w:jc w:val="center"/>
              <w:rPr>
                <w:rFonts w:ascii="Helvetica" w:hAnsi="Helvetica" w:cs="Calibri"/>
                <w:color w:val="000000" w:themeColor="text1"/>
                <w:sz w:val="20"/>
                <w:szCs w:val="20"/>
                <w:lang w:val="en-US"/>
              </w:rPr>
            </w:pPr>
            <w:r w:rsidRPr="009824AD">
              <w:rPr>
                <w:rFonts w:ascii="Helvetica" w:hAnsi="Helvetica" w:cs="Calibri"/>
                <w:color w:val="000000" w:themeColor="text1"/>
                <w:sz w:val="20"/>
                <w:szCs w:val="20"/>
                <w:lang w:val="en-US"/>
              </w:rPr>
              <w:t>732 (20.5)</w:t>
            </w:r>
          </w:p>
          <w:p w14:paraId="403966AB" w14:textId="77777777" w:rsidR="000D44B8" w:rsidRPr="009824AD" w:rsidRDefault="000D44B8" w:rsidP="006E3A16">
            <w:pPr>
              <w:jc w:val="center"/>
              <w:rPr>
                <w:rFonts w:ascii="Helvetica" w:hAnsi="Helvetica" w:cs="Calibri"/>
                <w:color w:val="000000" w:themeColor="text1"/>
                <w:sz w:val="20"/>
                <w:szCs w:val="20"/>
                <w:lang w:val="en-US"/>
              </w:rPr>
            </w:pPr>
            <w:r w:rsidRPr="009824AD">
              <w:rPr>
                <w:rFonts w:ascii="Helvetica" w:hAnsi="Helvetica" w:cs="Calibri"/>
                <w:color w:val="000000" w:themeColor="text1"/>
                <w:sz w:val="20"/>
                <w:szCs w:val="20"/>
                <w:lang w:val="en-US"/>
              </w:rPr>
              <w:t>107 (3.0)</w:t>
            </w:r>
          </w:p>
          <w:p w14:paraId="75249525" w14:textId="77777777" w:rsidR="000D44B8" w:rsidRPr="009824AD" w:rsidRDefault="000D44B8" w:rsidP="006E3A16">
            <w:pPr>
              <w:jc w:val="center"/>
              <w:rPr>
                <w:rFonts w:ascii="Helvetica" w:hAnsi="Helvetica" w:cs="Calibri"/>
                <w:color w:val="000000" w:themeColor="text1"/>
                <w:sz w:val="20"/>
                <w:szCs w:val="20"/>
                <w:lang w:val="en-US"/>
              </w:rPr>
            </w:pPr>
            <w:r w:rsidRPr="009824AD">
              <w:rPr>
                <w:rFonts w:ascii="Helvetica" w:hAnsi="Helvetica" w:cs="Calibri"/>
                <w:color w:val="000000" w:themeColor="text1"/>
                <w:sz w:val="20"/>
                <w:szCs w:val="20"/>
                <w:lang w:val="en-US"/>
              </w:rPr>
              <w:t>19 (0.5)</w:t>
            </w:r>
          </w:p>
        </w:tc>
        <w:tc>
          <w:tcPr>
            <w:tcW w:w="1843" w:type="dxa"/>
          </w:tcPr>
          <w:p w14:paraId="177AA348" w14:textId="77777777" w:rsidR="000D44B8" w:rsidRPr="009824AD" w:rsidRDefault="000D44B8" w:rsidP="006E3A16">
            <w:pPr>
              <w:jc w:val="center"/>
              <w:rPr>
                <w:rFonts w:ascii="Helvetica" w:hAnsi="Helvetica" w:cs="Calibri"/>
                <w:color w:val="000000" w:themeColor="text1"/>
                <w:sz w:val="20"/>
                <w:szCs w:val="20"/>
                <w:lang w:val="en-US"/>
              </w:rPr>
            </w:pPr>
          </w:p>
          <w:p w14:paraId="56D6B7EE" w14:textId="77777777" w:rsidR="000D44B8" w:rsidRPr="009824AD" w:rsidRDefault="000D44B8" w:rsidP="006E3A16">
            <w:pPr>
              <w:jc w:val="center"/>
              <w:rPr>
                <w:rFonts w:ascii="Helvetica" w:hAnsi="Helvetica" w:cs="Calibri"/>
                <w:color w:val="000000" w:themeColor="text1"/>
                <w:sz w:val="20"/>
                <w:szCs w:val="20"/>
                <w:lang w:val="en-US"/>
              </w:rPr>
            </w:pPr>
          </w:p>
          <w:p w14:paraId="065AF6D6" w14:textId="77777777" w:rsidR="000D44B8" w:rsidRPr="009824AD" w:rsidRDefault="000D44B8" w:rsidP="006E3A16">
            <w:pPr>
              <w:jc w:val="center"/>
              <w:rPr>
                <w:rFonts w:ascii="Helvetica" w:hAnsi="Helvetica" w:cs="Calibri"/>
                <w:color w:val="000000" w:themeColor="text1"/>
                <w:sz w:val="20"/>
                <w:szCs w:val="20"/>
                <w:lang w:val="en-US"/>
              </w:rPr>
            </w:pPr>
            <w:r w:rsidRPr="009824AD">
              <w:rPr>
                <w:rFonts w:ascii="Helvetica" w:hAnsi="Helvetica" w:cs="Calibri"/>
                <w:color w:val="000000" w:themeColor="text1"/>
                <w:sz w:val="20"/>
                <w:szCs w:val="20"/>
                <w:lang w:val="en-US"/>
              </w:rPr>
              <w:t>857 (24.0)</w:t>
            </w:r>
          </w:p>
          <w:p w14:paraId="6ABC2D42" w14:textId="77777777" w:rsidR="000D44B8" w:rsidRPr="009824AD" w:rsidRDefault="000D44B8" w:rsidP="006E3A16">
            <w:pPr>
              <w:jc w:val="center"/>
              <w:rPr>
                <w:rFonts w:ascii="Helvetica" w:hAnsi="Helvetica" w:cs="Calibri"/>
                <w:color w:val="000000" w:themeColor="text1"/>
                <w:sz w:val="20"/>
                <w:szCs w:val="20"/>
                <w:lang w:val="en-US"/>
              </w:rPr>
            </w:pPr>
            <w:r w:rsidRPr="009824AD">
              <w:rPr>
                <w:rFonts w:ascii="Helvetica" w:hAnsi="Helvetica" w:cs="Calibri"/>
                <w:color w:val="000000" w:themeColor="text1"/>
                <w:sz w:val="20"/>
                <w:szCs w:val="20"/>
                <w:lang w:val="en-US"/>
              </w:rPr>
              <w:t>331 (9.3)</w:t>
            </w:r>
          </w:p>
          <w:p w14:paraId="50211BAF" w14:textId="77777777" w:rsidR="000D44B8" w:rsidRPr="009824AD" w:rsidRDefault="000D44B8" w:rsidP="006E3A16">
            <w:pPr>
              <w:jc w:val="center"/>
              <w:rPr>
                <w:rFonts w:ascii="Helvetica" w:hAnsi="Helvetica" w:cs="Calibri"/>
                <w:color w:val="000000" w:themeColor="text1"/>
                <w:sz w:val="20"/>
                <w:szCs w:val="20"/>
                <w:lang w:val="en-US"/>
              </w:rPr>
            </w:pPr>
            <w:r w:rsidRPr="009824AD">
              <w:rPr>
                <w:rFonts w:ascii="Helvetica" w:hAnsi="Helvetica" w:cs="Calibri"/>
                <w:color w:val="000000" w:themeColor="text1"/>
                <w:sz w:val="20"/>
                <w:szCs w:val="20"/>
                <w:lang w:val="en-US"/>
              </w:rPr>
              <w:t>457 (12.8)</w:t>
            </w:r>
          </w:p>
          <w:p w14:paraId="212FF932" w14:textId="77777777" w:rsidR="000D44B8" w:rsidRPr="009824AD" w:rsidRDefault="000D44B8" w:rsidP="006E3A16">
            <w:pPr>
              <w:jc w:val="center"/>
              <w:rPr>
                <w:rFonts w:ascii="Helvetica" w:hAnsi="Helvetica" w:cs="Calibri"/>
                <w:color w:val="000000" w:themeColor="text1"/>
                <w:sz w:val="20"/>
                <w:szCs w:val="20"/>
                <w:lang w:val="en-US"/>
              </w:rPr>
            </w:pPr>
          </w:p>
          <w:p w14:paraId="4877A6DD" w14:textId="77777777" w:rsidR="000D44B8" w:rsidRPr="009824AD" w:rsidRDefault="000D44B8" w:rsidP="006E3A16">
            <w:pPr>
              <w:jc w:val="center"/>
              <w:rPr>
                <w:rFonts w:ascii="Helvetica" w:hAnsi="Helvetica" w:cs="Calibri"/>
                <w:color w:val="000000" w:themeColor="text1"/>
                <w:sz w:val="20"/>
                <w:szCs w:val="20"/>
                <w:lang w:val="en-US"/>
              </w:rPr>
            </w:pPr>
            <w:r w:rsidRPr="009824AD">
              <w:rPr>
                <w:rFonts w:ascii="Helvetica" w:hAnsi="Helvetica" w:cs="Calibri"/>
                <w:color w:val="000000" w:themeColor="text1"/>
                <w:sz w:val="20"/>
                <w:szCs w:val="20"/>
                <w:lang w:val="en-US"/>
              </w:rPr>
              <w:t>553 (15.5)</w:t>
            </w:r>
          </w:p>
          <w:p w14:paraId="314952DD" w14:textId="77777777" w:rsidR="000D44B8" w:rsidRPr="009824AD" w:rsidRDefault="000D44B8" w:rsidP="006E3A16">
            <w:pPr>
              <w:jc w:val="center"/>
              <w:rPr>
                <w:rFonts w:ascii="Helvetica" w:hAnsi="Helvetica" w:cs="Calibri"/>
                <w:color w:val="000000" w:themeColor="text1"/>
                <w:sz w:val="20"/>
                <w:szCs w:val="20"/>
                <w:lang w:val="en-US"/>
              </w:rPr>
            </w:pPr>
            <w:r w:rsidRPr="009824AD">
              <w:rPr>
                <w:rFonts w:ascii="Helvetica" w:hAnsi="Helvetica" w:cs="Calibri"/>
                <w:color w:val="000000" w:themeColor="text1"/>
                <w:sz w:val="20"/>
                <w:szCs w:val="20"/>
                <w:lang w:val="en-US"/>
              </w:rPr>
              <w:t>188 (5.3)</w:t>
            </w:r>
          </w:p>
          <w:p w14:paraId="64FCB54F" w14:textId="77777777" w:rsidR="000D44B8" w:rsidRPr="009824AD" w:rsidRDefault="000D44B8" w:rsidP="006E3A16">
            <w:pPr>
              <w:jc w:val="center"/>
              <w:rPr>
                <w:rFonts w:ascii="Helvetica" w:hAnsi="Helvetica" w:cs="Calibri"/>
                <w:color w:val="000000" w:themeColor="text1"/>
                <w:sz w:val="20"/>
                <w:szCs w:val="20"/>
                <w:lang w:val="en-US"/>
              </w:rPr>
            </w:pPr>
            <w:r w:rsidRPr="009824AD">
              <w:rPr>
                <w:rFonts w:ascii="Helvetica" w:hAnsi="Helvetica" w:cs="Calibri"/>
                <w:color w:val="000000" w:themeColor="text1"/>
                <w:sz w:val="20"/>
                <w:szCs w:val="20"/>
                <w:lang w:val="en-US"/>
              </w:rPr>
              <w:t>199 (5.6)</w:t>
            </w:r>
          </w:p>
          <w:p w14:paraId="4DC48D69" w14:textId="77777777" w:rsidR="000D44B8" w:rsidRPr="009824AD" w:rsidRDefault="000D44B8" w:rsidP="006E3A16">
            <w:pPr>
              <w:jc w:val="center"/>
              <w:rPr>
                <w:rFonts w:ascii="Helvetica" w:hAnsi="Helvetica" w:cs="Calibri"/>
                <w:color w:val="000000" w:themeColor="text1"/>
                <w:sz w:val="20"/>
                <w:szCs w:val="20"/>
                <w:lang w:val="en-US"/>
              </w:rPr>
            </w:pPr>
          </w:p>
          <w:p w14:paraId="0871DCB3" w14:textId="77777777" w:rsidR="000D44B8" w:rsidRPr="009824AD" w:rsidRDefault="000D44B8" w:rsidP="006E3A16">
            <w:pPr>
              <w:jc w:val="center"/>
              <w:rPr>
                <w:rFonts w:ascii="Helvetica" w:hAnsi="Helvetica" w:cs="Calibri"/>
                <w:color w:val="000000" w:themeColor="text1"/>
                <w:sz w:val="20"/>
                <w:szCs w:val="20"/>
                <w:lang w:val="en-US"/>
              </w:rPr>
            </w:pPr>
            <w:r w:rsidRPr="009824AD">
              <w:rPr>
                <w:rFonts w:ascii="Helvetica" w:hAnsi="Helvetica" w:cs="Calibri"/>
                <w:color w:val="000000" w:themeColor="text1"/>
                <w:sz w:val="20"/>
                <w:szCs w:val="20"/>
                <w:lang w:val="en-US"/>
              </w:rPr>
              <w:t>83 (2.3)</w:t>
            </w:r>
          </w:p>
          <w:p w14:paraId="132C738E" w14:textId="77777777" w:rsidR="000D44B8" w:rsidRPr="009824AD" w:rsidRDefault="000D44B8" w:rsidP="006E3A16">
            <w:pPr>
              <w:jc w:val="center"/>
              <w:rPr>
                <w:rFonts w:ascii="Helvetica" w:hAnsi="Helvetica" w:cs="Calibri"/>
                <w:color w:val="000000" w:themeColor="text1"/>
                <w:sz w:val="20"/>
                <w:szCs w:val="20"/>
                <w:lang w:val="en-US"/>
              </w:rPr>
            </w:pPr>
            <w:r w:rsidRPr="009824AD">
              <w:rPr>
                <w:rFonts w:ascii="Helvetica" w:hAnsi="Helvetica" w:cs="Calibri"/>
                <w:color w:val="000000" w:themeColor="text1"/>
                <w:sz w:val="20"/>
                <w:szCs w:val="20"/>
                <w:lang w:val="en-US"/>
              </w:rPr>
              <w:t>742 (20.8)</w:t>
            </w:r>
          </w:p>
          <w:p w14:paraId="2B59CEBA" w14:textId="77777777" w:rsidR="000D44B8" w:rsidRPr="009824AD" w:rsidRDefault="000D44B8" w:rsidP="006E3A16">
            <w:pPr>
              <w:jc w:val="center"/>
              <w:rPr>
                <w:rFonts w:ascii="Helvetica" w:hAnsi="Helvetica" w:cs="Calibri"/>
                <w:color w:val="000000" w:themeColor="text1"/>
                <w:sz w:val="20"/>
                <w:szCs w:val="20"/>
                <w:lang w:val="en-US"/>
              </w:rPr>
            </w:pPr>
            <w:r w:rsidRPr="009824AD">
              <w:rPr>
                <w:rFonts w:ascii="Helvetica" w:hAnsi="Helvetica" w:cs="Calibri"/>
                <w:color w:val="000000" w:themeColor="text1"/>
                <w:sz w:val="20"/>
                <w:szCs w:val="20"/>
                <w:lang w:val="en-US"/>
              </w:rPr>
              <w:t>137 (3.8)</w:t>
            </w:r>
          </w:p>
          <w:p w14:paraId="2F5C7BA1" w14:textId="77777777" w:rsidR="000D44B8" w:rsidRPr="009824AD" w:rsidRDefault="000D44B8" w:rsidP="006E3A16">
            <w:pPr>
              <w:jc w:val="center"/>
              <w:rPr>
                <w:rFonts w:ascii="Helvetica" w:hAnsi="Helvetica" w:cs="Calibri"/>
                <w:color w:val="000000" w:themeColor="text1"/>
                <w:sz w:val="20"/>
                <w:szCs w:val="20"/>
                <w:lang w:val="en-US"/>
              </w:rPr>
            </w:pPr>
            <w:r w:rsidRPr="009824AD">
              <w:rPr>
                <w:rFonts w:ascii="Helvetica" w:hAnsi="Helvetica" w:cs="Calibri"/>
                <w:color w:val="000000" w:themeColor="text1"/>
                <w:sz w:val="20"/>
                <w:szCs w:val="20"/>
                <w:lang w:val="en-US"/>
              </w:rPr>
              <w:t>18 (0.5)</w:t>
            </w:r>
          </w:p>
        </w:tc>
        <w:tc>
          <w:tcPr>
            <w:tcW w:w="850" w:type="dxa"/>
          </w:tcPr>
          <w:p w14:paraId="09FFA2F6" w14:textId="77777777" w:rsidR="000D44B8" w:rsidRPr="009824AD" w:rsidRDefault="000D44B8" w:rsidP="006E3A16">
            <w:pPr>
              <w:jc w:val="center"/>
              <w:rPr>
                <w:rFonts w:ascii="Helvetica" w:hAnsi="Helvetica" w:cs="Calibri"/>
                <w:color w:val="000000" w:themeColor="text1"/>
                <w:sz w:val="20"/>
                <w:szCs w:val="20"/>
                <w:lang w:val="en-US"/>
              </w:rPr>
            </w:pPr>
            <w:r w:rsidRPr="009824AD">
              <w:rPr>
                <w:rFonts w:ascii="Helvetica" w:eastAsia="Times New Roman" w:hAnsi="Helvetica" w:cs="Calibri"/>
                <w:color w:val="000000" w:themeColor="text1"/>
                <w:sz w:val="20"/>
                <w:szCs w:val="20"/>
                <w:lang w:val="en-US" w:eastAsia="nl-NL"/>
              </w:rPr>
              <w:t>0.543</w:t>
            </w:r>
          </w:p>
        </w:tc>
        <w:tc>
          <w:tcPr>
            <w:tcW w:w="709" w:type="dxa"/>
          </w:tcPr>
          <w:p w14:paraId="2F1B782E" w14:textId="77777777" w:rsidR="000D44B8" w:rsidRPr="009824AD" w:rsidRDefault="000D44B8" w:rsidP="006E3A16">
            <w:pPr>
              <w:jc w:val="center"/>
              <w:rPr>
                <w:rFonts w:ascii="Helvetica" w:eastAsia="Times New Roman" w:hAnsi="Helvetica" w:cs="Calibri"/>
                <w:color w:val="000000" w:themeColor="text1"/>
                <w:sz w:val="20"/>
                <w:szCs w:val="20"/>
                <w:lang w:val="en-US" w:eastAsia="nl-NL"/>
              </w:rPr>
            </w:pPr>
            <w:r w:rsidRPr="009824AD">
              <w:rPr>
                <w:rFonts w:ascii="Helvetica" w:eastAsia="Times New Roman" w:hAnsi="Helvetica" w:cs="Calibri"/>
                <w:color w:val="000000" w:themeColor="text1"/>
                <w:sz w:val="20"/>
                <w:szCs w:val="20"/>
                <w:lang w:val="en-US" w:eastAsia="nl-NL"/>
              </w:rPr>
              <w:t>0.01</w:t>
            </w:r>
          </w:p>
        </w:tc>
      </w:tr>
      <w:tr w:rsidR="000D44B8" w:rsidRPr="009824AD" w14:paraId="0CF0D70C" w14:textId="77777777" w:rsidTr="00C67DD2">
        <w:tc>
          <w:tcPr>
            <w:tcW w:w="4395" w:type="dxa"/>
            <w:tcBorders>
              <w:right w:val="single" w:sz="4" w:space="0" w:color="auto"/>
            </w:tcBorders>
            <w:vAlign w:val="center"/>
          </w:tcPr>
          <w:p w14:paraId="7EA77248" w14:textId="77777777" w:rsidR="000D44B8" w:rsidRDefault="000D44B8" w:rsidP="006E3A16">
            <w:pPr>
              <w:tabs>
                <w:tab w:val="left" w:pos="310"/>
              </w:tabs>
              <w:ind w:left="170"/>
              <w:rPr>
                <w:rFonts w:ascii="Helvetica" w:eastAsia="Times New Roman" w:hAnsi="Helvetica" w:cs="Calibri"/>
                <w:sz w:val="20"/>
                <w:szCs w:val="20"/>
                <w:lang w:val="en-US" w:eastAsia="nl-NL"/>
              </w:rPr>
            </w:pPr>
            <w:r w:rsidRPr="009824AD">
              <w:rPr>
                <w:rFonts w:ascii="Helvetica" w:eastAsia="Times New Roman" w:hAnsi="Helvetica" w:cs="Calibri"/>
                <w:sz w:val="20"/>
                <w:szCs w:val="20"/>
                <w:lang w:val="en-US" w:eastAsia="nl-NL"/>
              </w:rPr>
              <w:t>Pringle manoeuvre (%)</w:t>
            </w:r>
          </w:p>
          <w:p w14:paraId="2C5A8902" w14:textId="2E9ADA9A" w:rsidR="00F32683" w:rsidRPr="009824AD" w:rsidRDefault="00F32683" w:rsidP="006E3A16">
            <w:pPr>
              <w:tabs>
                <w:tab w:val="left" w:pos="310"/>
              </w:tabs>
              <w:ind w:left="170"/>
              <w:rPr>
                <w:rFonts w:ascii="Helvetica" w:eastAsia="Times New Roman" w:hAnsi="Helvetica" w:cs="Calibri"/>
                <w:sz w:val="20"/>
                <w:szCs w:val="20"/>
                <w:lang w:val="en-US" w:eastAsia="nl-NL"/>
              </w:rPr>
            </w:pPr>
            <w:r>
              <w:rPr>
                <w:rFonts w:ascii="Helvetica" w:eastAsia="Times New Roman" w:hAnsi="Helvetica" w:cs="Calibri"/>
                <w:sz w:val="20"/>
                <w:szCs w:val="20"/>
                <w:lang w:val="en-US" w:eastAsia="nl-NL"/>
              </w:rPr>
              <w:tab/>
              <w:t>Missing (%)</w:t>
            </w:r>
          </w:p>
        </w:tc>
        <w:tc>
          <w:tcPr>
            <w:tcW w:w="1842" w:type="dxa"/>
            <w:tcBorders>
              <w:left w:val="single" w:sz="4" w:space="0" w:color="auto"/>
            </w:tcBorders>
          </w:tcPr>
          <w:p w14:paraId="5CED33B1" w14:textId="77777777" w:rsidR="000D44B8" w:rsidRDefault="000D44B8" w:rsidP="006E3A16">
            <w:pPr>
              <w:jc w:val="center"/>
              <w:rPr>
                <w:rFonts w:ascii="Helvetica" w:eastAsia="Times New Roman" w:hAnsi="Helvetica" w:cs="Calibri"/>
                <w:sz w:val="20"/>
                <w:szCs w:val="20"/>
                <w:lang w:val="en-US" w:eastAsia="nl-NL"/>
              </w:rPr>
            </w:pPr>
            <w:r w:rsidRPr="009824AD">
              <w:rPr>
                <w:rFonts w:ascii="Helvetica" w:eastAsia="Times New Roman" w:hAnsi="Helvetica" w:cs="Calibri"/>
                <w:sz w:val="20"/>
                <w:szCs w:val="20"/>
                <w:lang w:val="en-US" w:eastAsia="nl-NL"/>
              </w:rPr>
              <w:t>2391 (43.3)</w:t>
            </w:r>
          </w:p>
          <w:p w14:paraId="2846D5EA" w14:textId="63792572" w:rsidR="00F32683" w:rsidRPr="009824AD" w:rsidRDefault="00F32683" w:rsidP="006E3A16">
            <w:pPr>
              <w:jc w:val="center"/>
              <w:rPr>
                <w:rFonts w:ascii="Helvetica" w:eastAsia="Times New Roman" w:hAnsi="Helvetica" w:cs="Calibri"/>
                <w:sz w:val="20"/>
                <w:szCs w:val="20"/>
                <w:lang w:val="en-US" w:eastAsia="nl-NL"/>
              </w:rPr>
            </w:pPr>
            <w:r>
              <w:rPr>
                <w:rFonts w:ascii="Helvetica" w:eastAsia="Times New Roman" w:hAnsi="Helvetica" w:cs="Calibri"/>
                <w:sz w:val="20"/>
                <w:szCs w:val="20"/>
                <w:lang w:val="en-US" w:eastAsia="nl-NL"/>
              </w:rPr>
              <w:t>843 (13.2)</w:t>
            </w:r>
          </w:p>
        </w:tc>
        <w:tc>
          <w:tcPr>
            <w:tcW w:w="1843" w:type="dxa"/>
          </w:tcPr>
          <w:p w14:paraId="7272E286" w14:textId="77777777" w:rsidR="000D44B8" w:rsidRDefault="000D44B8" w:rsidP="006E3A16">
            <w:pPr>
              <w:jc w:val="center"/>
              <w:rPr>
                <w:rFonts w:ascii="Helvetica" w:hAnsi="Helvetica" w:cs="Calibri"/>
                <w:sz w:val="20"/>
                <w:szCs w:val="20"/>
                <w:lang w:val="en-US"/>
              </w:rPr>
            </w:pPr>
            <w:r w:rsidRPr="009824AD">
              <w:rPr>
                <w:rFonts w:ascii="Helvetica" w:hAnsi="Helvetica" w:cs="Calibri"/>
                <w:sz w:val="20"/>
                <w:szCs w:val="20"/>
                <w:lang w:val="en-US"/>
              </w:rPr>
              <w:t>2627 (46.2)</w:t>
            </w:r>
          </w:p>
          <w:p w14:paraId="408930B9" w14:textId="28AAD964" w:rsidR="00F32683" w:rsidRPr="009824AD" w:rsidRDefault="00F32683" w:rsidP="006E3A16">
            <w:pPr>
              <w:jc w:val="center"/>
              <w:rPr>
                <w:rFonts w:ascii="Helvetica" w:hAnsi="Helvetica" w:cs="Calibri"/>
                <w:sz w:val="20"/>
                <w:szCs w:val="20"/>
                <w:lang w:val="en-US"/>
              </w:rPr>
            </w:pPr>
            <w:r>
              <w:rPr>
                <w:rFonts w:ascii="Helvetica" w:hAnsi="Helvetica" w:cs="Calibri"/>
                <w:sz w:val="20"/>
                <w:szCs w:val="20"/>
                <w:lang w:val="en-US"/>
              </w:rPr>
              <w:t>1321 (18.8)</w:t>
            </w:r>
          </w:p>
        </w:tc>
        <w:tc>
          <w:tcPr>
            <w:tcW w:w="851" w:type="dxa"/>
          </w:tcPr>
          <w:p w14:paraId="6A1F0451" w14:textId="77777777" w:rsidR="000D44B8" w:rsidRPr="009824AD" w:rsidRDefault="000D44B8" w:rsidP="006E3A16">
            <w:pPr>
              <w:jc w:val="center"/>
              <w:rPr>
                <w:rFonts w:ascii="Helvetica" w:hAnsi="Helvetica" w:cs="Calibri"/>
                <w:b/>
                <w:bCs/>
                <w:color w:val="000000"/>
                <w:sz w:val="20"/>
                <w:szCs w:val="20"/>
                <w:lang w:val="en-US"/>
              </w:rPr>
            </w:pPr>
            <w:r w:rsidRPr="009824AD">
              <w:rPr>
                <w:rFonts w:ascii="Helvetica" w:hAnsi="Helvetica" w:cs="Calibri"/>
                <w:b/>
                <w:bCs/>
                <w:color w:val="000000"/>
                <w:sz w:val="20"/>
                <w:szCs w:val="20"/>
                <w:lang w:val="en-US"/>
              </w:rPr>
              <w:t>0.002</w:t>
            </w:r>
          </w:p>
        </w:tc>
        <w:tc>
          <w:tcPr>
            <w:tcW w:w="708" w:type="dxa"/>
            <w:tcBorders>
              <w:right w:val="single" w:sz="4" w:space="0" w:color="auto"/>
            </w:tcBorders>
          </w:tcPr>
          <w:p w14:paraId="42F592D5" w14:textId="77777777" w:rsidR="000D44B8" w:rsidRPr="009824AD" w:rsidRDefault="000D44B8" w:rsidP="006E3A16">
            <w:pPr>
              <w:jc w:val="center"/>
              <w:rPr>
                <w:rFonts w:ascii="Helvetica" w:hAnsi="Helvetica" w:cs="Calibri"/>
                <w:color w:val="000000"/>
                <w:sz w:val="20"/>
                <w:szCs w:val="20"/>
                <w:lang w:val="en-US"/>
              </w:rPr>
            </w:pPr>
            <w:r w:rsidRPr="009824AD">
              <w:rPr>
                <w:rFonts w:ascii="Helvetica" w:hAnsi="Helvetica" w:cs="Calibri"/>
                <w:color w:val="000000"/>
                <w:sz w:val="20"/>
                <w:szCs w:val="20"/>
                <w:lang w:val="en-US"/>
              </w:rPr>
              <w:t>0.06</w:t>
            </w:r>
          </w:p>
        </w:tc>
        <w:tc>
          <w:tcPr>
            <w:tcW w:w="1843" w:type="dxa"/>
            <w:tcBorders>
              <w:left w:val="single" w:sz="4" w:space="0" w:color="auto"/>
            </w:tcBorders>
          </w:tcPr>
          <w:p w14:paraId="620ED56F" w14:textId="77777777" w:rsidR="000D44B8" w:rsidRPr="009824AD" w:rsidRDefault="000D44B8" w:rsidP="006E3A16">
            <w:pPr>
              <w:jc w:val="center"/>
              <w:rPr>
                <w:rFonts w:ascii="Helvetica" w:eastAsia="Times New Roman" w:hAnsi="Helvetica" w:cs="Calibri"/>
                <w:color w:val="000000" w:themeColor="text1"/>
                <w:sz w:val="20"/>
                <w:szCs w:val="20"/>
                <w:lang w:val="en-US" w:eastAsia="nl-NL"/>
              </w:rPr>
            </w:pPr>
            <w:r w:rsidRPr="009824AD">
              <w:rPr>
                <w:rFonts w:ascii="Helvetica" w:eastAsia="Times New Roman" w:hAnsi="Helvetica" w:cs="Calibri"/>
                <w:color w:val="000000" w:themeColor="text1"/>
                <w:sz w:val="20"/>
                <w:szCs w:val="20"/>
                <w:lang w:val="en-US" w:eastAsia="nl-NL"/>
              </w:rPr>
              <w:t>1542 (43.3)</w:t>
            </w:r>
          </w:p>
        </w:tc>
        <w:tc>
          <w:tcPr>
            <w:tcW w:w="1843" w:type="dxa"/>
          </w:tcPr>
          <w:p w14:paraId="6E1EFE47" w14:textId="77777777" w:rsidR="000D44B8" w:rsidRPr="009824AD" w:rsidRDefault="000D44B8" w:rsidP="006E3A16">
            <w:pPr>
              <w:jc w:val="center"/>
              <w:rPr>
                <w:rFonts w:ascii="Helvetica" w:hAnsi="Helvetica" w:cs="Calibri"/>
                <w:color w:val="000000" w:themeColor="text1"/>
                <w:sz w:val="20"/>
                <w:szCs w:val="20"/>
                <w:lang w:val="en-US"/>
              </w:rPr>
            </w:pPr>
            <w:r w:rsidRPr="009824AD">
              <w:rPr>
                <w:rFonts w:ascii="Helvetica" w:hAnsi="Helvetica" w:cs="Calibri"/>
                <w:color w:val="000000" w:themeColor="text1"/>
                <w:sz w:val="20"/>
                <w:szCs w:val="20"/>
                <w:lang w:val="en-US"/>
              </w:rPr>
              <w:t>1578 (44.3)</w:t>
            </w:r>
          </w:p>
        </w:tc>
        <w:tc>
          <w:tcPr>
            <w:tcW w:w="850" w:type="dxa"/>
          </w:tcPr>
          <w:p w14:paraId="360DECC5" w14:textId="77777777" w:rsidR="000D44B8" w:rsidRPr="009824AD" w:rsidRDefault="000D44B8" w:rsidP="006E3A16">
            <w:pPr>
              <w:jc w:val="center"/>
              <w:rPr>
                <w:rFonts w:ascii="Helvetica" w:hAnsi="Helvetica" w:cs="Calibri"/>
                <w:color w:val="000000" w:themeColor="text1"/>
                <w:sz w:val="20"/>
                <w:szCs w:val="20"/>
                <w:lang w:val="en-US"/>
              </w:rPr>
            </w:pPr>
            <w:r w:rsidRPr="009824AD">
              <w:rPr>
                <w:rFonts w:ascii="Helvetica" w:hAnsi="Helvetica" w:cs="Calibri"/>
                <w:color w:val="000000" w:themeColor="text1"/>
                <w:sz w:val="20"/>
                <w:szCs w:val="20"/>
                <w:lang w:val="en-US"/>
              </w:rPr>
              <w:t>0.162</w:t>
            </w:r>
          </w:p>
        </w:tc>
        <w:tc>
          <w:tcPr>
            <w:tcW w:w="709" w:type="dxa"/>
          </w:tcPr>
          <w:p w14:paraId="4F410886" w14:textId="77777777" w:rsidR="000D44B8" w:rsidRPr="009824AD" w:rsidRDefault="000D44B8" w:rsidP="006E3A16">
            <w:pPr>
              <w:jc w:val="center"/>
              <w:rPr>
                <w:rFonts w:ascii="Helvetica" w:hAnsi="Helvetica" w:cs="Calibri"/>
                <w:color w:val="000000" w:themeColor="text1"/>
                <w:sz w:val="20"/>
                <w:szCs w:val="20"/>
                <w:lang w:val="en-US"/>
              </w:rPr>
            </w:pPr>
            <w:r w:rsidRPr="009824AD">
              <w:rPr>
                <w:rFonts w:ascii="Helvetica" w:hAnsi="Helvetica" w:cs="Calibri"/>
                <w:color w:val="000000" w:themeColor="text1"/>
                <w:sz w:val="20"/>
                <w:szCs w:val="20"/>
                <w:lang w:val="en-US"/>
              </w:rPr>
              <w:t>0.02</w:t>
            </w:r>
          </w:p>
        </w:tc>
      </w:tr>
      <w:tr w:rsidR="000D44B8" w:rsidRPr="009824AD" w14:paraId="3728ACDD" w14:textId="77777777" w:rsidTr="00C67DD2">
        <w:tc>
          <w:tcPr>
            <w:tcW w:w="4395" w:type="dxa"/>
            <w:tcBorders>
              <w:right w:val="single" w:sz="4" w:space="0" w:color="auto"/>
            </w:tcBorders>
            <w:vAlign w:val="center"/>
          </w:tcPr>
          <w:p w14:paraId="0E769D16" w14:textId="77777777" w:rsidR="000D44B8" w:rsidRPr="009824AD" w:rsidRDefault="000D44B8" w:rsidP="006E3A16">
            <w:pPr>
              <w:tabs>
                <w:tab w:val="left" w:pos="310"/>
              </w:tabs>
              <w:ind w:left="170"/>
              <w:rPr>
                <w:rFonts w:ascii="Helvetica" w:eastAsia="Times New Roman" w:hAnsi="Helvetica" w:cs="Calibri"/>
                <w:b/>
                <w:bCs/>
                <w:sz w:val="20"/>
                <w:szCs w:val="20"/>
                <w:lang w:val="en-US" w:eastAsia="nl-NL"/>
              </w:rPr>
            </w:pPr>
            <w:r w:rsidRPr="009824AD">
              <w:rPr>
                <w:rFonts w:ascii="Helvetica" w:eastAsia="Times New Roman" w:hAnsi="Helvetica" w:cs="Calibri"/>
                <w:b/>
                <w:bCs/>
                <w:sz w:val="20"/>
                <w:szCs w:val="20"/>
                <w:lang w:val="en-US" w:eastAsia="nl-NL"/>
              </w:rPr>
              <w:t>Postoperative bile leakage</w:t>
            </w:r>
          </w:p>
          <w:p w14:paraId="77751188" w14:textId="77777777" w:rsidR="000D44B8" w:rsidRPr="009824AD" w:rsidRDefault="000D44B8" w:rsidP="006E3A16">
            <w:pPr>
              <w:tabs>
                <w:tab w:val="left" w:pos="310"/>
              </w:tabs>
              <w:ind w:left="170"/>
              <w:rPr>
                <w:rFonts w:ascii="Helvetica" w:eastAsia="Times New Roman" w:hAnsi="Helvetica" w:cs="Calibri"/>
                <w:sz w:val="20"/>
                <w:szCs w:val="20"/>
                <w:lang w:val="en-US" w:eastAsia="nl-NL"/>
              </w:rPr>
            </w:pPr>
            <w:r w:rsidRPr="009824AD">
              <w:rPr>
                <w:rFonts w:ascii="Helvetica" w:eastAsia="Times New Roman" w:hAnsi="Helvetica" w:cs="Calibri"/>
                <w:sz w:val="20"/>
                <w:szCs w:val="20"/>
                <w:lang w:val="en-US" w:eastAsia="nl-NL"/>
              </w:rPr>
              <w:tab/>
              <w:t>Overall (%)</w:t>
            </w:r>
          </w:p>
          <w:p w14:paraId="612E859E" w14:textId="77777777" w:rsidR="000D44B8" w:rsidRPr="009824AD" w:rsidRDefault="000D44B8" w:rsidP="006E3A16">
            <w:pPr>
              <w:tabs>
                <w:tab w:val="left" w:pos="310"/>
              </w:tabs>
              <w:ind w:left="170"/>
              <w:rPr>
                <w:rFonts w:ascii="Helvetica" w:eastAsia="Times New Roman" w:hAnsi="Helvetica" w:cs="Calibri"/>
                <w:sz w:val="20"/>
                <w:szCs w:val="20"/>
                <w:lang w:val="en-US" w:eastAsia="nl-NL"/>
              </w:rPr>
            </w:pPr>
            <w:r w:rsidRPr="009824AD">
              <w:rPr>
                <w:rFonts w:ascii="Helvetica" w:eastAsia="Times New Roman" w:hAnsi="Helvetica" w:cs="Calibri"/>
                <w:sz w:val="20"/>
                <w:szCs w:val="20"/>
                <w:lang w:val="en-US" w:eastAsia="nl-NL"/>
              </w:rPr>
              <w:tab/>
              <w:t>Grade A (%)</w:t>
            </w:r>
          </w:p>
          <w:p w14:paraId="50C8D7F0" w14:textId="77777777" w:rsidR="000D44B8" w:rsidRPr="009824AD" w:rsidRDefault="000D44B8" w:rsidP="006E3A16">
            <w:pPr>
              <w:tabs>
                <w:tab w:val="left" w:pos="310"/>
              </w:tabs>
              <w:ind w:left="170"/>
              <w:rPr>
                <w:rFonts w:ascii="Helvetica" w:eastAsia="Times New Roman" w:hAnsi="Helvetica" w:cs="Calibri"/>
                <w:sz w:val="20"/>
                <w:szCs w:val="20"/>
                <w:lang w:val="en-US" w:eastAsia="nl-NL"/>
              </w:rPr>
            </w:pPr>
            <w:r w:rsidRPr="009824AD">
              <w:rPr>
                <w:rFonts w:ascii="Helvetica" w:eastAsia="Times New Roman" w:hAnsi="Helvetica" w:cs="Calibri"/>
                <w:sz w:val="20"/>
                <w:szCs w:val="20"/>
                <w:lang w:val="en-US" w:eastAsia="nl-NL"/>
              </w:rPr>
              <w:tab/>
              <w:t>Grade B (%)</w:t>
            </w:r>
          </w:p>
          <w:p w14:paraId="4410EE59" w14:textId="77777777" w:rsidR="000D44B8" w:rsidRPr="009824AD" w:rsidRDefault="000D44B8" w:rsidP="006E3A16">
            <w:pPr>
              <w:tabs>
                <w:tab w:val="left" w:pos="310"/>
              </w:tabs>
              <w:ind w:left="170"/>
              <w:rPr>
                <w:rFonts w:ascii="Helvetica" w:eastAsia="Times New Roman" w:hAnsi="Helvetica" w:cs="Calibri"/>
                <w:sz w:val="20"/>
                <w:szCs w:val="20"/>
                <w:lang w:val="en-US" w:eastAsia="nl-NL"/>
              </w:rPr>
            </w:pPr>
            <w:r w:rsidRPr="009824AD">
              <w:rPr>
                <w:rFonts w:ascii="Helvetica" w:eastAsia="Times New Roman" w:hAnsi="Helvetica" w:cs="Calibri"/>
                <w:sz w:val="20"/>
                <w:szCs w:val="20"/>
                <w:lang w:val="en-US" w:eastAsia="nl-NL"/>
              </w:rPr>
              <w:tab/>
              <w:t>Grade C (%)</w:t>
            </w:r>
          </w:p>
        </w:tc>
        <w:tc>
          <w:tcPr>
            <w:tcW w:w="1842" w:type="dxa"/>
            <w:tcBorders>
              <w:left w:val="single" w:sz="4" w:space="0" w:color="auto"/>
            </w:tcBorders>
          </w:tcPr>
          <w:p w14:paraId="5894B634" w14:textId="77777777" w:rsidR="000D44B8" w:rsidRPr="009824AD" w:rsidRDefault="000D44B8" w:rsidP="006E3A16">
            <w:pPr>
              <w:jc w:val="center"/>
              <w:rPr>
                <w:rFonts w:ascii="Helvetica" w:eastAsia="Times New Roman" w:hAnsi="Helvetica" w:cs="Calibri"/>
                <w:sz w:val="20"/>
                <w:szCs w:val="20"/>
                <w:lang w:val="en-US" w:eastAsia="nl-NL"/>
              </w:rPr>
            </w:pPr>
          </w:p>
          <w:p w14:paraId="5C1EDBFB" w14:textId="77777777" w:rsidR="000D44B8" w:rsidRPr="009824AD" w:rsidRDefault="000D44B8" w:rsidP="006E3A16">
            <w:pPr>
              <w:jc w:val="center"/>
              <w:rPr>
                <w:rFonts w:ascii="Helvetica" w:eastAsia="Times New Roman" w:hAnsi="Helvetica" w:cs="Calibri"/>
                <w:sz w:val="20"/>
                <w:szCs w:val="20"/>
                <w:lang w:val="en-US" w:eastAsia="nl-NL"/>
              </w:rPr>
            </w:pPr>
            <w:r w:rsidRPr="009824AD">
              <w:rPr>
                <w:rFonts w:ascii="Helvetica" w:eastAsia="Times New Roman" w:hAnsi="Helvetica" w:cs="Calibri"/>
                <w:sz w:val="20"/>
                <w:szCs w:val="20"/>
                <w:lang w:val="en-US" w:eastAsia="nl-NL"/>
              </w:rPr>
              <w:t>193 (3.1)</w:t>
            </w:r>
          </w:p>
          <w:p w14:paraId="26EA0606" w14:textId="77777777" w:rsidR="000D44B8" w:rsidRPr="009824AD" w:rsidRDefault="000D44B8" w:rsidP="006E3A16">
            <w:pPr>
              <w:jc w:val="center"/>
              <w:rPr>
                <w:rFonts w:ascii="Helvetica" w:eastAsia="Times New Roman" w:hAnsi="Helvetica" w:cs="Calibri"/>
                <w:sz w:val="20"/>
                <w:szCs w:val="20"/>
                <w:lang w:val="en-US" w:eastAsia="nl-NL"/>
              </w:rPr>
            </w:pPr>
            <w:r w:rsidRPr="009824AD">
              <w:rPr>
                <w:rFonts w:ascii="Helvetica" w:eastAsia="Times New Roman" w:hAnsi="Helvetica" w:cs="Calibri"/>
                <w:sz w:val="20"/>
                <w:szCs w:val="20"/>
                <w:lang w:val="en-US" w:eastAsia="nl-NL"/>
              </w:rPr>
              <w:t>39 (0.6)</w:t>
            </w:r>
          </w:p>
          <w:p w14:paraId="7AF5E5D9" w14:textId="77777777" w:rsidR="000D44B8" w:rsidRPr="009824AD" w:rsidRDefault="000D44B8" w:rsidP="006E3A16">
            <w:pPr>
              <w:jc w:val="center"/>
              <w:rPr>
                <w:rFonts w:ascii="Helvetica" w:eastAsia="Times New Roman" w:hAnsi="Helvetica" w:cs="Calibri"/>
                <w:sz w:val="20"/>
                <w:szCs w:val="20"/>
                <w:lang w:val="en-US" w:eastAsia="nl-NL"/>
              </w:rPr>
            </w:pPr>
            <w:r w:rsidRPr="009824AD">
              <w:rPr>
                <w:rFonts w:ascii="Helvetica" w:eastAsia="Times New Roman" w:hAnsi="Helvetica" w:cs="Calibri"/>
                <w:sz w:val="20"/>
                <w:szCs w:val="20"/>
                <w:lang w:val="en-US" w:eastAsia="nl-NL"/>
              </w:rPr>
              <w:t>115 (1.7)</w:t>
            </w:r>
          </w:p>
          <w:p w14:paraId="467FB596" w14:textId="77777777" w:rsidR="000D44B8" w:rsidRPr="009824AD" w:rsidRDefault="000D44B8" w:rsidP="006E3A16">
            <w:pPr>
              <w:jc w:val="center"/>
              <w:rPr>
                <w:rFonts w:ascii="Helvetica" w:eastAsia="Times New Roman" w:hAnsi="Helvetica" w:cs="Calibri"/>
                <w:sz w:val="20"/>
                <w:szCs w:val="20"/>
                <w:lang w:val="en-US" w:eastAsia="nl-NL"/>
              </w:rPr>
            </w:pPr>
            <w:r w:rsidRPr="009824AD">
              <w:rPr>
                <w:rFonts w:ascii="Helvetica" w:eastAsia="Times New Roman" w:hAnsi="Helvetica" w:cs="Calibri"/>
                <w:sz w:val="20"/>
                <w:szCs w:val="20"/>
                <w:lang w:val="en-US" w:eastAsia="nl-NL"/>
              </w:rPr>
              <w:t>27 (0.4)</w:t>
            </w:r>
          </w:p>
        </w:tc>
        <w:tc>
          <w:tcPr>
            <w:tcW w:w="1843" w:type="dxa"/>
          </w:tcPr>
          <w:p w14:paraId="2C6609CB" w14:textId="77777777" w:rsidR="000D44B8" w:rsidRPr="009824AD" w:rsidRDefault="000D44B8" w:rsidP="006E3A16">
            <w:pPr>
              <w:jc w:val="center"/>
              <w:rPr>
                <w:rFonts w:ascii="Helvetica" w:hAnsi="Helvetica" w:cs="Calibri"/>
                <w:sz w:val="20"/>
                <w:szCs w:val="20"/>
                <w:lang w:val="en-US"/>
              </w:rPr>
            </w:pPr>
          </w:p>
          <w:p w14:paraId="61928377" w14:textId="77777777" w:rsidR="000D44B8" w:rsidRPr="009824AD" w:rsidRDefault="000D44B8" w:rsidP="006E3A16">
            <w:pPr>
              <w:jc w:val="center"/>
              <w:rPr>
                <w:rFonts w:ascii="Helvetica" w:eastAsia="Times New Roman" w:hAnsi="Helvetica" w:cs="Calibri"/>
                <w:sz w:val="20"/>
                <w:szCs w:val="20"/>
                <w:lang w:val="en-US" w:eastAsia="nl-NL"/>
              </w:rPr>
            </w:pPr>
            <w:r w:rsidRPr="009824AD">
              <w:rPr>
                <w:rFonts w:ascii="Helvetica" w:eastAsia="Times New Roman" w:hAnsi="Helvetica" w:cs="Calibri"/>
                <w:sz w:val="20"/>
                <w:szCs w:val="20"/>
                <w:lang w:val="en-US" w:eastAsia="nl-NL"/>
              </w:rPr>
              <w:t>612 (9.4)</w:t>
            </w:r>
          </w:p>
          <w:p w14:paraId="4CCA5A73" w14:textId="77777777" w:rsidR="000D44B8" w:rsidRPr="009824AD" w:rsidRDefault="000D44B8" w:rsidP="006E3A16">
            <w:pPr>
              <w:jc w:val="center"/>
              <w:rPr>
                <w:rFonts w:ascii="Helvetica" w:eastAsia="Times New Roman" w:hAnsi="Helvetica" w:cs="Calibri"/>
                <w:sz w:val="20"/>
                <w:szCs w:val="20"/>
                <w:lang w:val="en-US" w:eastAsia="nl-NL"/>
              </w:rPr>
            </w:pPr>
            <w:r w:rsidRPr="009824AD">
              <w:rPr>
                <w:rFonts w:ascii="Helvetica" w:eastAsia="Times New Roman" w:hAnsi="Helvetica" w:cs="Calibri"/>
                <w:sz w:val="20"/>
                <w:szCs w:val="20"/>
                <w:lang w:val="en-US" w:eastAsia="nl-NL"/>
              </w:rPr>
              <w:t>105 (1.6)</w:t>
            </w:r>
          </w:p>
          <w:p w14:paraId="09FCCF0A" w14:textId="77777777" w:rsidR="000D44B8" w:rsidRPr="009824AD" w:rsidRDefault="000D44B8" w:rsidP="006E3A16">
            <w:pPr>
              <w:jc w:val="center"/>
              <w:rPr>
                <w:rFonts w:ascii="Helvetica" w:eastAsia="Times New Roman" w:hAnsi="Helvetica" w:cs="Calibri"/>
                <w:sz w:val="20"/>
                <w:szCs w:val="20"/>
                <w:lang w:val="en-US" w:eastAsia="nl-NL"/>
              </w:rPr>
            </w:pPr>
            <w:r w:rsidRPr="009824AD">
              <w:rPr>
                <w:rFonts w:ascii="Helvetica" w:eastAsia="Times New Roman" w:hAnsi="Helvetica" w:cs="Calibri"/>
                <w:sz w:val="20"/>
                <w:szCs w:val="20"/>
                <w:lang w:val="en-US" w:eastAsia="nl-NL"/>
              </w:rPr>
              <w:t>370 (5.7)</w:t>
            </w:r>
          </w:p>
          <w:p w14:paraId="429F5D44" w14:textId="77777777" w:rsidR="000D44B8" w:rsidRPr="009824AD" w:rsidRDefault="000D44B8" w:rsidP="006E3A16">
            <w:pPr>
              <w:jc w:val="center"/>
              <w:rPr>
                <w:rFonts w:ascii="Helvetica" w:eastAsia="Times New Roman" w:hAnsi="Helvetica" w:cs="Calibri"/>
                <w:sz w:val="20"/>
                <w:szCs w:val="20"/>
                <w:lang w:val="en-US" w:eastAsia="nl-NL"/>
              </w:rPr>
            </w:pPr>
            <w:r w:rsidRPr="009824AD">
              <w:rPr>
                <w:rFonts w:ascii="Helvetica" w:eastAsia="Times New Roman" w:hAnsi="Helvetica" w:cs="Calibri"/>
                <w:sz w:val="20"/>
                <w:szCs w:val="20"/>
                <w:lang w:val="en-US" w:eastAsia="nl-NL"/>
              </w:rPr>
              <w:t>58 (0.9)</w:t>
            </w:r>
          </w:p>
        </w:tc>
        <w:tc>
          <w:tcPr>
            <w:tcW w:w="851" w:type="dxa"/>
          </w:tcPr>
          <w:p w14:paraId="76C9E11A" w14:textId="77777777" w:rsidR="000D44B8" w:rsidRPr="009824AD" w:rsidRDefault="000D44B8" w:rsidP="006E3A16">
            <w:pPr>
              <w:jc w:val="center"/>
              <w:rPr>
                <w:rFonts w:ascii="Helvetica" w:hAnsi="Helvetica" w:cs="Calibri"/>
                <w:b/>
                <w:bCs/>
                <w:color w:val="000000"/>
                <w:sz w:val="20"/>
                <w:szCs w:val="20"/>
                <w:lang w:val="en-US"/>
              </w:rPr>
            </w:pPr>
          </w:p>
          <w:p w14:paraId="39CD95C3" w14:textId="77777777" w:rsidR="000D44B8" w:rsidRPr="009824AD" w:rsidRDefault="000D44B8" w:rsidP="006E3A16">
            <w:pPr>
              <w:jc w:val="center"/>
              <w:rPr>
                <w:rFonts w:ascii="Helvetica" w:hAnsi="Helvetica" w:cs="Calibri"/>
                <w:b/>
                <w:bCs/>
                <w:color w:val="000000"/>
                <w:sz w:val="20"/>
                <w:szCs w:val="20"/>
                <w:lang w:val="en-US"/>
              </w:rPr>
            </w:pPr>
            <w:r w:rsidRPr="009824AD">
              <w:rPr>
                <w:rFonts w:ascii="Helvetica" w:hAnsi="Helvetica" w:cs="Calibri"/>
                <w:b/>
                <w:bCs/>
                <w:color w:val="000000"/>
                <w:sz w:val="20"/>
                <w:szCs w:val="20"/>
                <w:lang w:val="en-US"/>
              </w:rPr>
              <w:t>&lt;0.001</w:t>
            </w:r>
          </w:p>
          <w:p w14:paraId="1EF7224C" w14:textId="77777777" w:rsidR="000D44B8" w:rsidRPr="009824AD" w:rsidRDefault="000D44B8" w:rsidP="006E3A16">
            <w:pPr>
              <w:jc w:val="center"/>
              <w:rPr>
                <w:rFonts w:ascii="Helvetica" w:hAnsi="Helvetica" w:cs="Calibri"/>
                <w:b/>
                <w:bCs/>
                <w:color w:val="000000"/>
                <w:sz w:val="20"/>
                <w:szCs w:val="20"/>
                <w:lang w:val="en-US"/>
              </w:rPr>
            </w:pPr>
            <w:r w:rsidRPr="009824AD">
              <w:rPr>
                <w:rFonts w:ascii="Helvetica" w:hAnsi="Helvetica" w:cs="Calibri"/>
                <w:b/>
                <w:bCs/>
                <w:color w:val="000000"/>
                <w:sz w:val="20"/>
                <w:szCs w:val="20"/>
                <w:lang w:val="en-US"/>
              </w:rPr>
              <w:t>&lt;0.001</w:t>
            </w:r>
          </w:p>
          <w:p w14:paraId="09EB89E4" w14:textId="77777777" w:rsidR="000D44B8" w:rsidRPr="009824AD" w:rsidRDefault="000D44B8" w:rsidP="006E3A16">
            <w:pPr>
              <w:jc w:val="center"/>
              <w:rPr>
                <w:rFonts w:ascii="Helvetica" w:hAnsi="Helvetica" w:cs="Calibri"/>
                <w:b/>
                <w:bCs/>
                <w:color w:val="000000"/>
                <w:sz w:val="20"/>
                <w:szCs w:val="20"/>
                <w:lang w:val="en-US"/>
              </w:rPr>
            </w:pPr>
            <w:r w:rsidRPr="009824AD">
              <w:rPr>
                <w:rFonts w:ascii="Helvetica" w:hAnsi="Helvetica" w:cs="Calibri"/>
                <w:b/>
                <w:bCs/>
                <w:color w:val="000000"/>
                <w:sz w:val="20"/>
                <w:szCs w:val="20"/>
                <w:lang w:val="en-US"/>
              </w:rPr>
              <w:t>&lt;0.001</w:t>
            </w:r>
          </w:p>
          <w:p w14:paraId="2C159FDC" w14:textId="77777777" w:rsidR="000D44B8" w:rsidRPr="009824AD" w:rsidRDefault="000D44B8" w:rsidP="006E3A16">
            <w:pPr>
              <w:jc w:val="center"/>
              <w:rPr>
                <w:rFonts w:ascii="Helvetica" w:hAnsi="Helvetica" w:cs="Calibri"/>
                <w:b/>
                <w:bCs/>
                <w:color w:val="000000"/>
                <w:sz w:val="20"/>
                <w:szCs w:val="20"/>
                <w:lang w:val="en-US"/>
              </w:rPr>
            </w:pPr>
            <w:r w:rsidRPr="009824AD">
              <w:rPr>
                <w:rFonts w:ascii="Helvetica" w:hAnsi="Helvetica" w:cs="Calibri"/>
                <w:b/>
                <w:bCs/>
                <w:color w:val="000000"/>
                <w:sz w:val="20"/>
                <w:szCs w:val="20"/>
                <w:lang w:val="en-US"/>
              </w:rPr>
              <w:t>&lt;0.001</w:t>
            </w:r>
          </w:p>
        </w:tc>
        <w:tc>
          <w:tcPr>
            <w:tcW w:w="708" w:type="dxa"/>
            <w:tcBorders>
              <w:right w:val="single" w:sz="4" w:space="0" w:color="auto"/>
            </w:tcBorders>
          </w:tcPr>
          <w:p w14:paraId="54A27EF5" w14:textId="77777777" w:rsidR="000D44B8" w:rsidRPr="009824AD" w:rsidRDefault="000D44B8" w:rsidP="006E3A16">
            <w:pPr>
              <w:jc w:val="center"/>
              <w:rPr>
                <w:rFonts w:ascii="Helvetica" w:hAnsi="Helvetica" w:cs="Calibri"/>
                <w:color w:val="000000"/>
                <w:sz w:val="20"/>
                <w:szCs w:val="20"/>
                <w:lang w:val="en-US"/>
              </w:rPr>
            </w:pPr>
          </w:p>
        </w:tc>
        <w:tc>
          <w:tcPr>
            <w:tcW w:w="1843" w:type="dxa"/>
            <w:tcBorders>
              <w:left w:val="single" w:sz="4" w:space="0" w:color="auto"/>
            </w:tcBorders>
          </w:tcPr>
          <w:p w14:paraId="78ED5424" w14:textId="77777777" w:rsidR="000D44B8" w:rsidRPr="009824AD" w:rsidRDefault="000D44B8" w:rsidP="006E3A16">
            <w:pPr>
              <w:jc w:val="center"/>
              <w:rPr>
                <w:rFonts w:ascii="Helvetica" w:eastAsia="Times New Roman" w:hAnsi="Helvetica" w:cs="Calibri"/>
                <w:color w:val="000000" w:themeColor="text1"/>
                <w:sz w:val="20"/>
                <w:szCs w:val="20"/>
                <w:lang w:val="en-US" w:eastAsia="nl-NL"/>
              </w:rPr>
            </w:pPr>
          </w:p>
          <w:p w14:paraId="43C1F2CC" w14:textId="77777777" w:rsidR="000D44B8" w:rsidRPr="009824AD" w:rsidRDefault="000D44B8" w:rsidP="006E3A16">
            <w:pPr>
              <w:jc w:val="center"/>
              <w:rPr>
                <w:rFonts w:ascii="Helvetica" w:eastAsia="Times New Roman" w:hAnsi="Helvetica" w:cs="Calibri"/>
                <w:color w:val="000000" w:themeColor="text1"/>
                <w:sz w:val="20"/>
                <w:szCs w:val="20"/>
                <w:lang w:val="en-US" w:eastAsia="nl-NL"/>
              </w:rPr>
            </w:pPr>
            <w:r w:rsidRPr="009824AD">
              <w:rPr>
                <w:rFonts w:ascii="Helvetica" w:eastAsia="Times New Roman" w:hAnsi="Helvetica" w:cs="Calibri"/>
                <w:color w:val="000000" w:themeColor="text1"/>
                <w:sz w:val="20"/>
                <w:szCs w:val="20"/>
                <w:lang w:val="en-US" w:eastAsia="nl-NL"/>
              </w:rPr>
              <w:t>121 (3.4)</w:t>
            </w:r>
          </w:p>
          <w:p w14:paraId="028C508F" w14:textId="77777777" w:rsidR="000D44B8" w:rsidRPr="009824AD" w:rsidRDefault="000D44B8" w:rsidP="006E3A16">
            <w:pPr>
              <w:jc w:val="center"/>
              <w:rPr>
                <w:rFonts w:ascii="Helvetica" w:eastAsia="Times New Roman" w:hAnsi="Helvetica" w:cs="Calibri"/>
                <w:color w:val="000000" w:themeColor="text1"/>
                <w:sz w:val="20"/>
                <w:szCs w:val="20"/>
                <w:lang w:val="en-US" w:eastAsia="nl-NL"/>
              </w:rPr>
            </w:pPr>
            <w:r w:rsidRPr="009824AD">
              <w:rPr>
                <w:rFonts w:ascii="Helvetica" w:eastAsia="Times New Roman" w:hAnsi="Helvetica" w:cs="Calibri"/>
                <w:color w:val="000000" w:themeColor="text1"/>
                <w:sz w:val="20"/>
                <w:szCs w:val="20"/>
                <w:lang w:val="en-US" w:eastAsia="nl-NL"/>
              </w:rPr>
              <w:t>23 (0.7)</w:t>
            </w:r>
          </w:p>
          <w:p w14:paraId="5BFB2642" w14:textId="77777777" w:rsidR="000D44B8" w:rsidRPr="009824AD" w:rsidRDefault="000D44B8" w:rsidP="006E3A16">
            <w:pPr>
              <w:jc w:val="center"/>
              <w:rPr>
                <w:rFonts w:ascii="Helvetica" w:eastAsia="Times New Roman" w:hAnsi="Helvetica" w:cs="Calibri"/>
                <w:color w:val="000000" w:themeColor="text1"/>
                <w:sz w:val="20"/>
                <w:szCs w:val="20"/>
                <w:lang w:val="en-US" w:eastAsia="nl-NL"/>
              </w:rPr>
            </w:pPr>
            <w:r w:rsidRPr="009824AD">
              <w:rPr>
                <w:rFonts w:ascii="Helvetica" w:eastAsia="Times New Roman" w:hAnsi="Helvetica" w:cs="Calibri"/>
                <w:color w:val="000000" w:themeColor="text1"/>
                <w:sz w:val="20"/>
                <w:szCs w:val="20"/>
                <w:lang w:val="en-US" w:eastAsia="nl-NL"/>
              </w:rPr>
              <w:t>68 (2.0)</w:t>
            </w:r>
          </w:p>
          <w:p w14:paraId="4CF7A78A" w14:textId="77777777" w:rsidR="000D44B8" w:rsidRPr="009824AD" w:rsidRDefault="000D44B8" w:rsidP="006E3A16">
            <w:pPr>
              <w:jc w:val="center"/>
              <w:rPr>
                <w:rFonts w:ascii="Helvetica" w:eastAsia="Times New Roman" w:hAnsi="Helvetica" w:cs="Calibri"/>
                <w:color w:val="000000" w:themeColor="text1"/>
                <w:sz w:val="20"/>
                <w:szCs w:val="20"/>
                <w:lang w:val="en-US" w:eastAsia="nl-NL"/>
              </w:rPr>
            </w:pPr>
            <w:r w:rsidRPr="009824AD">
              <w:rPr>
                <w:rFonts w:ascii="Helvetica" w:eastAsia="Times New Roman" w:hAnsi="Helvetica" w:cs="Calibri"/>
                <w:color w:val="000000" w:themeColor="text1"/>
                <w:sz w:val="20"/>
                <w:szCs w:val="20"/>
                <w:lang w:val="en-US" w:eastAsia="nl-NL"/>
              </w:rPr>
              <w:t>22 (0.6)</w:t>
            </w:r>
          </w:p>
        </w:tc>
        <w:tc>
          <w:tcPr>
            <w:tcW w:w="1843" w:type="dxa"/>
          </w:tcPr>
          <w:p w14:paraId="53E349C0" w14:textId="77777777" w:rsidR="000D44B8" w:rsidRPr="009824AD" w:rsidRDefault="000D44B8" w:rsidP="006E3A16">
            <w:pPr>
              <w:jc w:val="center"/>
              <w:rPr>
                <w:rFonts w:ascii="Helvetica" w:hAnsi="Helvetica" w:cs="Calibri"/>
                <w:color w:val="000000" w:themeColor="text1"/>
                <w:sz w:val="20"/>
                <w:szCs w:val="20"/>
                <w:lang w:val="en-US"/>
              </w:rPr>
            </w:pPr>
          </w:p>
          <w:p w14:paraId="519124D0" w14:textId="77777777" w:rsidR="000D44B8" w:rsidRPr="009824AD" w:rsidRDefault="000D44B8" w:rsidP="006E3A16">
            <w:pPr>
              <w:jc w:val="center"/>
              <w:rPr>
                <w:rFonts w:ascii="Helvetica" w:eastAsia="Times New Roman" w:hAnsi="Helvetica" w:cs="Calibri"/>
                <w:color w:val="000000" w:themeColor="text1"/>
                <w:sz w:val="20"/>
                <w:szCs w:val="20"/>
                <w:lang w:val="en-US" w:eastAsia="nl-NL"/>
              </w:rPr>
            </w:pPr>
            <w:r w:rsidRPr="009824AD">
              <w:rPr>
                <w:rFonts w:ascii="Helvetica" w:eastAsia="Times New Roman" w:hAnsi="Helvetica" w:cs="Calibri"/>
                <w:color w:val="000000" w:themeColor="text1"/>
                <w:sz w:val="20"/>
                <w:szCs w:val="20"/>
                <w:lang w:val="en-US" w:eastAsia="nl-NL"/>
              </w:rPr>
              <w:t>284 (8.8)</w:t>
            </w:r>
          </w:p>
          <w:p w14:paraId="483E2624" w14:textId="77777777" w:rsidR="000D44B8" w:rsidRPr="009824AD" w:rsidRDefault="000D44B8" w:rsidP="006E3A16">
            <w:pPr>
              <w:jc w:val="center"/>
              <w:rPr>
                <w:rFonts w:ascii="Helvetica" w:eastAsia="Times New Roman" w:hAnsi="Helvetica" w:cs="Calibri"/>
                <w:color w:val="000000" w:themeColor="text1"/>
                <w:sz w:val="20"/>
                <w:szCs w:val="20"/>
                <w:lang w:val="en-US" w:eastAsia="nl-NL"/>
              </w:rPr>
            </w:pPr>
            <w:r w:rsidRPr="009824AD">
              <w:rPr>
                <w:rFonts w:ascii="Helvetica" w:eastAsia="Times New Roman" w:hAnsi="Helvetica" w:cs="Calibri"/>
                <w:color w:val="000000" w:themeColor="text1"/>
                <w:sz w:val="20"/>
                <w:szCs w:val="20"/>
                <w:lang w:val="en-US" w:eastAsia="nl-NL"/>
              </w:rPr>
              <w:t>55 (1.7)</w:t>
            </w:r>
          </w:p>
          <w:p w14:paraId="134A001C" w14:textId="77777777" w:rsidR="000D44B8" w:rsidRPr="009824AD" w:rsidRDefault="000D44B8" w:rsidP="006E3A16">
            <w:pPr>
              <w:jc w:val="center"/>
              <w:rPr>
                <w:rFonts w:ascii="Helvetica" w:eastAsia="Times New Roman" w:hAnsi="Helvetica" w:cs="Calibri"/>
                <w:color w:val="000000" w:themeColor="text1"/>
                <w:sz w:val="20"/>
                <w:szCs w:val="20"/>
                <w:lang w:val="en-US" w:eastAsia="nl-NL"/>
              </w:rPr>
            </w:pPr>
            <w:r w:rsidRPr="009824AD">
              <w:rPr>
                <w:rFonts w:ascii="Helvetica" w:eastAsia="Times New Roman" w:hAnsi="Helvetica" w:cs="Calibri"/>
                <w:color w:val="000000" w:themeColor="text1"/>
                <w:sz w:val="20"/>
                <w:szCs w:val="20"/>
                <w:lang w:val="en-US" w:eastAsia="nl-NL"/>
              </w:rPr>
              <w:t>172 (5.3)</w:t>
            </w:r>
          </w:p>
          <w:p w14:paraId="18F2DB29" w14:textId="77777777" w:rsidR="000D44B8" w:rsidRPr="009824AD" w:rsidRDefault="000D44B8" w:rsidP="006E3A16">
            <w:pPr>
              <w:jc w:val="center"/>
              <w:rPr>
                <w:rFonts w:ascii="Helvetica" w:hAnsi="Helvetica" w:cs="Calibri"/>
                <w:color w:val="000000" w:themeColor="text1"/>
                <w:sz w:val="20"/>
                <w:szCs w:val="20"/>
                <w:lang w:val="en-US"/>
              </w:rPr>
            </w:pPr>
            <w:r w:rsidRPr="009824AD">
              <w:rPr>
                <w:rFonts w:ascii="Helvetica" w:eastAsia="Times New Roman" w:hAnsi="Helvetica" w:cs="Calibri"/>
                <w:color w:val="000000" w:themeColor="text1"/>
                <w:sz w:val="20"/>
                <w:szCs w:val="20"/>
                <w:lang w:val="en-US" w:eastAsia="nl-NL"/>
              </w:rPr>
              <w:t>23 (0.7)</w:t>
            </w:r>
          </w:p>
        </w:tc>
        <w:tc>
          <w:tcPr>
            <w:tcW w:w="850" w:type="dxa"/>
          </w:tcPr>
          <w:p w14:paraId="37CE7515" w14:textId="77777777" w:rsidR="000D44B8" w:rsidRPr="009824AD" w:rsidRDefault="000D44B8" w:rsidP="006E3A16">
            <w:pPr>
              <w:jc w:val="center"/>
              <w:rPr>
                <w:rFonts w:ascii="Helvetica" w:hAnsi="Helvetica" w:cs="Calibri"/>
                <w:b/>
                <w:bCs/>
                <w:color w:val="000000" w:themeColor="text1"/>
                <w:sz w:val="20"/>
                <w:szCs w:val="20"/>
                <w:lang w:val="en-US"/>
              </w:rPr>
            </w:pPr>
          </w:p>
          <w:p w14:paraId="066E8185" w14:textId="77777777" w:rsidR="000D44B8" w:rsidRPr="009824AD" w:rsidRDefault="000D44B8" w:rsidP="006E3A16">
            <w:pPr>
              <w:jc w:val="center"/>
              <w:rPr>
                <w:rFonts w:ascii="Helvetica" w:hAnsi="Helvetica" w:cs="Calibri"/>
                <w:b/>
                <w:bCs/>
                <w:color w:val="000000" w:themeColor="text1"/>
                <w:sz w:val="20"/>
                <w:szCs w:val="20"/>
                <w:lang w:val="en-US"/>
              </w:rPr>
            </w:pPr>
            <w:r w:rsidRPr="009824AD">
              <w:rPr>
                <w:rFonts w:ascii="Helvetica" w:hAnsi="Helvetica" w:cs="Calibri"/>
                <w:b/>
                <w:bCs/>
                <w:color w:val="000000" w:themeColor="text1"/>
                <w:sz w:val="20"/>
                <w:szCs w:val="20"/>
                <w:lang w:val="en-US"/>
              </w:rPr>
              <w:t>&lt;0.001</w:t>
            </w:r>
          </w:p>
          <w:p w14:paraId="586B8B74" w14:textId="77777777" w:rsidR="000D44B8" w:rsidRPr="009824AD" w:rsidRDefault="000D44B8" w:rsidP="006E3A16">
            <w:pPr>
              <w:jc w:val="center"/>
              <w:rPr>
                <w:rFonts w:ascii="Helvetica" w:hAnsi="Helvetica" w:cs="Calibri"/>
                <w:b/>
                <w:bCs/>
                <w:color w:val="000000" w:themeColor="text1"/>
                <w:sz w:val="20"/>
                <w:szCs w:val="20"/>
                <w:lang w:val="en-US"/>
              </w:rPr>
            </w:pPr>
            <w:r w:rsidRPr="009824AD">
              <w:rPr>
                <w:rFonts w:ascii="Helvetica" w:hAnsi="Helvetica" w:cs="Calibri"/>
                <w:b/>
                <w:bCs/>
                <w:color w:val="000000" w:themeColor="text1"/>
                <w:sz w:val="20"/>
                <w:szCs w:val="20"/>
                <w:lang w:val="en-US"/>
              </w:rPr>
              <w:t>&lt;0.001</w:t>
            </w:r>
          </w:p>
          <w:p w14:paraId="30D1CD90" w14:textId="77777777" w:rsidR="000D44B8" w:rsidRPr="009824AD" w:rsidRDefault="000D44B8" w:rsidP="006E3A16">
            <w:pPr>
              <w:jc w:val="center"/>
              <w:rPr>
                <w:rFonts w:ascii="Helvetica" w:hAnsi="Helvetica" w:cs="Calibri"/>
                <w:b/>
                <w:bCs/>
                <w:color w:val="000000" w:themeColor="text1"/>
                <w:sz w:val="20"/>
                <w:szCs w:val="20"/>
                <w:lang w:val="en-US"/>
              </w:rPr>
            </w:pPr>
            <w:r w:rsidRPr="009824AD">
              <w:rPr>
                <w:rFonts w:ascii="Helvetica" w:hAnsi="Helvetica" w:cs="Calibri"/>
                <w:b/>
                <w:bCs/>
                <w:color w:val="000000" w:themeColor="text1"/>
                <w:sz w:val="20"/>
                <w:szCs w:val="20"/>
                <w:lang w:val="en-US"/>
              </w:rPr>
              <w:t>&lt;0.001</w:t>
            </w:r>
          </w:p>
          <w:p w14:paraId="7BC7E0C7" w14:textId="77777777" w:rsidR="000D44B8" w:rsidRPr="009824AD" w:rsidRDefault="000D44B8" w:rsidP="006E3A16">
            <w:pPr>
              <w:jc w:val="center"/>
              <w:rPr>
                <w:rFonts w:ascii="Helvetica" w:hAnsi="Helvetica" w:cs="Calibri"/>
                <w:color w:val="000000" w:themeColor="text1"/>
                <w:sz w:val="20"/>
                <w:szCs w:val="20"/>
                <w:lang w:val="en-US"/>
              </w:rPr>
            </w:pPr>
            <w:r w:rsidRPr="009824AD">
              <w:rPr>
                <w:rFonts w:ascii="Helvetica" w:hAnsi="Helvetica" w:cs="Calibri"/>
                <w:color w:val="000000" w:themeColor="text1"/>
                <w:sz w:val="20"/>
                <w:szCs w:val="20"/>
                <w:lang w:val="en-US"/>
              </w:rPr>
              <w:t>0.696</w:t>
            </w:r>
          </w:p>
        </w:tc>
        <w:tc>
          <w:tcPr>
            <w:tcW w:w="709" w:type="dxa"/>
          </w:tcPr>
          <w:p w14:paraId="3E073FD5" w14:textId="77777777" w:rsidR="000D44B8" w:rsidRPr="009824AD" w:rsidRDefault="000D44B8" w:rsidP="006E3A16">
            <w:pPr>
              <w:jc w:val="center"/>
              <w:rPr>
                <w:rFonts w:ascii="Helvetica" w:hAnsi="Helvetica" w:cs="Calibri"/>
                <w:b/>
                <w:bCs/>
                <w:color w:val="000000" w:themeColor="text1"/>
                <w:sz w:val="20"/>
                <w:szCs w:val="20"/>
                <w:lang w:val="en-US"/>
              </w:rPr>
            </w:pPr>
          </w:p>
        </w:tc>
      </w:tr>
    </w:tbl>
    <w:p w14:paraId="2E7C7600" w14:textId="77777777" w:rsidR="000D44B8" w:rsidRPr="009824AD" w:rsidRDefault="000D44B8" w:rsidP="000D44B8">
      <w:pPr>
        <w:rPr>
          <w:rFonts w:ascii="Helvetica" w:hAnsi="Helvetica" w:cs="Calibri"/>
          <w:sz w:val="20"/>
          <w:szCs w:val="20"/>
          <w:lang w:val="en-US"/>
        </w:rPr>
      </w:pPr>
    </w:p>
    <w:p w14:paraId="77C79E10" w14:textId="5F6B875F" w:rsidR="000D44B8" w:rsidRPr="009824AD" w:rsidRDefault="000D44B8" w:rsidP="000D44B8">
      <w:pPr>
        <w:rPr>
          <w:rFonts w:ascii="Helvetica" w:hAnsi="Helvetica" w:cs="Calibri"/>
          <w:color w:val="000000" w:themeColor="text1"/>
          <w:sz w:val="20"/>
          <w:szCs w:val="20"/>
          <w:lang w:val="en-US"/>
        </w:rPr>
      </w:pPr>
      <w:r w:rsidRPr="009824AD">
        <w:rPr>
          <w:rFonts w:ascii="Helvetica" w:hAnsi="Helvetica" w:cs="Calibri"/>
          <w:color w:val="000000" w:themeColor="text1"/>
          <w:sz w:val="20"/>
          <w:szCs w:val="20"/>
          <w:lang w:val="en-US"/>
        </w:rPr>
        <w:t xml:space="preserve">Values in parentheses are percentages unless mentioned otherwise. </w:t>
      </w:r>
      <w:r w:rsidRPr="009824AD">
        <w:rPr>
          <w:rFonts w:ascii="Helvetica" w:hAnsi="Helvetica" w:cs="Calibri"/>
          <w:sz w:val="20"/>
          <w:szCs w:val="20"/>
          <w:lang w:val="en-US"/>
        </w:rPr>
        <w:t xml:space="preserve">Percentages may not add up due to rounding and missing data. SMD = Standardized Mean Difference, </w:t>
      </w:r>
      <w:r w:rsidR="00493F8D" w:rsidRPr="009824AD">
        <w:rPr>
          <w:rFonts w:ascii="Helvetica" w:hAnsi="Helvetica" w:cs="Calibri"/>
          <w:sz w:val="20"/>
          <w:szCs w:val="20"/>
          <w:lang w:val="en-US"/>
        </w:rPr>
        <w:t>IQR</w:t>
      </w:r>
      <w:r w:rsidRPr="009824AD">
        <w:rPr>
          <w:rFonts w:ascii="Helvetica" w:hAnsi="Helvetica" w:cs="Calibri"/>
          <w:sz w:val="20"/>
          <w:szCs w:val="20"/>
          <w:lang w:val="en-US"/>
        </w:rPr>
        <w:t xml:space="preserve"> = inter quartile range, BMI = body mass index, ASA = American Society of Anesthesiology, CRLM =  colorectal liver metastasis, HCC = hepatocellular carcinoma</w:t>
      </w:r>
    </w:p>
    <w:p w14:paraId="4007B144" w14:textId="77777777" w:rsidR="000D44B8" w:rsidRPr="009824AD" w:rsidRDefault="000D44B8" w:rsidP="000D44B8">
      <w:pPr>
        <w:rPr>
          <w:rFonts w:ascii="Helvetica" w:hAnsi="Helvetica" w:cs="Calibri"/>
          <w:sz w:val="20"/>
          <w:szCs w:val="20"/>
          <w:lang w:val="en-US"/>
        </w:rPr>
      </w:pPr>
    </w:p>
    <w:p w14:paraId="02285573" w14:textId="77777777" w:rsidR="000D44B8" w:rsidRPr="009824AD" w:rsidRDefault="000D44B8" w:rsidP="000D44B8">
      <w:pPr>
        <w:rPr>
          <w:rFonts w:ascii="Helvetica" w:hAnsi="Helvetica" w:cs="Calibri"/>
          <w:sz w:val="20"/>
          <w:szCs w:val="20"/>
          <w:lang w:val="en-US"/>
        </w:rPr>
      </w:pPr>
    </w:p>
    <w:p w14:paraId="6062C4CA" w14:textId="77777777" w:rsidR="000D44B8" w:rsidRPr="009824AD" w:rsidRDefault="000D44B8" w:rsidP="000D44B8">
      <w:pPr>
        <w:rPr>
          <w:rFonts w:ascii="Helvetica" w:hAnsi="Helvetica" w:cs="Calibri"/>
          <w:sz w:val="20"/>
          <w:szCs w:val="20"/>
          <w:lang w:val="en-US"/>
        </w:rPr>
      </w:pPr>
    </w:p>
    <w:p w14:paraId="48245313" w14:textId="77777777" w:rsidR="000D44B8" w:rsidRPr="009824AD" w:rsidRDefault="000D44B8" w:rsidP="000D44B8">
      <w:pPr>
        <w:rPr>
          <w:rFonts w:ascii="Helvetica" w:hAnsi="Helvetica" w:cs="Calibri"/>
          <w:b/>
          <w:bCs/>
          <w:color w:val="000000" w:themeColor="text1"/>
          <w:sz w:val="20"/>
          <w:szCs w:val="20"/>
          <w:lang w:val="en-US"/>
        </w:rPr>
        <w:sectPr w:rsidR="000D44B8" w:rsidRPr="009824AD" w:rsidSect="00340B9E">
          <w:pgSz w:w="16840" w:h="11900" w:orient="landscape"/>
          <w:pgMar w:top="1417" w:right="1417" w:bottom="1417" w:left="1417" w:header="708" w:footer="708" w:gutter="0"/>
          <w:cols w:space="708"/>
          <w:docGrid w:linePitch="360"/>
        </w:sectPr>
      </w:pPr>
    </w:p>
    <w:p w14:paraId="3493DAA4" w14:textId="77777777" w:rsidR="000D44B8" w:rsidRPr="009824AD" w:rsidRDefault="000D44B8" w:rsidP="000D44B8">
      <w:pPr>
        <w:rPr>
          <w:rFonts w:ascii="Helvetica" w:hAnsi="Helvetica" w:cs="Calibri"/>
          <w:color w:val="000000" w:themeColor="text1"/>
          <w:sz w:val="20"/>
          <w:szCs w:val="20"/>
          <w:lang w:val="en-US"/>
        </w:rPr>
      </w:pPr>
      <w:r w:rsidRPr="009824AD">
        <w:rPr>
          <w:rFonts w:ascii="Helvetica" w:hAnsi="Helvetica" w:cs="Calibri"/>
          <w:b/>
          <w:bCs/>
          <w:color w:val="000000" w:themeColor="text1"/>
          <w:sz w:val="20"/>
          <w:szCs w:val="20"/>
          <w:lang w:val="en-US"/>
        </w:rPr>
        <w:lastRenderedPageBreak/>
        <w:t>Table 2.</w:t>
      </w:r>
      <w:r w:rsidRPr="009824AD">
        <w:rPr>
          <w:rFonts w:ascii="Helvetica" w:hAnsi="Helvetica" w:cs="Calibri"/>
          <w:color w:val="000000" w:themeColor="text1"/>
          <w:sz w:val="20"/>
          <w:szCs w:val="20"/>
          <w:lang w:val="en-US"/>
        </w:rPr>
        <w:t xml:space="preserve"> Baseline and procedure characteristics of patients with clinically relevant postoperative bile leakage (CR-POBL) following laparoscopic and open liver surgery, after propensity score matching</w:t>
      </w:r>
    </w:p>
    <w:p w14:paraId="27379E25" w14:textId="77777777" w:rsidR="000D44B8" w:rsidRPr="009824AD" w:rsidRDefault="000D44B8" w:rsidP="000D44B8">
      <w:pPr>
        <w:rPr>
          <w:rFonts w:ascii="Helvetica" w:hAnsi="Helvetica" w:cs="Calibri"/>
          <w:color w:val="000000" w:themeColor="text1"/>
          <w:sz w:val="20"/>
          <w:szCs w:val="20"/>
          <w:lang w:val="en-US"/>
        </w:rPr>
      </w:pPr>
    </w:p>
    <w:tbl>
      <w:tblPr>
        <w:tblStyle w:val="Tabelraster"/>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1985"/>
        <w:gridCol w:w="1701"/>
        <w:gridCol w:w="992"/>
      </w:tblGrid>
      <w:tr w:rsidR="000D44B8" w:rsidRPr="009824AD" w14:paraId="1827CA7E" w14:textId="77777777" w:rsidTr="006E3A16">
        <w:tc>
          <w:tcPr>
            <w:tcW w:w="4111" w:type="dxa"/>
            <w:tcBorders>
              <w:bottom w:val="single" w:sz="4" w:space="0" w:color="auto"/>
              <w:right w:val="single" w:sz="4" w:space="0" w:color="auto"/>
            </w:tcBorders>
            <w:vAlign w:val="center"/>
          </w:tcPr>
          <w:p w14:paraId="1BBABFBE" w14:textId="77777777" w:rsidR="000D44B8" w:rsidRPr="009824AD" w:rsidRDefault="000D44B8" w:rsidP="006E3A16">
            <w:pPr>
              <w:ind w:left="170"/>
              <w:rPr>
                <w:rFonts w:ascii="Helvetica" w:eastAsia="Times New Roman" w:hAnsi="Helvetica" w:cs="Calibri"/>
                <w:b/>
                <w:sz w:val="20"/>
                <w:szCs w:val="20"/>
                <w:lang w:val="en-US" w:eastAsia="nl-NL"/>
              </w:rPr>
            </w:pPr>
          </w:p>
        </w:tc>
        <w:tc>
          <w:tcPr>
            <w:tcW w:w="1985" w:type="dxa"/>
            <w:tcBorders>
              <w:left w:val="single" w:sz="4" w:space="0" w:color="auto"/>
              <w:bottom w:val="single" w:sz="4" w:space="0" w:color="auto"/>
              <w:right w:val="single" w:sz="4" w:space="0" w:color="auto"/>
            </w:tcBorders>
            <w:vAlign w:val="center"/>
          </w:tcPr>
          <w:p w14:paraId="665AAEBE" w14:textId="77777777" w:rsidR="000D44B8" w:rsidRPr="009824AD" w:rsidRDefault="000D44B8" w:rsidP="006E3A16">
            <w:pPr>
              <w:jc w:val="center"/>
              <w:rPr>
                <w:rFonts w:ascii="Helvetica" w:eastAsia="Times New Roman" w:hAnsi="Helvetica" w:cs="Calibri"/>
                <w:b/>
                <w:bCs/>
                <w:sz w:val="20"/>
                <w:szCs w:val="20"/>
                <w:lang w:val="en-US" w:eastAsia="nl-NL"/>
              </w:rPr>
            </w:pPr>
            <w:r w:rsidRPr="009824AD">
              <w:rPr>
                <w:rFonts w:ascii="Helvetica" w:eastAsia="Times New Roman" w:hAnsi="Helvetica" w:cs="Calibri"/>
                <w:b/>
                <w:bCs/>
                <w:sz w:val="20"/>
                <w:szCs w:val="20"/>
                <w:lang w:val="en-US" w:eastAsia="nl-NL"/>
              </w:rPr>
              <w:t>CR-POBL after laparoscopic surgery</w:t>
            </w:r>
          </w:p>
          <w:p w14:paraId="3FEE9D3E" w14:textId="77777777" w:rsidR="000D44B8" w:rsidRPr="009824AD" w:rsidRDefault="000D44B8" w:rsidP="006E3A16">
            <w:pPr>
              <w:jc w:val="center"/>
              <w:rPr>
                <w:rFonts w:ascii="Helvetica" w:eastAsia="Times New Roman" w:hAnsi="Helvetica" w:cs="Calibri"/>
                <w:b/>
                <w:bCs/>
                <w:sz w:val="20"/>
                <w:szCs w:val="20"/>
                <w:lang w:val="en-US" w:eastAsia="nl-NL"/>
              </w:rPr>
            </w:pPr>
            <w:r w:rsidRPr="009824AD">
              <w:rPr>
                <w:rFonts w:ascii="Helvetica" w:eastAsia="Times New Roman" w:hAnsi="Helvetica" w:cs="Calibri"/>
                <w:b/>
                <w:bCs/>
                <w:sz w:val="20"/>
                <w:szCs w:val="20"/>
                <w:lang w:val="en-US" w:eastAsia="nl-NL"/>
              </w:rPr>
              <w:t>(N = 90)</w:t>
            </w:r>
          </w:p>
        </w:tc>
        <w:tc>
          <w:tcPr>
            <w:tcW w:w="1701" w:type="dxa"/>
            <w:tcBorders>
              <w:left w:val="single" w:sz="4" w:space="0" w:color="auto"/>
              <w:bottom w:val="single" w:sz="4" w:space="0" w:color="auto"/>
              <w:right w:val="single" w:sz="4" w:space="0" w:color="auto"/>
            </w:tcBorders>
            <w:vAlign w:val="center"/>
          </w:tcPr>
          <w:p w14:paraId="401334C8" w14:textId="77777777" w:rsidR="000D44B8" w:rsidRPr="009824AD" w:rsidRDefault="000D44B8" w:rsidP="006E3A16">
            <w:pPr>
              <w:jc w:val="center"/>
              <w:rPr>
                <w:rFonts w:ascii="Helvetica" w:eastAsia="Times New Roman" w:hAnsi="Helvetica" w:cs="Calibri"/>
                <w:b/>
                <w:bCs/>
                <w:sz w:val="20"/>
                <w:szCs w:val="20"/>
                <w:lang w:val="en-US" w:eastAsia="nl-NL"/>
              </w:rPr>
            </w:pPr>
            <w:r w:rsidRPr="009824AD">
              <w:rPr>
                <w:rFonts w:ascii="Helvetica" w:eastAsia="Times New Roman" w:hAnsi="Helvetica" w:cs="Calibri"/>
                <w:b/>
                <w:bCs/>
                <w:sz w:val="20"/>
                <w:szCs w:val="20"/>
                <w:lang w:val="en-US" w:eastAsia="nl-NL"/>
              </w:rPr>
              <w:t>CR-POBL after open surgery</w:t>
            </w:r>
          </w:p>
          <w:p w14:paraId="3BDCADA8" w14:textId="77777777" w:rsidR="000D44B8" w:rsidRPr="009824AD" w:rsidRDefault="000D44B8" w:rsidP="006E3A16">
            <w:pPr>
              <w:jc w:val="center"/>
              <w:rPr>
                <w:rFonts w:ascii="Helvetica" w:eastAsia="Times New Roman" w:hAnsi="Helvetica" w:cs="Calibri"/>
                <w:b/>
                <w:bCs/>
                <w:sz w:val="20"/>
                <w:szCs w:val="20"/>
                <w:lang w:val="en-US" w:eastAsia="nl-NL"/>
              </w:rPr>
            </w:pPr>
            <w:r w:rsidRPr="009824AD">
              <w:rPr>
                <w:rFonts w:ascii="Helvetica" w:eastAsia="Times New Roman" w:hAnsi="Helvetica" w:cs="Calibri"/>
                <w:b/>
                <w:bCs/>
                <w:sz w:val="20"/>
                <w:szCs w:val="20"/>
                <w:lang w:val="en-US" w:eastAsia="nl-NL"/>
              </w:rPr>
              <w:t xml:space="preserve"> (N = 195)</w:t>
            </w:r>
          </w:p>
        </w:tc>
        <w:tc>
          <w:tcPr>
            <w:tcW w:w="992" w:type="dxa"/>
            <w:tcBorders>
              <w:left w:val="single" w:sz="4" w:space="0" w:color="auto"/>
              <w:bottom w:val="single" w:sz="4" w:space="0" w:color="auto"/>
            </w:tcBorders>
          </w:tcPr>
          <w:p w14:paraId="1BFEC712" w14:textId="77777777" w:rsidR="000D44B8" w:rsidRPr="009824AD" w:rsidRDefault="000D44B8" w:rsidP="006E3A16">
            <w:pPr>
              <w:jc w:val="center"/>
              <w:rPr>
                <w:rFonts w:ascii="Helvetica" w:hAnsi="Helvetica" w:cs="Calibri"/>
                <w:b/>
                <w:bCs/>
                <w:i/>
                <w:iCs/>
                <w:sz w:val="20"/>
                <w:szCs w:val="20"/>
                <w:lang w:val="en-US"/>
              </w:rPr>
            </w:pPr>
            <w:r w:rsidRPr="009824AD">
              <w:rPr>
                <w:rFonts w:ascii="Helvetica" w:hAnsi="Helvetica" w:cs="Calibri"/>
                <w:b/>
                <w:bCs/>
                <w:i/>
                <w:iCs/>
                <w:sz w:val="20"/>
                <w:szCs w:val="20"/>
                <w:lang w:val="en-US"/>
              </w:rPr>
              <w:t>P</w:t>
            </w:r>
          </w:p>
        </w:tc>
      </w:tr>
      <w:tr w:rsidR="000D44B8" w:rsidRPr="009824AD" w14:paraId="5CA2A1E5" w14:textId="77777777" w:rsidTr="006E3A16">
        <w:tc>
          <w:tcPr>
            <w:tcW w:w="4111" w:type="dxa"/>
            <w:tcBorders>
              <w:top w:val="single" w:sz="4" w:space="0" w:color="auto"/>
              <w:right w:val="single" w:sz="4" w:space="0" w:color="auto"/>
            </w:tcBorders>
            <w:vAlign w:val="center"/>
          </w:tcPr>
          <w:p w14:paraId="49900C27" w14:textId="77777777" w:rsidR="000D44B8" w:rsidRPr="009824AD" w:rsidRDefault="000D44B8" w:rsidP="006E3A16">
            <w:pPr>
              <w:rPr>
                <w:rFonts w:ascii="Helvetica" w:eastAsia="Times New Roman" w:hAnsi="Helvetica" w:cs="Calibri"/>
                <w:b/>
                <w:sz w:val="20"/>
                <w:szCs w:val="20"/>
                <w:lang w:val="en-US" w:eastAsia="nl-NL"/>
              </w:rPr>
            </w:pPr>
            <w:r w:rsidRPr="009824AD">
              <w:rPr>
                <w:rFonts w:ascii="Helvetica" w:eastAsia="Times New Roman" w:hAnsi="Helvetica" w:cs="Calibri"/>
                <w:b/>
                <w:sz w:val="20"/>
                <w:szCs w:val="20"/>
                <w:lang w:val="en-US" w:eastAsia="nl-NL"/>
              </w:rPr>
              <w:t>Patient characteristics</w:t>
            </w:r>
          </w:p>
        </w:tc>
        <w:tc>
          <w:tcPr>
            <w:tcW w:w="1985" w:type="dxa"/>
            <w:tcBorders>
              <w:top w:val="single" w:sz="4" w:space="0" w:color="auto"/>
              <w:left w:val="single" w:sz="4" w:space="0" w:color="auto"/>
              <w:right w:val="single" w:sz="4" w:space="0" w:color="auto"/>
            </w:tcBorders>
            <w:vAlign w:val="center"/>
          </w:tcPr>
          <w:p w14:paraId="362F1FD7" w14:textId="77777777" w:rsidR="000D44B8" w:rsidRPr="009824AD" w:rsidRDefault="000D44B8" w:rsidP="006E3A16">
            <w:pPr>
              <w:jc w:val="center"/>
              <w:rPr>
                <w:rFonts w:ascii="Helvetica" w:eastAsia="Times New Roman" w:hAnsi="Helvetica" w:cs="Calibri"/>
                <w:b/>
                <w:bCs/>
                <w:sz w:val="20"/>
                <w:szCs w:val="20"/>
                <w:lang w:val="en-US" w:eastAsia="nl-NL"/>
              </w:rPr>
            </w:pPr>
          </w:p>
        </w:tc>
        <w:tc>
          <w:tcPr>
            <w:tcW w:w="1701" w:type="dxa"/>
            <w:tcBorders>
              <w:top w:val="single" w:sz="4" w:space="0" w:color="auto"/>
              <w:left w:val="single" w:sz="4" w:space="0" w:color="auto"/>
              <w:right w:val="single" w:sz="4" w:space="0" w:color="auto"/>
            </w:tcBorders>
            <w:vAlign w:val="center"/>
          </w:tcPr>
          <w:p w14:paraId="48E5559E" w14:textId="77777777" w:rsidR="000D44B8" w:rsidRPr="009824AD" w:rsidRDefault="000D44B8" w:rsidP="006E3A16">
            <w:pPr>
              <w:jc w:val="center"/>
              <w:rPr>
                <w:rFonts w:ascii="Helvetica" w:eastAsia="Times New Roman" w:hAnsi="Helvetica" w:cs="Calibri"/>
                <w:b/>
                <w:bCs/>
                <w:sz w:val="20"/>
                <w:szCs w:val="20"/>
                <w:lang w:val="en-US" w:eastAsia="nl-NL"/>
              </w:rPr>
            </w:pPr>
          </w:p>
        </w:tc>
        <w:tc>
          <w:tcPr>
            <w:tcW w:w="992" w:type="dxa"/>
            <w:tcBorders>
              <w:top w:val="single" w:sz="4" w:space="0" w:color="auto"/>
              <w:left w:val="single" w:sz="4" w:space="0" w:color="auto"/>
            </w:tcBorders>
          </w:tcPr>
          <w:p w14:paraId="2112786D" w14:textId="77777777" w:rsidR="000D44B8" w:rsidRPr="009824AD" w:rsidRDefault="000D44B8" w:rsidP="006E3A16">
            <w:pPr>
              <w:jc w:val="center"/>
              <w:rPr>
                <w:rFonts w:ascii="Helvetica" w:hAnsi="Helvetica" w:cs="Calibri"/>
                <w:sz w:val="20"/>
                <w:szCs w:val="20"/>
                <w:lang w:val="en-US"/>
              </w:rPr>
            </w:pPr>
          </w:p>
        </w:tc>
      </w:tr>
      <w:tr w:rsidR="000D44B8" w:rsidRPr="009824AD" w14:paraId="7886C782" w14:textId="77777777" w:rsidTr="006E3A16">
        <w:tc>
          <w:tcPr>
            <w:tcW w:w="4111" w:type="dxa"/>
            <w:tcBorders>
              <w:right w:val="single" w:sz="4" w:space="0" w:color="auto"/>
            </w:tcBorders>
            <w:vAlign w:val="center"/>
          </w:tcPr>
          <w:p w14:paraId="6629C626" w14:textId="01026339" w:rsidR="000D44B8" w:rsidRPr="009824AD" w:rsidRDefault="000D44B8" w:rsidP="006E3A16">
            <w:pPr>
              <w:ind w:left="170"/>
              <w:rPr>
                <w:rFonts w:ascii="Helvetica" w:eastAsia="Times New Roman" w:hAnsi="Helvetica" w:cs="Calibri"/>
                <w:sz w:val="20"/>
                <w:szCs w:val="20"/>
                <w:lang w:val="en-US" w:eastAsia="nl-NL"/>
              </w:rPr>
            </w:pPr>
            <w:r w:rsidRPr="009824AD">
              <w:rPr>
                <w:rFonts w:ascii="Helvetica" w:eastAsia="Times New Roman" w:hAnsi="Helvetica" w:cs="Calibri"/>
                <w:sz w:val="20"/>
                <w:szCs w:val="20"/>
                <w:lang w:val="en-US" w:eastAsia="nl-NL"/>
              </w:rPr>
              <w:t>Age, years, median (</w:t>
            </w:r>
            <w:r w:rsidR="00493F8D" w:rsidRPr="009824AD">
              <w:rPr>
                <w:rFonts w:ascii="Helvetica" w:eastAsia="Times New Roman" w:hAnsi="Helvetica" w:cs="Calibri"/>
                <w:sz w:val="20"/>
                <w:szCs w:val="20"/>
                <w:lang w:val="en-US" w:eastAsia="nl-NL"/>
              </w:rPr>
              <w:t>IQR</w:t>
            </w:r>
            <w:r w:rsidRPr="009824AD">
              <w:rPr>
                <w:rFonts w:ascii="Helvetica" w:eastAsia="Times New Roman" w:hAnsi="Helvetica" w:cs="Calibri"/>
                <w:sz w:val="20"/>
                <w:szCs w:val="20"/>
                <w:lang w:val="en-US" w:eastAsia="nl-NL"/>
              </w:rPr>
              <w:t>)</w:t>
            </w:r>
          </w:p>
        </w:tc>
        <w:tc>
          <w:tcPr>
            <w:tcW w:w="1985" w:type="dxa"/>
            <w:tcBorders>
              <w:left w:val="single" w:sz="4" w:space="0" w:color="auto"/>
              <w:right w:val="single" w:sz="4" w:space="0" w:color="auto"/>
            </w:tcBorders>
            <w:vAlign w:val="center"/>
          </w:tcPr>
          <w:p w14:paraId="6BA39896" w14:textId="77777777" w:rsidR="000D44B8" w:rsidRPr="009824AD" w:rsidRDefault="000D44B8" w:rsidP="006E3A16">
            <w:pPr>
              <w:autoSpaceDE w:val="0"/>
              <w:autoSpaceDN w:val="0"/>
              <w:adjustRightInd w:val="0"/>
              <w:jc w:val="center"/>
              <w:rPr>
                <w:rFonts w:ascii="Helvetica" w:hAnsi="Helvetica" w:cs="Calibri"/>
                <w:sz w:val="20"/>
                <w:szCs w:val="20"/>
                <w:lang w:val="en-US"/>
              </w:rPr>
            </w:pPr>
            <w:r w:rsidRPr="009824AD">
              <w:rPr>
                <w:rFonts w:ascii="Helvetica" w:hAnsi="Helvetica" w:cs="Calibri"/>
                <w:sz w:val="20"/>
                <w:szCs w:val="20"/>
                <w:lang w:val="en-US"/>
              </w:rPr>
              <w:t>65.5 (57.0 – 74.0)</w:t>
            </w:r>
          </w:p>
        </w:tc>
        <w:tc>
          <w:tcPr>
            <w:tcW w:w="1701" w:type="dxa"/>
            <w:tcBorders>
              <w:left w:val="single" w:sz="4" w:space="0" w:color="auto"/>
              <w:right w:val="single" w:sz="4" w:space="0" w:color="auto"/>
            </w:tcBorders>
            <w:vAlign w:val="center"/>
          </w:tcPr>
          <w:p w14:paraId="7E21AB33" w14:textId="77777777" w:rsidR="000D44B8" w:rsidRPr="009824AD" w:rsidRDefault="000D44B8" w:rsidP="006E3A16">
            <w:pPr>
              <w:autoSpaceDE w:val="0"/>
              <w:autoSpaceDN w:val="0"/>
              <w:adjustRightInd w:val="0"/>
              <w:jc w:val="center"/>
              <w:rPr>
                <w:rFonts w:ascii="Helvetica" w:hAnsi="Helvetica" w:cs="Calibri"/>
                <w:sz w:val="20"/>
                <w:szCs w:val="20"/>
                <w:lang w:val="en-US"/>
              </w:rPr>
            </w:pPr>
            <w:r w:rsidRPr="009824AD">
              <w:rPr>
                <w:rFonts w:ascii="Helvetica" w:hAnsi="Helvetica" w:cs="Calibri"/>
                <w:sz w:val="20"/>
                <w:szCs w:val="20"/>
                <w:lang w:val="en-US"/>
              </w:rPr>
              <w:t>65.0 (57.0 – 72.0)</w:t>
            </w:r>
          </w:p>
        </w:tc>
        <w:tc>
          <w:tcPr>
            <w:tcW w:w="992" w:type="dxa"/>
            <w:tcBorders>
              <w:left w:val="single" w:sz="4" w:space="0" w:color="auto"/>
            </w:tcBorders>
          </w:tcPr>
          <w:p w14:paraId="6CB1B557" w14:textId="77777777" w:rsidR="000D44B8" w:rsidRPr="009824AD" w:rsidRDefault="000D44B8" w:rsidP="006E3A16">
            <w:pPr>
              <w:tabs>
                <w:tab w:val="left" w:pos="310"/>
              </w:tabs>
              <w:jc w:val="center"/>
              <w:rPr>
                <w:rFonts w:ascii="Helvetica" w:eastAsia="Times New Roman" w:hAnsi="Helvetica" w:cs="Calibri"/>
                <w:sz w:val="20"/>
                <w:szCs w:val="20"/>
                <w:lang w:val="en-US" w:eastAsia="nl-NL"/>
              </w:rPr>
            </w:pPr>
            <w:r w:rsidRPr="009824AD">
              <w:rPr>
                <w:rFonts w:ascii="Helvetica" w:eastAsia="Times New Roman" w:hAnsi="Helvetica" w:cs="Calibri"/>
                <w:sz w:val="20"/>
                <w:szCs w:val="20"/>
                <w:lang w:val="en-US" w:eastAsia="nl-NL"/>
              </w:rPr>
              <w:t>0.608</w:t>
            </w:r>
          </w:p>
        </w:tc>
      </w:tr>
      <w:tr w:rsidR="000D44B8" w:rsidRPr="009824AD" w14:paraId="6F216254" w14:textId="77777777" w:rsidTr="006E3A16">
        <w:tc>
          <w:tcPr>
            <w:tcW w:w="4111" w:type="dxa"/>
            <w:tcBorders>
              <w:right w:val="single" w:sz="4" w:space="0" w:color="auto"/>
            </w:tcBorders>
            <w:vAlign w:val="center"/>
          </w:tcPr>
          <w:p w14:paraId="65A0BEA2" w14:textId="77777777" w:rsidR="000D44B8" w:rsidRPr="009824AD" w:rsidRDefault="000D44B8" w:rsidP="006E3A16">
            <w:pPr>
              <w:ind w:left="170"/>
              <w:rPr>
                <w:rFonts w:ascii="Helvetica" w:eastAsia="Times New Roman" w:hAnsi="Helvetica" w:cs="Calibri"/>
                <w:sz w:val="20"/>
                <w:szCs w:val="20"/>
                <w:lang w:val="en-US" w:eastAsia="nl-NL"/>
              </w:rPr>
            </w:pPr>
            <w:r w:rsidRPr="009824AD">
              <w:rPr>
                <w:rFonts w:ascii="Helvetica" w:eastAsia="Times New Roman" w:hAnsi="Helvetica" w:cs="Calibri"/>
                <w:sz w:val="20"/>
                <w:szCs w:val="20"/>
                <w:lang w:val="en-US" w:eastAsia="nl-NL"/>
              </w:rPr>
              <w:t>Sex, male (%)</w:t>
            </w:r>
          </w:p>
        </w:tc>
        <w:tc>
          <w:tcPr>
            <w:tcW w:w="1985" w:type="dxa"/>
            <w:tcBorders>
              <w:left w:val="single" w:sz="4" w:space="0" w:color="auto"/>
              <w:right w:val="single" w:sz="4" w:space="0" w:color="auto"/>
            </w:tcBorders>
            <w:vAlign w:val="center"/>
          </w:tcPr>
          <w:p w14:paraId="62BE4928" w14:textId="77777777" w:rsidR="000D44B8" w:rsidRPr="009824AD" w:rsidRDefault="000D44B8" w:rsidP="006E3A16">
            <w:pPr>
              <w:jc w:val="center"/>
              <w:rPr>
                <w:rFonts w:ascii="Helvetica" w:eastAsia="Times New Roman" w:hAnsi="Helvetica" w:cs="Calibri"/>
                <w:sz w:val="20"/>
                <w:szCs w:val="20"/>
                <w:lang w:val="en-US" w:eastAsia="nl-NL"/>
              </w:rPr>
            </w:pPr>
            <w:r w:rsidRPr="009824AD">
              <w:rPr>
                <w:rFonts w:ascii="Helvetica" w:eastAsia="Times New Roman" w:hAnsi="Helvetica" w:cs="Calibri"/>
                <w:sz w:val="20"/>
                <w:szCs w:val="20"/>
                <w:lang w:val="en-US" w:eastAsia="nl-NL"/>
              </w:rPr>
              <w:t>54 (60.0)</w:t>
            </w:r>
          </w:p>
        </w:tc>
        <w:tc>
          <w:tcPr>
            <w:tcW w:w="1701" w:type="dxa"/>
            <w:tcBorders>
              <w:left w:val="single" w:sz="4" w:space="0" w:color="auto"/>
              <w:right w:val="single" w:sz="4" w:space="0" w:color="auto"/>
            </w:tcBorders>
            <w:vAlign w:val="center"/>
          </w:tcPr>
          <w:p w14:paraId="39096A7C" w14:textId="77777777" w:rsidR="000D44B8" w:rsidRPr="009824AD" w:rsidRDefault="000D44B8" w:rsidP="006E3A16">
            <w:pPr>
              <w:jc w:val="center"/>
              <w:rPr>
                <w:rFonts w:ascii="Helvetica" w:eastAsia="Times New Roman" w:hAnsi="Helvetica" w:cs="Calibri"/>
                <w:sz w:val="20"/>
                <w:szCs w:val="20"/>
                <w:lang w:val="en-US" w:eastAsia="nl-NL"/>
              </w:rPr>
            </w:pPr>
            <w:r w:rsidRPr="009824AD">
              <w:rPr>
                <w:rFonts w:ascii="Helvetica" w:eastAsia="Times New Roman" w:hAnsi="Helvetica" w:cs="Calibri"/>
                <w:sz w:val="20"/>
                <w:szCs w:val="20"/>
                <w:lang w:val="en-US" w:eastAsia="nl-NL"/>
              </w:rPr>
              <w:t>120 (61.5)</w:t>
            </w:r>
          </w:p>
        </w:tc>
        <w:tc>
          <w:tcPr>
            <w:tcW w:w="992" w:type="dxa"/>
            <w:tcBorders>
              <w:left w:val="single" w:sz="4" w:space="0" w:color="auto"/>
            </w:tcBorders>
          </w:tcPr>
          <w:p w14:paraId="3946E08D" w14:textId="77777777" w:rsidR="000D44B8" w:rsidRPr="009824AD" w:rsidRDefault="000D44B8" w:rsidP="006E3A16">
            <w:pPr>
              <w:tabs>
                <w:tab w:val="left" w:pos="310"/>
              </w:tabs>
              <w:jc w:val="center"/>
              <w:rPr>
                <w:rFonts w:ascii="Helvetica" w:eastAsia="Times New Roman" w:hAnsi="Helvetica" w:cs="Calibri"/>
                <w:sz w:val="20"/>
                <w:szCs w:val="20"/>
                <w:lang w:val="en-US" w:eastAsia="nl-NL"/>
              </w:rPr>
            </w:pPr>
            <w:r w:rsidRPr="009824AD">
              <w:rPr>
                <w:rFonts w:ascii="Helvetica" w:eastAsia="Times New Roman" w:hAnsi="Helvetica" w:cs="Calibri"/>
                <w:sz w:val="20"/>
                <w:szCs w:val="20"/>
                <w:lang w:val="en-US" w:eastAsia="nl-NL"/>
              </w:rPr>
              <w:t>0.804</w:t>
            </w:r>
          </w:p>
        </w:tc>
      </w:tr>
      <w:tr w:rsidR="000D44B8" w:rsidRPr="009824AD" w14:paraId="134F16D7" w14:textId="77777777" w:rsidTr="006E3A16">
        <w:tc>
          <w:tcPr>
            <w:tcW w:w="4111" w:type="dxa"/>
            <w:tcBorders>
              <w:right w:val="single" w:sz="4" w:space="0" w:color="auto"/>
            </w:tcBorders>
            <w:vAlign w:val="center"/>
          </w:tcPr>
          <w:p w14:paraId="6EC619F0" w14:textId="053AEF23" w:rsidR="000D44B8" w:rsidRPr="009824AD" w:rsidRDefault="000D44B8" w:rsidP="006E3A16">
            <w:pPr>
              <w:ind w:left="170"/>
              <w:rPr>
                <w:rFonts w:ascii="Helvetica" w:eastAsia="Times New Roman" w:hAnsi="Helvetica" w:cs="Calibri"/>
                <w:sz w:val="20"/>
                <w:szCs w:val="20"/>
                <w:lang w:val="en-US" w:eastAsia="nl-NL"/>
              </w:rPr>
            </w:pPr>
            <w:r w:rsidRPr="009824AD">
              <w:rPr>
                <w:rFonts w:ascii="Helvetica" w:eastAsia="Times New Roman" w:hAnsi="Helvetica" w:cs="Calibri"/>
                <w:sz w:val="20"/>
                <w:szCs w:val="20"/>
                <w:lang w:val="en-US" w:eastAsia="nl-NL"/>
              </w:rPr>
              <w:t>BMI, kg/m</w:t>
            </w:r>
            <w:r w:rsidRPr="009824AD">
              <w:rPr>
                <w:rFonts w:ascii="Helvetica" w:eastAsia="Times New Roman" w:hAnsi="Helvetica" w:cs="Calibri"/>
                <w:sz w:val="20"/>
                <w:szCs w:val="20"/>
                <w:vertAlign w:val="superscript"/>
                <w:lang w:val="en-US" w:eastAsia="nl-NL"/>
              </w:rPr>
              <w:t>2</w:t>
            </w:r>
            <w:r w:rsidRPr="009824AD">
              <w:rPr>
                <w:rFonts w:ascii="Helvetica" w:eastAsia="Times New Roman" w:hAnsi="Helvetica" w:cs="Calibri"/>
                <w:sz w:val="20"/>
                <w:szCs w:val="20"/>
                <w:lang w:val="en-US" w:eastAsia="nl-NL"/>
              </w:rPr>
              <w:t>, median(</w:t>
            </w:r>
            <w:r w:rsidR="00493F8D" w:rsidRPr="009824AD">
              <w:rPr>
                <w:rFonts w:ascii="Helvetica" w:eastAsia="Times New Roman" w:hAnsi="Helvetica" w:cs="Calibri"/>
                <w:sz w:val="20"/>
                <w:szCs w:val="20"/>
                <w:lang w:val="en-US" w:eastAsia="nl-NL"/>
              </w:rPr>
              <w:t>IQR</w:t>
            </w:r>
            <w:r w:rsidRPr="009824AD">
              <w:rPr>
                <w:rFonts w:ascii="Helvetica" w:eastAsia="Times New Roman" w:hAnsi="Helvetica" w:cs="Calibri"/>
                <w:sz w:val="20"/>
                <w:szCs w:val="20"/>
                <w:lang w:val="en-US" w:eastAsia="nl-NL"/>
              </w:rPr>
              <w:t>)</w:t>
            </w:r>
          </w:p>
        </w:tc>
        <w:tc>
          <w:tcPr>
            <w:tcW w:w="1985" w:type="dxa"/>
            <w:tcBorders>
              <w:left w:val="single" w:sz="4" w:space="0" w:color="auto"/>
              <w:right w:val="single" w:sz="4" w:space="0" w:color="auto"/>
            </w:tcBorders>
            <w:vAlign w:val="center"/>
          </w:tcPr>
          <w:p w14:paraId="40DDFBE8" w14:textId="77777777" w:rsidR="000D44B8" w:rsidRPr="009824AD" w:rsidRDefault="000D44B8" w:rsidP="006E3A16">
            <w:pPr>
              <w:autoSpaceDE w:val="0"/>
              <w:autoSpaceDN w:val="0"/>
              <w:adjustRightInd w:val="0"/>
              <w:jc w:val="center"/>
              <w:rPr>
                <w:rFonts w:ascii="Helvetica" w:hAnsi="Helvetica" w:cs="Calibri"/>
                <w:sz w:val="20"/>
                <w:szCs w:val="20"/>
                <w:lang w:val="en-US"/>
              </w:rPr>
            </w:pPr>
            <w:r w:rsidRPr="009824AD">
              <w:rPr>
                <w:rFonts w:ascii="Helvetica" w:hAnsi="Helvetica" w:cs="Calibri"/>
                <w:sz w:val="20"/>
                <w:szCs w:val="20"/>
                <w:lang w:val="en-US"/>
              </w:rPr>
              <w:t>24.9 (23.1-27.0)</w:t>
            </w:r>
          </w:p>
        </w:tc>
        <w:tc>
          <w:tcPr>
            <w:tcW w:w="1701" w:type="dxa"/>
            <w:tcBorders>
              <w:left w:val="single" w:sz="4" w:space="0" w:color="auto"/>
              <w:right w:val="single" w:sz="4" w:space="0" w:color="auto"/>
            </w:tcBorders>
            <w:vAlign w:val="center"/>
          </w:tcPr>
          <w:p w14:paraId="1F15C687" w14:textId="77777777" w:rsidR="000D44B8" w:rsidRPr="009824AD" w:rsidRDefault="000D44B8" w:rsidP="006E3A16">
            <w:pPr>
              <w:autoSpaceDE w:val="0"/>
              <w:autoSpaceDN w:val="0"/>
              <w:adjustRightInd w:val="0"/>
              <w:jc w:val="center"/>
              <w:rPr>
                <w:rFonts w:ascii="Helvetica" w:hAnsi="Helvetica" w:cs="Calibri"/>
                <w:sz w:val="20"/>
                <w:szCs w:val="20"/>
                <w:lang w:val="en-US"/>
              </w:rPr>
            </w:pPr>
            <w:r w:rsidRPr="009824AD">
              <w:rPr>
                <w:rFonts w:ascii="Helvetica" w:hAnsi="Helvetica" w:cs="Calibri"/>
                <w:sz w:val="20"/>
                <w:szCs w:val="20"/>
                <w:lang w:val="en-US"/>
              </w:rPr>
              <w:t>25.1 (22.9 – 28.0)</w:t>
            </w:r>
          </w:p>
        </w:tc>
        <w:tc>
          <w:tcPr>
            <w:tcW w:w="992" w:type="dxa"/>
            <w:tcBorders>
              <w:left w:val="single" w:sz="4" w:space="0" w:color="auto"/>
            </w:tcBorders>
          </w:tcPr>
          <w:p w14:paraId="216DFB51" w14:textId="77777777" w:rsidR="000D44B8" w:rsidRPr="009824AD" w:rsidRDefault="000D44B8" w:rsidP="006E3A16">
            <w:pPr>
              <w:tabs>
                <w:tab w:val="left" w:pos="310"/>
              </w:tabs>
              <w:jc w:val="center"/>
              <w:rPr>
                <w:rFonts w:ascii="Helvetica" w:eastAsia="Times New Roman" w:hAnsi="Helvetica" w:cs="Calibri"/>
                <w:sz w:val="20"/>
                <w:szCs w:val="20"/>
                <w:lang w:val="en-US" w:eastAsia="nl-NL"/>
              </w:rPr>
            </w:pPr>
            <w:r w:rsidRPr="009824AD">
              <w:rPr>
                <w:rFonts w:ascii="Helvetica" w:eastAsia="Times New Roman" w:hAnsi="Helvetica" w:cs="Calibri"/>
                <w:sz w:val="20"/>
                <w:szCs w:val="20"/>
                <w:lang w:val="en-US" w:eastAsia="nl-NL"/>
              </w:rPr>
              <w:t>0.751</w:t>
            </w:r>
          </w:p>
        </w:tc>
      </w:tr>
      <w:tr w:rsidR="000D44B8" w:rsidRPr="009824AD" w14:paraId="7A0BB504" w14:textId="77777777" w:rsidTr="006E3A16">
        <w:tc>
          <w:tcPr>
            <w:tcW w:w="4111" w:type="dxa"/>
            <w:tcBorders>
              <w:right w:val="single" w:sz="4" w:space="0" w:color="auto"/>
            </w:tcBorders>
            <w:vAlign w:val="center"/>
          </w:tcPr>
          <w:p w14:paraId="5C2BE35C" w14:textId="77777777" w:rsidR="000D44B8" w:rsidRPr="009824AD" w:rsidRDefault="000D44B8" w:rsidP="006E3A16">
            <w:pPr>
              <w:ind w:left="170"/>
              <w:rPr>
                <w:rFonts w:ascii="Helvetica" w:eastAsia="Times New Roman" w:hAnsi="Helvetica" w:cs="Calibri"/>
                <w:sz w:val="20"/>
                <w:szCs w:val="20"/>
                <w:lang w:val="en-US" w:eastAsia="nl-NL"/>
              </w:rPr>
            </w:pPr>
            <w:r w:rsidRPr="009824AD">
              <w:rPr>
                <w:rFonts w:ascii="Helvetica" w:eastAsia="Times New Roman" w:hAnsi="Helvetica" w:cs="Calibri"/>
                <w:sz w:val="20"/>
                <w:szCs w:val="20"/>
                <w:lang w:val="en-US" w:eastAsia="nl-NL"/>
              </w:rPr>
              <w:t>ASA grade</w:t>
            </w:r>
          </w:p>
          <w:p w14:paraId="1ABE358A" w14:textId="77777777" w:rsidR="000D44B8" w:rsidRPr="009824AD" w:rsidRDefault="000D44B8" w:rsidP="006E3A16">
            <w:pPr>
              <w:tabs>
                <w:tab w:val="left" w:pos="310"/>
              </w:tabs>
              <w:ind w:left="170"/>
              <w:contextualSpacing/>
              <w:rPr>
                <w:rFonts w:ascii="Helvetica" w:hAnsi="Helvetica" w:cs="Calibri"/>
                <w:sz w:val="20"/>
                <w:szCs w:val="20"/>
                <w:lang w:val="en-US"/>
              </w:rPr>
            </w:pPr>
            <w:r w:rsidRPr="009824AD">
              <w:rPr>
                <w:rFonts w:ascii="Helvetica" w:hAnsi="Helvetica" w:cs="Calibri"/>
                <w:sz w:val="20"/>
                <w:szCs w:val="20"/>
                <w:lang w:val="en-US"/>
              </w:rPr>
              <w:tab/>
              <w:t>ASA 1 (%)</w:t>
            </w:r>
          </w:p>
          <w:p w14:paraId="0E189EF1" w14:textId="77777777" w:rsidR="000D44B8" w:rsidRPr="009824AD" w:rsidRDefault="000D44B8" w:rsidP="006E3A16">
            <w:pPr>
              <w:tabs>
                <w:tab w:val="left" w:pos="310"/>
              </w:tabs>
              <w:ind w:left="170"/>
              <w:contextualSpacing/>
              <w:rPr>
                <w:rFonts w:ascii="Helvetica" w:hAnsi="Helvetica" w:cs="Calibri"/>
                <w:sz w:val="20"/>
                <w:szCs w:val="20"/>
                <w:lang w:val="en-US"/>
              </w:rPr>
            </w:pPr>
            <w:r w:rsidRPr="009824AD">
              <w:rPr>
                <w:rFonts w:ascii="Helvetica" w:hAnsi="Helvetica" w:cs="Calibri"/>
                <w:sz w:val="20"/>
                <w:szCs w:val="20"/>
                <w:lang w:val="en-US"/>
              </w:rPr>
              <w:tab/>
              <w:t>ASA 2 (%)</w:t>
            </w:r>
          </w:p>
          <w:p w14:paraId="619632AE" w14:textId="77777777" w:rsidR="000D44B8" w:rsidRPr="009824AD" w:rsidRDefault="000D44B8" w:rsidP="006E3A16">
            <w:pPr>
              <w:tabs>
                <w:tab w:val="left" w:pos="310"/>
              </w:tabs>
              <w:ind w:left="170"/>
              <w:contextualSpacing/>
              <w:rPr>
                <w:rFonts w:ascii="Helvetica" w:hAnsi="Helvetica" w:cs="Calibri"/>
                <w:sz w:val="20"/>
                <w:szCs w:val="20"/>
                <w:lang w:val="en-US"/>
              </w:rPr>
            </w:pPr>
            <w:r w:rsidRPr="009824AD">
              <w:rPr>
                <w:rFonts w:ascii="Helvetica" w:hAnsi="Helvetica" w:cs="Calibri"/>
                <w:sz w:val="20"/>
                <w:szCs w:val="20"/>
                <w:lang w:val="en-US"/>
              </w:rPr>
              <w:tab/>
              <w:t>ASA 3 (%)</w:t>
            </w:r>
          </w:p>
          <w:p w14:paraId="5A2320B7" w14:textId="77777777" w:rsidR="000D44B8" w:rsidRPr="009824AD" w:rsidRDefault="000D44B8" w:rsidP="006E3A16">
            <w:pPr>
              <w:tabs>
                <w:tab w:val="left" w:pos="310"/>
              </w:tabs>
              <w:ind w:left="170"/>
              <w:contextualSpacing/>
              <w:rPr>
                <w:rFonts w:ascii="Helvetica" w:hAnsi="Helvetica" w:cs="Calibri"/>
                <w:sz w:val="20"/>
                <w:szCs w:val="20"/>
                <w:lang w:val="en-US"/>
              </w:rPr>
            </w:pPr>
            <w:r w:rsidRPr="009824AD">
              <w:rPr>
                <w:rFonts w:ascii="Helvetica" w:hAnsi="Helvetica" w:cs="Calibri"/>
                <w:sz w:val="20"/>
                <w:szCs w:val="20"/>
                <w:lang w:val="en-US"/>
              </w:rPr>
              <w:tab/>
              <w:t>ASA 4 (%)</w:t>
            </w:r>
          </w:p>
        </w:tc>
        <w:tc>
          <w:tcPr>
            <w:tcW w:w="1985" w:type="dxa"/>
            <w:tcBorders>
              <w:left w:val="single" w:sz="4" w:space="0" w:color="auto"/>
              <w:right w:val="single" w:sz="4" w:space="0" w:color="auto"/>
            </w:tcBorders>
            <w:vAlign w:val="center"/>
          </w:tcPr>
          <w:p w14:paraId="10AAEEB7" w14:textId="77777777" w:rsidR="000D44B8" w:rsidRPr="009824AD" w:rsidRDefault="000D44B8" w:rsidP="006E3A16">
            <w:pPr>
              <w:jc w:val="center"/>
              <w:rPr>
                <w:rFonts w:ascii="Helvetica" w:eastAsia="Times New Roman" w:hAnsi="Helvetica" w:cs="Calibri"/>
                <w:sz w:val="20"/>
                <w:szCs w:val="20"/>
                <w:lang w:val="en-US" w:eastAsia="nl-NL"/>
              </w:rPr>
            </w:pPr>
          </w:p>
          <w:p w14:paraId="08949AFB" w14:textId="77777777" w:rsidR="000D44B8" w:rsidRPr="009824AD" w:rsidRDefault="000D44B8" w:rsidP="006E3A16">
            <w:pPr>
              <w:jc w:val="center"/>
              <w:rPr>
                <w:rFonts w:ascii="Helvetica" w:eastAsia="Times New Roman" w:hAnsi="Helvetica" w:cs="Calibri"/>
                <w:sz w:val="20"/>
                <w:szCs w:val="20"/>
                <w:lang w:val="en-US" w:eastAsia="nl-NL"/>
              </w:rPr>
            </w:pPr>
            <w:r w:rsidRPr="009824AD">
              <w:rPr>
                <w:rFonts w:ascii="Helvetica" w:eastAsia="Times New Roman" w:hAnsi="Helvetica" w:cs="Calibri"/>
                <w:sz w:val="20"/>
                <w:szCs w:val="20"/>
                <w:lang w:val="en-US" w:eastAsia="nl-NL"/>
              </w:rPr>
              <w:t>5 (5.6)</w:t>
            </w:r>
          </w:p>
          <w:p w14:paraId="480A4103" w14:textId="77777777" w:rsidR="000D44B8" w:rsidRPr="009824AD" w:rsidRDefault="000D44B8" w:rsidP="006E3A16">
            <w:pPr>
              <w:jc w:val="center"/>
              <w:rPr>
                <w:rFonts w:ascii="Helvetica" w:eastAsia="Times New Roman" w:hAnsi="Helvetica" w:cs="Calibri"/>
                <w:sz w:val="20"/>
                <w:szCs w:val="20"/>
                <w:lang w:val="en-US" w:eastAsia="nl-NL"/>
              </w:rPr>
            </w:pPr>
            <w:r w:rsidRPr="009824AD">
              <w:rPr>
                <w:rFonts w:ascii="Helvetica" w:eastAsia="Times New Roman" w:hAnsi="Helvetica" w:cs="Calibri"/>
                <w:sz w:val="20"/>
                <w:szCs w:val="20"/>
                <w:lang w:val="en-US" w:eastAsia="nl-NL"/>
              </w:rPr>
              <w:t>54 (60.0)</w:t>
            </w:r>
          </w:p>
          <w:p w14:paraId="4C6CE1E9" w14:textId="77777777" w:rsidR="000D44B8" w:rsidRPr="009824AD" w:rsidRDefault="000D44B8" w:rsidP="006E3A16">
            <w:pPr>
              <w:jc w:val="center"/>
              <w:rPr>
                <w:rFonts w:ascii="Helvetica" w:eastAsia="Times New Roman" w:hAnsi="Helvetica" w:cs="Calibri"/>
                <w:sz w:val="20"/>
                <w:szCs w:val="20"/>
                <w:lang w:val="en-US" w:eastAsia="nl-NL"/>
              </w:rPr>
            </w:pPr>
            <w:r w:rsidRPr="009824AD">
              <w:rPr>
                <w:rFonts w:ascii="Helvetica" w:eastAsia="Times New Roman" w:hAnsi="Helvetica" w:cs="Calibri"/>
                <w:sz w:val="20"/>
                <w:szCs w:val="20"/>
                <w:lang w:val="en-US" w:eastAsia="nl-NL"/>
              </w:rPr>
              <w:t>31 (34.4)</w:t>
            </w:r>
          </w:p>
          <w:p w14:paraId="08238EF9" w14:textId="77777777" w:rsidR="000D44B8" w:rsidRPr="009824AD" w:rsidRDefault="000D44B8" w:rsidP="006E3A16">
            <w:pPr>
              <w:jc w:val="center"/>
              <w:rPr>
                <w:rFonts w:ascii="Helvetica" w:eastAsia="Times New Roman" w:hAnsi="Helvetica" w:cs="Calibri"/>
                <w:sz w:val="20"/>
                <w:szCs w:val="20"/>
                <w:lang w:val="en-US" w:eastAsia="nl-NL"/>
              </w:rPr>
            </w:pPr>
            <w:r w:rsidRPr="009824AD">
              <w:rPr>
                <w:rFonts w:ascii="Helvetica" w:eastAsia="Times New Roman" w:hAnsi="Helvetica" w:cs="Calibri"/>
                <w:sz w:val="20"/>
                <w:szCs w:val="20"/>
                <w:lang w:val="en-US" w:eastAsia="nl-NL"/>
              </w:rPr>
              <w:t>0 (0)</w:t>
            </w:r>
          </w:p>
        </w:tc>
        <w:tc>
          <w:tcPr>
            <w:tcW w:w="1701" w:type="dxa"/>
            <w:tcBorders>
              <w:left w:val="single" w:sz="4" w:space="0" w:color="auto"/>
              <w:right w:val="single" w:sz="4" w:space="0" w:color="auto"/>
            </w:tcBorders>
            <w:vAlign w:val="center"/>
          </w:tcPr>
          <w:p w14:paraId="5730AC70" w14:textId="77777777" w:rsidR="000D44B8" w:rsidRPr="009824AD" w:rsidRDefault="000D44B8" w:rsidP="006E3A16">
            <w:pPr>
              <w:jc w:val="center"/>
              <w:rPr>
                <w:rFonts w:ascii="Helvetica" w:eastAsia="Times New Roman" w:hAnsi="Helvetica" w:cs="Calibri"/>
                <w:sz w:val="20"/>
                <w:szCs w:val="20"/>
                <w:lang w:val="en-US" w:eastAsia="nl-NL"/>
              </w:rPr>
            </w:pPr>
          </w:p>
          <w:p w14:paraId="0154378F" w14:textId="77777777" w:rsidR="000D44B8" w:rsidRPr="009824AD" w:rsidRDefault="000D44B8" w:rsidP="006E3A16">
            <w:pPr>
              <w:jc w:val="center"/>
              <w:rPr>
                <w:rFonts w:ascii="Helvetica" w:eastAsia="Times New Roman" w:hAnsi="Helvetica" w:cs="Calibri"/>
                <w:sz w:val="20"/>
                <w:szCs w:val="20"/>
                <w:lang w:val="en-US" w:eastAsia="nl-NL"/>
              </w:rPr>
            </w:pPr>
            <w:r w:rsidRPr="009824AD">
              <w:rPr>
                <w:rFonts w:ascii="Helvetica" w:eastAsia="Times New Roman" w:hAnsi="Helvetica" w:cs="Calibri"/>
                <w:sz w:val="20"/>
                <w:szCs w:val="20"/>
                <w:lang w:val="en-US" w:eastAsia="nl-NL"/>
              </w:rPr>
              <w:t>17 (8.7)</w:t>
            </w:r>
          </w:p>
          <w:p w14:paraId="16E40786" w14:textId="77777777" w:rsidR="000D44B8" w:rsidRPr="009824AD" w:rsidRDefault="000D44B8" w:rsidP="006E3A16">
            <w:pPr>
              <w:jc w:val="center"/>
              <w:rPr>
                <w:rFonts w:ascii="Helvetica" w:eastAsia="Times New Roman" w:hAnsi="Helvetica" w:cs="Calibri"/>
                <w:sz w:val="20"/>
                <w:szCs w:val="20"/>
                <w:lang w:val="en-US" w:eastAsia="nl-NL"/>
              </w:rPr>
            </w:pPr>
            <w:r w:rsidRPr="009824AD">
              <w:rPr>
                <w:rFonts w:ascii="Helvetica" w:eastAsia="Times New Roman" w:hAnsi="Helvetica" w:cs="Calibri"/>
                <w:sz w:val="20"/>
                <w:szCs w:val="20"/>
                <w:lang w:val="en-US" w:eastAsia="nl-NL"/>
              </w:rPr>
              <w:t>94 (48.2)</w:t>
            </w:r>
          </w:p>
          <w:p w14:paraId="4501575A" w14:textId="77777777" w:rsidR="000D44B8" w:rsidRPr="009824AD" w:rsidRDefault="000D44B8" w:rsidP="006E3A16">
            <w:pPr>
              <w:jc w:val="center"/>
              <w:rPr>
                <w:rFonts w:ascii="Helvetica" w:eastAsia="Times New Roman" w:hAnsi="Helvetica" w:cs="Calibri"/>
                <w:sz w:val="20"/>
                <w:szCs w:val="20"/>
                <w:lang w:val="en-US" w:eastAsia="nl-NL"/>
              </w:rPr>
            </w:pPr>
            <w:r w:rsidRPr="009824AD">
              <w:rPr>
                <w:rFonts w:ascii="Helvetica" w:eastAsia="Times New Roman" w:hAnsi="Helvetica" w:cs="Calibri"/>
                <w:sz w:val="20"/>
                <w:szCs w:val="20"/>
                <w:lang w:val="en-US" w:eastAsia="nl-NL"/>
              </w:rPr>
              <w:t>81 (41.5)</w:t>
            </w:r>
          </w:p>
          <w:p w14:paraId="5F80FB76" w14:textId="77777777" w:rsidR="000D44B8" w:rsidRPr="009824AD" w:rsidRDefault="000D44B8" w:rsidP="006E3A16">
            <w:pPr>
              <w:jc w:val="center"/>
              <w:rPr>
                <w:rFonts w:ascii="Helvetica" w:eastAsia="Times New Roman" w:hAnsi="Helvetica" w:cs="Calibri"/>
                <w:sz w:val="20"/>
                <w:szCs w:val="20"/>
                <w:lang w:val="en-US" w:eastAsia="nl-NL"/>
              </w:rPr>
            </w:pPr>
            <w:r w:rsidRPr="009824AD">
              <w:rPr>
                <w:rFonts w:ascii="Helvetica" w:eastAsia="Times New Roman" w:hAnsi="Helvetica" w:cs="Calibri"/>
                <w:sz w:val="20"/>
                <w:szCs w:val="20"/>
                <w:lang w:val="en-US" w:eastAsia="nl-NL"/>
              </w:rPr>
              <w:t>3 (1.5)</w:t>
            </w:r>
          </w:p>
        </w:tc>
        <w:tc>
          <w:tcPr>
            <w:tcW w:w="992" w:type="dxa"/>
            <w:tcBorders>
              <w:left w:val="single" w:sz="4" w:space="0" w:color="auto"/>
            </w:tcBorders>
          </w:tcPr>
          <w:p w14:paraId="723BC544" w14:textId="77777777" w:rsidR="000D44B8" w:rsidRPr="009824AD" w:rsidRDefault="000D44B8" w:rsidP="006E3A16">
            <w:pPr>
              <w:tabs>
                <w:tab w:val="left" w:pos="310"/>
              </w:tabs>
              <w:jc w:val="center"/>
              <w:rPr>
                <w:rFonts w:ascii="Helvetica" w:eastAsia="Times New Roman" w:hAnsi="Helvetica" w:cs="Calibri"/>
                <w:sz w:val="20"/>
                <w:szCs w:val="20"/>
                <w:lang w:val="en-US" w:eastAsia="nl-NL"/>
              </w:rPr>
            </w:pPr>
            <w:r w:rsidRPr="009824AD">
              <w:rPr>
                <w:rFonts w:ascii="Helvetica" w:eastAsia="Times New Roman" w:hAnsi="Helvetica" w:cs="Calibri"/>
                <w:sz w:val="20"/>
                <w:szCs w:val="20"/>
                <w:lang w:val="en-US" w:eastAsia="nl-NL"/>
              </w:rPr>
              <w:t>0.202</w:t>
            </w:r>
          </w:p>
        </w:tc>
      </w:tr>
      <w:tr w:rsidR="000D44B8" w:rsidRPr="009824AD" w14:paraId="1592CC32" w14:textId="77777777" w:rsidTr="006E3A16">
        <w:tc>
          <w:tcPr>
            <w:tcW w:w="4111" w:type="dxa"/>
            <w:tcBorders>
              <w:right w:val="single" w:sz="4" w:space="0" w:color="auto"/>
            </w:tcBorders>
            <w:vAlign w:val="center"/>
          </w:tcPr>
          <w:p w14:paraId="2E2C4946" w14:textId="77777777" w:rsidR="000D44B8" w:rsidRPr="009824AD" w:rsidRDefault="000D44B8" w:rsidP="006E3A16">
            <w:pPr>
              <w:tabs>
                <w:tab w:val="left" w:pos="310"/>
              </w:tabs>
              <w:ind w:left="170"/>
              <w:rPr>
                <w:rFonts w:ascii="Helvetica" w:hAnsi="Helvetica" w:cs="Calibri"/>
                <w:sz w:val="20"/>
                <w:szCs w:val="20"/>
                <w:lang w:val="en-US"/>
              </w:rPr>
            </w:pPr>
            <w:r w:rsidRPr="009824AD">
              <w:rPr>
                <w:rFonts w:ascii="Helvetica" w:hAnsi="Helvetica" w:cs="Calibri"/>
                <w:sz w:val="20"/>
                <w:szCs w:val="20"/>
                <w:lang w:val="en-US"/>
              </w:rPr>
              <w:t>Cirrhosis (%)</w:t>
            </w:r>
          </w:p>
        </w:tc>
        <w:tc>
          <w:tcPr>
            <w:tcW w:w="1985" w:type="dxa"/>
            <w:tcBorders>
              <w:left w:val="single" w:sz="4" w:space="0" w:color="auto"/>
              <w:right w:val="single" w:sz="4" w:space="0" w:color="auto"/>
            </w:tcBorders>
            <w:vAlign w:val="center"/>
          </w:tcPr>
          <w:p w14:paraId="7403CEC7" w14:textId="77777777" w:rsidR="000D44B8" w:rsidRPr="009824AD" w:rsidRDefault="000D44B8" w:rsidP="006E3A16">
            <w:pPr>
              <w:jc w:val="center"/>
              <w:rPr>
                <w:rFonts w:ascii="Helvetica" w:eastAsia="Times New Roman" w:hAnsi="Helvetica" w:cs="Calibri"/>
                <w:sz w:val="20"/>
                <w:szCs w:val="20"/>
                <w:lang w:val="en-US" w:eastAsia="nl-NL"/>
              </w:rPr>
            </w:pPr>
            <w:r w:rsidRPr="009824AD">
              <w:rPr>
                <w:rFonts w:ascii="Helvetica" w:eastAsia="Times New Roman" w:hAnsi="Helvetica" w:cs="Calibri"/>
                <w:sz w:val="20"/>
                <w:szCs w:val="20"/>
                <w:lang w:val="en-US" w:eastAsia="nl-NL"/>
              </w:rPr>
              <w:t>14 (15.6)</w:t>
            </w:r>
          </w:p>
        </w:tc>
        <w:tc>
          <w:tcPr>
            <w:tcW w:w="1701" w:type="dxa"/>
            <w:tcBorders>
              <w:left w:val="single" w:sz="4" w:space="0" w:color="auto"/>
              <w:right w:val="single" w:sz="4" w:space="0" w:color="auto"/>
            </w:tcBorders>
            <w:vAlign w:val="center"/>
          </w:tcPr>
          <w:p w14:paraId="5120AC04" w14:textId="77777777" w:rsidR="000D44B8" w:rsidRPr="009824AD" w:rsidRDefault="000D44B8" w:rsidP="006E3A16">
            <w:pPr>
              <w:jc w:val="center"/>
              <w:rPr>
                <w:rFonts w:ascii="Helvetica" w:eastAsia="Times New Roman" w:hAnsi="Helvetica" w:cs="Calibri"/>
                <w:sz w:val="20"/>
                <w:szCs w:val="20"/>
                <w:lang w:val="en-US" w:eastAsia="nl-NL"/>
              </w:rPr>
            </w:pPr>
            <w:r w:rsidRPr="009824AD">
              <w:rPr>
                <w:rFonts w:ascii="Helvetica" w:eastAsia="Times New Roman" w:hAnsi="Helvetica" w:cs="Calibri"/>
                <w:sz w:val="20"/>
                <w:szCs w:val="20"/>
                <w:lang w:val="en-US" w:eastAsia="nl-NL"/>
              </w:rPr>
              <w:t>22 (11.3)</w:t>
            </w:r>
          </w:p>
        </w:tc>
        <w:tc>
          <w:tcPr>
            <w:tcW w:w="992" w:type="dxa"/>
            <w:tcBorders>
              <w:left w:val="single" w:sz="4" w:space="0" w:color="auto"/>
            </w:tcBorders>
          </w:tcPr>
          <w:p w14:paraId="6D73FBE1" w14:textId="77777777" w:rsidR="000D44B8" w:rsidRPr="009824AD" w:rsidRDefault="000D44B8" w:rsidP="006E3A16">
            <w:pPr>
              <w:tabs>
                <w:tab w:val="left" w:pos="310"/>
              </w:tabs>
              <w:jc w:val="center"/>
              <w:rPr>
                <w:rFonts w:ascii="Helvetica" w:eastAsia="Times New Roman" w:hAnsi="Helvetica" w:cs="Calibri"/>
                <w:sz w:val="20"/>
                <w:szCs w:val="20"/>
                <w:lang w:val="en-US" w:eastAsia="nl-NL"/>
              </w:rPr>
            </w:pPr>
            <w:r w:rsidRPr="009824AD">
              <w:rPr>
                <w:rFonts w:ascii="Helvetica" w:eastAsia="Times New Roman" w:hAnsi="Helvetica" w:cs="Calibri"/>
                <w:sz w:val="20"/>
                <w:szCs w:val="20"/>
                <w:lang w:val="en-US" w:eastAsia="nl-NL"/>
              </w:rPr>
              <w:t>0.313</w:t>
            </w:r>
          </w:p>
        </w:tc>
      </w:tr>
      <w:tr w:rsidR="000D44B8" w:rsidRPr="009824AD" w14:paraId="776BFF33" w14:textId="77777777" w:rsidTr="006E3A16">
        <w:tc>
          <w:tcPr>
            <w:tcW w:w="4111" w:type="dxa"/>
            <w:tcBorders>
              <w:right w:val="single" w:sz="4" w:space="0" w:color="auto"/>
            </w:tcBorders>
            <w:vAlign w:val="center"/>
          </w:tcPr>
          <w:p w14:paraId="3BB04B8B" w14:textId="77777777" w:rsidR="000D44B8" w:rsidRPr="009824AD" w:rsidRDefault="000D44B8" w:rsidP="006E3A16">
            <w:pPr>
              <w:tabs>
                <w:tab w:val="left" w:pos="310"/>
              </w:tabs>
              <w:ind w:left="170"/>
              <w:rPr>
                <w:rFonts w:ascii="Helvetica" w:eastAsia="Times New Roman" w:hAnsi="Helvetica" w:cs="Calibri"/>
                <w:sz w:val="20"/>
                <w:szCs w:val="20"/>
                <w:lang w:val="en-US" w:eastAsia="nl-NL"/>
              </w:rPr>
            </w:pPr>
            <w:r w:rsidRPr="009824AD">
              <w:rPr>
                <w:rFonts w:ascii="Helvetica" w:eastAsia="Times New Roman" w:hAnsi="Helvetica" w:cs="Calibri"/>
                <w:sz w:val="20"/>
                <w:szCs w:val="20"/>
                <w:lang w:val="en-US" w:eastAsia="nl-NL"/>
              </w:rPr>
              <w:t>Neoadjuvant chemotherapy (%)</w:t>
            </w:r>
          </w:p>
        </w:tc>
        <w:tc>
          <w:tcPr>
            <w:tcW w:w="1985" w:type="dxa"/>
            <w:tcBorders>
              <w:left w:val="single" w:sz="4" w:space="0" w:color="auto"/>
              <w:right w:val="single" w:sz="4" w:space="0" w:color="auto"/>
            </w:tcBorders>
            <w:vAlign w:val="center"/>
          </w:tcPr>
          <w:p w14:paraId="754EE1DE" w14:textId="77777777" w:rsidR="000D44B8" w:rsidRPr="009824AD" w:rsidRDefault="000D44B8" w:rsidP="006E3A16">
            <w:pPr>
              <w:jc w:val="center"/>
              <w:rPr>
                <w:rFonts w:ascii="Helvetica" w:eastAsia="Times New Roman" w:hAnsi="Helvetica" w:cs="Calibri"/>
                <w:sz w:val="20"/>
                <w:szCs w:val="20"/>
                <w:lang w:val="en-US" w:eastAsia="nl-NL"/>
              </w:rPr>
            </w:pPr>
            <w:r w:rsidRPr="009824AD">
              <w:rPr>
                <w:rFonts w:ascii="Helvetica" w:eastAsia="Times New Roman" w:hAnsi="Helvetica" w:cs="Calibri"/>
                <w:sz w:val="20"/>
                <w:szCs w:val="20"/>
                <w:lang w:val="en-US" w:eastAsia="nl-NL"/>
              </w:rPr>
              <w:t>37 (41.1)</w:t>
            </w:r>
          </w:p>
        </w:tc>
        <w:tc>
          <w:tcPr>
            <w:tcW w:w="1701" w:type="dxa"/>
            <w:tcBorders>
              <w:left w:val="single" w:sz="4" w:space="0" w:color="auto"/>
              <w:right w:val="single" w:sz="4" w:space="0" w:color="auto"/>
            </w:tcBorders>
            <w:vAlign w:val="center"/>
          </w:tcPr>
          <w:p w14:paraId="6E3C01B3" w14:textId="77777777" w:rsidR="000D44B8" w:rsidRPr="009824AD" w:rsidRDefault="000D44B8" w:rsidP="006E3A16">
            <w:pPr>
              <w:jc w:val="center"/>
              <w:rPr>
                <w:rFonts w:ascii="Helvetica" w:hAnsi="Helvetica" w:cs="Calibri"/>
                <w:sz w:val="20"/>
                <w:szCs w:val="20"/>
                <w:lang w:val="en-US" w:eastAsia="nl-NL"/>
              </w:rPr>
            </w:pPr>
            <w:r w:rsidRPr="009824AD">
              <w:rPr>
                <w:rFonts w:ascii="Helvetica" w:hAnsi="Helvetica" w:cs="Calibri"/>
                <w:sz w:val="20"/>
                <w:szCs w:val="20"/>
                <w:lang w:val="en-US" w:eastAsia="nl-NL"/>
              </w:rPr>
              <w:t>72 (36.9)</w:t>
            </w:r>
          </w:p>
        </w:tc>
        <w:tc>
          <w:tcPr>
            <w:tcW w:w="992" w:type="dxa"/>
            <w:tcBorders>
              <w:left w:val="single" w:sz="4" w:space="0" w:color="auto"/>
            </w:tcBorders>
          </w:tcPr>
          <w:p w14:paraId="0F1A1A34" w14:textId="77777777" w:rsidR="000D44B8" w:rsidRPr="009824AD" w:rsidRDefault="000D44B8" w:rsidP="006E3A16">
            <w:pPr>
              <w:tabs>
                <w:tab w:val="left" w:pos="310"/>
              </w:tabs>
              <w:jc w:val="center"/>
              <w:rPr>
                <w:rFonts w:ascii="Helvetica" w:eastAsia="Times New Roman" w:hAnsi="Helvetica" w:cs="Calibri"/>
                <w:sz w:val="20"/>
                <w:szCs w:val="20"/>
                <w:lang w:val="en-US" w:eastAsia="nl-NL"/>
              </w:rPr>
            </w:pPr>
            <w:r w:rsidRPr="009824AD">
              <w:rPr>
                <w:rFonts w:ascii="Helvetica" w:eastAsia="Times New Roman" w:hAnsi="Helvetica" w:cs="Calibri"/>
                <w:sz w:val="20"/>
                <w:szCs w:val="20"/>
                <w:lang w:val="en-US" w:eastAsia="nl-NL"/>
              </w:rPr>
              <w:t>0.499</w:t>
            </w:r>
          </w:p>
        </w:tc>
      </w:tr>
      <w:tr w:rsidR="000D44B8" w:rsidRPr="009824AD" w14:paraId="6DCA4380" w14:textId="77777777" w:rsidTr="006E3A16">
        <w:tc>
          <w:tcPr>
            <w:tcW w:w="4111" w:type="dxa"/>
            <w:tcBorders>
              <w:right w:val="single" w:sz="4" w:space="0" w:color="auto"/>
            </w:tcBorders>
            <w:vAlign w:val="center"/>
          </w:tcPr>
          <w:p w14:paraId="052A3E38" w14:textId="77777777" w:rsidR="000D44B8" w:rsidRPr="009824AD" w:rsidRDefault="000D44B8" w:rsidP="006E3A16">
            <w:pPr>
              <w:tabs>
                <w:tab w:val="left" w:pos="310"/>
              </w:tabs>
              <w:ind w:left="170"/>
              <w:rPr>
                <w:rFonts w:ascii="Helvetica" w:eastAsia="Times New Roman" w:hAnsi="Helvetica" w:cs="Calibri"/>
                <w:sz w:val="20"/>
                <w:szCs w:val="20"/>
                <w:lang w:val="en-US" w:eastAsia="nl-NL"/>
              </w:rPr>
            </w:pPr>
            <w:r w:rsidRPr="009824AD">
              <w:rPr>
                <w:rFonts w:ascii="Helvetica" w:eastAsia="Times New Roman" w:hAnsi="Helvetica" w:cs="Calibri"/>
                <w:sz w:val="20"/>
                <w:szCs w:val="20"/>
                <w:lang w:val="en-US" w:eastAsia="nl-NL"/>
              </w:rPr>
              <w:t>Previous extrahepatic abdominal surgery (%)</w:t>
            </w:r>
          </w:p>
        </w:tc>
        <w:tc>
          <w:tcPr>
            <w:tcW w:w="1985" w:type="dxa"/>
            <w:tcBorders>
              <w:left w:val="single" w:sz="4" w:space="0" w:color="auto"/>
              <w:right w:val="single" w:sz="4" w:space="0" w:color="auto"/>
            </w:tcBorders>
            <w:vAlign w:val="center"/>
          </w:tcPr>
          <w:p w14:paraId="40A19308" w14:textId="77777777" w:rsidR="000D44B8" w:rsidRPr="009824AD" w:rsidRDefault="000D44B8" w:rsidP="006E3A16">
            <w:pPr>
              <w:jc w:val="center"/>
              <w:rPr>
                <w:rFonts w:ascii="Helvetica" w:eastAsia="Times New Roman" w:hAnsi="Helvetica" w:cs="Calibri"/>
                <w:sz w:val="20"/>
                <w:szCs w:val="20"/>
                <w:lang w:val="en-US" w:eastAsia="nl-NL"/>
              </w:rPr>
            </w:pPr>
            <w:r w:rsidRPr="009824AD">
              <w:rPr>
                <w:rFonts w:ascii="Helvetica" w:eastAsia="Times New Roman" w:hAnsi="Helvetica" w:cs="Calibri"/>
                <w:sz w:val="20"/>
                <w:szCs w:val="20"/>
                <w:lang w:val="en-US" w:eastAsia="nl-NL"/>
              </w:rPr>
              <w:t>37 (41.1)</w:t>
            </w:r>
          </w:p>
        </w:tc>
        <w:tc>
          <w:tcPr>
            <w:tcW w:w="1701" w:type="dxa"/>
            <w:tcBorders>
              <w:left w:val="single" w:sz="4" w:space="0" w:color="auto"/>
              <w:right w:val="single" w:sz="4" w:space="0" w:color="auto"/>
            </w:tcBorders>
            <w:vAlign w:val="center"/>
          </w:tcPr>
          <w:p w14:paraId="11926596" w14:textId="77777777" w:rsidR="000D44B8" w:rsidRPr="009824AD" w:rsidRDefault="000D44B8" w:rsidP="006E3A16">
            <w:pPr>
              <w:jc w:val="center"/>
              <w:rPr>
                <w:rFonts w:ascii="Helvetica" w:hAnsi="Helvetica" w:cs="Calibri"/>
                <w:sz w:val="20"/>
                <w:szCs w:val="20"/>
                <w:lang w:val="en-US" w:eastAsia="nl-NL"/>
              </w:rPr>
            </w:pPr>
            <w:r w:rsidRPr="009824AD">
              <w:rPr>
                <w:rFonts w:ascii="Helvetica" w:hAnsi="Helvetica" w:cs="Calibri"/>
                <w:sz w:val="20"/>
                <w:szCs w:val="20"/>
                <w:lang w:val="en-US" w:eastAsia="nl-NL"/>
              </w:rPr>
              <w:t>65 (33.3)</w:t>
            </w:r>
          </w:p>
        </w:tc>
        <w:tc>
          <w:tcPr>
            <w:tcW w:w="992" w:type="dxa"/>
            <w:tcBorders>
              <w:left w:val="single" w:sz="4" w:space="0" w:color="auto"/>
            </w:tcBorders>
          </w:tcPr>
          <w:p w14:paraId="384FF080" w14:textId="77777777" w:rsidR="000D44B8" w:rsidRPr="009824AD" w:rsidRDefault="000D44B8" w:rsidP="006E3A16">
            <w:pPr>
              <w:tabs>
                <w:tab w:val="left" w:pos="310"/>
              </w:tabs>
              <w:jc w:val="center"/>
              <w:rPr>
                <w:rFonts w:ascii="Helvetica" w:eastAsia="Times New Roman" w:hAnsi="Helvetica" w:cs="Calibri"/>
                <w:sz w:val="20"/>
                <w:szCs w:val="20"/>
                <w:lang w:val="en-US" w:eastAsia="nl-NL"/>
              </w:rPr>
            </w:pPr>
            <w:r w:rsidRPr="009824AD">
              <w:rPr>
                <w:rFonts w:ascii="Helvetica" w:eastAsia="Times New Roman" w:hAnsi="Helvetica" w:cs="Calibri"/>
                <w:sz w:val="20"/>
                <w:szCs w:val="20"/>
                <w:lang w:val="en-US" w:eastAsia="nl-NL"/>
              </w:rPr>
              <w:t>0.203</w:t>
            </w:r>
          </w:p>
        </w:tc>
      </w:tr>
      <w:tr w:rsidR="000D44B8" w:rsidRPr="009824AD" w14:paraId="0BE542D0" w14:textId="77777777" w:rsidTr="006E3A16">
        <w:tc>
          <w:tcPr>
            <w:tcW w:w="4111" w:type="dxa"/>
            <w:tcBorders>
              <w:right w:val="single" w:sz="4" w:space="0" w:color="auto"/>
            </w:tcBorders>
            <w:vAlign w:val="center"/>
          </w:tcPr>
          <w:p w14:paraId="038C8003" w14:textId="77777777" w:rsidR="000D44B8" w:rsidRPr="009824AD" w:rsidRDefault="000D44B8" w:rsidP="006E3A16">
            <w:pPr>
              <w:tabs>
                <w:tab w:val="left" w:pos="310"/>
              </w:tabs>
              <w:ind w:left="170"/>
              <w:rPr>
                <w:rFonts w:ascii="Helvetica" w:eastAsia="Times New Roman" w:hAnsi="Helvetica" w:cs="Calibri"/>
                <w:sz w:val="20"/>
                <w:szCs w:val="20"/>
                <w:lang w:val="en-US" w:eastAsia="nl-NL"/>
              </w:rPr>
            </w:pPr>
            <w:r w:rsidRPr="009824AD">
              <w:rPr>
                <w:rFonts w:ascii="Helvetica" w:eastAsia="Times New Roman" w:hAnsi="Helvetica" w:cs="Calibri"/>
                <w:sz w:val="20"/>
                <w:szCs w:val="20"/>
                <w:lang w:val="en-US" w:eastAsia="nl-NL"/>
              </w:rPr>
              <w:t>Previous liver surgery (%)</w:t>
            </w:r>
          </w:p>
        </w:tc>
        <w:tc>
          <w:tcPr>
            <w:tcW w:w="1985" w:type="dxa"/>
            <w:tcBorders>
              <w:left w:val="single" w:sz="4" w:space="0" w:color="auto"/>
              <w:right w:val="single" w:sz="4" w:space="0" w:color="auto"/>
            </w:tcBorders>
            <w:vAlign w:val="center"/>
          </w:tcPr>
          <w:p w14:paraId="4017A5F7" w14:textId="77777777" w:rsidR="000D44B8" w:rsidRPr="009824AD" w:rsidRDefault="000D44B8" w:rsidP="006E3A16">
            <w:pPr>
              <w:jc w:val="center"/>
              <w:rPr>
                <w:rFonts w:ascii="Helvetica" w:eastAsia="Times New Roman" w:hAnsi="Helvetica" w:cs="Calibri"/>
                <w:sz w:val="20"/>
                <w:szCs w:val="20"/>
                <w:lang w:val="en-US" w:eastAsia="nl-NL"/>
              </w:rPr>
            </w:pPr>
            <w:r w:rsidRPr="009824AD">
              <w:rPr>
                <w:rFonts w:ascii="Helvetica" w:eastAsia="Times New Roman" w:hAnsi="Helvetica" w:cs="Calibri"/>
                <w:sz w:val="20"/>
                <w:szCs w:val="20"/>
                <w:lang w:val="en-US" w:eastAsia="nl-NL"/>
              </w:rPr>
              <w:t>16 (17.8)</w:t>
            </w:r>
          </w:p>
        </w:tc>
        <w:tc>
          <w:tcPr>
            <w:tcW w:w="1701" w:type="dxa"/>
            <w:tcBorders>
              <w:left w:val="single" w:sz="4" w:space="0" w:color="auto"/>
              <w:right w:val="single" w:sz="4" w:space="0" w:color="auto"/>
            </w:tcBorders>
            <w:vAlign w:val="center"/>
          </w:tcPr>
          <w:p w14:paraId="6646DB61" w14:textId="77777777" w:rsidR="000D44B8" w:rsidRPr="009824AD" w:rsidRDefault="000D44B8" w:rsidP="006E3A16">
            <w:pPr>
              <w:jc w:val="center"/>
              <w:rPr>
                <w:rFonts w:ascii="Helvetica" w:hAnsi="Helvetica" w:cs="Calibri"/>
                <w:sz w:val="20"/>
                <w:szCs w:val="20"/>
                <w:lang w:val="en-US" w:eastAsia="nl-NL"/>
              </w:rPr>
            </w:pPr>
            <w:r w:rsidRPr="009824AD">
              <w:rPr>
                <w:rFonts w:ascii="Helvetica" w:hAnsi="Helvetica" w:cs="Calibri"/>
                <w:sz w:val="20"/>
                <w:szCs w:val="20"/>
                <w:lang w:val="en-US" w:eastAsia="nl-NL"/>
              </w:rPr>
              <w:t>30 (15.4)</w:t>
            </w:r>
          </w:p>
        </w:tc>
        <w:tc>
          <w:tcPr>
            <w:tcW w:w="992" w:type="dxa"/>
            <w:tcBorders>
              <w:left w:val="single" w:sz="4" w:space="0" w:color="auto"/>
            </w:tcBorders>
          </w:tcPr>
          <w:p w14:paraId="475B1299" w14:textId="77777777" w:rsidR="000D44B8" w:rsidRPr="009824AD" w:rsidRDefault="000D44B8" w:rsidP="006E3A16">
            <w:pPr>
              <w:tabs>
                <w:tab w:val="left" w:pos="310"/>
              </w:tabs>
              <w:jc w:val="center"/>
              <w:rPr>
                <w:rFonts w:ascii="Helvetica" w:eastAsia="Times New Roman" w:hAnsi="Helvetica" w:cs="Calibri"/>
                <w:sz w:val="20"/>
                <w:szCs w:val="20"/>
                <w:lang w:val="en-US" w:eastAsia="nl-NL"/>
              </w:rPr>
            </w:pPr>
            <w:r w:rsidRPr="009824AD">
              <w:rPr>
                <w:rFonts w:ascii="Helvetica" w:eastAsia="Times New Roman" w:hAnsi="Helvetica" w:cs="Calibri"/>
                <w:sz w:val="20"/>
                <w:szCs w:val="20"/>
                <w:lang w:val="en-US" w:eastAsia="nl-NL"/>
              </w:rPr>
              <w:t>0.610</w:t>
            </w:r>
          </w:p>
        </w:tc>
      </w:tr>
      <w:tr w:rsidR="000D44B8" w:rsidRPr="009824AD" w14:paraId="42838304" w14:textId="77777777" w:rsidTr="006E3A16">
        <w:tc>
          <w:tcPr>
            <w:tcW w:w="4111" w:type="dxa"/>
            <w:tcBorders>
              <w:right w:val="single" w:sz="4" w:space="0" w:color="auto"/>
            </w:tcBorders>
            <w:vAlign w:val="center"/>
          </w:tcPr>
          <w:p w14:paraId="7540E71F" w14:textId="673F7A8D" w:rsidR="000D44B8" w:rsidRPr="009824AD" w:rsidRDefault="000D44B8" w:rsidP="006E3A16">
            <w:pPr>
              <w:rPr>
                <w:rFonts w:ascii="Helvetica" w:eastAsia="Times New Roman" w:hAnsi="Helvetica" w:cs="Calibri"/>
                <w:b/>
                <w:sz w:val="20"/>
                <w:szCs w:val="20"/>
                <w:lang w:val="en-US" w:eastAsia="nl-NL"/>
              </w:rPr>
            </w:pPr>
            <w:r w:rsidRPr="009824AD">
              <w:rPr>
                <w:rFonts w:ascii="Helvetica" w:eastAsia="Times New Roman" w:hAnsi="Helvetica" w:cs="Calibri"/>
                <w:b/>
                <w:sz w:val="20"/>
                <w:szCs w:val="20"/>
                <w:lang w:val="en-US" w:eastAsia="nl-NL"/>
              </w:rPr>
              <w:t>Tumor characteristics</w:t>
            </w:r>
          </w:p>
        </w:tc>
        <w:tc>
          <w:tcPr>
            <w:tcW w:w="1985" w:type="dxa"/>
            <w:tcBorders>
              <w:left w:val="single" w:sz="4" w:space="0" w:color="auto"/>
              <w:right w:val="single" w:sz="4" w:space="0" w:color="auto"/>
            </w:tcBorders>
          </w:tcPr>
          <w:p w14:paraId="55EF8DFE" w14:textId="77777777" w:rsidR="000D44B8" w:rsidRPr="009824AD" w:rsidRDefault="000D44B8" w:rsidP="006E3A16">
            <w:pPr>
              <w:jc w:val="center"/>
              <w:rPr>
                <w:rFonts w:ascii="Helvetica" w:hAnsi="Helvetica" w:cs="Calibri"/>
                <w:sz w:val="20"/>
                <w:szCs w:val="20"/>
                <w:lang w:val="en-US"/>
              </w:rPr>
            </w:pPr>
          </w:p>
        </w:tc>
        <w:tc>
          <w:tcPr>
            <w:tcW w:w="1701" w:type="dxa"/>
            <w:tcBorders>
              <w:left w:val="single" w:sz="4" w:space="0" w:color="auto"/>
              <w:right w:val="single" w:sz="4" w:space="0" w:color="auto"/>
            </w:tcBorders>
          </w:tcPr>
          <w:p w14:paraId="62271B51" w14:textId="77777777" w:rsidR="000D44B8" w:rsidRPr="009824AD" w:rsidRDefault="000D44B8" w:rsidP="006E3A16">
            <w:pPr>
              <w:jc w:val="center"/>
              <w:rPr>
                <w:rFonts w:ascii="Helvetica" w:hAnsi="Helvetica" w:cs="Calibri"/>
                <w:sz w:val="20"/>
                <w:szCs w:val="20"/>
                <w:lang w:val="en-US"/>
              </w:rPr>
            </w:pPr>
          </w:p>
        </w:tc>
        <w:tc>
          <w:tcPr>
            <w:tcW w:w="992" w:type="dxa"/>
            <w:tcBorders>
              <w:left w:val="single" w:sz="4" w:space="0" w:color="auto"/>
            </w:tcBorders>
          </w:tcPr>
          <w:p w14:paraId="114FEEA9" w14:textId="77777777" w:rsidR="000D44B8" w:rsidRPr="009824AD" w:rsidRDefault="000D44B8" w:rsidP="006E3A16">
            <w:pPr>
              <w:jc w:val="center"/>
              <w:rPr>
                <w:rFonts w:ascii="Helvetica" w:hAnsi="Helvetica" w:cs="Calibri"/>
                <w:sz w:val="20"/>
                <w:szCs w:val="20"/>
                <w:lang w:val="en-US"/>
              </w:rPr>
            </w:pPr>
          </w:p>
        </w:tc>
      </w:tr>
      <w:tr w:rsidR="000D44B8" w:rsidRPr="009824AD" w14:paraId="37243E68" w14:textId="77777777" w:rsidTr="006E3A16">
        <w:tc>
          <w:tcPr>
            <w:tcW w:w="4111" w:type="dxa"/>
            <w:tcBorders>
              <w:right w:val="single" w:sz="4" w:space="0" w:color="auto"/>
            </w:tcBorders>
            <w:vAlign w:val="center"/>
          </w:tcPr>
          <w:p w14:paraId="4A45FE14" w14:textId="77777777" w:rsidR="000D44B8" w:rsidRPr="009824AD" w:rsidRDefault="000D44B8" w:rsidP="006E3A16">
            <w:pPr>
              <w:tabs>
                <w:tab w:val="left" w:pos="310"/>
              </w:tabs>
              <w:ind w:left="170"/>
              <w:rPr>
                <w:rFonts w:ascii="Helvetica" w:eastAsia="Times New Roman" w:hAnsi="Helvetica" w:cs="Calibri"/>
                <w:sz w:val="20"/>
                <w:szCs w:val="20"/>
                <w:lang w:val="en-US" w:eastAsia="nl-NL"/>
              </w:rPr>
            </w:pPr>
            <w:r w:rsidRPr="009824AD">
              <w:rPr>
                <w:rFonts w:ascii="Helvetica" w:eastAsia="Times New Roman" w:hAnsi="Helvetica" w:cs="Calibri"/>
                <w:sz w:val="20"/>
                <w:szCs w:val="20"/>
                <w:lang w:val="en-US" w:eastAsia="nl-NL"/>
              </w:rPr>
              <w:t>Histological Diagnosis</w:t>
            </w:r>
          </w:p>
          <w:p w14:paraId="7A3125FF" w14:textId="77777777" w:rsidR="000D44B8" w:rsidRPr="009824AD" w:rsidRDefault="000D44B8" w:rsidP="006E3A16">
            <w:pPr>
              <w:tabs>
                <w:tab w:val="left" w:pos="310"/>
              </w:tabs>
              <w:ind w:left="170"/>
              <w:contextualSpacing/>
              <w:rPr>
                <w:rFonts w:ascii="Helvetica" w:hAnsi="Helvetica" w:cs="Calibri"/>
                <w:sz w:val="20"/>
                <w:szCs w:val="20"/>
                <w:lang w:val="en-US"/>
              </w:rPr>
            </w:pPr>
            <w:r w:rsidRPr="009824AD">
              <w:rPr>
                <w:rFonts w:ascii="Helvetica" w:hAnsi="Helvetica" w:cs="Calibri"/>
                <w:sz w:val="20"/>
                <w:szCs w:val="20"/>
                <w:lang w:val="en-US"/>
              </w:rPr>
              <w:tab/>
              <w:t>CRLM (%)</w:t>
            </w:r>
          </w:p>
          <w:p w14:paraId="4A8B9495" w14:textId="77777777" w:rsidR="000D44B8" w:rsidRPr="009824AD" w:rsidRDefault="000D44B8" w:rsidP="006E3A16">
            <w:pPr>
              <w:tabs>
                <w:tab w:val="left" w:pos="310"/>
              </w:tabs>
              <w:ind w:left="170"/>
              <w:contextualSpacing/>
              <w:rPr>
                <w:rFonts w:ascii="Helvetica" w:hAnsi="Helvetica" w:cs="Calibri"/>
                <w:sz w:val="20"/>
                <w:szCs w:val="20"/>
                <w:lang w:val="en-US"/>
              </w:rPr>
            </w:pPr>
            <w:r w:rsidRPr="009824AD">
              <w:rPr>
                <w:rFonts w:ascii="Helvetica" w:hAnsi="Helvetica" w:cs="Calibri"/>
                <w:sz w:val="20"/>
                <w:szCs w:val="20"/>
                <w:lang w:val="en-US"/>
              </w:rPr>
              <w:tab/>
              <w:t>HCC (%)</w:t>
            </w:r>
          </w:p>
          <w:p w14:paraId="67CFF629" w14:textId="77777777" w:rsidR="000D44B8" w:rsidRPr="009824AD" w:rsidRDefault="000D44B8" w:rsidP="006E3A16">
            <w:pPr>
              <w:tabs>
                <w:tab w:val="left" w:pos="310"/>
              </w:tabs>
              <w:ind w:left="170"/>
              <w:contextualSpacing/>
              <w:rPr>
                <w:rFonts w:ascii="Helvetica" w:hAnsi="Helvetica" w:cs="Calibri"/>
                <w:sz w:val="20"/>
                <w:szCs w:val="20"/>
                <w:lang w:val="en-US"/>
              </w:rPr>
            </w:pPr>
            <w:r w:rsidRPr="009824AD">
              <w:rPr>
                <w:rFonts w:ascii="Helvetica" w:hAnsi="Helvetica" w:cs="Calibri"/>
                <w:sz w:val="20"/>
                <w:szCs w:val="20"/>
                <w:lang w:val="en-US"/>
              </w:rPr>
              <w:tab/>
              <w:t>Intrahepatic Cholangiocarcinoma (%)</w:t>
            </w:r>
          </w:p>
          <w:p w14:paraId="30238186" w14:textId="77777777" w:rsidR="000D44B8" w:rsidRPr="009824AD" w:rsidRDefault="000D44B8" w:rsidP="006E3A16">
            <w:pPr>
              <w:tabs>
                <w:tab w:val="left" w:pos="310"/>
              </w:tabs>
              <w:ind w:left="170"/>
              <w:contextualSpacing/>
              <w:rPr>
                <w:rFonts w:ascii="Helvetica" w:hAnsi="Helvetica" w:cs="Calibri"/>
                <w:sz w:val="20"/>
                <w:szCs w:val="20"/>
                <w:lang w:val="en-US"/>
              </w:rPr>
            </w:pPr>
            <w:r w:rsidRPr="009824AD">
              <w:rPr>
                <w:rFonts w:ascii="Helvetica" w:hAnsi="Helvetica" w:cs="Calibri"/>
                <w:sz w:val="20"/>
                <w:szCs w:val="20"/>
                <w:lang w:val="en-US"/>
              </w:rPr>
              <w:tab/>
              <w:t>Gallbladdercarcinoma (%)</w:t>
            </w:r>
          </w:p>
          <w:p w14:paraId="5D2CCA78" w14:textId="77777777" w:rsidR="000D44B8" w:rsidRPr="009824AD" w:rsidRDefault="000D44B8" w:rsidP="006E3A16">
            <w:pPr>
              <w:tabs>
                <w:tab w:val="left" w:pos="310"/>
              </w:tabs>
              <w:ind w:left="170"/>
              <w:contextualSpacing/>
              <w:rPr>
                <w:rFonts w:ascii="Helvetica" w:hAnsi="Helvetica" w:cs="Calibri"/>
                <w:sz w:val="20"/>
                <w:szCs w:val="20"/>
                <w:lang w:val="en-US"/>
              </w:rPr>
            </w:pPr>
            <w:r w:rsidRPr="009824AD">
              <w:rPr>
                <w:rFonts w:ascii="Helvetica" w:hAnsi="Helvetica" w:cs="Calibri"/>
                <w:sz w:val="20"/>
                <w:szCs w:val="20"/>
                <w:lang w:val="en-US"/>
              </w:rPr>
              <w:tab/>
              <w:t>Non-CRLM (%)</w:t>
            </w:r>
          </w:p>
          <w:p w14:paraId="1A6040CD" w14:textId="77777777" w:rsidR="000D44B8" w:rsidRPr="009824AD" w:rsidRDefault="000D44B8" w:rsidP="006E3A16">
            <w:pPr>
              <w:tabs>
                <w:tab w:val="left" w:pos="310"/>
              </w:tabs>
              <w:ind w:left="170"/>
              <w:contextualSpacing/>
              <w:rPr>
                <w:rFonts w:ascii="Helvetica" w:hAnsi="Helvetica" w:cs="Calibri"/>
                <w:sz w:val="20"/>
                <w:szCs w:val="20"/>
                <w:lang w:val="en-US"/>
              </w:rPr>
            </w:pPr>
            <w:r w:rsidRPr="009824AD">
              <w:rPr>
                <w:rFonts w:ascii="Helvetica" w:hAnsi="Helvetica" w:cs="Calibri"/>
                <w:sz w:val="20"/>
                <w:szCs w:val="20"/>
                <w:lang w:val="en-US"/>
              </w:rPr>
              <w:tab/>
              <w:t>Other malignancy (%)</w:t>
            </w:r>
          </w:p>
          <w:p w14:paraId="79A2BED4" w14:textId="77777777" w:rsidR="000D44B8" w:rsidRPr="009824AD" w:rsidRDefault="000D44B8" w:rsidP="006E3A16">
            <w:pPr>
              <w:tabs>
                <w:tab w:val="left" w:pos="310"/>
              </w:tabs>
              <w:ind w:left="170"/>
              <w:contextualSpacing/>
              <w:rPr>
                <w:rFonts w:ascii="Helvetica" w:hAnsi="Helvetica" w:cs="Calibri"/>
                <w:sz w:val="20"/>
                <w:szCs w:val="20"/>
                <w:lang w:val="en-US"/>
              </w:rPr>
            </w:pPr>
            <w:r w:rsidRPr="009824AD">
              <w:rPr>
                <w:rFonts w:ascii="Helvetica" w:hAnsi="Helvetica" w:cs="Calibri"/>
                <w:sz w:val="20"/>
                <w:szCs w:val="20"/>
                <w:lang w:val="en-US"/>
              </w:rPr>
              <w:tab/>
              <w:t>Benign (%)</w:t>
            </w:r>
          </w:p>
        </w:tc>
        <w:tc>
          <w:tcPr>
            <w:tcW w:w="1985" w:type="dxa"/>
            <w:tcBorders>
              <w:left w:val="single" w:sz="4" w:space="0" w:color="auto"/>
              <w:right w:val="single" w:sz="4" w:space="0" w:color="auto"/>
            </w:tcBorders>
            <w:vAlign w:val="center"/>
          </w:tcPr>
          <w:p w14:paraId="737FBA5B" w14:textId="77777777" w:rsidR="000D44B8" w:rsidRPr="009824AD" w:rsidRDefault="000D44B8" w:rsidP="006E3A16">
            <w:pPr>
              <w:jc w:val="center"/>
              <w:rPr>
                <w:rFonts w:ascii="Helvetica" w:eastAsia="Times New Roman" w:hAnsi="Helvetica" w:cs="Calibri"/>
                <w:sz w:val="20"/>
                <w:szCs w:val="20"/>
                <w:lang w:val="en-US" w:eastAsia="nl-NL"/>
              </w:rPr>
            </w:pPr>
          </w:p>
          <w:p w14:paraId="061D3245" w14:textId="77777777" w:rsidR="000D44B8" w:rsidRPr="009824AD" w:rsidRDefault="000D44B8" w:rsidP="006E3A16">
            <w:pPr>
              <w:jc w:val="center"/>
              <w:rPr>
                <w:rFonts w:ascii="Helvetica" w:eastAsia="Times New Roman" w:hAnsi="Helvetica" w:cs="Calibri"/>
                <w:sz w:val="20"/>
                <w:szCs w:val="20"/>
                <w:lang w:val="en-US" w:eastAsia="nl-NL"/>
              </w:rPr>
            </w:pPr>
            <w:r w:rsidRPr="009824AD">
              <w:rPr>
                <w:rFonts w:ascii="Helvetica" w:eastAsia="Times New Roman" w:hAnsi="Helvetica" w:cs="Calibri"/>
                <w:sz w:val="20"/>
                <w:szCs w:val="20"/>
                <w:lang w:val="en-US" w:eastAsia="nl-NL"/>
              </w:rPr>
              <w:t>52 (57.8)</w:t>
            </w:r>
          </w:p>
          <w:p w14:paraId="291E2243" w14:textId="77777777" w:rsidR="000D44B8" w:rsidRPr="009824AD" w:rsidRDefault="000D44B8" w:rsidP="006E3A16">
            <w:pPr>
              <w:jc w:val="center"/>
              <w:rPr>
                <w:rFonts w:ascii="Helvetica" w:eastAsia="Times New Roman" w:hAnsi="Helvetica" w:cs="Calibri"/>
                <w:sz w:val="20"/>
                <w:szCs w:val="20"/>
                <w:lang w:val="en-US" w:eastAsia="nl-NL"/>
              </w:rPr>
            </w:pPr>
            <w:r w:rsidRPr="009824AD">
              <w:rPr>
                <w:rFonts w:ascii="Helvetica" w:eastAsia="Times New Roman" w:hAnsi="Helvetica" w:cs="Calibri"/>
                <w:sz w:val="20"/>
                <w:szCs w:val="20"/>
                <w:lang w:val="en-US" w:eastAsia="nl-NL"/>
              </w:rPr>
              <w:t>16 (17.8)</w:t>
            </w:r>
          </w:p>
          <w:p w14:paraId="041529BA" w14:textId="77777777" w:rsidR="000D44B8" w:rsidRPr="009824AD" w:rsidRDefault="000D44B8" w:rsidP="006E3A16">
            <w:pPr>
              <w:jc w:val="center"/>
              <w:rPr>
                <w:rFonts w:ascii="Helvetica" w:eastAsia="Times New Roman" w:hAnsi="Helvetica" w:cs="Calibri"/>
                <w:sz w:val="20"/>
                <w:szCs w:val="20"/>
                <w:lang w:val="en-US" w:eastAsia="nl-NL"/>
              </w:rPr>
            </w:pPr>
            <w:r w:rsidRPr="009824AD">
              <w:rPr>
                <w:rFonts w:ascii="Helvetica" w:eastAsia="Times New Roman" w:hAnsi="Helvetica" w:cs="Calibri"/>
                <w:sz w:val="20"/>
                <w:szCs w:val="20"/>
                <w:lang w:val="en-US" w:eastAsia="nl-NL"/>
              </w:rPr>
              <w:t>6 (6.7)</w:t>
            </w:r>
          </w:p>
          <w:p w14:paraId="3AEE7FB0" w14:textId="77777777" w:rsidR="000D44B8" w:rsidRPr="009824AD" w:rsidRDefault="000D44B8" w:rsidP="006E3A16">
            <w:pPr>
              <w:jc w:val="center"/>
              <w:rPr>
                <w:rFonts w:ascii="Helvetica" w:eastAsia="Times New Roman" w:hAnsi="Helvetica" w:cs="Calibri"/>
                <w:sz w:val="20"/>
                <w:szCs w:val="20"/>
                <w:lang w:val="en-US" w:eastAsia="nl-NL"/>
              </w:rPr>
            </w:pPr>
            <w:r w:rsidRPr="009824AD">
              <w:rPr>
                <w:rFonts w:ascii="Helvetica" w:eastAsia="Times New Roman" w:hAnsi="Helvetica" w:cs="Calibri"/>
                <w:sz w:val="20"/>
                <w:szCs w:val="20"/>
                <w:lang w:val="en-US" w:eastAsia="nl-NL"/>
              </w:rPr>
              <w:t>2 (2.2)</w:t>
            </w:r>
          </w:p>
          <w:p w14:paraId="6AA568D6" w14:textId="77777777" w:rsidR="000D44B8" w:rsidRPr="009824AD" w:rsidRDefault="000D44B8" w:rsidP="006E3A16">
            <w:pPr>
              <w:jc w:val="center"/>
              <w:rPr>
                <w:rFonts w:ascii="Helvetica" w:eastAsia="Times New Roman" w:hAnsi="Helvetica" w:cs="Calibri"/>
                <w:sz w:val="20"/>
                <w:szCs w:val="20"/>
                <w:lang w:val="en-US" w:eastAsia="nl-NL"/>
              </w:rPr>
            </w:pPr>
            <w:r w:rsidRPr="009824AD">
              <w:rPr>
                <w:rFonts w:ascii="Helvetica" w:eastAsia="Times New Roman" w:hAnsi="Helvetica" w:cs="Calibri"/>
                <w:sz w:val="20"/>
                <w:szCs w:val="20"/>
                <w:lang w:val="en-US" w:eastAsia="nl-NL"/>
              </w:rPr>
              <w:t>3 (3.3)</w:t>
            </w:r>
          </w:p>
          <w:p w14:paraId="66B3DB24" w14:textId="77777777" w:rsidR="000D44B8" w:rsidRPr="009824AD" w:rsidRDefault="000D44B8" w:rsidP="006E3A16">
            <w:pPr>
              <w:jc w:val="center"/>
              <w:rPr>
                <w:rFonts w:ascii="Helvetica" w:eastAsia="Times New Roman" w:hAnsi="Helvetica" w:cs="Calibri"/>
                <w:sz w:val="20"/>
                <w:szCs w:val="20"/>
                <w:lang w:val="en-US" w:eastAsia="nl-NL"/>
              </w:rPr>
            </w:pPr>
            <w:r w:rsidRPr="009824AD">
              <w:rPr>
                <w:rFonts w:ascii="Helvetica" w:eastAsia="Times New Roman" w:hAnsi="Helvetica" w:cs="Calibri"/>
                <w:sz w:val="20"/>
                <w:szCs w:val="20"/>
                <w:lang w:val="en-US" w:eastAsia="nl-NL"/>
              </w:rPr>
              <w:t>1 (1.1)</w:t>
            </w:r>
          </w:p>
          <w:p w14:paraId="1CEAE885" w14:textId="77777777" w:rsidR="000D44B8" w:rsidRPr="009824AD" w:rsidRDefault="000D44B8" w:rsidP="006E3A16">
            <w:pPr>
              <w:jc w:val="center"/>
              <w:rPr>
                <w:rFonts w:ascii="Helvetica" w:eastAsia="Times New Roman" w:hAnsi="Helvetica" w:cs="Calibri"/>
                <w:sz w:val="20"/>
                <w:szCs w:val="20"/>
                <w:lang w:val="en-US" w:eastAsia="nl-NL"/>
              </w:rPr>
            </w:pPr>
            <w:r w:rsidRPr="009824AD">
              <w:rPr>
                <w:rFonts w:ascii="Helvetica" w:eastAsia="Times New Roman" w:hAnsi="Helvetica" w:cs="Calibri"/>
                <w:sz w:val="20"/>
                <w:szCs w:val="20"/>
                <w:lang w:val="en-US" w:eastAsia="nl-NL"/>
              </w:rPr>
              <w:t>10 (11.1)</w:t>
            </w:r>
          </w:p>
        </w:tc>
        <w:tc>
          <w:tcPr>
            <w:tcW w:w="1701" w:type="dxa"/>
            <w:tcBorders>
              <w:left w:val="single" w:sz="4" w:space="0" w:color="auto"/>
              <w:right w:val="single" w:sz="4" w:space="0" w:color="auto"/>
            </w:tcBorders>
            <w:vAlign w:val="center"/>
          </w:tcPr>
          <w:p w14:paraId="7AE6F421" w14:textId="77777777" w:rsidR="000D44B8" w:rsidRPr="009824AD" w:rsidRDefault="000D44B8" w:rsidP="006E3A16">
            <w:pPr>
              <w:autoSpaceDE w:val="0"/>
              <w:autoSpaceDN w:val="0"/>
              <w:adjustRightInd w:val="0"/>
              <w:jc w:val="center"/>
              <w:rPr>
                <w:rFonts w:ascii="Helvetica" w:hAnsi="Helvetica" w:cs="Calibri"/>
                <w:sz w:val="20"/>
                <w:szCs w:val="20"/>
                <w:lang w:val="en-US"/>
              </w:rPr>
            </w:pPr>
          </w:p>
          <w:p w14:paraId="09309093" w14:textId="77777777" w:rsidR="000D44B8" w:rsidRPr="009824AD" w:rsidRDefault="000D44B8" w:rsidP="006E3A16">
            <w:pPr>
              <w:autoSpaceDE w:val="0"/>
              <w:autoSpaceDN w:val="0"/>
              <w:adjustRightInd w:val="0"/>
              <w:jc w:val="center"/>
              <w:rPr>
                <w:rFonts w:ascii="Helvetica" w:hAnsi="Helvetica" w:cs="Calibri"/>
                <w:sz w:val="20"/>
                <w:szCs w:val="20"/>
                <w:lang w:val="en-US"/>
              </w:rPr>
            </w:pPr>
            <w:r w:rsidRPr="009824AD">
              <w:rPr>
                <w:rFonts w:ascii="Helvetica" w:hAnsi="Helvetica" w:cs="Calibri"/>
                <w:sz w:val="20"/>
                <w:szCs w:val="20"/>
                <w:lang w:val="en-US"/>
              </w:rPr>
              <w:t>81 (41.5)</w:t>
            </w:r>
          </w:p>
          <w:p w14:paraId="2727112D" w14:textId="77777777" w:rsidR="000D44B8" w:rsidRPr="009824AD" w:rsidRDefault="000D44B8" w:rsidP="006E3A16">
            <w:pPr>
              <w:autoSpaceDE w:val="0"/>
              <w:autoSpaceDN w:val="0"/>
              <w:adjustRightInd w:val="0"/>
              <w:jc w:val="center"/>
              <w:rPr>
                <w:rFonts w:ascii="Helvetica" w:hAnsi="Helvetica" w:cs="Calibri"/>
                <w:sz w:val="20"/>
                <w:szCs w:val="20"/>
                <w:lang w:val="en-US"/>
              </w:rPr>
            </w:pPr>
            <w:r w:rsidRPr="009824AD">
              <w:rPr>
                <w:rFonts w:ascii="Helvetica" w:hAnsi="Helvetica" w:cs="Calibri"/>
                <w:sz w:val="20"/>
                <w:szCs w:val="20"/>
                <w:lang w:val="en-US"/>
              </w:rPr>
              <w:t>25 (12.8)</w:t>
            </w:r>
          </w:p>
          <w:p w14:paraId="20CAA08D" w14:textId="77777777" w:rsidR="000D44B8" w:rsidRPr="009824AD" w:rsidRDefault="000D44B8" w:rsidP="006E3A16">
            <w:pPr>
              <w:autoSpaceDE w:val="0"/>
              <w:autoSpaceDN w:val="0"/>
              <w:adjustRightInd w:val="0"/>
              <w:jc w:val="center"/>
              <w:rPr>
                <w:rFonts w:ascii="Helvetica" w:hAnsi="Helvetica" w:cs="Calibri"/>
                <w:sz w:val="20"/>
                <w:szCs w:val="20"/>
                <w:lang w:val="en-US"/>
              </w:rPr>
            </w:pPr>
            <w:r w:rsidRPr="009824AD">
              <w:rPr>
                <w:rFonts w:ascii="Helvetica" w:hAnsi="Helvetica" w:cs="Calibri"/>
                <w:sz w:val="20"/>
                <w:szCs w:val="20"/>
                <w:lang w:val="en-US"/>
              </w:rPr>
              <w:t>26 (13.3)</w:t>
            </w:r>
          </w:p>
          <w:p w14:paraId="187DF35A" w14:textId="77777777" w:rsidR="000D44B8" w:rsidRPr="009824AD" w:rsidRDefault="000D44B8" w:rsidP="006E3A16">
            <w:pPr>
              <w:autoSpaceDE w:val="0"/>
              <w:autoSpaceDN w:val="0"/>
              <w:adjustRightInd w:val="0"/>
              <w:jc w:val="center"/>
              <w:rPr>
                <w:rFonts w:ascii="Helvetica" w:hAnsi="Helvetica" w:cs="Calibri"/>
                <w:sz w:val="20"/>
                <w:szCs w:val="20"/>
                <w:lang w:val="en-US"/>
              </w:rPr>
            </w:pPr>
            <w:r w:rsidRPr="009824AD">
              <w:rPr>
                <w:rFonts w:ascii="Helvetica" w:hAnsi="Helvetica" w:cs="Calibri"/>
                <w:sz w:val="20"/>
                <w:szCs w:val="20"/>
                <w:lang w:val="en-US"/>
              </w:rPr>
              <w:t>4 (2.1)</w:t>
            </w:r>
          </w:p>
          <w:p w14:paraId="32ED8B07" w14:textId="77777777" w:rsidR="000D44B8" w:rsidRPr="009824AD" w:rsidRDefault="000D44B8" w:rsidP="006E3A16">
            <w:pPr>
              <w:autoSpaceDE w:val="0"/>
              <w:autoSpaceDN w:val="0"/>
              <w:adjustRightInd w:val="0"/>
              <w:jc w:val="center"/>
              <w:rPr>
                <w:rFonts w:ascii="Helvetica" w:hAnsi="Helvetica" w:cs="Calibri"/>
                <w:sz w:val="20"/>
                <w:szCs w:val="20"/>
                <w:lang w:val="en-US"/>
              </w:rPr>
            </w:pPr>
            <w:r w:rsidRPr="009824AD">
              <w:rPr>
                <w:rFonts w:ascii="Helvetica" w:hAnsi="Helvetica" w:cs="Calibri"/>
                <w:sz w:val="20"/>
                <w:szCs w:val="20"/>
                <w:lang w:val="en-US"/>
              </w:rPr>
              <w:t>20 (10.3)</w:t>
            </w:r>
          </w:p>
          <w:p w14:paraId="5DFB6262" w14:textId="77777777" w:rsidR="000D44B8" w:rsidRPr="009824AD" w:rsidRDefault="000D44B8" w:rsidP="006E3A16">
            <w:pPr>
              <w:autoSpaceDE w:val="0"/>
              <w:autoSpaceDN w:val="0"/>
              <w:adjustRightInd w:val="0"/>
              <w:jc w:val="center"/>
              <w:rPr>
                <w:rFonts w:ascii="Helvetica" w:hAnsi="Helvetica" w:cs="Calibri"/>
                <w:sz w:val="20"/>
                <w:szCs w:val="20"/>
                <w:lang w:val="en-US"/>
              </w:rPr>
            </w:pPr>
            <w:r w:rsidRPr="009824AD">
              <w:rPr>
                <w:rFonts w:ascii="Helvetica" w:hAnsi="Helvetica" w:cs="Calibri"/>
                <w:sz w:val="20"/>
                <w:szCs w:val="20"/>
                <w:lang w:val="en-US"/>
              </w:rPr>
              <w:t>6 (3.1)</w:t>
            </w:r>
          </w:p>
          <w:p w14:paraId="0FFA3773" w14:textId="77777777" w:rsidR="000D44B8" w:rsidRPr="009824AD" w:rsidRDefault="000D44B8" w:rsidP="006E3A16">
            <w:pPr>
              <w:autoSpaceDE w:val="0"/>
              <w:autoSpaceDN w:val="0"/>
              <w:adjustRightInd w:val="0"/>
              <w:jc w:val="center"/>
              <w:rPr>
                <w:rFonts w:ascii="Helvetica" w:hAnsi="Helvetica" w:cs="Calibri"/>
                <w:sz w:val="20"/>
                <w:szCs w:val="20"/>
                <w:lang w:val="en-US"/>
              </w:rPr>
            </w:pPr>
            <w:r w:rsidRPr="009824AD">
              <w:rPr>
                <w:rFonts w:ascii="Helvetica" w:hAnsi="Helvetica" w:cs="Calibri"/>
                <w:sz w:val="20"/>
                <w:szCs w:val="20"/>
                <w:lang w:val="en-US"/>
              </w:rPr>
              <w:t>33 (16.9)</w:t>
            </w:r>
          </w:p>
        </w:tc>
        <w:tc>
          <w:tcPr>
            <w:tcW w:w="992" w:type="dxa"/>
            <w:tcBorders>
              <w:left w:val="single" w:sz="4" w:space="0" w:color="auto"/>
            </w:tcBorders>
          </w:tcPr>
          <w:p w14:paraId="0D2DF532" w14:textId="77777777" w:rsidR="000D44B8" w:rsidRPr="009824AD" w:rsidRDefault="000D44B8" w:rsidP="006E3A16">
            <w:pPr>
              <w:tabs>
                <w:tab w:val="left" w:pos="310"/>
              </w:tabs>
              <w:jc w:val="center"/>
              <w:rPr>
                <w:rFonts w:ascii="Helvetica" w:eastAsia="Times New Roman" w:hAnsi="Helvetica" w:cs="Calibri"/>
                <w:b/>
                <w:bCs/>
                <w:sz w:val="20"/>
                <w:szCs w:val="20"/>
                <w:lang w:val="en-US" w:eastAsia="nl-NL"/>
              </w:rPr>
            </w:pPr>
            <w:r w:rsidRPr="009824AD">
              <w:rPr>
                <w:rFonts w:ascii="Helvetica" w:eastAsia="Times New Roman" w:hAnsi="Helvetica" w:cs="Calibri"/>
                <w:b/>
                <w:bCs/>
                <w:sz w:val="20"/>
                <w:szCs w:val="20"/>
                <w:lang w:val="en-US" w:eastAsia="nl-NL"/>
              </w:rPr>
              <w:t>0.043</w:t>
            </w:r>
          </w:p>
        </w:tc>
      </w:tr>
      <w:tr w:rsidR="000D44B8" w:rsidRPr="009824AD" w14:paraId="14BD69B5" w14:textId="77777777" w:rsidTr="006E3A16">
        <w:tc>
          <w:tcPr>
            <w:tcW w:w="4111" w:type="dxa"/>
            <w:tcBorders>
              <w:right w:val="single" w:sz="4" w:space="0" w:color="auto"/>
            </w:tcBorders>
            <w:vAlign w:val="center"/>
          </w:tcPr>
          <w:p w14:paraId="047ADAF3" w14:textId="77777777" w:rsidR="000D44B8" w:rsidRPr="009824AD" w:rsidRDefault="000D44B8" w:rsidP="006E3A16">
            <w:pPr>
              <w:tabs>
                <w:tab w:val="left" w:pos="310"/>
              </w:tabs>
              <w:ind w:left="170"/>
              <w:rPr>
                <w:rFonts w:ascii="Helvetica" w:eastAsia="Times New Roman" w:hAnsi="Helvetica" w:cs="Calibri"/>
                <w:sz w:val="20"/>
                <w:szCs w:val="20"/>
                <w:lang w:val="en-US" w:eastAsia="nl-NL"/>
              </w:rPr>
            </w:pPr>
            <w:r w:rsidRPr="009824AD">
              <w:rPr>
                <w:rFonts w:ascii="Helvetica" w:eastAsia="Times New Roman" w:hAnsi="Helvetica" w:cs="Calibri"/>
                <w:sz w:val="20"/>
                <w:szCs w:val="20"/>
                <w:lang w:val="en-US" w:eastAsia="nl-NL"/>
              </w:rPr>
              <w:t>Number of lesions</w:t>
            </w:r>
          </w:p>
          <w:p w14:paraId="782E5478" w14:textId="77777777" w:rsidR="000D44B8" w:rsidRPr="009824AD" w:rsidRDefault="000D44B8" w:rsidP="006E3A16">
            <w:pPr>
              <w:numPr>
                <w:ilvl w:val="0"/>
                <w:numId w:val="1"/>
              </w:numPr>
              <w:tabs>
                <w:tab w:val="left" w:pos="310"/>
              </w:tabs>
              <w:ind w:left="170"/>
              <w:rPr>
                <w:rFonts w:ascii="Helvetica" w:eastAsia="Times New Roman" w:hAnsi="Helvetica" w:cs="Calibri"/>
                <w:sz w:val="20"/>
                <w:szCs w:val="20"/>
                <w:lang w:val="en-US" w:eastAsia="nl-NL"/>
              </w:rPr>
            </w:pPr>
            <w:r w:rsidRPr="009824AD">
              <w:rPr>
                <w:rFonts w:ascii="Helvetica" w:eastAsia="Times New Roman" w:hAnsi="Helvetica" w:cs="Calibri"/>
                <w:sz w:val="20"/>
                <w:szCs w:val="20"/>
                <w:lang w:val="en-US" w:eastAsia="nl-NL"/>
              </w:rPr>
              <w:tab/>
              <w:t>0 (%)</w:t>
            </w:r>
          </w:p>
          <w:p w14:paraId="246B88A4" w14:textId="77777777" w:rsidR="000D44B8" w:rsidRPr="009824AD" w:rsidRDefault="000D44B8" w:rsidP="006E3A16">
            <w:pPr>
              <w:numPr>
                <w:ilvl w:val="0"/>
                <w:numId w:val="1"/>
              </w:numPr>
              <w:tabs>
                <w:tab w:val="left" w:pos="310"/>
              </w:tabs>
              <w:ind w:left="170"/>
              <w:rPr>
                <w:rFonts w:ascii="Helvetica" w:eastAsia="Times New Roman" w:hAnsi="Helvetica" w:cs="Calibri"/>
                <w:sz w:val="20"/>
                <w:szCs w:val="20"/>
                <w:lang w:val="en-US" w:eastAsia="nl-NL"/>
              </w:rPr>
            </w:pPr>
            <w:r w:rsidRPr="009824AD">
              <w:rPr>
                <w:rFonts w:ascii="Helvetica" w:eastAsia="Times New Roman" w:hAnsi="Helvetica" w:cs="Calibri"/>
                <w:sz w:val="20"/>
                <w:szCs w:val="20"/>
                <w:lang w:val="en-US" w:eastAsia="nl-NL"/>
              </w:rPr>
              <w:tab/>
              <w:t>1 (%)</w:t>
            </w:r>
          </w:p>
          <w:p w14:paraId="4C65B798" w14:textId="77777777" w:rsidR="000D44B8" w:rsidRPr="009824AD" w:rsidRDefault="000D44B8" w:rsidP="006E3A16">
            <w:pPr>
              <w:numPr>
                <w:ilvl w:val="0"/>
                <w:numId w:val="1"/>
              </w:numPr>
              <w:tabs>
                <w:tab w:val="left" w:pos="310"/>
              </w:tabs>
              <w:ind w:left="170"/>
              <w:rPr>
                <w:rFonts w:ascii="Helvetica" w:eastAsia="Times New Roman" w:hAnsi="Helvetica" w:cs="Calibri"/>
                <w:sz w:val="20"/>
                <w:szCs w:val="20"/>
                <w:lang w:val="en-US" w:eastAsia="nl-NL"/>
              </w:rPr>
            </w:pPr>
            <w:r w:rsidRPr="009824AD">
              <w:rPr>
                <w:rFonts w:ascii="Helvetica" w:eastAsia="Times New Roman" w:hAnsi="Helvetica" w:cs="Calibri"/>
                <w:sz w:val="20"/>
                <w:szCs w:val="20"/>
                <w:lang w:val="en-US" w:eastAsia="nl-NL"/>
              </w:rPr>
              <w:tab/>
              <w:t>2 (%)</w:t>
            </w:r>
          </w:p>
          <w:p w14:paraId="75412F03" w14:textId="77777777" w:rsidR="000D44B8" w:rsidRPr="009824AD" w:rsidRDefault="000D44B8" w:rsidP="006E3A16">
            <w:pPr>
              <w:numPr>
                <w:ilvl w:val="0"/>
                <w:numId w:val="1"/>
              </w:numPr>
              <w:tabs>
                <w:tab w:val="left" w:pos="310"/>
              </w:tabs>
              <w:ind w:left="170"/>
              <w:rPr>
                <w:rFonts w:ascii="Helvetica" w:eastAsia="Times New Roman" w:hAnsi="Helvetica" w:cs="Calibri"/>
                <w:sz w:val="20"/>
                <w:szCs w:val="20"/>
                <w:lang w:val="en-US" w:eastAsia="nl-NL"/>
              </w:rPr>
            </w:pPr>
            <w:r w:rsidRPr="009824AD">
              <w:rPr>
                <w:rFonts w:ascii="Helvetica" w:eastAsia="Times New Roman" w:hAnsi="Helvetica" w:cs="Calibri"/>
                <w:sz w:val="20"/>
                <w:szCs w:val="20"/>
                <w:lang w:val="en-US" w:eastAsia="nl-NL"/>
              </w:rPr>
              <w:tab/>
              <w:t>3 (%)</w:t>
            </w:r>
          </w:p>
          <w:p w14:paraId="60B57C66" w14:textId="77777777" w:rsidR="000D44B8" w:rsidRPr="009824AD" w:rsidRDefault="000D44B8" w:rsidP="006E3A16">
            <w:pPr>
              <w:numPr>
                <w:ilvl w:val="0"/>
                <w:numId w:val="1"/>
              </w:numPr>
              <w:tabs>
                <w:tab w:val="left" w:pos="310"/>
              </w:tabs>
              <w:ind w:left="170"/>
              <w:rPr>
                <w:rFonts w:ascii="Helvetica" w:eastAsia="Times New Roman" w:hAnsi="Helvetica" w:cs="Calibri"/>
                <w:sz w:val="20"/>
                <w:szCs w:val="20"/>
                <w:lang w:val="en-US" w:eastAsia="nl-NL"/>
              </w:rPr>
            </w:pPr>
            <w:r w:rsidRPr="009824AD">
              <w:rPr>
                <w:rFonts w:ascii="Helvetica" w:eastAsia="Times New Roman" w:hAnsi="Helvetica" w:cs="Calibri"/>
                <w:sz w:val="20"/>
                <w:szCs w:val="20"/>
                <w:lang w:val="en-US" w:eastAsia="nl-NL"/>
              </w:rPr>
              <w:tab/>
              <w:t>≥ 4 (%)</w:t>
            </w:r>
          </w:p>
        </w:tc>
        <w:tc>
          <w:tcPr>
            <w:tcW w:w="1985" w:type="dxa"/>
            <w:tcBorders>
              <w:left w:val="single" w:sz="4" w:space="0" w:color="auto"/>
              <w:right w:val="single" w:sz="4" w:space="0" w:color="auto"/>
            </w:tcBorders>
            <w:vAlign w:val="center"/>
          </w:tcPr>
          <w:p w14:paraId="2D724E11" w14:textId="77777777" w:rsidR="000D44B8" w:rsidRPr="009824AD" w:rsidRDefault="000D44B8" w:rsidP="006E3A16">
            <w:pPr>
              <w:autoSpaceDE w:val="0"/>
              <w:autoSpaceDN w:val="0"/>
              <w:adjustRightInd w:val="0"/>
              <w:jc w:val="center"/>
              <w:rPr>
                <w:rFonts w:ascii="Helvetica" w:hAnsi="Helvetica" w:cs="Calibri"/>
                <w:sz w:val="20"/>
                <w:szCs w:val="20"/>
                <w:lang w:val="en-US"/>
              </w:rPr>
            </w:pPr>
          </w:p>
          <w:p w14:paraId="1529A311" w14:textId="77777777" w:rsidR="000D44B8" w:rsidRPr="009824AD" w:rsidRDefault="000D44B8" w:rsidP="006E3A16">
            <w:pPr>
              <w:autoSpaceDE w:val="0"/>
              <w:autoSpaceDN w:val="0"/>
              <w:adjustRightInd w:val="0"/>
              <w:jc w:val="center"/>
              <w:rPr>
                <w:rFonts w:ascii="Helvetica" w:hAnsi="Helvetica" w:cs="Calibri"/>
                <w:sz w:val="20"/>
                <w:szCs w:val="20"/>
                <w:lang w:val="en-US"/>
              </w:rPr>
            </w:pPr>
            <w:r w:rsidRPr="009824AD">
              <w:rPr>
                <w:rFonts w:ascii="Helvetica" w:hAnsi="Helvetica" w:cs="Calibri"/>
                <w:sz w:val="20"/>
                <w:szCs w:val="20"/>
                <w:lang w:val="en-US"/>
              </w:rPr>
              <w:t>2 (2.2)</w:t>
            </w:r>
          </w:p>
          <w:p w14:paraId="79618230" w14:textId="77777777" w:rsidR="000D44B8" w:rsidRPr="009824AD" w:rsidRDefault="000D44B8" w:rsidP="006E3A16">
            <w:pPr>
              <w:autoSpaceDE w:val="0"/>
              <w:autoSpaceDN w:val="0"/>
              <w:adjustRightInd w:val="0"/>
              <w:jc w:val="center"/>
              <w:rPr>
                <w:rFonts w:ascii="Helvetica" w:hAnsi="Helvetica" w:cs="Calibri"/>
                <w:sz w:val="20"/>
                <w:szCs w:val="20"/>
                <w:lang w:val="en-US"/>
              </w:rPr>
            </w:pPr>
            <w:r w:rsidRPr="009824AD">
              <w:rPr>
                <w:rFonts w:ascii="Helvetica" w:hAnsi="Helvetica" w:cs="Calibri"/>
                <w:sz w:val="20"/>
                <w:szCs w:val="20"/>
                <w:lang w:val="en-US"/>
              </w:rPr>
              <w:t>58 (64.4)</w:t>
            </w:r>
          </w:p>
          <w:p w14:paraId="2CCC626D" w14:textId="77777777" w:rsidR="000D44B8" w:rsidRPr="009824AD" w:rsidRDefault="000D44B8" w:rsidP="006E3A16">
            <w:pPr>
              <w:autoSpaceDE w:val="0"/>
              <w:autoSpaceDN w:val="0"/>
              <w:adjustRightInd w:val="0"/>
              <w:jc w:val="center"/>
              <w:rPr>
                <w:rFonts w:ascii="Helvetica" w:hAnsi="Helvetica" w:cs="Calibri"/>
                <w:sz w:val="20"/>
                <w:szCs w:val="20"/>
                <w:lang w:val="en-US"/>
              </w:rPr>
            </w:pPr>
            <w:r w:rsidRPr="009824AD">
              <w:rPr>
                <w:rFonts w:ascii="Helvetica" w:hAnsi="Helvetica" w:cs="Calibri"/>
                <w:sz w:val="20"/>
                <w:szCs w:val="20"/>
                <w:lang w:val="en-US"/>
              </w:rPr>
              <w:t>12 (13.3)</w:t>
            </w:r>
          </w:p>
          <w:p w14:paraId="37E8B428" w14:textId="77777777" w:rsidR="000D44B8" w:rsidRPr="009824AD" w:rsidRDefault="000D44B8" w:rsidP="006E3A16">
            <w:pPr>
              <w:autoSpaceDE w:val="0"/>
              <w:autoSpaceDN w:val="0"/>
              <w:adjustRightInd w:val="0"/>
              <w:jc w:val="center"/>
              <w:rPr>
                <w:rFonts w:ascii="Helvetica" w:hAnsi="Helvetica" w:cs="Calibri"/>
                <w:sz w:val="20"/>
                <w:szCs w:val="20"/>
                <w:lang w:val="en-US"/>
              </w:rPr>
            </w:pPr>
            <w:r w:rsidRPr="009824AD">
              <w:rPr>
                <w:rFonts w:ascii="Helvetica" w:hAnsi="Helvetica" w:cs="Calibri"/>
                <w:sz w:val="20"/>
                <w:szCs w:val="20"/>
                <w:lang w:val="en-US"/>
              </w:rPr>
              <w:t>9 (10.0)</w:t>
            </w:r>
          </w:p>
          <w:p w14:paraId="75544416" w14:textId="77777777" w:rsidR="000D44B8" w:rsidRPr="009824AD" w:rsidRDefault="000D44B8" w:rsidP="006E3A16">
            <w:pPr>
              <w:autoSpaceDE w:val="0"/>
              <w:autoSpaceDN w:val="0"/>
              <w:adjustRightInd w:val="0"/>
              <w:jc w:val="center"/>
              <w:rPr>
                <w:rFonts w:ascii="Helvetica" w:hAnsi="Helvetica" w:cs="Calibri"/>
                <w:sz w:val="20"/>
                <w:szCs w:val="20"/>
                <w:lang w:val="en-US"/>
              </w:rPr>
            </w:pPr>
            <w:r w:rsidRPr="009824AD">
              <w:rPr>
                <w:rFonts w:ascii="Helvetica" w:hAnsi="Helvetica" w:cs="Calibri"/>
                <w:sz w:val="20"/>
                <w:szCs w:val="20"/>
                <w:lang w:val="en-US"/>
              </w:rPr>
              <w:t>9 (10.0)</w:t>
            </w:r>
          </w:p>
        </w:tc>
        <w:tc>
          <w:tcPr>
            <w:tcW w:w="1701" w:type="dxa"/>
            <w:tcBorders>
              <w:left w:val="single" w:sz="4" w:space="0" w:color="auto"/>
              <w:right w:val="single" w:sz="4" w:space="0" w:color="auto"/>
            </w:tcBorders>
            <w:vAlign w:val="center"/>
          </w:tcPr>
          <w:p w14:paraId="3CC4ECDD" w14:textId="77777777" w:rsidR="000D44B8" w:rsidRPr="009824AD" w:rsidRDefault="000D44B8" w:rsidP="006E3A16">
            <w:pPr>
              <w:autoSpaceDE w:val="0"/>
              <w:autoSpaceDN w:val="0"/>
              <w:adjustRightInd w:val="0"/>
              <w:jc w:val="center"/>
              <w:rPr>
                <w:rFonts w:ascii="Helvetica" w:hAnsi="Helvetica" w:cs="Calibri"/>
                <w:sz w:val="20"/>
                <w:szCs w:val="20"/>
                <w:lang w:val="en-US" w:eastAsia="nl-NL"/>
              </w:rPr>
            </w:pPr>
          </w:p>
          <w:p w14:paraId="69BFB146" w14:textId="77777777" w:rsidR="000D44B8" w:rsidRPr="009824AD" w:rsidRDefault="000D44B8" w:rsidP="006E3A16">
            <w:pPr>
              <w:autoSpaceDE w:val="0"/>
              <w:autoSpaceDN w:val="0"/>
              <w:adjustRightInd w:val="0"/>
              <w:jc w:val="center"/>
              <w:rPr>
                <w:rFonts w:ascii="Helvetica" w:hAnsi="Helvetica" w:cs="Calibri"/>
                <w:sz w:val="20"/>
                <w:szCs w:val="20"/>
                <w:lang w:val="en-US" w:eastAsia="nl-NL"/>
              </w:rPr>
            </w:pPr>
            <w:r w:rsidRPr="009824AD">
              <w:rPr>
                <w:rFonts w:ascii="Helvetica" w:hAnsi="Helvetica" w:cs="Calibri"/>
                <w:sz w:val="20"/>
                <w:szCs w:val="20"/>
                <w:lang w:val="en-US" w:eastAsia="nl-NL"/>
              </w:rPr>
              <w:t>8 (4.1)</w:t>
            </w:r>
          </w:p>
          <w:p w14:paraId="7A00C635" w14:textId="77777777" w:rsidR="000D44B8" w:rsidRPr="009824AD" w:rsidRDefault="000D44B8" w:rsidP="006E3A16">
            <w:pPr>
              <w:autoSpaceDE w:val="0"/>
              <w:autoSpaceDN w:val="0"/>
              <w:adjustRightInd w:val="0"/>
              <w:jc w:val="center"/>
              <w:rPr>
                <w:rFonts w:ascii="Helvetica" w:hAnsi="Helvetica" w:cs="Calibri"/>
                <w:sz w:val="20"/>
                <w:szCs w:val="20"/>
                <w:lang w:val="en-US" w:eastAsia="nl-NL"/>
              </w:rPr>
            </w:pPr>
            <w:r w:rsidRPr="009824AD">
              <w:rPr>
                <w:rFonts w:ascii="Helvetica" w:hAnsi="Helvetica" w:cs="Calibri"/>
                <w:sz w:val="20"/>
                <w:szCs w:val="20"/>
                <w:lang w:val="en-US" w:eastAsia="nl-NL"/>
              </w:rPr>
              <w:t>140 (71.8)</w:t>
            </w:r>
          </w:p>
          <w:p w14:paraId="0AC0E228" w14:textId="77777777" w:rsidR="000D44B8" w:rsidRPr="009824AD" w:rsidRDefault="000D44B8" w:rsidP="006E3A16">
            <w:pPr>
              <w:autoSpaceDE w:val="0"/>
              <w:autoSpaceDN w:val="0"/>
              <w:adjustRightInd w:val="0"/>
              <w:jc w:val="center"/>
              <w:rPr>
                <w:rFonts w:ascii="Helvetica" w:hAnsi="Helvetica" w:cs="Calibri"/>
                <w:sz w:val="20"/>
                <w:szCs w:val="20"/>
                <w:lang w:val="en-US" w:eastAsia="nl-NL"/>
              </w:rPr>
            </w:pPr>
            <w:r w:rsidRPr="009824AD">
              <w:rPr>
                <w:rFonts w:ascii="Helvetica" w:hAnsi="Helvetica" w:cs="Calibri"/>
                <w:sz w:val="20"/>
                <w:szCs w:val="20"/>
                <w:lang w:val="en-US" w:eastAsia="nl-NL"/>
              </w:rPr>
              <w:t>24 (12.3)</w:t>
            </w:r>
          </w:p>
          <w:p w14:paraId="24B0D899" w14:textId="77777777" w:rsidR="000D44B8" w:rsidRPr="009824AD" w:rsidRDefault="000D44B8" w:rsidP="006E3A16">
            <w:pPr>
              <w:autoSpaceDE w:val="0"/>
              <w:autoSpaceDN w:val="0"/>
              <w:adjustRightInd w:val="0"/>
              <w:jc w:val="center"/>
              <w:rPr>
                <w:rFonts w:ascii="Helvetica" w:hAnsi="Helvetica" w:cs="Calibri"/>
                <w:sz w:val="20"/>
                <w:szCs w:val="20"/>
                <w:lang w:val="en-US" w:eastAsia="nl-NL"/>
              </w:rPr>
            </w:pPr>
            <w:r w:rsidRPr="009824AD">
              <w:rPr>
                <w:rFonts w:ascii="Helvetica" w:hAnsi="Helvetica" w:cs="Calibri"/>
                <w:sz w:val="20"/>
                <w:szCs w:val="20"/>
                <w:lang w:val="en-US" w:eastAsia="nl-NL"/>
              </w:rPr>
              <w:t>7 (3.6)</w:t>
            </w:r>
          </w:p>
          <w:p w14:paraId="2F7224AC" w14:textId="77777777" w:rsidR="000D44B8" w:rsidRPr="009824AD" w:rsidRDefault="000D44B8" w:rsidP="006E3A16">
            <w:pPr>
              <w:autoSpaceDE w:val="0"/>
              <w:autoSpaceDN w:val="0"/>
              <w:adjustRightInd w:val="0"/>
              <w:jc w:val="center"/>
              <w:rPr>
                <w:rFonts w:ascii="Helvetica" w:hAnsi="Helvetica" w:cs="Calibri"/>
                <w:sz w:val="20"/>
                <w:szCs w:val="20"/>
                <w:lang w:val="en-US" w:eastAsia="nl-NL"/>
              </w:rPr>
            </w:pPr>
            <w:r w:rsidRPr="009824AD">
              <w:rPr>
                <w:rFonts w:ascii="Helvetica" w:hAnsi="Helvetica" w:cs="Calibri"/>
                <w:sz w:val="20"/>
                <w:szCs w:val="20"/>
                <w:lang w:val="en-US" w:eastAsia="nl-NL"/>
              </w:rPr>
              <w:t>16 (8.2)</w:t>
            </w:r>
          </w:p>
        </w:tc>
        <w:tc>
          <w:tcPr>
            <w:tcW w:w="992" w:type="dxa"/>
            <w:tcBorders>
              <w:left w:val="single" w:sz="4" w:space="0" w:color="auto"/>
            </w:tcBorders>
          </w:tcPr>
          <w:p w14:paraId="48F5B213" w14:textId="77777777" w:rsidR="000D44B8" w:rsidRPr="009824AD" w:rsidRDefault="000D44B8" w:rsidP="006E3A16">
            <w:pPr>
              <w:tabs>
                <w:tab w:val="left" w:pos="310"/>
              </w:tabs>
              <w:jc w:val="center"/>
              <w:rPr>
                <w:rFonts w:ascii="Helvetica" w:eastAsia="Times New Roman" w:hAnsi="Helvetica" w:cs="Calibri"/>
                <w:sz w:val="20"/>
                <w:szCs w:val="20"/>
                <w:lang w:val="en-US" w:eastAsia="nl-NL"/>
              </w:rPr>
            </w:pPr>
            <w:r w:rsidRPr="009824AD">
              <w:rPr>
                <w:rFonts w:ascii="Helvetica" w:eastAsia="Times New Roman" w:hAnsi="Helvetica" w:cs="Calibri"/>
                <w:sz w:val="20"/>
                <w:szCs w:val="20"/>
                <w:lang w:val="en-US" w:eastAsia="nl-NL"/>
              </w:rPr>
              <w:t>0.208</w:t>
            </w:r>
          </w:p>
        </w:tc>
      </w:tr>
      <w:tr w:rsidR="000D44B8" w:rsidRPr="009824AD" w14:paraId="55058FB7" w14:textId="77777777" w:rsidTr="006E3A16">
        <w:tc>
          <w:tcPr>
            <w:tcW w:w="4111" w:type="dxa"/>
            <w:tcBorders>
              <w:right w:val="single" w:sz="4" w:space="0" w:color="auto"/>
            </w:tcBorders>
            <w:vAlign w:val="center"/>
          </w:tcPr>
          <w:p w14:paraId="418D0052" w14:textId="0A1830A6" w:rsidR="000D44B8" w:rsidRPr="009824AD" w:rsidRDefault="000D44B8" w:rsidP="006E3A16">
            <w:pPr>
              <w:tabs>
                <w:tab w:val="left" w:pos="310"/>
              </w:tabs>
              <w:ind w:left="170"/>
              <w:rPr>
                <w:rFonts w:ascii="Helvetica" w:eastAsia="Times New Roman" w:hAnsi="Helvetica" w:cs="Calibri"/>
                <w:sz w:val="20"/>
                <w:szCs w:val="20"/>
                <w:lang w:val="en-US" w:eastAsia="nl-NL"/>
              </w:rPr>
            </w:pPr>
            <w:r w:rsidRPr="009824AD">
              <w:rPr>
                <w:rFonts w:ascii="Helvetica" w:eastAsia="Times New Roman" w:hAnsi="Helvetica" w:cs="Calibri"/>
                <w:sz w:val="20"/>
                <w:szCs w:val="20"/>
                <w:lang w:val="en-US" w:eastAsia="nl-NL"/>
              </w:rPr>
              <w:t>Size of largest lesion, mm, median (</w:t>
            </w:r>
            <w:r w:rsidR="00493F8D" w:rsidRPr="009824AD">
              <w:rPr>
                <w:rFonts w:ascii="Helvetica" w:eastAsia="Times New Roman" w:hAnsi="Helvetica" w:cs="Calibri"/>
                <w:sz w:val="20"/>
                <w:szCs w:val="20"/>
                <w:lang w:val="en-US" w:eastAsia="nl-NL"/>
              </w:rPr>
              <w:t>IQR</w:t>
            </w:r>
            <w:r w:rsidRPr="009824AD">
              <w:rPr>
                <w:rFonts w:ascii="Helvetica" w:eastAsia="Times New Roman" w:hAnsi="Helvetica" w:cs="Calibri"/>
                <w:sz w:val="20"/>
                <w:szCs w:val="20"/>
                <w:lang w:val="en-US" w:eastAsia="nl-NL"/>
              </w:rPr>
              <w:t>)</w:t>
            </w:r>
          </w:p>
        </w:tc>
        <w:tc>
          <w:tcPr>
            <w:tcW w:w="1985" w:type="dxa"/>
            <w:tcBorders>
              <w:left w:val="single" w:sz="4" w:space="0" w:color="auto"/>
              <w:right w:val="single" w:sz="4" w:space="0" w:color="auto"/>
            </w:tcBorders>
            <w:vAlign w:val="center"/>
          </w:tcPr>
          <w:p w14:paraId="59523323" w14:textId="77777777" w:rsidR="000D44B8" w:rsidRPr="009824AD" w:rsidRDefault="000D44B8" w:rsidP="006E3A16">
            <w:pPr>
              <w:jc w:val="center"/>
              <w:rPr>
                <w:rFonts w:ascii="Helvetica" w:eastAsia="Times New Roman" w:hAnsi="Helvetica" w:cs="Calibri"/>
                <w:sz w:val="20"/>
                <w:szCs w:val="20"/>
                <w:lang w:val="en-US" w:eastAsia="nl-NL"/>
              </w:rPr>
            </w:pPr>
            <w:r w:rsidRPr="009824AD">
              <w:rPr>
                <w:rFonts w:ascii="Helvetica" w:eastAsia="Times New Roman" w:hAnsi="Helvetica" w:cs="Calibri"/>
                <w:sz w:val="20"/>
                <w:szCs w:val="20"/>
                <w:lang w:val="en-US" w:eastAsia="nl-NL"/>
              </w:rPr>
              <w:t>40.0 (28.0-60.0)</w:t>
            </w:r>
          </w:p>
        </w:tc>
        <w:tc>
          <w:tcPr>
            <w:tcW w:w="1701" w:type="dxa"/>
            <w:tcBorders>
              <w:left w:val="single" w:sz="4" w:space="0" w:color="auto"/>
              <w:right w:val="single" w:sz="4" w:space="0" w:color="auto"/>
            </w:tcBorders>
            <w:vAlign w:val="center"/>
          </w:tcPr>
          <w:p w14:paraId="4180AE64" w14:textId="77777777" w:rsidR="000D44B8" w:rsidRPr="009824AD" w:rsidRDefault="000D44B8" w:rsidP="006E3A16">
            <w:pPr>
              <w:jc w:val="center"/>
              <w:rPr>
                <w:rFonts w:ascii="Helvetica" w:hAnsi="Helvetica" w:cs="Calibri"/>
                <w:sz w:val="20"/>
                <w:szCs w:val="20"/>
                <w:lang w:val="en-US" w:eastAsia="nl-NL"/>
              </w:rPr>
            </w:pPr>
            <w:r w:rsidRPr="009824AD">
              <w:rPr>
                <w:rFonts w:ascii="Helvetica" w:hAnsi="Helvetica" w:cs="Calibri"/>
                <w:sz w:val="20"/>
                <w:szCs w:val="20"/>
                <w:lang w:val="en-US"/>
              </w:rPr>
              <w:t>41.4 (26.0-63.1)</w:t>
            </w:r>
          </w:p>
        </w:tc>
        <w:tc>
          <w:tcPr>
            <w:tcW w:w="992" w:type="dxa"/>
            <w:tcBorders>
              <w:left w:val="single" w:sz="4" w:space="0" w:color="auto"/>
            </w:tcBorders>
          </w:tcPr>
          <w:p w14:paraId="00AF02A8" w14:textId="77777777" w:rsidR="000D44B8" w:rsidRPr="009824AD" w:rsidRDefault="000D44B8" w:rsidP="006E3A16">
            <w:pPr>
              <w:tabs>
                <w:tab w:val="left" w:pos="310"/>
              </w:tabs>
              <w:jc w:val="center"/>
              <w:rPr>
                <w:rFonts w:ascii="Helvetica" w:eastAsia="Times New Roman" w:hAnsi="Helvetica" w:cs="Calibri"/>
                <w:sz w:val="20"/>
                <w:szCs w:val="20"/>
                <w:lang w:val="en-US" w:eastAsia="nl-NL"/>
              </w:rPr>
            </w:pPr>
            <w:r w:rsidRPr="009824AD">
              <w:rPr>
                <w:rFonts w:ascii="Helvetica" w:eastAsia="Times New Roman" w:hAnsi="Helvetica" w:cs="Calibri"/>
                <w:sz w:val="20"/>
                <w:szCs w:val="20"/>
                <w:lang w:val="en-US" w:eastAsia="nl-NL"/>
              </w:rPr>
              <w:t>0.948</w:t>
            </w:r>
          </w:p>
        </w:tc>
      </w:tr>
      <w:tr w:rsidR="000D44B8" w:rsidRPr="009824AD" w14:paraId="537DB3CC" w14:textId="77777777" w:rsidTr="006E3A16">
        <w:tc>
          <w:tcPr>
            <w:tcW w:w="4111" w:type="dxa"/>
            <w:tcBorders>
              <w:right w:val="single" w:sz="4" w:space="0" w:color="auto"/>
            </w:tcBorders>
            <w:vAlign w:val="center"/>
          </w:tcPr>
          <w:p w14:paraId="51675186" w14:textId="77777777" w:rsidR="000D44B8" w:rsidRPr="009824AD" w:rsidRDefault="000D44B8" w:rsidP="006E3A16">
            <w:pPr>
              <w:tabs>
                <w:tab w:val="left" w:pos="310"/>
              </w:tabs>
              <w:ind w:left="170"/>
              <w:rPr>
                <w:rFonts w:ascii="Helvetica" w:eastAsia="Times New Roman" w:hAnsi="Helvetica" w:cs="Calibri"/>
                <w:sz w:val="20"/>
                <w:szCs w:val="20"/>
                <w:lang w:val="en-US" w:eastAsia="nl-NL"/>
              </w:rPr>
            </w:pPr>
            <w:r w:rsidRPr="009824AD">
              <w:rPr>
                <w:rFonts w:ascii="Helvetica" w:eastAsia="Times New Roman" w:hAnsi="Helvetica" w:cs="Calibri"/>
                <w:sz w:val="20"/>
                <w:szCs w:val="20"/>
                <w:lang w:val="en-US" w:eastAsia="nl-NL"/>
              </w:rPr>
              <w:t>Distribution of lesions</w:t>
            </w:r>
          </w:p>
          <w:p w14:paraId="03AF5228" w14:textId="77777777" w:rsidR="000D44B8" w:rsidRPr="009824AD" w:rsidRDefault="000D44B8" w:rsidP="006E3A16">
            <w:pPr>
              <w:tabs>
                <w:tab w:val="left" w:pos="310"/>
              </w:tabs>
              <w:ind w:left="170"/>
              <w:rPr>
                <w:rFonts w:ascii="Helvetica" w:eastAsia="Times New Roman" w:hAnsi="Helvetica" w:cs="Calibri"/>
                <w:sz w:val="20"/>
                <w:szCs w:val="20"/>
                <w:lang w:val="en-US" w:eastAsia="nl-NL"/>
              </w:rPr>
            </w:pPr>
            <w:r w:rsidRPr="009824AD">
              <w:rPr>
                <w:rFonts w:ascii="Helvetica" w:eastAsia="Times New Roman" w:hAnsi="Helvetica" w:cs="Calibri"/>
                <w:sz w:val="20"/>
                <w:szCs w:val="20"/>
                <w:lang w:val="en-US" w:eastAsia="nl-NL"/>
              </w:rPr>
              <w:tab/>
              <w:t>Unilobar (%)</w:t>
            </w:r>
          </w:p>
          <w:p w14:paraId="77EF7F27" w14:textId="77777777" w:rsidR="000D44B8" w:rsidRPr="009824AD" w:rsidRDefault="000D44B8" w:rsidP="006E3A16">
            <w:pPr>
              <w:tabs>
                <w:tab w:val="left" w:pos="310"/>
              </w:tabs>
              <w:ind w:left="170"/>
              <w:rPr>
                <w:rFonts w:ascii="Helvetica" w:eastAsia="Times New Roman" w:hAnsi="Helvetica" w:cs="Calibri"/>
                <w:sz w:val="20"/>
                <w:szCs w:val="20"/>
                <w:lang w:val="en-US" w:eastAsia="nl-NL"/>
              </w:rPr>
            </w:pPr>
            <w:r w:rsidRPr="009824AD">
              <w:rPr>
                <w:rFonts w:ascii="Helvetica" w:eastAsia="Times New Roman" w:hAnsi="Helvetica" w:cs="Calibri"/>
                <w:sz w:val="20"/>
                <w:szCs w:val="20"/>
                <w:lang w:val="en-US" w:eastAsia="nl-NL"/>
              </w:rPr>
              <w:tab/>
              <w:t>Bilobar (%)</w:t>
            </w:r>
          </w:p>
        </w:tc>
        <w:tc>
          <w:tcPr>
            <w:tcW w:w="1985" w:type="dxa"/>
            <w:tcBorders>
              <w:left w:val="single" w:sz="4" w:space="0" w:color="auto"/>
              <w:right w:val="single" w:sz="4" w:space="0" w:color="auto"/>
            </w:tcBorders>
            <w:vAlign w:val="center"/>
          </w:tcPr>
          <w:p w14:paraId="39EDE4F8" w14:textId="77777777" w:rsidR="000D44B8" w:rsidRPr="009824AD" w:rsidRDefault="000D44B8" w:rsidP="006E3A16">
            <w:pPr>
              <w:jc w:val="center"/>
              <w:rPr>
                <w:rFonts w:ascii="Helvetica" w:eastAsia="Times New Roman" w:hAnsi="Helvetica" w:cs="Calibri"/>
                <w:sz w:val="20"/>
                <w:szCs w:val="20"/>
                <w:lang w:val="en-US" w:eastAsia="nl-NL"/>
              </w:rPr>
            </w:pPr>
          </w:p>
          <w:p w14:paraId="7675C3D9" w14:textId="77777777" w:rsidR="000D44B8" w:rsidRPr="009824AD" w:rsidRDefault="000D44B8" w:rsidP="006E3A16">
            <w:pPr>
              <w:jc w:val="center"/>
              <w:rPr>
                <w:rFonts w:ascii="Helvetica" w:eastAsia="Times New Roman" w:hAnsi="Helvetica" w:cs="Calibri"/>
                <w:sz w:val="20"/>
                <w:szCs w:val="20"/>
                <w:lang w:val="en-US" w:eastAsia="nl-NL"/>
              </w:rPr>
            </w:pPr>
            <w:r w:rsidRPr="009824AD">
              <w:rPr>
                <w:rFonts w:ascii="Helvetica" w:eastAsia="Times New Roman" w:hAnsi="Helvetica" w:cs="Calibri"/>
                <w:sz w:val="20"/>
                <w:szCs w:val="20"/>
                <w:lang w:val="en-US" w:eastAsia="nl-NL"/>
              </w:rPr>
              <w:t>56 (62.2)</w:t>
            </w:r>
          </w:p>
          <w:p w14:paraId="1EE76028" w14:textId="77777777" w:rsidR="000D44B8" w:rsidRPr="009824AD" w:rsidRDefault="000D44B8" w:rsidP="006E3A16">
            <w:pPr>
              <w:jc w:val="center"/>
              <w:rPr>
                <w:rFonts w:ascii="Helvetica" w:eastAsia="Times New Roman" w:hAnsi="Helvetica" w:cs="Calibri"/>
                <w:sz w:val="20"/>
                <w:szCs w:val="20"/>
                <w:lang w:val="en-US" w:eastAsia="nl-NL"/>
              </w:rPr>
            </w:pPr>
            <w:r w:rsidRPr="009824AD">
              <w:rPr>
                <w:rFonts w:ascii="Helvetica" w:eastAsia="Times New Roman" w:hAnsi="Helvetica" w:cs="Calibri"/>
                <w:sz w:val="20"/>
                <w:szCs w:val="20"/>
                <w:lang w:val="en-US" w:eastAsia="nl-NL"/>
              </w:rPr>
              <w:t>29 (32.2)</w:t>
            </w:r>
          </w:p>
        </w:tc>
        <w:tc>
          <w:tcPr>
            <w:tcW w:w="1701" w:type="dxa"/>
            <w:tcBorders>
              <w:left w:val="single" w:sz="4" w:space="0" w:color="auto"/>
              <w:right w:val="single" w:sz="4" w:space="0" w:color="auto"/>
            </w:tcBorders>
            <w:vAlign w:val="center"/>
          </w:tcPr>
          <w:p w14:paraId="2D60AFFB" w14:textId="77777777" w:rsidR="000D44B8" w:rsidRPr="009824AD" w:rsidRDefault="000D44B8" w:rsidP="006E3A16">
            <w:pPr>
              <w:jc w:val="center"/>
              <w:rPr>
                <w:rFonts w:ascii="Helvetica" w:hAnsi="Helvetica" w:cs="Calibri"/>
                <w:sz w:val="20"/>
                <w:szCs w:val="20"/>
                <w:lang w:val="en-US"/>
              </w:rPr>
            </w:pPr>
          </w:p>
          <w:p w14:paraId="714BF4AA" w14:textId="77777777" w:rsidR="000D44B8" w:rsidRPr="009824AD" w:rsidRDefault="000D44B8" w:rsidP="006E3A16">
            <w:pPr>
              <w:jc w:val="center"/>
              <w:rPr>
                <w:rFonts w:ascii="Helvetica" w:hAnsi="Helvetica" w:cs="Calibri"/>
                <w:sz w:val="20"/>
                <w:szCs w:val="20"/>
                <w:lang w:val="en-US"/>
              </w:rPr>
            </w:pPr>
            <w:r w:rsidRPr="009824AD">
              <w:rPr>
                <w:rFonts w:ascii="Helvetica" w:hAnsi="Helvetica" w:cs="Calibri"/>
                <w:sz w:val="20"/>
                <w:szCs w:val="20"/>
                <w:lang w:val="en-US"/>
              </w:rPr>
              <w:t>147 (75.4)</w:t>
            </w:r>
          </w:p>
          <w:p w14:paraId="09F61EB7" w14:textId="77777777" w:rsidR="000D44B8" w:rsidRPr="009824AD" w:rsidRDefault="000D44B8" w:rsidP="006E3A16">
            <w:pPr>
              <w:jc w:val="center"/>
              <w:rPr>
                <w:rFonts w:ascii="Helvetica" w:hAnsi="Helvetica" w:cs="Calibri"/>
                <w:sz w:val="20"/>
                <w:szCs w:val="20"/>
                <w:lang w:val="en-US"/>
              </w:rPr>
            </w:pPr>
            <w:r w:rsidRPr="009824AD">
              <w:rPr>
                <w:rFonts w:ascii="Helvetica" w:hAnsi="Helvetica" w:cs="Calibri"/>
                <w:sz w:val="20"/>
                <w:szCs w:val="20"/>
                <w:lang w:val="en-US"/>
              </w:rPr>
              <w:t>46 (23.6)</w:t>
            </w:r>
          </w:p>
        </w:tc>
        <w:tc>
          <w:tcPr>
            <w:tcW w:w="992" w:type="dxa"/>
            <w:tcBorders>
              <w:left w:val="single" w:sz="4" w:space="0" w:color="auto"/>
            </w:tcBorders>
          </w:tcPr>
          <w:p w14:paraId="4204F6D2" w14:textId="77777777" w:rsidR="000D44B8" w:rsidRPr="009824AD" w:rsidRDefault="000D44B8" w:rsidP="006E3A16">
            <w:pPr>
              <w:tabs>
                <w:tab w:val="left" w:pos="310"/>
              </w:tabs>
              <w:jc w:val="center"/>
              <w:rPr>
                <w:rFonts w:ascii="Helvetica" w:eastAsia="Times New Roman" w:hAnsi="Helvetica" w:cs="Calibri"/>
                <w:sz w:val="20"/>
                <w:szCs w:val="20"/>
                <w:lang w:val="en-US" w:eastAsia="nl-NL"/>
              </w:rPr>
            </w:pPr>
            <w:r w:rsidRPr="009824AD">
              <w:rPr>
                <w:rFonts w:ascii="Helvetica" w:eastAsia="Times New Roman" w:hAnsi="Helvetica" w:cs="Calibri"/>
                <w:sz w:val="20"/>
                <w:szCs w:val="20"/>
                <w:lang w:val="en-US" w:eastAsia="nl-NL"/>
              </w:rPr>
              <w:t>0.055</w:t>
            </w:r>
          </w:p>
        </w:tc>
      </w:tr>
      <w:tr w:rsidR="000D44B8" w:rsidRPr="009824AD" w14:paraId="69110DF9" w14:textId="77777777" w:rsidTr="006E3A16">
        <w:tc>
          <w:tcPr>
            <w:tcW w:w="4111" w:type="dxa"/>
            <w:tcBorders>
              <w:right w:val="single" w:sz="4" w:space="0" w:color="auto"/>
            </w:tcBorders>
            <w:vAlign w:val="center"/>
          </w:tcPr>
          <w:p w14:paraId="18678D53" w14:textId="77777777" w:rsidR="000D44B8" w:rsidRPr="009824AD" w:rsidRDefault="000D44B8" w:rsidP="006E3A16">
            <w:pPr>
              <w:tabs>
                <w:tab w:val="left" w:pos="310"/>
              </w:tabs>
              <w:rPr>
                <w:rFonts w:ascii="Helvetica" w:eastAsia="Times New Roman" w:hAnsi="Helvetica" w:cs="Calibri"/>
                <w:b/>
                <w:sz w:val="20"/>
                <w:szCs w:val="20"/>
                <w:lang w:val="en-US" w:eastAsia="nl-NL"/>
              </w:rPr>
            </w:pPr>
            <w:r w:rsidRPr="009824AD">
              <w:rPr>
                <w:rFonts w:ascii="Helvetica" w:eastAsia="Times New Roman" w:hAnsi="Helvetica" w:cs="Calibri"/>
                <w:b/>
                <w:sz w:val="20"/>
                <w:szCs w:val="20"/>
                <w:lang w:val="en-US" w:eastAsia="nl-NL"/>
              </w:rPr>
              <w:t>Procedure characteristics</w:t>
            </w:r>
          </w:p>
        </w:tc>
        <w:tc>
          <w:tcPr>
            <w:tcW w:w="1985" w:type="dxa"/>
            <w:tcBorders>
              <w:left w:val="single" w:sz="4" w:space="0" w:color="auto"/>
              <w:right w:val="single" w:sz="4" w:space="0" w:color="auto"/>
            </w:tcBorders>
          </w:tcPr>
          <w:p w14:paraId="57A5786D" w14:textId="77777777" w:rsidR="000D44B8" w:rsidRPr="009824AD" w:rsidRDefault="000D44B8" w:rsidP="006E3A16">
            <w:pPr>
              <w:jc w:val="center"/>
              <w:rPr>
                <w:rFonts w:ascii="Helvetica" w:hAnsi="Helvetica" w:cs="Calibri"/>
                <w:sz w:val="20"/>
                <w:szCs w:val="20"/>
                <w:lang w:val="en-US"/>
              </w:rPr>
            </w:pPr>
          </w:p>
        </w:tc>
        <w:tc>
          <w:tcPr>
            <w:tcW w:w="1701" w:type="dxa"/>
            <w:tcBorders>
              <w:left w:val="single" w:sz="4" w:space="0" w:color="auto"/>
              <w:right w:val="single" w:sz="4" w:space="0" w:color="auto"/>
            </w:tcBorders>
          </w:tcPr>
          <w:p w14:paraId="0209CE2F" w14:textId="77777777" w:rsidR="000D44B8" w:rsidRPr="009824AD" w:rsidRDefault="000D44B8" w:rsidP="006E3A16">
            <w:pPr>
              <w:jc w:val="center"/>
              <w:rPr>
                <w:rFonts w:ascii="Helvetica" w:hAnsi="Helvetica" w:cs="Calibri"/>
                <w:sz w:val="20"/>
                <w:szCs w:val="20"/>
                <w:lang w:val="en-US"/>
              </w:rPr>
            </w:pPr>
          </w:p>
        </w:tc>
        <w:tc>
          <w:tcPr>
            <w:tcW w:w="992" w:type="dxa"/>
            <w:tcBorders>
              <w:left w:val="single" w:sz="4" w:space="0" w:color="auto"/>
            </w:tcBorders>
          </w:tcPr>
          <w:p w14:paraId="4D3799B8" w14:textId="77777777" w:rsidR="000D44B8" w:rsidRPr="009824AD" w:rsidRDefault="000D44B8" w:rsidP="006E3A16">
            <w:pPr>
              <w:jc w:val="center"/>
              <w:rPr>
                <w:rFonts w:ascii="Helvetica" w:hAnsi="Helvetica" w:cs="Calibri"/>
                <w:sz w:val="20"/>
                <w:szCs w:val="20"/>
                <w:lang w:val="en-US"/>
              </w:rPr>
            </w:pPr>
          </w:p>
        </w:tc>
      </w:tr>
      <w:tr w:rsidR="000D44B8" w:rsidRPr="009824AD" w14:paraId="2A395CD9" w14:textId="77777777" w:rsidTr="006E3A16">
        <w:tc>
          <w:tcPr>
            <w:tcW w:w="4111" w:type="dxa"/>
            <w:tcBorders>
              <w:right w:val="single" w:sz="4" w:space="0" w:color="auto"/>
            </w:tcBorders>
            <w:vAlign w:val="center"/>
          </w:tcPr>
          <w:p w14:paraId="4E51EA0A" w14:textId="77777777" w:rsidR="000D44B8" w:rsidRPr="009824AD" w:rsidRDefault="000D44B8" w:rsidP="006E3A16">
            <w:pPr>
              <w:tabs>
                <w:tab w:val="left" w:pos="310"/>
              </w:tabs>
              <w:ind w:left="170"/>
              <w:rPr>
                <w:rFonts w:ascii="Helvetica" w:eastAsia="Times New Roman" w:hAnsi="Helvetica" w:cs="Calibri"/>
                <w:sz w:val="20"/>
                <w:szCs w:val="20"/>
                <w:lang w:val="en-US" w:eastAsia="nl-NL"/>
              </w:rPr>
            </w:pPr>
            <w:r w:rsidRPr="009824AD">
              <w:rPr>
                <w:rFonts w:ascii="Helvetica" w:eastAsia="Times New Roman" w:hAnsi="Helvetica" w:cs="Calibri"/>
                <w:sz w:val="20"/>
                <w:szCs w:val="20"/>
                <w:lang w:val="en-US" w:eastAsia="nl-NL"/>
              </w:rPr>
              <w:t>Type of resection</w:t>
            </w:r>
          </w:p>
          <w:p w14:paraId="378C60A5" w14:textId="77777777" w:rsidR="000D44B8" w:rsidRPr="009824AD" w:rsidRDefault="000D44B8" w:rsidP="006E3A16">
            <w:pPr>
              <w:tabs>
                <w:tab w:val="left" w:pos="310"/>
              </w:tabs>
              <w:ind w:left="170"/>
              <w:rPr>
                <w:rFonts w:ascii="Helvetica" w:eastAsia="Times New Roman" w:hAnsi="Helvetica" w:cs="Calibri"/>
                <w:sz w:val="20"/>
                <w:szCs w:val="20"/>
                <w:lang w:val="en-US" w:eastAsia="nl-NL"/>
              </w:rPr>
            </w:pPr>
            <w:r w:rsidRPr="009824AD">
              <w:rPr>
                <w:rFonts w:ascii="Helvetica" w:eastAsia="Times New Roman" w:hAnsi="Helvetica" w:cs="Calibri"/>
                <w:sz w:val="20"/>
                <w:szCs w:val="20"/>
                <w:lang w:val="en-US" w:eastAsia="nl-NL"/>
              </w:rPr>
              <w:tab/>
              <w:t>Anatomical (%)</w:t>
            </w:r>
          </w:p>
          <w:p w14:paraId="1F6459B5" w14:textId="77777777" w:rsidR="000D44B8" w:rsidRPr="009824AD" w:rsidRDefault="000D44B8" w:rsidP="006E3A16">
            <w:pPr>
              <w:tabs>
                <w:tab w:val="left" w:pos="310"/>
              </w:tabs>
              <w:ind w:left="170"/>
              <w:rPr>
                <w:rFonts w:ascii="Helvetica" w:eastAsia="Times New Roman" w:hAnsi="Helvetica" w:cs="Calibri"/>
                <w:sz w:val="20"/>
                <w:szCs w:val="20"/>
                <w:lang w:val="en-US" w:eastAsia="nl-NL"/>
              </w:rPr>
            </w:pPr>
            <w:r w:rsidRPr="009824AD">
              <w:rPr>
                <w:rFonts w:ascii="Helvetica" w:eastAsia="Times New Roman" w:hAnsi="Helvetica" w:cs="Calibri"/>
                <w:sz w:val="20"/>
                <w:szCs w:val="20"/>
                <w:lang w:val="en-US" w:eastAsia="nl-NL"/>
              </w:rPr>
              <w:tab/>
              <w:t>Non-anatomical (%)</w:t>
            </w:r>
          </w:p>
          <w:p w14:paraId="67D23E55" w14:textId="77777777" w:rsidR="000D44B8" w:rsidRPr="009824AD" w:rsidRDefault="000D44B8" w:rsidP="006E3A16">
            <w:pPr>
              <w:tabs>
                <w:tab w:val="left" w:pos="310"/>
              </w:tabs>
              <w:ind w:left="170"/>
              <w:rPr>
                <w:rFonts w:ascii="Helvetica" w:eastAsia="Times New Roman" w:hAnsi="Helvetica" w:cs="Calibri"/>
                <w:sz w:val="20"/>
                <w:szCs w:val="20"/>
                <w:lang w:val="en-US" w:eastAsia="nl-NL"/>
              </w:rPr>
            </w:pPr>
            <w:r w:rsidRPr="009824AD">
              <w:rPr>
                <w:rFonts w:ascii="Helvetica" w:eastAsia="Times New Roman" w:hAnsi="Helvetica" w:cs="Calibri"/>
                <w:sz w:val="20"/>
                <w:szCs w:val="20"/>
                <w:lang w:val="en-US" w:eastAsia="nl-NL"/>
              </w:rPr>
              <w:tab/>
              <w:t>Combined non-anatomical/anatomical (%)</w:t>
            </w:r>
          </w:p>
        </w:tc>
        <w:tc>
          <w:tcPr>
            <w:tcW w:w="1985" w:type="dxa"/>
            <w:tcBorders>
              <w:left w:val="single" w:sz="4" w:space="0" w:color="auto"/>
              <w:right w:val="single" w:sz="4" w:space="0" w:color="auto"/>
            </w:tcBorders>
            <w:vAlign w:val="center"/>
          </w:tcPr>
          <w:p w14:paraId="07AE2AF5" w14:textId="77777777" w:rsidR="000D44B8" w:rsidRPr="009824AD" w:rsidRDefault="000D44B8" w:rsidP="006E3A16">
            <w:pPr>
              <w:jc w:val="center"/>
              <w:rPr>
                <w:rFonts w:ascii="Helvetica" w:eastAsia="Times New Roman" w:hAnsi="Helvetica" w:cs="Calibri"/>
                <w:sz w:val="20"/>
                <w:szCs w:val="20"/>
                <w:lang w:val="en-US" w:eastAsia="nl-NL"/>
              </w:rPr>
            </w:pPr>
          </w:p>
          <w:p w14:paraId="3FB2B7F2" w14:textId="77777777" w:rsidR="000D44B8" w:rsidRPr="009824AD" w:rsidRDefault="000D44B8" w:rsidP="006E3A16">
            <w:pPr>
              <w:jc w:val="center"/>
              <w:rPr>
                <w:rFonts w:ascii="Helvetica" w:eastAsia="Times New Roman" w:hAnsi="Helvetica" w:cs="Calibri"/>
                <w:sz w:val="20"/>
                <w:szCs w:val="20"/>
                <w:lang w:val="en-US" w:eastAsia="nl-NL"/>
              </w:rPr>
            </w:pPr>
            <w:r w:rsidRPr="009824AD">
              <w:rPr>
                <w:rFonts w:ascii="Helvetica" w:eastAsia="Times New Roman" w:hAnsi="Helvetica" w:cs="Calibri"/>
                <w:sz w:val="20"/>
                <w:szCs w:val="20"/>
                <w:lang w:val="en-US" w:eastAsia="nl-NL"/>
              </w:rPr>
              <w:t>58 (64.4)</w:t>
            </w:r>
          </w:p>
          <w:p w14:paraId="46478892" w14:textId="77777777" w:rsidR="000D44B8" w:rsidRPr="009824AD" w:rsidRDefault="000D44B8" w:rsidP="006E3A16">
            <w:pPr>
              <w:jc w:val="center"/>
              <w:rPr>
                <w:rFonts w:ascii="Helvetica" w:eastAsia="Times New Roman" w:hAnsi="Helvetica" w:cs="Calibri"/>
                <w:sz w:val="20"/>
                <w:szCs w:val="20"/>
                <w:lang w:val="en-US" w:eastAsia="nl-NL"/>
              </w:rPr>
            </w:pPr>
            <w:r w:rsidRPr="009824AD">
              <w:rPr>
                <w:rFonts w:ascii="Helvetica" w:eastAsia="Times New Roman" w:hAnsi="Helvetica" w:cs="Calibri"/>
                <w:sz w:val="20"/>
                <w:szCs w:val="20"/>
                <w:lang w:val="en-US" w:eastAsia="nl-NL"/>
              </w:rPr>
              <w:t>23 (25.6)</w:t>
            </w:r>
          </w:p>
          <w:p w14:paraId="414F11B8" w14:textId="77777777" w:rsidR="000D44B8" w:rsidRPr="009824AD" w:rsidRDefault="000D44B8" w:rsidP="006E3A16">
            <w:pPr>
              <w:jc w:val="center"/>
              <w:rPr>
                <w:rFonts w:ascii="Helvetica" w:eastAsia="Times New Roman" w:hAnsi="Helvetica" w:cs="Calibri"/>
                <w:sz w:val="20"/>
                <w:szCs w:val="20"/>
                <w:lang w:val="en-US" w:eastAsia="nl-NL"/>
              </w:rPr>
            </w:pPr>
            <w:r w:rsidRPr="009824AD">
              <w:rPr>
                <w:rFonts w:ascii="Helvetica" w:eastAsia="Times New Roman" w:hAnsi="Helvetica" w:cs="Calibri"/>
                <w:sz w:val="20"/>
                <w:szCs w:val="20"/>
                <w:lang w:val="en-US" w:eastAsia="nl-NL"/>
              </w:rPr>
              <w:t>9 (10.0)</w:t>
            </w:r>
          </w:p>
        </w:tc>
        <w:tc>
          <w:tcPr>
            <w:tcW w:w="1701" w:type="dxa"/>
            <w:tcBorders>
              <w:left w:val="single" w:sz="4" w:space="0" w:color="auto"/>
              <w:right w:val="single" w:sz="4" w:space="0" w:color="auto"/>
            </w:tcBorders>
            <w:vAlign w:val="center"/>
          </w:tcPr>
          <w:p w14:paraId="1167A107" w14:textId="77777777" w:rsidR="000D44B8" w:rsidRPr="009824AD" w:rsidRDefault="000D44B8" w:rsidP="006E3A16">
            <w:pPr>
              <w:jc w:val="center"/>
              <w:rPr>
                <w:rFonts w:ascii="Helvetica" w:hAnsi="Helvetica" w:cs="Calibri"/>
                <w:sz w:val="20"/>
                <w:szCs w:val="20"/>
                <w:lang w:val="en-US"/>
              </w:rPr>
            </w:pPr>
          </w:p>
          <w:p w14:paraId="4F995392" w14:textId="77777777" w:rsidR="000D44B8" w:rsidRPr="009824AD" w:rsidRDefault="000D44B8" w:rsidP="006E3A16">
            <w:pPr>
              <w:jc w:val="center"/>
              <w:rPr>
                <w:rFonts w:ascii="Helvetica" w:hAnsi="Helvetica" w:cs="Calibri"/>
                <w:sz w:val="20"/>
                <w:szCs w:val="20"/>
                <w:lang w:val="en-US"/>
              </w:rPr>
            </w:pPr>
            <w:r w:rsidRPr="009824AD">
              <w:rPr>
                <w:rFonts w:ascii="Helvetica" w:hAnsi="Helvetica" w:cs="Calibri"/>
                <w:sz w:val="20"/>
                <w:szCs w:val="20"/>
                <w:lang w:val="en-US"/>
              </w:rPr>
              <w:t>130 (66.7)</w:t>
            </w:r>
          </w:p>
          <w:p w14:paraId="4827F390" w14:textId="77777777" w:rsidR="000D44B8" w:rsidRPr="009824AD" w:rsidRDefault="000D44B8" w:rsidP="006E3A16">
            <w:pPr>
              <w:jc w:val="center"/>
              <w:rPr>
                <w:rFonts w:ascii="Helvetica" w:hAnsi="Helvetica" w:cs="Calibri"/>
                <w:sz w:val="20"/>
                <w:szCs w:val="20"/>
                <w:lang w:val="en-US"/>
              </w:rPr>
            </w:pPr>
            <w:r w:rsidRPr="009824AD">
              <w:rPr>
                <w:rFonts w:ascii="Helvetica" w:hAnsi="Helvetica" w:cs="Calibri"/>
                <w:sz w:val="20"/>
                <w:szCs w:val="20"/>
                <w:lang w:val="en-US"/>
              </w:rPr>
              <w:t>40 (20.5)</w:t>
            </w:r>
          </w:p>
          <w:p w14:paraId="3FB7A7E4" w14:textId="77777777" w:rsidR="000D44B8" w:rsidRPr="009824AD" w:rsidRDefault="000D44B8" w:rsidP="006E3A16">
            <w:pPr>
              <w:jc w:val="center"/>
              <w:rPr>
                <w:rFonts w:ascii="Helvetica" w:hAnsi="Helvetica" w:cs="Calibri"/>
                <w:sz w:val="20"/>
                <w:szCs w:val="20"/>
                <w:lang w:val="en-US"/>
              </w:rPr>
            </w:pPr>
            <w:r w:rsidRPr="009824AD">
              <w:rPr>
                <w:rFonts w:ascii="Helvetica" w:hAnsi="Helvetica" w:cs="Calibri"/>
                <w:sz w:val="20"/>
                <w:szCs w:val="20"/>
                <w:lang w:val="en-US"/>
              </w:rPr>
              <w:t>25 (12.8)</w:t>
            </w:r>
          </w:p>
        </w:tc>
        <w:tc>
          <w:tcPr>
            <w:tcW w:w="992" w:type="dxa"/>
            <w:tcBorders>
              <w:left w:val="single" w:sz="4" w:space="0" w:color="auto"/>
            </w:tcBorders>
          </w:tcPr>
          <w:p w14:paraId="03B0A1BC" w14:textId="77777777" w:rsidR="000D44B8" w:rsidRPr="009824AD" w:rsidRDefault="000D44B8" w:rsidP="006E3A16">
            <w:pPr>
              <w:tabs>
                <w:tab w:val="left" w:pos="310"/>
              </w:tabs>
              <w:jc w:val="center"/>
              <w:rPr>
                <w:rFonts w:ascii="Helvetica" w:eastAsia="Times New Roman" w:hAnsi="Helvetica" w:cs="Calibri"/>
                <w:sz w:val="20"/>
                <w:szCs w:val="20"/>
                <w:lang w:val="en-US" w:eastAsia="nl-NL"/>
              </w:rPr>
            </w:pPr>
            <w:r w:rsidRPr="009824AD">
              <w:rPr>
                <w:rFonts w:ascii="Helvetica" w:eastAsia="Times New Roman" w:hAnsi="Helvetica" w:cs="Calibri"/>
                <w:sz w:val="20"/>
                <w:szCs w:val="20"/>
                <w:lang w:val="en-US" w:eastAsia="nl-NL"/>
              </w:rPr>
              <w:t>0.558</w:t>
            </w:r>
          </w:p>
        </w:tc>
      </w:tr>
      <w:tr w:rsidR="000D44B8" w:rsidRPr="009824AD" w14:paraId="776B0BF3" w14:textId="77777777" w:rsidTr="006E3A16">
        <w:tc>
          <w:tcPr>
            <w:tcW w:w="4111" w:type="dxa"/>
            <w:tcBorders>
              <w:right w:val="single" w:sz="4" w:space="0" w:color="auto"/>
            </w:tcBorders>
            <w:vAlign w:val="center"/>
          </w:tcPr>
          <w:p w14:paraId="75ABC978" w14:textId="77777777" w:rsidR="000D44B8" w:rsidRPr="009824AD" w:rsidRDefault="000D44B8" w:rsidP="006E3A16">
            <w:pPr>
              <w:tabs>
                <w:tab w:val="left" w:pos="310"/>
              </w:tabs>
              <w:ind w:left="170"/>
              <w:rPr>
                <w:rFonts w:ascii="Helvetica" w:eastAsia="Times New Roman" w:hAnsi="Helvetica" w:cs="Calibri"/>
                <w:sz w:val="20"/>
                <w:szCs w:val="20"/>
                <w:lang w:val="en-US" w:eastAsia="nl-NL"/>
              </w:rPr>
            </w:pPr>
            <w:r w:rsidRPr="009824AD">
              <w:rPr>
                <w:rFonts w:ascii="Helvetica" w:eastAsia="Times New Roman" w:hAnsi="Helvetica" w:cs="Calibri"/>
                <w:sz w:val="20"/>
                <w:szCs w:val="20"/>
                <w:lang w:val="en-US" w:eastAsia="nl-NL"/>
              </w:rPr>
              <w:t>Extent of resection</w:t>
            </w:r>
          </w:p>
          <w:p w14:paraId="5A5CFC39" w14:textId="77777777" w:rsidR="000D44B8" w:rsidRPr="009824AD" w:rsidRDefault="000D44B8" w:rsidP="006E3A16">
            <w:pPr>
              <w:tabs>
                <w:tab w:val="left" w:pos="310"/>
              </w:tabs>
              <w:ind w:left="170"/>
              <w:contextualSpacing/>
              <w:rPr>
                <w:rFonts w:ascii="Helvetica" w:hAnsi="Helvetica" w:cs="Calibri"/>
                <w:i/>
                <w:iCs/>
                <w:sz w:val="20"/>
                <w:szCs w:val="20"/>
                <w:lang w:val="en-US"/>
              </w:rPr>
            </w:pPr>
            <w:r w:rsidRPr="009824AD">
              <w:rPr>
                <w:rFonts w:ascii="Helvetica" w:hAnsi="Helvetica" w:cs="Calibri"/>
                <w:i/>
                <w:iCs/>
                <w:sz w:val="20"/>
                <w:szCs w:val="20"/>
                <w:lang w:val="en-US"/>
              </w:rPr>
              <w:tab/>
              <w:t>Anterior/left lateral segments (2,3,4b,5,6)</w:t>
            </w:r>
          </w:p>
          <w:p w14:paraId="3C450BD2" w14:textId="77777777" w:rsidR="000D44B8" w:rsidRPr="009824AD" w:rsidRDefault="000D44B8" w:rsidP="006E3A16">
            <w:pPr>
              <w:tabs>
                <w:tab w:val="left" w:pos="310"/>
              </w:tabs>
              <w:ind w:left="170"/>
              <w:contextualSpacing/>
              <w:rPr>
                <w:rFonts w:ascii="Helvetica" w:hAnsi="Helvetica" w:cs="Calibri"/>
                <w:sz w:val="20"/>
                <w:szCs w:val="20"/>
                <w:lang w:val="en-US"/>
              </w:rPr>
            </w:pPr>
            <w:r w:rsidRPr="009824AD">
              <w:rPr>
                <w:rFonts w:ascii="Helvetica" w:hAnsi="Helvetica" w:cs="Calibri"/>
                <w:sz w:val="20"/>
                <w:szCs w:val="20"/>
                <w:lang w:val="en-US"/>
              </w:rPr>
              <w:tab/>
            </w:r>
            <w:r w:rsidRPr="009824AD">
              <w:rPr>
                <w:rFonts w:ascii="Helvetica" w:hAnsi="Helvetica" w:cs="Calibri"/>
                <w:sz w:val="20"/>
                <w:szCs w:val="20"/>
                <w:lang w:val="en-US"/>
              </w:rPr>
              <w:tab/>
              <w:t>Wedge (%)</w:t>
            </w:r>
          </w:p>
          <w:p w14:paraId="3FE34D75" w14:textId="77777777" w:rsidR="000D44B8" w:rsidRPr="009824AD" w:rsidRDefault="000D44B8" w:rsidP="006E3A16">
            <w:pPr>
              <w:tabs>
                <w:tab w:val="left" w:pos="310"/>
              </w:tabs>
              <w:ind w:left="170"/>
              <w:contextualSpacing/>
              <w:rPr>
                <w:rFonts w:ascii="Helvetica" w:hAnsi="Helvetica" w:cs="Calibri"/>
                <w:sz w:val="20"/>
                <w:szCs w:val="20"/>
                <w:lang w:val="en-US"/>
              </w:rPr>
            </w:pPr>
            <w:r w:rsidRPr="009824AD">
              <w:rPr>
                <w:rFonts w:ascii="Helvetica" w:hAnsi="Helvetica" w:cs="Calibri"/>
                <w:sz w:val="20"/>
                <w:szCs w:val="20"/>
                <w:lang w:val="en-US"/>
              </w:rPr>
              <w:tab/>
            </w:r>
            <w:r w:rsidRPr="009824AD">
              <w:rPr>
                <w:rFonts w:ascii="Helvetica" w:hAnsi="Helvetica" w:cs="Calibri"/>
                <w:sz w:val="20"/>
                <w:szCs w:val="20"/>
                <w:lang w:val="en-US"/>
              </w:rPr>
              <w:tab/>
              <w:t>Segmentectomy (%)</w:t>
            </w:r>
          </w:p>
          <w:p w14:paraId="0E1F5700" w14:textId="77777777" w:rsidR="000D44B8" w:rsidRPr="009824AD" w:rsidRDefault="000D44B8" w:rsidP="006E3A16">
            <w:pPr>
              <w:tabs>
                <w:tab w:val="left" w:pos="310"/>
              </w:tabs>
              <w:ind w:left="170"/>
              <w:contextualSpacing/>
              <w:rPr>
                <w:rFonts w:ascii="Helvetica" w:hAnsi="Helvetica" w:cs="Calibri"/>
                <w:sz w:val="20"/>
                <w:szCs w:val="20"/>
                <w:lang w:val="en-US"/>
              </w:rPr>
            </w:pPr>
            <w:r w:rsidRPr="009824AD">
              <w:rPr>
                <w:rFonts w:ascii="Helvetica" w:hAnsi="Helvetica" w:cs="Calibri"/>
                <w:sz w:val="20"/>
                <w:szCs w:val="20"/>
                <w:lang w:val="en-US"/>
              </w:rPr>
              <w:tab/>
            </w:r>
            <w:r w:rsidRPr="009824AD">
              <w:rPr>
                <w:rFonts w:ascii="Helvetica" w:hAnsi="Helvetica" w:cs="Calibri"/>
                <w:sz w:val="20"/>
                <w:szCs w:val="20"/>
                <w:lang w:val="en-US"/>
              </w:rPr>
              <w:tab/>
              <w:t>Bisegmentectomy (%)</w:t>
            </w:r>
          </w:p>
          <w:p w14:paraId="63595824" w14:textId="77777777" w:rsidR="000D44B8" w:rsidRPr="009824AD" w:rsidRDefault="000D44B8" w:rsidP="006E3A16">
            <w:pPr>
              <w:tabs>
                <w:tab w:val="left" w:pos="310"/>
              </w:tabs>
              <w:contextualSpacing/>
              <w:rPr>
                <w:rFonts w:ascii="Helvetica" w:hAnsi="Helvetica" w:cs="Calibri"/>
                <w:i/>
                <w:iCs/>
                <w:sz w:val="20"/>
                <w:szCs w:val="20"/>
                <w:lang w:val="en-US"/>
              </w:rPr>
            </w:pPr>
            <w:r w:rsidRPr="009824AD">
              <w:rPr>
                <w:rFonts w:ascii="Helvetica" w:hAnsi="Helvetica" w:cs="Calibri"/>
                <w:sz w:val="20"/>
                <w:szCs w:val="20"/>
                <w:lang w:val="en-US"/>
              </w:rPr>
              <w:tab/>
            </w:r>
            <w:r w:rsidRPr="009824AD">
              <w:rPr>
                <w:rFonts w:ascii="Helvetica" w:hAnsi="Helvetica" w:cs="Calibri"/>
                <w:i/>
                <w:iCs/>
                <w:sz w:val="20"/>
                <w:szCs w:val="20"/>
                <w:lang w:val="en-US"/>
              </w:rPr>
              <w:t>Posterior/superior segments (4a,7,8,1)</w:t>
            </w:r>
          </w:p>
          <w:p w14:paraId="75973F4E" w14:textId="77777777" w:rsidR="000D44B8" w:rsidRPr="009824AD" w:rsidRDefault="000D44B8" w:rsidP="006E3A16">
            <w:pPr>
              <w:tabs>
                <w:tab w:val="left" w:pos="310"/>
              </w:tabs>
              <w:ind w:left="170"/>
              <w:contextualSpacing/>
              <w:rPr>
                <w:rFonts w:ascii="Helvetica" w:hAnsi="Helvetica" w:cs="Calibri"/>
                <w:sz w:val="20"/>
                <w:szCs w:val="20"/>
                <w:lang w:val="en-US"/>
              </w:rPr>
            </w:pPr>
            <w:r w:rsidRPr="009824AD">
              <w:rPr>
                <w:rFonts w:ascii="Helvetica" w:hAnsi="Helvetica" w:cs="Calibri"/>
                <w:sz w:val="20"/>
                <w:szCs w:val="20"/>
                <w:lang w:val="en-US"/>
              </w:rPr>
              <w:tab/>
            </w:r>
            <w:r w:rsidRPr="009824AD">
              <w:rPr>
                <w:rFonts w:ascii="Helvetica" w:hAnsi="Helvetica" w:cs="Calibri"/>
                <w:sz w:val="20"/>
                <w:szCs w:val="20"/>
                <w:lang w:val="en-US"/>
              </w:rPr>
              <w:tab/>
              <w:t>Wedge (%)</w:t>
            </w:r>
          </w:p>
          <w:p w14:paraId="4664988F" w14:textId="77777777" w:rsidR="000D44B8" w:rsidRPr="009824AD" w:rsidRDefault="000D44B8" w:rsidP="006E3A16">
            <w:pPr>
              <w:tabs>
                <w:tab w:val="left" w:pos="310"/>
              </w:tabs>
              <w:ind w:left="170"/>
              <w:contextualSpacing/>
              <w:rPr>
                <w:rFonts w:ascii="Helvetica" w:hAnsi="Helvetica" w:cs="Calibri"/>
                <w:sz w:val="20"/>
                <w:szCs w:val="20"/>
                <w:lang w:val="en-US"/>
              </w:rPr>
            </w:pPr>
            <w:r w:rsidRPr="009824AD">
              <w:rPr>
                <w:rFonts w:ascii="Helvetica" w:hAnsi="Helvetica" w:cs="Calibri"/>
                <w:sz w:val="20"/>
                <w:szCs w:val="20"/>
                <w:lang w:val="en-US"/>
              </w:rPr>
              <w:tab/>
            </w:r>
            <w:r w:rsidRPr="009824AD">
              <w:rPr>
                <w:rFonts w:ascii="Helvetica" w:hAnsi="Helvetica" w:cs="Calibri"/>
                <w:sz w:val="20"/>
                <w:szCs w:val="20"/>
                <w:lang w:val="en-US"/>
              </w:rPr>
              <w:tab/>
              <w:t>Segmentectomy (%)</w:t>
            </w:r>
          </w:p>
          <w:p w14:paraId="1C3D7E4B" w14:textId="77777777" w:rsidR="000D44B8" w:rsidRPr="009824AD" w:rsidRDefault="000D44B8" w:rsidP="006E3A16">
            <w:pPr>
              <w:tabs>
                <w:tab w:val="left" w:pos="310"/>
              </w:tabs>
              <w:ind w:left="170"/>
              <w:contextualSpacing/>
              <w:rPr>
                <w:rFonts w:ascii="Helvetica" w:hAnsi="Helvetica" w:cs="Calibri"/>
                <w:sz w:val="20"/>
                <w:szCs w:val="20"/>
                <w:lang w:val="en-US"/>
              </w:rPr>
            </w:pPr>
            <w:r w:rsidRPr="009824AD">
              <w:rPr>
                <w:rFonts w:ascii="Helvetica" w:hAnsi="Helvetica" w:cs="Calibri"/>
                <w:sz w:val="20"/>
                <w:szCs w:val="20"/>
                <w:lang w:val="en-US"/>
              </w:rPr>
              <w:tab/>
            </w:r>
            <w:r w:rsidRPr="009824AD">
              <w:rPr>
                <w:rFonts w:ascii="Helvetica" w:hAnsi="Helvetica" w:cs="Calibri"/>
                <w:sz w:val="20"/>
                <w:szCs w:val="20"/>
                <w:lang w:val="en-US"/>
              </w:rPr>
              <w:tab/>
              <w:t>Bisegmentectomy (%)</w:t>
            </w:r>
          </w:p>
          <w:p w14:paraId="7E22BCA3" w14:textId="77777777" w:rsidR="000D44B8" w:rsidRPr="009824AD" w:rsidRDefault="000D44B8" w:rsidP="006E3A16">
            <w:pPr>
              <w:tabs>
                <w:tab w:val="left" w:pos="310"/>
              </w:tabs>
              <w:contextualSpacing/>
              <w:rPr>
                <w:rFonts w:ascii="Helvetica" w:hAnsi="Helvetica" w:cs="Calibri"/>
                <w:i/>
                <w:iCs/>
                <w:sz w:val="20"/>
                <w:szCs w:val="20"/>
                <w:lang w:val="en-US"/>
              </w:rPr>
            </w:pPr>
            <w:r w:rsidRPr="009824AD">
              <w:rPr>
                <w:rFonts w:ascii="Helvetica" w:hAnsi="Helvetica" w:cs="Calibri"/>
                <w:i/>
                <w:iCs/>
                <w:sz w:val="20"/>
                <w:szCs w:val="20"/>
                <w:lang w:val="en-US"/>
              </w:rPr>
              <w:lastRenderedPageBreak/>
              <w:tab/>
              <w:t>Anatomically Major</w:t>
            </w:r>
          </w:p>
          <w:p w14:paraId="15ABBEAA" w14:textId="77777777" w:rsidR="000D44B8" w:rsidRPr="009824AD" w:rsidRDefault="000D44B8" w:rsidP="006E3A16">
            <w:pPr>
              <w:tabs>
                <w:tab w:val="left" w:pos="310"/>
              </w:tabs>
              <w:ind w:left="170"/>
              <w:contextualSpacing/>
              <w:rPr>
                <w:rFonts w:ascii="Helvetica" w:hAnsi="Helvetica" w:cs="Calibri"/>
                <w:sz w:val="20"/>
                <w:szCs w:val="20"/>
                <w:lang w:val="en-US"/>
              </w:rPr>
            </w:pPr>
            <w:r w:rsidRPr="009824AD">
              <w:rPr>
                <w:rFonts w:ascii="Helvetica" w:hAnsi="Helvetica" w:cs="Calibri"/>
                <w:sz w:val="20"/>
                <w:szCs w:val="20"/>
                <w:lang w:val="en-US"/>
              </w:rPr>
              <w:tab/>
            </w:r>
            <w:r w:rsidRPr="009824AD">
              <w:rPr>
                <w:rFonts w:ascii="Helvetica" w:hAnsi="Helvetica" w:cs="Calibri"/>
                <w:sz w:val="20"/>
                <w:szCs w:val="20"/>
                <w:lang w:val="en-US"/>
              </w:rPr>
              <w:tab/>
              <w:t>Trisegmentectomy (%)</w:t>
            </w:r>
          </w:p>
          <w:p w14:paraId="78BE4690" w14:textId="77777777" w:rsidR="000D44B8" w:rsidRPr="009824AD" w:rsidRDefault="000D44B8" w:rsidP="006E3A16">
            <w:pPr>
              <w:tabs>
                <w:tab w:val="left" w:pos="310"/>
              </w:tabs>
              <w:ind w:left="170"/>
              <w:contextualSpacing/>
              <w:rPr>
                <w:rFonts w:ascii="Helvetica" w:hAnsi="Helvetica" w:cs="Calibri"/>
                <w:sz w:val="20"/>
                <w:szCs w:val="20"/>
                <w:lang w:val="en-US"/>
              </w:rPr>
            </w:pPr>
            <w:r w:rsidRPr="009824AD">
              <w:rPr>
                <w:rFonts w:ascii="Helvetica" w:hAnsi="Helvetica" w:cs="Calibri"/>
                <w:sz w:val="20"/>
                <w:szCs w:val="20"/>
                <w:lang w:val="en-US"/>
              </w:rPr>
              <w:tab/>
            </w:r>
            <w:r w:rsidRPr="009824AD">
              <w:rPr>
                <w:rFonts w:ascii="Helvetica" w:hAnsi="Helvetica" w:cs="Calibri"/>
                <w:sz w:val="20"/>
                <w:szCs w:val="20"/>
                <w:lang w:val="en-US"/>
              </w:rPr>
              <w:tab/>
              <w:t>Hemihepactectomy (%)</w:t>
            </w:r>
          </w:p>
          <w:p w14:paraId="36A5F51B" w14:textId="77777777" w:rsidR="000D44B8" w:rsidRPr="009824AD" w:rsidRDefault="000D44B8" w:rsidP="006E3A16">
            <w:pPr>
              <w:tabs>
                <w:tab w:val="left" w:pos="310"/>
              </w:tabs>
              <w:ind w:left="170"/>
              <w:contextualSpacing/>
              <w:rPr>
                <w:rFonts w:ascii="Helvetica" w:hAnsi="Helvetica" w:cs="Calibri"/>
                <w:sz w:val="20"/>
                <w:szCs w:val="20"/>
                <w:lang w:val="en-US"/>
              </w:rPr>
            </w:pPr>
            <w:r w:rsidRPr="009824AD">
              <w:rPr>
                <w:rFonts w:ascii="Helvetica" w:hAnsi="Helvetica" w:cs="Calibri"/>
                <w:sz w:val="20"/>
                <w:szCs w:val="20"/>
                <w:lang w:val="en-US"/>
              </w:rPr>
              <w:tab/>
            </w:r>
            <w:r w:rsidRPr="009824AD">
              <w:rPr>
                <w:rFonts w:ascii="Helvetica" w:hAnsi="Helvetica" w:cs="Calibri"/>
                <w:sz w:val="20"/>
                <w:szCs w:val="20"/>
                <w:lang w:val="en-US"/>
              </w:rPr>
              <w:tab/>
              <w:t>Extended hemihepatectomy (%)</w:t>
            </w:r>
          </w:p>
          <w:p w14:paraId="17B8CAC7" w14:textId="77777777" w:rsidR="000D44B8" w:rsidRPr="009824AD" w:rsidRDefault="000D44B8" w:rsidP="006E3A16">
            <w:pPr>
              <w:tabs>
                <w:tab w:val="left" w:pos="310"/>
              </w:tabs>
              <w:ind w:left="170"/>
              <w:contextualSpacing/>
              <w:rPr>
                <w:rFonts w:ascii="Helvetica" w:hAnsi="Helvetica" w:cs="Calibri"/>
                <w:sz w:val="20"/>
                <w:szCs w:val="20"/>
                <w:lang w:val="en-US"/>
              </w:rPr>
            </w:pPr>
            <w:r w:rsidRPr="009824AD">
              <w:rPr>
                <w:rFonts w:ascii="Helvetica" w:hAnsi="Helvetica" w:cs="Calibri"/>
                <w:sz w:val="20"/>
                <w:szCs w:val="20"/>
                <w:lang w:val="en-US"/>
              </w:rPr>
              <w:tab/>
            </w:r>
            <w:r w:rsidRPr="009824AD">
              <w:rPr>
                <w:rFonts w:ascii="Helvetica" w:hAnsi="Helvetica" w:cs="Calibri"/>
                <w:sz w:val="20"/>
                <w:szCs w:val="20"/>
                <w:lang w:val="en-US"/>
              </w:rPr>
              <w:tab/>
              <w:t>Other major hepatectomy (%)</w:t>
            </w:r>
          </w:p>
        </w:tc>
        <w:tc>
          <w:tcPr>
            <w:tcW w:w="1985" w:type="dxa"/>
            <w:tcBorders>
              <w:left w:val="single" w:sz="4" w:space="0" w:color="auto"/>
              <w:right w:val="single" w:sz="4" w:space="0" w:color="auto"/>
            </w:tcBorders>
          </w:tcPr>
          <w:p w14:paraId="2747F016" w14:textId="77777777" w:rsidR="000D44B8" w:rsidRPr="009824AD" w:rsidRDefault="000D44B8" w:rsidP="006E3A16">
            <w:pPr>
              <w:jc w:val="center"/>
              <w:rPr>
                <w:rFonts w:ascii="Helvetica" w:hAnsi="Helvetica" w:cs="Calibri"/>
                <w:sz w:val="20"/>
                <w:szCs w:val="20"/>
                <w:lang w:val="en-US"/>
              </w:rPr>
            </w:pPr>
          </w:p>
          <w:p w14:paraId="0DD253E3" w14:textId="77777777" w:rsidR="000D44B8" w:rsidRPr="009824AD" w:rsidRDefault="000D44B8" w:rsidP="006E3A16">
            <w:pPr>
              <w:jc w:val="center"/>
              <w:rPr>
                <w:rFonts w:ascii="Helvetica" w:hAnsi="Helvetica" w:cs="Calibri"/>
                <w:sz w:val="20"/>
                <w:szCs w:val="20"/>
                <w:lang w:val="en-US"/>
              </w:rPr>
            </w:pPr>
          </w:p>
          <w:p w14:paraId="58E8E169" w14:textId="77777777" w:rsidR="000D44B8" w:rsidRPr="009824AD" w:rsidRDefault="000D44B8" w:rsidP="006E3A16">
            <w:pPr>
              <w:jc w:val="center"/>
              <w:rPr>
                <w:rFonts w:ascii="Helvetica" w:hAnsi="Helvetica" w:cs="Calibri"/>
                <w:sz w:val="20"/>
                <w:szCs w:val="20"/>
                <w:lang w:val="en-US"/>
              </w:rPr>
            </w:pPr>
            <w:r w:rsidRPr="009824AD">
              <w:rPr>
                <w:rFonts w:ascii="Helvetica" w:hAnsi="Helvetica" w:cs="Calibri"/>
                <w:sz w:val="20"/>
                <w:szCs w:val="20"/>
                <w:lang w:val="en-US"/>
              </w:rPr>
              <w:t>10 (11.1)</w:t>
            </w:r>
          </w:p>
          <w:p w14:paraId="791C70F4" w14:textId="77777777" w:rsidR="000D44B8" w:rsidRPr="009824AD" w:rsidRDefault="000D44B8" w:rsidP="006E3A16">
            <w:pPr>
              <w:jc w:val="center"/>
              <w:rPr>
                <w:rFonts w:ascii="Helvetica" w:hAnsi="Helvetica" w:cs="Calibri"/>
                <w:sz w:val="20"/>
                <w:szCs w:val="20"/>
                <w:lang w:val="en-US"/>
              </w:rPr>
            </w:pPr>
            <w:r w:rsidRPr="009824AD">
              <w:rPr>
                <w:rFonts w:ascii="Helvetica" w:hAnsi="Helvetica" w:cs="Calibri"/>
                <w:sz w:val="20"/>
                <w:szCs w:val="20"/>
                <w:lang w:val="en-US"/>
              </w:rPr>
              <w:t>4 (4.4)</w:t>
            </w:r>
          </w:p>
          <w:p w14:paraId="53262B7D" w14:textId="77777777" w:rsidR="000D44B8" w:rsidRPr="009824AD" w:rsidRDefault="000D44B8" w:rsidP="006E3A16">
            <w:pPr>
              <w:jc w:val="center"/>
              <w:rPr>
                <w:rFonts w:ascii="Helvetica" w:hAnsi="Helvetica" w:cs="Calibri"/>
                <w:sz w:val="20"/>
                <w:szCs w:val="20"/>
                <w:lang w:val="en-US"/>
              </w:rPr>
            </w:pPr>
            <w:r w:rsidRPr="009824AD">
              <w:rPr>
                <w:rFonts w:ascii="Helvetica" w:hAnsi="Helvetica" w:cs="Calibri"/>
                <w:sz w:val="20"/>
                <w:szCs w:val="20"/>
                <w:lang w:val="en-US"/>
              </w:rPr>
              <w:t>9 (10.0)</w:t>
            </w:r>
          </w:p>
          <w:p w14:paraId="7A5F3525" w14:textId="77777777" w:rsidR="000D44B8" w:rsidRPr="009824AD" w:rsidRDefault="000D44B8" w:rsidP="006E3A16">
            <w:pPr>
              <w:jc w:val="center"/>
              <w:rPr>
                <w:rFonts w:ascii="Helvetica" w:hAnsi="Helvetica" w:cs="Calibri"/>
                <w:sz w:val="20"/>
                <w:szCs w:val="20"/>
                <w:lang w:val="en-US"/>
              </w:rPr>
            </w:pPr>
          </w:p>
          <w:p w14:paraId="3186CB5F" w14:textId="77777777" w:rsidR="000D44B8" w:rsidRPr="009824AD" w:rsidRDefault="000D44B8" w:rsidP="006E3A16">
            <w:pPr>
              <w:jc w:val="center"/>
              <w:rPr>
                <w:rFonts w:ascii="Helvetica" w:hAnsi="Helvetica" w:cs="Calibri"/>
                <w:sz w:val="20"/>
                <w:szCs w:val="20"/>
                <w:lang w:val="en-US"/>
              </w:rPr>
            </w:pPr>
            <w:r w:rsidRPr="009824AD">
              <w:rPr>
                <w:rFonts w:ascii="Helvetica" w:hAnsi="Helvetica" w:cs="Calibri"/>
                <w:sz w:val="20"/>
                <w:szCs w:val="20"/>
                <w:lang w:val="en-US"/>
              </w:rPr>
              <w:t>13 (14.4)</w:t>
            </w:r>
          </w:p>
          <w:p w14:paraId="1B34C9F7" w14:textId="77777777" w:rsidR="000D44B8" w:rsidRPr="009824AD" w:rsidRDefault="000D44B8" w:rsidP="006E3A16">
            <w:pPr>
              <w:jc w:val="center"/>
              <w:rPr>
                <w:rFonts w:ascii="Helvetica" w:hAnsi="Helvetica" w:cs="Calibri"/>
                <w:sz w:val="20"/>
                <w:szCs w:val="20"/>
                <w:lang w:val="en-US"/>
              </w:rPr>
            </w:pPr>
            <w:r w:rsidRPr="009824AD">
              <w:rPr>
                <w:rFonts w:ascii="Helvetica" w:hAnsi="Helvetica" w:cs="Calibri"/>
                <w:sz w:val="20"/>
                <w:szCs w:val="20"/>
                <w:lang w:val="en-US"/>
              </w:rPr>
              <w:t>7 (7.8)</w:t>
            </w:r>
          </w:p>
          <w:p w14:paraId="5334C306" w14:textId="77777777" w:rsidR="000D44B8" w:rsidRPr="009824AD" w:rsidRDefault="000D44B8" w:rsidP="006E3A16">
            <w:pPr>
              <w:jc w:val="center"/>
              <w:rPr>
                <w:rFonts w:ascii="Helvetica" w:hAnsi="Helvetica" w:cs="Calibri"/>
                <w:sz w:val="20"/>
                <w:szCs w:val="20"/>
                <w:lang w:val="en-US"/>
              </w:rPr>
            </w:pPr>
            <w:r w:rsidRPr="009824AD">
              <w:rPr>
                <w:rFonts w:ascii="Helvetica" w:hAnsi="Helvetica" w:cs="Calibri"/>
                <w:sz w:val="20"/>
                <w:szCs w:val="20"/>
                <w:lang w:val="en-US"/>
              </w:rPr>
              <w:t>4 (4.4)</w:t>
            </w:r>
          </w:p>
          <w:p w14:paraId="2A2AA329" w14:textId="77777777" w:rsidR="000D44B8" w:rsidRPr="009824AD" w:rsidRDefault="000D44B8" w:rsidP="006E3A16">
            <w:pPr>
              <w:jc w:val="center"/>
              <w:rPr>
                <w:rFonts w:ascii="Helvetica" w:hAnsi="Helvetica" w:cs="Calibri"/>
                <w:sz w:val="20"/>
                <w:szCs w:val="20"/>
                <w:lang w:val="en-US"/>
              </w:rPr>
            </w:pPr>
          </w:p>
          <w:p w14:paraId="40C2178A" w14:textId="77777777" w:rsidR="000D44B8" w:rsidRPr="009824AD" w:rsidRDefault="000D44B8" w:rsidP="006E3A16">
            <w:pPr>
              <w:jc w:val="center"/>
              <w:rPr>
                <w:rFonts w:ascii="Helvetica" w:hAnsi="Helvetica" w:cs="Calibri"/>
                <w:sz w:val="20"/>
                <w:szCs w:val="20"/>
                <w:lang w:val="en-US"/>
              </w:rPr>
            </w:pPr>
            <w:r w:rsidRPr="009824AD">
              <w:rPr>
                <w:rFonts w:ascii="Helvetica" w:hAnsi="Helvetica" w:cs="Calibri"/>
                <w:sz w:val="20"/>
                <w:szCs w:val="20"/>
                <w:lang w:val="en-US"/>
              </w:rPr>
              <w:lastRenderedPageBreak/>
              <w:t>3 (3.3)</w:t>
            </w:r>
          </w:p>
          <w:p w14:paraId="710DD316" w14:textId="77777777" w:rsidR="000D44B8" w:rsidRPr="009824AD" w:rsidRDefault="000D44B8" w:rsidP="006E3A16">
            <w:pPr>
              <w:jc w:val="center"/>
              <w:rPr>
                <w:rFonts w:ascii="Helvetica" w:hAnsi="Helvetica" w:cs="Calibri"/>
                <w:sz w:val="20"/>
                <w:szCs w:val="20"/>
                <w:lang w:val="en-US"/>
              </w:rPr>
            </w:pPr>
            <w:r w:rsidRPr="009824AD">
              <w:rPr>
                <w:rFonts w:ascii="Helvetica" w:hAnsi="Helvetica" w:cs="Calibri"/>
                <w:sz w:val="20"/>
                <w:szCs w:val="20"/>
                <w:lang w:val="en-US"/>
              </w:rPr>
              <w:t>28 (31.1)</w:t>
            </w:r>
          </w:p>
          <w:p w14:paraId="3A67D78C" w14:textId="77777777" w:rsidR="000D44B8" w:rsidRPr="009824AD" w:rsidRDefault="000D44B8" w:rsidP="006E3A16">
            <w:pPr>
              <w:jc w:val="center"/>
              <w:rPr>
                <w:rFonts w:ascii="Helvetica" w:hAnsi="Helvetica" w:cs="Calibri"/>
                <w:sz w:val="20"/>
                <w:szCs w:val="20"/>
                <w:lang w:val="en-US"/>
              </w:rPr>
            </w:pPr>
            <w:r w:rsidRPr="009824AD">
              <w:rPr>
                <w:rFonts w:ascii="Helvetica" w:hAnsi="Helvetica" w:cs="Calibri"/>
                <w:sz w:val="20"/>
                <w:szCs w:val="20"/>
                <w:lang w:val="en-US"/>
              </w:rPr>
              <w:t>12 (13.3)</w:t>
            </w:r>
          </w:p>
          <w:p w14:paraId="3CC4E6B5" w14:textId="77777777" w:rsidR="000D44B8" w:rsidRPr="009824AD" w:rsidRDefault="000D44B8" w:rsidP="006E3A16">
            <w:pPr>
              <w:jc w:val="center"/>
              <w:rPr>
                <w:rFonts w:ascii="Helvetica" w:hAnsi="Helvetica" w:cs="Calibri"/>
                <w:sz w:val="20"/>
                <w:szCs w:val="20"/>
                <w:lang w:val="en-US"/>
              </w:rPr>
            </w:pPr>
            <w:r w:rsidRPr="009824AD">
              <w:rPr>
                <w:rFonts w:ascii="Helvetica" w:hAnsi="Helvetica" w:cs="Calibri"/>
                <w:sz w:val="20"/>
                <w:szCs w:val="20"/>
                <w:lang w:val="en-US"/>
              </w:rPr>
              <w:t>0 (0)</w:t>
            </w:r>
          </w:p>
        </w:tc>
        <w:tc>
          <w:tcPr>
            <w:tcW w:w="1701" w:type="dxa"/>
            <w:tcBorders>
              <w:left w:val="single" w:sz="4" w:space="0" w:color="auto"/>
              <w:right w:val="single" w:sz="4" w:space="0" w:color="auto"/>
            </w:tcBorders>
          </w:tcPr>
          <w:p w14:paraId="68D38737" w14:textId="77777777" w:rsidR="000D44B8" w:rsidRPr="009824AD" w:rsidRDefault="000D44B8" w:rsidP="006E3A16">
            <w:pPr>
              <w:rPr>
                <w:rFonts w:ascii="Helvetica" w:hAnsi="Helvetica" w:cs="Calibri"/>
                <w:sz w:val="20"/>
                <w:szCs w:val="20"/>
                <w:lang w:val="en-US"/>
              </w:rPr>
            </w:pPr>
          </w:p>
          <w:p w14:paraId="15F7448A" w14:textId="77777777" w:rsidR="000D44B8" w:rsidRPr="009824AD" w:rsidRDefault="000D44B8" w:rsidP="006E3A16">
            <w:pPr>
              <w:rPr>
                <w:rFonts w:ascii="Helvetica" w:hAnsi="Helvetica" w:cs="Calibri"/>
                <w:sz w:val="20"/>
                <w:szCs w:val="20"/>
                <w:lang w:val="en-US"/>
              </w:rPr>
            </w:pPr>
          </w:p>
          <w:p w14:paraId="4A0D29C4" w14:textId="77777777" w:rsidR="000D44B8" w:rsidRPr="009824AD" w:rsidRDefault="000D44B8" w:rsidP="006E3A16">
            <w:pPr>
              <w:jc w:val="center"/>
              <w:rPr>
                <w:rFonts w:ascii="Helvetica" w:hAnsi="Helvetica" w:cs="Calibri"/>
                <w:sz w:val="20"/>
                <w:szCs w:val="20"/>
                <w:lang w:val="en-US"/>
              </w:rPr>
            </w:pPr>
            <w:r w:rsidRPr="009824AD">
              <w:rPr>
                <w:rFonts w:ascii="Helvetica" w:hAnsi="Helvetica" w:cs="Calibri"/>
                <w:sz w:val="20"/>
                <w:szCs w:val="20"/>
                <w:lang w:val="en-US"/>
              </w:rPr>
              <w:t>24 (12.3)</w:t>
            </w:r>
          </w:p>
          <w:p w14:paraId="7608108D" w14:textId="77777777" w:rsidR="000D44B8" w:rsidRPr="009824AD" w:rsidRDefault="000D44B8" w:rsidP="006E3A16">
            <w:pPr>
              <w:jc w:val="center"/>
              <w:rPr>
                <w:rFonts w:ascii="Helvetica" w:hAnsi="Helvetica" w:cs="Calibri"/>
                <w:sz w:val="20"/>
                <w:szCs w:val="20"/>
                <w:lang w:val="en-US"/>
              </w:rPr>
            </w:pPr>
            <w:r w:rsidRPr="009824AD">
              <w:rPr>
                <w:rFonts w:ascii="Helvetica" w:hAnsi="Helvetica" w:cs="Calibri"/>
                <w:sz w:val="20"/>
                <w:szCs w:val="20"/>
                <w:lang w:val="en-US"/>
              </w:rPr>
              <w:t>11 (5.6)</w:t>
            </w:r>
          </w:p>
          <w:p w14:paraId="2E6FF4F3" w14:textId="77777777" w:rsidR="000D44B8" w:rsidRPr="009824AD" w:rsidRDefault="000D44B8" w:rsidP="006E3A16">
            <w:pPr>
              <w:jc w:val="center"/>
              <w:rPr>
                <w:rFonts w:ascii="Helvetica" w:hAnsi="Helvetica" w:cs="Calibri"/>
                <w:sz w:val="20"/>
                <w:szCs w:val="20"/>
                <w:lang w:val="en-US"/>
              </w:rPr>
            </w:pPr>
            <w:r w:rsidRPr="009824AD">
              <w:rPr>
                <w:rFonts w:ascii="Helvetica" w:hAnsi="Helvetica" w:cs="Calibri"/>
                <w:sz w:val="20"/>
                <w:szCs w:val="20"/>
                <w:lang w:val="en-US"/>
              </w:rPr>
              <w:t>15 (7.7)</w:t>
            </w:r>
          </w:p>
          <w:p w14:paraId="1814CE58" w14:textId="77777777" w:rsidR="000D44B8" w:rsidRPr="009824AD" w:rsidRDefault="000D44B8" w:rsidP="006E3A16">
            <w:pPr>
              <w:jc w:val="center"/>
              <w:rPr>
                <w:rFonts w:ascii="Helvetica" w:hAnsi="Helvetica" w:cs="Calibri"/>
                <w:sz w:val="20"/>
                <w:szCs w:val="20"/>
                <w:lang w:val="en-US"/>
              </w:rPr>
            </w:pPr>
          </w:p>
          <w:p w14:paraId="713CC50E" w14:textId="77777777" w:rsidR="000D44B8" w:rsidRPr="009824AD" w:rsidRDefault="000D44B8" w:rsidP="006E3A16">
            <w:pPr>
              <w:jc w:val="center"/>
              <w:rPr>
                <w:rFonts w:ascii="Helvetica" w:hAnsi="Helvetica" w:cs="Calibri"/>
                <w:sz w:val="20"/>
                <w:szCs w:val="20"/>
                <w:lang w:val="en-US"/>
              </w:rPr>
            </w:pPr>
            <w:r w:rsidRPr="009824AD">
              <w:rPr>
                <w:rFonts w:ascii="Helvetica" w:hAnsi="Helvetica" w:cs="Calibri"/>
                <w:sz w:val="20"/>
                <w:szCs w:val="20"/>
                <w:lang w:val="en-US"/>
              </w:rPr>
              <w:t>16 (8.2)</w:t>
            </w:r>
          </w:p>
          <w:p w14:paraId="4360A80A" w14:textId="77777777" w:rsidR="000D44B8" w:rsidRPr="009824AD" w:rsidRDefault="000D44B8" w:rsidP="006E3A16">
            <w:pPr>
              <w:jc w:val="center"/>
              <w:rPr>
                <w:rFonts w:ascii="Helvetica" w:hAnsi="Helvetica" w:cs="Calibri"/>
                <w:sz w:val="20"/>
                <w:szCs w:val="20"/>
                <w:lang w:val="en-US"/>
              </w:rPr>
            </w:pPr>
            <w:r w:rsidRPr="009824AD">
              <w:rPr>
                <w:rFonts w:ascii="Helvetica" w:hAnsi="Helvetica" w:cs="Calibri"/>
                <w:sz w:val="20"/>
                <w:szCs w:val="20"/>
                <w:lang w:val="en-US"/>
              </w:rPr>
              <w:t>7 (3.6)</w:t>
            </w:r>
          </w:p>
          <w:p w14:paraId="6E1B6E82" w14:textId="77777777" w:rsidR="000D44B8" w:rsidRPr="009824AD" w:rsidRDefault="000D44B8" w:rsidP="006E3A16">
            <w:pPr>
              <w:jc w:val="center"/>
              <w:rPr>
                <w:rFonts w:ascii="Helvetica" w:hAnsi="Helvetica" w:cs="Calibri"/>
                <w:sz w:val="20"/>
                <w:szCs w:val="20"/>
                <w:lang w:val="en-US"/>
              </w:rPr>
            </w:pPr>
            <w:r w:rsidRPr="009824AD">
              <w:rPr>
                <w:rFonts w:ascii="Helvetica" w:hAnsi="Helvetica" w:cs="Calibri"/>
                <w:sz w:val="20"/>
                <w:szCs w:val="20"/>
                <w:lang w:val="en-US"/>
              </w:rPr>
              <w:t>24 (12.3)</w:t>
            </w:r>
          </w:p>
          <w:p w14:paraId="2D6B5A21" w14:textId="77777777" w:rsidR="000D44B8" w:rsidRPr="009824AD" w:rsidRDefault="000D44B8" w:rsidP="006E3A16">
            <w:pPr>
              <w:jc w:val="center"/>
              <w:rPr>
                <w:rFonts w:ascii="Helvetica" w:hAnsi="Helvetica" w:cs="Calibri"/>
                <w:sz w:val="20"/>
                <w:szCs w:val="20"/>
                <w:lang w:val="en-US"/>
              </w:rPr>
            </w:pPr>
          </w:p>
          <w:p w14:paraId="0A6D62DB" w14:textId="77777777" w:rsidR="000D44B8" w:rsidRPr="009824AD" w:rsidRDefault="000D44B8" w:rsidP="006E3A16">
            <w:pPr>
              <w:jc w:val="center"/>
              <w:rPr>
                <w:rFonts w:ascii="Helvetica" w:hAnsi="Helvetica" w:cs="Calibri"/>
                <w:sz w:val="20"/>
                <w:szCs w:val="20"/>
                <w:lang w:val="en-US"/>
              </w:rPr>
            </w:pPr>
            <w:r w:rsidRPr="009824AD">
              <w:rPr>
                <w:rFonts w:ascii="Helvetica" w:hAnsi="Helvetica" w:cs="Calibri"/>
                <w:sz w:val="20"/>
                <w:szCs w:val="20"/>
                <w:lang w:val="en-US"/>
              </w:rPr>
              <w:lastRenderedPageBreak/>
              <w:t>8 (4.1)</w:t>
            </w:r>
          </w:p>
          <w:p w14:paraId="21762E3F" w14:textId="77777777" w:rsidR="000D44B8" w:rsidRPr="009824AD" w:rsidRDefault="000D44B8" w:rsidP="006E3A16">
            <w:pPr>
              <w:jc w:val="center"/>
              <w:rPr>
                <w:rFonts w:ascii="Helvetica" w:hAnsi="Helvetica" w:cs="Calibri"/>
                <w:sz w:val="20"/>
                <w:szCs w:val="20"/>
                <w:lang w:val="en-US"/>
              </w:rPr>
            </w:pPr>
            <w:r w:rsidRPr="009824AD">
              <w:rPr>
                <w:rFonts w:ascii="Helvetica" w:hAnsi="Helvetica" w:cs="Calibri"/>
                <w:sz w:val="20"/>
                <w:szCs w:val="20"/>
                <w:lang w:val="en-US"/>
              </w:rPr>
              <w:t>73 (37.4)</w:t>
            </w:r>
          </w:p>
          <w:p w14:paraId="4DD8F3B0" w14:textId="77777777" w:rsidR="000D44B8" w:rsidRPr="009824AD" w:rsidRDefault="000D44B8" w:rsidP="006E3A16">
            <w:pPr>
              <w:jc w:val="center"/>
              <w:rPr>
                <w:rFonts w:ascii="Helvetica" w:hAnsi="Helvetica" w:cs="Calibri"/>
                <w:sz w:val="20"/>
                <w:szCs w:val="20"/>
                <w:lang w:val="en-US"/>
              </w:rPr>
            </w:pPr>
            <w:r w:rsidRPr="009824AD">
              <w:rPr>
                <w:rFonts w:ascii="Helvetica" w:hAnsi="Helvetica" w:cs="Calibri"/>
                <w:sz w:val="20"/>
                <w:szCs w:val="20"/>
                <w:lang w:val="en-US"/>
              </w:rPr>
              <w:t>13 (6.7)</w:t>
            </w:r>
          </w:p>
          <w:p w14:paraId="170987BF" w14:textId="77777777" w:rsidR="000D44B8" w:rsidRPr="009824AD" w:rsidRDefault="000D44B8" w:rsidP="006E3A16">
            <w:pPr>
              <w:jc w:val="center"/>
              <w:rPr>
                <w:rFonts w:ascii="Helvetica" w:hAnsi="Helvetica" w:cs="Calibri"/>
                <w:sz w:val="20"/>
                <w:szCs w:val="20"/>
                <w:lang w:val="en-US"/>
              </w:rPr>
            </w:pPr>
            <w:r w:rsidRPr="009824AD">
              <w:rPr>
                <w:rFonts w:ascii="Helvetica" w:hAnsi="Helvetica" w:cs="Calibri"/>
                <w:sz w:val="20"/>
                <w:szCs w:val="20"/>
                <w:lang w:val="en-US"/>
              </w:rPr>
              <w:t>4 (2.1)</w:t>
            </w:r>
          </w:p>
        </w:tc>
        <w:tc>
          <w:tcPr>
            <w:tcW w:w="992" w:type="dxa"/>
            <w:tcBorders>
              <w:left w:val="single" w:sz="4" w:space="0" w:color="auto"/>
            </w:tcBorders>
          </w:tcPr>
          <w:p w14:paraId="63A977F0" w14:textId="77777777" w:rsidR="000D44B8" w:rsidRPr="009824AD" w:rsidRDefault="000D44B8" w:rsidP="006E3A16">
            <w:pPr>
              <w:jc w:val="center"/>
              <w:rPr>
                <w:rFonts w:ascii="Helvetica" w:hAnsi="Helvetica" w:cs="Calibri"/>
                <w:sz w:val="20"/>
                <w:szCs w:val="20"/>
                <w:lang w:val="en-US"/>
              </w:rPr>
            </w:pPr>
            <w:r w:rsidRPr="009824AD">
              <w:rPr>
                <w:rFonts w:ascii="Helvetica" w:eastAsia="Times New Roman" w:hAnsi="Helvetica" w:cs="Calibri"/>
                <w:sz w:val="20"/>
                <w:szCs w:val="20"/>
                <w:lang w:val="en-US" w:eastAsia="nl-NL"/>
              </w:rPr>
              <w:lastRenderedPageBreak/>
              <w:t>0.096</w:t>
            </w:r>
          </w:p>
        </w:tc>
      </w:tr>
      <w:tr w:rsidR="000D44B8" w:rsidRPr="009824AD" w14:paraId="36F348C8" w14:textId="77777777" w:rsidTr="006E3A16">
        <w:tc>
          <w:tcPr>
            <w:tcW w:w="4111" w:type="dxa"/>
            <w:tcBorders>
              <w:right w:val="single" w:sz="4" w:space="0" w:color="auto"/>
            </w:tcBorders>
            <w:vAlign w:val="center"/>
          </w:tcPr>
          <w:p w14:paraId="60B65A58" w14:textId="77777777" w:rsidR="000D44B8" w:rsidRPr="009824AD" w:rsidRDefault="000D44B8" w:rsidP="006E3A16">
            <w:pPr>
              <w:tabs>
                <w:tab w:val="left" w:pos="310"/>
              </w:tabs>
              <w:ind w:left="170"/>
              <w:rPr>
                <w:rFonts w:ascii="Helvetica" w:eastAsia="Times New Roman" w:hAnsi="Helvetica" w:cs="Calibri"/>
                <w:sz w:val="20"/>
                <w:szCs w:val="20"/>
                <w:lang w:val="en-US" w:eastAsia="nl-NL"/>
              </w:rPr>
            </w:pPr>
            <w:r w:rsidRPr="009824AD">
              <w:rPr>
                <w:rFonts w:ascii="Helvetica" w:eastAsia="Times New Roman" w:hAnsi="Helvetica" w:cs="Calibri"/>
                <w:sz w:val="20"/>
                <w:szCs w:val="20"/>
                <w:lang w:val="en-US" w:eastAsia="nl-NL"/>
              </w:rPr>
              <w:t>Pringle manoeuvre (%)</w:t>
            </w:r>
          </w:p>
        </w:tc>
        <w:tc>
          <w:tcPr>
            <w:tcW w:w="1985" w:type="dxa"/>
            <w:tcBorders>
              <w:left w:val="single" w:sz="4" w:space="0" w:color="auto"/>
              <w:right w:val="single" w:sz="4" w:space="0" w:color="auto"/>
            </w:tcBorders>
          </w:tcPr>
          <w:p w14:paraId="4EB4BF8E" w14:textId="77777777" w:rsidR="000D44B8" w:rsidRPr="009824AD" w:rsidRDefault="000D44B8" w:rsidP="006E3A16">
            <w:pPr>
              <w:jc w:val="center"/>
              <w:rPr>
                <w:rFonts w:ascii="Helvetica" w:eastAsia="Times New Roman" w:hAnsi="Helvetica" w:cs="Calibri"/>
                <w:sz w:val="20"/>
                <w:szCs w:val="20"/>
                <w:lang w:val="en-US" w:eastAsia="nl-NL"/>
              </w:rPr>
            </w:pPr>
            <w:r w:rsidRPr="009824AD">
              <w:rPr>
                <w:rFonts w:ascii="Helvetica" w:eastAsia="Times New Roman" w:hAnsi="Helvetica" w:cs="Calibri"/>
                <w:sz w:val="20"/>
                <w:szCs w:val="20"/>
                <w:lang w:val="en-US" w:eastAsia="nl-NL"/>
              </w:rPr>
              <w:t>43 (52.4)</w:t>
            </w:r>
          </w:p>
        </w:tc>
        <w:tc>
          <w:tcPr>
            <w:tcW w:w="1701" w:type="dxa"/>
            <w:tcBorders>
              <w:left w:val="single" w:sz="4" w:space="0" w:color="auto"/>
              <w:right w:val="single" w:sz="4" w:space="0" w:color="auto"/>
            </w:tcBorders>
          </w:tcPr>
          <w:p w14:paraId="07257F69" w14:textId="77777777" w:rsidR="000D44B8" w:rsidRPr="009824AD" w:rsidRDefault="000D44B8" w:rsidP="006E3A16">
            <w:pPr>
              <w:jc w:val="center"/>
              <w:rPr>
                <w:rFonts w:ascii="Helvetica" w:hAnsi="Helvetica" w:cs="Calibri"/>
                <w:sz w:val="20"/>
                <w:szCs w:val="20"/>
                <w:lang w:val="en-US"/>
              </w:rPr>
            </w:pPr>
            <w:r w:rsidRPr="009824AD">
              <w:rPr>
                <w:rFonts w:ascii="Helvetica" w:hAnsi="Helvetica" w:cs="Calibri"/>
                <w:sz w:val="20"/>
                <w:szCs w:val="20"/>
                <w:lang w:val="en-US"/>
              </w:rPr>
              <w:t>84 (43.1)</w:t>
            </w:r>
          </w:p>
        </w:tc>
        <w:tc>
          <w:tcPr>
            <w:tcW w:w="992" w:type="dxa"/>
            <w:tcBorders>
              <w:left w:val="single" w:sz="4" w:space="0" w:color="auto"/>
            </w:tcBorders>
          </w:tcPr>
          <w:p w14:paraId="449583EF" w14:textId="77777777" w:rsidR="000D44B8" w:rsidRPr="009824AD" w:rsidRDefault="000D44B8" w:rsidP="006E3A16">
            <w:pPr>
              <w:jc w:val="center"/>
              <w:rPr>
                <w:rFonts w:ascii="Helvetica" w:hAnsi="Helvetica" w:cs="Calibri"/>
                <w:sz w:val="20"/>
                <w:szCs w:val="20"/>
                <w:lang w:val="en-US"/>
              </w:rPr>
            </w:pPr>
            <w:r w:rsidRPr="009824AD">
              <w:rPr>
                <w:rFonts w:ascii="Helvetica" w:hAnsi="Helvetica" w:cs="Calibri"/>
                <w:sz w:val="20"/>
                <w:szCs w:val="20"/>
                <w:lang w:val="en-US"/>
              </w:rPr>
              <w:t>0.841</w:t>
            </w:r>
          </w:p>
        </w:tc>
      </w:tr>
    </w:tbl>
    <w:p w14:paraId="2E3BFC25" w14:textId="77777777" w:rsidR="000D44B8" w:rsidRPr="009824AD" w:rsidRDefault="000D44B8" w:rsidP="000D44B8">
      <w:pPr>
        <w:rPr>
          <w:rFonts w:ascii="Helvetica" w:hAnsi="Helvetica" w:cs="Calibri"/>
          <w:color w:val="000000" w:themeColor="text1"/>
          <w:sz w:val="20"/>
          <w:szCs w:val="20"/>
          <w:lang w:val="en-US"/>
        </w:rPr>
      </w:pPr>
    </w:p>
    <w:p w14:paraId="4E44E8F6" w14:textId="230E2CF8" w:rsidR="000D44B8" w:rsidRPr="009824AD" w:rsidRDefault="000D44B8" w:rsidP="000D44B8">
      <w:pPr>
        <w:rPr>
          <w:rFonts w:ascii="Helvetica" w:hAnsi="Helvetica" w:cs="Calibri"/>
          <w:color w:val="000000" w:themeColor="text1"/>
          <w:sz w:val="20"/>
          <w:szCs w:val="20"/>
          <w:lang w:val="en-US"/>
        </w:rPr>
      </w:pPr>
      <w:r w:rsidRPr="009824AD">
        <w:rPr>
          <w:rFonts w:ascii="Helvetica" w:hAnsi="Helvetica" w:cs="Calibri"/>
          <w:color w:val="000000" w:themeColor="text1"/>
          <w:sz w:val="20"/>
          <w:szCs w:val="20"/>
          <w:lang w:val="en-US"/>
        </w:rPr>
        <w:t xml:space="preserve">Values in parentheses are percentages unless mentioned otherwise. Percentages may not add up due to rounding and missing data. </w:t>
      </w:r>
      <w:r w:rsidRPr="009824AD">
        <w:rPr>
          <w:rFonts w:ascii="Helvetica" w:eastAsia="Times New Roman" w:hAnsi="Helvetica" w:cs="Calibri"/>
          <w:sz w:val="20"/>
          <w:szCs w:val="20"/>
          <w:lang w:val="en-US" w:eastAsia="nl-NL"/>
        </w:rPr>
        <w:t>CR-POBL = clinically relevant postoperative bile leakage,</w:t>
      </w:r>
      <w:r w:rsidRPr="009824AD">
        <w:rPr>
          <w:rFonts w:ascii="Helvetica" w:hAnsi="Helvetica" w:cs="Calibri"/>
          <w:color w:val="000000" w:themeColor="text1"/>
          <w:sz w:val="20"/>
          <w:szCs w:val="20"/>
          <w:lang w:val="en-US"/>
        </w:rPr>
        <w:t xml:space="preserve"> </w:t>
      </w:r>
      <w:r w:rsidR="00493F8D" w:rsidRPr="009824AD">
        <w:rPr>
          <w:rFonts w:ascii="Helvetica" w:hAnsi="Helvetica" w:cs="Calibri"/>
          <w:color w:val="000000" w:themeColor="text1"/>
          <w:sz w:val="20"/>
          <w:szCs w:val="20"/>
          <w:lang w:val="en-US"/>
        </w:rPr>
        <w:t>IQR</w:t>
      </w:r>
      <w:r w:rsidRPr="009824AD">
        <w:rPr>
          <w:rFonts w:ascii="Helvetica" w:hAnsi="Helvetica" w:cs="Calibri"/>
          <w:color w:val="000000" w:themeColor="text1"/>
          <w:sz w:val="20"/>
          <w:szCs w:val="20"/>
          <w:lang w:val="en-US"/>
        </w:rPr>
        <w:t xml:space="preserve"> = inter quartile range, BMI = body mass index, ASA = American Society of Anesthesiology, CRLM =  colorectal liver metastasis, HCC = hepatocellular carcinoma</w:t>
      </w:r>
    </w:p>
    <w:p w14:paraId="44AA172F" w14:textId="77777777" w:rsidR="000D44B8" w:rsidRPr="009824AD" w:rsidRDefault="000D44B8" w:rsidP="000D44B8">
      <w:pPr>
        <w:rPr>
          <w:rFonts w:ascii="Helvetica" w:hAnsi="Helvetica" w:cs="Calibri"/>
          <w:b/>
          <w:bCs/>
          <w:color w:val="000000" w:themeColor="text1"/>
          <w:sz w:val="20"/>
          <w:szCs w:val="20"/>
          <w:lang w:val="en-US"/>
        </w:rPr>
      </w:pPr>
    </w:p>
    <w:p w14:paraId="4C483C8B" w14:textId="77777777" w:rsidR="000D44B8" w:rsidRPr="009824AD" w:rsidRDefault="000D44B8" w:rsidP="000D44B8">
      <w:pPr>
        <w:rPr>
          <w:rFonts w:ascii="Helvetica" w:hAnsi="Helvetica" w:cs="Calibri"/>
          <w:b/>
          <w:bCs/>
          <w:color w:val="000000" w:themeColor="text1"/>
          <w:sz w:val="20"/>
          <w:szCs w:val="20"/>
          <w:lang w:val="en-US"/>
        </w:rPr>
      </w:pPr>
    </w:p>
    <w:p w14:paraId="0A476B81" w14:textId="77777777" w:rsidR="000D44B8" w:rsidRPr="009824AD" w:rsidRDefault="000D44B8" w:rsidP="000D44B8">
      <w:pPr>
        <w:rPr>
          <w:rFonts w:ascii="Helvetica" w:hAnsi="Helvetica" w:cs="Calibri"/>
          <w:b/>
          <w:bCs/>
          <w:sz w:val="20"/>
          <w:szCs w:val="20"/>
          <w:lang w:val="en-US"/>
        </w:rPr>
      </w:pPr>
    </w:p>
    <w:p w14:paraId="70F3E085" w14:textId="77777777" w:rsidR="000D44B8" w:rsidRPr="009824AD" w:rsidRDefault="000D44B8" w:rsidP="000D44B8">
      <w:pPr>
        <w:rPr>
          <w:rFonts w:ascii="Helvetica" w:hAnsi="Helvetica" w:cs="Calibri"/>
          <w:b/>
          <w:bCs/>
          <w:sz w:val="20"/>
          <w:szCs w:val="20"/>
          <w:lang w:val="en-US"/>
        </w:rPr>
      </w:pPr>
    </w:p>
    <w:p w14:paraId="56F9320B" w14:textId="77777777" w:rsidR="000D44B8" w:rsidRPr="009824AD" w:rsidRDefault="000D44B8" w:rsidP="000D44B8">
      <w:pPr>
        <w:rPr>
          <w:rFonts w:ascii="Helvetica" w:hAnsi="Helvetica" w:cs="Calibri"/>
          <w:b/>
          <w:bCs/>
          <w:sz w:val="20"/>
          <w:szCs w:val="20"/>
          <w:lang w:val="en-US"/>
        </w:rPr>
      </w:pPr>
    </w:p>
    <w:p w14:paraId="3101C735" w14:textId="77777777" w:rsidR="000D44B8" w:rsidRPr="009824AD" w:rsidRDefault="000D44B8" w:rsidP="000D44B8">
      <w:pPr>
        <w:rPr>
          <w:rFonts w:ascii="Helvetica" w:hAnsi="Helvetica" w:cs="Calibri"/>
          <w:b/>
          <w:bCs/>
          <w:sz w:val="20"/>
          <w:szCs w:val="20"/>
          <w:lang w:val="en-US"/>
        </w:rPr>
      </w:pPr>
    </w:p>
    <w:p w14:paraId="2C4415B8" w14:textId="77777777" w:rsidR="000D44B8" w:rsidRPr="009824AD" w:rsidRDefault="000D44B8" w:rsidP="000D44B8">
      <w:pPr>
        <w:rPr>
          <w:rFonts w:ascii="Helvetica" w:hAnsi="Helvetica" w:cs="Calibri"/>
          <w:b/>
          <w:bCs/>
          <w:sz w:val="20"/>
          <w:szCs w:val="20"/>
          <w:lang w:val="en-US"/>
        </w:rPr>
      </w:pPr>
    </w:p>
    <w:p w14:paraId="4B020909" w14:textId="77777777" w:rsidR="000D44B8" w:rsidRPr="009824AD" w:rsidRDefault="000D44B8" w:rsidP="000D44B8">
      <w:pPr>
        <w:rPr>
          <w:rFonts w:ascii="Helvetica" w:hAnsi="Helvetica" w:cs="Calibri"/>
          <w:b/>
          <w:bCs/>
          <w:sz w:val="20"/>
          <w:szCs w:val="20"/>
          <w:lang w:val="en-US"/>
        </w:rPr>
      </w:pPr>
    </w:p>
    <w:p w14:paraId="28218C44" w14:textId="77777777" w:rsidR="000D44B8" w:rsidRPr="009824AD" w:rsidRDefault="000D44B8" w:rsidP="000D44B8">
      <w:pPr>
        <w:rPr>
          <w:rFonts w:ascii="Helvetica" w:hAnsi="Helvetica" w:cs="Calibri"/>
          <w:b/>
          <w:bCs/>
          <w:sz w:val="20"/>
          <w:szCs w:val="20"/>
          <w:lang w:val="en-US"/>
        </w:rPr>
      </w:pPr>
    </w:p>
    <w:p w14:paraId="2A0ED90F" w14:textId="77777777" w:rsidR="000D44B8" w:rsidRPr="009824AD" w:rsidRDefault="000D44B8" w:rsidP="000D44B8">
      <w:pPr>
        <w:rPr>
          <w:rFonts w:ascii="Helvetica" w:hAnsi="Helvetica" w:cs="Calibri"/>
          <w:b/>
          <w:bCs/>
          <w:sz w:val="20"/>
          <w:szCs w:val="20"/>
          <w:lang w:val="en-US"/>
        </w:rPr>
      </w:pPr>
    </w:p>
    <w:p w14:paraId="16A9CB73" w14:textId="77777777" w:rsidR="000D44B8" w:rsidRPr="009824AD" w:rsidRDefault="000D44B8" w:rsidP="000D44B8">
      <w:pPr>
        <w:rPr>
          <w:rFonts w:ascii="Helvetica" w:hAnsi="Helvetica" w:cs="Calibri"/>
          <w:b/>
          <w:bCs/>
          <w:sz w:val="20"/>
          <w:szCs w:val="20"/>
          <w:lang w:val="en-US"/>
        </w:rPr>
      </w:pPr>
    </w:p>
    <w:p w14:paraId="0AEEBAB2" w14:textId="77777777" w:rsidR="000D44B8" w:rsidRPr="009824AD" w:rsidRDefault="000D44B8" w:rsidP="000D44B8">
      <w:pPr>
        <w:rPr>
          <w:rFonts w:ascii="Helvetica" w:hAnsi="Helvetica" w:cs="Calibri"/>
          <w:b/>
          <w:bCs/>
          <w:sz w:val="20"/>
          <w:szCs w:val="20"/>
          <w:lang w:val="en-US"/>
        </w:rPr>
      </w:pPr>
    </w:p>
    <w:p w14:paraId="037CEFD2" w14:textId="77777777" w:rsidR="000D44B8" w:rsidRPr="009824AD" w:rsidRDefault="000D44B8" w:rsidP="000D44B8">
      <w:pPr>
        <w:rPr>
          <w:rFonts w:ascii="Helvetica" w:hAnsi="Helvetica" w:cs="Calibri"/>
          <w:b/>
          <w:bCs/>
          <w:sz w:val="20"/>
          <w:szCs w:val="20"/>
          <w:lang w:val="en-US"/>
        </w:rPr>
      </w:pPr>
    </w:p>
    <w:p w14:paraId="6B0904C2" w14:textId="77777777" w:rsidR="000D44B8" w:rsidRPr="009824AD" w:rsidRDefault="000D44B8" w:rsidP="000D44B8">
      <w:pPr>
        <w:rPr>
          <w:rFonts w:ascii="Helvetica" w:hAnsi="Helvetica" w:cs="Calibri"/>
          <w:b/>
          <w:bCs/>
          <w:sz w:val="20"/>
          <w:szCs w:val="20"/>
          <w:lang w:val="en-US"/>
        </w:rPr>
      </w:pPr>
    </w:p>
    <w:p w14:paraId="54086C87" w14:textId="77777777" w:rsidR="000D44B8" w:rsidRPr="009824AD" w:rsidRDefault="000D44B8" w:rsidP="000D44B8">
      <w:pPr>
        <w:rPr>
          <w:rFonts w:ascii="Helvetica" w:hAnsi="Helvetica" w:cs="Calibri"/>
          <w:b/>
          <w:bCs/>
          <w:sz w:val="20"/>
          <w:szCs w:val="20"/>
          <w:lang w:val="en-US"/>
        </w:rPr>
      </w:pPr>
    </w:p>
    <w:p w14:paraId="6238602A" w14:textId="77777777" w:rsidR="000D44B8" w:rsidRPr="009824AD" w:rsidRDefault="000D44B8" w:rsidP="000D44B8">
      <w:pPr>
        <w:rPr>
          <w:rFonts w:ascii="Helvetica" w:hAnsi="Helvetica" w:cs="Calibri"/>
          <w:b/>
          <w:bCs/>
          <w:sz w:val="20"/>
          <w:szCs w:val="20"/>
          <w:lang w:val="en-US"/>
        </w:rPr>
      </w:pPr>
    </w:p>
    <w:p w14:paraId="27CE2565" w14:textId="77777777" w:rsidR="000D44B8" w:rsidRPr="009824AD" w:rsidRDefault="000D44B8" w:rsidP="000D44B8">
      <w:pPr>
        <w:rPr>
          <w:rFonts w:ascii="Helvetica" w:hAnsi="Helvetica" w:cs="Calibri"/>
          <w:b/>
          <w:bCs/>
          <w:sz w:val="20"/>
          <w:szCs w:val="20"/>
          <w:lang w:val="en-US"/>
        </w:rPr>
      </w:pPr>
    </w:p>
    <w:p w14:paraId="2A7D4A04" w14:textId="77777777" w:rsidR="000D44B8" w:rsidRPr="009824AD" w:rsidRDefault="000D44B8" w:rsidP="000D44B8">
      <w:pPr>
        <w:rPr>
          <w:rFonts w:ascii="Helvetica" w:hAnsi="Helvetica" w:cs="Calibri"/>
          <w:b/>
          <w:bCs/>
          <w:sz w:val="20"/>
          <w:szCs w:val="20"/>
          <w:lang w:val="en-US"/>
        </w:rPr>
      </w:pPr>
    </w:p>
    <w:p w14:paraId="238D4961" w14:textId="77777777" w:rsidR="000D44B8" w:rsidRPr="009824AD" w:rsidRDefault="000D44B8" w:rsidP="000D44B8">
      <w:pPr>
        <w:rPr>
          <w:rFonts w:ascii="Helvetica" w:hAnsi="Helvetica" w:cs="Calibri"/>
          <w:b/>
          <w:bCs/>
          <w:sz w:val="20"/>
          <w:szCs w:val="20"/>
          <w:lang w:val="en-US"/>
        </w:rPr>
      </w:pPr>
    </w:p>
    <w:p w14:paraId="7E44E47A" w14:textId="77777777" w:rsidR="000D44B8" w:rsidRPr="009824AD" w:rsidRDefault="000D44B8" w:rsidP="000D44B8">
      <w:pPr>
        <w:rPr>
          <w:rFonts w:ascii="Helvetica" w:hAnsi="Helvetica" w:cs="Calibri"/>
          <w:b/>
          <w:bCs/>
          <w:sz w:val="20"/>
          <w:szCs w:val="20"/>
          <w:lang w:val="en-US"/>
        </w:rPr>
      </w:pPr>
    </w:p>
    <w:p w14:paraId="33FE1F25" w14:textId="77777777" w:rsidR="000D44B8" w:rsidRPr="009824AD" w:rsidRDefault="000D44B8" w:rsidP="000D44B8">
      <w:pPr>
        <w:rPr>
          <w:rFonts w:ascii="Helvetica" w:hAnsi="Helvetica" w:cs="Calibri"/>
          <w:b/>
          <w:bCs/>
          <w:sz w:val="20"/>
          <w:szCs w:val="20"/>
          <w:lang w:val="en-US"/>
        </w:rPr>
      </w:pPr>
    </w:p>
    <w:p w14:paraId="36FDADFA" w14:textId="77777777" w:rsidR="000D44B8" w:rsidRPr="009824AD" w:rsidRDefault="000D44B8" w:rsidP="000D44B8">
      <w:pPr>
        <w:rPr>
          <w:rFonts w:ascii="Helvetica" w:hAnsi="Helvetica" w:cs="Calibri"/>
          <w:b/>
          <w:bCs/>
          <w:sz w:val="20"/>
          <w:szCs w:val="20"/>
          <w:lang w:val="en-US"/>
        </w:rPr>
      </w:pPr>
    </w:p>
    <w:p w14:paraId="3D081A00" w14:textId="77777777" w:rsidR="000D44B8" w:rsidRPr="009824AD" w:rsidRDefault="000D44B8" w:rsidP="000D44B8">
      <w:pPr>
        <w:rPr>
          <w:rFonts w:ascii="Helvetica" w:hAnsi="Helvetica" w:cs="Calibri"/>
          <w:b/>
          <w:bCs/>
          <w:sz w:val="20"/>
          <w:szCs w:val="20"/>
          <w:lang w:val="en-US"/>
        </w:rPr>
      </w:pPr>
    </w:p>
    <w:p w14:paraId="7ADA4518" w14:textId="77777777" w:rsidR="000D44B8" w:rsidRPr="009824AD" w:rsidRDefault="000D44B8" w:rsidP="000D44B8">
      <w:pPr>
        <w:rPr>
          <w:rFonts w:ascii="Helvetica" w:hAnsi="Helvetica" w:cs="Calibri"/>
          <w:b/>
          <w:bCs/>
          <w:sz w:val="20"/>
          <w:szCs w:val="20"/>
          <w:lang w:val="en-US"/>
        </w:rPr>
      </w:pPr>
    </w:p>
    <w:p w14:paraId="2299946B" w14:textId="77777777" w:rsidR="000D44B8" w:rsidRPr="009824AD" w:rsidRDefault="000D44B8" w:rsidP="000D44B8">
      <w:pPr>
        <w:rPr>
          <w:rFonts w:ascii="Helvetica" w:hAnsi="Helvetica" w:cs="Calibri"/>
          <w:b/>
          <w:bCs/>
          <w:sz w:val="20"/>
          <w:szCs w:val="20"/>
          <w:lang w:val="en-US"/>
        </w:rPr>
      </w:pPr>
    </w:p>
    <w:p w14:paraId="78DF9985" w14:textId="77777777" w:rsidR="000D44B8" w:rsidRPr="009824AD" w:rsidRDefault="000D44B8" w:rsidP="000D44B8">
      <w:pPr>
        <w:rPr>
          <w:rFonts w:ascii="Helvetica" w:hAnsi="Helvetica" w:cs="Calibri"/>
          <w:b/>
          <w:bCs/>
          <w:sz w:val="20"/>
          <w:szCs w:val="20"/>
          <w:lang w:val="en-US"/>
        </w:rPr>
      </w:pPr>
    </w:p>
    <w:p w14:paraId="35117C8D" w14:textId="77777777" w:rsidR="000D44B8" w:rsidRPr="009824AD" w:rsidRDefault="000D44B8" w:rsidP="000D44B8">
      <w:pPr>
        <w:rPr>
          <w:rFonts w:ascii="Helvetica" w:hAnsi="Helvetica" w:cs="Calibri"/>
          <w:b/>
          <w:bCs/>
          <w:sz w:val="20"/>
          <w:szCs w:val="20"/>
          <w:lang w:val="en-US"/>
        </w:rPr>
      </w:pPr>
    </w:p>
    <w:p w14:paraId="7AE4032A" w14:textId="77777777" w:rsidR="000D44B8" w:rsidRPr="009824AD" w:rsidRDefault="000D44B8" w:rsidP="000D44B8">
      <w:pPr>
        <w:rPr>
          <w:rFonts w:ascii="Helvetica" w:hAnsi="Helvetica" w:cs="Calibri"/>
          <w:b/>
          <w:bCs/>
          <w:sz w:val="20"/>
          <w:szCs w:val="20"/>
          <w:lang w:val="en-US"/>
        </w:rPr>
      </w:pPr>
    </w:p>
    <w:p w14:paraId="185A4936" w14:textId="77777777" w:rsidR="000D44B8" w:rsidRPr="009824AD" w:rsidRDefault="000D44B8" w:rsidP="000D44B8">
      <w:pPr>
        <w:rPr>
          <w:rFonts w:ascii="Helvetica" w:hAnsi="Helvetica" w:cs="Calibri"/>
          <w:b/>
          <w:bCs/>
          <w:sz w:val="20"/>
          <w:szCs w:val="20"/>
          <w:lang w:val="en-US"/>
        </w:rPr>
      </w:pPr>
    </w:p>
    <w:p w14:paraId="5AB76645" w14:textId="77777777" w:rsidR="000D44B8" w:rsidRPr="009824AD" w:rsidRDefault="000D44B8" w:rsidP="000D44B8">
      <w:pPr>
        <w:rPr>
          <w:rFonts w:ascii="Helvetica" w:hAnsi="Helvetica" w:cs="Calibri"/>
          <w:b/>
          <w:bCs/>
          <w:sz w:val="20"/>
          <w:szCs w:val="20"/>
          <w:lang w:val="en-US"/>
        </w:rPr>
      </w:pPr>
    </w:p>
    <w:p w14:paraId="48DB541C" w14:textId="77777777" w:rsidR="000D44B8" w:rsidRPr="009824AD" w:rsidRDefault="000D44B8" w:rsidP="000D44B8">
      <w:pPr>
        <w:rPr>
          <w:rFonts w:ascii="Helvetica" w:hAnsi="Helvetica" w:cs="Calibri"/>
          <w:b/>
          <w:bCs/>
          <w:sz w:val="20"/>
          <w:szCs w:val="20"/>
          <w:lang w:val="en-US"/>
        </w:rPr>
      </w:pPr>
    </w:p>
    <w:p w14:paraId="2136975B" w14:textId="77777777" w:rsidR="000D44B8" w:rsidRPr="009824AD" w:rsidRDefault="000D44B8" w:rsidP="000D44B8">
      <w:pPr>
        <w:rPr>
          <w:rFonts w:ascii="Helvetica" w:hAnsi="Helvetica" w:cs="Calibri"/>
          <w:b/>
          <w:bCs/>
          <w:sz w:val="20"/>
          <w:szCs w:val="20"/>
          <w:lang w:val="en-US"/>
        </w:rPr>
      </w:pPr>
    </w:p>
    <w:p w14:paraId="46594816" w14:textId="77777777" w:rsidR="000D44B8" w:rsidRPr="009824AD" w:rsidRDefault="000D44B8" w:rsidP="000D44B8">
      <w:pPr>
        <w:rPr>
          <w:rFonts w:ascii="Helvetica" w:hAnsi="Helvetica" w:cs="Calibri"/>
          <w:b/>
          <w:bCs/>
          <w:sz w:val="20"/>
          <w:szCs w:val="20"/>
          <w:lang w:val="en-US"/>
        </w:rPr>
      </w:pPr>
    </w:p>
    <w:p w14:paraId="6A2F5F83" w14:textId="77777777" w:rsidR="000D44B8" w:rsidRPr="009824AD" w:rsidRDefault="000D44B8" w:rsidP="000D44B8">
      <w:pPr>
        <w:rPr>
          <w:rFonts w:ascii="Helvetica" w:hAnsi="Helvetica" w:cs="Calibri"/>
          <w:b/>
          <w:bCs/>
          <w:sz w:val="20"/>
          <w:szCs w:val="20"/>
          <w:lang w:val="en-US"/>
        </w:rPr>
      </w:pPr>
    </w:p>
    <w:p w14:paraId="36701788" w14:textId="77777777" w:rsidR="000D44B8" w:rsidRPr="009824AD" w:rsidRDefault="000D44B8" w:rsidP="000D44B8">
      <w:pPr>
        <w:rPr>
          <w:rFonts w:ascii="Helvetica" w:hAnsi="Helvetica" w:cs="Calibri"/>
          <w:b/>
          <w:bCs/>
          <w:sz w:val="20"/>
          <w:szCs w:val="20"/>
          <w:lang w:val="en-US"/>
        </w:rPr>
      </w:pPr>
    </w:p>
    <w:p w14:paraId="05438850" w14:textId="77777777" w:rsidR="000D44B8" w:rsidRPr="009824AD" w:rsidRDefault="000D44B8" w:rsidP="000D44B8">
      <w:pPr>
        <w:rPr>
          <w:rFonts w:ascii="Helvetica" w:hAnsi="Helvetica" w:cs="Calibri"/>
          <w:b/>
          <w:bCs/>
          <w:sz w:val="20"/>
          <w:szCs w:val="20"/>
          <w:lang w:val="en-US"/>
        </w:rPr>
      </w:pPr>
    </w:p>
    <w:p w14:paraId="0AD1189E" w14:textId="77777777" w:rsidR="000D44B8" w:rsidRPr="009824AD" w:rsidRDefault="000D44B8" w:rsidP="000D44B8">
      <w:pPr>
        <w:rPr>
          <w:rFonts w:ascii="Helvetica" w:hAnsi="Helvetica" w:cs="Calibri"/>
          <w:b/>
          <w:bCs/>
          <w:sz w:val="20"/>
          <w:szCs w:val="20"/>
          <w:lang w:val="en-US"/>
        </w:rPr>
      </w:pPr>
    </w:p>
    <w:p w14:paraId="12AA17AE" w14:textId="77777777" w:rsidR="000D44B8" w:rsidRPr="009824AD" w:rsidRDefault="000D44B8" w:rsidP="000D44B8">
      <w:pPr>
        <w:rPr>
          <w:rFonts w:ascii="Helvetica" w:hAnsi="Helvetica" w:cs="Calibri"/>
          <w:b/>
          <w:bCs/>
          <w:sz w:val="20"/>
          <w:szCs w:val="20"/>
          <w:lang w:val="en-US"/>
        </w:rPr>
      </w:pPr>
    </w:p>
    <w:p w14:paraId="225B1D1E" w14:textId="77777777" w:rsidR="000D44B8" w:rsidRPr="009824AD" w:rsidRDefault="000D44B8" w:rsidP="000D44B8">
      <w:pPr>
        <w:rPr>
          <w:rFonts w:ascii="Helvetica" w:hAnsi="Helvetica" w:cs="Calibri"/>
          <w:b/>
          <w:bCs/>
          <w:sz w:val="20"/>
          <w:szCs w:val="20"/>
          <w:lang w:val="en-US"/>
        </w:rPr>
      </w:pPr>
    </w:p>
    <w:p w14:paraId="1C78D680" w14:textId="77777777" w:rsidR="000D44B8" w:rsidRPr="009824AD" w:rsidRDefault="000D44B8" w:rsidP="000D44B8">
      <w:pPr>
        <w:rPr>
          <w:rFonts w:ascii="Helvetica" w:hAnsi="Helvetica" w:cs="Calibri"/>
          <w:b/>
          <w:bCs/>
          <w:sz w:val="20"/>
          <w:szCs w:val="20"/>
          <w:lang w:val="en-US"/>
        </w:rPr>
      </w:pPr>
    </w:p>
    <w:p w14:paraId="62C9B4BB" w14:textId="77777777" w:rsidR="000D44B8" w:rsidRPr="009824AD" w:rsidRDefault="000D44B8" w:rsidP="000D44B8">
      <w:pPr>
        <w:rPr>
          <w:rFonts w:ascii="Helvetica" w:hAnsi="Helvetica" w:cs="Calibri"/>
          <w:b/>
          <w:bCs/>
          <w:sz w:val="20"/>
          <w:szCs w:val="20"/>
          <w:lang w:val="en-US"/>
        </w:rPr>
      </w:pPr>
    </w:p>
    <w:p w14:paraId="6F2747AB" w14:textId="77777777" w:rsidR="000D44B8" w:rsidRPr="009824AD" w:rsidRDefault="000D44B8" w:rsidP="000D44B8">
      <w:pPr>
        <w:rPr>
          <w:rFonts w:ascii="Helvetica" w:hAnsi="Helvetica" w:cs="Calibri"/>
          <w:b/>
          <w:bCs/>
          <w:sz w:val="20"/>
          <w:szCs w:val="20"/>
          <w:lang w:val="en-US"/>
        </w:rPr>
      </w:pPr>
    </w:p>
    <w:p w14:paraId="50F54DE0" w14:textId="77777777" w:rsidR="000D44B8" w:rsidRPr="009824AD" w:rsidRDefault="000D44B8" w:rsidP="000D44B8">
      <w:pPr>
        <w:rPr>
          <w:rFonts w:ascii="Helvetica" w:hAnsi="Helvetica" w:cs="Calibri"/>
          <w:b/>
          <w:bCs/>
          <w:sz w:val="20"/>
          <w:szCs w:val="20"/>
          <w:lang w:val="en-US"/>
        </w:rPr>
      </w:pPr>
    </w:p>
    <w:p w14:paraId="6DB973CC" w14:textId="77777777" w:rsidR="000D44B8" w:rsidRPr="009824AD" w:rsidRDefault="000D44B8" w:rsidP="000D44B8">
      <w:pPr>
        <w:rPr>
          <w:rFonts w:ascii="Helvetica" w:hAnsi="Helvetica" w:cs="Calibri"/>
          <w:b/>
          <w:bCs/>
          <w:sz w:val="20"/>
          <w:szCs w:val="20"/>
          <w:lang w:val="en-US"/>
        </w:rPr>
      </w:pPr>
    </w:p>
    <w:p w14:paraId="7E9C48C0" w14:textId="77777777" w:rsidR="000D44B8" w:rsidRPr="009824AD" w:rsidRDefault="000D44B8" w:rsidP="000D44B8">
      <w:pPr>
        <w:rPr>
          <w:rFonts w:ascii="Helvetica" w:hAnsi="Helvetica" w:cs="Calibri"/>
          <w:b/>
          <w:bCs/>
          <w:sz w:val="20"/>
          <w:szCs w:val="20"/>
          <w:lang w:val="en-US"/>
        </w:rPr>
      </w:pPr>
    </w:p>
    <w:p w14:paraId="4C9FE077" w14:textId="77777777" w:rsidR="000D44B8" w:rsidRPr="009824AD" w:rsidRDefault="000D44B8" w:rsidP="000D44B8">
      <w:pPr>
        <w:rPr>
          <w:rFonts w:ascii="Helvetica" w:hAnsi="Helvetica" w:cs="Calibri"/>
          <w:b/>
          <w:bCs/>
          <w:sz w:val="20"/>
          <w:szCs w:val="20"/>
          <w:lang w:val="en-US"/>
        </w:rPr>
      </w:pPr>
    </w:p>
    <w:p w14:paraId="3F8F084A" w14:textId="77777777" w:rsidR="000D44B8" w:rsidRPr="009824AD" w:rsidRDefault="000D44B8" w:rsidP="000D44B8">
      <w:pPr>
        <w:rPr>
          <w:rFonts w:ascii="Helvetica" w:hAnsi="Helvetica" w:cs="Calibri"/>
          <w:sz w:val="20"/>
          <w:szCs w:val="20"/>
          <w:lang w:val="en-US"/>
        </w:rPr>
      </w:pPr>
      <w:r w:rsidRPr="009824AD">
        <w:rPr>
          <w:rFonts w:ascii="Helvetica" w:hAnsi="Helvetica" w:cs="Calibri"/>
          <w:b/>
          <w:bCs/>
          <w:sz w:val="20"/>
          <w:szCs w:val="20"/>
          <w:lang w:val="en-US"/>
        </w:rPr>
        <w:lastRenderedPageBreak/>
        <w:t>Table 3.</w:t>
      </w:r>
      <w:r w:rsidRPr="009824AD">
        <w:rPr>
          <w:rFonts w:ascii="Helvetica" w:hAnsi="Helvetica" w:cs="Calibri"/>
          <w:sz w:val="20"/>
          <w:szCs w:val="20"/>
          <w:lang w:val="en-US"/>
        </w:rPr>
        <w:t xml:space="preserve"> Postoperative outcomes of patients with clinically relevant postoperative bile leakage following laparoscopic and open liver surgery, after propensity score matching.  </w:t>
      </w:r>
    </w:p>
    <w:p w14:paraId="6D3DCE14" w14:textId="77777777" w:rsidR="000D44B8" w:rsidRPr="009824AD" w:rsidRDefault="000D44B8" w:rsidP="000D44B8">
      <w:pPr>
        <w:rPr>
          <w:rFonts w:ascii="Helvetica" w:hAnsi="Helvetica" w:cs="Calibri"/>
          <w:lang w:val="en-US"/>
        </w:rPr>
      </w:pPr>
    </w:p>
    <w:tbl>
      <w:tblPr>
        <w:tblStyle w:val="Tabelraster"/>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2126"/>
        <w:gridCol w:w="1843"/>
        <w:gridCol w:w="851"/>
      </w:tblGrid>
      <w:tr w:rsidR="000D44B8" w:rsidRPr="009824AD" w14:paraId="4752F7DF" w14:textId="77777777" w:rsidTr="006E3A16">
        <w:trPr>
          <w:trHeight w:val="638"/>
        </w:trPr>
        <w:tc>
          <w:tcPr>
            <w:tcW w:w="4673" w:type="dxa"/>
            <w:tcBorders>
              <w:bottom w:val="single" w:sz="4" w:space="0" w:color="auto"/>
              <w:right w:val="single" w:sz="4" w:space="0" w:color="auto"/>
            </w:tcBorders>
          </w:tcPr>
          <w:p w14:paraId="7717D53D" w14:textId="77777777" w:rsidR="000D44B8" w:rsidRPr="009824AD" w:rsidRDefault="000D44B8" w:rsidP="006E3A16">
            <w:pPr>
              <w:rPr>
                <w:rFonts w:ascii="Helvetica" w:hAnsi="Helvetica" w:cs="Calibri"/>
                <w:sz w:val="20"/>
                <w:szCs w:val="20"/>
                <w:lang w:val="en-US"/>
              </w:rPr>
            </w:pPr>
          </w:p>
        </w:tc>
        <w:tc>
          <w:tcPr>
            <w:tcW w:w="2126" w:type="dxa"/>
            <w:tcBorders>
              <w:left w:val="single" w:sz="4" w:space="0" w:color="auto"/>
              <w:bottom w:val="single" w:sz="4" w:space="0" w:color="auto"/>
              <w:right w:val="single" w:sz="4" w:space="0" w:color="auto"/>
            </w:tcBorders>
            <w:vAlign w:val="center"/>
          </w:tcPr>
          <w:p w14:paraId="685C8EA7" w14:textId="77777777" w:rsidR="000D44B8" w:rsidRPr="009824AD" w:rsidRDefault="000D44B8" w:rsidP="006E3A16">
            <w:pPr>
              <w:jc w:val="center"/>
              <w:rPr>
                <w:rFonts w:ascii="Helvetica" w:eastAsia="Times New Roman" w:hAnsi="Helvetica" w:cs="Calibri"/>
                <w:b/>
                <w:bCs/>
                <w:sz w:val="20"/>
                <w:szCs w:val="20"/>
                <w:lang w:val="en-US" w:eastAsia="nl-NL"/>
              </w:rPr>
            </w:pPr>
            <w:r w:rsidRPr="009824AD">
              <w:rPr>
                <w:rFonts w:ascii="Helvetica" w:eastAsia="Times New Roman" w:hAnsi="Helvetica" w:cs="Calibri"/>
                <w:b/>
                <w:bCs/>
                <w:sz w:val="20"/>
                <w:szCs w:val="20"/>
                <w:lang w:val="en-US" w:eastAsia="nl-NL"/>
              </w:rPr>
              <w:t>CR-POBL after laparoscopic surgery</w:t>
            </w:r>
          </w:p>
          <w:p w14:paraId="41D9827F" w14:textId="77777777" w:rsidR="000D44B8" w:rsidRPr="009824AD" w:rsidRDefault="000D44B8" w:rsidP="006E3A16">
            <w:pPr>
              <w:jc w:val="center"/>
              <w:rPr>
                <w:rFonts w:ascii="Helvetica" w:eastAsia="Times New Roman" w:hAnsi="Helvetica" w:cs="Calibri"/>
                <w:b/>
                <w:bCs/>
                <w:sz w:val="20"/>
                <w:szCs w:val="20"/>
                <w:lang w:val="en-US" w:eastAsia="nl-NL"/>
              </w:rPr>
            </w:pPr>
            <w:r w:rsidRPr="009824AD">
              <w:rPr>
                <w:rFonts w:ascii="Helvetica" w:eastAsia="Times New Roman" w:hAnsi="Helvetica" w:cs="Calibri"/>
                <w:b/>
                <w:bCs/>
                <w:sz w:val="20"/>
                <w:szCs w:val="20"/>
                <w:lang w:val="en-US" w:eastAsia="nl-NL"/>
              </w:rPr>
              <w:t>(N = 90)</w:t>
            </w:r>
          </w:p>
        </w:tc>
        <w:tc>
          <w:tcPr>
            <w:tcW w:w="1843" w:type="dxa"/>
            <w:tcBorders>
              <w:left w:val="single" w:sz="4" w:space="0" w:color="auto"/>
              <w:bottom w:val="single" w:sz="4" w:space="0" w:color="auto"/>
              <w:right w:val="single" w:sz="4" w:space="0" w:color="auto"/>
            </w:tcBorders>
            <w:vAlign w:val="center"/>
          </w:tcPr>
          <w:p w14:paraId="50701635" w14:textId="77777777" w:rsidR="000D44B8" w:rsidRPr="009824AD" w:rsidRDefault="000D44B8" w:rsidP="006E3A16">
            <w:pPr>
              <w:jc w:val="center"/>
              <w:rPr>
                <w:rFonts w:ascii="Helvetica" w:eastAsia="Times New Roman" w:hAnsi="Helvetica" w:cs="Calibri"/>
                <w:b/>
                <w:bCs/>
                <w:sz w:val="20"/>
                <w:szCs w:val="20"/>
                <w:lang w:val="en-US" w:eastAsia="nl-NL"/>
              </w:rPr>
            </w:pPr>
            <w:r w:rsidRPr="009824AD">
              <w:rPr>
                <w:rFonts w:ascii="Helvetica" w:eastAsia="Times New Roman" w:hAnsi="Helvetica" w:cs="Calibri"/>
                <w:b/>
                <w:bCs/>
                <w:sz w:val="20"/>
                <w:szCs w:val="20"/>
                <w:lang w:val="en-US" w:eastAsia="nl-NL"/>
              </w:rPr>
              <w:t>CR-POBL after open surgery</w:t>
            </w:r>
          </w:p>
          <w:p w14:paraId="7710C172" w14:textId="77777777" w:rsidR="000D44B8" w:rsidRPr="009824AD" w:rsidRDefault="000D44B8" w:rsidP="006E3A16">
            <w:pPr>
              <w:jc w:val="center"/>
              <w:rPr>
                <w:rFonts w:ascii="Helvetica" w:eastAsia="Times New Roman" w:hAnsi="Helvetica" w:cs="Calibri"/>
                <w:b/>
                <w:bCs/>
                <w:sz w:val="20"/>
                <w:szCs w:val="20"/>
                <w:lang w:val="en-US" w:eastAsia="nl-NL"/>
              </w:rPr>
            </w:pPr>
            <w:r w:rsidRPr="009824AD">
              <w:rPr>
                <w:rFonts w:ascii="Helvetica" w:eastAsia="Times New Roman" w:hAnsi="Helvetica" w:cs="Calibri"/>
                <w:b/>
                <w:bCs/>
                <w:sz w:val="20"/>
                <w:szCs w:val="20"/>
                <w:lang w:val="en-US" w:eastAsia="nl-NL"/>
              </w:rPr>
              <w:t xml:space="preserve"> (N = 195)</w:t>
            </w:r>
          </w:p>
        </w:tc>
        <w:tc>
          <w:tcPr>
            <w:tcW w:w="851" w:type="dxa"/>
            <w:tcBorders>
              <w:left w:val="single" w:sz="4" w:space="0" w:color="auto"/>
              <w:bottom w:val="single" w:sz="4" w:space="0" w:color="auto"/>
            </w:tcBorders>
          </w:tcPr>
          <w:p w14:paraId="58DA3C95" w14:textId="77777777" w:rsidR="000D44B8" w:rsidRPr="009824AD" w:rsidRDefault="000D44B8" w:rsidP="006E3A16">
            <w:pPr>
              <w:jc w:val="center"/>
              <w:rPr>
                <w:rFonts w:ascii="Helvetica" w:hAnsi="Helvetica" w:cs="Calibri"/>
                <w:b/>
                <w:bCs/>
                <w:i/>
                <w:iCs/>
                <w:color w:val="000000" w:themeColor="text1"/>
                <w:sz w:val="20"/>
                <w:szCs w:val="20"/>
                <w:lang w:val="en-US"/>
              </w:rPr>
            </w:pPr>
            <w:r w:rsidRPr="009824AD">
              <w:rPr>
                <w:rFonts w:ascii="Helvetica" w:hAnsi="Helvetica" w:cs="Calibri"/>
                <w:b/>
                <w:bCs/>
                <w:i/>
                <w:iCs/>
                <w:color w:val="000000" w:themeColor="text1"/>
                <w:sz w:val="20"/>
                <w:szCs w:val="20"/>
                <w:lang w:val="en-US"/>
              </w:rPr>
              <w:t>P</w:t>
            </w:r>
          </w:p>
        </w:tc>
      </w:tr>
      <w:tr w:rsidR="000D44B8" w:rsidRPr="009824AD" w14:paraId="5043E5DD" w14:textId="77777777" w:rsidTr="006E3A16">
        <w:tc>
          <w:tcPr>
            <w:tcW w:w="4673" w:type="dxa"/>
            <w:tcBorders>
              <w:top w:val="single" w:sz="4" w:space="0" w:color="auto"/>
              <w:right w:val="single" w:sz="4" w:space="0" w:color="auto"/>
            </w:tcBorders>
          </w:tcPr>
          <w:p w14:paraId="54FBF463" w14:textId="77777777" w:rsidR="000D44B8" w:rsidRPr="009824AD" w:rsidRDefault="000D44B8" w:rsidP="006E3A16">
            <w:pPr>
              <w:rPr>
                <w:rFonts w:ascii="Helvetica" w:hAnsi="Helvetica" w:cs="Calibri"/>
                <w:sz w:val="20"/>
                <w:szCs w:val="20"/>
                <w:lang w:val="en-US"/>
              </w:rPr>
            </w:pPr>
            <w:r w:rsidRPr="009824AD">
              <w:rPr>
                <w:rFonts w:ascii="Helvetica" w:hAnsi="Helvetica" w:cs="Calibri"/>
                <w:sz w:val="20"/>
                <w:szCs w:val="20"/>
                <w:lang w:val="en-US"/>
              </w:rPr>
              <w:t>Any additional postoperative complication (%)</w:t>
            </w:r>
          </w:p>
          <w:p w14:paraId="60DB53A7" w14:textId="77777777" w:rsidR="000D44B8" w:rsidRPr="009824AD" w:rsidRDefault="000D44B8" w:rsidP="006E3A16">
            <w:pPr>
              <w:rPr>
                <w:rFonts w:ascii="Helvetica" w:hAnsi="Helvetica" w:cs="Calibri"/>
                <w:sz w:val="20"/>
                <w:szCs w:val="20"/>
                <w:lang w:val="en-US"/>
              </w:rPr>
            </w:pPr>
            <w:r w:rsidRPr="009824AD">
              <w:rPr>
                <w:rFonts w:ascii="Helvetica" w:eastAsia="Times New Roman" w:hAnsi="Helvetica" w:cs="Calibri"/>
                <w:color w:val="000000" w:themeColor="text1"/>
                <w:sz w:val="20"/>
                <w:szCs w:val="20"/>
                <w:lang w:val="en-US"/>
              </w:rPr>
              <w:t xml:space="preserve">   Severe, grade 3-5</w:t>
            </w:r>
          </w:p>
        </w:tc>
        <w:tc>
          <w:tcPr>
            <w:tcW w:w="2126" w:type="dxa"/>
            <w:tcBorders>
              <w:top w:val="single" w:sz="4" w:space="0" w:color="auto"/>
              <w:left w:val="single" w:sz="4" w:space="0" w:color="auto"/>
              <w:right w:val="single" w:sz="4" w:space="0" w:color="auto"/>
            </w:tcBorders>
          </w:tcPr>
          <w:p w14:paraId="592517C4" w14:textId="77777777" w:rsidR="000D44B8" w:rsidRPr="009824AD" w:rsidRDefault="000D44B8" w:rsidP="006E3A16">
            <w:pPr>
              <w:tabs>
                <w:tab w:val="center" w:pos="955"/>
              </w:tabs>
              <w:jc w:val="center"/>
              <w:rPr>
                <w:rFonts w:ascii="Helvetica" w:hAnsi="Helvetica" w:cs="Calibri"/>
                <w:color w:val="000000" w:themeColor="text1"/>
                <w:sz w:val="20"/>
                <w:szCs w:val="20"/>
                <w:lang w:val="en-US"/>
              </w:rPr>
            </w:pPr>
            <w:r w:rsidRPr="009824AD">
              <w:rPr>
                <w:rFonts w:ascii="Helvetica" w:hAnsi="Helvetica" w:cs="Calibri"/>
                <w:color w:val="000000" w:themeColor="text1"/>
                <w:sz w:val="20"/>
                <w:szCs w:val="20"/>
                <w:lang w:val="en-US"/>
              </w:rPr>
              <w:t>16 (17.8)</w:t>
            </w:r>
          </w:p>
          <w:p w14:paraId="7F0D9BD5" w14:textId="77777777" w:rsidR="000D44B8" w:rsidRPr="009824AD" w:rsidRDefault="000D44B8" w:rsidP="006E3A16">
            <w:pPr>
              <w:jc w:val="center"/>
              <w:rPr>
                <w:rFonts w:ascii="Helvetica" w:hAnsi="Helvetica" w:cs="Calibri"/>
                <w:color w:val="000000" w:themeColor="text1"/>
                <w:sz w:val="20"/>
                <w:szCs w:val="20"/>
                <w:lang w:val="en-US"/>
              </w:rPr>
            </w:pPr>
            <w:r w:rsidRPr="009824AD">
              <w:rPr>
                <w:rFonts w:ascii="Helvetica" w:hAnsi="Helvetica" w:cs="Calibri"/>
                <w:color w:val="000000" w:themeColor="text1"/>
                <w:sz w:val="20"/>
                <w:szCs w:val="20"/>
                <w:lang w:val="en-US"/>
              </w:rPr>
              <w:t>9 (10.1)</w:t>
            </w:r>
          </w:p>
        </w:tc>
        <w:tc>
          <w:tcPr>
            <w:tcW w:w="1843" w:type="dxa"/>
            <w:tcBorders>
              <w:top w:val="single" w:sz="4" w:space="0" w:color="auto"/>
              <w:left w:val="single" w:sz="4" w:space="0" w:color="auto"/>
              <w:right w:val="single" w:sz="4" w:space="0" w:color="auto"/>
            </w:tcBorders>
          </w:tcPr>
          <w:p w14:paraId="48202E38" w14:textId="77777777" w:rsidR="000D44B8" w:rsidRPr="009824AD" w:rsidRDefault="000D44B8" w:rsidP="006E3A16">
            <w:pPr>
              <w:jc w:val="center"/>
              <w:rPr>
                <w:rFonts w:ascii="Helvetica" w:hAnsi="Helvetica" w:cs="Calibri"/>
                <w:color w:val="000000" w:themeColor="text1"/>
                <w:sz w:val="20"/>
                <w:szCs w:val="20"/>
                <w:lang w:val="en-US"/>
              </w:rPr>
            </w:pPr>
            <w:r w:rsidRPr="009824AD">
              <w:rPr>
                <w:rFonts w:ascii="Helvetica" w:hAnsi="Helvetica" w:cs="Calibri"/>
                <w:color w:val="000000" w:themeColor="text1"/>
                <w:sz w:val="20"/>
                <w:szCs w:val="20"/>
                <w:lang w:val="en-US"/>
              </w:rPr>
              <w:t>93 (51.1)</w:t>
            </w:r>
          </w:p>
          <w:p w14:paraId="1599ED4B" w14:textId="77777777" w:rsidR="000D44B8" w:rsidRPr="009824AD" w:rsidRDefault="000D44B8" w:rsidP="006E3A16">
            <w:pPr>
              <w:jc w:val="center"/>
              <w:rPr>
                <w:rFonts w:ascii="Helvetica" w:hAnsi="Helvetica" w:cs="Calibri"/>
                <w:color w:val="000000" w:themeColor="text1"/>
                <w:sz w:val="20"/>
                <w:szCs w:val="20"/>
                <w:lang w:val="en-US"/>
              </w:rPr>
            </w:pPr>
            <w:r w:rsidRPr="009824AD">
              <w:rPr>
                <w:rFonts w:ascii="Helvetica" w:hAnsi="Helvetica" w:cs="Calibri"/>
                <w:color w:val="000000" w:themeColor="text1"/>
                <w:sz w:val="20"/>
                <w:szCs w:val="20"/>
                <w:lang w:val="en-US"/>
              </w:rPr>
              <w:t>37 (20.9)</w:t>
            </w:r>
          </w:p>
        </w:tc>
        <w:tc>
          <w:tcPr>
            <w:tcW w:w="851" w:type="dxa"/>
            <w:tcBorders>
              <w:top w:val="single" w:sz="4" w:space="0" w:color="auto"/>
              <w:left w:val="single" w:sz="4" w:space="0" w:color="auto"/>
            </w:tcBorders>
          </w:tcPr>
          <w:p w14:paraId="4D310CA5" w14:textId="77777777" w:rsidR="000D44B8" w:rsidRPr="009824AD" w:rsidRDefault="000D44B8" w:rsidP="006E3A16">
            <w:pPr>
              <w:jc w:val="center"/>
              <w:rPr>
                <w:rFonts w:ascii="Helvetica" w:hAnsi="Helvetica" w:cs="Calibri"/>
                <w:b/>
                <w:bCs/>
                <w:color w:val="000000" w:themeColor="text1"/>
                <w:sz w:val="20"/>
                <w:szCs w:val="20"/>
                <w:lang w:val="en-US"/>
              </w:rPr>
            </w:pPr>
            <w:r w:rsidRPr="009824AD">
              <w:rPr>
                <w:rFonts w:ascii="Helvetica" w:hAnsi="Helvetica" w:cs="Calibri"/>
                <w:b/>
                <w:bCs/>
                <w:color w:val="000000" w:themeColor="text1"/>
                <w:sz w:val="20"/>
                <w:szCs w:val="20"/>
                <w:lang w:val="en-US"/>
              </w:rPr>
              <w:t>&lt;0.001</w:t>
            </w:r>
          </w:p>
          <w:p w14:paraId="6DBEEAD5" w14:textId="77777777" w:rsidR="000D44B8" w:rsidRPr="009824AD" w:rsidRDefault="000D44B8" w:rsidP="006E3A16">
            <w:pPr>
              <w:jc w:val="center"/>
              <w:rPr>
                <w:rFonts w:ascii="Helvetica" w:hAnsi="Helvetica" w:cs="Calibri"/>
                <w:color w:val="000000" w:themeColor="text1"/>
                <w:sz w:val="20"/>
                <w:szCs w:val="20"/>
                <w:lang w:val="en-US"/>
              </w:rPr>
            </w:pPr>
            <w:r w:rsidRPr="009824AD">
              <w:rPr>
                <w:rFonts w:ascii="Helvetica" w:hAnsi="Helvetica" w:cs="Calibri"/>
                <w:b/>
                <w:bCs/>
                <w:color w:val="000000" w:themeColor="text1"/>
                <w:sz w:val="20"/>
                <w:szCs w:val="20"/>
                <w:lang w:val="en-US"/>
              </w:rPr>
              <w:t>0.028</w:t>
            </w:r>
          </w:p>
        </w:tc>
      </w:tr>
      <w:tr w:rsidR="000D44B8" w:rsidRPr="009824AD" w14:paraId="3DD96895" w14:textId="77777777" w:rsidTr="006E3A16">
        <w:tc>
          <w:tcPr>
            <w:tcW w:w="4673" w:type="dxa"/>
            <w:tcBorders>
              <w:right w:val="single" w:sz="4" w:space="0" w:color="auto"/>
            </w:tcBorders>
            <w:vAlign w:val="center"/>
          </w:tcPr>
          <w:p w14:paraId="57D62C1F" w14:textId="77777777" w:rsidR="000D44B8" w:rsidRPr="009824AD" w:rsidRDefault="000D44B8" w:rsidP="006E3A16">
            <w:pPr>
              <w:rPr>
                <w:rFonts w:ascii="Helvetica" w:eastAsia="Times New Roman" w:hAnsi="Helvetica" w:cs="Calibri"/>
                <w:color w:val="000000" w:themeColor="text1"/>
                <w:sz w:val="20"/>
                <w:szCs w:val="20"/>
                <w:lang w:val="en-US"/>
              </w:rPr>
            </w:pPr>
            <w:r w:rsidRPr="009824AD">
              <w:rPr>
                <w:rFonts w:ascii="Helvetica" w:eastAsia="Times New Roman" w:hAnsi="Helvetica" w:cs="Calibri"/>
                <w:color w:val="000000" w:themeColor="text1"/>
                <w:sz w:val="20"/>
                <w:szCs w:val="20"/>
                <w:lang w:val="en-US"/>
              </w:rPr>
              <w:t>Liver failure (%)</w:t>
            </w:r>
          </w:p>
        </w:tc>
        <w:tc>
          <w:tcPr>
            <w:tcW w:w="2126" w:type="dxa"/>
            <w:tcBorders>
              <w:left w:val="single" w:sz="4" w:space="0" w:color="auto"/>
              <w:right w:val="single" w:sz="4" w:space="0" w:color="auto"/>
            </w:tcBorders>
          </w:tcPr>
          <w:p w14:paraId="4E677D20" w14:textId="77777777" w:rsidR="000D44B8" w:rsidRPr="009824AD" w:rsidRDefault="000D44B8" w:rsidP="006E3A16">
            <w:pPr>
              <w:jc w:val="center"/>
              <w:rPr>
                <w:rFonts w:ascii="Helvetica" w:hAnsi="Helvetica" w:cs="Calibri"/>
                <w:color w:val="000000" w:themeColor="text1"/>
                <w:sz w:val="20"/>
                <w:szCs w:val="20"/>
                <w:lang w:val="en-US"/>
              </w:rPr>
            </w:pPr>
            <w:r w:rsidRPr="009824AD">
              <w:rPr>
                <w:rFonts w:ascii="Helvetica" w:hAnsi="Helvetica" w:cs="Calibri"/>
                <w:color w:val="000000" w:themeColor="text1"/>
                <w:sz w:val="20"/>
                <w:szCs w:val="20"/>
                <w:lang w:val="en-US"/>
              </w:rPr>
              <w:t>1 (1.1)</w:t>
            </w:r>
          </w:p>
        </w:tc>
        <w:tc>
          <w:tcPr>
            <w:tcW w:w="1843" w:type="dxa"/>
            <w:tcBorders>
              <w:left w:val="single" w:sz="4" w:space="0" w:color="auto"/>
              <w:right w:val="single" w:sz="4" w:space="0" w:color="auto"/>
            </w:tcBorders>
          </w:tcPr>
          <w:p w14:paraId="7338029F" w14:textId="77777777" w:rsidR="000D44B8" w:rsidRPr="009824AD" w:rsidRDefault="000D44B8" w:rsidP="006E3A16">
            <w:pPr>
              <w:jc w:val="center"/>
              <w:rPr>
                <w:rFonts w:ascii="Helvetica" w:hAnsi="Helvetica" w:cs="Calibri"/>
                <w:color w:val="000000" w:themeColor="text1"/>
                <w:sz w:val="20"/>
                <w:szCs w:val="20"/>
                <w:lang w:val="en-US"/>
              </w:rPr>
            </w:pPr>
            <w:r w:rsidRPr="009824AD">
              <w:rPr>
                <w:rFonts w:ascii="Helvetica" w:hAnsi="Helvetica" w:cs="Calibri"/>
                <w:color w:val="000000" w:themeColor="text1"/>
                <w:sz w:val="20"/>
                <w:szCs w:val="20"/>
                <w:lang w:val="en-US"/>
              </w:rPr>
              <w:t>9 (4.6)</w:t>
            </w:r>
          </w:p>
        </w:tc>
        <w:tc>
          <w:tcPr>
            <w:tcW w:w="851" w:type="dxa"/>
            <w:tcBorders>
              <w:left w:val="single" w:sz="4" w:space="0" w:color="auto"/>
            </w:tcBorders>
          </w:tcPr>
          <w:p w14:paraId="46C99156" w14:textId="77777777" w:rsidR="000D44B8" w:rsidRPr="009824AD" w:rsidRDefault="000D44B8" w:rsidP="006E3A16">
            <w:pPr>
              <w:jc w:val="center"/>
              <w:rPr>
                <w:rFonts w:ascii="Helvetica" w:hAnsi="Helvetica" w:cs="Calibri"/>
                <w:color w:val="000000" w:themeColor="text1"/>
                <w:sz w:val="20"/>
                <w:szCs w:val="20"/>
                <w:lang w:val="en-US"/>
              </w:rPr>
            </w:pPr>
            <w:r w:rsidRPr="009824AD">
              <w:rPr>
                <w:rFonts w:ascii="Helvetica" w:hAnsi="Helvetica" w:cs="Calibri"/>
                <w:color w:val="000000" w:themeColor="text1"/>
                <w:sz w:val="20"/>
                <w:szCs w:val="20"/>
                <w:lang w:val="en-US"/>
              </w:rPr>
              <w:t>0.135</w:t>
            </w:r>
          </w:p>
        </w:tc>
      </w:tr>
      <w:tr w:rsidR="000D44B8" w:rsidRPr="009824AD" w14:paraId="10D35C52" w14:textId="77777777" w:rsidTr="006E3A16">
        <w:tc>
          <w:tcPr>
            <w:tcW w:w="4673" w:type="dxa"/>
            <w:tcBorders>
              <w:right w:val="single" w:sz="4" w:space="0" w:color="auto"/>
            </w:tcBorders>
          </w:tcPr>
          <w:p w14:paraId="588DFBE3" w14:textId="77777777" w:rsidR="000D44B8" w:rsidRPr="009824AD" w:rsidRDefault="000D44B8" w:rsidP="006E3A16">
            <w:pPr>
              <w:rPr>
                <w:rFonts w:ascii="Helvetica" w:hAnsi="Helvetica" w:cs="Calibri"/>
                <w:sz w:val="20"/>
                <w:szCs w:val="20"/>
                <w:lang w:val="en-US"/>
              </w:rPr>
            </w:pPr>
            <w:r w:rsidRPr="009824AD">
              <w:rPr>
                <w:rFonts w:ascii="Helvetica" w:hAnsi="Helvetica" w:cs="Calibri"/>
                <w:sz w:val="20"/>
                <w:szCs w:val="20"/>
                <w:lang w:val="en-US"/>
              </w:rPr>
              <w:t>Pulmonary complications (%)</w:t>
            </w:r>
          </w:p>
        </w:tc>
        <w:tc>
          <w:tcPr>
            <w:tcW w:w="2126" w:type="dxa"/>
            <w:tcBorders>
              <w:left w:val="single" w:sz="4" w:space="0" w:color="auto"/>
              <w:right w:val="single" w:sz="4" w:space="0" w:color="auto"/>
            </w:tcBorders>
          </w:tcPr>
          <w:p w14:paraId="5A05128C" w14:textId="77777777" w:rsidR="000D44B8" w:rsidRPr="009824AD" w:rsidRDefault="000D44B8" w:rsidP="006E3A16">
            <w:pPr>
              <w:jc w:val="center"/>
              <w:rPr>
                <w:rFonts w:ascii="Helvetica" w:hAnsi="Helvetica" w:cs="Calibri"/>
                <w:color w:val="000000" w:themeColor="text1"/>
                <w:sz w:val="20"/>
                <w:szCs w:val="20"/>
                <w:lang w:val="en-US"/>
              </w:rPr>
            </w:pPr>
            <w:r w:rsidRPr="009824AD">
              <w:rPr>
                <w:rFonts w:ascii="Helvetica" w:hAnsi="Helvetica" w:cs="Calibri"/>
                <w:color w:val="000000" w:themeColor="text1"/>
                <w:sz w:val="20"/>
                <w:szCs w:val="20"/>
                <w:lang w:val="en-US"/>
              </w:rPr>
              <w:t>6 (6.7)</w:t>
            </w:r>
          </w:p>
        </w:tc>
        <w:tc>
          <w:tcPr>
            <w:tcW w:w="1843" w:type="dxa"/>
            <w:tcBorders>
              <w:left w:val="single" w:sz="4" w:space="0" w:color="auto"/>
              <w:right w:val="single" w:sz="4" w:space="0" w:color="auto"/>
            </w:tcBorders>
          </w:tcPr>
          <w:p w14:paraId="0FA571F5" w14:textId="77777777" w:rsidR="000D44B8" w:rsidRPr="009824AD" w:rsidRDefault="000D44B8" w:rsidP="006E3A16">
            <w:pPr>
              <w:jc w:val="center"/>
              <w:rPr>
                <w:rFonts w:ascii="Helvetica" w:hAnsi="Helvetica" w:cs="Calibri"/>
                <w:color w:val="000000" w:themeColor="text1"/>
                <w:sz w:val="20"/>
                <w:szCs w:val="20"/>
                <w:lang w:val="en-US"/>
              </w:rPr>
            </w:pPr>
            <w:r w:rsidRPr="009824AD">
              <w:rPr>
                <w:rFonts w:ascii="Helvetica" w:hAnsi="Helvetica" w:cs="Calibri"/>
                <w:color w:val="000000" w:themeColor="text1"/>
                <w:sz w:val="20"/>
                <w:szCs w:val="20"/>
                <w:lang w:val="en-US"/>
              </w:rPr>
              <w:t>7 (3.6)</w:t>
            </w:r>
          </w:p>
        </w:tc>
        <w:tc>
          <w:tcPr>
            <w:tcW w:w="851" w:type="dxa"/>
            <w:tcBorders>
              <w:left w:val="single" w:sz="4" w:space="0" w:color="auto"/>
            </w:tcBorders>
          </w:tcPr>
          <w:p w14:paraId="59118976" w14:textId="77777777" w:rsidR="000D44B8" w:rsidRPr="009824AD" w:rsidRDefault="000D44B8" w:rsidP="006E3A16">
            <w:pPr>
              <w:jc w:val="center"/>
              <w:rPr>
                <w:rFonts w:ascii="Helvetica" w:hAnsi="Helvetica" w:cs="Calibri"/>
                <w:color w:val="000000" w:themeColor="text1"/>
                <w:sz w:val="20"/>
                <w:szCs w:val="20"/>
                <w:lang w:val="en-US"/>
              </w:rPr>
            </w:pPr>
            <w:r w:rsidRPr="009824AD">
              <w:rPr>
                <w:rFonts w:ascii="Helvetica" w:hAnsi="Helvetica" w:cs="Calibri"/>
                <w:color w:val="000000" w:themeColor="text1"/>
                <w:sz w:val="20"/>
                <w:szCs w:val="20"/>
                <w:lang w:val="en-US"/>
              </w:rPr>
              <w:t>0.247</w:t>
            </w:r>
          </w:p>
        </w:tc>
      </w:tr>
      <w:tr w:rsidR="000D44B8" w:rsidRPr="009824AD" w14:paraId="5F632FBC" w14:textId="77777777" w:rsidTr="006E3A16">
        <w:tc>
          <w:tcPr>
            <w:tcW w:w="4673" w:type="dxa"/>
            <w:tcBorders>
              <w:right w:val="single" w:sz="4" w:space="0" w:color="auto"/>
            </w:tcBorders>
          </w:tcPr>
          <w:p w14:paraId="17897136" w14:textId="77777777" w:rsidR="000D44B8" w:rsidRPr="009824AD" w:rsidRDefault="000D44B8" w:rsidP="006E3A16">
            <w:pPr>
              <w:rPr>
                <w:rFonts w:ascii="Helvetica" w:hAnsi="Helvetica" w:cs="Calibri"/>
                <w:sz w:val="20"/>
                <w:szCs w:val="20"/>
                <w:lang w:val="en-US"/>
              </w:rPr>
            </w:pPr>
            <w:r w:rsidRPr="009824AD">
              <w:rPr>
                <w:rFonts w:ascii="Helvetica" w:hAnsi="Helvetica" w:cs="Calibri"/>
                <w:sz w:val="20"/>
                <w:szCs w:val="20"/>
                <w:lang w:val="en-US"/>
              </w:rPr>
              <w:t>Surgical site infection (%)</w:t>
            </w:r>
          </w:p>
          <w:p w14:paraId="0EC8D9AB" w14:textId="77777777" w:rsidR="000D44B8" w:rsidRPr="009824AD" w:rsidRDefault="000D44B8" w:rsidP="006E3A16">
            <w:pPr>
              <w:rPr>
                <w:rFonts w:ascii="Helvetica" w:hAnsi="Helvetica" w:cs="Calibri"/>
                <w:sz w:val="20"/>
                <w:szCs w:val="20"/>
                <w:lang w:val="en-US"/>
              </w:rPr>
            </w:pPr>
            <w:r w:rsidRPr="009824AD">
              <w:rPr>
                <w:rFonts w:ascii="Helvetica" w:hAnsi="Helvetica" w:cs="Calibri"/>
                <w:sz w:val="20"/>
                <w:szCs w:val="20"/>
                <w:lang w:val="en-US"/>
              </w:rPr>
              <w:t xml:space="preserve">  Superficial</w:t>
            </w:r>
          </w:p>
          <w:p w14:paraId="4A533FAD" w14:textId="77777777" w:rsidR="000D44B8" w:rsidRPr="009824AD" w:rsidRDefault="000D44B8" w:rsidP="006E3A16">
            <w:pPr>
              <w:rPr>
                <w:rFonts w:ascii="Helvetica" w:hAnsi="Helvetica" w:cs="Calibri"/>
                <w:sz w:val="20"/>
                <w:szCs w:val="20"/>
                <w:lang w:val="en-US"/>
              </w:rPr>
            </w:pPr>
            <w:r w:rsidRPr="009824AD">
              <w:rPr>
                <w:rFonts w:ascii="Helvetica" w:hAnsi="Helvetica" w:cs="Calibri"/>
                <w:sz w:val="20"/>
                <w:szCs w:val="20"/>
                <w:lang w:val="en-US"/>
              </w:rPr>
              <w:t xml:space="preserve">  Deep</w:t>
            </w:r>
          </w:p>
          <w:p w14:paraId="76BE9F6B" w14:textId="77777777" w:rsidR="000D44B8" w:rsidRPr="009824AD" w:rsidRDefault="000D44B8" w:rsidP="006E3A16">
            <w:pPr>
              <w:rPr>
                <w:rFonts w:ascii="Helvetica" w:hAnsi="Helvetica" w:cs="Calibri"/>
                <w:sz w:val="20"/>
                <w:szCs w:val="20"/>
                <w:lang w:val="en-US"/>
              </w:rPr>
            </w:pPr>
            <w:r w:rsidRPr="009824AD">
              <w:rPr>
                <w:rFonts w:ascii="Helvetica" w:hAnsi="Helvetica" w:cs="Calibri"/>
                <w:sz w:val="20"/>
                <w:szCs w:val="20"/>
                <w:lang w:val="en-US"/>
              </w:rPr>
              <w:t xml:space="preserve">  Organ/Space</w:t>
            </w:r>
          </w:p>
        </w:tc>
        <w:tc>
          <w:tcPr>
            <w:tcW w:w="2126" w:type="dxa"/>
            <w:tcBorders>
              <w:left w:val="single" w:sz="4" w:space="0" w:color="auto"/>
              <w:right w:val="single" w:sz="4" w:space="0" w:color="auto"/>
            </w:tcBorders>
          </w:tcPr>
          <w:p w14:paraId="09F6C855" w14:textId="77777777" w:rsidR="000D44B8" w:rsidRPr="009824AD" w:rsidRDefault="000D44B8" w:rsidP="006E3A16">
            <w:pPr>
              <w:jc w:val="center"/>
              <w:rPr>
                <w:rFonts w:ascii="Helvetica" w:hAnsi="Helvetica" w:cs="Calibri"/>
                <w:color w:val="000000" w:themeColor="text1"/>
                <w:sz w:val="20"/>
                <w:szCs w:val="20"/>
                <w:lang w:val="en-US"/>
              </w:rPr>
            </w:pPr>
            <w:r w:rsidRPr="009824AD">
              <w:rPr>
                <w:rFonts w:ascii="Helvetica" w:hAnsi="Helvetica" w:cs="Calibri"/>
                <w:color w:val="000000" w:themeColor="text1"/>
                <w:sz w:val="20"/>
                <w:szCs w:val="20"/>
                <w:lang w:val="en-US"/>
              </w:rPr>
              <w:t>4 (4.4)</w:t>
            </w:r>
          </w:p>
          <w:p w14:paraId="5B700D1D" w14:textId="77777777" w:rsidR="000D44B8" w:rsidRPr="009824AD" w:rsidRDefault="000D44B8" w:rsidP="006E3A16">
            <w:pPr>
              <w:jc w:val="center"/>
              <w:rPr>
                <w:rFonts w:ascii="Helvetica" w:hAnsi="Helvetica" w:cs="Calibri"/>
                <w:color w:val="000000" w:themeColor="text1"/>
                <w:sz w:val="20"/>
                <w:szCs w:val="20"/>
                <w:lang w:val="en-US"/>
              </w:rPr>
            </w:pPr>
            <w:r w:rsidRPr="009824AD">
              <w:rPr>
                <w:rFonts w:ascii="Helvetica" w:hAnsi="Helvetica" w:cs="Calibri"/>
                <w:color w:val="000000" w:themeColor="text1"/>
                <w:sz w:val="20"/>
                <w:szCs w:val="20"/>
                <w:lang w:val="en-US"/>
              </w:rPr>
              <w:t>0</w:t>
            </w:r>
          </w:p>
          <w:p w14:paraId="74B40020" w14:textId="77777777" w:rsidR="000D44B8" w:rsidRPr="009824AD" w:rsidRDefault="000D44B8" w:rsidP="006E3A16">
            <w:pPr>
              <w:jc w:val="center"/>
              <w:rPr>
                <w:rFonts w:ascii="Helvetica" w:hAnsi="Helvetica" w:cs="Calibri"/>
                <w:color w:val="000000" w:themeColor="text1"/>
                <w:sz w:val="20"/>
                <w:szCs w:val="20"/>
                <w:lang w:val="en-US"/>
              </w:rPr>
            </w:pPr>
            <w:r w:rsidRPr="009824AD">
              <w:rPr>
                <w:rFonts w:ascii="Helvetica" w:hAnsi="Helvetica" w:cs="Calibri"/>
                <w:color w:val="000000" w:themeColor="text1"/>
                <w:sz w:val="20"/>
                <w:szCs w:val="20"/>
                <w:lang w:val="en-US"/>
              </w:rPr>
              <w:t>0</w:t>
            </w:r>
          </w:p>
          <w:p w14:paraId="3875CFB9" w14:textId="77777777" w:rsidR="000D44B8" w:rsidRPr="009824AD" w:rsidRDefault="000D44B8" w:rsidP="006E3A16">
            <w:pPr>
              <w:jc w:val="center"/>
              <w:rPr>
                <w:rFonts w:ascii="Helvetica" w:hAnsi="Helvetica" w:cs="Calibri"/>
                <w:color w:val="000000" w:themeColor="text1"/>
                <w:sz w:val="20"/>
                <w:szCs w:val="20"/>
                <w:lang w:val="en-US"/>
              </w:rPr>
            </w:pPr>
            <w:r w:rsidRPr="009824AD">
              <w:rPr>
                <w:rFonts w:ascii="Helvetica" w:hAnsi="Helvetica" w:cs="Calibri"/>
                <w:color w:val="000000" w:themeColor="text1"/>
                <w:sz w:val="20"/>
                <w:szCs w:val="20"/>
                <w:lang w:val="en-US"/>
              </w:rPr>
              <w:t>4 (4.4)</w:t>
            </w:r>
          </w:p>
        </w:tc>
        <w:tc>
          <w:tcPr>
            <w:tcW w:w="1843" w:type="dxa"/>
            <w:tcBorders>
              <w:left w:val="single" w:sz="4" w:space="0" w:color="auto"/>
              <w:right w:val="single" w:sz="4" w:space="0" w:color="auto"/>
            </w:tcBorders>
          </w:tcPr>
          <w:p w14:paraId="1AAECF0A" w14:textId="77777777" w:rsidR="000D44B8" w:rsidRPr="009824AD" w:rsidRDefault="000D44B8" w:rsidP="006E3A16">
            <w:pPr>
              <w:jc w:val="center"/>
              <w:rPr>
                <w:rFonts w:ascii="Helvetica" w:hAnsi="Helvetica" w:cs="Calibri"/>
                <w:color w:val="000000" w:themeColor="text1"/>
                <w:sz w:val="20"/>
                <w:szCs w:val="20"/>
                <w:lang w:val="en-US"/>
              </w:rPr>
            </w:pPr>
            <w:r w:rsidRPr="009824AD">
              <w:rPr>
                <w:rFonts w:ascii="Helvetica" w:hAnsi="Helvetica" w:cs="Calibri"/>
                <w:color w:val="000000" w:themeColor="text1"/>
                <w:sz w:val="20"/>
                <w:szCs w:val="20"/>
                <w:lang w:val="en-US"/>
              </w:rPr>
              <w:t>35 (17.9)</w:t>
            </w:r>
          </w:p>
          <w:p w14:paraId="3F497C83" w14:textId="77777777" w:rsidR="000D44B8" w:rsidRPr="009824AD" w:rsidRDefault="000D44B8" w:rsidP="006E3A16">
            <w:pPr>
              <w:jc w:val="center"/>
              <w:rPr>
                <w:rFonts w:ascii="Helvetica" w:hAnsi="Helvetica" w:cs="Calibri"/>
                <w:color w:val="000000" w:themeColor="text1"/>
                <w:sz w:val="20"/>
                <w:szCs w:val="20"/>
                <w:lang w:val="en-US"/>
              </w:rPr>
            </w:pPr>
            <w:r w:rsidRPr="009824AD">
              <w:rPr>
                <w:rFonts w:ascii="Helvetica" w:hAnsi="Helvetica" w:cs="Calibri"/>
                <w:color w:val="000000" w:themeColor="text1"/>
                <w:sz w:val="20"/>
                <w:szCs w:val="20"/>
                <w:lang w:val="en-US"/>
              </w:rPr>
              <w:t>2 (1.0)</w:t>
            </w:r>
          </w:p>
          <w:p w14:paraId="013A8B2E" w14:textId="77777777" w:rsidR="000D44B8" w:rsidRPr="009824AD" w:rsidRDefault="000D44B8" w:rsidP="006E3A16">
            <w:pPr>
              <w:jc w:val="center"/>
              <w:rPr>
                <w:rFonts w:ascii="Helvetica" w:hAnsi="Helvetica" w:cs="Calibri"/>
                <w:color w:val="000000" w:themeColor="text1"/>
                <w:sz w:val="20"/>
                <w:szCs w:val="20"/>
                <w:lang w:val="en-US"/>
              </w:rPr>
            </w:pPr>
            <w:r w:rsidRPr="009824AD">
              <w:rPr>
                <w:rFonts w:ascii="Helvetica" w:hAnsi="Helvetica" w:cs="Calibri"/>
                <w:color w:val="000000" w:themeColor="text1"/>
                <w:sz w:val="20"/>
                <w:szCs w:val="20"/>
                <w:lang w:val="en-US"/>
              </w:rPr>
              <w:t>2 (1.0)</w:t>
            </w:r>
          </w:p>
          <w:p w14:paraId="3DFA122B" w14:textId="77777777" w:rsidR="000D44B8" w:rsidRPr="009824AD" w:rsidRDefault="000D44B8" w:rsidP="006E3A16">
            <w:pPr>
              <w:jc w:val="center"/>
              <w:rPr>
                <w:rFonts w:ascii="Helvetica" w:hAnsi="Helvetica" w:cs="Calibri"/>
                <w:color w:val="000000" w:themeColor="text1"/>
                <w:sz w:val="20"/>
                <w:szCs w:val="20"/>
                <w:lang w:val="en-US"/>
              </w:rPr>
            </w:pPr>
            <w:r w:rsidRPr="009824AD">
              <w:rPr>
                <w:rFonts w:ascii="Helvetica" w:hAnsi="Helvetica" w:cs="Calibri"/>
                <w:color w:val="000000" w:themeColor="text1"/>
                <w:sz w:val="20"/>
                <w:szCs w:val="20"/>
                <w:lang w:val="en-US"/>
              </w:rPr>
              <w:t>31 (15.9)</w:t>
            </w:r>
          </w:p>
        </w:tc>
        <w:tc>
          <w:tcPr>
            <w:tcW w:w="851" w:type="dxa"/>
            <w:tcBorders>
              <w:left w:val="single" w:sz="4" w:space="0" w:color="auto"/>
            </w:tcBorders>
          </w:tcPr>
          <w:p w14:paraId="3D97C6C7" w14:textId="77777777" w:rsidR="000D44B8" w:rsidRPr="009824AD" w:rsidRDefault="000D44B8" w:rsidP="006E3A16">
            <w:pPr>
              <w:jc w:val="center"/>
              <w:rPr>
                <w:rFonts w:ascii="Helvetica" w:hAnsi="Helvetica" w:cs="Calibri"/>
                <w:b/>
                <w:bCs/>
                <w:color w:val="000000" w:themeColor="text1"/>
                <w:sz w:val="20"/>
                <w:szCs w:val="20"/>
                <w:lang w:val="en-US"/>
              </w:rPr>
            </w:pPr>
            <w:r w:rsidRPr="009824AD">
              <w:rPr>
                <w:rFonts w:ascii="Helvetica" w:hAnsi="Helvetica" w:cs="Calibri"/>
                <w:b/>
                <w:bCs/>
                <w:color w:val="000000" w:themeColor="text1"/>
                <w:sz w:val="20"/>
                <w:szCs w:val="20"/>
                <w:lang w:val="en-US"/>
              </w:rPr>
              <w:t>0.002</w:t>
            </w:r>
          </w:p>
          <w:p w14:paraId="02B1865B" w14:textId="77777777" w:rsidR="000D44B8" w:rsidRPr="009824AD" w:rsidRDefault="000D44B8" w:rsidP="006E3A16">
            <w:pPr>
              <w:jc w:val="center"/>
              <w:rPr>
                <w:rFonts w:ascii="Helvetica" w:hAnsi="Helvetica" w:cs="Calibri"/>
                <w:color w:val="000000" w:themeColor="text1"/>
                <w:sz w:val="20"/>
                <w:szCs w:val="20"/>
                <w:lang w:val="en-US"/>
              </w:rPr>
            </w:pPr>
            <w:r w:rsidRPr="009824AD">
              <w:rPr>
                <w:rFonts w:ascii="Helvetica" w:hAnsi="Helvetica" w:cs="Calibri"/>
                <w:color w:val="000000" w:themeColor="text1"/>
                <w:sz w:val="20"/>
                <w:szCs w:val="20"/>
                <w:lang w:val="en-US"/>
              </w:rPr>
              <w:t>0.574</w:t>
            </w:r>
          </w:p>
          <w:p w14:paraId="6F7BFE2A" w14:textId="77777777" w:rsidR="000D44B8" w:rsidRPr="009824AD" w:rsidRDefault="000D44B8" w:rsidP="006E3A16">
            <w:pPr>
              <w:jc w:val="center"/>
              <w:rPr>
                <w:rFonts w:ascii="Helvetica" w:hAnsi="Helvetica" w:cs="Calibri"/>
                <w:color w:val="000000" w:themeColor="text1"/>
                <w:sz w:val="20"/>
                <w:szCs w:val="20"/>
                <w:lang w:val="en-US"/>
              </w:rPr>
            </w:pPr>
            <w:r w:rsidRPr="009824AD">
              <w:rPr>
                <w:rFonts w:ascii="Helvetica" w:hAnsi="Helvetica" w:cs="Calibri"/>
                <w:color w:val="000000" w:themeColor="text1"/>
                <w:sz w:val="20"/>
                <w:szCs w:val="20"/>
                <w:lang w:val="en-US"/>
              </w:rPr>
              <w:t>0.574</w:t>
            </w:r>
          </w:p>
          <w:p w14:paraId="02D27871" w14:textId="77777777" w:rsidR="000D44B8" w:rsidRPr="009824AD" w:rsidRDefault="000D44B8" w:rsidP="006E3A16">
            <w:pPr>
              <w:jc w:val="center"/>
              <w:rPr>
                <w:rFonts w:ascii="Helvetica" w:hAnsi="Helvetica" w:cs="Calibri"/>
                <w:b/>
                <w:bCs/>
                <w:color w:val="000000" w:themeColor="text1"/>
                <w:sz w:val="20"/>
                <w:szCs w:val="20"/>
                <w:lang w:val="en-US"/>
              </w:rPr>
            </w:pPr>
            <w:r w:rsidRPr="009824AD">
              <w:rPr>
                <w:rFonts w:ascii="Helvetica" w:hAnsi="Helvetica" w:cs="Calibri"/>
                <w:b/>
                <w:bCs/>
                <w:color w:val="000000" w:themeColor="text1"/>
                <w:sz w:val="20"/>
                <w:szCs w:val="20"/>
                <w:lang w:val="en-US"/>
              </w:rPr>
              <w:t>0.006</w:t>
            </w:r>
          </w:p>
        </w:tc>
      </w:tr>
      <w:tr w:rsidR="000D44B8" w:rsidRPr="009824AD" w14:paraId="54F4D3DB" w14:textId="77777777" w:rsidTr="006E3A16">
        <w:tc>
          <w:tcPr>
            <w:tcW w:w="4673" w:type="dxa"/>
            <w:tcBorders>
              <w:right w:val="single" w:sz="4" w:space="0" w:color="auto"/>
            </w:tcBorders>
          </w:tcPr>
          <w:p w14:paraId="7B2B3156" w14:textId="77777777" w:rsidR="000D44B8" w:rsidRPr="009824AD" w:rsidRDefault="000D44B8" w:rsidP="006E3A16">
            <w:pPr>
              <w:rPr>
                <w:rFonts w:ascii="Helvetica" w:hAnsi="Helvetica" w:cs="Calibri"/>
                <w:sz w:val="20"/>
                <w:szCs w:val="20"/>
                <w:lang w:val="en-US"/>
              </w:rPr>
            </w:pPr>
            <w:r w:rsidRPr="009824AD">
              <w:rPr>
                <w:rFonts w:ascii="Helvetica" w:hAnsi="Helvetica" w:cs="Calibri"/>
                <w:sz w:val="20"/>
                <w:szCs w:val="20"/>
                <w:lang w:val="en-US"/>
              </w:rPr>
              <w:t>Hemorrhage (%)</w:t>
            </w:r>
          </w:p>
        </w:tc>
        <w:tc>
          <w:tcPr>
            <w:tcW w:w="2126" w:type="dxa"/>
            <w:tcBorders>
              <w:left w:val="single" w:sz="4" w:space="0" w:color="auto"/>
              <w:right w:val="single" w:sz="4" w:space="0" w:color="auto"/>
            </w:tcBorders>
          </w:tcPr>
          <w:p w14:paraId="4310B29E" w14:textId="77777777" w:rsidR="000D44B8" w:rsidRPr="009824AD" w:rsidRDefault="000D44B8" w:rsidP="006E3A16">
            <w:pPr>
              <w:jc w:val="center"/>
              <w:rPr>
                <w:rFonts w:ascii="Helvetica" w:hAnsi="Helvetica" w:cs="Calibri"/>
                <w:color w:val="000000" w:themeColor="text1"/>
                <w:sz w:val="20"/>
                <w:szCs w:val="20"/>
                <w:lang w:val="en-US"/>
              </w:rPr>
            </w:pPr>
            <w:r w:rsidRPr="009824AD">
              <w:rPr>
                <w:rFonts w:ascii="Helvetica" w:hAnsi="Helvetica" w:cs="Calibri"/>
                <w:color w:val="000000" w:themeColor="text1"/>
                <w:sz w:val="20"/>
                <w:szCs w:val="20"/>
                <w:lang w:val="en-US"/>
              </w:rPr>
              <w:t>2 (2.2)</w:t>
            </w:r>
          </w:p>
        </w:tc>
        <w:tc>
          <w:tcPr>
            <w:tcW w:w="1843" w:type="dxa"/>
            <w:tcBorders>
              <w:left w:val="single" w:sz="4" w:space="0" w:color="auto"/>
              <w:right w:val="single" w:sz="4" w:space="0" w:color="auto"/>
            </w:tcBorders>
          </w:tcPr>
          <w:p w14:paraId="72A13355" w14:textId="77777777" w:rsidR="000D44B8" w:rsidRPr="009824AD" w:rsidRDefault="000D44B8" w:rsidP="006E3A16">
            <w:pPr>
              <w:jc w:val="center"/>
              <w:rPr>
                <w:rFonts w:ascii="Helvetica" w:hAnsi="Helvetica" w:cs="Calibri"/>
                <w:color w:val="000000" w:themeColor="text1"/>
                <w:sz w:val="20"/>
                <w:szCs w:val="20"/>
                <w:lang w:val="en-US"/>
              </w:rPr>
            </w:pPr>
            <w:r w:rsidRPr="009824AD">
              <w:rPr>
                <w:rFonts w:ascii="Helvetica" w:hAnsi="Helvetica" w:cs="Calibri"/>
                <w:color w:val="000000" w:themeColor="text1"/>
                <w:sz w:val="20"/>
                <w:szCs w:val="20"/>
                <w:lang w:val="en-US"/>
              </w:rPr>
              <w:t>5 (2.6)</w:t>
            </w:r>
          </w:p>
        </w:tc>
        <w:tc>
          <w:tcPr>
            <w:tcW w:w="851" w:type="dxa"/>
            <w:tcBorders>
              <w:left w:val="single" w:sz="4" w:space="0" w:color="auto"/>
            </w:tcBorders>
          </w:tcPr>
          <w:p w14:paraId="2D3B3F36" w14:textId="77777777" w:rsidR="000D44B8" w:rsidRPr="009824AD" w:rsidRDefault="000D44B8" w:rsidP="006E3A16">
            <w:pPr>
              <w:jc w:val="center"/>
              <w:rPr>
                <w:rFonts w:ascii="Helvetica" w:hAnsi="Helvetica" w:cs="Calibri"/>
                <w:color w:val="000000" w:themeColor="text1"/>
                <w:sz w:val="20"/>
                <w:szCs w:val="20"/>
                <w:lang w:val="en-US"/>
              </w:rPr>
            </w:pPr>
            <w:r w:rsidRPr="009824AD">
              <w:rPr>
                <w:rFonts w:ascii="Helvetica" w:hAnsi="Helvetica" w:cs="Calibri"/>
                <w:color w:val="000000" w:themeColor="text1"/>
                <w:sz w:val="20"/>
                <w:szCs w:val="20"/>
                <w:lang w:val="en-US"/>
              </w:rPr>
              <w:t>0.862</w:t>
            </w:r>
          </w:p>
        </w:tc>
      </w:tr>
      <w:tr w:rsidR="000D44B8" w:rsidRPr="009824AD" w14:paraId="295E7A12" w14:textId="77777777" w:rsidTr="006E3A16">
        <w:tc>
          <w:tcPr>
            <w:tcW w:w="4673" w:type="dxa"/>
            <w:tcBorders>
              <w:right w:val="single" w:sz="4" w:space="0" w:color="auto"/>
            </w:tcBorders>
          </w:tcPr>
          <w:p w14:paraId="4F705F36" w14:textId="37705C42" w:rsidR="000D44B8" w:rsidRPr="009824AD" w:rsidRDefault="000D44B8" w:rsidP="006E3A16">
            <w:pPr>
              <w:rPr>
                <w:rFonts w:ascii="Helvetica" w:hAnsi="Helvetica" w:cs="Calibri"/>
                <w:sz w:val="20"/>
                <w:szCs w:val="20"/>
                <w:lang w:val="en-US"/>
              </w:rPr>
            </w:pPr>
            <w:r w:rsidRPr="009824AD">
              <w:rPr>
                <w:rFonts w:ascii="Helvetica" w:hAnsi="Helvetica" w:cs="Calibri"/>
                <w:sz w:val="20"/>
                <w:szCs w:val="20"/>
                <w:lang w:val="en-US"/>
              </w:rPr>
              <w:t>Length of hospital stay, days, median (</w:t>
            </w:r>
            <w:r w:rsidR="00493F8D" w:rsidRPr="009824AD">
              <w:rPr>
                <w:rFonts w:ascii="Helvetica" w:hAnsi="Helvetica" w:cs="Calibri"/>
                <w:sz w:val="20"/>
                <w:szCs w:val="20"/>
                <w:lang w:val="en-US"/>
              </w:rPr>
              <w:t>IQR</w:t>
            </w:r>
            <w:r w:rsidRPr="009824AD">
              <w:rPr>
                <w:rFonts w:ascii="Helvetica" w:hAnsi="Helvetica" w:cs="Calibri"/>
                <w:sz w:val="20"/>
                <w:szCs w:val="20"/>
                <w:lang w:val="en-US"/>
              </w:rPr>
              <w:t>)</w:t>
            </w:r>
          </w:p>
        </w:tc>
        <w:tc>
          <w:tcPr>
            <w:tcW w:w="2126" w:type="dxa"/>
            <w:tcBorders>
              <w:left w:val="single" w:sz="4" w:space="0" w:color="auto"/>
              <w:right w:val="single" w:sz="4" w:space="0" w:color="auto"/>
            </w:tcBorders>
          </w:tcPr>
          <w:p w14:paraId="25016E9D" w14:textId="77777777" w:rsidR="000D44B8" w:rsidRPr="009824AD" w:rsidRDefault="000D44B8" w:rsidP="006E3A16">
            <w:pPr>
              <w:jc w:val="center"/>
              <w:rPr>
                <w:rFonts w:ascii="Helvetica" w:hAnsi="Helvetica" w:cs="Calibri"/>
                <w:color w:val="000000" w:themeColor="text1"/>
                <w:sz w:val="20"/>
                <w:szCs w:val="20"/>
                <w:lang w:val="en-US"/>
              </w:rPr>
            </w:pPr>
            <w:r w:rsidRPr="009824AD">
              <w:rPr>
                <w:rFonts w:ascii="Helvetica" w:hAnsi="Helvetica" w:cs="Calibri"/>
                <w:color w:val="000000" w:themeColor="text1"/>
                <w:sz w:val="20"/>
                <w:szCs w:val="20"/>
                <w:lang w:val="en-US"/>
              </w:rPr>
              <w:t>12.5 (5.8-23.3)</w:t>
            </w:r>
          </w:p>
        </w:tc>
        <w:tc>
          <w:tcPr>
            <w:tcW w:w="1843" w:type="dxa"/>
            <w:tcBorders>
              <w:left w:val="single" w:sz="4" w:space="0" w:color="auto"/>
              <w:right w:val="single" w:sz="4" w:space="0" w:color="auto"/>
            </w:tcBorders>
          </w:tcPr>
          <w:p w14:paraId="42FD4843" w14:textId="77777777" w:rsidR="000D44B8" w:rsidRPr="009824AD" w:rsidRDefault="000D44B8" w:rsidP="006E3A16">
            <w:pPr>
              <w:jc w:val="center"/>
              <w:rPr>
                <w:rFonts w:ascii="Helvetica" w:hAnsi="Helvetica" w:cs="Calibri"/>
                <w:color w:val="000000" w:themeColor="text1"/>
                <w:sz w:val="20"/>
                <w:szCs w:val="20"/>
                <w:lang w:val="en-US"/>
              </w:rPr>
            </w:pPr>
            <w:r w:rsidRPr="009824AD">
              <w:rPr>
                <w:rFonts w:ascii="Helvetica" w:hAnsi="Helvetica" w:cs="Calibri"/>
                <w:color w:val="000000" w:themeColor="text1"/>
                <w:sz w:val="20"/>
                <w:szCs w:val="20"/>
                <w:lang w:val="en-US"/>
              </w:rPr>
              <w:t>17.0 (10.0-30.0)</w:t>
            </w:r>
          </w:p>
        </w:tc>
        <w:tc>
          <w:tcPr>
            <w:tcW w:w="851" w:type="dxa"/>
            <w:tcBorders>
              <w:left w:val="single" w:sz="4" w:space="0" w:color="auto"/>
            </w:tcBorders>
          </w:tcPr>
          <w:p w14:paraId="09CA1A45" w14:textId="77777777" w:rsidR="000D44B8" w:rsidRPr="009824AD" w:rsidRDefault="000D44B8" w:rsidP="006E3A16">
            <w:pPr>
              <w:jc w:val="center"/>
              <w:rPr>
                <w:rFonts w:ascii="Helvetica" w:hAnsi="Helvetica" w:cs="Calibri"/>
                <w:b/>
                <w:bCs/>
                <w:color w:val="000000" w:themeColor="text1"/>
                <w:sz w:val="20"/>
                <w:szCs w:val="20"/>
                <w:lang w:val="en-US"/>
              </w:rPr>
            </w:pPr>
            <w:r w:rsidRPr="009824AD">
              <w:rPr>
                <w:rFonts w:ascii="Helvetica" w:hAnsi="Helvetica" w:cs="Calibri"/>
                <w:b/>
                <w:bCs/>
                <w:color w:val="000000" w:themeColor="text1"/>
                <w:sz w:val="20"/>
                <w:szCs w:val="20"/>
                <w:lang w:val="en-US"/>
              </w:rPr>
              <w:t>0.001</w:t>
            </w:r>
          </w:p>
        </w:tc>
      </w:tr>
      <w:tr w:rsidR="000D44B8" w:rsidRPr="009824AD" w14:paraId="299995A6" w14:textId="77777777" w:rsidTr="006E3A16">
        <w:tc>
          <w:tcPr>
            <w:tcW w:w="4673" w:type="dxa"/>
            <w:tcBorders>
              <w:right w:val="single" w:sz="4" w:space="0" w:color="auto"/>
            </w:tcBorders>
          </w:tcPr>
          <w:p w14:paraId="73710668" w14:textId="308BB13E" w:rsidR="000D44B8" w:rsidRDefault="000D44B8" w:rsidP="006E3A16">
            <w:pPr>
              <w:rPr>
                <w:rFonts w:ascii="Helvetica" w:hAnsi="Helvetica" w:cs="Calibri"/>
                <w:sz w:val="20"/>
                <w:szCs w:val="20"/>
                <w:lang w:val="en-US"/>
              </w:rPr>
            </w:pPr>
            <w:r w:rsidRPr="009824AD">
              <w:rPr>
                <w:rFonts w:ascii="Helvetica" w:hAnsi="Helvetica" w:cs="Calibri"/>
                <w:sz w:val="20"/>
                <w:szCs w:val="20"/>
                <w:lang w:val="en-US"/>
              </w:rPr>
              <w:t>Readmission</w:t>
            </w:r>
            <w:r w:rsidR="00F32683">
              <w:rPr>
                <w:rFonts w:ascii="Helvetica" w:hAnsi="Helvetica" w:cs="Calibri"/>
                <w:sz w:val="20"/>
                <w:szCs w:val="20"/>
                <w:lang w:val="en-US"/>
              </w:rPr>
              <w:t xml:space="preserve"> </w:t>
            </w:r>
            <w:r w:rsidRPr="009824AD">
              <w:rPr>
                <w:rFonts w:ascii="Helvetica" w:hAnsi="Helvetica" w:cs="Calibri"/>
                <w:sz w:val="20"/>
                <w:szCs w:val="20"/>
                <w:lang w:val="en-US"/>
              </w:rPr>
              <w:t>(%)</w:t>
            </w:r>
          </w:p>
          <w:p w14:paraId="287DD670" w14:textId="3FE8E478" w:rsidR="00F32683" w:rsidRPr="009824AD" w:rsidRDefault="00F32683" w:rsidP="006E3A16">
            <w:pPr>
              <w:rPr>
                <w:rFonts w:ascii="Helvetica" w:hAnsi="Helvetica" w:cs="Calibri"/>
                <w:sz w:val="20"/>
                <w:szCs w:val="20"/>
                <w:lang w:val="en-US"/>
              </w:rPr>
            </w:pPr>
            <w:r>
              <w:rPr>
                <w:rFonts w:ascii="Helvetica" w:hAnsi="Helvetica" w:cs="Calibri"/>
                <w:sz w:val="20"/>
                <w:szCs w:val="20"/>
                <w:lang w:val="en-US"/>
              </w:rPr>
              <w:t>Reoperation within 30 days</w:t>
            </w:r>
            <w:r w:rsidR="00670322">
              <w:rPr>
                <w:rFonts w:ascii="Helvetica" w:hAnsi="Helvetica" w:cs="Calibri"/>
                <w:sz w:val="20"/>
                <w:szCs w:val="20"/>
                <w:lang w:val="en-US"/>
              </w:rPr>
              <w:t xml:space="preserve"> (%)</w:t>
            </w:r>
          </w:p>
        </w:tc>
        <w:tc>
          <w:tcPr>
            <w:tcW w:w="2126" w:type="dxa"/>
            <w:tcBorders>
              <w:left w:val="single" w:sz="4" w:space="0" w:color="auto"/>
              <w:right w:val="single" w:sz="4" w:space="0" w:color="auto"/>
            </w:tcBorders>
          </w:tcPr>
          <w:p w14:paraId="06E372D9" w14:textId="77777777" w:rsidR="000D44B8" w:rsidRDefault="000D44B8" w:rsidP="006E3A16">
            <w:pPr>
              <w:jc w:val="center"/>
              <w:rPr>
                <w:rFonts w:ascii="Helvetica" w:hAnsi="Helvetica" w:cs="Calibri"/>
                <w:color w:val="000000" w:themeColor="text1"/>
                <w:sz w:val="20"/>
                <w:szCs w:val="20"/>
                <w:lang w:val="en-US"/>
              </w:rPr>
            </w:pPr>
            <w:r w:rsidRPr="009824AD">
              <w:rPr>
                <w:rFonts w:ascii="Helvetica" w:hAnsi="Helvetica" w:cs="Calibri"/>
                <w:color w:val="000000" w:themeColor="text1"/>
                <w:sz w:val="20"/>
                <w:szCs w:val="20"/>
                <w:lang w:val="en-US"/>
              </w:rPr>
              <w:t>22 (42.3)</w:t>
            </w:r>
          </w:p>
          <w:p w14:paraId="7E984E9D" w14:textId="02123C32" w:rsidR="00F32683" w:rsidRPr="009824AD" w:rsidRDefault="00F32683" w:rsidP="006E3A16">
            <w:pPr>
              <w:jc w:val="center"/>
              <w:rPr>
                <w:rFonts w:ascii="Helvetica" w:hAnsi="Helvetica" w:cs="Calibri"/>
                <w:color w:val="000000" w:themeColor="text1"/>
                <w:sz w:val="20"/>
                <w:szCs w:val="20"/>
                <w:lang w:val="en-US"/>
              </w:rPr>
            </w:pPr>
            <w:r>
              <w:rPr>
                <w:rFonts w:ascii="Helvetica" w:hAnsi="Helvetica" w:cs="Calibri"/>
                <w:color w:val="000000" w:themeColor="text1"/>
                <w:sz w:val="20"/>
                <w:szCs w:val="20"/>
                <w:lang w:val="en-US"/>
              </w:rPr>
              <w:t>24 (27.0)</w:t>
            </w:r>
          </w:p>
        </w:tc>
        <w:tc>
          <w:tcPr>
            <w:tcW w:w="1843" w:type="dxa"/>
            <w:tcBorders>
              <w:left w:val="single" w:sz="4" w:space="0" w:color="auto"/>
              <w:right w:val="single" w:sz="4" w:space="0" w:color="auto"/>
            </w:tcBorders>
          </w:tcPr>
          <w:p w14:paraId="74FB3064" w14:textId="77777777" w:rsidR="000D44B8" w:rsidRDefault="000D44B8" w:rsidP="006E3A16">
            <w:pPr>
              <w:jc w:val="center"/>
              <w:rPr>
                <w:rFonts w:ascii="Helvetica" w:hAnsi="Helvetica" w:cs="Calibri"/>
                <w:color w:val="000000" w:themeColor="text1"/>
                <w:sz w:val="20"/>
                <w:szCs w:val="20"/>
                <w:lang w:val="en-US"/>
              </w:rPr>
            </w:pPr>
            <w:r w:rsidRPr="009824AD">
              <w:rPr>
                <w:rFonts w:ascii="Helvetica" w:hAnsi="Helvetica" w:cs="Calibri"/>
                <w:color w:val="000000" w:themeColor="text1"/>
                <w:sz w:val="20"/>
                <w:szCs w:val="20"/>
                <w:lang w:val="en-US"/>
              </w:rPr>
              <w:t>31 (36.0)</w:t>
            </w:r>
          </w:p>
          <w:p w14:paraId="340CEBA0" w14:textId="2464E8E0" w:rsidR="00F32683" w:rsidRPr="009824AD" w:rsidRDefault="00F32683" w:rsidP="006E3A16">
            <w:pPr>
              <w:jc w:val="center"/>
              <w:rPr>
                <w:rFonts w:ascii="Helvetica" w:hAnsi="Helvetica" w:cs="Calibri"/>
                <w:color w:val="000000" w:themeColor="text1"/>
                <w:sz w:val="20"/>
                <w:szCs w:val="20"/>
                <w:lang w:val="en-US"/>
              </w:rPr>
            </w:pPr>
            <w:r>
              <w:rPr>
                <w:rFonts w:ascii="Helvetica" w:hAnsi="Helvetica" w:cs="Calibri"/>
                <w:color w:val="000000" w:themeColor="text1"/>
                <w:sz w:val="20"/>
                <w:szCs w:val="20"/>
                <w:lang w:val="en-US"/>
              </w:rPr>
              <w:t>32 (17.9)</w:t>
            </w:r>
          </w:p>
        </w:tc>
        <w:tc>
          <w:tcPr>
            <w:tcW w:w="851" w:type="dxa"/>
            <w:tcBorders>
              <w:left w:val="single" w:sz="4" w:space="0" w:color="auto"/>
            </w:tcBorders>
          </w:tcPr>
          <w:p w14:paraId="1D782BAB" w14:textId="77777777" w:rsidR="000D44B8" w:rsidRDefault="000D44B8" w:rsidP="006E3A16">
            <w:pPr>
              <w:jc w:val="center"/>
              <w:rPr>
                <w:rFonts w:ascii="Helvetica" w:hAnsi="Helvetica" w:cs="Calibri"/>
                <w:color w:val="000000" w:themeColor="text1"/>
                <w:sz w:val="20"/>
                <w:szCs w:val="20"/>
                <w:lang w:val="en-US"/>
              </w:rPr>
            </w:pPr>
            <w:r w:rsidRPr="009824AD">
              <w:rPr>
                <w:rFonts w:ascii="Helvetica" w:hAnsi="Helvetica" w:cs="Calibri"/>
                <w:color w:val="000000" w:themeColor="text1"/>
                <w:sz w:val="20"/>
                <w:szCs w:val="20"/>
                <w:lang w:val="en-US"/>
              </w:rPr>
              <w:t>0.464</w:t>
            </w:r>
          </w:p>
          <w:p w14:paraId="6EB82613" w14:textId="72AD9DAD" w:rsidR="00F32683" w:rsidRPr="009824AD" w:rsidRDefault="00F32683" w:rsidP="006E3A16">
            <w:pPr>
              <w:jc w:val="center"/>
              <w:rPr>
                <w:rFonts w:ascii="Helvetica" w:hAnsi="Helvetica" w:cs="Calibri"/>
                <w:color w:val="000000" w:themeColor="text1"/>
                <w:sz w:val="20"/>
                <w:szCs w:val="20"/>
                <w:lang w:val="en-US"/>
              </w:rPr>
            </w:pPr>
            <w:r>
              <w:rPr>
                <w:rFonts w:ascii="Helvetica" w:hAnsi="Helvetica" w:cs="Calibri"/>
                <w:color w:val="000000" w:themeColor="text1"/>
                <w:sz w:val="20"/>
                <w:szCs w:val="20"/>
                <w:lang w:val="en-US"/>
              </w:rPr>
              <w:t>0</w:t>
            </w:r>
            <w:r w:rsidR="00192AD9">
              <w:rPr>
                <w:rFonts w:ascii="Helvetica" w:hAnsi="Helvetica" w:cs="Calibri"/>
                <w:color w:val="000000" w:themeColor="text1"/>
                <w:sz w:val="20"/>
                <w:szCs w:val="20"/>
                <w:lang w:val="en-US"/>
              </w:rPr>
              <w:t>.</w:t>
            </w:r>
            <w:r>
              <w:rPr>
                <w:rFonts w:ascii="Helvetica" w:hAnsi="Helvetica" w:cs="Calibri"/>
                <w:color w:val="000000" w:themeColor="text1"/>
                <w:sz w:val="20"/>
                <w:szCs w:val="20"/>
                <w:lang w:val="en-US"/>
              </w:rPr>
              <w:t>085</w:t>
            </w:r>
          </w:p>
        </w:tc>
      </w:tr>
      <w:tr w:rsidR="000D44B8" w:rsidRPr="009824AD" w14:paraId="4EDC468A" w14:textId="77777777" w:rsidTr="006E3A16">
        <w:tc>
          <w:tcPr>
            <w:tcW w:w="4673" w:type="dxa"/>
            <w:tcBorders>
              <w:right w:val="single" w:sz="4" w:space="0" w:color="auto"/>
            </w:tcBorders>
          </w:tcPr>
          <w:p w14:paraId="040EC6C4" w14:textId="77777777" w:rsidR="000D44B8" w:rsidRPr="009824AD" w:rsidRDefault="000D44B8" w:rsidP="006E3A16">
            <w:pPr>
              <w:rPr>
                <w:rFonts w:ascii="Helvetica" w:hAnsi="Helvetica" w:cs="Calibri"/>
                <w:sz w:val="20"/>
                <w:szCs w:val="20"/>
                <w:lang w:val="en-US"/>
              </w:rPr>
            </w:pPr>
            <w:r w:rsidRPr="009824AD">
              <w:rPr>
                <w:rFonts w:ascii="Helvetica" w:hAnsi="Helvetica" w:cs="Calibri"/>
                <w:sz w:val="20"/>
                <w:szCs w:val="20"/>
                <w:lang w:val="en-US"/>
              </w:rPr>
              <w:t>90-day/ in-hospital mortality (%)</w:t>
            </w:r>
          </w:p>
        </w:tc>
        <w:tc>
          <w:tcPr>
            <w:tcW w:w="2126" w:type="dxa"/>
            <w:tcBorders>
              <w:left w:val="single" w:sz="4" w:space="0" w:color="auto"/>
              <w:right w:val="single" w:sz="4" w:space="0" w:color="auto"/>
            </w:tcBorders>
          </w:tcPr>
          <w:p w14:paraId="45EC0F4A" w14:textId="77777777" w:rsidR="000D44B8" w:rsidRPr="009824AD" w:rsidRDefault="000D44B8" w:rsidP="006E3A16">
            <w:pPr>
              <w:jc w:val="center"/>
              <w:rPr>
                <w:rFonts w:ascii="Helvetica" w:hAnsi="Helvetica" w:cs="Calibri"/>
                <w:color w:val="000000" w:themeColor="text1"/>
                <w:sz w:val="20"/>
                <w:szCs w:val="20"/>
                <w:lang w:val="en-US"/>
              </w:rPr>
            </w:pPr>
            <w:r w:rsidRPr="009824AD">
              <w:rPr>
                <w:rFonts w:ascii="Helvetica" w:hAnsi="Helvetica" w:cs="Calibri"/>
                <w:color w:val="000000" w:themeColor="text1"/>
                <w:sz w:val="20"/>
                <w:szCs w:val="20"/>
                <w:lang w:val="en-US"/>
              </w:rPr>
              <w:t>0 (0)</w:t>
            </w:r>
          </w:p>
        </w:tc>
        <w:tc>
          <w:tcPr>
            <w:tcW w:w="1843" w:type="dxa"/>
            <w:tcBorders>
              <w:left w:val="single" w:sz="4" w:space="0" w:color="auto"/>
              <w:right w:val="single" w:sz="4" w:space="0" w:color="auto"/>
            </w:tcBorders>
          </w:tcPr>
          <w:p w14:paraId="0C136BAB" w14:textId="77777777" w:rsidR="000D44B8" w:rsidRPr="009824AD" w:rsidRDefault="000D44B8" w:rsidP="006E3A16">
            <w:pPr>
              <w:jc w:val="center"/>
              <w:rPr>
                <w:rFonts w:ascii="Helvetica" w:hAnsi="Helvetica" w:cs="Calibri"/>
                <w:color w:val="000000" w:themeColor="text1"/>
                <w:sz w:val="20"/>
                <w:szCs w:val="20"/>
                <w:lang w:val="en-US"/>
              </w:rPr>
            </w:pPr>
            <w:r w:rsidRPr="009824AD">
              <w:rPr>
                <w:rFonts w:ascii="Helvetica" w:hAnsi="Helvetica" w:cs="Calibri"/>
                <w:color w:val="000000" w:themeColor="text1"/>
                <w:sz w:val="20"/>
                <w:szCs w:val="20"/>
                <w:lang w:val="en-US"/>
              </w:rPr>
              <w:t>10 (5.4)</w:t>
            </w:r>
          </w:p>
        </w:tc>
        <w:tc>
          <w:tcPr>
            <w:tcW w:w="851" w:type="dxa"/>
            <w:tcBorders>
              <w:left w:val="single" w:sz="4" w:space="0" w:color="auto"/>
            </w:tcBorders>
          </w:tcPr>
          <w:p w14:paraId="6016342B" w14:textId="77777777" w:rsidR="000D44B8" w:rsidRPr="009824AD" w:rsidRDefault="000D44B8" w:rsidP="006E3A16">
            <w:pPr>
              <w:jc w:val="center"/>
              <w:rPr>
                <w:rFonts w:ascii="Helvetica" w:hAnsi="Helvetica" w:cs="Calibri"/>
                <w:b/>
                <w:bCs/>
                <w:color w:val="000000" w:themeColor="text1"/>
                <w:sz w:val="20"/>
                <w:szCs w:val="20"/>
                <w:lang w:val="en-US"/>
              </w:rPr>
            </w:pPr>
            <w:r w:rsidRPr="009824AD">
              <w:rPr>
                <w:rFonts w:ascii="Helvetica" w:hAnsi="Helvetica" w:cs="Calibri"/>
                <w:b/>
                <w:bCs/>
                <w:color w:val="000000" w:themeColor="text1"/>
                <w:sz w:val="20"/>
                <w:szCs w:val="20"/>
                <w:lang w:val="en-US"/>
              </w:rPr>
              <w:t>0.027</w:t>
            </w:r>
          </w:p>
        </w:tc>
      </w:tr>
    </w:tbl>
    <w:p w14:paraId="738AEBB4" w14:textId="77777777" w:rsidR="000D44B8" w:rsidRPr="009824AD" w:rsidRDefault="000D44B8" w:rsidP="000D44B8">
      <w:pPr>
        <w:rPr>
          <w:rFonts w:ascii="Helvetica" w:hAnsi="Helvetica" w:cs="Calibri"/>
          <w:color w:val="000000" w:themeColor="text1"/>
          <w:sz w:val="20"/>
          <w:szCs w:val="20"/>
          <w:lang w:val="en-US"/>
        </w:rPr>
      </w:pPr>
    </w:p>
    <w:p w14:paraId="338154D9" w14:textId="710B8F52" w:rsidR="000D44B8" w:rsidRPr="009824AD" w:rsidRDefault="000D44B8" w:rsidP="000D44B8">
      <w:pPr>
        <w:rPr>
          <w:rFonts w:ascii="Helvetica" w:hAnsi="Helvetica" w:cs="Calibri"/>
          <w:color w:val="000000" w:themeColor="text1"/>
          <w:sz w:val="20"/>
          <w:szCs w:val="20"/>
          <w:lang w:val="en-US"/>
        </w:rPr>
      </w:pPr>
      <w:r w:rsidRPr="009824AD">
        <w:rPr>
          <w:rFonts w:ascii="Helvetica" w:hAnsi="Helvetica" w:cs="Calibri"/>
          <w:color w:val="000000" w:themeColor="text1"/>
          <w:sz w:val="20"/>
          <w:szCs w:val="20"/>
          <w:lang w:val="en-US"/>
        </w:rPr>
        <w:t xml:space="preserve">Values in parentheses are percentages unless mentioned otherwise. </w:t>
      </w:r>
      <w:r w:rsidRPr="009824AD">
        <w:rPr>
          <w:rFonts w:ascii="Helvetica" w:eastAsia="Times New Roman" w:hAnsi="Helvetica" w:cs="Calibri"/>
          <w:sz w:val="20"/>
          <w:szCs w:val="20"/>
          <w:lang w:val="en-US" w:eastAsia="nl-NL"/>
        </w:rPr>
        <w:t xml:space="preserve">CR-POBL = clinically relevant postoperative bile leakage, </w:t>
      </w:r>
      <w:r w:rsidR="00493F8D" w:rsidRPr="009824AD">
        <w:rPr>
          <w:rFonts w:ascii="Helvetica" w:hAnsi="Helvetica" w:cs="Calibri"/>
          <w:color w:val="000000" w:themeColor="text1"/>
          <w:sz w:val="20"/>
          <w:szCs w:val="20"/>
          <w:lang w:val="en-US"/>
        </w:rPr>
        <w:t>IQR</w:t>
      </w:r>
      <w:r w:rsidRPr="009824AD">
        <w:rPr>
          <w:rFonts w:ascii="Helvetica" w:hAnsi="Helvetica" w:cs="Calibri"/>
          <w:color w:val="000000" w:themeColor="text1"/>
          <w:sz w:val="20"/>
          <w:szCs w:val="20"/>
          <w:lang w:val="en-US"/>
        </w:rPr>
        <w:t xml:space="preserve"> = inter quartile range</w:t>
      </w:r>
    </w:p>
    <w:p w14:paraId="03A0D770" w14:textId="77777777" w:rsidR="000D44B8" w:rsidRPr="009824AD" w:rsidRDefault="000D44B8" w:rsidP="000D44B8">
      <w:pPr>
        <w:rPr>
          <w:rFonts w:ascii="Helvetica" w:hAnsi="Helvetica" w:cs="Calibri"/>
          <w:lang w:val="en-US"/>
        </w:rPr>
      </w:pPr>
    </w:p>
    <w:p w14:paraId="4C75858E" w14:textId="77777777" w:rsidR="000D44B8" w:rsidRPr="009824AD" w:rsidRDefault="000D44B8" w:rsidP="000D44B8">
      <w:pPr>
        <w:rPr>
          <w:rFonts w:ascii="Helvetica" w:hAnsi="Helvetica" w:cs="Calibri"/>
          <w:lang w:val="en-US"/>
        </w:rPr>
      </w:pPr>
    </w:p>
    <w:p w14:paraId="53917652" w14:textId="77777777" w:rsidR="000D44B8" w:rsidRPr="009824AD" w:rsidRDefault="000D44B8" w:rsidP="000D44B8">
      <w:pPr>
        <w:rPr>
          <w:rFonts w:ascii="Helvetica" w:hAnsi="Helvetica" w:cs="Calibri"/>
          <w:lang w:val="en-US"/>
        </w:rPr>
      </w:pPr>
    </w:p>
    <w:p w14:paraId="0E750A8C" w14:textId="77777777" w:rsidR="000D44B8" w:rsidRPr="009824AD" w:rsidRDefault="000D44B8" w:rsidP="000D44B8">
      <w:pPr>
        <w:rPr>
          <w:rFonts w:ascii="Helvetica" w:hAnsi="Helvetica" w:cs="Calibri"/>
          <w:lang w:val="en-US"/>
        </w:rPr>
      </w:pPr>
    </w:p>
    <w:p w14:paraId="3B225FC5" w14:textId="77777777" w:rsidR="000D44B8" w:rsidRPr="009824AD" w:rsidRDefault="000D44B8" w:rsidP="000D44B8">
      <w:pPr>
        <w:rPr>
          <w:rFonts w:ascii="Helvetica" w:hAnsi="Helvetica" w:cs="Calibri"/>
          <w:lang w:val="en-US"/>
        </w:rPr>
        <w:sectPr w:rsidR="000D44B8" w:rsidRPr="009824AD" w:rsidSect="00340B9E">
          <w:pgSz w:w="11900" w:h="16840"/>
          <w:pgMar w:top="1417" w:right="1417" w:bottom="1417" w:left="1417" w:header="708" w:footer="708" w:gutter="0"/>
          <w:cols w:space="708"/>
          <w:docGrid w:linePitch="360"/>
        </w:sectPr>
      </w:pPr>
    </w:p>
    <w:p w14:paraId="30C0EA46" w14:textId="77777777" w:rsidR="000D44B8" w:rsidRPr="009824AD" w:rsidRDefault="000D44B8" w:rsidP="000D44B8">
      <w:pPr>
        <w:rPr>
          <w:rFonts w:ascii="Helvetica" w:hAnsi="Helvetica" w:cs="Calibri"/>
          <w:sz w:val="20"/>
          <w:szCs w:val="20"/>
          <w:lang w:val="en-US"/>
        </w:rPr>
      </w:pPr>
      <w:r w:rsidRPr="009824AD">
        <w:rPr>
          <w:rFonts w:ascii="Helvetica" w:hAnsi="Helvetica" w:cs="Calibri"/>
          <w:b/>
          <w:bCs/>
          <w:sz w:val="20"/>
          <w:szCs w:val="20"/>
          <w:lang w:val="en-US"/>
        </w:rPr>
        <w:lastRenderedPageBreak/>
        <w:t>Table 4.</w:t>
      </w:r>
      <w:r w:rsidRPr="009824AD">
        <w:rPr>
          <w:rFonts w:ascii="Helvetica" w:hAnsi="Helvetica" w:cs="Calibri"/>
          <w:sz w:val="20"/>
          <w:szCs w:val="20"/>
          <w:lang w:val="en-US"/>
        </w:rPr>
        <w:t xml:space="preserve"> Postoperative outcomes of patients with and without clinically relevant postoperative bile leakage following laparoscopic and open liver surgery, after propensity score matching.  </w:t>
      </w:r>
    </w:p>
    <w:p w14:paraId="73E853DF" w14:textId="77777777" w:rsidR="000D44B8" w:rsidRPr="009824AD" w:rsidRDefault="000D44B8" w:rsidP="000D44B8">
      <w:pPr>
        <w:rPr>
          <w:rFonts w:ascii="Helvetica" w:hAnsi="Helvetica" w:cs="Calibri"/>
          <w:lang w:val="en-US"/>
        </w:rPr>
      </w:pPr>
    </w:p>
    <w:tbl>
      <w:tblPr>
        <w:tblStyle w:val="Tabelraster"/>
        <w:tblW w:w="13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3"/>
        <w:gridCol w:w="1818"/>
        <w:gridCol w:w="1818"/>
        <w:gridCol w:w="1497"/>
        <w:gridCol w:w="2208"/>
        <w:gridCol w:w="1884"/>
        <w:gridCol w:w="843"/>
      </w:tblGrid>
      <w:tr w:rsidR="000D44B8" w:rsidRPr="009824AD" w14:paraId="7F60343D" w14:textId="77777777" w:rsidTr="006E3A16">
        <w:trPr>
          <w:trHeight w:val="638"/>
        </w:trPr>
        <w:tc>
          <w:tcPr>
            <w:tcW w:w="2963" w:type="dxa"/>
            <w:tcBorders>
              <w:bottom w:val="single" w:sz="4" w:space="0" w:color="auto"/>
              <w:right w:val="single" w:sz="4" w:space="0" w:color="auto"/>
            </w:tcBorders>
          </w:tcPr>
          <w:p w14:paraId="32E6870D" w14:textId="77777777" w:rsidR="000D44B8" w:rsidRPr="009824AD" w:rsidRDefault="000D44B8" w:rsidP="006E3A16">
            <w:pPr>
              <w:rPr>
                <w:rFonts w:ascii="Helvetica" w:hAnsi="Helvetica" w:cs="Calibri"/>
                <w:sz w:val="20"/>
                <w:szCs w:val="20"/>
                <w:lang w:val="en-US"/>
              </w:rPr>
            </w:pPr>
          </w:p>
        </w:tc>
        <w:tc>
          <w:tcPr>
            <w:tcW w:w="5133" w:type="dxa"/>
            <w:gridSpan w:val="3"/>
            <w:tcBorders>
              <w:bottom w:val="single" w:sz="4" w:space="0" w:color="auto"/>
              <w:right w:val="single" w:sz="4" w:space="0" w:color="auto"/>
            </w:tcBorders>
          </w:tcPr>
          <w:p w14:paraId="50D7CD12" w14:textId="77777777" w:rsidR="000D44B8" w:rsidRPr="009824AD" w:rsidRDefault="000D44B8" w:rsidP="006E3A16">
            <w:pPr>
              <w:jc w:val="center"/>
              <w:rPr>
                <w:rFonts w:ascii="Helvetica" w:eastAsia="Times New Roman" w:hAnsi="Helvetica" w:cs="Calibri"/>
                <w:b/>
                <w:bCs/>
                <w:sz w:val="20"/>
                <w:szCs w:val="20"/>
                <w:lang w:val="en-US" w:eastAsia="nl-NL"/>
              </w:rPr>
            </w:pPr>
            <w:r w:rsidRPr="009824AD">
              <w:rPr>
                <w:rFonts w:ascii="Helvetica" w:eastAsia="Times New Roman" w:hAnsi="Helvetica" w:cs="Calibri"/>
                <w:b/>
                <w:bCs/>
                <w:sz w:val="20"/>
                <w:szCs w:val="20"/>
                <w:lang w:val="en-US" w:eastAsia="nl-NL"/>
              </w:rPr>
              <w:t>LAPAROSCOPIC</w:t>
            </w:r>
          </w:p>
        </w:tc>
        <w:tc>
          <w:tcPr>
            <w:tcW w:w="4935" w:type="dxa"/>
            <w:gridSpan w:val="3"/>
            <w:tcBorders>
              <w:left w:val="single" w:sz="4" w:space="0" w:color="auto"/>
              <w:bottom w:val="single" w:sz="4" w:space="0" w:color="auto"/>
            </w:tcBorders>
          </w:tcPr>
          <w:p w14:paraId="01E31318" w14:textId="77777777" w:rsidR="000D44B8" w:rsidRPr="009824AD" w:rsidRDefault="000D44B8" w:rsidP="006E3A16">
            <w:pPr>
              <w:jc w:val="center"/>
              <w:rPr>
                <w:rFonts w:ascii="Helvetica" w:hAnsi="Helvetica" w:cs="Calibri"/>
                <w:b/>
                <w:bCs/>
                <w:color w:val="000000" w:themeColor="text1"/>
                <w:sz w:val="20"/>
                <w:szCs w:val="20"/>
                <w:lang w:val="en-US"/>
              </w:rPr>
            </w:pPr>
            <w:r w:rsidRPr="009824AD">
              <w:rPr>
                <w:rFonts w:ascii="Helvetica" w:eastAsia="Times New Roman" w:hAnsi="Helvetica" w:cs="Calibri"/>
                <w:b/>
                <w:bCs/>
                <w:sz w:val="20"/>
                <w:szCs w:val="20"/>
                <w:lang w:val="en-US" w:eastAsia="nl-NL"/>
              </w:rPr>
              <w:t>OPEN</w:t>
            </w:r>
          </w:p>
        </w:tc>
      </w:tr>
      <w:tr w:rsidR="000D44B8" w:rsidRPr="009824AD" w14:paraId="670186B1" w14:textId="77777777" w:rsidTr="006E3A16">
        <w:trPr>
          <w:trHeight w:val="638"/>
        </w:trPr>
        <w:tc>
          <w:tcPr>
            <w:tcW w:w="2963" w:type="dxa"/>
            <w:tcBorders>
              <w:bottom w:val="single" w:sz="4" w:space="0" w:color="auto"/>
              <w:right w:val="single" w:sz="4" w:space="0" w:color="auto"/>
            </w:tcBorders>
          </w:tcPr>
          <w:p w14:paraId="28C11508" w14:textId="77777777" w:rsidR="000D44B8" w:rsidRPr="009824AD" w:rsidRDefault="000D44B8" w:rsidP="006E3A16">
            <w:pPr>
              <w:rPr>
                <w:rFonts w:ascii="Helvetica" w:hAnsi="Helvetica" w:cs="Calibri"/>
                <w:sz w:val="20"/>
                <w:szCs w:val="20"/>
                <w:lang w:val="en-US"/>
              </w:rPr>
            </w:pPr>
          </w:p>
        </w:tc>
        <w:tc>
          <w:tcPr>
            <w:tcW w:w="1818" w:type="dxa"/>
            <w:tcBorders>
              <w:bottom w:val="single" w:sz="4" w:space="0" w:color="auto"/>
            </w:tcBorders>
          </w:tcPr>
          <w:p w14:paraId="12508AAF" w14:textId="77777777" w:rsidR="000D44B8" w:rsidRPr="009824AD" w:rsidRDefault="000D44B8" w:rsidP="006E3A16">
            <w:pPr>
              <w:jc w:val="center"/>
              <w:rPr>
                <w:rFonts w:ascii="Helvetica" w:hAnsi="Helvetica" w:cs="Calibri"/>
                <w:b/>
                <w:bCs/>
                <w:color w:val="000000" w:themeColor="text1"/>
                <w:sz w:val="20"/>
                <w:szCs w:val="20"/>
                <w:lang w:val="en-US"/>
              </w:rPr>
            </w:pPr>
            <w:r w:rsidRPr="009824AD">
              <w:rPr>
                <w:rFonts w:ascii="Helvetica" w:hAnsi="Helvetica" w:cs="Calibri"/>
                <w:b/>
                <w:bCs/>
                <w:color w:val="000000" w:themeColor="text1"/>
                <w:sz w:val="20"/>
                <w:szCs w:val="20"/>
                <w:lang w:val="en-US"/>
              </w:rPr>
              <w:t>No CR-POBL</w:t>
            </w:r>
          </w:p>
          <w:p w14:paraId="36E50695" w14:textId="77777777" w:rsidR="000D44B8" w:rsidRPr="009824AD" w:rsidRDefault="000D44B8" w:rsidP="006E3A16">
            <w:pPr>
              <w:jc w:val="center"/>
              <w:rPr>
                <w:rFonts w:ascii="Helvetica" w:hAnsi="Helvetica" w:cs="Calibri"/>
                <w:b/>
                <w:bCs/>
                <w:color w:val="000000" w:themeColor="text1"/>
                <w:sz w:val="20"/>
                <w:szCs w:val="20"/>
                <w:lang w:val="en-US"/>
              </w:rPr>
            </w:pPr>
            <w:r w:rsidRPr="009824AD">
              <w:rPr>
                <w:rFonts w:ascii="Helvetica" w:hAnsi="Helvetica" w:cs="Calibri"/>
                <w:b/>
                <w:bCs/>
                <w:color w:val="000000" w:themeColor="text1"/>
                <w:sz w:val="20"/>
                <w:szCs w:val="20"/>
                <w:lang w:val="en-US"/>
              </w:rPr>
              <w:t>(N=3377)</w:t>
            </w:r>
          </w:p>
        </w:tc>
        <w:tc>
          <w:tcPr>
            <w:tcW w:w="1818" w:type="dxa"/>
            <w:tcBorders>
              <w:bottom w:val="single" w:sz="4" w:space="0" w:color="auto"/>
            </w:tcBorders>
          </w:tcPr>
          <w:p w14:paraId="0B3A6603" w14:textId="77777777" w:rsidR="000D44B8" w:rsidRPr="009824AD" w:rsidRDefault="000D44B8" w:rsidP="006E3A16">
            <w:pPr>
              <w:jc w:val="center"/>
              <w:rPr>
                <w:rFonts w:ascii="Helvetica" w:eastAsia="Times New Roman" w:hAnsi="Helvetica" w:cs="Calibri"/>
                <w:b/>
                <w:bCs/>
                <w:sz w:val="20"/>
                <w:szCs w:val="20"/>
                <w:lang w:val="en-US" w:eastAsia="nl-NL"/>
              </w:rPr>
            </w:pPr>
            <w:r w:rsidRPr="009824AD">
              <w:rPr>
                <w:rFonts w:ascii="Helvetica" w:eastAsia="Times New Roman" w:hAnsi="Helvetica" w:cs="Calibri"/>
                <w:b/>
                <w:bCs/>
                <w:sz w:val="20"/>
                <w:szCs w:val="20"/>
                <w:lang w:val="en-US" w:eastAsia="nl-NL"/>
              </w:rPr>
              <w:t>CR-POBL</w:t>
            </w:r>
          </w:p>
          <w:p w14:paraId="5A68396F" w14:textId="77777777" w:rsidR="000D44B8" w:rsidRPr="009824AD" w:rsidRDefault="000D44B8" w:rsidP="006E3A16">
            <w:pPr>
              <w:jc w:val="center"/>
              <w:rPr>
                <w:rFonts w:ascii="Helvetica" w:hAnsi="Helvetica" w:cs="Calibri"/>
                <w:b/>
                <w:bCs/>
                <w:color w:val="000000" w:themeColor="text1"/>
                <w:sz w:val="20"/>
                <w:szCs w:val="20"/>
                <w:lang w:val="en-US"/>
              </w:rPr>
            </w:pPr>
            <w:r w:rsidRPr="009824AD">
              <w:rPr>
                <w:rFonts w:ascii="Helvetica" w:eastAsia="Times New Roman" w:hAnsi="Helvetica" w:cs="Calibri"/>
                <w:b/>
                <w:bCs/>
                <w:sz w:val="20"/>
                <w:szCs w:val="20"/>
                <w:lang w:val="en-US" w:eastAsia="nl-NL"/>
              </w:rPr>
              <w:t xml:space="preserve"> </w:t>
            </w:r>
            <w:r w:rsidRPr="009824AD">
              <w:rPr>
                <w:rFonts w:ascii="Helvetica" w:hAnsi="Helvetica" w:cs="Calibri"/>
                <w:b/>
                <w:bCs/>
                <w:color w:val="000000" w:themeColor="text1"/>
                <w:sz w:val="20"/>
                <w:szCs w:val="20"/>
                <w:lang w:val="en-US"/>
              </w:rPr>
              <w:t>(N=90)</w:t>
            </w:r>
          </w:p>
        </w:tc>
        <w:tc>
          <w:tcPr>
            <w:tcW w:w="1497" w:type="dxa"/>
            <w:tcBorders>
              <w:bottom w:val="single" w:sz="4" w:space="0" w:color="auto"/>
              <w:right w:val="single" w:sz="4" w:space="0" w:color="auto"/>
            </w:tcBorders>
          </w:tcPr>
          <w:p w14:paraId="6B7047F0" w14:textId="77777777" w:rsidR="000D44B8" w:rsidRPr="009824AD" w:rsidRDefault="000D44B8" w:rsidP="006E3A16">
            <w:pPr>
              <w:jc w:val="center"/>
              <w:rPr>
                <w:rFonts w:ascii="Helvetica" w:hAnsi="Helvetica" w:cs="Calibri"/>
                <w:b/>
                <w:bCs/>
                <w:i/>
                <w:iCs/>
                <w:color w:val="000000" w:themeColor="text1"/>
                <w:sz w:val="20"/>
                <w:szCs w:val="20"/>
                <w:lang w:val="en-US"/>
              </w:rPr>
            </w:pPr>
            <w:r w:rsidRPr="009824AD">
              <w:rPr>
                <w:rFonts w:ascii="Helvetica" w:hAnsi="Helvetica" w:cs="Calibri"/>
                <w:b/>
                <w:bCs/>
                <w:i/>
                <w:iCs/>
                <w:color w:val="000000" w:themeColor="text1"/>
                <w:sz w:val="20"/>
                <w:szCs w:val="20"/>
                <w:lang w:val="en-US"/>
              </w:rPr>
              <w:t>P</w:t>
            </w:r>
          </w:p>
        </w:tc>
        <w:tc>
          <w:tcPr>
            <w:tcW w:w="2208" w:type="dxa"/>
            <w:tcBorders>
              <w:top w:val="single" w:sz="4" w:space="0" w:color="auto"/>
              <w:left w:val="single" w:sz="4" w:space="0" w:color="auto"/>
              <w:bottom w:val="single" w:sz="4" w:space="0" w:color="auto"/>
            </w:tcBorders>
          </w:tcPr>
          <w:p w14:paraId="4D84C29D" w14:textId="77777777" w:rsidR="000D44B8" w:rsidRPr="009824AD" w:rsidRDefault="000D44B8" w:rsidP="006E3A16">
            <w:pPr>
              <w:jc w:val="center"/>
              <w:rPr>
                <w:rFonts w:ascii="Helvetica" w:hAnsi="Helvetica" w:cs="Calibri"/>
                <w:b/>
                <w:bCs/>
                <w:color w:val="000000" w:themeColor="text1"/>
                <w:sz w:val="20"/>
                <w:szCs w:val="20"/>
                <w:lang w:val="en-US"/>
              </w:rPr>
            </w:pPr>
            <w:r w:rsidRPr="009824AD">
              <w:rPr>
                <w:rFonts w:ascii="Helvetica" w:hAnsi="Helvetica" w:cs="Calibri"/>
                <w:b/>
                <w:bCs/>
                <w:color w:val="000000" w:themeColor="text1"/>
                <w:sz w:val="20"/>
                <w:szCs w:val="20"/>
                <w:lang w:val="en-US"/>
              </w:rPr>
              <w:t>No CR-POBL</w:t>
            </w:r>
            <w:r w:rsidRPr="009824AD">
              <w:rPr>
                <w:rFonts w:ascii="Helvetica" w:eastAsia="Times New Roman" w:hAnsi="Helvetica" w:cs="Calibri"/>
                <w:b/>
                <w:bCs/>
                <w:sz w:val="20"/>
                <w:szCs w:val="20"/>
                <w:lang w:val="en-US" w:eastAsia="nl-NL"/>
              </w:rPr>
              <w:t xml:space="preserve"> </w:t>
            </w:r>
          </w:p>
          <w:p w14:paraId="792AE7C2" w14:textId="77777777" w:rsidR="000D44B8" w:rsidRPr="009824AD" w:rsidRDefault="000D44B8" w:rsidP="006E3A16">
            <w:pPr>
              <w:jc w:val="center"/>
              <w:rPr>
                <w:rFonts w:ascii="Helvetica" w:hAnsi="Helvetica" w:cs="Calibri"/>
                <w:b/>
                <w:bCs/>
                <w:color w:val="000000" w:themeColor="text1"/>
                <w:sz w:val="20"/>
                <w:szCs w:val="20"/>
                <w:lang w:val="en-US"/>
              </w:rPr>
            </w:pPr>
            <w:r w:rsidRPr="009824AD">
              <w:rPr>
                <w:rFonts w:ascii="Helvetica" w:hAnsi="Helvetica" w:cs="Calibri"/>
                <w:b/>
                <w:bCs/>
                <w:color w:val="000000" w:themeColor="text1"/>
                <w:sz w:val="20"/>
                <w:szCs w:val="20"/>
                <w:lang w:val="en-US"/>
              </w:rPr>
              <w:t>(N=2843)</w:t>
            </w:r>
          </w:p>
        </w:tc>
        <w:tc>
          <w:tcPr>
            <w:tcW w:w="1884" w:type="dxa"/>
            <w:tcBorders>
              <w:top w:val="single" w:sz="4" w:space="0" w:color="auto"/>
              <w:bottom w:val="single" w:sz="4" w:space="0" w:color="auto"/>
            </w:tcBorders>
          </w:tcPr>
          <w:p w14:paraId="7E09FECD" w14:textId="77777777" w:rsidR="000D44B8" w:rsidRPr="009824AD" w:rsidRDefault="000D44B8" w:rsidP="006E3A16">
            <w:pPr>
              <w:jc w:val="center"/>
              <w:rPr>
                <w:rFonts w:ascii="Helvetica" w:eastAsia="Times New Roman" w:hAnsi="Helvetica" w:cs="Calibri"/>
                <w:b/>
                <w:bCs/>
                <w:sz w:val="20"/>
                <w:szCs w:val="20"/>
                <w:lang w:val="en-US" w:eastAsia="nl-NL"/>
              </w:rPr>
            </w:pPr>
            <w:r w:rsidRPr="009824AD">
              <w:rPr>
                <w:rFonts w:ascii="Helvetica" w:eastAsia="Times New Roman" w:hAnsi="Helvetica" w:cs="Calibri"/>
                <w:b/>
                <w:bCs/>
                <w:sz w:val="20"/>
                <w:szCs w:val="20"/>
                <w:lang w:val="en-US" w:eastAsia="nl-NL"/>
              </w:rPr>
              <w:t xml:space="preserve">CR-POBL </w:t>
            </w:r>
          </w:p>
          <w:p w14:paraId="6080EC17" w14:textId="77777777" w:rsidR="000D44B8" w:rsidRPr="009824AD" w:rsidRDefault="000D44B8" w:rsidP="006E3A16">
            <w:pPr>
              <w:jc w:val="center"/>
              <w:rPr>
                <w:rFonts w:ascii="Helvetica" w:hAnsi="Helvetica" w:cs="Calibri"/>
                <w:b/>
                <w:bCs/>
                <w:color w:val="000000" w:themeColor="text1"/>
                <w:sz w:val="20"/>
                <w:szCs w:val="20"/>
                <w:lang w:val="en-US"/>
              </w:rPr>
            </w:pPr>
            <w:r w:rsidRPr="009824AD">
              <w:rPr>
                <w:rFonts w:ascii="Helvetica" w:hAnsi="Helvetica" w:cs="Calibri"/>
                <w:b/>
                <w:bCs/>
                <w:color w:val="000000" w:themeColor="text1"/>
                <w:sz w:val="20"/>
                <w:szCs w:val="20"/>
                <w:lang w:val="en-US"/>
              </w:rPr>
              <w:t>(N=195)</w:t>
            </w:r>
          </w:p>
        </w:tc>
        <w:tc>
          <w:tcPr>
            <w:tcW w:w="843" w:type="dxa"/>
            <w:tcBorders>
              <w:top w:val="single" w:sz="4" w:space="0" w:color="auto"/>
              <w:bottom w:val="single" w:sz="4" w:space="0" w:color="auto"/>
            </w:tcBorders>
          </w:tcPr>
          <w:p w14:paraId="4CEE24AB" w14:textId="77777777" w:rsidR="000D44B8" w:rsidRPr="009824AD" w:rsidRDefault="000D44B8" w:rsidP="006E3A16">
            <w:pPr>
              <w:jc w:val="center"/>
              <w:rPr>
                <w:rFonts w:ascii="Helvetica" w:hAnsi="Helvetica" w:cs="Calibri"/>
                <w:b/>
                <w:bCs/>
                <w:i/>
                <w:iCs/>
                <w:color w:val="000000" w:themeColor="text1"/>
                <w:sz w:val="20"/>
                <w:szCs w:val="20"/>
                <w:lang w:val="en-US"/>
              </w:rPr>
            </w:pPr>
            <w:r w:rsidRPr="009824AD">
              <w:rPr>
                <w:rFonts w:ascii="Helvetica" w:hAnsi="Helvetica" w:cs="Calibri"/>
                <w:b/>
                <w:bCs/>
                <w:i/>
                <w:iCs/>
                <w:color w:val="000000" w:themeColor="text1"/>
                <w:sz w:val="20"/>
                <w:szCs w:val="20"/>
                <w:lang w:val="en-US"/>
              </w:rPr>
              <w:t>P</w:t>
            </w:r>
          </w:p>
        </w:tc>
      </w:tr>
      <w:tr w:rsidR="000D44B8" w:rsidRPr="009824AD" w14:paraId="6F4C4366" w14:textId="77777777" w:rsidTr="006E3A16">
        <w:tc>
          <w:tcPr>
            <w:tcW w:w="2963" w:type="dxa"/>
            <w:tcBorders>
              <w:top w:val="single" w:sz="4" w:space="0" w:color="auto"/>
              <w:right w:val="single" w:sz="4" w:space="0" w:color="auto"/>
            </w:tcBorders>
          </w:tcPr>
          <w:p w14:paraId="40991495" w14:textId="77777777" w:rsidR="000D44B8" w:rsidRPr="009824AD" w:rsidRDefault="000D44B8" w:rsidP="006E3A16">
            <w:pPr>
              <w:spacing w:line="276" w:lineRule="auto"/>
              <w:rPr>
                <w:rFonts w:ascii="Helvetica" w:hAnsi="Helvetica" w:cs="Calibri"/>
                <w:sz w:val="20"/>
                <w:szCs w:val="20"/>
                <w:lang w:val="en-US"/>
              </w:rPr>
            </w:pPr>
            <w:r w:rsidRPr="009824AD">
              <w:rPr>
                <w:rFonts w:ascii="Helvetica" w:hAnsi="Helvetica" w:cs="Calibri"/>
                <w:sz w:val="20"/>
                <w:szCs w:val="20"/>
                <w:lang w:val="en-US"/>
              </w:rPr>
              <w:t>Any postoperative complication (%)</w:t>
            </w:r>
          </w:p>
          <w:p w14:paraId="4BB781A1" w14:textId="77777777" w:rsidR="000D44B8" w:rsidRPr="009824AD" w:rsidRDefault="000D44B8" w:rsidP="006E3A16">
            <w:pPr>
              <w:spacing w:line="276" w:lineRule="auto"/>
              <w:rPr>
                <w:rFonts w:ascii="Helvetica" w:hAnsi="Helvetica" w:cs="Calibri"/>
                <w:sz w:val="20"/>
                <w:szCs w:val="20"/>
                <w:lang w:val="en-US"/>
              </w:rPr>
            </w:pPr>
            <w:r w:rsidRPr="009824AD">
              <w:rPr>
                <w:rFonts w:ascii="Helvetica" w:eastAsia="Times New Roman" w:hAnsi="Helvetica" w:cs="Calibri"/>
                <w:color w:val="000000" w:themeColor="text1"/>
                <w:sz w:val="20"/>
                <w:szCs w:val="20"/>
                <w:lang w:val="en-US"/>
              </w:rPr>
              <w:t xml:space="preserve">   Severe, grade 3-5</w:t>
            </w:r>
          </w:p>
        </w:tc>
        <w:tc>
          <w:tcPr>
            <w:tcW w:w="1818" w:type="dxa"/>
            <w:tcBorders>
              <w:top w:val="single" w:sz="4" w:space="0" w:color="auto"/>
            </w:tcBorders>
          </w:tcPr>
          <w:p w14:paraId="59F4CDBC" w14:textId="77777777" w:rsidR="000D44B8" w:rsidRPr="009824AD" w:rsidRDefault="000D44B8" w:rsidP="006E3A16">
            <w:pPr>
              <w:spacing w:line="276" w:lineRule="auto"/>
              <w:jc w:val="center"/>
              <w:rPr>
                <w:rFonts w:ascii="Helvetica" w:hAnsi="Helvetica" w:cs="Calibri"/>
                <w:color w:val="000000" w:themeColor="text1"/>
                <w:sz w:val="20"/>
                <w:szCs w:val="20"/>
                <w:lang w:val="en-US"/>
              </w:rPr>
            </w:pPr>
            <w:r w:rsidRPr="009824AD">
              <w:rPr>
                <w:rFonts w:ascii="Helvetica" w:hAnsi="Helvetica" w:cs="Calibri"/>
                <w:color w:val="000000" w:themeColor="text1"/>
                <w:sz w:val="20"/>
                <w:szCs w:val="20"/>
                <w:lang w:val="en-US"/>
              </w:rPr>
              <w:t>669 (19.8)</w:t>
            </w:r>
          </w:p>
          <w:p w14:paraId="1F8593BE" w14:textId="77777777" w:rsidR="000D44B8" w:rsidRPr="009824AD" w:rsidRDefault="000D44B8" w:rsidP="006E3A16">
            <w:pPr>
              <w:spacing w:line="276" w:lineRule="auto"/>
              <w:jc w:val="center"/>
              <w:rPr>
                <w:rFonts w:ascii="Helvetica" w:hAnsi="Helvetica" w:cs="Calibri"/>
                <w:color w:val="000000" w:themeColor="text1"/>
                <w:sz w:val="20"/>
                <w:szCs w:val="20"/>
                <w:lang w:val="en-US"/>
              </w:rPr>
            </w:pPr>
            <w:r w:rsidRPr="009824AD">
              <w:rPr>
                <w:rFonts w:ascii="Helvetica" w:hAnsi="Helvetica" w:cs="Calibri"/>
                <w:color w:val="000000" w:themeColor="text1"/>
                <w:sz w:val="20"/>
                <w:szCs w:val="20"/>
                <w:lang w:val="en-US"/>
              </w:rPr>
              <w:t>220 (6.5)</w:t>
            </w:r>
          </w:p>
        </w:tc>
        <w:tc>
          <w:tcPr>
            <w:tcW w:w="1818" w:type="dxa"/>
            <w:tcBorders>
              <w:top w:val="single" w:sz="4" w:space="0" w:color="auto"/>
            </w:tcBorders>
          </w:tcPr>
          <w:p w14:paraId="6281AFD2" w14:textId="77777777" w:rsidR="000D44B8" w:rsidRPr="009824AD" w:rsidRDefault="000D44B8" w:rsidP="006E3A16">
            <w:pPr>
              <w:tabs>
                <w:tab w:val="center" w:pos="955"/>
              </w:tabs>
              <w:spacing w:line="276" w:lineRule="auto"/>
              <w:jc w:val="center"/>
              <w:rPr>
                <w:rFonts w:ascii="Helvetica" w:hAnsi="Helvetica" w:cs="Calibri"/>
                <w:color w:val="000000" w:themeColor="text1"/>
                <w:sz w:val="20"/>
                <w:szCs w:val="20"/>
                <w:lang w:val="en-US"/>
              </w:rPr>
            </w:pPr>
            <w:r w:rsidRPr="009824AD">
              <w:rPr>
                <w:rFonts w:ascii="Helvetica" w:hAnsi="Helvetica" w:cs="Calibri"/>
                <w:color w:val="000000" w:themeColor="text1"/>
                <w:sz w:val="20"/>
                <w:szCs w:val="20"/>
                <w:lang w:val="en-US"/>
              </w:rPr>
              <w:t>16 (17.8)</w:t>
            </w:r>
          </w:p>
          <w:p w14:paraId="2442F64A" w14:textId="77777777" w:rsidR="000D44B8" w:rsidRPr="009824AD" w:rsidRDefault="000D44B8" w:rsidP="006E3A16">
            <w:pPr>
              <w:spacing w:line="276" w:lineRule="auto"/>
              <w:jc w:val="center"/>
              <w:rPr>
                <w:rFonts w:ascii="Helvetica" w:hAnsi="Helvetica" w:cs="Calibri"/>
                <w:color w:val="000000" w:themeColor="text1"/>
                <w:sz w:val="20"/>
                <w:szCs w:val="20"/>
                <w:lang w:val="en-US"/>
              </w:rPr>
            </w:pPr>
            <w:r w:rsidRPr="009824AD">
              <w:rPr>
                <w:rFonts w:ascii="Helvetica" w:hAnsi="Helvetica" w:cs="Calibri"/>
                <w:color w:val="000000" w:themeColor="text1"/>
                <w:sz w:val="20"/>
                <w:szCs w:val="20"/>
                <w:lang w:val="en-US"/>
              </w:rPr>
              <w:t>9 (10.0)</w:t>
            </w:r>
          </w:p>
        </w:tc>
        <w:tc>
          <w:tcPr>
            <w:tcW w:w="1497" w:type="dxa"/>
            <w:tcBorders>
              <w:top w:val="single" w:sz="4" w:space="0" w:color="auto"/>
              <w:right w:val="single" w:sz="4" w:space="0" w:color="auto"/>
            </w:tcBorders>
          </w:tcPr>
          <w:p w14:paraId="37EF370C" w14:textId="77777777" w:rsidR="000D44B8" w:rsidRPr="009824AD" w:rsidRDefault="000D44B8" w:rsidP="006E3A16">
            <w:pPr>
              <w:spacing w:line="276" w:lineRule="auto"/>
              <w:jc w:val="center"/>
              <w:rPr>
                <w:rFonts w:ascii="Helvetica" w:hAnsi="Helvetica" w:cs="Calibri"/>
                <w:color w:val="000000" w:themeColor="text1"/>
                <w:sz w:val="20"/>
                <w:szCs w:val="20"/>
                <w:lang w:val="en-US"/>
              </w:rPr>
            </w:pPr>
            <w:r w:rsidRPr="009824AD">
              <w:rPr>
                <w:rFonts w:ascii="Helvetica" w:hAnsi="Helvetica" w:cs="Calibri"/>
                <w:color w:val="000000" w:themeColor="text1"/>
                <w:sz w:val="20"/>
                <w:szCs w:val="20"/>
                <w:lang w:val="en-US"/>
              </w:rPr>
              <w:t>0.633</w:t>
            </w:r>
          </w:p>
          <w:p w14:paraId="6F1F89BE" w14:textId="77777777" w:rsidR="000D44B8" w:rsidRPr="009824AD" w:rsidRDefault="000D44B8" w:rsidP="006E3A16">
            <w:pPr>
              <w:spacing w:line="276" w:lineRule="auto"/>
              <w:jc w:val="center"/>
              <w:rPr>
                <w:rFonts w:ascii="Helvetica" w:hAnsi="Helvetica" w:cs="Calibri"/>
                <w:color w:val="000000" w:themeColor="text1"/>
                <w:sz w:val="20"/>
                <w:szCs w:val="20"/>
                <w:lang w:val="en-US"/>
              </w:rPr>
            </w:pPr>
            <w:r w:rsidRPr="009824AD">
              <w:rPr>
                <w:rFonts w:ascii="Helvetica" w:hAnsi="Helvetica" w:cs="Calibri"/>
                <w:color w:val="000000" w:themeColor="text1"/>
                <w:sz w:val="20"/>
                <w:szCs w:val="20"/>
                <w:lang w:val="en-US"/>
              </w:rPr>
              <w:t>0.178</w:t>
            </w:r>
          </w:p>
        </w:tc>
        <w:tc>
          <w:tcPr>
            <w:tcW w:w="2208" w:type="dxa"/>
            <w:tcBorders>
              <w:top w:val="single" w:sz="4" w:space="0" w:color="auto"/>
              <w:left w:val="single" w:sz="4" w:space="0" w:color="auto"/>
            </w:tcBorders>
          </w:tcPr>
          <w:p w14:paraId="27F43BAE" w14:textId="77777777" w:rsidR="000D44B8" w:rsidRPr="009824AD" w:rsidRDefault="000D44B8" w:rsidP="006E3A16">
            <w:pPr>
              <w:spacing w:line="276" w:lineRule="auto"/>
              <w:jc w:val="center"/>
              <w:rPr>
                <w:rFonts w:ascii="Helvetica" w:hAnsi="Helvetica" w:cs="Calibri"/>
                <w:color w:val="000000" w:themeColor="text1"/>
                <w:sz w:val="20"/>
                <w:szCs w:val="20"/>
                <w:lang w:val="en-US"/>
              </w:rPr>
            </w:pPr>
            <w:r w:rsidRPr="009824AD">
              <w:rPr>
                <w:rFonts w:ascii="Helvetica" w:hAnsi="Helvetica" w:cs="Calibri"/>
                <w:color w:val="000000" w:themeColor="text1"/>
                <w:sz w:val="20"/>
                <w:szCs w:val="20"/>
                <w:lang w:val="en-US"/>
              </w:rPr>
              <w:t>714 (25.2)</w:t>
            </w:r>
          </w:p>
          <w:p w14:paraId="5FA24D36" w14:textId="77777777" w:rsidR="000D44B8" w:rsidRPr="009824AD" w:rsidRDefault="000D44B8" w:rsidP="006E3A16">
            <w:pPr>
              <w:spacing w:line="276" w:lineRule="auto"/>
              <w:jc w:val="center"/>
              <w:rPr>
                <w:rFonts w:ascii="Helvetica" w:hAnsi="Helvetica" w:cs="Calibri"/>
                <w:color w:val="000000" w:themeColor="text1"/>
                <w:sz w:val="20"/>
                <w:szCs w:val="20"/>
                <w:lang w:val="en-US"/>
              </w:rPr>
            </w:pPr>
            <w:r w:rsidRPr="009824AD">
              <w:rPr>
                <w:rFonts w:ascii="Helvetica" w:hAnsi="Helvetica" w:cs="Calibri"/>
                <w:color w:val="000000" w:themeColor="text1"/>
                <w:sz w:val="20"/>
                <w:szCs w:val="20"/>
                <w:lang w:val="en-US"/>
              </w:rPr>
              <w:t>281 (9.9)</w:t>
            </w:r>
          </w:p>
        </w:tc>
        <w:tc>
          <w:tcPr>
            <w:tcW w:w="1884" w:type="dxa"/>
            <w:tcBorders>
              <w:top w:val="single" w:sz="4" w:space="0" w:color="auto"/>
            </w:tcBorders>
          </w:tcPr>
          <w:p w14:paraId="70790A00" w14:textId="77777777" w:rsidR="000D44B8" w:rsidRPr="009824AD" w:rsidRDefault="000D44B8" w:rsidP="006E3A16">
            <w:pPr>
              <w:tabs>
                <w:tab w:val="center" w:pos="955"/>
              </w:tabs>
              <w:spacing w:line="276" w:lineRule="auto"/>
              <w:jc w:val="center"/>
              <w:rPr>
                <w:rFonts w:ascii="Helvetica" w:hAnsi="Helvetica" w:cs="Calibri"/>
                <w:color w:val="000000" w:themeColor="text1"/>
                <w:sz w:val="20"/>
                <w:szCs w:val="20"/>
                <w:lang w:val="en-US"/>
              </w:rPr>
            </w:pPr>
            <w:r w:rsidRPr="009824AD">
              <w:rPr>
                <w:rFonts w:ascii="Helvetica" w:hAnsi="Helvetica" w:cs="Calibri"/>
                <w:color w:val="000000" w:themeColor="text1"/>
                <w:sz w:val="20"/>
                <w:szCs w:val="20"/>
                <w:lang w:val="en-US"/>
              </w:rPr>
              <w:t>93 (51.1)</w:t>
            </w:r>
          </w:p>
          <w:p w14:paraId="6E8185BA" w14:textId="77777777" w:rsidR="000D44B8" w:rsidRPr="009824AD" w:rsidRDefault="000D44B8" w:rsidP="006E3A16">
            <w:pPr>
              <w:spacing w:line="276" w:lineRule="auto"/>
              <w:jc w:val="center"/>
              <w:rPr>
                <w:rFonts w:ascii="Helvetica" w:hAnsi="Helvetica" w:cs="Calibri"/>
                <w:color w:val="000000" w:themeColor="text1"/>
                <w:sz w:val="20"/>
                <w:szCs w:val="20"/>
                <w:lang w:val="en-US"/>
              </w:rPr>
            </w:pPr>
            <w:r w:rsidRPr="009824AD">
              <w:rPr>
                <w:rFonts w:ascii="Helvetica" w:hAnsi="Helvetica" w:cs="Calibri"/>
                <w:color w:val="000000" w:themeColor="text1"/>
                <w:sz w:val="20"/>
                <w:szCs w:val="20"/>
                <w:lang w:val="en-US"/>
              </w:rPr>
              <w:t>37 (20.9)</w:t>
            </w:r>
          </w:p>
        </w:tc>
        <w:tc>
          <w:tcPr>
            <w:tcW w:w="843" w:type="dxa"/>
            <w:tcBorders>
              <w:top w:val="single" w:sz="4" w:space="0" w:color="auto"/>
            </w:tcBorders>
          </w:tcPr>
          <w:p w14:paraId="79F427C7" w14:textId="77777777" w:rsidR="000D44B8" w:rsidRPr="009824AD" w:rsidRDefault="000D44B8" w:rsidP="006E3A16">
            <w:pPr>
              <w:spacing w:line="276" w:lineRule="auto"/>
              <w:jc w:val="center"/>
              <w:rPr>
                <w:rFonts w:ascii="Helvetica" w:hAnsi="Helvetica" w:cs="Calibri"/>
                <w:b/>
                <w:bCs/>
                <w:color w:val="000000" w:themeColor="text1"/>
                <w:sz w:val="20"/>
                <w:szCs w:val="20"/>
                <w:lang w:val="en-US"/>
              </w:rPr>
            </w:pPr>
            <w:r w:rsidRPr="009824AD">
              <w:rPr>
                <w:rFonts w:ascii="Helvetica" w:hAnsi="Helvetica" w:cs="Calibri"/>
                <w:b/>
                <w:bCs/>
                <w:color w:val="000000" w:themeColor="text1"/>
                <w:sz w:val="20"/>
                <w:szCs w:val="20"/>
                <w:lang w:val="en-US"/>
              </w:rPr>
              <w:t>&lt;0.001</w:t>
            </w:r>
          </w:p>
          <w:p w14:paraId="26A6FD33" w14:textId="77777777" w:rsidR="000D44B8" w:rsidRPr="009824AD" w:rsidRDefault="000D44B8" w:rsidP="006E3A16">
            <w:pPr>
              <w:spacing w:line="276" w:lineRule="auto"/>
              <w:jc w:val="center"/>
              <w:rPr>
                <w:rFonts w:ascii="Helvetica" w:hAnsi="Helvetica" w:cs="Calibri"/>
                <w:b/>
                <w:bCs/>
                <w:color w:val="000000" w:themeColor="text1"/>
                <w:sz w:val="20"/>
                <w:szCs w:val="20"/>
                <w:lang w:val="en-US"/>
              </w:rPr>
            </w:pPr>
            <w:r w:rsidRPr="009824AD">
              <w:rPr>
                <w:rFonts w:ascii="Helvetica" w:hAnsi="Helvetica" w:cs="Calibri"/>
                <w:b/>
                <w:bCs/>
                <w:color w:val="000000" w:themeColor="text1"/>
                <w:sz w:val="20"/>
                <w:szCs w:val="20"/>
                <w:lang w:val="en-US"/>
              </w:rPr>
              <w:t>&lt;0.001</w:t>
            </w:r>
          </w:p>
        </w:tc>
      </w:tr>
      <w:tr w:rsidR="000D44B8" w:rsidRPr="009824AD" w14:paraId="7DF7B7E4" w14:textId="77777777" w:rsidTr="006E3A16">
        <w:tc>
          <w:tcPr>
            <w:tcW w:w="2963" w:type="dxa"/>
            <w:tcBorders>
              <w:right w:val="single" w:sz="4" w:space="0" w:color="auto"/>
            </w:tcBorders>
            <w:vAlign w:val="center"/>
          </w:tcPr>
          <w:p w14:paraId="5BC290E5" w14:textId="77777777" w:rsidR="000D44B8" w:rsidRPr="009824AD" w:rsidRDefault="000D44B8" w:rsidP="006E3A16">
            <w:pPr>
              <w:spacing w:line="276" w:lineRule="auto"/>
              <w:rPr>
                <w:rFonts w:ascii="Helvetica" w:eastAsia="Times New Roman" w:hAnsi="Helvetica" w:cs="Calibri"/>
                <w:color w:val="000000" w:themeColor="text1"/>
                <w:sz w:val="20"/>
                <w:szCs w:val="20"/>
                <w:lang w:val="en-US"/>
              </w:rPr>
            </w:pPr>
            <w:r w:rsidRPr="009824AD">
              <w:rPr>
                <w:rFonts w:ascii="Helvetica" w:eastAsia="Times New Roman" w:hAnsi="Helvetica" w:cs="Calibri"/>
                <w:color w:val="000000" w:themeColor="text1"/>
                <w:sz w:val="20"/>
                <w:szCs w:val="20"/>
                <w:lang w:val="en-US"/>
              </w:rPr>
              <w:t>Liver failure (%)</w:t>
            </w:r>
          </w:p>
        </w:tc>
        <w:tc>
          <w:tcPr>
            <w:tcW w:w="1818" w:type="dxa"/>
          </w:tcPr>
          <w:p w14:paraId="523D904F" w14:textId="77777777" w:rsidR="000D44B8" w:rsidRPr="009824AD" w:rsidRDefault="000D44B8" w:rsidP="006E3A16">
            <w:pPr>
              <w:spacing w:line="276" w:lineRule="auto"/>
              <w:jc w:val="center"/>
              <w:rPr>
                <w:rFonts w:ascii="Helvetica" w:hAnsi="Helvetica" w:cs="Calibri"/>
                <w:color w:val="000000" w:themeColor="text1"/>
                <w:sz w:val="20"/>
                <w:szCs w:val="20"/>
                <w:lang w:val="en-US"/>
              </w:rPr>
            </w:pPr>
            <w:r w:rsidRPr="009824AD">
              <w:rPr>
                <w:rFonts w:ascii="Helvetica" w:hAnsi="Helvetica" w:cs="Calibri"/>
                <w:color w:val="000000" w:themeColor="text1"/>
                <w:sz w:val="20"/>
                <w:szCs w:val="20"/>
                <w:lang w:val="en-US"/>
              </w:rPr>
              <w:t>16 (0.5)</w:t>
            </w:r>
          </w:p>
        </w:tc>
        <w:tc>
          <w:tcPr>
            <w:tcW w:w="1818" w:type="dxa"/>
          </w:tcPr>
          <w:p w14:paraId="1ED60EDA" w14:textId="77777777" w:rsidR="000D44B8" w:rsidRPr="009824AD" w:rsidRDefault="000D44B8" w:rsidP="006E3A16">
            <w:pPr>
              <w:spacing w:line="276" w:lineRule="auto"/>
              <w:jc w:val="center"/>
              <w:rPr>
                <w:rFonts w:ascii="Helvetica" w:hAnsi="Helvetica" w:cs="Calibri"/>
                <w:color w:val="000000" w:themeColor="text1"/>
                <w:sz w:val="20"/>
                <w:szCs w:val="20"/>
                <w:lang w:val="en-US"/>
              </w:rPr>
            </w:pPr>
            <w:r w:rsidRPr="009824AD">
              <w:rPr>
                <w:rFonts w:ascii="Helvetica" w:hAnsi="Helvetica" w:cs="Calibri"/>
                <w:color w:val="000000" w:themeColor="text1"/>
                <w:sz w:val="20"/>
                <w:szCs w:val="20"/>
                <w:lang w:val="en-US"/>
              </w:rPr>
              <w:t>1 (1.1)</w:t>
            </w:r>
          </w:p>
        </w:tc>
        <w:tc>
          <w:tcPr>
            <w:tcW w:w="1497" w:type="dxa"/>
            <w:tcBorders>
              <w:right w:val="single" w:sz="4" w:space="0" w:color="auto"/>
            </w:tcBorders>
          </w:tcPr>
          <w:p w14:paraId="1504871B" w14:textId="77777777" w:rsidR="000D44B8" w:rsidRPr="009824AD" w:rsidRDefault="000D44B8" w:rsidP="006E3A16">
            <w:pPr>
              <w:spacing w:line="276" w:lineRule="auto"/>
              <w:jc w:val="center"/>
              <w:rPr>
                <w:rFonts w:ascii="Helvetica" w:hAnsi="Helvetica" w:cs="Calibri"/>
                <w:color w:val="000000" w:themeColor="text1"/>
                <w:sz w:val="20"/>
                <w:szCs w:val="20"/>
                <w:lang w:val="en-US"/>
              </w:rPr>
            </w:pPr>
            <w:r w:rsidRPr="009824AD">
              <w:rPr>
                <w:rFonts w:ascii="Helvetica" w:hAnsi="Helvetica" w:cs="Calibri"/>
                <w:color w:val="000000" w:themeColor="text1"/>
                <w:sz w:val="20"/>
                <w:szCs w:val="20"/>
                <w:lang w:val="en-US"/>
              </w:rPr>
              <w:t>0.393</w:t>
            </w:r>
          </w:p>
        </w:tc>
        <w:tc>
          <w:tcPr>
            <w:tcW w:w="2208" w:type="dxa"/>
            <w:tcBorders>
              <w:left w:val="single" w:sz="4" w:space="0" w:color="auto"/>
            </w:tcBorders>
          </w:tcPr>
          <w:p w14:paraId="69BFDC57" w14:textId="77777777" w:rsidR="000D44B8" w:rsidRPr="009824AD" w:rsidRDefault="000D44B8" w:rsidP="006E3A16">
            <w:pPr>
              <w:spacing w:line="276" w:lineRule="auto"/>
              <w:jc w:val="center"/>
              <w:rPr>
                <w:rFonts w:ascii="Helvetica" w:hAnsi="Helvetica" w:cs="Calibri"/>
                <w:color w:val="000000" w:themeColor="text1"/>
                <w:sz w:val="20"/>
                <w:szCs w:val="20"/>
                <w:lang w:val="en-US"/>
              </w:rPr>
            </w:pPr>
            <w:r w:rsidRPr="009824AD">
              <w:rPr>
                <w:rFonts w:ascii="Helvetica" w:hAnsi="Helvetica" w:cs="Calibri"/>
                <w:color w:val="000000" w:themeColor="text1"/>
                <w:sz w:val="20"/>
                <w:szCs w:val="20"/>
                <w:lang w:val="en-US"/>
              </w:rPr>
              <w:t>38 (1.3)</w:t>
            </w:r>
          </w:p>
        </w:tc>
        <w:tc>
          <w:tcPr>
            <w:tcW w:w="1884" w:type="dxa"/>
          </w:tcPr>
          <w:p w14:paraId="0074E507" w14:textId="77777777" w:rsidR="000D44B8" w:rsidRPr="009824AD" w:rsidRDefault="000D44B8" w:rsidP="006E3A16">
            <w:pPr>
              <w:spacing w:line="276" w:lineRule="auto"/>
              <w:jc w:val="center"/>
              <w:rPr>
                <w:rFonts w:ascii="Helvetica" w:hAnsi="Helvetica" w:cs="Calibri"/>
                <w:color w:val="000000" w:themeColor="text1"/>
                <w:sz w:val="20"/>
                <w:szCs w:val="20"/>
                <w:lang w:val="en-US"/>
              </w:rPr>
            </w:pPr>
            <w:r w:rsidRPr="009824AD">
              <w:rPr>
                <w:rFonts w:ascii="Helvetica" w:hAnsi="Helvetica" w:cs="Calibri"/>
                <w:color w:val="000000" w:themeColor="text1"/>
                <w:sz w:val="20"/>
                <w:szCs w:val="20"/>
                <w:lang w:val="en-US"/>
              </w:rPr>
              <w:t>9 (4.6)</w:t>
            </w:r>
          </w:p>
        </w:tc>
        <w:tc>
          <w:tcPr>
            <w:tcW w:w="843" w:type="dxa"/>
          </w:tcPr>
          <w:p w14:paraId="1F82F4D8" w14:textId="77777777" w:rsidR="000D44B8" w:rsidRPr="009824AD" w:rsidRDefault="000D44B8" w:rsidP="006E3A16">
            <w:pPr>
              <w:spacing w:line="276" w:lineRule="auto"/>
              <w:jc w:val="center"/>
              <w:rPr>
                <w:rFonts w:ascii="Helvetica" w:hAnsi="Helvetica" w:cs="Calibri"/>
                <w:b/>
                <w:bCs/>
                <w:color w:val="000000" w:themeColor="text1"/>
                <w:sz w:val="20"/>
                <w:szCs w:val="20"/>
                <w:lang w:val="en-US"/>
              </w:rPr>
            </w:pPr>
            <w:r w:rsidRPr="009824AD">
              <w:rPr>
                <w:rFonts w:ascii="Helvetica" w:hAnsi="Helvetica" w:cs="Calibri"/>
                <w:b/>
                <w:bCs/>
                <w:color w:val="000000" w:themeColor="text1"/>
                <w:sz w:val="20"/>
                <w:szCs w:val="20"/>
                <w:lang w:val="en-US"/>
              </w:rPr>
              <w:t>&lt;0.001</w:t>
            </w:r>
          </w:p>
        </w:tc>
      </w:tr>
      <w:tr w:rsidR="000D44B8" w:rsidRPr="009824AD" w14:paraId="305A4823" w14:textId="77777777" w:rsidTr="006E3A16">
        <w:tc>
          <w:tcPr>
            <w:tcW w:w="2963" w:type="dxa"/>
            <w:tcBorders>
              <w:right w:val="single" w:sz="4" w:space="0" w:color="auto"/>
            </w:tcBorders>
          </w:tcPr>
          <w:p w14:paraId="23569EBA" w14:textId="77777777" w:rsidR="000D44B8" w:rsidRPr="009824AD" w:rsidRDefault="000D44B8" w:rsidP="006E3A16">
            <w:pPr>
              <w:spacing w:line="276" w:lineRule="auto"/>
              <w:rPr>
                <w:rFonts w:ascii="Helvetica" w:hAnsi="Helvetica" w:cs="Calibri"/>
                <w:sz w:val="20"/>
                <w:szCs w:val="20"/>
                <w:lang w:val="en-US"/>
              </w:rPr>
            </w:pPr>
            <w:r w:rsidRPr="009824AD">
              <w:rPr>
                <w:rFonts w:ascii="Helvetica" w:hAnsi="Helvetica" w:cs="Calibri"/>
                <w:sz w:val="20"/>
                <w:szCs w:val="20"/>
                <w:lang w:val="en-US"/>
              </w:rPr>
              <w:t>Pulmonary complications (%)</w:t>
            </w:r>
          </w:p>
        </w:tc>
        <w:tc>
          <w:tcPr>
            <w:tcW w:w="1818" w:type="dxa"/>
          </w:tcPr>
          <w:p w14:paraId="4D140F39" w14:textId="77777777" w:rsidR="000D44B8" w:rsidRPr="009824AD" w:rsidRDefault="000D44B8" w:rsidP="006E3A16">
            <w:pPr>
              <w:spacing w:line="276" w:lineRule="auto"/>
              <w:jc w:val="center"/>
              <w:rPr>
                <w:rFonts w:ascii="Helvetica" w:hAnsi="Helvetica" w:cs="Calibri"/>
                <w:color w:val="000000" w:themeColor="text1"/>
                <w:sz w:val="20"/>
                <w:szCs w:val="20"/>
                <w:lang w:val="en-US"/>
              </w:rPr>
            </w:pPr>
            <w:r w:rsidRPr="009824AD">
              <w:rPr>
                <w:rFonts w:ascii="Helvetica" w:hAnsi="Helvetica" w:cs="Calibri"/>
                <w:color w:val="000000" w:themeColor="text1"/>
                <w:sz w:val="20"/>
                <w:szCs w:val="20"/>
                <w:lang w:val="en-US"/>
              </w:rPr>
              <w:t>135 (4.0)</w:t>
            </w:r>
          </w:p>
        </w:tc>
        <w:tc>
          <w:tcPr>
            <w:tcW w:w="1818" w:type="dxa"/>
          </w:tcPr>
          <w:p w14:paraId="1598ECC1" w14:textId="77777777" w:rsidR="000D44B8" w:rsidRPr="009824AD" w:rsidRDefault="000D44B8" w:rsidP="006E3A16">
            <w:pPr>
              <w:spacing w:line="276" w:lineRule="auto"/>
              <w:jc w:val="center"/>
              <w:rPr>
                <w:rFonts w:ascii="Helvetica" w:hAnsi="Helvetica" w:cs="Calibri"/>
                <w:color w:val="000000" w:themeColor="text1"/>
                <w:sz w:val="20"/>
                <w:szCs w:val="20"/>
                <w:lang w:val="en-US"/>
              </w:rPr>
            </w:pPr>
            <w:r w:rsidRPr="009824AD">
              <w:rPr>
                <w:rFonts w:ascii="Helvetica" w:hAnsi="Helvetica" w:cs="Calibri"/>
                <w:color w:val="000000" w:themeColor="text1"/>
                <w:sz w:val="20"/>
                <w:szCs w:val="20"/>
                <w:lang w:val="en-US"/>
              </w:rPr>
              <w:t>6 (6.7)</w:t>
            </w:r>
          </w:p>
        </w:tc>
        <w:tc>
          <w:tcPr>
            <w:tcW w:w="1497" w:type="dxa"/>
            <w:tcBorders>
              <w:right w:val="single" w:sz="4" w:space="0" w:color="auto"/>
            </w:tcBorders>
          </w:tcPr>
          <w:p w14:paraId="26BF62EF" w14:textId="77777777" w:rsidR="000D44B8" w:rsidRPr="009824AD" w:rsidRDefault="000D44B8" w:rsidP="006E3A16">
            <w:pPr>
              <w:spacing w:line="276" w:lineRule="auto"/>
              <w:jc w:val="center"/>
              <w:rPr>
                <w:rFonts w:ascii="Helvetica" w:hAnsi="Helvetica" w:cs="Calibri"/>
                <w:color w:val="000000" w:themeColor="text1"/>
                <w:sz w:val="20"/>
                <w:szCs w:val="20"/>
                <w:lang w:val="en-US"/>
              </w:rPr>
            </w:pPr>
            <w:r w:rsidRPr="009824AD">
              <w:rPr>
                <w:rFonts w:ascii="Helvetica" w:hAnsi="Helvetica" w:cs="Calibri"/>
                <w:color w:val="000000" w:themeColor="text1"/>
                <w:sz w:val="20"/>
                <w:szCs w:val="20"/>
                <w:lang w:val="en-US"/>
              </w:rPr>
              <w:t>0.206</w:t>
            </w:r>
          </w:p>
        </w:tc>
        <w:tc>
          <w:tcPr>
            <w:tcW w:w="2208" w:type="dxa"/>
            <w:tcBorders>
              <w:left w:val="single" w:sz="4" w:space="0" w:color="auto"/>
            </w:tcBorders>
          </w:tcPr>
          <w:p w14:paraId="174334DB" w14:textId="77777777" w:rsidR="000D44B8" w:rsidRPr="009824AD" w:rsidRDefault="000D44B8" w:rsidP="006E3A16">
            <w:pPr>
              <w:spacing w:line="276" w:lineRule="auto"/>
              <w:jc w:val="center"/>
              <w:rPr>
                <w:rFonts w:ascii="Helvetica" w:hAnsi="Helvetica" w:cs="Calibri"/>
                <w:color w:val="000000" w:themeColor="text1"/>
                <w:sz w:val="20"/>
                <w:szCs w:val="20"/>
                <w:lang w:val="en-US"/>
              </w:rPr>
            </w:pPr>
            <w:r w:rsidRPr="009824AD">
              <w:rPr>
                <w:rFonts w:ascii="Helvetica" w:hAnsi="Helvetica" w:cs="Calibri"/>
                <w:color w:val="000000" w:themeColor="text1"/>
                <w:sz w:val="20"/>
                <w:szCs w:val="20"/>
                <w:lang w:val="en-US"/>
              </w:rPr>
              <w:t>170 (6.0)</w:t>
            </w:r>
          </w:p>
        </w:tc>
        <w:tc>
          <w:tcPr>
            <w:tcW w:w="1884" w:type="dxa"/>
          </w:tcPr>
          <w:p w14:paraId="084F7AB9" w14:textId="77777777" w:rsidR="000D44B8" w:rsidRPr="009824AD" w:rsidRDefault="000D44B8" w:rsidP="006E3A16">
            <w:pPr>
              <w:spacing w:line="276" w:lineRule="auto"/>
              <w:jc w:val="center"/>
              <w:rPr>
                <w:rFonts w:ascii="Helvetica" w:hAnsi="Helvetica" w:cs="Calibri"/>
                <w:color w:val="000000" w:themeColor="text1"/>
                <w:sz w:val="20"/>
                <w:szCs w:val="20"/>
                <w:lang w:val="en-US"/>
              </w:rPr>
            </w:pPr>
            <w:r w:rsidRPr="009824AD">
              <w:rPr>
                <w:rFonts w:ascii="Helvetica" w:hAnsi="Helvetica" w:cs="Calibri"/>
                <w:color w:val="000000" w:themeColor="text1"/>
                <w:sz w:val="20"/>
                <w:szCs w:val="20"/>
                <w:lang w:val="en-US"/>
              </w:rPr>
              <w:t>7 (3.6)</w:t>
            </w:r>
          </w:p>
        </w:tc>
        <w:tc>
          <w:tcPr>
            <w:tcW w:w="843" w:type="dxa"/>
          </w:tcPr>
          <w:p w14:paraId="6C23B16B" w14:textId="77777777" w:rsidR="000D44B8" w:rsidRPr="009824AD" w:rsidRDefault="000D44B8" w:rsidP="006E3A16">
            <w:pPr>
              <w:spacing w:line="276" w:lineRule="auto"/>
              <w:jc w:val="center"/>
              <w:rPr>
                <w:rFonts w:ascii="Helvetica" w:hAnsi="Helvetica" w:cs="Calibri"/>
                <w:color w:val="000000" w:themeColor="text1"/>
                <w:sz w:val="20"/>
                <w:szCs w:val="20"/>
                <w:lang w:val="en-US"/>
              </w:rPr>
            </w:pPr>
            <w:r w:rsidRPr="009824AD">
              <w:rPr>
                <w:rFonts w:ascii="Helvetica" w:hAnsi="Helvetica" w:cs="Calibri"/>
                <w:color w:val="000000" w:themeColor="text1"/>
                <w:sz w:val="20"/>
                <w:szCs w:val="20"/>
                <w:lang w:val="en-US"/>
              </w:rPr>
              <w:t>0.168</w:t>
            </w:r>
          </w:p>
        </w:tc>
      </w:tr>
      <w:tr w:rsidR="000D44B8" w:rsidRPr="009824AD" w14:paraId="67477C44" w14:textId="77777777" w:rsidTr="006E3A16">
        <w:tc>
          <w:tcPr>
            <w:tcW w:w="2963" w:type="dxa"/>
            <w:tcBorders>
              <w:right w:val="single" w:sz="4" w:space="0" w:color="auto"/>
            </w:tcBorders>
          </w:tcPr>
          <w:p w14:paraId="128E40B5" w14:textId="77777777" w:rsidR="000D44B8" w:rsidRPr="009824AD" w:rsidRDefault="000D44B8" w:rsidP="006E3A16">
            <w:pPr>
              <w:spacing w:line="276" w:lineRule="auto"/>
              <w:rPr>
                <w:rFonts w:ascii="Helvetica" w:hAnsi="Helvetica" w:cs="Calibri"/>
                <w:sz w:val="20"/>
                <w:szCs w:val="20"/>
                <w:lang w:val="en-US"/>
              </w:rPr>
            </w:pPr>
            <w:r w:rsidRPr="009824AD">
              <w:rPr>
                <w:rFonts w:ascii="Helvetica" w:hAnsi="Helvetica" w:cs="Calibri"/>
                <w:sz w:val="20"/>
                <w:szCs w:val="20"/>
                <w:lang w:val="en-US"/>
              </w:rPr>
              <w:t>Surgical site infection (%)</w:t>
            </w:r>
          </w:p>
        </w:tc>
        <w:tc>
          <w:tcPr>
            <w:tcW w:w="1818" w:type="dxa"/>
          </w:tcPr>
          <w:p w14:paraId="765518FF" w14:textId="77777777" w:rsidR="000D44B8" w:rsidRPr="009824AD" w:rsidRDefault="000D44B8" w:rsidP="006E3A16">
            <w:pPr>
              <w:spacing w:line="276" w:lineRule="auto"/>
              <w:jc w:val="center"/>
              <w:rPr>
                <w:rFonts w:ascii="Helvetica" w:hAnsi="Helvetica" w:cs="Calibri"/>
                <w:color w:val="000000" w:themeColor="text1"/>
                <w:sz w:val="20"/>
                <w:szCs w:val="20"/>
                <w:lang w:val="en-US"/>
              </w:rPr>
            </w:pPr>
            <w:r w:rsidRPr="009824AD">
              <w:rPr>
                <w:rFonts w:ascii="Helvetica" w:hAnsi="Helvetica" w:cs="Calibri"/>
                <w:color w:val="000000" w:themeColor="text1"/>
                <w:sz w:val="20"/>
                <w:szCs w:val="20"/>
                <w:lang w:val="en-US"/>
              </w:rPr>
              <w:t>76 (2.3)</w:t>
            </w:r>
          </w:p>
        </w:tc>
        <w:tc>
          <w:tcPr>
            <w:tcW w:w="1818" w:type="dxa"/>
          </w:tcPr>
          <w:p w14:paraId="39ACE626" w14:textId="77777777" w:rsidR="000D44B8" w:rsidRPr="009824AD" w:rsidRDefault="000D44B8" w:rsidP="006E3A16">
            <w:pPr>
              <w:spacing w:line="276" w:lineRule="auto"/>
              <w:jc w:val="center"/>
              <w:rPr>
                <w:rFonts w:ascii="Helvetica" w:hAnsi="Helvetica" w:cs="Calibri"/>
                <w:color w:val="000000" w:themeColor="text1"/>
                <w:sz w:val="20"/>
                <w:szCs w:val="20"/>
                <w:lang w:val="en-US"/>
              </w:rPr>
            </w:pPr>
            <w:r w:rsidRPr="009824AD">
              <w:rPr>
                <w:rFonts w:ascii="Helvetica" w:hAnsi="Helvetica" w:cs="Calibri"/>
                <w:color w:val="000000" w:themeColor="text1"/>
                <w:sz w:val="20"/>
                <w:szCs w:val="20"/>
                <w:lang w:val="en-US"/>
              </w:rPr>
              <w:t>4 (4.4)</w:t>
            </w:r>
          </w:p>
        </w:tc>
        <w:tc>
          <w:tcPr>
            <w:tcW w:w="1497" w:type="dxa"/>
            <w:tcBorders>
              <w:right w:val="single" w:sz="4" w:space="0" w:color="auto"/>
            </w:tcBorders>
          </w:tcPr>
          <w:p w14:paraId="39060EDB" w14:textId="77777777" w:rsidR="000D44B8" w:rsidRPr="009824AD" w:rsidRDefault="000D44B8" w:rsidP="006E3A16">
            <w:pPr>
              <w:spacing w:line="276" w:lineRule="auto"/>
              <w:jc w:val="center"/>
              <w:rPr>
                <w:rFonts w:ascii="Helvetica" w:hAnsi="Helvetica" w:cs="Calibri"/>
                <w:color w:val="000000" w:themeColor="text1"/>
                <w:sz w:val="20"/>
                <w:szCs w:val="20"/>
                <w:lang w:val="en-US"/>
              </w:rPr>
            </w:pPr>
            <w:r w:rsidRPr="009824AD">
              <w:rPr>
                <w:rFonts w:ascii="Helvetica" w:hAnsi="Helvetica" w:cs="Calibri"/>
                <w:color w:val="000000" w:themeColor="text1"/>
                <w:sz w:val="20"/>
                <w:szCs w:val="20"/>
                <w:lang w:val="en-US"/>
              </w:rPr>
              <w:t>0.171</w:t>
            </w:r>
          </w:p>
        </w:tc>
        <w:tc>
          <w:tcPr>
            <w:tcW w:w="2208" w:type="dxa"/>
            <w:tcBorders>
              <w:left w:val="single" w:sz="4" w:space="0" w:color="auto"/>
            </w:tcBorders>
          </w:tcPr>
          <w:p w14:paraId="3874B33D" w14:textId="77777777" w:rsidR="000D44B8" w:rsidRPr="009824AD" w:rsidRDefault="000D44B8" w:rsidP="006E3A16">
            <w:pPr>
              <w:spacing w:line="276" w:lineRule="auto"/>
              <w:jc w:val="center"/>
              <w:rPr>
                <w:rFonts w:ascii="Helvetica" w:hAnsi="Helvetica" w:cs="Calibri"/>
                <w:color w:val="000000" w:themeColor="text1"/>
                <w:sz w:val="20"/>
                <w:szCs w:val="20"/>
                <w:lang w:val="en-US"/>
              </w:rPr>
            </w:pPr>
            <w:r w:rsidRPr="009824AD">
              <w:rPr>
                <w:rFonts w:ascii="Helvetica" w:hAnsi="Helvetica" w:cs="Calibri"/>
                <w:color w:val="000000" w:themeColor="text1"/>
                <w:sz w:val="20"/>
                <w:szCs w:val="20"/>
                <w:lang w:val="en-US"/>
              </w:rPr>
              <w:t>115 (4.0)</w:t>
            </w:r>
          </w:p>
        </w:tc>
        <w:tc>
          <w:tcPr>
            <w:tcW w:w="1884" w:type="dxa"/>
          </w:tcPr>
          <w:p w14:paraId="700CF02B" w14:textId="77777777" w:rsidR="000D44B8" w:rsidRPr="009824AD" w:rsidRDefault="000D44B8" w:rsidP="006E3A16">
            <w:pPr>
              <w:spacing w:line="276" w:lineRule="auto"/>
              <w:jc w:val="center"/>
              <w:rPr>
                <w:rFonts w:ascii="Helvetica" w:hAnsi="Helvetica" w:cs="Calibri"/>
                <w:color w:val="000000" w:themeColor="text1"/>
                <w:sz w:val="20"/>
                <w:szCs w:val="20"/>
                <w:lang w:val="en-US"/>
              </w:rPr>
            </w:pPr>
            <w:r w:rsidRPr="009824AD">
              <w:rPr>
                <w:rFonts w:ascii="Helvetica" w:hAnsi="Helvetica" w:cs="Calibri"/>
                <w:color w:val="000000" w:themeColor="text1"/>
                <w:sz w:val="20"/>
                <w:szCs w:val="20"/>
                <w:lang w:val="en-US"/>
              </w:rPr>
              <w:t>35 (17.9)</w:t>
            </w:r>
          </w:p>
        </w:tc>
        <w:tc>
          <w:tcPr>
            <w:tcW w:w="843" w:type="dxa"/>
          </w:tcPr>
          <w:p w14:paraId="3B6686A0" w14:textId="77777777" w:rsidR="000D44B8" w:rsidRPr="009824AD" w:rsidRDefault="000D44B8" w:rsidP="006E3A16">
            <w:pPr>
              <w:spacing w:line="276" w:lineRule="auto"/>
              <w:jc w:val="center"/>
              <w:rPr>
                <w:rFonts w:ascii="Helvetica" w:hAnsi="Helvetica" w:cs="Calibri"/>
                <w:b/>
                <w:bCs/>
                <w:color w:val="000000" w:themeColor="text1"/>
                <w:sz w:val="20"/>
                <w:szCs w:val="20"/>
                <w:lang w:val="en-US"/>
              </w:rPr>
            </w:pPr>
            <w:r w:rsidRPr="009824AD">
              <w:rPr>
                <w:rFonts w:ascii="Helvetica" w:hAnsi="Helvetica" w:cs="Calibri"/>
                <w:b/>
                <w:bCs/>
                <w:color w:val="000000" w:themeColor="text1"/>
                <w:sz w:val="20"/>
                <w:szCs w:val="20"/>
                <w:lang w:val="en-US"/>
              </w:rPr>
              <w:t>&lt;0.001</w:t>
            </w:r>
          </w:p>
        </w:tc>
      </w:tr>
      <w:tr w:rsidR="000D44B8" w:rsidRPr="009824AD" w14:paraId="17430056" w14:textId="77777777" w:rsidTr="006E3A16">
        <w:tc>
          <w:tcPr>
            <w:tcW w:w="2963" w:type="dxa"/>
            <w:tcBorders>
              <w:right w:val="single" w:sz="4" w:space="0" w:color="auto"/>
            </w:tcBorders>
          </w:tcPr>
          <w:p w14:paraId="3C773C3B" w14:textId="77777777" w:rsidR="000D44B8" w:rsidRPr="009824AD" w:rsidRDefault="000D44B8" w:rsidP="006E3A16">
            <w:pPr>
              <w:spacing w:line="276" w:lineRule="auto"/>
              <w:rPr>
                <w:rFonts w:ascii="Helvetica" w:hAnsi="Helvetica" w:cs="Calibri"/>
                <w:sz w:val="20"/>
                <w:szCs w:val="20"/>
                <w:lang w:val="en-US"/>
              </w:rPr>
            </w:pPr>
            <w:r w:rsidRPr="009824AD">
              <w:rPr>
                <w:rFonts w:ascii="Helvetica" w:hAnsi="Helvetica" w:cs="Calibri"/>
                <w:sz w:val="20"/>
                <w:szCs w:val="20"/>
                <w:lang w:val="en-US"/>
              </w:rPr>
              <w:t>Hemorrhage (%)</w:t>
            </w:r>
          </w:p>
        </w:tc>
        <w:tc>
          <w:tcPr>
            <w:tcW w:w="1818" w:type="dxa"/>
          </w:tcPr>
          <w:p w14:paraId="454E831E" w14:textId="77777777" w:rsidR="000D44B8" w:rsidRPr="009824AD" w:rsidRDefault="000D44B8" w:rsidP="006E3A16">
            <w:pPr>
              <w:spacing w:line="276" w:lineRule="auto"/>
              <w:jc w:val="center"/>
              <w:rPr>
                <w:rFonts w:ascii="Helvetica" w:hAnsi="Helvetica" w:cs="Calibri"/>
                <w:color w:val="000000" w:themeColor="text1"/>
                <w:sz w:val="20"/>
                <w:szCs w:val="20"/>
                <w:lang w:val="en-US"/>
              </w:rPr>
            </w:pPr>
            <w:r w:rsidRPr="009824AD">
              <w:rPr>
                <w:rFonts w:ascii="Helvetica" w:hAnsi="Helvetica" w:cs="Calibri"/>
                <w:color w:val="000000" w:themeColor="text1"/>
                <w:sz w:val="20"/>
                <w:szCs w:val="20"/>
                <w:lang w:val="en-US"/>
              </w:rPr>
              <w:t>45 (1.3)</w:t>
            </w:r>
          </w:p>
        </w:tc>
        <w:tc>
          <w:tcPr>
            <w:tcW w:w="1818" w:type="dxa"/>
          </w:tcPr>
          <w:p w14:paraId="7008EE03" w14:textId="77777777" w:rsidR="000D44B8" w:rsidRPr="009824AD" w:rsidRDefault="000D44B8" w:rsidP="006E3A16">
            <w:pPr>
              <w:spacing w:line="276" w:lineRule="auto"/>
              <w:jc w:val="center"/>
              <w:rPr>
                <w:rFonts w:ascii="Helvetica" w:hAnsi="Helvetica" w:cs="Calibri"/>
                <w:color w:val="000000" w:themeColor="text1"/>
                <w:sz w:val="20"/>
                <w:szCs w:val="20"/>
                <w:lang w:val="en-US"/>
              </w:rPr>
            </w:pPr>
            <w:r w:rsidRPr="009824AD">
              <w:rPr>
                <w:rFonts w:ascii="Helvetica" w:hAnsi="Helvetica" w:cs="Calibri"/>
                <w:color w:val="000000" w:themeColor="text1"/>
                <w:sz w:val="20"/>
                <w:szCs w:val="20"/>
                <w:lang w:val="en-US"/>
              </w:rPr>
              <w:t>2 (2.2)</w:t>
            </w:r>
          </w:p>
        </w:tc>
        <w:tc>
          <w:tcPr>
            <w:tcW w:w="1497" w:type="dxa"/>
            <w:tcBorders>
              <w:right w:val="single" w:sz="4" w:space="0" w:color="auto"/>
            </w:tcBorders>
          </w:tcPr>
          <w:p w14:paraId="219FDA4F" w14:textId="77777777" w:rsidR="000D44B8" w:rsidRPr="009824AD" w:rsidRDefault="000D44B8" w:rsidP="006E3A16">
            <w:pPr>
              <w:spacing w:line="276" w:lineRule="auto"/>
              <w:jc w:val="center"/>
              <w:rPr>
                <w:rFonts w:ascii="Helvetica" w:hAnsi="Helvetica" w:cs="Calibri"/>
                <w:color w:val="000000" w:themeColor="text1"/>
                <w:sz w:val="20"/>
                <w:szCs w:val="20"/>
                <w:lang w:val="en-US"/>
              </w:rPr>
            </w:pPr>
            <w:r w:rsidRPr="009824AD">
              <w:rPr>
                <w:rFonts w:ascii="Helvetica" w:hAnsi="Helvetica" w:cs="Calibri"/>
                <w:color w:val="000000" w:themeColor="text1"/>
                <w:sz w:val="20"/>
                <w:szCs w:val="20"/>
                <w:lang w:val="en-US"/>
              </w:rPr>
              <w:t>0.471</w:t>
            </w:r>
          </w:p>
        </w:tc>
        <w:tc>
          <w:tcPr>
            <w:tcW w:w="2208" w:type="dxa"/>
            <w:tcBorders>
              <w:left w:val="single" w:sz="4" w:space="0" w:color="auto"/>
            </w:tcBorders>
          </w:tcPr>
          <w:p w14:paraId="0C86CDDD" w14:textId="77777777" w:rsidR="000D44B8" w:rsidRPr="009824AD" w:rsidRDefault="000D44B8" w:rsidP="006E3A16">
            <w:pPr>
              <w:spacing w:line="276" w:lineRule="auto"/>
              <w:jc w:val="center"/>
              <w:rPr>
                <w:rFonts w:ascii="Helvetica" w:hAnsi="Helvetica" w:cs="Calibri"/>
                <w:color w:val="000000" w:themeColor="text1"/>
                <w:sz w:val="20"/>
                <w:szCs w:val="20"/>
                <w:lang w:val="en-US"/>
              </w:rPr>
            </w:pPr>
            <w:r w:rsidRPr="009824AD">
              <w:rPr>
                <w:rFonts w:ascii="Helvetica" w:hAnsi="Helvetica" w:cs="Calibri"/>
                <w:color w:val="000000" w:themeColor="text1"/>
                <w:sz w:val="20"/>
                <w:szCs w:val="20"/>
                <w:lang w:val="en-US"/>
              </w:rPr>
              <w:t>19 (0.7)</w:t>
            </w:r>
          </w:p>
        </w:tc>
        <w:tc>
          <w:tcPr>
            <w:tcW w:w="1884" w:type="dxa"/>
          </w:tcPr>
          <w:p w14:paraId="2A943D80" w14:textId="77777777" w:rsidR="000D44B8" w:rsidRPr="009824AD" w:rsidRDefault="000D44B8" w:rsidP="006E3A16">
            <w:pPr>
              <w:spacing w:line="276" w:lineRule="auto"/>
              <w:jc w:val="center"/>
              <w:rPr>
                <w:rFonts w:ascii="Helvetica" w:hAnsi="Helvetica" w:cs="Calibri"/>
                <w:color w:val="000000" w:themeColor="text1"/>
                <w:sz w:val="20"/>
                <w:szCs w:val="20"/>
                <w:lang w:val="en-US"/>
              </w:rPr>
            </w:pPr>
            <w:r w:rsidRPr="009824AD">
              <w:rPr>
                <w:rFonts w:ascii="Helvetica" w:hAnsi="Helvetica" w:cs="Calibri"/>
                <w:color w:val="000000" w:themeColor="text1"/>
                <w:sz w:val="20"/>
                <w:szCs w:val="20"/>
                <w:lang w:val="en-US"/>
              </w:rPr>
              <w:t>5 (2.6)</w:t>
            </w:r>
          </w:p>
        </w:tc>
        <w:tc>
          <w:tcPr>
            <w:tcW w:w="843" w:type="dxa"/>
          </w:tcPr>
          <w:p w14:paraId="14082368" w14:textId="77777777" w:rsidR="000D44B8" w:rsidRPr="009824AD" w:rsidRDefault="000D44B8" w:rsidP="006E3A16">
            <w:pPr>
              <w:spacing w:line="276" w:lineRule="auto"/>
              <w:jc w:val="center"/>
              <w:rPr>
                <w:rFonts w:ascii="Helvetica" w:hAnsi="Helvetica" w:cs="Calibri"/>
                <w:b/>
                <w:bCs/>
                <w:color w:val="000000" w:themeColor="text1"/>
                <w:sz w:val="20"/>
                <w:szCs w:val="20"/>
                <w:lang w:val="en-US"/>
              </w:rPr>
            </w:pPr>
            <w:r w:rsidRPr="009824AD">
              <w:rPr>
                <w:rFonts w:ascii="Helvetica" w:hAnsi="Helvetica" w:cs="Calibri"/>
                <w:b/>
                <w:bCs/>
                <w:color w:val="000000" w:themeColor="text1"/>
                <w:sz w:val="20"/>
                <w:szCs w:val="20"/>
                <w:lang w:val="en-US"/>
              </w:rPr>
              <w:t>0.004</w:t>
            </w:r>
          </w:p>
        </w:tc>
      </w:tr>
      <w:tr w:rsidR="000D44B8" w:rsidRPr="009824AD" w14:paraId="39A9A405" w14:textId="77777777" w:rsidTr="006E3A16">
        <w:tc>
          <w:tcPr>
            <w:tcW w:w="2963" w:type="dxa"/>
            <w:tcBorders>
              <w:right w:val="single" w:sz="4" w:space="0" w:color="auto"/>
            </w:tcBorders>
          </w:tcPr>
          <w:p w14:paraId="00709586" w14:textId="2D71C9F5" w:rsidR="000D44B8" w:rsidRPr="009824AD" w:rsidRDefault="000D44B8" w:rsidP="006E3A16">
            <w:pPr>
              <w:spacing w:line="276" w:lineRule="auto"/>
              <w:rPr>
                <w:rFonts w:ascii="Helvetica" w:hAnsi="Helvetica" w:cs="Calibri"/>
                <w:sz w:val="20"/>
                <w:szCs w:val="20"/>
                <w:lang w:val="en-US"/>
              </w:rPr>
            </w:pPr>
            <w:r w:rsidRPr="009824AD">
              <w:rPr>
                <w:rFonts w:ascii="Helvetica" w:hAnsi="Helvetica" w:cs="Calibri"/>
                <w:sz w:val="20"/>
                <w:szCs w:val="20"/>
                <w:lang w:val="en-US"/>
              </w:rPr>
              <w:t>Length of hospital stay, days, median (</w:t>
            </w:r>
            <w:r w:rsidR="00493F8D" w:rsidRPr="009824AD">
              <w:rPr>
                <w:rFonts w:ascii="Helvetica" w:hAnsi="Helvetica" w:cs="Calibri"/>
                <w:sz w:val="20"/>
                <w:szCs w:val="20"/>
                <w:lang w:val="en-US"/>
              </w:rPr>
              <w:t>IQR</w:t>
            </w:r>
            <w:r w:rsidRPr="009824AD">
              <w:rPr>
                <w:rFonts w:ascii="Helvetica" w:hAnsi="Helvetica" w:cs="Calibri"/>
                <w:sz w:val="20"/>
                <w:szCs w:val="20"/>
                <w:lang w:val="en-US"/>
              </w:rPr>
              <w:t>)</w:t>
            </w:r>
          </w:p>
        </w:tc>
        <w:tc>
          <w:tcPr>
            <w:tcW w:w="1818" w:type="dxa"/>
          </w:tcPr>
          <w:p w14:paraId="7A24E495" w14:textId="77777777" w:rsidR="000D44B8" w:rsidRPr="009824AD" w:rsidRDefault="000D44B8" w:rsidP="006E3A16">
            <w:pPr>
              <w:spacing w:line="276" w:lineRule="auto"/>
              <w:jc w:val="center"/>
              <w:rPr>
                <w:rFonts w:ascii="Helvetica" w:hAnsi="Helvetica" w:cs="Calibri"/>
                <w:color w:val="000000" w:themeColor="text1"/>
                <w:sz w:val="20"/>
                <w:szCs w:val="20"/>
                <w:lang w:val="en-US"/>
              </w:rPr>
            </w:pPr>
            <w:r w:rsidRPr="009824AD">
              <w:rPr>
                <w:rFonts w:ascii="Helvetica" w:hAnsi="Helvetica" w:cs="Calibri"/>
                <w:color w:val="000000" w:themeColor="text1"/>
                <w:sz w:val="20"/>
                <w:szCs w:val="20"/>
                <w:lang w:val="en-US"/>
              </w:rPr>
              <w:t>5.0 (3.0-7.0)</w:t>
            </w:r>
          </w:p>
        </w:tc>
        <w:tc>
          <w:tcPr>
            <w:tcW w:w="1818" w:type="dxa"/>
          </w:tcPr>
          <w:p w14:paraId="74621D17" w14:textId="77777777" w:rsidR="000D44B8" w:rsidRPr="009824AD" w:rsidRDefault="000D44B8" w:rsidP="006E3A16">
            <w:pPr>
              <w:spacing w:line="276" w:lineRule="auto"/>
              <w:jc w:val="center"/>
              <w:rPr>
                <w:rFonts w:ascii="Helvetica" w:hAnsi="Helvetica" w:cs="Calibri"/>
                <w:color w:val="000000" w:themeColor="text1"/>
                <w:sz w:val="20"/>
                <w:szCs w:val="20"/>
                <w:lang w:val="en-US"/>
              </w:rPr>
            </w:pPr>
            <w:r w:rsidRPr="009824AD">
              <w:rPr>
                <w:rFonts w:ascii="Helvetica" w:hAnsi="Helvetica" w:cs="Calibri"/>
                <w:color w:val="000000" w:themeColor="text1"/>
                <w:sz w:val="20"/>
                <w:szCs w:val="20"/>
                <w:lang w:val="en-US"/>
              </w:rPr>
              <w:t>12.5 (5.8-23.3)</w:t>
            </w:r>
          </w:p>
        </w:tc>
        <w:tc>
          <w:tcPr>
            <w:tcW w:w="1497" w:type="dxa"/>
            <w:tcBorders>
              <w:right w:val="single" w:sz="4" w:space="0" w:color="auto"/>
            </w:tcBorders>
          </w:tcPr>
          <w:p w14:paraId="7302F590" w14:textId="77777777" w:rsidR="000D44B8" w:rsidRPr="009824AD" w:rsidRDefault="000D44B8" w:rsidP="006E3A16">
            <w:pPr>
              <w:spacing w:line="276" w:lineRule="auto"/>
              <w:jc w:val="center"/>
              <w:rPr>
                <w:rFonts w:ascii="Helvetica" w:hAnsi="Helvetica" w:cs="Calibri"/>
                <w:b/>
                <w:bCs/>
                <w:color w:val="000000" w:themeColor="text1"/>
                <w:sz w:val="20"/>
                <w:szCs w:val="20"/>
                <w:lang w:val="en-US"/>
              </w:rPr>
            </w:pPr>
            <w:r w:rsidRPr="009824AD">
              <w:rPr>
                <w:rFonts w:ascii="Helvetica" w:hAnsi="Helvetica" w:cs="Calibri"/>
                <w:b/>
                <w:bCs/>
                <w:color w:val="000000" w:themeColor="text1"/>
                <w:sz w:val="20"/>
                <w:szCs w:val="20"/>
                <w:lang w:val="en-US"/>
              </w:rPr>
              <w:t>&lt;0.001</w:t>
            </w:r>
          </w:p>
        </w:tc>
        <w:tc>
          <w:tcPr>
            <w:tcW w:w="2208" w:type="dxa"/>
            <w:tcBorders>
              <w:left w:val="single" w:sz="4" w:space="0" w:color="auto"/>
            </w:tcBorders>
          </w:tcPr>
          <w:p w14:paraId="5393790B" w14:textId="77777777" w:rsidR="000D44B8" w:rsidRPr="009824AD" w:rsidRDefault="000D44B8" w:rsidP="006E3A16">
            <w:pPr>
              <w:spacing w:line="276" w:lineRule="auto"/>
              <w:jc w:val="center"/>
              <w:rPr>
                <w:rFonts w:ascii="Helvetica" w:hAnsi="Helvetica" w:cs="Calibri"/>
                <w:color w:val="000000" w:themeColor="text1"/>
                <w:sz w:val="20"/>
                <w:szCs w:val="20"/>
                <w:lang w:val="en-US"/>
              </w:rPr>
            </w:pPr>
            <w:r w:rsidRPr="009824AD">
              <w:rPr>
                <w:rFonts w:ascii="Helvetica" w:hAnsi="Helvetica" w:cs="Calibri"/>
                <w:color w:val="000000" w:themeColor="text1"/>
                <w:sz w:val="20"/>
                <w:szCs w:val="20"/>
                <w:lang w:val="en-US"/>
              </w:rPr>
              <w:t>7.0 (6.0-10.0)</w:t>
            </w:r>
          </w:p>
        </w:tc>
        <w:tc>
          <w:tcPr>
            <w:tcW w:w="1884" w:type="dxa"/>
          </w:tcPr>
          <w:p w14:paraId="5B976BD8" w14:textId="77777777" w:rsidR="000D44B8" w:rsidRPr="009824AD" w:rsidRDefault="000D44B8" w:rsidP="006E3A16">
            <w:pPr>
              <w:spacing w:line="276" w:lineRule="auto"/>
              <w:jc w:val="center"/>
              <w:rPr>
                <w:rFonts w:ascii="Helvetica" w:hAnsi="Helvetica" w:cs="Calibri"/>
                <w:color w:val="000000" w:themeColor="text1"/>
                <w:sz w:val="20"/>
                <w:szCs w:val="20"/>
                <w:lang w:val="en-US"/>
              </w:rPr>
            </w:pPr>
            <w:r w:rsidRPr="009824AD">
              <w:rPr>
                <w:rFonts w:ascii="Helvetica" w:hAnsi="Helvetica" w:cs="Calibri"/>
                <w:color w:val="000000" w:themeColor="text1"/>
                <w:sz w:val="20"/>
                <w:szCs w:val="20"/>
                <w:lang w:val="en-US"/>
              </w:rPr>
              <w:t>17.0 (10.0-30.0)</w:t>
            </w:r>
          </w:p>
        </w:tc>
        <w:tc>
          <w:tcPr>
            <w:tcW w:w="843" w:type="dxa"/>
          </w:tcPr>
          <w:p w14:paraId="5B1116EF" w14:textId="77777777" w:rsidR="000D44B8" w:rsidRPr="009824AD" w:rsidRDefault="000D44B8" w:rsidP="006E3A16">
            <w:pPr>
              <w:spacing w:line="276" w:lineRule="auto"/>
              <w:jc w:val="center"/>
              <w:rPr>
                <w:rFonts w:ascii="Helvetica" w:hAnsi="Helvetica" w:cs="Calibri"/>
                <w:b/>
                <w:bCs/>
                <w:color w:val="000000" w:themeColor="text1"/>
                <w:sz w:val="20"/>
                <w:szCs w:val="20"/>
                <w:lang w:val="en-US"/>
              </w:rPr>
            </w:pPr>
            <w:r w:rsidRPr="009824AD">
              <w:rPr>
                <w:rFonts w:ascii="Helvetica" w:hAnsi="Helvetica" w:cs="Calibri"/>
                <w:b/>
                <w:bCs/>
                <w:color w:val="000000" w:themeColor="text1"/>
                <w:sz w:val="20"/>
                <w:szCs w:val="20"/>
                <w:lang w:val="en-US"/>
              </w:rPr>
              <w:t>&lt;0.001</w:t>
            </w:r>
          </w:p>
        </w:tc>
      </w:tr>
      <w:tr w:rsidR="000D44B8" w:rsidRPr="009824AD" w14:paraId="2AA7A006" w14:textId="77777777" w:rsidTr="006E3A16">
        <w:tc>
          <w:tcPr>
            <w:tcW w:w="2963" w:type="dxa"/>
            <w:tcBorders>
              <w:right w:val="single" w:sz="4" w:space="0" w:color="auto"/>
            </w:tcBorders>
          </w:tcPr>
          <w:p w14:paraId="3C061B73" w14:textId="77777777" w:rsidR="000D44B8" w:rsidRPr="009824AD" w:rsidRDefault="000D44B8" w:rsidP="006E3A16">
            <w:pPr>
              <w:spacing w:line="276" w:lineRule="auto"/>
              <w:rPr>
                <w:rFonts w:ascii="Helvetica" w:hAnsi="Helvetica" w:cs="Calibri"/>
                <w:sz w:val="20"/>
                <w:szCs w:val="20"/>
                <w:lang w:val="en-US"/>
              </w:rPr>
            </w:pPr>
            <w:r w:rsidRPr="009824AD">
              <w:rPr>
                <w:rFonts w:ascii="Helvetica" w:hAnsi="Helvetica" w:cs="Calibri"/>
                <w:sz w:val="20"/>
                <w:szCs w:val="20"/>
                <w:lang w:val="en-US"/>
              </w:rPr>
              <w:t>Readmission (%)</w:t>
            </w:r>
          </w:p>
        </w:tc>
        <w:tc>
          <w:tcPr>
            <w:tcW w:w="1818" w:type="dxa"/>
          </w:tcPr>
          <w:p w14:paraId="5157D721" w14:textId="77777777" w:rsidR="000D44B8" w:rsidRPr="009824AD" w:rsidRDefault="000D44B8" w:rsidP="006E3A16">
            <w:pPr>
              <w:spacing w:line="276" w:lineRule="auto"/>
              <w:jc w:val="center"/>
              <w:rPr>
                <w:rFonts w:ascii="Helvetica" w:hAnsi="Helvetica" w:cs="Calibri"/>
                <w:color w:val="000000" w:themeColor="text1"/>
                <w:sz w:val="20"/>
                <w:szCs w:val="20"/>
                <w:lang w:val="en-US"/>
              </w:rPr>
            </w:pPr>
            <w:r w:rsidRPr="009824AD">
              <w:rPr>
                <w:rFonts w:ascii="Helvetica" w:hAnsi="Helvetica" w:cs="Calibri"/>
                <w:color w:val="000000" w:themeColor="text1"/>
                <w:sz w:val="20"/>
                <w:szCs w:val="20"/>
                <w:lang w:val="en-US"/>
              </w:rPr>
              <w:t>97 (4.1)</w:t>
            </w:r>
          </w:p>
        </w:tc>
        <w:tc>
          <w:tcPr>
            <w:tcW w:w="1818" w:type="dxa"/>
          </w:tcPr>
          <w:p w14:paraId="31E4EA5A" w14:textId="77777777" w:rsidR="000D44B8" w:rsidRPr="009824AD" w:rsidRDefault="000D44B8" w:rsidP="006E3A16">
            <w:pPr>
              <w:spacing w:line="276" w:lineRule="auto"/>
              <w:jc w:val="center"/>
              <w:rPr>
                <w:rFonts w:ascii="Helvetica" w:hAnsi="Helvetica" w:cs="Calibri"/>
                <w:color w:val="000000" w:themeColor="text1"/>
                <w:sz w:val="20"/>
                <w:szCs w:val="20"/>
                <w:lang w:val="en-US"/>
              </w:rPr>
            </w:pPr>
            <w:r w:rsidRPr="009824AD">
              <w:rPr>
                <w:rFonts w:ascii="Helvetica" w:hAnsi="Helvetica" w:cs="Calibri"/>
                <w:color w:val="000000" w:themeColor="text1"/>
                <w:sz w:val="20"/>
                <w:szCs w:val="20"/>
                <w:lang w:val="en-US"/>
              </w:rPr>
              <w:t>22 (42.3)</w:t>
            </w:r>
          </w:p>
        </w:tc>
        <w:tc>
          <w:tcPr>
            <w:tcW w:w="1497" w:type="dxa"/>
            <w:tcBorders>
              <w:right w:val="single" w:sz="4" w:space="0" w:color="auto"/>
            </w:tcBorders>
          </w:tcPr>
          <w:p w14:paraId="35FF3E9C" w14:textId="77777777" w:rsidR="000D44B8" w:rsidRPr="009824AD" w:rsidRDefault="000D44B8" w:rsidP="006E3A16">
            <w:pPr>
              <w:spacing w:line="276" w:lineRule="auto"/>
              <w:jc w:val="center"/>
              <w:rPr>
                <w:rFonts w:ascii="Helvetica" w:hAnsi="Helvetica" w:cs="Calibri"/>
                <w:b/>
                <w:bCs/>
                <w:color w:val="000000" w:themeColor="text1"/>
                <w:sz w:val="20"/>
                <w:szCs w:val="20"/>
                <w:lang w:val="en-US"/>
              </w:rPr>
            </w:pPr>
            <w:r w:rsidRPr="009824AD">
              <w:rPr>
                <w:rFonts w:ascii="Helvetica" w:hAnsi="Helvetica" w:cs="Calibri"/>
                <w:b/>
                <w:bCs/>
                <w:color w:val="000000" w:themeColor="text1"/>
                <w:sz w:val="20"/>
                <w:szCs w:val="20"/>
                <w:lang w:val="en-US"/>
              </w:rPr>
              <w:t>&lt;0.001</w:t>
            </w:r>
          </w:p>
        </w:tc>
        <w:tc>
          <w:tcPr>
            <w:tcW w:w="2208" w:type="dxa"/>
            <w:tcBorders>
              <w:left w:val="single" w:sz="4" w:space="0" w:color="auto"/>
            </w:tcBorders>
          </w:tcPr>
          <w:p w14:paraId="1C11BE31" w14:textId="77777777" w:rsidR="000D44B8" w:rsidRPr="009824AD" w:rsidRDefault="000D44B8" w:rsidP="006E3A16">
            <w:pPr>
              <w:spacing w:line="276" w:lineRule="auto"/>
              <w:jc w:val="center"/>
              <w:rPr>
                <w:rFonts w:ascii="Helvetica" w:hAnsi="Helvetica" w:cs="Calibri"/>
                <w:color w:val="000000" w:themeColor="text1"/>
                <w:sz w:val="20"/>
                <w:szCs w:val="20"/>
                <w:lang w:val="en-US"/>
              </w:rPr>
            </w:pPr>
            <w:r w:rsidRPr="009824AD">
              <w:rPr>
                <w:rFonts w:ascii="Helvetica" w:hAnsi="Helvetica" w:cs="Calibri"/>
                <w:color w:val="000000" w:themeColor="text1"/>
                <w:sz w:val="20"/>
                <w:szCs w:val="20"/>
                <w:lang w:val="en-US"/>
              </w:rPr>
              <w:t>85 (6.5)</w:t>
            </w:r>
          </w:p>
        </w:tc>
        <w:tc>
          <w:tcPr>
            <w:tcW w:w="1884" w:type="dxa"/>
          </w:tcPr>
          <w:p w14:paraId="6FBA1745" w14:textId="77777777" w:rsidR="000D44B8" w:rsidRPr="009824AD" w:rsidRDefault="000D44B8" w:rsidP="006E3A16">
            <w:pPr>
              <w:spacing w:line="276" w:lineRule="auto"/>
              <w:jc w:val="center"/>
              <w:rPr>
                <w:rFonts w:ascii="Helvetica" w:hAnsi="Helvetica" w:cs="Calibri"/>
                <w:color w:val="000000" w:themeColor="text1"/>
                <w:sz w:val="20"/>
                <w:szCs w:val="20"/>
                <w:lang w:val="en-US"/>
              </w:rPr>
            </w:pPr>
            <w:r w:rsidRPr="009824AD">
              <w:rPr>
                <w:rFonts w:ascii="Helvetica" w:hAnsi="Helvetica" w:cs="Calibri"/>
                <w:color w:val="000000" w:themeColor="text1"/>
                <w:sz w:val="20"/>
                <w:szCs w:val="20"/>
                <w:lang w:val="en-US"/>
              </w:rPr>
              <w:t>31 (36.0)</w:t>
            </w:r>
          </w:p>
        </w:tc>
        <w:tc>
          <w:tcPr>
            <w:tcW w:w="843" w:type="dxa"/>
          </w:tcPr>
          <w:p w14:paraId="511B981E" w14:textId="77777777" w:rsidR="000D44B8" w:rsidRPr="009824AD" w:rsidRDefault="000D44B8" w:rsidP="006E3A16">
            <w:pPr>
              <w:spacing w:line="276" w:lineRule="auto"/>
              <w:jc w:val="center"/>
              <w:rPr>
                <w:rFonts w:ascii="Helvetica" w:hAnsi="Helvetica" w:cs="Calibri"/>
                <w:b/>
                <w:bCs/>
                <w:color w:val="000000" w:themeColor="text1"/>
                <w:sz w:val="20"/>
                <w:szCs w:val="20"/>
                <w:lang w:val="en-US"/>
              </w:rPr>
            </w:pPr>
            <w:r w:rsidRPr="009824AD">
              <w:rPr>
                <w:rFonts w:ascii="Helvetica" w:hAnsi="Helvetica" w:cs="Calibri"/>
                <w:b/>
                <w:bCs/>
                <w:color w:val="000000" w:themeColor="text1"/>
                <w:sz w:val="20"/>
                <w:szCs w:val="20"/>
                <w:lang w:val="en-US"/>
              </w:rPr>
              <w:t>&lt;0.001</w:t>
            </w:r>
          </w:p>
        </w:tc>
      </w:tr>
      <w:tr w:rsidR="000D44B8" w:rsidRPr="009824AD" w14:paraId="0AAEA4F4" w14:textId="77777777" w:rsidTr="006E3A16">
        <w:trPr>
          <w:trHeight w:val="87"/>
        </w:trPr>
        <w:tc>
          <w:tcPr>
            <w:tcW w:w="2963" w:type="dxa"/>
            <w:tcBorders>
              <w:right w:val="single" w:sz="4" w:space="0" w:color="auto"/>
            </w:tcBorders>
          </w:tcPr>
          <w:p w14:paraId="7BB2D9F2" w14:textId="77777777" w:rsidR="000D44B8" w:rsidRPr="009824AD" w:rsidRDefault="000D44B8" w:rsidP="006E3A16">
            <w:pPr>
              <w:spacing w:line="276" w:lineRule="auto"/>
              <w:rPr>
                <w:rFonts w:ascii="Helvetica" w:hAnsi="Helvetica" w:cs="Calibri"/>
                <w:sz w:val="20"/>
                <w:szCs w:val="20"/>
                <w:lang w:val="en-US"/>
              </w:rPr>
            </w:pPr>
            <w:r w:rsidRPr="009824AD">
              <w:rPr>
                <w:rFonts w:ascii="Helvetica" w:hAnsi="Helvetica" w:cs="Calibri"/>
                <w:sz w:val="20"/>
                <w:szCs w:val="20"/>
                <w:lang w:val="en-US"/>
              </w:rPr>
              <w:t>90-day/ in-hospital mortality (%)</w:t>
            </w:r>
          </w:p>
        </w:tc>
        <w:tc>
          <w:tcPr>
            <w:tcW w:w="1818" w:type="dxa"/>
          </w:tcPr>
          <w:p w14:paraId="17601BF7" w14:textId="77777777" w:rsidR="000D44B8" w:rsidRPr="009824AD" w:rsidRDefault="000D44B8" w:rsidP="006E3A16">
            <w:pPr>
              <w:spacing w:line="276" w:lineRule="auto"/>
              <w:jc w:val="center"/>
              <w:rPr>
                <w:rFonts w:ascii="Helvetica" w:hAnsi="Helvetica" w:cs="Calibri"/>
                <w:color w:val="000000" w:themeColor="text1"/>
                <w:sz w:val="20"/>
                <w:szCs w:val="20"/>
                <w:lang w:val="en-US"/>
              </w:rPr>
            </w:pPr>
            <w:r w:rsidRPr="009824AD">
              <w:rPr>
                <w:rFonts w:ascii="Helvetica" w:hAnsi="Helvetica" w:cs="Calibri"/>
                <w:color w:val="000000" w:themeColor="text1"/>
                <w:sz w:val="20"/>
                <w:szCs w:val="20"/>
                <w:lang w:val="en-US"/>
              </w:rPr>
              <w:t>78 (2.3)</w:t>
            </w:r>
          </w:p>
        </w:tc>
        <w:tc>
          <w:tcPr>
            <w:tcW w:w="1818" w:type="dxa"/>
          </w:tcPr>
          <w:p w14:paraId="5D1DA0BB" w14:textId="77777777" w:rsidR="000D44B8" w:rsidRPr="009824AD" w:rsidRDefault="000D44B8" w:rsidP="006E3A16">
            <w:pPr>
              <w:spacing w:line="276" w:lineRule="auto"/>
              <w:jc w:val="center"/>
              <w:rPr>
                <w:rFonts w:ascii="Helvetica" w:hAnsi="Helvetica" w:cs="Calibri"/>
                <w:color w:val="000000" w:themeColor="text1"/>
                <w:sz w:val="20"/>
                <w:szCs w:val="20"/>
                <w:lang w:val="en-US"/>
              </w:rPr>
            </w:pPr>
            <w:r w:rsidRPr="009824AD">
              <w:rPr>
                <w:rFonts w:ascii="Helvetica" w:hAnsi="Helvetica" w:cs="Calibri"/>
                <w:color w:val="000000" w:themeColor="text1"/>
                <w:sz w:val="20"/>
                <w:szCs w:val="20"/>
                <w:lang w:val="en-US"/>
              </w:rPr>
              <w:t>0 (0)</w:t>
            </w:r>
          </w:p>
        </w:tc>
        <w:tc>
          <w:tcPr>
            <w:tcW w:w="1497" w:type="dxa"/>
            <w:tcBorders>
              <w:right w:val="single" w:sz="4" w:space="0" w:color="auto"/>
            </w:tcBorders>
          </w:tcPr>
          <w:p w14:paraId="54AC0325" w14:textId="77777777" w:rsidR="000D44B8" w:rsidRPr="009824AD" w:rsidRDefault="000D44B8" w:rsidP="006E3A16">
            <w:pPr>
              <w:spacing w:line="276" w:lineRule="auto"/>
              <w:jc w:val="center"/>
              <w:rPr>
                <w:rFonts w:ascii="Helvetica" w:hAnsi="Helvetica" w:cs="Calibri"/>
                <w:color w:val="000000" w:themeColor="text1"/>
                <w:sz w:val="20"/>
                <w:szCs w:val="20"/>
                <w:lang w:val="en-US"/>
              </w:rPr>
            </w:pPr>
            <w:r w:rsidRPr="009824AD">
              <w:rPr>
                <w:rFonts w:ascii="Helvetica" w:hAnsi="Helvetica" w:cs="Calibri"/>
                <w:color w:val="000000" w:themeColor="text1"/>
                <w:sz w:val="20"/>
                <w:szCs w:val="20"/>
                <w:lang w:val="en-US"/>
              </w:rPr>
              <w:t>0.149</w:t>
            </w:r>
          </w:p>
        </w:tc>
        <w:tc>
          <w:tcPr>
            <w:tcW w:w="2208" w:type="dxa"/>
            <w:tcBorders>
              <w:left w:val="single" w:sz="4" w:space="0" w:color="auto"/>
            </w:tcBorders>
          </w:tcPr>
          <w:p w14:paraId="66017AC8" w14:textId="77777777" w:rsidR="000D44B8" w:rsidRPr="009824AD" w:rsidRDefault="000D44B8" w:rsidP="006E3A16">
            <w:pPr>
              <w:spacing w:line="276" w:lineRule="auto"/>
              <w:jc w:val="center"/>
              <w:rPr>
                <w:rFonts w:ascii="Helvetica" w:hAnsi="Helvetica" w:cs="Calibri"/>
                <w:color w:val="000000" w:themeColor="text1"/>
                <w:sz w:val="20"/>
                <w:szCs w:val="20"/>
                <w:lang w:val="en-US"/>
              </w:rPr>
            </w:pPr>
            <w:r w:rsidRPr="009824AD">
              <w:rPr>
                <w:rFonts w:ascii="Helvetica" w:hAnsi="Helvetica" w:cs="Calibri"/>
                <w:color w:val="000000" w:themeColor="text1"/>
                <w:sz w:val="20"/>
                <w:szCs w:val="20"/>
                <w:lang w:val="en-US"/>
              </w:rPr>
              <w:t>47 (1.8)</w:t>
            </w:r>
          </w:p>
        </w:tc>
        <w:tc>
          <w:tcPr>
            <w:tcW w:w="1884" w:type="dxa"/>
          </w:tcPr>
          <w:p w14:paraId="61D02A6A" w14:textId="77777777" w:rsidR="000D44B8" w:rsidRPr="009824AD" w:rsidRDefault="000D44B8" w:rsidP="006E3A16">
            <w:pPr>
              <w:spacing w:line="276" w:lineRule="auto"/>
              <w:jc w:val="center"/>
              <w:rPr>
                <w:rFonts w:ascii="Helvetica" w:hAnsi="Helvetica" w:cs="Calibri"/>
                <w:color w:val="000000" w:themeColor="text1"/>
                <w:sz w:val="20"/>
                <w:szCs w:val="20"/>
                <w:lang w:val="en-US"/>
              </w:rPr>
            </w:pPr>
            <w:r w:rsidRPr="009824AD">
              <w:rPr>
                <w:rFonts w:ascii="Helvetica" w:hAnsi="Helvetica" w:cs="Calibri"/>
                <w:color w:val="000000" w:themeColor="text1"/>
                <w:sz w:val="20"/>
                <w:szCs w:val="20"/>
                <w:lang w:val="en-US"/>
              </w:rPr>
              <w:t>10 (5.4)</w:t>
            </w:r>
          </w:p>
        </w:tc>
        <w:tc>
          <w:tcPr>
            <w:tcW w:w="843" w:type="dxa"/>
          </w:tcPr>
          <w:p w14:paraId="09F80398" w14:textId="77777777" w:rsidR="000D44B8" w:rsidRPr="009824AD" w:rsidRDefault="000D44B8" w:rsidP="006E3A16">
            <w:pPr>
              <w:spacing w:line="276" w:lineRule="auto"/>
              <w:jc w:val="center"/>
              <w:rPr>
                <w:rFonts w:ascii="Helvetica" w:hAnsi="Helvetica" w:cs="Calibri"/>
                <w:b/>
                <w:bCs/>
                <w:color w:val="000000" w:themeColor="text1"/>
                <w:sz w:val="20"/>
                <w:szCs w:val="20"/>
                <w:lang w:val="en-US"/>
              </w:rPr>
            </w:pPr>
            <w:r w:rsidRPr="009824AD">
              <w:rPr>
                <w:rFonts w:ascii="Helvetica" w:hAnsi="Helvetica" w:cs="Calibri"/>
                <w:b/>
                <w:bCs/>
                <w:color w:val="000000" w:themeColor="text1"/>
                <w:sz w:val="20"/>
                <w:szCs w:val="20"/>
                <w:lang w:val="en-US"/>
              </w:rPr>
              <w:t>0.001</w:t>
            </w:r>
          </w:p>
        </w:tc>
      </w:tr>
    </w:tbl>
    <w:p w14:paraId="68FAEA19" w14:textId="7AAF9AA7" w:rsidR="000D44B8" w:rsidRPr="009824AD" w:rsidRDefault="000D44B8" w:rsidP="000D44B8">
      <w:pPr>
        <w:rPr>
          <w:rFonts w:ascii="Helvetica" w:hAnsi="Helvetica" w:cs="Calibri"/>
          <w:color w:val="000000" w:themeColor="text1"/>
          <w:sz w:val="20"/>
          <w:szCs w:val="20"/>
          <w:lang w:val="en-US"/>
        </w:rPr>
      </w:pPr>
      <w:r w:rsidRPr="009824AD">
        <w:rPr>
          <w:rFonts w:ascii="Helvetica" w:hAnsi="Helvetica" w:cs="Calibri"/>
          <w:color w:val="000000" w:themeColor="text1"/>
          <w:sz w:val="20"/>
          <w:szCs w:val="20"/>
          <w:lang w:val="en-US"/>
        </w:rPr>
        <w:t xml:space="preserve">Values in parentheses are percentages unless mentioned otherwise. </w:t>
      </w:r>
      <w:r w:rsidRPr="009824AD">
        <w:rPr>
          <w:rFonts w:ascii="Helvetica" w:eastAsia="Times New Roman" w:hAnsi="Helvetica" w:cs="Calibri"/>
          <w:sz w:val="20"/>
          <w:szCs w:val="20"/>
          <w:lang w:val="en-US" w:eastAsia="nl-NL"/>
        </w:rPr>
        <w:t xml:space="preserve">CR-POBL = clinically relevant postoperative bile leakage, </w:t>
      </w:r>
      <w:r w:rsidR="00493F8D" w:rsidRPr="009824AD">
        <w:rPr>
          <w:rFonts w:ascii="Helvetica" w:hAnsi="Helvetica" w:cs="Calibri"/>
          <w:color w:val="000000" w:themeColor="text1"/>
          <w:sz w:val="20"/>
          <w:szCs w:val="20"/>
          <w:lang w:val="en-US"/>
        </w:rPr>
        <w:t>IQR</w:t>
      </w:r>
      <w:r w:rsidRPr="009824AD">
        <w:rPr>
          <w:rFonts w:ascii="Helvetica" w:hAnsi="Helvetica" w:cs="Calibri"/>
          <w:color w:val="000000" w:themeColor="text1"/>
          <w:sz w:val="20"/>
          <w:szCs w:val="20"/>
          <w:lang w:val="en-US"/>
        </w:rPr>
        <w:t xml:space="preserve"> = inter quartile range</w:t>
      </w:r>
    </w:p>
    <w:p w14:paraId="7CF3A987" w14:textId="77777777" w:rsidR="000D44B8" w:rsidRPr="009824AD" w:rsidRDefault="000D44B8" w:rsidP="000D44B8">
      <w:pPr>
        <w:rPr>
          <w:rFonts w:ascii="Helvetica" w:hAnsi="Helvetica" w:cs="Calibri"/>
          <w:color w:val="000000" w:themeColor="text1"/>
          <w:sz w:val="20"/>
          <w:szCs w:val="20"/>
          <w:lang w:val="en-US"/>
        </w:rPr>
      </w:pPr>
    </w:p>
    <w:p w14:paraId="2ABBA830" w14:textId="77777777" w:rsidR="000D44B8" w:rsidRPr="009824AD" w:rsidRDefault="000D44B8" w:rsidP="000D44B8">
      <w:pPr>
        <w:rPr>
          <w:rFonts w:ascii="Helvetica" w:hAnsi="Helvetica"/>
          <w:lang w:val="en-US"/>
        </w:rPr>
      </w:pPr>
    </w:p>
    <w:p w14:paraId="7C3014EC" w14:textId="77777777" w:rsidR="000D44B8" w:rsidRPr="009824AD" w:rsidRDefault="000D44B8" w:rsidP="000D44B8">
      <w:pPr>
        <w:rPr>
          <w:rFonts w:ascii="Helvetica" w:hAnsi="Helvetica"/>
          <w:lang w:val="en-US"/>
        </w:rPr>
      </w:pPr>
    </w:p>
    <w:p w14:paraId="5B9F999E" w14:textId="77777777" w:rsidR="000D44B8" w:rsidRPr="009824AD" w:rsidRDefault="000D44B8" w:rsidP="000D44B8">
      <w:pPr>
        <w:rPr>
          <w:rFonts w:ascii="Helvetica" w:hAnsi="Helvetica"/>
          <w:lang w:val="en-US"/>
        </w:rPr>
      </w:pPr>
    </w:p>
    <w:p w14:paraId="14D53438" w14:textId="77777777" w:rsidR="000D44B8" w:rsidRPr="009824AD" w:rsidRDefault="000D44B8" w:rsidP="000D44B8">
      <w:pPr>
        <w:rPr>
          <w:rFonts w:ascii="Helvetica" w:hAnsi="Helvetica"/>
          <w:lang w:val="en-US"/>
        </w:rPr>
      </w:pPr>
    </w:p>
    <w:p w14:paraId="5240F872" w14:textId="77777777" w:rsidR="000D44B8" w:rsidRPr="009824AD" w:rsidRDefault="000D44B8" w:rsidP="000D44B8">
      <w:pPr>
        <w:rPr>
          <w:rFonts w:ascii="Helvetica" w:hAnsi="Helvetica"/>
          <w:lang w:val="en-US"/>
        </w:rPr>
      </w:pPr>
    </w:p>
    <w:p w14:paraId="21881EC8" w14:textId="77777777" w:rsidR="000D44B8" w:rsidRPr="009824AD" w:rsidRDefault="000D44B8" w:rsidP="000D44B8">
      <w:pPr>
        <w:rPr>
          <w:rFonts w:ascii="Helvetica" w:hAnsi="Helvetica"/>
          <w:lang w:val="en-US"/>
        </w:rPr>
      </w:pPr>
    </w:p>
    <w:p w14:paraId="7E11B1AC" w14:textId="77777777" w:rsidR="000D44B8" w:rsidRPr="009824AD" w:rsidRDefault="000D44B8" w:rsidP="000D44B8">
      <w:pPr>
        <w:rPr>
          <w:rFonts w:ascii="Helvetica" w:hAnsi="Helvetica"/>
          <w:lang w:val="en-US"/>
        </w:rPr>
      </w:pPr>
    </w:p>
    <w:p w14:paraId="07DA1D95" w14:textId="77777777" w:rsidR="000D44B8" w:rsidRPr="009824AD" w:rsidRDefault="000D44B8" w:rsidP="000D44B8">
      <w:pPr>
        <w:rPr>
          <w:rFonts w:ascii="Helvetica" w:hAnsi="Helvetica"/>
          <w:lang w:val="en-US"/>
        </w:rPr>
      </w:pPr>
    </w:p>
    <w:p w14:paraId="55AD879D" w14:textId="77777777" w:rsidR="000D44B8" w:rsidRPr="009824AD" w:rsidRDefault="000D44B8" w:rsidP="000D44B8">
      <w:pPr>
        <w:rPr>
          <w:rFonts w:ascii="Helvetica" w:hAnsi="Helvetica"/>
          <w:lang w:val="en-US"/>
        </w:rPr>
      </w:pPr>
    </w:p>
    <w:p w14:paraId="7D386B7F" w14:textId="77777777" w:rsidR="000D44B8" w:rsidRPr="009824AD" w:rsidRDefault="000D44B8" w:rsidP="000D44B8">
      <w:pPr>
        <w:rPr>
          <w:rFonts w:ascii="Helvetica" w:hAnsi="Helvetica"/>
          <w:lang w:val="en-US"/>
        </w:rPr>
      </w:pPr>
    </w:p>
    <w:p w14:paraId="0018E55C" w14:textId="77777777" w:rsidR="000D44B8" w:rsidRPr="009824AD" w:rsidRDefault="000D44B8" w:rsidP="000D44B8">
      <w:pPr>
        <w:rPr>
          <w:rFonts w:ascii="Helvetica" w:hAnsi="Helvetica"/>
          <w:lang w:val="en-US"/>
        </w:rPr>
        <w:sectPr w:rsidR="000D44B8" w:rsidRPr="009824AD" w:rsidSect="000D44B8">
          <w:pgSz w:w="16840" w:h="11900" w:orient="landscape"/>
          <w:pgMar w:top="1417" w:right="1417" w:bottom="1417" w:left="1417" w:header="708" w:footer="708" w:gutter="0"/>
          <w:cols w:space="708"/>
          <w:docGrid w:linePitch="360"/>
        </w:sectPr>
      </w:pPr>
    </w:p>
    <w:p w14:paraId="743A6F81" w14:textId="137AD867" w:rsidR="00605E30" w:rsidRPr="009824AD" w:rsidRDefault="000E118A" w:rsidP="00EC12A5">
      <w:pPr>
        <w:pStyle w:val="Kop3"/>
        <w:rPr>
          <w:rFonts w:ascii="Helvetica" w:hAnsi="Helvetica"/>
          <w:lang w:val="en-US"/>
        </w:rPr>
      </w:pPr>
      <w:r w:rsidRPr="009824AD">
        <w:rPr>
          <w:rFonts w:ascii="Helvetica" w:hAnsi="Helvetica"/>
          <w:lang w:val="en-US"/>
        </w:rPr>
        <w:lastRenderedPageBreak/>
        <w:t>FIGURES</w:t>
      </w:r>
      <w:r w:rsidR="00850E81" w:rsidRPr="009824AD">
        <w:rPr>
          <w:rFonts w:ascii="Helvetica" w:hAnsi="Helvetica"/>
          <w:lang w:val="en-US"/>
        </w:rPr>
        <w:t xml:space="preserve"> </w:t>
      </w:r>
      <w:bookmarkEnd w:id="5"/>
      <w:bookmarkEnd w:id="6"/>
      <w:r w:rsidR="003E7B28" w:rsidRPr="009824AD">
        <w:rPr>
          <w:rFonts w:ascii="Helvetica" w:hAnsi="Helvetica"/>
          <w:lang w:val="en-US"/>
        </w:rPr>
        <w:t>LEGENDS</w:t>
      </w:r>
    </w:p>
    <w:p w14:paraId="0CAF2ADC" w14:textId="0B4D015A" w:rsidR="00605E30" w:rsidRPr="009824AD" w:rsidRDefault="00605E30" w:rsidP="00605E30">
      <w:pPr>
        <w:widowControl w:val="0"/>
        <w:autoSpaceDE w:val="0"/>
        <w:autoSpaceDN w:val="0"/>
        <w:adjustRightInd w:val="0"/>
        <w:spacing w:line="360" w:lineRule="auto"/>
        <w:rPr>
          <w:rFonts w:ascii="Helvetica" w:hAnsi="Helvetica" w:cs="Calibri"/>
          <w:b/>
          <w:bCs/>
          <w:sz w:val="22"/>
          <w:szCs w:val="22"/>
          <w:lang w:val="en-US"/>
        </w:rPr>
      </w:pPr>
    </w:p>
    <w:p w14:paraId="68701E6D" w14:textId="0F525A06" w:rsidR="00605E30" w:rsidRPr="009824AD" w:rsidRDefault="00605E30" w:rsidP="00605E30">
      <w:pPr>
        <w:widowControl w:val="0"/>
        <w:autoSpaceDE w:val="0"/>
        <w:autoSpaceDN w:val="0"/>
        <w:adjustRightInd w:val="0"/>
        <w:spacing w:line="360" w:lineRule="auto"/>
        <w:rPr>
          <w:rFonts w:ascii="Helvetica" w:hAnsi="Helvetica" w:cs="Calibri"/>
          <w:sz w:val="22"/>
          <w:szCs w:val="22"/>
          <w:lang w:val="en-US"/>
        </w:rPr>
      </w:pPr>
      <w:r w:rsidRPr="009824AD">
        <w:rPr>
          <w:rFonts w:ascii="Helvetica" w:hAnsi="Helvetica" w:cs="Calibri"/>
          <w:b/>
          <w:bCs/>
          <w:sz w:val="22"/>
          <w:szCs w:val="22"/>
          <w:lang w:val="en-US"/>
        </w:rPr>
        <w:t>Figure 1</w:t>
      </w:r>
      <w:r w:rsidR="00FC02FF" w:rsidRPr="009824AD">
        <w:rPr>
          <w:rFonts w:ascii="Helvetica" w:hAnsi="Helvetica" w:cs="Calibri"/>
          <w:sz w:val="22"/>
          <w:szCs w:val="22"/>
          <w:lang w:val="en-US"/>
        </w:rPr>
        <w:t xml:space="preserve"> Flow chart of patient selection</w:t>
      </w:r>
    </w:p>
    <w:p w14:paraId="5705E0EF" w14:textId="17931C80" w:rsidR="00CB18E3" w:rsidRPr="009824AD" w:rsidRDefault="00CB18E3" w:rsidP="00605E30">
      <w:pPr>
        <w:widowControl w:val="0"/>
        <w:autoSpaceDE w:val="0"/>
        <w:autoSpaceDN w:val="0"/>
        <w:adjustRightInd w:val="0"/>
        <w:spacing w:line="360" w:lineRule="auto"/>
        <w:rPr>
          <w:rFonts w:ascii="Helvetica" w:hAnsi="Helvetica" w:cs="Calibri"/>
          <w:sz w:val="22"/>
          <w:szCs w:val="22"/>
          <w:lang w:val="en-US"/>
        </w:rPr>
      </w:pPr>
    </w:p>
    <w:p w14:paraId="6862586A" w14:textId="019DFAAF" w:rsidR="00CB18E3" w:rsidRPr="009824AD" w:rsidRDefault="00CB7EDE" w:rsidP="00605E30">
      <w:pPr>
        <w:widowControl w:val="0"/>
        <w:autoSpaceDE w:val="0"/>
        <w:autoSpaceDN w:val="0"/>
        <w:adjustRightInd w:val="0"/>
        <w:spacing w:line="360" w:lineRule="auto"/>
        <w:rPr>
          <w:rFonts w:ascii="Helvetica" w:hAnsi="Helvetica" w:cs="Calibri"/>
          <w:sz w:val="22"/>
          <w:szCs w:val="22"/>
          <w:lang w:val="en-US"/>
        </w:rPr>
      </w:pPr>
      <w:r w:rsidRPr="009824AD">
        <w:rPr>
          <w:rFonts w:ascii="Helvetica" w:hAnsi="Helvetica" w:cs="Calibri"/>
          <w:b/>
          <w:bCs/>
          <w:sz w:val="22"/>
          <w:szCs w:val="22"/>
          <w:lang w:val="en-US"/>
        </w:rPr>
        <w:t>Figure 2.</w:t>
      </w:r>
      <w:r w:rsidRPr="009824AD">
        <w:rPr>
          <w:rFonts w:ascii="Helvetica" w:hAnsi="Helvetica" w:cs="Calibri"/>
          <w:sz w:val="22"/>
          <w:szCs w:val="22"/>
          <w:lang w:val="en-US"/>
        </w:rPr>
        <w:t xml:space="preserve"> Incidence of clinically relevant postoperative bile leakage per era, 2000–2019</w:t>
      </w:r>
    </w:p>
    <w:p w14:paraId="7561754C" w14:textId="36DDD381" w:rsidR="00CB18E3" w:rsidRPr="009824AD" w:rsidRDefault="00CB18E3" w:rsidP="00605E30">
      <w:pPr>
        <w:widowControl w:val="0"/>
        <w:autoSpaceDE w:val="0"/>
        <w:autoSpaceDN w:val="0"/>
        <w:adjustRightInd w:val="0"/>
        <w:spacing w:line="360" w:lineRule="auto"/>
        <w:rPr>
          <w:rFonts w:ascii="Helvetica" w:hAnsi="Helvetica" w:cs="Calibri"/>
          <w:sz w:val="22"/>
          <w:szCs w:val="22"/>
          <w:lang w:val="en-US"/>
        </w:rPr>
      </w:pPr>
    </w:p>
    <w:p w14:paraId="7707CF1B" w14:textId="01A13773" w:rsidR="00CB18E3" w:rsidRPr="009824AD" w:rsidRDefault="00CB18E3" w:rsidP="00605E30">
      <w:pPr>
        <w:widowControl w:val="0"/>
        <w:autoSpaceDE w:val="0"/>
        <w:autoSpaceDN w:val="0"/>
        <w:adjustRightInd w:val="0"/>
        <w:spacing w:line="360" w:lineRule="auto"/>
        <w:rPr>
          <w:rFonts w:ascii="Helvetica" w:hAnsi="Helvetica" w:cs="Calibri"/>
          <w:sz w:val="22"/>
          <w:szCs w:val="22"/>
          <w:lang w:val="en-US"/>
        </w:rPr>
      </w:pPr>
    </w:p>
    <w:p w14:paraId="20D8D4FA" w14:textId="396F3604" w:rsidR="00CB18E3" w:rsidRPr="009824AD" w:rsidRDefault="00CB18E3" w:rsidP="00605E30">
      <w:pPr>
        <w:widowControl w:val="0"/>
        <w:autoSpaceDE w:val="0"/>
        <w:autoSpaceDN w:val="0"/>
        <w:adjustRightInd w:val="0"/>
        <w:spacing w:line="360" w:lineRule="auto"/>
        <w:rPr>
          <w:rFonts w:ascii="Helvetica" w:hAnsi="Helvetica" w:cs="Calibri"/>
          <w:sz w:val="22"/>
          <w:szCs w:val="22"/>
          <w:lang w:val="en-US"/>
        </w:rPr>
      </w:pPr>
    </w:p>
    <w:p w14:paraId="7A780975" w14:textId="6A0FD978" w:rsidR="00CB18E3" w:rsidRPr="009824AD" w:rsidRDefault="00CB18E3" w:rsidP="00605E30">
      <w:pPr>
        <w:widowControl w:val="0"/>
        <w:autoSpaceDE w:val="0"/>
        <w:autoSpaceDN w:val="0"/>
        <w:adjustRightInd w:val="0"/>
        <w:spacing w:line="360" w:lineRule="auto"/>
        <w:rPr>
          <w:rFonts w:ascii="Helvetica" w:hAnsi="Helvetica" w:cs="Calibri"/>
          <w:sz w:val="22"/>
          <w:szCs w:val="22"/>
          <w:lang w:val="en-US"/>
        </w:rPr>
      </w:pPr>
    </w:p>
    <w:p w14:paraId="7D16B61E" w14:textId="6B55A1D2" w:rsidR="00CB18E3" w:rsidRPr="009824AD" w:rsidRDefault="00CB18E3" w:rsidP="00605E30">
      <w:pPr>
        <w:widowControl w:val="0"/>
        <w:autoSpaceDE w:val="0"/>
        <w:autoSpaceDN w:val="0"/>
        <w:adjustRightInd w:val="0"/>
        <w:spacing w:line="360" w:lineRule="auto"/>
        <w:rPr>
          <w:rFonts w:ascii="Helvetica" w:hAnsi="Helvetica" w:cs="Calibri"/>
          <w:sz w:val="22"/>
          <w:szCs w:val="22"/>
          <w:lang w:val="en-US"/>
        </w:rPr>
      </w:pPr>
    </w:p>
    <w:p w14:paraId="4F2DD81E" w14:textId="2CC8E738" w:rsidR="00CB18E3" w:rsidRPr="009824AD" w:rsidRDefault="00CB18E3" w:rsidP="00605E30">
      <w:pPr>
        <w:widowControl w:val="0"/>
        <w:autoSpaceDE w:val="0"/>
        <w:autoSpaceDN w:val="0"/>
        <w:adjustRightInd w:val="0"/>
        <w:spacing w:line="360" w:lineRule="auto"/>
        <w:rPr>
          <w:rFonts w:ascii="Helvetica" w:hAnsi="Helvetica" w:cs="Calibri"/>
          <w:sz w:val="22"/>
          <w:szCs w:val="22"/>
          <w:lang w:val="en-US"/>
        </w:rPr>
      </w:pPr>
    </w:p>
    <w:p w14:paraId="325B0D89" w14:textId="6A231177" w:rsidR="00CB18E3" w:rsidRPr="009824AD" w:rsidRDefault="00CB18E3" w:rsidP="00605E30">
      <w:pPr>
        <w:widowControl w:val="0"/>
        <w:autoSpaceDE w:val="0"/>
        <w:autoSpaceDN w:val="0"/>
        <w:adjustRightInd w:val="0"/>
        <w:spacing w:line="360" w:lineRule="auto"/>
        <w:rPr>
          <w:rFonts w:ascii="Helvetica" w:hAnsi="Helvetica" w:cs="Calibri"/>
          <w:sz w:val="22"/>
          <w:szCs w:val="22"/>
          <w:lang w:val="en-US"/>
        </w:rPr>
      </w:pPr>
    </w:p>
    <w:p w14:paraId="5E61F41F" w14:textId="6EDF26B2" w:rsidR="00CB18E3" w:rsidRPr="009824AD" w:rsidRDefault="00CB18E3" w:rsidP="00605E30">
      <w:pPr>
        <w:widowControl w:val="0"/>
        <w:autoSpaceDE w:val="0"/>
        <w:autoSpaceDN w:val="0"/>
        <w:adjustRightInd w:val="0"/>
        <w:spacing w:line="360" w:lineRule="auto"/>
        <w:rPr>
          <w:rFonts w:ascii="Helvetica" w:hAnsi="Helvetica" w:cs="Calibri"/>
          <w:sz w:val="22"/>
          <w:szCs w:val="22"/>
          <w:lang w:val="en-US"/>
        </w:rPr>
      </w:pPr>
    </w:p>
    <w:p w14:paraId="01DC67EA" w14:textId="7F8B2930" w:rsidR="00CB18E3" w:rsidRPr="009824AD" w:rsidRDefault="00CB18E3" w:rsidP="00605E30">
      <w:pPr>
        <w:widowControl w:val="0"/>
        <w:autoSpaceDE w:val="0"/>
        <w:autoSpaceDN w:val="0"/>
        <w:adjustRightInd w:val="0"/>
        <w:spacing w:line="360" w:lineRule="auto"/>
        <w:rPr>
          <w:rFonts w:ascii="Helvetica" w:hAnsi="Helvetica" w:cs="Calibri"/>
          <w:sz w:val="22"/>
          <w:szCs w:val="22"/>
          <w:lang w:val="en-US"/>
        </w:rPr>
      </w:pPr>
    </w:p>
    <w:p w14:paraId="18B80496" w14:textId="6694B97E" w:rsidR="00CB18E3" w:rsidRPr="009824AD" w:rsidRDefault="00CB18E3" w:rsidP="00605E30">
      <w:pPr>
        <w:widowControl w:val="0"/>
        <w:autoSpaceDE w:val="0"/>
        <w:autoSpaceDN w:val="0"/>
        <w:adjustRightInd w:val="0"/>
        <w:spacing w:line="360" w:lineRule="auto"/>
        <w:rPr>
          <w:rFonts w:ascii="Helvetica" w:hAnsi="Helvetica" w:cs="Calibri"/>
          <w:sz w:val="22"/>
          <w:szCs w:val="22"/>
          <w:lang w:val="en-US"/>
        </w:rPr>
      </w:pPr>
    </w:p>
    <w:p w14:paraId="729D1028" w14:textId="0E81B244" w:rsidR="00CB18E3" w:rsidRPr="009824AD" w:rsidRDefault="00CB18E3" w:rsidP="00605E30">
      <w:pPr>
        <w:widowControl w:val="0"/>
        <w:autoSpaceDE w:val="0"/>
        <w:autoSpaceDN w:val="0"/>
        <w:adjustRightInd w:val="0"/>
        <w:spacing w:line="360" w:lineRule="auto"/>
        <w:rPr>
          <w:rFonts w:ascii="Helvetica" w:hAnsi="Helvetica" w:cs="Calibri"/>
          <w:sz w:val="22"/>
          <w:szCs w:val="22"/>
          <w:lang w:val="en-US"/>
        </w:rPr>
      </w:pPr>
    </w:p>
    <w:p w14:paraId="20A08531" w14:textId="49225BE7" w:rsidR="00CB18E3" w:rsidRPr="009824AD" w:rsidRDefault="00CB18E3" w:rsidP="00605E30">
      <w:pPr>
        <w:widowControl w:val="0"/>
        <w:autoSpaceDE w:val="0"/>
        <w:autoSpaceDN w:val="0"/>
        <w:adjustRightInd w:val="0"/>
        <w:spacing w:line="360" w:lineRule="auto"/>
        <w:rPr>
          <w:rFonts w:ascii="Helvetica" w:hAnsi="Helvetica" w:cs="Calibri"/>
          <w:sz w:val="22"/>
          <w:szCs w:val="22"/>
          <w:lang w:val="en-US"/>
        </w:rPr>
      </w:pPr>
    </w:p>
    <w:p w14:paraId="462C821D" w14:textId="34885A2B" w:rsidR="00CB18E3" w:rsidRPr="009824AD" w:rsidRDefault="00CB18E3" w:rsidP="00605E30">
      <w:pPr>
        <w:widowControl w:val="0"/>
        <w:autoSpaceDE w:val="0"/>
        <w:autoSpaceDN w:val="0"/>
        <w:adjustRightInd w:val="0"/>
        <w:spacing w:line="360" w:lineRule="auto"/>
        <w:rPr>
          <w:rFonts w:ascii="Helvetica" w:hAnsi="Helvetica" w:cs="Calibri"/>
          <w:sz w:val="22"/>
          <w:szCs w:val="22"/>
          <w:lang w:val="en-US"/>
        </w:rPr>
      </w:pPr>
    </w:p>
    <w:p w14:paraId="6DF7EFF8" w14:textId="5BBE00D1" w:rsidR="00CB18E3" w:rsidRPr="009824AD" w:rsidRDefault="00CB18E3" w:rsidP="00605E30">
      <w:pPr>
        <w:widowControl w:val="0"/>
        <w:autoSpaceDE w:val="0"/>
        <w:autoSpaceDN w:val="0"/>
        <w:adjustRightInd w:val="0"/>
        <w:spacing w:line="360" w:lineRule="auto"/>
        <w:rPr>
          <w:rFonts w:ascii="Helvetica" w:hAnsi="Helvetica" w:cs="Calibri"/>
          <w:sz w:val="22"/>
          <w:szCs w:val="22"/>
          <w:lang w:val="en-US"/>
        </w:rPr>
      </w:pPr>
    </w:p>
    <w:p w14:paraId="2332385B" w14:textId="58A8BA26" w:rsidR="00CB18E3" w:rsidRPr="009824AD" w:rsidRDefault="00CB18E3" w:rsidP="00605E30">
      <w:pPr>
        <w:widowControl w:val="0"/>
        <w:autoSpaceDE w:val="0"/>
        <w:autoSpaceDN w:val="0"/>
        <w:adjustRightInd w:val="0"/>
        <w:spacing w:line="360" w:lineRule="auto"/>
        <w:rPr>
          <w:rFonts w:ascii="Helvetica" w:hAnsi="Helvetica" w:cs="Calibri"/>
          <w:sz w:val="22"/>
          <w:szCs w:val="22"/>
          <w:lang w:val="en-US"/>
        </w:rPr>
      </w:pPr>
    </w:p>
    <w:p w14:paraId="5BFA1B65" w14:textId="24F9D87F" w:rsidR="00CB18E3" w:rsidRPr="009824AD" w:rsidRDefault="00CB18E3" w:rsidP="00605E30">
      <w:pPr>
        <w:widowControl w:val="0"/>
        <w:autoSpaceDE w:val="0"/>
        <w:autoSpaceDN w:val="0"/>
        <w:adjustRightInd w:val="0"/>
        <w:spacing w:line="360" w:lineRule="auto"/>
        <w:rPr>
          <w:rFonts w:ascii="Helvetica" w:hAnsi="Helvetica" w:cs="Calibri"/>
          <w:sz w:val="22"/>
          <w:szCs w:val="22"/>
          <w:lang w:val="en-US"/>
        </w:rPr>
      </w:pPr>
    </w:p>
    <w:p w14:paraId="1FF33BB5" w14:textId="514651BD" w:rsidR="00CB18E3" w:rsidRPr="009824AD" w:rsidRDefault="00CB18E3" w:rsidP="00605E30">
      <w:pPr>
        <w:widowControl w:val="0"/>
        <w:autoSpaceDE w:val="0"/>
        <w:autoSpaceDN w:val="0"/>
        <w:adjustRightInd w:val="0"/>
        <w:spacing w:line="360" w:lineRule="auto"/>
        <w:rPr>
          <w:rFonts w:ascii="Helvetica" w:hAnsi="Helvetica" w:cs="Calibri"/>
          <w:sz w:val="22"/>
          <w:szCs w:val="22"/>
          <w:lang w:val="en-US"/>
        </w:rPr>
      </w:pPr>
    </w:p>
    <w:p w14:paraId="11BAA857" w14:textId="40D8BB91" w:rsidR="00CB18E3" w:rsidRPr="009824AD" w:rsidRDefault="00CB18E3" w:rsidP="00605E30">
      <w:pPr>
        <w:widowControl w:val="0"/>
        <w:autoSpaceDE w:val="0"/>
        <w:autoSpaceDN w:val="0"/>
        <w:adjustRightInd w:val="0"/>
        <w:spacing w:line="360" w:lineRule="auto"/>
        <w:rPr>
          <w:rFonts w:ascii="Helvetica" w:hAnsi="Helvetica" w:cs="Calibri"/>
          <w:sz w:val="22"/>
          <w:szCs w:val="22"/>
          <w:lang w:val="en-US"/>
        </w:rPr>
      </w:pPr>
    </w:p>
    <w:p w14:paraId="55A078B9" w14:textId="08444340" w:rsidR="00CB18E3" w:rsidRPr="009824AD" w:rsidRDefault="00CB18E3" w:rsidP="00605E30">
      <w:pPr>
        <w:widowControl w:val="0"/>
        <w:autoSpaceDE w:val="0"/>
        <w:autoSpaceDN w:val="0"/>
        <w:adjustRightInd w:val="0"/>
        <w:spacing w:line="360" w:lineRule="auto"/>
        <w:rPr>
          <w:rFonts w:ascii="Helvetica" w:hAnsi="Helvetica" w:cs="Calibri"/>
          <w:sz w:val="22"/>
          <w:szCs w:val="22"/>
          <w:lang w:val="en-US"/>
        </w:rPr>
      </w:pPr>
    </w:p>
    <w:p w14:paraId="3DD4B342" w14:textId="23EDCFFB" w:rsidR="00CB18E3" w:rsidRPr="009824AD" w:rsidRDefault="00CB18E3" w:rsidP="00605E30">
      <w:pPr>
        <w:widowControl w:val="0"/>
        <w:autoSpaceDE w:val="0"/>
        <w:autoSpaceDN w:val="0"/>
        <w:adjustRightInd w:val="0"/>
        <w:spacing w:line="360" w:lineRule="auto"/>
        <w:rPr>
          <w:rFonts w:ascii="Helvetica" w:hAnsi="Helvetica" w:cs="Calibri"/>
          <w:sz w:val="22"/>
          <w:szCs w:val="22"/>
          <w:lang w:val="en-US"/>
        </w:rPr>
      </w:pPr>
    </w:p>
    <w:p w14:paraId="7550A453" w14:textId="72E2227E" w:rsidR="00CB18E3" w:rsidRPr="009824AD" w:rsidRDefault="00CB18E3" w:rsidP="00605E30">
      <w:pPr>
        <w:widowControl w:val="0"/>
        <w:autoSpaceDE w:val="0"/>
        <w:autoSpaceDN w:val="0"/>
        <w:adjustRightInd w:val="0"/>
        <w:spacing w:line="360" w:lineRule="auto"/>
        <w:rPr>
          <w:rFonts w:ascii="Helvetica" w:hAnsi="Helvetica" w:cs="Calibri"/>
          <w:sz w:val="22"/>
          <w:szCs w:val="22"/>
          <w:lang w:val="en-US"/>
        </w:rPr>
      </w:pPr>
    </w:p>
    <w:p w14:paraId="55E609DF" w14:textId="3C9EC278" w:rsidR="00CB18E3" w:rsidRPr="009824AD" w:rsidRDefault="00CB18E3" w:rsidP="00605E30">
      <w:pPr>
        <w:widowControl w:val="0"/>
        <w:autoSpaceDE w:val="0"/>
        <w:autoSpaceDN w:val="0"/>
        <w:adjustRightInd w:val="0"/>
        <w:spacing w:line="360" w:lineRule="auto"/>
        <w:rPr>
          <w:rFonts w:ascii="Helvetica" w:hAnsi="Helvetica" w:cs="Calibri"/>
          <w:sz w:val="22"/>
          <w:szCs w:val="22"/>
          <w:lang w:val="en-US"/>
        </w:rPr>
      </w:pPr>
    </w:p>
    <w:p w14:paraId="31973AAE" w14:textId="22F71599" w:rsidR="00EC12A5" w:rsidRPr="009824AD" w:rsidRDefault="00EC12A5" w:rsidP="00605E30">
      <w:pPr>
        <w:widowControl w:val="0"/>
        <w:autoSpaceDE w:val="0"/>
        <w:autoSpaceDN w:val="0"/>
        <w:adjustRightInd w:val="0"/>
        <w:spacing w:line="360" w:lineRule="auto"/>
        <w:rPr>
          <w:rFonts w:ascii="Helvetica" w:hAnsi="Helvetica" w:cs="Calibri"/>
          <w:sz w:val="22"/>
          <w:szCs w:val="22"/>
          <w:lang w:val="en-US"/>
        </w:rPr>
      </w:pPr>
    </w:p>
    <w:p w14:paraId="7C044CD8" w14:textId="4C04F87F" w:rsidR="00C47DA9" w:rsidRPr="009824AD" w:rsidRDefault="00C47DA9" w:rsidP="00605E30">
      <w:pPr>
        <w:widowControl w:val="0"/>
        <w:autoSpaceDE w:val="0"/>
        <w:autoSpaceDN w:val="0"/>
        <w:adjustRightInd w:val="0"/>
        <w:spacing w:line="360" w:lineRule="auto"/>
        <w:rPr>
          <w:rFonts w:ascii="Helvetica" w:hAnsi="Helvetica" w:cs="Calibri"/>
          <w:sz w:val="22"/>
          <w:szCs w:val="22"/>
          <w:lang w:val="en-US"/>
        </w:rPr>
      </w:pPr>
    </w:p>
    <w:p w14:paraId="75BE0E0E" w14:textId="3A120DE1" w:rsidR="00C47DA9" w:rsidRPr="009824AD" w:rsidRDefault="00C47DA9" w:rsidP="00605E30">
      <w:pPr>
        <w:widowControl w:val="0"/>
        <w:autoSpaceDE w:val="0"/>
        <w:autoSpaceDN w:val="0"/>
        <w:adjustRightInd w:val="0"/>
        <w:spacing w:line="360" w:lineRule="auto"/>
        <w:rPr>
          <w:rFonts w:ascii="Helvetica" w:hAnsi="Helvetica" w:cs="Calibri"/>
          <w:sz w:val="22"/>
          <w:szCs w:val="22"/>
          <w:lang w:val="en-US"/>
        </w:rPr>
      </w:pPr>
    </w:p>
    <w:p w14:paraId="61AB4C86" w14:textId="03A39E14" w:rsidR="000D44B8" w:rsidRPr="009824AD" w:rsidRDefault="000D44B8" w:rsidP="00605E30">
      <w:pPr>
        <w:widowControl w:val="0"/>
        <w:autoSpaceDE w:val="0"/>
        <w:autoSpaceDN w:val="0"/>
        <w:adjustRightInd w:val="0"/>
        <w:spacing w:line="360" w:lineRule="auto"/>
        <w:rPr>
          <w:rFonts w:ascii="Helvetica" w:hAnsi="Helvetica" w:cs="Calibri"/>
          <w:sz w:val="22"/>
          <w:szCs w:val="22"/>
          <w:lang w:val="en-US"/>
        </w:rPr>
      </w:pPr>
    </w:p>
    <w:p w14:paraId="36F4203C" w14:textId="4E8575C3" w:rsidR="000D44B8" w:rsidRPr="009824AD" w:rsidRDefault="000D44B8" w:rsidP="00605E30">
      <w:pPr>
        <w:widowControl w:val="0"/>
        <w:autoSpaceDE w:val="0"/>
        <w:autoSpaceDN w:val="0"/>
        <w:adjustRightInd w:val="0"/>
        <w:spacing w:line="360" w:lineRule="auto"/>
        <w:rPr>
          <w:rFonts w:ascii="Helvetica" w:hAnsi="Helvetica" w:cs="Calibri"/>
          <w:sz w:val="22"/>
          <w:szCs w:val="22"/>
          <w:lang w:val="en-US"/>
        </w:rPr>
      </w:pPr>
    </w:p>
    <w:p w14:paraId="71039D1E" w14:textId="77777777" w:rsidR="000D44B8" w:rsidRPr="009824AD" w:rsidRDefault="000D44B8" w:rsidP="00605E30">
      <w:pPr>
        <w:widowControl w:val="0"/>
        <w:autoSpaceDE w:val="0"/>
        <w:autoSpaceDN w:val="0"/>
        <w:adjustRightInd w:val="0"/>
        <w:spacing w:line="360" w:lineRule="auto"/>
        <w:rPr>
          <w:rFonts w:ascii="Helvetica" w:hAnsi="Helvetica" w:cs="Calibri"/>
          <w:sz w:val="22"/>
          <w:szCs w:val="22"/>
          <w:lang w:val="en-US"/>
        </w:rPr>
      </w:pPr>
    </w:p>
    <w:p w14:paraId="50778A7D" w14:textId="77777777" w:rsidR="00EC12A5" w:rsidRPr="009824AD" w:rsidRDefault="00EC12A5" w:rsidP="00605E30">
      <w:pPr>
        <w:widowControl w:val="0"/>
        <w:autoSpaceDE w:val="0"/>
        <w:autoSpaceDN w:val="0"/>
        <w:adjustRightInd w:val="0"/>
        <w:spacing w:line="360" w:lineRule="auto"/>
        <w:rPr>
          <w:rFonts w:ascii="Helvetica" w:hAnsi="Helvetica" w:cs="Calibri"/>
          <w:sz w:val="22"/>
          <w:szCs w:val="22"/>
          <w:lang w:val="en-US"/>
        </w:rPr>
      </w:pPr>
    </w:p>
    <w:p w14:paraId="2FD3D815" w14:textId="77777777" w:rsidR="009F1B4A" w:rsidRDefault="009F1B4A" w:rsidP="00EC12A5">
      <w:pPr>
        <w:pStyle w:val="Kop2"/>
        <w:rPr>
          <w:rFonts w:ascii="Helvetica" w:hAnsi="Helvetica"/>
          <w:lang w:val="en-US"/>
        </w:rPr>
        <w:sectPr w:rsidR="009F1B4A" w:rsidSect="000D44B8">
          <w:pgSz w:w="11900" w:h="16840"/>
          <w:pgMar w:top="1417" w:right="1417" w:bottom="1417" w:left="1417" w:header="708" w:footer="708" w:gutter="0"/>
          <w:cols w:space="708"/>
          <w:docGrid w:linePitch="360"/>
        </w:sectPr>
      </w:pPr>
    </w:p>
    <w:p w14:paraId="3ABEFB88" w14:textId="52E1C1DA" w:rsidR="00CB18E3" w:rsidRPr="009824AD" w:rsidRDefault="00CB18E3" w:rsidP="00EC12A5">
      <w:pPr>
        <w:pStyle w:val="Kop3"/>
        <w:rPr>
          <w:rFonts w:ascii="Helvetica" w:hAnsi="Helvetica"/>
          <w:lang w:val="en-US"/>
        </w:rPr>
      </w:pPr>
      <w:r w:rsidRPr="009824AD">
        <w:rPr>
          <w:rFonts w:ascii="Helvetica" w:hAnsi="Helvetica"/>
          <w:lang w:val="en-US"/>
        </w:rPr>
        <w:lastRenderedPageBreak/>
        <w:t>SUPPLEMENTARY MATERIAL LEGENDS</w:t>
      </w:r>
    </w:p>
    <w:p w14:paraId="75585558" w14:textId="4A9C99D4" w:rsidR="00F42FC5" w:rsidRPr="009824AD" w:rsidRDefault="00F42FC5" w:rsidP="00002C7D">
      <w:pPr>
        <w:widowControl w:val="0"/>
        <w:autoSpaceDE w:val="0"/>
        <w:autoSpaceDN w:val="0"/>
        <w:adjustRightInd w:val="0"/>
        <w:spacing w:line="360" w:lineRule="auto"/>
        <w:jc w:val="both"/>
        <w:rPr>
          <w:rFonts w:ascii="Helvetica" w:hAnsi="Helvetica" w:cs="Calibri"/>
          <w:b/>
          <w:bCs/>
          <w:sz w:val="22"/>
          <w:szCs w:val="22"/>
          <w:lang w:val="en-US"/>
        </w:rPr>
      </w:pPr>
    </w:p>
    <w:p w14:paraId="74C63460" w14:textId="55B6B2D1" w:rsidR="004650AD" w:rsidRPr="009824AD" w:rsidRDefault="004650AD" w:rsidP="00002C7D">
      <w:pPr>
        <w:widowControl w:val="0"/>
        <w:autoSpaceDE w:val="0"/>
        <w:autoSpaceDN w:val="0"/>
        <w:adjustRightInd w:val="0"/>
        <w:spacing w:line="360" w:lineRule="auto"/>
        <w:jc w:val="both"/>
        <w:rPr>
          <w:rFonts w:ascii="Helvetica" w:hAnsi="Helvetica" w:cs="Calibri"/>
          <w:sz w:val="20"/>
          <w:szCs w:val="20"/>
          <w:lang w:val="en-US"/>
        </w:rPr>
      </w:pPr>
      <w:r w:rsidRPr="009824AD">
        <w:rPr>
          <w:rFonts w:ascii="Helvetica" w:hAnsi="Helvetica" w:cs="Calibri"/>
          <w:b/>
          <w:bCs/>
          <w:sz w:val="20"/>
          <w:szCs w:val="20"/>
          <w:lang w:val="en-US"/>
        </w:rPr>
        <w:t xml:space="preserve">Supplementary material 1. </w:t>
      </w:r>
      <w:r w:rsidRPr="009824AD">
        <w:rPr>
          <w:rFonts w:ascii="Helvetica" w:hAnsi="Helvetica" w:cs="Calibri"/>
          <w:sz w:val="20"/>
          <w:szCs w:val="20"/>
          <w:lang w:val="en-US"/>
        </w:rPr>
        <w:t xml:space="preserve">Survey </w:t>
      </w:r>
      <w:r w:rsidR="00244534" w:rsidRPr="009824AD">
        <w:rPr>
          <w:rFonts w:ascii="Helvetica" w:hAnsi="Helvetica" w:cs="Calibri"/>
          <w:sz w:val="20"/>
          <w:szCs w:val="20"/>
          <w:lang w:val="en-US"/>
        </w:rPr>
        <w:t>t</w:t>
      </w:r>
      <w:r w:rsidRPr="009824AD">
        <w:rPr>
          <w:rFonts w:ascii="Helvetica" w:hAnsi="Helvetica" w:cs="Calibri"/>
          <w:sz w:val="20"/>
          <w:szCs w:val="20"/>
          <w:lang w:val="en-US"/>
        </w:rPr>
        <w:t xml:space="preserve">o assess surgical technique and intraoperative management among the participating </w:t>
      </w:r>
      <w:r w:rsidR="000B7DA3" w:rsidRPr="009824AD">
        <w:rPr>
          <w:rFonts w:ascii="Helvetica" w:hAnsi="Helvetica" w:cs="Calibri"/>
          <w:sz w:val="20"/>
          <w:szCs w:val="20"/>
          <w:lang w:val="en-US"/>
        </w:rPr>
        <w:t>centers</w:t>
      </w:r>
      <w:r w:rsidRPr="009824AD">
        <w:rPr>
          <w:rFonts w:ascii="Helvetica" w:hAnsi="Helvetica" w:cs="Calibri"/>
          <w:sz w:val="20"/>
          <w:szCs w:val="20"/>
          <w:lang w:val="en-US"/>
        </w:rPr>
        <w:t>.</w:t>
      </w:r>
    </w:p>
    <w:p w14:paraId="643B2D79" w14:textId="749113F2" w:rsidR="004650AD" w:rsidRDefault="004650AD" w:rsidP="00002C7D">
      <w:pPr>
        <w:widowControl w:val="0"/>
        <w:autoSpaceDE w:val="0"/>
        <w:autoSpaceDN w:val="0"/>
        <w:adjustRightInd w:val="0"/>
        <w:spacing w:line="360" w:lineRule="auto"/>
        <w:jc w:val="both"/>
        <w:rPr>
          <w:rFonts w:ascii="Helvetica" w:hAnsi="Helvetica" w:cs="Calibri"/>
          <w:b/>
          <w:bCs/>
          <w:sz w:val="20"/>
          <w:szCs w:val="20"/>
          <w:lang w:val="en-US"/>
        </w:rPr>
      </w:pPr>
    </w:p>
    <w:p w14:paraId="7CB70FFD" w14:textId="7EEB4F14" w:rsidR="008008AA" w:rsidRDefault="008008AA" w:rsidP="00002C7D">
      <w:pPr>
        <w:widowControl w:val="0"/>
        <w:autoSpaceDE w:val="0"/>
        <w:autoSpaceDN w:val="0"/>
        <w:adjustRightInd w:val="0"/>
        <w:spacing w:line="360" w:lineRule="auto"/>
        <w:jc w:val="both"/>
        <w:rPr>
          <w:rFonts w:ascii="Helvetica" w:hAnsi="Helvetica" w:cs="Calibri"/>
          <w:sz w:val="20"/>
          <w:szCs w:val="20"/>
          <w:lang w:val="en-US"/>
        </w:rPr>
      </w:pPr>
      <w:r>
        <w:rPr>
          <w:rFonts w:ascii="Helvetica" w:hAnsi="Helvetica" w:cs="Calibri"/>
          <w:b/>
          <w:bCs/>
          <w:sz w:val="20"/>
          <w:szCs w:val="20"/>
          <w:lang w:val="en-US"/>
        </w:rPr>
        <w:t>Supplementary Table 1.</w:t>
      </w:r>
      <w:r w:rsidRPr="008008AA">
        <w:rPr>
          <w:rFonts w:ascii="Helvetica" w:hAnsi="Helvetica" w:cs="Calibri"/>
          <w:sz w:val="20"/>
          <w:szCs w:val="20"/>
          <w:lang w:val="en-US"/>
        </w:rPr>
        <w:t xml:space="preserve"> </w:t>
      </w:r>
      <w:r>
        <w:rPr>
          <w:rFonts w:ascii="Helvetica" w:hAnsi="Helvetica" w:cs="Calibri"/>
          <w:sz w:val="20"/>
          <w:szCs w:val="20"/>
          <w:lang w:val="en-US"/>
        </w:rPr>
        <w:t>Sensitivity analysis of b</w:t>
      </w:r>
      <w:r w:rsidRPr="009824AD">
        <w:rPr>
          <w:rFonts w:ascii="Helvetica" w:hAnsi="Helvetica" w:cs="Calibri"/>
          <w:sz w:val="20"/>
          <w:szCs w:val="20"/>
          <w:lang w:val="en-US"/>
        </w:rPr>
        <w:t>aseline and procedure characteristics and incidence of postoperative bile leakage (POBL) following laparoscopic and open liver surgery, before and after propensity score matching</w:t>
      </w:r>
      <w:r>
        <w:rPr>
          <w:rFonts w:ascii="Helvetica" w:hAnsi="Helvetica" w:cs="Calibri"/>
          <w:sz w:val="20"/>
          <w:szCs w:val="20"/>
          <w:lang w:val="en-US"/>
        </w:rPr>
        <w:t xml:space="preserve"> excluding all patients with missing values.</w:t>
      </w:r>
    </w:p>
    <w:p w14:paraId="2445A86E" w14:textId="77777777" w:rsidR="008008AA" w:rsidRPr="009824AD" w:rsidRDefault="008008AA" w:rsidP="00002C7D">
      <w:pPr>
        <w:widowControl w:val="0"/>
        <w:autoSpaceDE w:val="0"/>
        <w:autoSpaceDN w:val="0"/>
        <w:adjustRightInd w:val="0"/>
        <w:spacing w:line="360" w:lineRule="auto"/>
        <w:jc w:val="both"/>
        <w:rPr>
          <w:rFonts w:ascii="Helvetica" w:hAnsi="Helvetica" w:cs="Calibri"/>
          <w:b/>
          <w:bCs/>
          <w:sz w:val="20"/>
          <w:szCs w:val="20"/>
          <w:lang w:val="en-US"/>
        </w:rPr>
      </w:pPr>
    </w:p>
    <w:p w14:paraId="080A87B3" w14:textId="38E0C443" w:rsidR="00CB18E3" w:rsidRPr="009824AD" w:rsidRDefault="00CB18E3" w:rsidP="00002C7D">
      <w:pPr>
        <w:jc w:val="both"/>
        <w:rPr>
          <w:rFonts w:ascii="Helvetica" w:hAnsi="Helvetica" w:cs="Calibri"/>
          <w:sz w:val="20"/>
          <w:szCs w:val="20"/>
          <w:lang w:val="en-US"/>
        </w:rPr>
      </w:pPr>
      <w:r w:rsidRPr="009824AD">
        <w:rPr>
          <w:rFonts w:ascii="Helvetica" w:hAnsi="Helvetica" w:cs="Calibri"/>
          <w:b/>
          <w:bCs/>
          <w:sz w:val="20"/>
          <w:szCs w:val="20"/>
          <w:lang w:val="en-US"/>
        </w:rPr>
        <w:t xml:space="preserve">Supplementary Table </w:t>
      </w:r>
      <w:r w:rsidR="008008AA">
        <w:rPr>
          <w:rFonts w:ascii="Helvetica" w:hAnsi="Helvetica" w:cs="Calibri"/>
          <w:b/>
          <w:bCs/>
          <w:sz w:val="20"/>
          <w:szCs w:val="20"/>
          <w:lang w:val="en-US"/>
        </w:rPr>
        <w:t>2</w:t>
      </w:r>
      <w:r w:rsidRPr="009824AD">
        <w:rPr>
          <w:rFonts w:ascii="Helvetica" w:hAnsi="Helvetica" w:cs="Calibri"/>
          <w:b/>
          <w:bCs/>
          <w:sz w:val="20"/>
          <w:szCs w:val="20"/>
          <w:lang w:val="en-US"/>
        </w:rPr>
        <w:t>.</w:t>
      </w:r>
      <w:r w:rsidRPr="009824AD">
        <w:rPr>
          <w:rFonts w:ascii="Helvetica" w:hAnsi="Helvetica" w:cs="Calibri"/>
          <w:sz w:val="20"/>
          <w:szCs w:val="20"/>
          <w:lang w:val="en-US"/>
        </w:rPr>
        <w:t xml:space="preserve"> Postoperative outcomes of patients with clinically relevant postoperative bile leakage after excluding patients who underwent laparoscopic and open liver surgery before 2011. </w:t>
      </w:r>
    </w:p>
    <w:p w14:paraId="7B26F886" w14:textId="4F4C27DB" w:rsidR="00CB18E3" w:rsidRPr="009824AD" w:rsidRDefault="00CB18E3" w:rsidP="00002C7D">
      <w:pPr>
        <w:widowControl w:val="0"/>
        <w:autoSpaceDE w:val="0"/>
        <w:autoSpaceDN w:val="0"/>
        <w:adjustRightInd w:val="0"/>
        <w:spacing w:line="360" w:lineRule="auto"/>
        <w:jc w:val="both"/>
        <w:rPr>
          <w:rFonts w:ascii="Helvetica" w:hAnsi="Helvetica" w:cs="Calibri"/>
          <w:sz w:val="22"/>
          <w:szCs w:val="22"/>
          <w:lang w:val="en-US"/>
        </w:rPr>
      </w:pPr>
    </w:p>
    <w:p w14:paraId="4BD37C67" w14:textId="21D6115D" w:rsidR="00CB18E3" w:rsidRPr="009824AD" w:rsidRDefault="00CB18E3" w:rsidP="00002C7D">
      <w:pPr>
        <w:jc w:val="both"/>
        <w:rPr>
          <w:rFonts w:ascii="Helvetica" w:hAnsi="Helvetica" w:cs="Calibri"/>
          <w:sz w:val="20"/>
          <w:szCs w:val="20"/>
          <w:lang w:val="en-US"/>
        </w:rPr>
      </w:pPr>
      <w:r w:rsidRPr="009824AD">
        <w:rPr>
          <w:rFonts w:ascii="Helvetica" w:hAnsi="Helvetica" w:cs="Calibri"/>
          <w:b/>
          <w:bCs/>
          <w:sz w:val="20"/>
          <w:szCs w:val="20"/>
          <w:lang w:val="en-US"/>
        </w:rPr>
        <w:t xml:space="preserve">Supplementary Table </w:t>
      </w:r>
      <w:r w:rsidR="008008AA">
        <w:rPr>
          <w:rFonts w:ascii="Helvetica" w:hAnsi="Helvetica" w:cs="Calibri"/>
          <w:b/>
          <w:bCs/>
          <w:sz w:val="20"/>
          <w:szCs w:val="20"/>
          <w:lang w:val="en-US"/>
        </w:rPr>
        <w:t>3</w:t>
      </w:r>
      <w:r w:rsidRPr="009824AD">
        <w:rPr>
          <w:rFonts w:ascii="Helvetica" w:hAnsi="Helvetica" w:cs="Calibri"/>
          <w:b/>
          <w:bCs/>
          <w:sz w:val="20"/>
          <w:szCs w:val="20"/>
          <w:lang w:val="en-US"/>
        </w:rPr>
        <w:t>.</w:t>
      </w:r>
      <w:r w:rsidRPr="009824AD">
        <w:rPr>
          <w:rFonts w:ascii="Helvetica" w:hAnsi="Helvetica" w:cs="Calibri"/>
          <w:sz w:val="20"/>
          <w:szCs w:val="20"/>
          <w:lang w:val="en-US"/>
        </w:rPr>
        <w:t xml:space="preserve"> Postoperative outcomes of patients with and without clinically relevant postoperative bile leakage after excluding patients after excluding patients who underwent laparoscopic and open liver surgery before 2011.  </w:t>
      </w:r>
    </w:p>
    <w:p w14:paraId="37A1CB02" w14:textId="77777777" w:rsidR="00CB18E3" w:rsidRPr="009824AD" w:rsidRDefault="00CB18E3" w:rsidP="00002C7D">
      <w:pPr>
        <w:widowControl w:val="0"/>
        <w:autoSpaceDE w:val="0"/>
        <w:autoSpaceDN w:val="0"/>
        <w:adjustRightInd w:val="0"/>
        <w:spacing w:line="360" w:lineRule="auto"/>
        <w:jc w:val="both"/>
        <w:rPr>
          <w:rFonts w:ascii="Helvetica" w:hAnsi="Helvetica" w:cs="Calibri"/>
          <w:sz w:val="22"/>
          <w:szCs w:val="22"/>
          <w:lang w:val="en-US"/>
        </w:rPr>
      </w:pPr>
    </w:p>
    <w:p w14:paraId="57941632" w14:textId="6724551A" w:rsidR="00CB7EDE" w:rsidRPr="009824AD" w:rsidRDefault="00CB7EDE" w:rsidP="00002C7D">
      <w:pPr>
        <w:jc w:val="both"/>
        <w:rPr>
          <w:rFonts w:ascii="Helvetica" w:hAnsi="Helvetica" w:cs="Calibri"/>
          <w:sz w:val="20"/>
          <w:szCs w:val="20"/>
          <w:lang w:val="en-US"/>
        </w:rPr>
      </w:pPr>
    </w:p>
    <w:p w14:paraId="77E1B795" w14:textId="17C3BB8D" w:rsidR="00CB7EDE" w:rsidRPr="009824AD" w:rsidRDefault="00CB7EDE" w:rsidP="00002C7D">
      <w:pPr>
        <w:jc w:val="both"/>
        <w:rPr>
          <w:rFonts w:ascii="Helvetica" w:hAnsi="Helvetica" w:cs="Calibri"/>
          <w:sz w:val="22"/>
          <w:szCs w:val="22"/>
          <w:lang w:val="en-US"/>
        </w:rPr>
      </w:pPr>
      <w:r w:rsidRPr="009824AD">
        <w:rPr>
          <w:rFonts w:ascii="Helvetica" w:hAnsi="Helvetica" w:cs="Calibri"/>
          <w:b/>
          <w:bCs/>
          <w:sz w:val="20"/>
          <w:szCs w:val="20"/>
          <w:lang w:val="en-US"/>
        </w:rPr>
        <w:t xml:space="preserve">Supplementary Figure </w:t>
      </w:r>
      <w:r w:rsidR="000D44B8" w:rsidRPr="009824AD">
        <w:rPr>
          <w:rFonts w:ascii="Helvetica" w:hAnsi="Helvetica" w:cs="Calibri"/>
          <w:b/>
          <w:bCs/>
          <w:sz w:val="20"/>
          <w:szCs w:val="20"/>
          <w:lang w:val="en-US"/>
        </w:rPr>
        <w:t>1</w:t>
      </w:r>
      <w:r w:rsidRPr="009824AD">
        <w:rPr>
          <w:rFonts w:ascii="Helvetica" w:hAnsi="Helvetica" w:cs="Calibri"/>
          <w:b/>
          <w:bCs/>
          <w:sz w:val="20"/>
          <w:szCs w:val="20"/>
          <w:lang w:val="en-US"/>
        </w:rPr>
        <w:t xml:space="preserve">. </w:t>
      </w:r>
      <w:r w:rsidRPr="009824AD">
        <w:rPr>
          <w:rFonts w:ascii="Helvetica" w:hAnsi="Helvetica" w:cs="Calibri"/>
          <w:sz w:val="20"/>
          <w:szCs w:val="20"/>
          <w:lang w:val="en-US"/>
        </w:rPr>
        <w:t>The incidence of</w:t>
      </w:r>
      <w:r w:rsidRPr="009824AD">
        <w:rPr>
          <w:rFonts w:ascii="Helvetica" w:hAnsi="Helvetica" w:cs="Calibri"/>
          <w:b/>
          <w:bCs/>
          <w:sz w:val="20"/>
          <w:szCs w:val="20"/>
          <w:lang w:val="en-US"/>
        </w:rPr>
        <w:t xml:space="preserve"> </w:t>
      </w:r>
      <w:r w:rsidRPr="009824AD">
        <w:rPr>
          <w:rFonts w:ascii="Helvetica" w:hAnsi="Helvetica" w:cs="Calibri"/>
          <w:sz w:val="20"/>
          <w:szCs w:val="20"/>
          <w:lang w:val="en-US"/>
        </w:rPr>
        <w:t>clinically relevant postoperative bile leakage following laparoscopic and open liver resection stratified for extent of resection, before and after propensity score matching</w:t>
      </w:r>
    </w:p>
    <w:p w14:paraId="6F938987" w14:textId="0A1002F2" w:rsidR="00CB7EDE" w:rsidRPr="009824AD" w:rsidRDefault="00CB7EDE" w:rsidP="00002C7D">
      <w:pPr>
        <w:jc w:val="both"/>
        <w:rPr>
          <w:rFonts w:ascii="Helvetica" w:hAnsi="Helvetica" w:cs="Calibri"/>
          <w:sz w:val="22"/>
          <w:szCs w:val="22"/>
          <w:lang w:val="en-US"/>
        </w:rPr>
      </w:pPr>
    </w:p>
    <w:p w14:paraId="234DBDFB" w14:textId="2F0D4901" w:rsidR="00CB7EDE" w:rsidRPr="009824AD" w:rsidRDefault="00CB7EDE" w:rsidP="00002C7D">
      <w:pPr>
        <w:jc w:val="both"/>
        <w:rPr>
          <w:rFonts w:ascii="Helvetica" w:hAnsi="Helvetica" w:cs="Calibri"/>
          <w:sz w:val="20"/>
          <w:szCs w:val="20"/>
          <w:lang w:val="en-US"/>
        </w:rPr>
      </w:pPr>
      <w:r w:rsidRPr="009824AD">
        <w:rPr>
          <w:rFonts w:ascii="Helvetica" w:hAnsi="Helvetica" w:cs="Calibri"/>
          <w:b/>
          <w:bCs/>
          <w:sz w:val="22"/>
          <w:szCs w:val="22"/>
          <w:lang w:val="en-US"/>
        </w:rPr>
        <w:t xml:space="preserve">Supplementary Figure </w:t>
      </w:r>
      <w:r w:rsidR="000D44B8" w:rsidRPr="009824AD">
        <w:rPr>
          <w:rFonts w:ascii="Helvetica" w:hAnsi="Helvetica" w:cs="Calibri"/>
          <w:b/>
          <w:bCs/>
          <w:sz w:val="22"/>
          <w:szCs w:val="22"/>
          <w:lang w:val="en-US"/>
        </w:rPr>
        <w:t>2</w:t>
      </w:r>
      <w:r w:rsidRPr="009824AD">
        <w:rPr>
          <w:rFonts w:ascii="Helvetica" w:hAnsi="Helvetica" w:cs="Calibri"/>
          <w:b/>
          <w:bCs/>
          <w:sz w:val="22"/>
          <w:szCs w:val="22"/>
          <w:lang w:val="en-US"/>
        </w:rPr>
        <w:t>.</w:t>
      </w:r>
      <w:r w:rsidRPr="009824AD">
        <w:rPr>
          <w:rFonts w:ascii="Helvetica" w:hAnsi="Helvetica" w:cs="Calibri"/>
          <w:sz w:val="22"/>
          <w:szCs w:val="22"/>
          <w:lang w:val="en-US"/>
        </w:rPr>
        <w:t xml:space="preserve"> </w:t>
      </w:r>
      <w:r w:rsidRPr="009824AD">
        <w:rPr>
          <w:rFonts w:ascii="Helvetica" w:hAnsi="Helvetica" w:cs="Calibri"/>
          <w:sz w:val="20"/>
          <w:szCs w:val="20"/>
          <w:lang w:val="en-US"/>
        </w:rPr>
        <w:t>The incidence of</w:t>
      </w:r>
      <w:r w:rsidRPr="009824AD">
        <w:rPr>
          <w:rFonts w:ascii="Helvetica" w:hAnsi="Helvetica" w:cs="Calibri"/>
          <w:b/>
          <w:bCs/>
          <w:sz w:val="20"/>
          <w:szCs w:val="20"/>
          <w:lang w:val="en-US"/>
        </w:rPr>
        <w:t xml:space="preserve"> </w:t>
      </w:r>
      <w:r w:rsidRPr="009824AD">
        <w:rPr>
          <w:rFonts w:ascii="Helvetica" w:hAnsi="Helvetica" w:cs="Calibri"/>
          <w:sz w:val="20"/>
          <w:szCs w:val="20"/>
          <w:lang w:val="en-US"/>
        </w:rPr>
        <w:t>clinically relevant postoperative bile leakage following laparoscopic and open liver resection stratified for type of resection, before and after propensity score matching</w:t>
      </w:r>
    </w:p>
    <w:p w14:paraId="613F3E16" w14:textId="523DB4BF" w:rsidR="00CB7EDE" w:rsidRPr="009824AD" w:rsidRDefault="00CB7EDE" w:rsidP="00605E30">
      <w:pPr>
        <w:rPr>
          <w:rFonts w:ascii="Helvetica" w:hAnsi="Helvetica" w:cs="Calibri"/>
          <w:sz w:val="20"/>
          <w:szCs w:val="20"/>
          <w:lang w:val="en-US"/>
        </w:rPr>
      </w:pPr>
    </w:p>
    <w:p w14:paraId="244BECAA" w14:textId="77777777" w:rsidR="00CB7EDE" w:rsidRPr="009824AD" w:rsidRDefault="00CB7EDE" w:rsidP="00605E30">
      <w:pPr>
        <w:rPr>
          <w:rFonts w:ascii="Helvetica" w:hAnsi="Helvetica" w:cs="Calibri"/>
          <w:b/>
          <w:bCs/>
          <w:sz w:val="20"/>
          <w:szCs w:val="20"/>
          <w:lang w:val="en-US"/>
        </w:rPr>
      </w:pPr>
    </w:p>
    <w:p w14:paraId="6A6A0025" w14:textId="77777777" w:rsidR="00605E30" w:rsidRPr="009824AD" w:rsidRDefault="00605E30" w:rsidP="00605E30">
      <w:pPr>
        <w:rPr>
          <w:rFonts w:ascii="Helvetica" w:hAnsi="Helvetica" w:cs="Calibri"/>
          <w:b/>
          <w:bCs/>
          <w:sz w:val="20"/>
          <w:szCs w:val="20"/>
          <w:lang w:val="en-US"/>
        </w:rPr>
      </w:pPr>
    </w:p>
    <w:p w14:paraId="7F947982" w14:textId="77777777" w:rsidR="00605E30" w:rsidRPr="009824AD" w:rsidRDefault="00605E30" w:rsidP="00605E30">
      <w:pPr>
        <w:rPr>
          <w:rFonts w:ascii="Helvetica" w:hAnsi="Helvetica" w:cs="Calibri"/>
          <w:b/>
          <w:bCs/>
          <w:sz w:val="20"/>
          <w:szCs w:val="20"/>
          <w:lang w:val="en-US"/>
        </w:rPr>
      </w:pPr>
    </w:p>
    <w:p w14:paraId="7E0669E8" w14:textId="77777777" w:rsidR="00605E30" w:rsidRPr="009824AD" w:rsidRDefault="00605E30" w:rsidP="00605E30">
      <w:pPr>
        <w:rPr>
          <w:rFonts w:ascii="Helvetica" w:hAnsi="Helvetica" w:cs="Calibri"/>
          <w:b/>
          <w:bCs/>
          <w:sz w:val="20"/>
          <w:szCs w:val="20"/>
          <w:lang w:val="en-US"/>
        </w:rPr>
      </w:pPr>
    </w:p>
    <w:p w14:paraId="5719E8E2" w14:textId="77777777" w:rsidR="00605E30" w:rsidRPr="009824AD" w:rsidRDefault="00605E30" w:rsidP="00605E30">
      <w:pPr>
        <w:rPr>
          <w:rFonts w:ascii="Helvetica" w:hAnsi="Helvetica" w:cs="Calibri"/>
          <w:b/>
          <w:bCs/>
          <w:sz w:val="20"/>
          <w:szCs w:val="20"/>
          <w:lang w:val="en-US"/>
        </w:rPr>
      </w:pPr>
    </w:p>
    <w:p w14:paraId="18080CD5" w14:textId="77777777" w:rsidR="00605E30" w:rsidRPr="009824AD" w:rsidRDefault="00605E30" w:rsidP="00605E30">
      <w:pPr>
        <w:rPr>
          <w:rFonts w:ascii="Helvetica" w:hAnsi="Helvetica" w:cs="Calibri"/>
          <w:b/>
          <w:bCs/>
          <w:sz w:val="20"/>
          <w:szCs w:val="20"/>
          <w:lang w:val="en-US"/>
        </w:rPr>
      </w:pPr>
    </w:p>
    <w:p w14:paraId="07E0FBFB" w14:textId="77777777" w:rsidR="00605E30" w:rsidRPr="009824AD" w:rsidRDefault="00605E30" w:rsidP="00605E30">
      <w:pPr>
        <w:rPr>
          <w:rFonts w:ascii="Helvetica" w:hAnsi="Helvetica" w:cs="Calibri"/>
          <w:b/>
          <w:bCs/>
          <w:sz w:val="20"/>
          <w:szCs w:val="20"/>
          <w:lang w:val="en-US"/>
        </w:rPr>
      </w:pPr>
    </w:p>
    <w:p w14:paraId="09235D6B" w14:textId="77777777" w:rsidR="00605E30" w:rsidRPr="009824AD" w:rsidRDefault="00605E30" w:rsidP="00DB2C2D">
      <w:pPr>
        <w:widowControl w:val="0"/>
        <w:autoSpaceDE w:val="0"/>
        <w:autoSpaceDN w:val="0"/>
        <w:adjustRightInd w:val="0"/>
        <w:spacing w:line="360" w:lineRule="auto"/>
        <w:rPr>
          <w:rFonts w:ascii="Helvetica" w:hAnsi="Helvetica" w:cs="Calibri"/>
          <w:sz w:val="22"/>
          <w:szCs w:val="22"/>
          <w:lang w:val="en-US"/>
        </w:rPr>
      </w:pPr>
    </w:p>
    <w:sectPr w:rsidR="00605E30" w:rsidRPr="009824AD" w:rsidSect="000D44B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B38BCD" w14:textId="77777777" w:rsidR="0033139B" w:rsidRDefault="0033139B" w:rsidP="005C40B7">
      <w:r>
        <w:separator/>
      </w:r>
    </w:p>
  </w:endnote>
  <w:endnote w:type="continuationSeparator" w:id="0">
    <w:p w14:paraId="0EEA50E0" w14:textId="77777777" w:rsidR="0033139B" w:rsidRDefault="0033139B" w:rsidP="005C4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Neue">
    <w:altName w:val="﷽﷽﷽﷽﷽﷽﷽﷽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Janson Text LT">
    <w:altName w:val="Cambria"/>
    <w:panose1 w:val="020B0604020202020204"/>
    <w:charset w:val="00"/>
    <w:family w:val="roman"/>
    <w:notTrueType/>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inanummer"/>
      </w:rPr>
      <w:id w:val="1736889347"/>
      <w:docPartObj>
        <w:docPartGallery w:val="Page Numbers (Bottom of Page)"/>
        <w:docPartUnique/>
      </w:docPartObj>
    </w:sdtPr>
    <w:sdtEndPr>
      <w:rPr>
        <w:rStyle w:val="Paginanummer"/>
      </w:rPr>
    </w:sdtEndPr>
    <w:sdtContent>
      <w:p w14:paraId="35D788FC" w14:textId="77777777" w:rsidR="00027207" w:rsidRDefault="00027207" w:rsidP="00623424">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28AF04B7" w14:textId="77777777" w:rsidR="00027207" w:rsidRDefault="00027207" w:rsidP="005C40B7">
    <w:pPr>
      <w:pStyle w:val="Voettekst"/>
      <w:ind w:right="360"/>
    </w:pPr>
  </w:p>
  <w:p w14:paraId="664C81E7" w14:textId="77777777" w:rsidR="00F416DC" w:rsidRDefault="00F416D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B7DCB5" w14:textId="77777777" w:rsidR="00027207" w:rsidRDefault="00027207" w:rsidP="005C40B7">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003800" w14:textId="77777777" w:rsidR="0033139B" w:rsidRDefault="0033139B" w:rsidP="005C40B7">
      <w:r>
        <w:separator/>
      </w:r>
    </w:p>
  </w:footnote>
  <w:footnote w:type="continuationSeparator" w:id="0">
    <w:p w14:paraId="04DD15F3" w14:textId="77777777" w:rsidR="0033139B" w:rsidRDefault="0033139B" w:rsidP="005C40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inanummer"/>
      </w:rPr>
      <w:id w:val="496999558"/>
      <w:docPartObj>
        <w:docPartGallery w:val="Page Numbers (Top of Page)"/>
        <w:docPartUnique/>
      </w:docPartObj>
    </w:sdtPr>
    <w:sdtEndPr>
      <w:rPr>
        <w:rStyle w:val="Paginanummer"/>
      </w:rPr>
    </w:sdtEndPr>
    <w:sdtContent>
      <w:p w14:paraId="11456898" w14:textId="217E8C0D" w:rsidR="006F2B67" w:rsidRDefault="006F2B67" w:rsidP="006F2B67">
        <w:pPr>
          <w:pStyle w:val="Kop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33885C30" w14:textId="77777777" w:rsidR="006F2B67" w:rsidRDefault="006F2B67" w:rsidP="006F2B67">
    <w:pPr>
      <w:pStyle w:val="Koptekst"/>
      <w:ind w:right="360"/>
    </w:pPr>
  </w:p>
  <w:p w14:paraId="40444F5E" w14:textId="77777777" w:rsidR="00F416DC" w:rsidRDefault="00F416D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inanummer"/>
      </w:rPr>
      <w:id w:val="-139192529"/>
      <w:docPartObj>
        <w:docPartGallery w:val="Page Numbers (Top of Page)"/>
        <w:docPartUnique/>
      </w:docPartObj>
    </w:sdtPr>
    <w:sdtEndPr>
      <w:rPr>
        <w:rStyle w:val="Paginanummer"/>
      </w:rPr>
    </w:sdtEndPr>
    <w:sdtContent>
      <w:p w14:paraId="441FFD7A" w14:textId="273A0605" w:rsidR="006F2B67" w:rsidRDefault="006F2B67" w:rsidP="005F0F2A">
        <w:pPr>
          <w:pStyle w:val="Kop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sidR="00FC68D8">
          <w:rPr>
            <w:rStyle w:val="Paginanummer"/>
            <w:noProof/>
          </w:rPr>
          <w:t>8</w:t>
        </w:r>
        <w:r>
          <w:rPr>
            <w:rStyle w:val="Paginanummer"/>
          </w:rPr>
          <w:fldChar w:fldCharType="end"/>
        </w:r>
      </w:p>
    </w:sdtContent>
  </w:sdt>
  <w:p w14:paraId="1C853FE8" w14:textId="77777777" w:rsidR="006F2B67" w:rsidRDefault="006F2B67" w:rsidP="006F2B67">
    <w:pPr>
      <w:pStyle w:val="Koptekst"/>
      <w:ind w:right="360"/>
    </w:pPr>
  </w:p>
  <w:p w14:paraId="7D546811" w14:textId="77777777" w:rsidR="00F416DC" w:rsidRDefault="00F416D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635DB5"/>
    <w:multiLevelType w:val="multilevel"/>
    <w:tmpl w:val="866A30E2"/>
    <w:lvl w:ilvl="0">
      <w:start w:val="3"/>
      <w:numFmt w:val="decimal"/>
      <w:lvlText w:val="%1"/>
      <w:lvlJc w:val="left"/>
      <w:pPr>
        <w:ind w:left="360" w:hanging="360"/>
      </w:pPr>
      <w:rPr>
        <w:rFonts w:hint="default"/>
      </w:rPr>
    </w:lvl>
    <w:lvl w:ilvl="1">
      <w:start w:val="5"/>
      <w:numFmt w:val="decimal"/>
      <w:lvlText w:val="%1-%2"/>
      <w:lvlJc w:val="left"/>
      <w:pPr>
        <w:ind w:left="700" w:hanging="36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080" w:hanging="72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120" w:hanging="108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160" w:hanging="1440"/>
      </w:pPr>
      <w:rPr>
        <w:rFonts w:hint="default"/>
      </w:rPr>
    </w:lvl>
  </w:abstractNum>
  <w:abstractNum w:abstractNumId="1" w15:restartNumberingAfterBreak="0">
    <w:nsid w:val="49B748F7"/>
    <w:multiLevelType w:val="hybridMultilevel"/>
    <w:tmpl w:val="F59C0CA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5F8A7147"/>
    <w:multiLevelType w:val="hybridMultilevel"/>
    <w:tmpl w:val="147E93CC"/>
    <w:lvl w:ilvl="0" w:tplc="FEEC3776">
      <w:start w:val="3"/>
      <w:numFmt w:val="bullet"/>
      <w:lvlText w:val=""/>
      <w:lvlJc w:val="left"/>
      <w:pPr>
        <w:ind w:left="700" w:hanging="360"/>
      </w:pPr>
      <w:rPr>
        <w:rFonts w:ascii="Wingdings" w:eastAsiaTheme="minorHAnsi" w:hAnsi="Wingdings" w:cs="Calibri" w:hint="default"/>
      </w:rPr>
    </w:lvl>
    <w:lvl w:ilvl="1" w:tplc="04130003" w:tentative="1">
      <w:start w:val="1"/>
      <w:numFmt w:val="bullet"/>
      <w:lvlText w:val="o"/>
      <w:lvlJc w:val="left"/>
      <w:pPr>
        <w:ind w:left="1420" w:hanging="360"/>
      </w:pPr>
      <w:rPr>
        <w:rFonts w:ascii="Courier New" w:hAnsi="Courier New" w:cs="Courier New" w:hint="default"/>
      </w:rPr>
    </w:lvl>
    <w:lvl w:ilvl="2" w:tplc="04130005" w:tentative="1">
      <w:start w:val="1"/>
      <w:numFmt w:val="bullet"/>
      <w:lvlText w:val=""/>
      <w:lvlJc w:val="left"/>
      <w:pPr>
        <w:ind w:left="2140" w:hanging="360"/>
      </w:pPr>
      <w:rPr>
        <w:rFonts w:ascii="Wingdings" w:hAnsi="Wingdings" w:hint="default"/>
      </w:rPr>
    </w:lvl>
    <w:lvl w:ilvl="3" w:tplc="04130001" w:tentative="1">
      <w:start w:val="1"/>
      <w:numFmt w:val="bullet"/>
      <w:lvlText w:val=""/>
      <w:lvlJc w:val="left"/>
      <w:pPr>
        <w:ind w:left="2860" w:hanging="360"/>
      </w:pPr>
      <w:rPr>
        <w:rFonts w:ascii="Symbol" w:hAnsi="Symbol" w:hint="default"/>
      </w:rPr>
    </w:lvl>
    <w:lvl w:ilvl="4" w:tplc="04130003" w:tentative="1">
      <w:start w:val="1"/>
      <w:numFmt w:val="bullet"/>
      <w:lvlText w:val="o"/>
      <w:lvlJc w:val="left"/>
      <w:pPr>
        <w:ind w:left="3580" w:hanging="360"/>
      </w:pPr>
      <w:rPr>
        <w:rFonts w:ascii="Courier New" w:hAnsi="Courier New" w:cs="Courier New" w:hint="default"/>
      </w:rPr>
    </w:lvl>
    <w:lvl w:ilvl="5" w:tplc="04130005" w:tentative="1">
      <w:start w:val="1"/>
      <w:numFmt w:val="bullet"/>
      <w:lvlText w:val=""/>
      <w:lvlJc w:val="left"/>
      <w:pPr>
        <w:ind w:left="4300" w:hanging="360"/>
      </w:pPr>
      <w:rPr>
        <w:rFonts w:ascii="Wingdings" w:hAnsi="Wingdings" w:hint="default"/>
      </w:rPr>
    </w:lvl>
    <w:lvl w:ilvl="6" w:tplc="04130001" w:tentative="1">
      <w:start w:val="1"/>
      <w:numFmt w:val="bullet"/>
      <w:lvlText w:val=""/>
      <w:lvlJc w:val="left"/>
      <w:pPr>
        <w:ind w:left="5020" w:hanging="360"/>
      </w:pPr>
      <w:rPr>
        <w:rFonts w:ascii="Symbol" w:hAnsi="Symbol" w:hint="default"/>
      </w:rPr>
    </w:lvl>
    <w:lvl w:ilvl="7" w:tplc="04130003" w:tentative="1">
      <w:start w:val="1"/>
      <w:numFmt w:val="bullet"/>
      <w:lvlText w:val="o"/>
      <w:lvlJc w:val="left"/>
      <w:pPr>
        <w:ind w:left="5740" w:hanging="360"/>
      </w:pPr>
      <w:rPr>
        <w:rFonts w:ascii="Courier New" w:hAnsi="Courier New" w:cs="Courier New" w:hint="default"/>
      </w:rPr>
    </w:lvl>
    <w:lvl w:ilvl="8" w:tplc="04130005" w:tentative="1">
      <w:start w:val="1"/>
      <w:numFmt w:val="bullet"/>
      <w:lvlText w:val=""/>
      <w:lvlJc w:val="left"/>
      <w:pPr>
        <w:ind w:left="6460" w:hanging="360"/>
      </w:pPr>
      <w:rPr>
        <w:rFonts w:ascii="Wingdings" w:hAnsi="Wingdings" w:hint="default"/>
      </w:rPr>
    </w:lvl>
  </w:abstractNum>
  <w:abstractNum w:abstractNumId="3" w15:restartNumberingAfterBreak="0">
    <w:nsid w:val="795808B0"/>
    <w:multiLevelType w:val="hybridMultilevel"/>
    <w:tmpl w:val="2D403908"/>
    <w:lvl w:ilvl="0" w:tplc="FB688B52">
      <w:start w:val="3"/>
      <w:numFmt w:val="bullet"/>
      <w:lvlText w:val=""/>
      <w:lvlJc w:val="left"/>
      <w:pPr>
        <w:ind w:left="700" w:hanging="360"/>
      </w:pPr>
      <w:rPr>
        <w:rFonts w:ascii="Wingdings" w:eastAsiaTheme="minorHAnsi" w:hAnsi="Wingdings" w:cs="Calibri" w:hint="default"/>
      </w:rPr>
    </w:lvl>
    <w:lvl w:ilvl="1" w:tplc="04130003" w:tentative="1">
      <w:start w:val="1"/>
      <w:numFmt w:val="bullet"/>
      <w:lvlText w:val="o"/>
      <w:lvlJc w:val="left"/>
      <w:pPr>
        <w:ind w:left="1420" w:hanging="360"/>
      </w:pPr>
      <w:rPr>
        <w:rFonts w:ascii="Courier New" w:hAnsi="Courier New" w:cs="Courier New" w:hint="default"/>
      </w:rPr>
    </w:lvl>
    <w:lvl w:ilvl="2" w:tplc="04130005" w:tentative="1">
      <w:start w:val="1"/>
      <w:numFmt w:val="bullet"/>
      <w:lvlText w:val=""/>
      <w:lvlJc w:val="left"/>
      <w:pPr>
        <w:ind w:left="2140" w:hanging="360"/>
      </w:pPr>
      <w:rPr>
        <w:rFonts w:ascii="Wingdings" w:hAnsi="Wingdings" w:hint="default"/>
      </w:rPr>
    </w:lvl>
    <w:lvl w:ilvl="3" w:tplc="04130001" w:tentative="1">
      <w:start w:val="1"/>
      <w:numFmt w:val="bullet"/>
      <w:lvlText w:val=""/>
      <w:lvlJc w:val="left"/>
      <w:pPr>
        <w:ind w:left="2860" w:hanging="360"/>
      </w:pPr>
      <w:rPr>
        <w:rFonts w:ascii="Symbol" w:hAnsi="Symbol" w:hint="default"/>
      </w:rPr>
    </w:lvl>
    <w:lvl w:ilvl="4" w:tplc="04130003" w:tentative="1">
      <w:start w:val="1"/>
      <w:numFmt w:val="bullet"/>
      <w:lvlText w:val="o"/>
      <w:lvlJc w:val="left"/>
      <w:pPr>
        <w:ind w:left="3580" w:hanging="360"/>
      </w:pPr>
      <w:rPr>
        <w:rFonts w:ascii="Courier New" w:hAnsi="Courier New" w:cs="Courier New" w:hint="default"/>
      </w:rPr>
    </w:lvl>
    <w:lvl w:ilvl="5" w:tplc="04130005" w:tentative="1">
      <w:start w:val="1"/>
      <w:numFmt w:val="bullet"/>
      <w:lvlText w:val=""/>
      <w:lvlJc w:val="left"/>
      <w:pPr>
        <w:ind w:left="4300" w:hanging="360"/>
      </w:pPr>
      <w:rPr>
        <w:rFonts w:ascii="Wingdings" w:hAnsi="Wingdings" w:hint="default"/>
      </w:rPr>
    </w:lvl>
    <w:lvl w:ilvl="6" w:tplc="04130001" w:tentative="1">
      <w:start w:val="1"/>
      <w:numFmt w:val="bullet"/>
      <w:lvlText w:val=""/>
      <w:lvlJc w:val="left"/>
      <w:pPr>
        <w:ind w:left="5020" w:hanging="360"/>
      </w:pPr>
      <w:rPr>
        <w:rFonts w:ascii="Symbol" w:hAnsi="Symbol" w:hint="default"/>
      </w:rPr>
    </w:lvl>
    <w:lvl w:ilvl="7" w:tplc="04130003" w:tentative="1">
      <w:start w:val="1"/>
      <w:numFmt w:val="bullet"/>
      <w:lvlText w:val="o"/>
      <w:lvlJc w:val="left"/>
      <w:pPr>
        <w:ind w:left="5740" w:hanging="360"/>
      </w:pPr>
      <w:rPr>
        <w:rFonts w:ascii="Courier New" w:hAnsi="Courier New" w:cs="Courier New" w:hint="default"/>
      </w:rPr>
    </w:lvl>
    <w:lvl w:ilvl="8" w:tplc="04130005" w:tentative="1">
      <w:start w:val="1"/>
      <w:numFmt w:val="bullet"/>
      <w:lvlText w:val=""/>
      <w:lvlJc w:val="left"/>
      <w:pPr>
        <w:ind w:left="6460" w:hanging="360"/>
      </w:pPr>
      <w:rPr>
        <w:rFonts w:ascii="Wingdings" w:hAnsi="Wingdings" w:hint="default"/>
      </w:rPr>
    </w:lvl>
  </w:abstractNum>
  <w:abstractNum w:abstractNumId="4" w15:restartNumberingAfterBreak="0">
    <w:nsid w:val="7E781B69"/>
    <w:multiLevelType w:val="hybridMultilevel"/>
    <w:tmpl w:val="A8B46B00"/>
    <w:lvl w:ilvl="0" w:tplc="7504A266">
      <w:start w:val="4"/>
      <w:numFmt w:val="bullet"/>
      <w:lvlText w:val="-"/>
      <w:lvlJc w:val="left"/>
      <w:pPr>
        <w:ind w:left="360" w:hanging="360"/>
      </w:pPr>
      <w:rPr>
        <w:rFonts w:ascii="Arial" w:eastAsia="Times New Roman" w:hAnsi="Arial" w:cs="Arial" w:hint="default"/>
        <w:i w:val="0"/>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4"/>
  <w:activeWritingStyle w:appName="MSWord" w:lang="en-US" w:vendorID="64" w:dllVersion="4096" w:nlCheck="1" w:checkStyle="0"/>
  <w:activeWritingStyle w:appName="MSWord" w:lang="en-GB" w:vendorID="64" w:dllVersion="4096" w:nlCheck="1" w:checkStyle="0"/>
  <w:activeWritingStyle w:appName="MSWord" w:lang="it-IT" w:vendorID="64" w:dllVersion="4096" w:nlCheck="1" w:checkStyle="0"/>
  <w:activeWritingStyle w:appName="MSWord" w:lang="nl-NL" w:vendorID="64" w:dllVersion="4096" w:nlCheck="1" w:checkStyle="0"/>
  <w:activeWritingStyle w:appName="MSWord" w:lang="nb-NO" w:vendorID="64" w:dllVersion="4096" w:nlCheck="1" w:checkStyle="0"/>
  <w:activeWritingStyle w:appName="MSWord" w:lang="nl-NL" w:vendorID="64" w:dllVersion="0" w:nlCheck="1" w:checkStyle="0"/>
  <w:activeWritingStyle w:appName="MSWord" w:lang="en-US" w:vendorID="64" w:dllVersion="0" w:nlCheck="1" w:checkStyle="0"/>
  <w:activeWritingStyle w:appName="MSWord" w:lang="en-GB" w:vendorID="64" w:dllVersion="0" w:nlCheck="1" w:checkStyle="0"/>
  <w:activeWritingStyle w:appName="MSWord" w:lang="it-IT" w:vendorID="64" w:dllVersion="0"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FAE"/>
    <w:rsid w:val="00002C7D"/>
    <w:rsid w:val="00003FF4"/>
    <w:rsid w:val="000045F9"/>
    <w:rsid w:val="00005467"/>
    <w:rsid w:val="000074B5"/>
    <w:rsid w:val="00011D8A"/>
    <w:rsid w:val="000146D1"/>
    <w:rsid w:val="000148B3"/>
    <w:rsid w:val="00020205"/>
    <w:rsid w:val="00021DA9"/>
    <w:rsid w:val="00027207"/>
    <w:rsid w:val="00030546"/>
    <w:rsid w:val="00032700"/>
    <w:rsid w:val="000369D8"/>
    <w:rsid w:val="00037A27"/>
    <w:rsid w:val="00044D8E"/>
    <w:rsid w:val="00052006"/>
    <w:rsid w:val="00053B87"/>
    <w:rsid w:val="00056AEF"/>
    <w:rsid w:val="00057A84"/>
    <w:rsid w:val="000648F2"/>
    <w:rsid w:val="00070356"/>
    <w:rsid w:val="00071388"/>
    <w:rsid w:val="00071F30"/>
    <w:rsid w:val="00073F66"/>
    <w:rsid w:val="00077E38"/>
    <w:rsid w:val="00081BCE"/>
    <w:rsid w:val="0008316D"/>
    <w:rsid w:val="00085A91"/>
    <w:rsid w:val="00091813"/>
    <w:rsid w:val="00092E08"/>
    <w:rsid w:val="00093BF5"/>
    <w:rsid w:val="00093EC9"/>
    <w:rsid w:val="000976A2"/>
    <w:rsid w:val="000A438D"/>
    <w:rsid w:val="000A5538"/>
    <w:rsid w:val="000A6938"/>
    <w:rsid w:val="000A7823"/>
    <w:rsid w:val="000B0B6B"/>
    <w:rsid w:val="000B192F"/>
    <w:rsid w:val="000B2F6F"/>
    <w:rsid w:val="000B34D2"/>
    <w:rsid w:val="000B416F"/>
    <w:rsid w:val="000B6252"/>
    <w:rsid w:val="000B62F3"/>
    <w:rsid w:val="000B7DA3"/>
    <w:rsid w:val="000C53E8"/>
    <w:rsid w:val="000C6C35"/>
    <w:rsid w:val="000D0974"/>
    <w:rsid w:val="000D34B0"/>
    <w:rsid w:val="000D399E"/>
    <w:rsid w:val="000D44B8"/>
    <w:rsid w:val="000E020C"/>
    <w:rsid w:val="000E118A"/>
    <w:rsid w:val="000F0A62"/>
    <w:rsid w:val="000F2973"/>
    <w:rsid w:val="000F33EA"/>
    <w:rsid w:val="000F6705"/>
    <w:rsid w:val="001012DC"/>
    <w:rsid w:val="001025F1"/>
    <w:rsid w:val="00102BDC"/>
    <w:rsid w:val="00105305"/>
    <w:rsid w:val="00105E6F"/>
    <w:rsid w:val="0010660D"/>
    <w:rsid w:val="001132CF"/>
    <w:rsid w:val="001134CC"/>
    <w:rsid w:val="00115EAC"/>
    <w:rsid w:val="00117BD9"/>
    <w:rsid w:val="0012093F"/>
    <w:rsid w:val="00122B66"/>
    <w:rsid w:val="001233C3"/>
    <w:rsid w:val="001245DE"/>
    <w:rsid w:val="00130728"/>
    <w:rsid w:val="00131C63"/>
    <w:rsid w:val="0013444A"/>
    <w:rsid w:val="0014059A"/>
    <w:rsid w:val="00140D04"/>
    <w:rsid w:val="001410AE"/>
    <w:rsid w:val="00142AD0"/>
    <w:rsid w:val="00144882"/>
    <w:rsid w:val="001461C4"/>
    <w:rsid w:val="00146790"/>
    <w:rsid w:val="00146F50"/>
    <w:rsid w:val="001511C7"/>
    <w:rsid w:val="0015125E"/>
    <w:rsid w:val="0015169E"/>
    <w:rsid w:val="00154D3E"/>
    <w:rsid w:val="00156A7B"/>
    <w:rsid w:val="00160210"/>
    <w:rsid w:val="0016313E"/>
    <w:rsid w:val="0016676F"/>
    <w:rsid w:val="00171A55"/>
    <w:rsid w:val="00171E7E"/>
    <w:rsid w:val="00176EAA"/>
    <w:rsid w:val="001771D6"/>
    <w:rsid w:val="001825E4"/>
    <w:rsid w:val="001833E8"/>
    <w:rsid w:val="001839D6"/>
    <w:rsid w:val="00186576"/>
    <w:rsid w:val="001916F4"/>
    <w:rsid w:val="00192AD9"/>
    <w:rsid w:val="001933F0"/>
    <w:rsid w:val="00194690"/>
    <w:rsid w:val="00196F01"/>
    <w:rsid w:val="001A1D64"/>
    <w:rsid w:val="001A54AB"/>
    <w:rsid w:val="001C30B1"/>
    <w:rsid w:val="001C59ED"/>
    <w:rsid w:val="001D2689"/>
    <w:rsid w:val="001D3A9F"/>
    <w:rsid w:val="001D4A11"/>
    <w:rsid w:val="001E405D"/>
    <w:rsid w:val="001F1348"/>
    <w:rsid w:val="001F372A"/>
    <w:rsid w:val="001F4A11"/>
    <w:rsid w:val="001F5B09"/>
    <w:rsid w:val="001F7A2D"/>
    <w:rsid w:val="002034E9"/>
    <w:rsid w:val="00203E21"/>
    <w:rsid w:val="00205365"/>
    <w:rsid w:val="00207CB7"/>
    <w:rsid w:val="00212EB7"/>
    <w:rsid w:val="00222CC1"/>
    <w:rsid w:val="00224DAF"/>
    <w:rsid w:val="00225553"/>
    <w:rsid w:val="00230142"/>
    <w:rsid w:val="002334B3"/>
    <w:rsid w:val="00233BEE"/>
    <w:rsid w:val="00243B0E"/>
    <w:rsid w:val="00244534"/>
    <w:rsid w:val="00246759"/>
    <w:rsid w:val="00256842"/>
    <w:rsid w:val="00260AA6"/>
    <w:rsid w:val="0026291C"/>
    <w:rsid w:val="00262A87"/>
    <w:rsid w:val="00272769"/>
    <w:rsid w:val="0028048E"/>
    <w:rsid w:val="00281506"/>
    <w:rsid w:val="00284CC9"/>
    <w:rsid w:val="002909E0"/>
    <w:rsid w:val="002925E0"/>
    <w:rsid w:val="00294888"/>
    <w:rsid w:val="00294ABF"/>
    <w:rsid w:val="00294DC9"/>
    <w:rsid w:val="00294EBA"/>
    <w:rsid w:val="00296578"/>
    <w:rsid w:val="002A0D3D"/>
    <w:rsid w:val="002A3E79"/>
    <w:rsid w:val="002A4378"/>
    <w:rsid w:val="002A6228"/>
    <w:rsid w:val="002A72C9"/>
    <w:rsid w:val="002B0919"/>
    <w:rsid w:val="002C0758"/>
    <w:rsid w:val="002C1080"/>
    <w:rsid w:val="002C3323"/>
    <w:rsid w:val="002C55FA"/>
    <w:rsid w:val="002D0C22"/>
    <w:rsid w:val="002D0C36"/>
    <w:rsid w:val="002D1115"/>
    <w:rsid w:val="002D178F"/>
    <w:rsid w:val="002D3B5C"/>
    <w:rsid w:val="002D3BFB"/>
    <w:rsid w:val="002D44AC"/>
    <w:rsid w:val="002D4AAD"/>
    <w:rsid w:val="002D6034"/>
    <w:rsid w:val="002D6A1F"/>
    <w:rsid w:val="002D7201"/>
    <w:rsid w:val="002D78D0"/>
    <w:rsid w:val="002E01F1"/>
    <w:rsid w:val="002E178F"/>
    <w:rsid w:val="002E1E61"/>
    <w:rsid w:val="002E220B"/>
    <w:rsid w:val="002E24BD"/>
    <w:rsid w:val="002E2F91"/>
    <w:rsid w:val="002E414E"/>
    <w:rsid w:val="002E6196"/>
    <w:rsid w:val="002E6A75"/>
    <w:rsid w:val="002E6F15"/>
    <w:rsid w:val="002F1CDA"/>
    <w:rsid w:val="002F3B7F"/>
    <w:rsid w:val="002F4675"/>
    <w:rsid w:val="00300214"/>
    <w:rsid w:val="00300352"/>
    <w:rsid w:val="00305767"/>
    <w:rsid w:val="003076C7"/>
    <w:rsid w:val="00310584"/>
    <w:rsid w:val="003126B2"/>
    <w:rsid w:val="003220C1"/>
    <w:rsid w:val="003265F8"/>
    <w:rsid w:val="0032700A"/>
    <w:rsid w:val="0032702B"/>
    <w:rsid w:val="0033139B"/>
    <w:rsid w:val="00332186"/>
    <w:rsid w:val="003407F9"/>
    <w:rsid w:val="00340B5C"/>
    <w:rsid w:val="00342782"/>
    <w:rsid w:val="003444DE"/>
    <w:rsid w:val="003473B5"/>
    <w:rsid w:val="00350654"/>
    <w:rsid w:val="00352CDF"/>
    <w:rsid w:val="0035316A"/>
    <w:rsid w:val="003541CE"/>
    <w:rsid w:val="003554E8"/>
    <w:rsid w:val="00356BAF"/>
    <w:rsid w:val="00360091"/>
    <w:rsid w:val="00363257"/>
    <w:rsid w:val="0036652B"/>
    <w:rsid w:val="00366F29"/>
    <w:rsid w:val="00371CC2"/>
    <w:rsid w:val="003735DD"/>
    <w:rsid w:val="00374A56"/>
    <w:rsid w:val="003760BF"/>
    <w:rsid w:val="003764E1"/>
    <w:rsid w:val="003774A4"/>
    <w:rsid w:val="00386EA3"/>
    <w:rsid w:val="003915C8"/>
    <w:rsid w:val="0039272C"/>
    <w:rsid w:val="00392E94"/>
    <w:rsid w:val="00393940"/>
    <w:rsid w:val="0039424F"/>
    <w:rsid w:val="00397722"/>
    <w:rsid w:val="003A024A"/>
    <w:rsid w:val="003A5ADF"/>
    <w:rsid w:val="003B153E"/>
    <w:rsid w:val="003B216B"/>
    <w:rsid w:val="003C377E"/>
    <w:rsid w:val="003C41E5"/>
    <w:rsid w:val="003C4767"/>
    <w:rsid w:val="003C70B5"/>
    <w:rsid w:val="003D2908"/>
    <w:rsid w:val="003D3227"/>
    <w:rsid w:val="003D46B6"/>
    <w:rsid w:val="003D4E7D"/>
    <w:rsid w:val="003D5693"/>
    <w:rsid w:val="003E5BDA"/>
    <w:rsid w:val="003E705F"/>
    <w:rsid w:val="003E725B"/>
    <w:rsid w:val="003E7B28"/>
    <w:rsid w:val="003F1AD6"/>
    <w:rsid w:val="003F7C1D"/>
    <w:rsid w:val="0040106B"/>
    <w:rsid w:val="00401A22"/>
    <w:rsid w:val="00402C21"/>
    <w:rsid w:val="00403421"/>
    <w:rsid w:val="00403580"/>
    <w:rsid w:val="004050DB"/>
    <w:rsid w:val="00414980"/>
    <w:rsid w:val="00424CDE"/>
    <w:rsid w:val="00425B48"/>
    <w:rsid w:val="00431146"/>
    <w:rsid w:val="004422D3"/>
    <w:rsid w:val="00442E73"/>
    <w:rsid w:val="00445D10"/>
    <w:rsid w:val="00446432"/>
    <w:rsid w:val="00447240"/>
    <w:rsid w:val="0045375F"/>
    <w:rsid w:val="00455C73"/>
    <w:rsid w:val="00461DBB"/>
    <w:rsid w:val="00462083"/>
    <w:rsid w:val="0046370B"/>
    <w:rsid w:val="004650AD"/>
    <w:rsid w:val="004729ED"/>
    <w:rsid w:val="00473194"/>
    <w:rsid w:val="00475368"/>
    <w:rsid w:val="00481AC8"/>
    <w:rsid w:val="004836CD"/>
    <w:rsid w:val="00486805"/>
    <w:rsid w:val="004872E9"/>
    <w:rsid w:val="004912D9"/>
    <w:rsid w:val="0049146A"/>
    <w:rsid w:val="00492C93"/>
    <w:rsid w:val="00493F8D"/>
    <w:rsid w:val="0049483B"/>
    <w:rsid w:val="004951C2"/>
    <w:rsid w:val="00496779"/>
    <w:rsid w:val="004A0FD0"/>
    <w:rsid w:val="004A16CE"/>
    <w:rsid w:val="004A3B46"/>
    <w:rsid w:val="004B07A6"/>
    <w:rsid w:val="004B1A94"/>
    <w:rsid w:val="004B35A9"/>
    <w:rsid w:val="004B43C3"/>
    <w:rsid w:val="004B700B"/>
    <w:rsid w:val="004B787B"/>
    <w:rsid w:val="004C02F9"/>
    <w:rsid w:val="004C2890"/>
    <w:rsid w:val="004C499C"/>
    <w:rsid w:val="004C69E9"/>
    <w:rsid w:val="004D008B"/>
    <w:rsid w:val="004D064E"/>
    <w:rsid w:val="004D22D2"/>
    <w:rsid w:val="004D390F"/>
    <w:rsid w:val="004E41F8"/>
    <w:rsid w:val="004F12E5"/>
    <w:rsid w:val="004F26FA"/>
    <w:rsid w:val="004F2EA7"/>
    <w:rsid w:val="004F2FAE"/>
    <w:rsid w:val="005001C9"/>
    <w:rsid w:val="00503EAD"/>
    <w:rsid w:val="0051059F"/>
    <w:rsid w:val="0051162F"/>
    <w:rsid w:val="00511B9C"/>
    <w:rsid w:val="00515BA2"/>
    <w:rsid w:val="005245E9"/>
    <w:rsid w:val="00524C68"/>
    <w:rsid w:val="00532AD7"/>
    <w:rsid w:val="00533F08"/>
    <w:rsid w:val="0054328A"/>
    <w:rsid w:val="00543F62"/>
    <w:rsid w:val="00547EB9"/>
    <w:rsid w:val="00553329"/>
    <w:rsid w:val="00553719"/>
    <w:rsid w:val="00557702"/>
    <w:rsid w:val="00561F65"/>
    <w:rsid w:val="005620FF"/>
    <w:rsid w:val="005648A1"/>
    <w:rsid w:val="00565A05"/>
    <w:rsid w:val="00565F8A"/>
    <w:rsid w:val="00585115"/>
    <w:rsid w:val="00587BF6"/>
    <w:rsid w:val="005918A3"/>
    <w:rsid w:val="005A011C"/>
    <w:rsid w:val="005B7EC6"/>
    <w:rsid w:val="005C2240"/>
    <w:rsid w:val="005C40B7"/>
    <w:rsid w:val="005D0F5D"/>
    <w:rsid w:val="005D1A81"/>
    <w:rsid w:val="005D205F"/>
    <w:rsid w:val="005D2196"/>
    <w:rsid w:val="005E16BA"/>
    <w:rsid w:val="005E548B"/>
    <w:rsid w:val="005E553B"/>
    <w:rsid w:val="005E5AA5"/>
    <w:rsid w:val="005E6235"/>
    <w:rsid w:val="005E752A"/>
    <w:rsid w:val="005F26C1"/>
    <w:rsid w:val="005F2847"/>
    <w:rsid w:val="00605E30"/>
    <w:rsid w:val="00605F20"/>
    <w:rsid w:val="006113FE"/>
    <w:rsid w:val="00611F64"/>
    <w:rsid w:val="00615B21"/>
    <w:rsid w:val="006160CF"/>
    <w:rsid w:val="006165D4"/>
    <w:rsid w:val="00620D01"/>
    <w:rsid w:val="00623424"/>
    <w:rsid w:val="00623BA8"/>
    <w:rsid w:val="0062438B"/>
    <w:rsid w:val="006247D6"/>
    <w:rsid w:val="00627974"/>
    <w:rsid w:val="00631D46"/>
    <w:rsid w:val="00632000"/>
    <w:rsid w:val="0064342B"/>
    <w:rsid w:val="00643CF8"/>
    <w:rsid w:val="00644013"/>
    <w:rsid w:val="00645258"/>
    <w:rsid w:val="006464CA"/>
    <w:rsid w:val="00646C2A"/>
    <w:rsid w:val="0064753B"/>
    <w:rsid w:val="006523D0"/>
    <w:rsid w:val="00663132"/>
    <w:rsid w:val="00670322"/>
    <w:rsid w:val="00670F90"/>
    <w:rsid w:val="0067175A"/>
    <w:rsid w:val="00671C1C"/>
    <w:rsid w:val="006724CF"/>
    <w:rsid w:val="006729ED"/>
    <w:rsid w:val="00673CD7"/>
    <w:rsid w:val="0067640B"/>
    <w:rsid w:val="00676918"/>
    <w:rsid w:val="0068568D"/>
    <w:rsid w:val="00686E8E"/>
    <w:rsid w:val="006909A0"/>
    <w:rsid w:val="0069143D"/>
    <w:rsid w:val="00691A48"/>
    <w:rsid w:val="006A04EF"/>
    <w:rsid w:val="006A0D7B"/>
    <w:rsid w:val="006A5595"/>
    <w:rsid w:val="006A605E"/>
    <w:rsid w:val="006A6965"/>
    <w:rsid w:val="006A7686"/>
    <w:rsid w:val="006C3147"/>
    <w:rsid w:val="006C4EBD"/>
    <w:rsid w:val="006D5B96"/>
    <w:rsid w:val="006E03EC"/>
    <w:rsid w:val="006E2594"/>
    <w:rsid w:val="006E3876"/>
    <w:rsid w:val="006F2B67"/>
    <w:rsid w:val="006F333E"/>
    <w:rsid w:val="006F4669"/>
    <w:rsid w:val="006F5759"/>
    <w:rsid w:val="006F6D84"/>
    <w:rsid w:val="006F6E3B"/>
    <w:rsid w:val="006F6EA7"/>
    <w:rsid w:val="006F7EBD"/>
    <w:rsid w:val="00700CB1"/>
    <w:rsid w:val="00701E86"/>
    <w:rsid w:val="00703C3D"/>
    <w:rsid w:val="007059F2"/>
    <w:rsid w:val="00707BB9"/>
    <w:rsid w:val="0072020D"/>
    <w:rsid w:val="00720702"/>
    <w:rsid w:val="00720DE7"/>
    <w:rsid w:val="0072565F"/>
    <w:rsid w:val="007307AD"/>
    <w:rsid w:val="00732C55"/>
    <w:rsid w:val="00735106"/>
    <w:rsid w:val="007353AC"/>
    <w:rsid w:val="00736A3C"/>
    <w:rsid w:val="00736BC6"/>
    <w:rsid w:val="00736D64"/>
    <w:rsid w:val="0073712B"/>
    <w:rsid w:val="00740F49"/>
    <w:rsid w:val="00742A6F"/>
    <w:rsid w:val="0074382A"/>
    <w:rsid w:val="00750573"/>
    <w:rsid w:val="00751BB7"/>
    <w:rsid w:val="00760AE6"/>
    <w:rsid w:val="00761D97"/>
    <w:rsid w:val="007632F2"/>
    <w:rsid w:val="00763473"/>
    <w:rsid w:val="00765CD4"/>
    <w:rsid w:val="00766948"/>
    <w:rsid w:val="007711A1"/>
    <w:rsid w:val="00773BE9"/>
    <w:rsid w:val="0077581B"/>
    <w:rsid w:val="00781999"/>
    <w:rsid w:val="00783E40"/>
    <w:rsid w:val="007852C0"/>
    <w:rsid w:val="0078572A"/>
    <w:rsid w:val="00791219"/>
    <w:rsid w:val="007968AC"/>
    <w:rsid w:val="007A0017"/>
    <w:rsid w:val="007A33AC"/>
    <w:rsid w:val="007A3681"/>
    <w:rsid w:val="007A4203"/>
    <w:rsid w:val="007A7513"/>
    <w:rsid w:val="007A7C5F"/>
    <w:rsid w:val="007B1C4B"/>
    <w:rsid w:val="007B1FB2"/>
    <w:rsid w:val="007B2696"/>
    <w:rsid w:val="007B4BC7"/>
    <w:rsid w:val="007B76E0"/>
    <w:rsid w:val="007B77B3"/>
    <w:rsid w:val="007C086B"/>
    <w:rsid w:val="007C37C5"/>
    <w:rsid w:val="007C534C"/>
    <w:rsid w:val="007D0222"/>
    <w:rsid w:val="007D4C5C"/>
    <w:rsid w:val="007E36B8"/>
    <w:rsid w:val="007E7F8E"/>
    <w:rsid w:val="007F2624"/>
    <w:rsid w:val="007F2DBC"/>
    <w:rsid w:val="007F3AD0"/>
    <w:rsid w:val="007F5649"/>
    <w:rsid w:val="007F6332"/>
    <w:rsid w:val="00800399"/>
    <w:rsid w:val="008008AA"/>
    <w:rsid w:val="008009E7"/>
    <w:rsid w:val="00800E36"/>
    <w:rsid w:val="00803212"/>
    <w:rsid w:val="008037EF"/>
    <w:rsid w:val="008037F5"/>
    <w:rsid w:val="008053FD"/>
    <w:rsid w:val="008110E3"/>
    <w:rsid w:val="00811A58"/>
    <w:rsid w:val="00811D77"/>
    <w:rsid w:val="00817AD5"/>
    <w:rsid w:val="0082256B"/>
    <w:rsid w:val="00822905"/>
    <w:rsid w:val="00825277"/>
    <w:rsid w:val="0083039D"/>
    <w:rsid w:val="008349E3"/>
    <w:rsid w:val="00836093"/>
    <w:rsid w:val="008362C5"/>
    <w:rsid w:val="00845DD3"/>
    <w:rsid w:val="00847355"/>
    <w:rsid w:val="00850565"/>
    <w:rsid w:val="00850E81"/>
    <w:rsid w:val="00852444"/>
    <w:rsid w:val="00853F09"/>
    <w:rsid w:val="00854EAB"/>
    <w:rsid w:val="00855E2C"/>
    <w:rsid w:val="00855F73"/>
    <w:rsid w:val="00861D70"/>
    <w:rsid w:val="00862AEB"/>
    <w:rsid w:val="00862C35"/>
    <w:rsid w:val="008633A0"/>
    <w:rsid w:val="008634D6"/>
    <w:rsid w:val="008642C4"/>
    <w:rsid w:val="00865C70"/>
    <w:rsid w:val="008661F7"/>
    <w:rsid w:val="008703E0"/>
    <w:rsid w:val="00874209"/>
    <w:rsid w:val="00875F7A"/>
    <w:rsid w:val="00880B0D"/>
    <w:rsid w:val="00881891"/>
    <w:rsid w:val="00895E77"/>
    <w:rsid w:val="008967AE"/>
    <w:rsid w:val="0089742D"/>
    <w:rsid w:val="008A55DC"/>
    <w:rsid w:val="008A58BE"/>
    <w:rsid w:val="008B136E"/>
    <w:rsid w:val="008B3288"/>
    <w:rsid w:val="008B3747"/>
    <w:rsid w:val="008C08C2"/>
    <w:rsid w:val="008C578C"/>
    <w:rsid w:val="008C6B29"/>
    <w:rsid w:val="008D4A1A"/>
    <w:rsid w:val="008D6D17"/>
    <w:rsid w:val="008E5678"/>
    <w:rsid w:val="008E60EC"/>
    <w:rsid w:val="008E617C"/>
    <w:rsid w:val="008F06FF"/>
    <w:rsid w:val="008F0E8A"/>
    <w:rsid w:val="008F1B1B"/>
    <w:rsid w:val="008F3286"/>
    <w:rsid w:val="008F455C"/>
    <w:rsid w:val="00900E85"/>
    <w:rsid w:val="00901156"/>
    <w:rsid w:val="0090619F"/>
    <w:rsid w:val="0091049E"/>
    <w:rsid w:val="009175F3"/>
    <w:rsid w:val="00922B19"/>
    <w:rsid w:val="00923433"/>
    <w:rsid w:val="00923E07"/>
    <w:rsid w:val="009254DF"/>
    <w:rsid w:val="00927A6F"/>
    <w:rsid w:val="00931CBB"/>
    <w:rsid w:val="00933D3B"/>
    <w:rsid w:val="00936EC2"/>
    <w:rsid w:val="0093778D"/>
    <w:rsid w:val="009407CC"/>
    <w:rsid w:val="00942DE5"/>
    <w:rsid w:val="00946D4A"/>
    <w:rsid w:val="00951984"/>
    <w:rsid w:val="009520C6"/>
    <w:rsid w:val="00952F1E"/>
    <w:rsid w:val="00953D5B"/>
    <w:rsid w:val="0095481A"/>
    <w:rsid w:val="009554AB"/>
    <w:rsid w:val="00955A98"/>
    <w:rsid w:val="00960AAC"/>
    <w:rsid w:val="00965FEA"/>
    <w:rsid w:val="00974646"/>
    <w:rsid w:val="0098227A"/>
    <w:rsid w:val="009824AD"/>
    <w:rsid w:val="00982C99"/>
    <w:rsid w:val="00986618"/>
    <w:rsid w:val="00987483"/>
    <w:rsid w:val="00987E33"/>
    <w:rsid w:val="009928A2"/>
    <w:rsid w:val="00996E37"/>
    <w:rsid w:val="009A2B31"/>
    <w:rsid w:val="009C1511"/>
    <w:rsid w:val="009C22BD"/>
    <w:rsid w:val="009C2A5D"/>
    <w:rsid w:val="009C3FCE"/>
    <w:rsid w:val="009D0E10"/>
    <w:rsid w:val="009D78E4"/>
    <w:rsid w:val="009E154B"/>
    <w:rsid w:val="009E3D56"/>
    <w:rsid w:val="009E472C"/>
    <w:rsid w:val="009E660C"/>
    <w:rsid w:val="009E712F"/>
    <w:rsid w:val="009F169C"/>
    <w:rsid w:val="009F1B4A"/>
    <w:rsid w:val="009F242E"/>
    <w:rsid w:val="009F2E30"/>
    <w:rsid w:val="009F6740"/>
    <w:rsid w:val="00A00615"/>
    <w:rsid w:val="00A03B7C"/>
    <w:rsid w:val="00A154A3"/>
    <w:rsid w:val="00A16AB2"/>
    <w:rsid w:val="00A173E4"/>
    <w:rsid w:val="00A22032"/>
    <w:rsid w:val="00A22CBA"/>
    <w:rsid w:val="00A231B9"/>
    <w:rsid w:val="00A32A02"/>
    <w:rsid w:val="00A36E19"/>
    <w:rsid w:val="00A43923"/>
    <w:rsid w:val="00A47250"/>
    <w:rsid w:val="00A50EFD"/>
    <w:rsid w:val="00A53AE5"/>
    <w:rsid w:val="00A53CAF"/>
    <w:rsid w:val="00A5535D"/>
    <w:rsid w:val="00A55828"/>
    <w:rsid w:val="00A60E0B"/>
    <w:rsid w:val="00A6107D"/>
    <w:rsid w:val="00A62DDA"/>
    <w:rsid w:val="00A701D1"/>
    <w:rsid w:val="00A7153D"/>
    <w:rsid w:val="00A73F5A"/>
    <w:rsid w:val="00A74DA3"/>
    <w:rsid w:val="00A941E4"/>
    <w:rsid w:val="00A967ED"/>
    <w:rsid w:val="00AA5A58"/>
    <w:rsid w:val="00AA61F5"/>
    <w:rsid w:val="00AA7BD0"/>
    <w:rsid w:val="00AB0FD5"/>
    <w:rsid w:val="00AB21AC"/>
    <w:rsid w:val="00AB40B3"/>
    <w:rsid w:val="00AB45CD"/>
    <w:rsid w:val="00AB513E"/>
    <w:rsid w:val="00AC49F0"/>
    <w:rsid w:val="00AC6607"/>
    <w:rsid w:val="00AD1249"/>
    <w:rsid w:val="00AD69A9"/>
    <w:rsid w:val="00AE0CA3"/>
    <w:rsid w:val="00AE4FA9"/>
    <w:rsid w:val="00AE59CD"/>
    <w:rsid w:val="00AE73D0"/>
    <w:rsid w:val="00AF7FBB"/>
    <w:rsid w:val="00B00007"/>
    <w:rsid w:val="00B00F0F"/>
    <w:rsid w:val="00B03CD4"/>
    <w:rsid w:val="00B07654"/>
    <w:rsid w:val="00B11FB5"/>
    <w:rsid w:val="00B208D8"/>
    <w:rsid w:val="00B212F9"/>
    <w:rsid w:val="00B216C5"/>
    <w:rsid w:val="00B239C7"/>
    <w:rsid w:val="00B25DC5"/>
    <w:rsid w:val="00B25EFD"/>
    <w:rsid w:val="00B3009E"/>
    <w:rsid w:val="00B3016C"/>
    <w:rsid w:val="00B324B5"/>
    <w:rsid w:val="00B32D9B"/>
    <w:rsid w:val="00B3375D"/>
    <w:rsid w:val="00B34B38"/>
    <w:rsid w:val="00B37364"/>
    <w:rsid w:val="00B4481E"/>
    <w:rsid w:val="00B44C3A"/>
    <w:rsid w:val="00B46C3C"/>
    <w:rsid w:val="00B510C5"/>
    <w:rsid w:val="00B51654"/>
    <w:rsid w:val="00B52AFC"/>
    <w:rsid w:val="00B55244"/>
    <w:rsid w:val="00B5527B"/>
    <w:rsid w:val="00B55D49"/>
    <w:rsid w:val="00B5671A"/>
    <w:rsid w:val="00B56989"/>
    <w:rsid w:val="00B57E01"/>
    <w:rsid w:val="00B63946"/>
    <w:rsid w:val="00B640A1"/>
    <w:rsid w:val="00B65142"/>
    <w:rsid w:val="00B6727B"/>
    <w:rsid w:val="00B700C4"/>
    <w:rsid w:val="00B7014A"/>
    <w:rsid w:val="00B70BD9"/>
    <w:rsid w:val="00B729BD"/>
    <w:rsid w:val="00B737B8"/>
    <w:rsid w:val="00B7463B"/>
    <w:rsid w:val="00B8036D"/>
    <w:rsid w:val="00B82E7F"/>
    <w:rsid w:val="00B86B2D"/>
    <w:rsid w:val="00B87CF0"/>
    <w:rsid w:val="00B904A9"/>
    <w:rsid w:val="00B91755"/>
    <w:rsid w:val="00B923D9"/>
    <w:rsid w:val="00B943F6"/>
    <w:rsid w:val="00B96B42"/>
    <w:rsid w:val="00B973BF"/>
    <w:rsid w:val="00B97A39"/>
    <w:rsid w:val="00BA78A0"/>
    <w:rsid w:val="00BB24ED"/>
    <w:rsid w:val="00BB268A"/>
    <w:rsid w:val="00BB7B84"/>
    <w:rsid w:val="00BC050B"/>
    <w:rsid w:val="00BC098E"/>
    <w:rsid w:val="00BC39C0"/>
    <w:rsid w:val="00BD0DC4"/>
    <w:rsid w:val="00BD300B"/>
    <w:rsid w:val="00BD4D31"/>
    <w:rsid w:val="00BE7C64"/>
    <w:rsid w:val="00BF1368"/>
    <w:rsid w:val="00BF2A0C"/>
    <w:rsid w:val="00BF3E90"/>
    <w:rsid w:val="00BF5C93"/>
    <w:rsid w:val="00C00E31"/>
    <w:rsid w:val="00C02A49"/>
    <w:rsid w:val="00C02BF1"/>
    <w:rsid w:val="00C04468"/>
    <w:rsid w:val="00C04FDA"/>
    <w:rsid w:val="00C05D27"/>
    <w:rsid w:val="00C122FD"/>
    <w:rsid w:val="00C150EB"/>
    <w:rsid w:val="00C220F6"/>
    <w:rsid w:val="00C22817"/>
    <w:rsid w:val="00C22C3B"/>
    <w:rsid w:val="00C2425F"/>
    <w:rsid w:val="00C31030"/>
    <w:rsid w:val="00C3288B"/>
    <w:rsid w:val="00C34F8C"/>
    <w:rsid w:val="00C40D50"/>
    <w:rsid w:val="00C40DAC"/>
    <w:rsid w:val="00C40F71"/>
    <w:rsid w:val="00C417B8"/>
    <w:rsid w:val="00C431C6"/>
    <w:rsid w:val="00C44AA5"/>
    <w:rsid w:val="00C475AC"/>
    <w:rsid w:val="00C47A63"/>
    <w:rsid w:val="00C47DA9"/>
    <w:rsid w:val="00C50403"/>
    <w:rsid w:val="00C50882"/>
    <w:rsid w:val="00C54276"/>
    <w:rsid w:val="00C61FF9"/>
    <w:rsid w:val="00C64AB3"/>
    <w:rsid w:val="00C67703"/>
    <w:rsid w:val="00C67DD2"/>
    <w:rsid w:val="00C706F1"/>
    <w:rsid w:val="00C7677D"/>
    <w:rsid w:val="00C77A77"/>
    <w:rsid w:val="00C77CAC"/>
    <w:rsid w:val="00C83C89"/>
    <w:rsid w:val="00C84419"/>
    <w:rsid w:val="00C847C9"/>
    <w:rsid w:val="00C935FE"/>
    <w:rsid w:val="00C93A7D"/>
    <w:rsid w:val="00CA02C7"/>
    <w:rsid w:val="00CA1CDC"/>
    <w:rsid w:val="00CB05B3"/>
    <w:rsid w:val="00CB1072"/>
    <w:rsid w:val="00CB18E3"/>
    <w:rsid w:val="00CB2951"/>
    <w:rsid w:val="00CB460E"/>
    <w:rsid w:val="00CB47A2"/>
    <w:rsid w:val="00CB7EDE"/>
    <w:rsid w:val="00CC4479"/>
    <w:rsid w:val="00CC5FEC"/>
    <w:rsid w:val="00CC6415"/>
    <w:rsid w:val="00CD1443"/>
    <w:rsid w:val="00CD3312"/>
    <w:rsid w:val="00CD34D4"/>
    <w:rsid w:val="00CD5BE8"/>
    <w:rsid w:val="00CE1539"/>
    <w:rsid w:val="00CE25FE"/>
    <w:rsid w:val="00CE545A"/>
    <w:rsid w:val="00CE656A"/>
    <w:rsid w:val="00CF00FF"/>
    <w:rsid w:val="00CF268E"/>
    <w:rsid w:val="00CF2B56"/>
    <w:rsid w:val="00CF3770"/>
    <w:rsid w:val="00CF4EDC"/>
    <w:rsid w:val="00CF6AD3"/>
    <w:rsid w:val="00CF788C"/>
    <w:rsid w:val="00D03DB0"/>
    <w:rsid w:val="00D046B0"/>
    <w:rsid w:val="00D1000A"/>
    <w:rsid w:val="00D1211B"/>
    <w:rsid w:val="00D13F04"/>
    <w:rsid w:val="00D16184"/>
    <w:rsid w:val="00D16608"/>
    <w:rsid w:val="00D2195F"/>
    <w:rsid w:val="00D223FC"/>
    <w:rsid w:val="00D31821"/>
    <w:rsid w:val="00D31B15"/>
    <w:rsid w:val="00D3257A"/>
    <w:rsid w:val="00D34476"/>
    <w:rsid w:val="00D3582E"/>
    <w:rsid w:val="00D35FBF"/>
    <w:rsid w:val="00D3704A"/>
    <w:rsid w:val="00D422EF"/>
    <w:rsid w:val="00D42C41"/>
    <w:rsid w:val="00D43410"/>
    <w:rsid w:val="00D50907"/>
    <w:rsid w:val="00D534E4"/>
    <w:rsid w:val="00D538E8"/>
    <w:rsid w:val="00D547DC"/>
    <w:rsid w:val="00D66004"/>
    <w:rsid w:val="00D7062F"/>
    <w:rsid w:val="00D76EA4"/>
    <w:rsid w:val="00D8045A"/>
    <w:rsid w:val="00D844E1"/>
    <w:rsid w:val="00D849FE"/>
    <w:rsid w:val="00D87503"/>
    <w:rsid w:val="00D87650"/>
    <w:rsid w:val="00D916C1"/>
    <w:rsid w:val="00D95034"/>
    <w:rsid w:val="00DA0B93"/>
    <w:rsid w:val="00DA1B8A"/>
    <w:rsid w:val="00DA47A2"/>
    <w:rsid w:val="00DA4B0E"/>
    <w:rsid w:val="00DA4D6C"/>
    <w:rsid w:val="00DA50E5"/>
    <w:rsid w:val="00DA6362"/>
    <w:rsid w:val="00DA775A"/>
    <w:rsid w:val="00DB1690"/>
    <w:rsid w:val="00DB2236"/>
    <w:rsid w:val="00DB2C2D"/>
    <w:rsid w:val="00DB4D6F"/>
    <w:rsid w:val="00DB5D6F"/>
    <w:rsid w:val="00DB7C74"/>
    <w:rsid w:val="00DC15F0"/>
    <w:rsid w:val="00DC7B5F"/>
    <w:rsid w:val="00DD1558"/>
    <w:rsid w:val="00DD4828"/>
    <w:rsid w:val="00DD4E51"/>
    <w:rsid w:val="00DD59DB"/>
    <w:rsid w:val="00DD5CBA"/>
    <w:rsid w:val="00DD6915"/>
    <w:rsid w:val="00DE1057"/>
    <w:rsid w:val="00DE18C3"/>
    <w:rsid w:val="00DE1D1A"/>
    <w:rsid w:val="00DE3214"/>
    <w:rsid w:val="00DE53CD"/>
    <w:rsid w:val="00DE54AD"/>
    <w:rsid w:val="00DE7A1F"/>
    <w:rsid w:val="00DF2A1E"/>
    <w:rsid w:val="00E03197"/>
    <w:rsid w:val="00E12011"/>
    <w:rsid w:val="00E14408"/>
    <w:rsid w:val="00E15493"/>
    <w:rsid w:val="00E167F8"/>
    <w:rsid w:val="00E1777E"/>
    <w:rsid w:val="00E17E96"/>
    <w:rsid w:val="00E20CD4"/>
    <w:rsid w:val="00E21D4A"/>
    <w:rsid w:val="00E254DB"/>
    <w:rsid w:val="00E26021"/>
    <w:rsid w:val="00E27726"/>
    <w:rsid w:val="00E32577"/>
    <w:rsid w:val="00E338E8"/>
    <w:rsid w:val="00E35467"/>
    <w:rsid w:val="00E368C7"/>
    <w:rsid w:val="00E36B9B"/>
    <w:rsid w:val="00E3724A"/>
    <w:rsid w:val="00E414D1"/>
    <w:rsid w:val="00E41D1C"/>
    <w:rsid w:val="00E444F2"/>
    <w:rsid w:val="00E508C7"/>
    <w:rsid w:val="00E522B0"/>
    <w:rsid w:val="00E54CB3"/>
    <w:rsid w:val="00E554A9"/>
    <w:rsid w:val="00E55D88"/>
    <w:rsid w:val="00E56966"/>
    <w:rsid w:val="00E67796"/>
    <w:rsid w:val="00E711EE"/>
    <w:rsid w:val="00E72542"/>
    <w:rsid w:val="00E7331A"/>
    <w:rsid w:val="00E73426"/>
    <w:rsid w:val="00E750FE"/>
    <w:rsid w:val="00E75BDE"/>
    <w:rsid w:val="00E77BFC"/>
    <w:rsid w:val="00E77F28"/>
    <w:rsid w:val="00E81BCB"/>
    <w:rsid w:val="00E847DD"/>
    <w:rsid w:val="00E935A6"/>
    <w:rsid w:val="00E948E6"/>
    <w:rsid w:val="00EA2E74"/>
    <w:rsid w:val="00EB28F3"/>
    <w:rsid w:val="00EB2DC5"/>
    <w:rsid w:val="00EB3476"/>
    <w:rsid w:val="00EB4668"/>
    <w:rsid w:val="00EB5673"/>
    <w:rsid w:val="00EB5E62"/>
    <w:rsid w:val="00EB694C"/>
    <w:rsid w:val="00EB7D48"/>
    <w:rsid w:val="00EC12A5"/>
    <w:rsid w:val="00EC1725"/>
    <w:rsid w:val="00EC1816"/>
    <w:rsid w:val="00EC1972"/>
    <w:rsid w:val="00EC5BDB"/>
    <w:rsid w:val="00EC76F6"/>
    <w:rsid w:val="00ED0C22"/>
    <w:rsid w:val="00ED1C90"/>
    <w:rsid w:val="00ED2BDB"/>
    <w:rsid w:val="00ED37F0"/>
    <w:rsid w:val="00ED45D2"/>
    <w:rsid w:val="00EE078A"/>
    <w:rsid w:val="00EE41D1"/>
    <w:rsid w:val="00EF4914"/>
    <w:rsid w:val="00EF6320"/>
    <w:rsid w:val="00EF7713"/>
    <w:rsid w:val="00F00ACF"/>
    <w:rsid w:val="00F00D22"/>
    <w:rsid w:val="00F01FA4"/>
    <w:rsid w:val="00F02965"/>
    <w:rsid w:val="00F10F8B"/>
    <w:rsid w:val="00F14D5A"/>
    <w:rsid w:val="00F172A2"/>
    <w:rsid w:val="00F17ACE"/>
    <w:rsid w:val="00F24BAB"/>
    <w:rsid w:val="00F25880"/>
    <w:rsid w:val="00F25F2A"/>
    <w:rsid w:val="00F269BB"/>
    <w:rsid w:val="00F270F4"/>
    <w:rsid w:val="00F27252"/>
    <w:rsid w:val="00F2775E"/>
    <w:rsid w:val="00F32683"/>
    <w:rsid w:val="00F34BA1"/>
    <w:rsid w:val="00F35715"/>
    <w:rsid w:val="00F35BEC"/>
    <w:rsid w:val="00F373BE"/>
    <w:rsid w:val="00F374FF"/>
    <w:rsid w:val="00F40C8D"/>
    <w:rsid w:val="00F416DC"/>
    <w:rsid w:val="00F42FC5"/>
    <w:rsid w:val="00F43BA0"/>
    <w:rsid w:val="00F453B2"/>
    <w:rsid w:val="00F51AE5"/>
    <w:rsid w:val="00F5222F"/>
    <w:rsid w:val="00F566E0"/>
    <w:rsid w:val="00F573BF"/>
    <w:rsid w:val="00F62A4B"/>
    <w:rsid w:val="00F70976"/>
    <w:rsid w:val="00F70EE7"/>
    <w:rsid w:val="00F72BA9"/>
    <w:rsid w:val="00F72C87"/>
    <w:rsid w:val="00F75A7E"/>
    <w:rsid w:val="00F766C3"/>
    <w:rsid w:val="00F92E12"/>
    <w:rsid w:val="00FA0C1A"/>
    <w:rsid w:val="00FA10BB"/>
    <w:rsid w:val="00FA28C5"/>
    <w:rsid w:val="00FA3A8D"/>
    <w:rsid w:val="00FA6AA3"/>
    <w:rsid w:val="00FA6DF3"/>
    <w:rsid w:val="00FA70D2"/>
    <w:rsid w:val="00FA798E"/>
    <w:rsid w:val="00FB3300"/>
    <w:rsid w:val="00FB5A2E"/>
    <w:rsid w:val="00FC02FF"/>
    <w:rsid w:val="00FC3E1C"/>
    <w:rsid w:val="00FC68D8"/>
    <w:rsid w:val="00FD0529"/>
    <w:rsid w:val="00FD21BF"/>
    <w:rsid w:val="00FD32F4"/>
    <w:rsid w:val="00FD43C3"/>
    <w:rsid w:val="00FE07E5"/>
    <w:rsid w:val="00FE5E7D"/>
    <w:rsid w:val="00FE6B68"/>
    <w:rsid w:val="00FE757E"/>
    <w:rsid w:val="00FF23CF"/>
    <w:rsid w:val="00FF2D63"/>
    <w:rsid w:val="00FF53CC"/>
    <w:rsid w:val="00FF5747"/>
    <w:rsid w:val="00FF5FC1"/>
    <w:rsid w:val="00FF6D3D"/>
    <w:rsid w:val="00FF72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446DB1"/>
  <w14:defaultImageDpi w14:val="32767"/>
  <w15:chartTrackingRefBased/>
  <w15:docId w15:val="{06A29327-5001-4C44-AB6D-21B6AFDBB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32A02"/>
    <w:rPr>
      <w:lang w:val="en-GB"/>
    </w:rPr>
  </w:style>
  <w:style w:type="paragraph" w:styleId="Kop1">
    <w:name w:val="heading 1"/>
    <w:basedOn w:val="Standaard"/>
    <w:next w:val="Standaard"/>
    <w:link w:val="Kop1Char"/>
    <w:uiPriority w:val="9"/>
    <w:qFormat/>
    <w:rsid w:val="00EC12A5"/>
    <w:pPr>
      <w:spacing w:line="360" w:lineRule="auto"/>
      <w:jc w:val="both"/>
      <w:outlineLvl w:val="0"/>
    </w:pPr>
    <w:rPr>
      <w:rFonts w:ascii="Calibri" w:hAnsi="Calibri" w:cs="Calibri"/>
      <w:b/>
      <w:bCs/>
      <w:color w:val="000000" w:themeColor="text1"/>
      <w:sz w:val="28"/>
      <w:szCs w:val="28"/>
    </w:rPr>
  </w:style>
  <w:style w:type="paragraph" w:styleId="Kop2">
    <w:name w:val="heading 2"/>
    <w:basedOn w:val="Geenafstand"/>
    <w:next w:val="Standaard"/>
    <w:link w:val="Kop2Char"/>
    <w:uiPriority w:val="9"/>
    <w:unhideWhenUsed/>
    <w:qFormat/>
    <w:rsid w:val="00EC12A5"/>
    <w:pPr>
      <w:spacing w:line="480" w:lineRule="auto"/>
      <w:jc w:val="both"/>
      <w:outlineLvl w:val="1"/>
    </w:pPr>
    <w:rPr>
      <w:rFonts w:ascii="Calibri" w:hAnsi="Calibri" w:cs="Calibri"/>
      <w:i/>
      <w:iCs/>
      <w:lang w:val="en-GB"/>
    </w:rPr>
  </w:style>
  <w:style w:type="paragraph" w:styleId="Kop3">
    <w:name w:val="heading 3"/>
    <w:basedOn w:val="Standaard"/>
    <w:next w:val="Standaard"/>
    <w:link w:val="Kop3Char"/>
    <w:uiPriority w:val="9"/>
    <w:unhideWhenUsed/>
    <w:qFormat/>
    <w:rsid w:val="00EC12A5"/>
    <w:pPr>
      <w:widowControl w:val="0"/>
      <w:autoSpaceDE w:val="0"/>
      <w:autoSpaceDN w:val="0"/>
      <w:adjustRightInd w:val="0"/>
      <w:spacing w:line="360" w:lineRule="auto"/>
      <w:jc w:val="both"/>
      <w:outlineLvl w:val="2"/>
    </w:pPr>
    <w:rPr>
      <w:rFonts w:ascii="Calibri" w:hAnsi="Calibri" w:cs="Calibri"/>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apple-converted-space">
    <w:name w:val="apple-converted-space"/>
    <w:basedOn w:val="Standaardalinea-lettertype"/>
    <w:rsid w:val="00BC39C0"/>
  </w:style>
  <w:style w:type="paragraph" w:styleId="Geenafstand">
    <w:name w:val="No Spacing"/>
    <w:link w:val="GeenafstandChar"/>
    <w:uiPriority w:val="1"/>
    <w:qFormat/>
    <w:rsid w:val="00931CBB"/>
    <w:rPr>
      <w:sz w:val="22"/>
      <w:szCs w:val="22"/>
      <w:lang w:val="it-IT"/>
    </w:rPr>
  </w:style>
  <w:style w:type="character" w:customStyle="1" w:styleId="GeenafstandChar">
    <w:name w:val="Geen afstand Char"/>
    <w:basedOn w:val="Standaardalinea-lettertype"/>
    <w:link w:val="Geenafstand"/>
    <w:uiPriority w:val="1"/>
    <w:rsid w:val="00931CBB"/>
    <w:rPr>
      <w:sz w:val="22"/>
      <w:szCs w:val="22"/>
      <w:lang w:val="it-IT"/>
    </w:rPr>
  </w:style>
  <w:style w:type="character" w:customStyle="1" w:styleId="Kop2Char">
    <w:name w:val="Kop 2 Char"/>
    <w:basedOn w:val="Standaardalinea-lettertype"/>
    <w:link w:val="Kop2"/>
    <w:uiPriority w:val="9"/>
    <w:rsid w:val="00EC12A5"/>
    <w:rPr>
      <w:rFonts w:ascii="Calibri" w:hAnsi="Calibri" w:cs="Calibri"/>
      <w:i/>
      <w:iCs/>
      <w:sz w:val="22"/>
      <w:szCs w:val="22"/>
      <w:lang w:val="en-GB"/>
    </w:rPr>
  </w:style>
  <w:style w:type="character" w:styleId="Hyperlink">
    <w:name w:val="Hyperlink"/>
    <w:basedOn w:val="Standaardalinea-lettertype"/>
    <w:uiPriority w:val="99"/>
    <w:unhideWhenUsed/>
    <w:rsid w:val="00F70EE7"/>
    <w:rPr>
      <w:color w:val="0000FF"/>
      <w:u w:val="single"/>
    </w:rPr>
  </w:style>
  <w:style w:type="table" w:styleId="Tabelraster">
    <w:name w:val="Table Grid"/>
    <w:basedOn w:val="Standaardtabel"/>
    <w:uiPriority w:val="39"/>
    <w:rsid w:val="007758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unhideWhenUsed/>
    <w:rsid w:val="00144882"/>
    <w:pPr>
      <w:spacing w:before="100" w:beforeAutospacing="1" w:after="100" w:afterAutospacing="1"/>
    </w:pPr>
    <w:rPr>
      <w:rFonts w:ascii="Times New Roman" w:eastAsia="Times New Roman" w:hAnsi="Times New Roman" w:cs="Times New Roman"/>
      <w:lang w:val="nl-NL" w:eastAsia="nl-NL"/>
    </w:rPr>
  </w:style>
  <w:style w:type="paragraph" w:styleId="Lijstalinea">
    <w:name w:val="List Paragraph"/>
    <w:basedOn w:val="Standaard"/>
    <w:uiPriority w:val="34"/>
    <w:qFormat/>
    <w:rsid w:val="00144882"/>
    <w:pPr>
      <w:ind w:left="720"/>
      <w:contextualSpacing/>
    </w:pPr>
    <w:rPr>
      <w:lang w:val="en-US"/>
    </w:rPr>
  </w:style>
  <w:style w:type="paragraph" w:styleId="Ballontekst">
    <w:name w:val="Balloon Text"/>
    <w:basedOn w:val="Standaard"/>
    <w:link w:val="BallontekstChar"/>
    <w:uiPriority w:val="99"/>
    <w:semiHidden/>
    <w:unhideWhenUsed/>
    <w:rsid w:val="005B7EC6"/>
    <w:rPr>
      <w:rFonts w:ascii="Times New Roman" w:hAnsi="Times New Roman" w:cs="Times New Roman"/>
      <w:sz w:val="18"/>
      <w:szCs w:val="18"/>
    </w:rPr>
  </w:style>
  <w:style w:type="character" w:customStyle="1" w:styleId="BallontekstChar">
    <w:name w:val="Ballontekst Char"/>
    <w:basedOn w:val="Standaardalinea-lettertype"/>
    <w:link w:val="Ballontekst"/>
    <w:uiPriority w:val="99"/>
    <w:semiHidden/>
    <w:rsid w:val="005B7EC6"/>
    <w:rPr>
      <w:rFonts w:ascii="Times New Roman" w:hAnsi="Times New Roman" w:cs="Times New Roman"/>
      <w:sz w:val="18"/>
      <w:szCs w:val="18"/>
      <w:lang w:val="en-GB"/>
    </w:rPr>
  </w:style>
  <w:style w:type="paragraph" w:customStyle="1" w:styleId="StandaardLatijnsArial">
    <w:name w:val="Standaard + (Latijns) Arial"/>
    <w:aliases w:val="10 pt"/>
    <w:basedOn w:val="Standaard"/>
    <w:rsid w:val="004A0FD0"/>
    <w:pPr>
      <w:spacing w:line="480" w:lineRule="auto"/>
      <w:jc w:val="both"/>
    </w:pPr>
    <w:rPr>
      <w:rFonts w:ascii="Arial" w:eastAsia="Cambria" w:hAnsi="Arial" w:cs="Arial"/>
      <w:b/>
      <w:sz w:val="20"/>
      <w:szCs w:val="20"/>
      <w:lang w:val="en-US"/>
    </w:rPr>
  </w:style>
  <w:style w:type="paragraph" w:customStyle="1" w:styleId="Hoofdtekst">
    <w:name w:val="Hoofdtekst"/>
    <w:link w:val="HoofdtekstChar"/>
    <w:rsid w:val="001F7A2D"/>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eastAsia="nl-NL"/>
    </w:rPr>
  </w:style>
  <w:style w:type="character" w:customStyle="1" w:styleId="HoofdtekstChar">
    <w:name w:val="Hoofdtekst Char"/>
    <w:basedOn w:val="Standaardalinea-lettertype"/>
    <w:link w:val="Hoofdtekst"/>
    <w:rsid w:val="001F7A2D"/>
    <w:rPr>
      <w:rFonts w:ascii="Helvetica Neue" w:eastAsia="Arial Unicode MS" w:hAnsi="Helvetica Neue" w:cs="Arial Unicode MS"/>
      <w:color w:val="000000"/>
      <w:sz w:val="22"/>
      <w:szCs w:val="22"/>
      <w:bdr w:val="nil"/>
      <w:lang w:val="en-US" w:eastAsia="nl-NL"/>
    </w:rPr>
  </w:style>
  <w:style w:type="paragraph" w:customStyle="1" w:styleId="Body">
    <w:name w:val="Body"/>
    <w:rsid w:val="003554E8"/>
    <w:pPr>
      <w:pBdr>
        <w:top w:val="nil"/>
        <w:left w:val="nil"/>
        <w:bottom w:val="nil"/>
        <w:right w:val="nil"/>
        <w:between w:val="nil"/>
        <w:bar w:val="nil"/>
      </w:pBdr>
    </w:pPr>
    <w:rPr>
      <w:rFonts w:ascii="Times New Roman" w:eastAsia="Arial Unicode MS" w:hAnsi="Times New Roman" w:cs="Arial Unicode MS"/>
      <w:color w:val="000000"/>
      <w:u w:color="000000"/>
      <w:bdr w:val="nil"/>
      <w:lang w:val="en-US" w:eastAsia="nl-NL"/>
    </w:rPr>
  </w:style>
  <w:style w:type="paragraph" w:styleId="Voettekst">
    <w:name w:val="footer"/>
    <w:basedOn w:val="Standaard"/>
    <w:link w:val="VoettekstChar"/>
    <w:uiPriority w:val="99"/>
    <w:unhideWhenUsed/>
    <w:rsid w:val="005C40B7"/>
    <w:pPr>
      <w:tabs>
        <w:tab w:val="center" w:pos="4536"/>
        <w:tab w:val="right" w:pos="9072"/>
      </w:tabs>
    </w:pPr>
  </w:style>
  <w:style w:type="character" w:customStyle="1" w:styleId="VoettekstChar">
    <w:name w:val="Voettekst Char"/>
    <w:basedOn w:val="Standaardalinea-lettertype"/>
    <w:link w:val="Voettekst"/>
    <w:uiPriority w:val="99"/>
    <w:rsid w:val="005C40B7"/>
    <w:rPr>
      <w:lang w:val="en-GB"/>
    </w:rPr>
  </w:style>
  <w:style w:type="character" w:styleId="Paginanummer">
    <w:name w:val="page number"/>
    <w:basedOn w:val="Standaardalinea-lettertype"/>
    <w:uiPriority w:val="99"/>
    <w:semiHidden/>
    <w:unhideWhenUsed/>
    <w:rsid w:val="005C40B7"/>
  </w:style>
  <w:style w:type="paragraph" w:styleId="Revisie">
    <w:name w:val="Revision"/>
    <w:hidden/>
    <w:uiPriority w:val="99"/>
    <w:semiHidden/>
    <w:rsid w:val="00CF00FF"/>
    <w:rPr>
      <w:lang w:val="en-GB"/>
    </w:rPr>
  </w:style>
  <w:style w:type="character" w:styleId="Verwijzingopmerking">
    <w:name w:val="annotation reference"/>
    <w:basedOn w:val="Standaardalinea-lettertype"/>
    <w:uiPriority w:val="99"/>
    <w:semiHidden/>
    <w:unhideWhenUsed/>
    <w:rsid w:val="00B00007"/>
    <w:rPr>
      <w:sz w:val="16"/>
      <w:szCs w:val="16"/>
    </w:rPr>
  </w:style>
  <w:style w:type="paragraph" w:styleId="Tekstopmerking">
    <w:name w:val="annotation text"/>
    <w:basedOn w:val="Standaard"/>
    <w:link w:val="TekstopmerkingChar"/>
    <w:uiPriority w:val="99"/>
    <w:semiHidden/>
    <w:unhideWhenUsed/>
    <w:rsid w:val="00B00007"/>
    <w:rPr>
      <w:sz w:val="20"/>
      <w:szCs w:val="20"/>
    </w:rPr>
  </w:style>
  <w:style w:type="character" w:customStyle="1" w:styleId="TekstopmerkingChar">
    <w:name w:val="Tekst opmerking Char"/>
    <w:basedOn w:val="Standaardalinea-lettertype"/>
    <w:link w:val="Tekstopmerking"/>
    <w:uiPriority w:val="99"/>
    <w:semiHidden/>
    <w:rsid w:val="00B00007"/>
    <w:rPr>
      <w:sz w:val="20"/>
      <w:szCs w:val="20"/>
      <w:lang w:val="en-GB"/>
    </w:rPr>
  </w:style>
  <w:style w:type="paragraph" w:styleId="Onderwerpvanopmerking">
    <w:name w:val="annotation subject"/>
    <w:basedOn w:val="Tekstopmerking"/>
    <w:next w:val="Tekstopmerking"/>
    <w:link w:val="OnderwerpvanopmerkingChar"/>
    <w:uiPriority w:val="99"/>
    <w:semiHidden/>
    <w:unhideWhenUsed/>
    <w:rsid w:val="00B00007"/>
    <w:rPr>
      <w:b/>
      <w:bCs/>
    </w:rPr>
  </w:style>
  <w:style w:type="character" w:customStyle="1" w:styleId="OnderwerpvanopmerkingChar">
    <w:name w:val="Onderwerp van opmerking Char"/>
    <w:basedOn w:val="TekstopmerkingChar"/>
    <w:link w:val="Onderwerpvanopmerking"/>
    <w:uiPriority w:val="99"/>
    <w:semiHidden/>
    <w:rsid w:val="00B00007"/>
    <w:rPr>
      <w:b/>
      <w:bCs/>
      <w:sz w:val="20"/>
      <w:szCs w:val="20"/>
      <w:lang w:val="en-GB"/>
    </w:rPr>
  </w:style>
  <w:style w:type="character" w:styleId="GevolgdeHyperlink">
    <w:name w:val="FollowedHyperlink"/>
    <w:basedOn w:val="Standaardalinea-lettertype"/>
    <w:uiPriority w:val="99"/>
    <w:semiHidden/>
    <w:unhideWhenUsed/>
    <w:rsid w:val="006F6EA7"/>
    <w:rPr>
      <w:color w:val="954F72" w:themeColor="followedHyperlink"/>
      <w:u w:val="single"/>
    </w:rPr>
  </w:style>
  <w:style w:type="character" w:customStyle="1" w:styleId="Kop1Char">
    <w:name w:val="Kop 1 Char"/>
    <w:basedOn w:val="Standaardalinea-lettertype"/>
    <w:link w:val="Kop1"/>
    <w:uiPriority w:val="9"/>
    <w:rsid w:val="00EC12A5"/>
    <w:rPr>
      <w:rFonts w:ascii="Calibri" w:hAnsi="Calibri" w:cs="Calibri"/>
      <w:b/>
      <w:bCs/>
      <w:color w:val="000000" w:themeColor="text1"/>
      <w:sz w:val="28"/>
      <w:szCs w:val="28"/>
      <w:lang w:val="en-GB"/>
    </w:rPr>
  </w:style>
  <w:style w:type="character" w:customStyle="1" w:styleId="A1">
    <w:name w:val="A1"/>
    <w:uiPriority w:val="99"/>
    <w:rsid w:val="000B416F"/>
    <w:rPr>
      <w:rFonts w:cs="Janson Text LT"/>
      <w:color w:val="211D1E"/>
      <w:sz w:val="19"/>
      <w:szCs w:val="19"/>
    </w:rPr>
  </w:style>
  <w:style w:type="paragraph" w:customStyle="1" w:styleId="Default">
    <w:name w:val="Default"/>
    <w:rsid w:val="000B416F"/>
    <w:pPr>
      <w:autoSpaceDE w:val="0"/>
      <w:autoSpaceDN w:val="0"/>
      <w:adjustRightInd w:val="0"/>
    </w:pPr>
    <w:rPr>
      <w:rFonts w:ascii="Times New Roman" w:hAnsi="Times New Roman" w:cs="Times New Roman"/>
      <w:color w:val="000000"/>
    </w:rPr>
  </w:style>
  <w:style w:type="paragraph" w:styleId="Koptekst">
    <w:name w:val="header"/>
    <w:basedOn w:val="Standaard"/>
    <w:link w:val="KoptekstChar"/>
    <w:uiPriority w:val="99"/>
    <w:unhideWhenUsed/>
    <w:rsid w:val="006F2B67"/>
    <w:pPr>
      <w:tabs>
        <w:tab w:val="center" w:pos="4536"/>
        <w:tab w:val="right" w:pos="9072"/>
      </w:tabs>
    </w:pPr>
  </w:style>
  <w:style w:type="character" w:customStyle="1" w:styleId="KoptekstChar">
    <w:name w:val="Koptekst Char"/>
    <w:basedOn w:val="Standaardalinea-lettertype"/>
    <w:link w:val="Koptekst"/>
    <w:uiPriority w:val="99"/>
    <w:rsid w:val="006F2B67"/>
    <w:rPr>
      <w:lang w:val="en-GB"/>
    </w:rPr>
  </w:style>
  <w:style w:type="character" w:customStyle="1" w:styleId="Kop3Char">
    <w:name w:val="Kop 3 Char"/>
    <w:basedOn w:val="Standaardalinea-lettertype"/>
    <w:link w:val="Kop3"/>
    <w:uiPriority w:val="9"/>
    <w:rsid w:val="00EC12A5"/>
    <w:rPr>
      <w:rFonts w:ascii="Calibri" w:hAnsi="Calibri" w:cs="Calibri"/>
      <w:b/>
      <w:bCs/>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81773">
      <w:bodyDiv w:val="1"/>
      <w:marLeft w:val="0"/>
      <w:marRight w:val="0"/>
      <w:marTop w:val="0"/>
      <w:marBottom w:val="0"/>
      <w:divBdr>
        <w:top w:val="none" w:sz="0" w:space="0" w:color="auto"/>
        <w:left w:val="none" w:sz="0" w:space="0" w:color="auto"/>
        <w:bottom w:val="none" w:sz="0" w:space="0" w:color="auto"/>
        <w:right w:val="none" w:sz="0" w:space="0" w:color="auto"/>
      </w:divBdr>
    </w:div>
    <w:div w:id="35469481">
      <w:bodyDiv w:val="1"/>
      <w:marLeft w:val="0"/>
      <w:marRight w:val="0"/>
      <w:marTop w:val="0"/>
      <w:marBottom w:val="0"/>
      <w:divBdr>
        <w:top w:val="none" w:sz="0" w:space="0" w:color="auto"/>
        <w:left w:val="none" w:sz="0" w:space="0" w:color="auto"/>
        <w:bottom w:val="none" w:sz="0" w:space="0" w:color="auto"/>
        <w:right w:val="none" w:sz="0" w:space="0" w:color="auto"/>
      </w:divBdr>
    </w:div>
    <w:div w:id="36974900">
      <w:bodyDiv w:val="1"/>
      <w:marLeft w:val="0"/>
      <w:marRight w:val="0"/>
      <w:marTop w:val="0"/>
      <w:marBottom w:val="0"/>
      <w:divBdr>
        <w:top w:val="none" w:sz="0" w:space="0" w:color="auto"/>
        <w:left w:val="none" w:sz="0" w:space="0" w:color="auto"/>
        <w:bottom w:val="none" w:sz="0" w:space="0" w:color="auto"/>
        <w:right w:val="none" w:sz="0" w:space="0" w:color="auto"/>
      </w:divBdr>
    </w:div>
    <w:div w:id="38675682">
      <w:bodyDiv w:val="1"/>
      <w:marLeft w:val="0"/>
      <w:marRight w:val="0"/>
      <w:marTop w:val="0"/>
      <w:marBottom w:val="0"/>
      <w:divBdr>
        <w:top w:val="none" w:sz="0" w:space="0" w:color="auto"/>
        <w:left w:val="none" w:sz="0" w:space="0" w:color="auto"/>
        <w:bottom w:val="none" w:sz="0" w:space="0" w:color="auto"/>
        <w:right w:val="none" w:sz="0" w:space="0" w:color="auto"/>
      </w:divBdr>
    </w:div>
    <w:div w:id="40592381">
      <w:bodyDiv w:val="1"/>
      <w:marLeft w:val="0"/>
      <w:marRight w:val="0"/>
      <w:marTop w:val="0"/>
      <w:marBottom w:val="0"/>
      <w:divBdr>
        <w:top w:val="none" w:sz="0" w:space="0" w:color="auto"/>
        <w:left w:val="none" w:sz="0" w:space="0" w:color="auto"/>
        <w:bottom w:val="none" w:sz="0" w:space="0" w:color="auto"/>
        <w:right w:val="none" w:sz="0" w:space="0" w:color="auto"/>
      </w:divBdr>
    </w:div>
    <w:div w:id="51933314">
      <w:bodyDiv w:val="1"/>
      <w:marLeft w:val="0"/>
      <w:marRight w:val="0"/>
      <w:marTop w:val="0"/>
      <w:marBottom w:val="0"/>
      <w:divBdr>
        <w:top w:val="none" w:sz="0" w:space="0" w:color="auto"/>
        <w:left w:val="none" w:sz="0" w:space="0" w:color="auto"/>
        <w:bottom w:val="none" w:sz="0" w:space="0" w:color="auto"/>
        <w:right w:val="none" w:sz="0" w:space="0" w:color="auto"/>
      </w:divBdr>
    </w:div>
    <w:div w:id="58406639">
      <w:bodyDiv w:val="1"/>
      <w:marLeft w:val="0"/>
      <w:marRight w:val="0"/>
      <w:marTop w:val="0"/>
      <w:marBottom w:val="0"/>
      <w:divBdr>
        <w:top w:val="none" w:sz="0" w:space="0" w:color="auto"/>
        <w:left w:val="none" w:sz="0" w:space="0" w:color="auto"/>
        <w:bottom w:val="none" w:sz="0" w:space="0" w:color="auto"/>
        <w:right w:val="none" w:sz="0" w:space="0" w:color="auto"/>
      </w:divBdr>
    </w:div>
    <w:div w:id="62989121">
      <w:bodyDiv w:val="1"/>
      <w:marLeft w:val="0"/>
      <w:marRight w:val="0"/>
      <w:marTop w:val="0"/>
      <w:marBottom w:val="0"/>
      <w:divBdr>
        <w:top w:val="none" w:sz="0" w:space="0" w:color="auto"/>
        <w:left w:val="none" w:sz="0" w:space="0" w:color="auto"/>
        <w:bottom w:val="none" w:sz="0" w:space="0" w:color="auto"/>
        <w:right w:val="none" w:sz="0" w:space="0" w:color="auto"/>
      </w:divBdr>
    </w:div>
    <w:div w:id="66343115">
      <w:bodyDiv w:val="1"/>
      <w:marLeft w:val="0"/>
      <w:marRight w:val="0"/>
      <w:marTop w:val="0"/>
      <w:marBottom w:val="0"/>
      <w:divBdr>
        <w:top w:val="none" w:sz="0" w:space="0" w:color="auto"/>
        <w:left w:val="none" w:sz="0" w:space="0" w:color="auto"/>
        <w:bottom w:val="none" w:sz="0" w:space="0" w:color="auto"/>
        <w:right w:val="none" w:sz="0" w:space="0" w:color="auto"/>
      </w:divBdr>
    </w:div>
    <w:div w:id="92291117">
      <w:bodyDiv w:val="1"/>
      <w:marLeft w:val="0"/>
      <w:marRight w:val="0"/>
      <w:marTop w:val="0"/>
      <w:marBottom w:val="0"/>
      <w:divBdr>
        <w:top w:val="none" w:sz="0" w:space="0" w:color="auto"/>
        <w:left w:val="none" w:sz="0" w:space="0" w:color="auto"/>
        <w:bottom w:val="none" w:sz="0" w:space="0" w:color="auto"/>
        <w:right w:val="none" w:sz="0" w:space="0" w:color="auto"/>
      </w:divBdr>
    </w:div>
    <w:div w:id="125664278">
      <w:bodyDiv w:val="1"/>
      <w:marLeft w:val="0"/>
      <w:marRight w:val="0"/>
      <w:marTop w:val="0"/>
      <w:marBottom w:val="0"/>
      <w:divBdr>
        <w:top w:val="none" w:sz="0" w:space="0" w:color="auto"/>
        <w:left w:val="none" w:sz="0" w:space="0" w:color="auto"/>
        <w:bottom w:val="none" w:sz="0" w:space="0" w:color="auto"/>
        <w:right w:val="none" w:sz="0" w:space="0" w:color="auto"/>
      </w:divBdr>
    </w:div>
    <w:div w:id="136385420">
      <w:bodyDiv w:val="1"/>
      <w:marLeft w:val="0"/>
      <w:marRight w:val="0"/>
      <w:marTop w:val="0"/>
      <w:marBottom w:val="0"/>
      <w:divBdr>
        <w:top w:val="none" w:sz="0" w:space="0" w:color="auto"/>
        <w:left w:val="none" w:sz="0" w:space="0" w:color="auto"/>
        <w:bottom w:val="none" w:sz="0" w:space="0" w:color="auto"/>
        <w:right w:val="none" w:sz="0" w:space="0" w:color="auto"/>
      </w:divBdr>
    </w:div>
    <w:div w:id="153029249">
      <w:bodyDiv w:val="1"/>
      <w:marLeft w:val="0"/>
      <w:marRight w:val="0"/>
      <w:marTop w:val="0"/>
      <w:marBottom w:val="0"/>
      <w:divBdr>
        <w:top w:val="none" w:sz="0" w:space="0" w:color="auto"/>
        <w:left w:val="none" w:sz="0" w:space="0" w:color="auto"/>
        <w:bottom w:val="none" w:sz="0" w:space="0" w:color="auto"/>
        <w:right w:val="none" w:sz="0" w:space="0" w:color="auto"/>
      </w:divBdr>
    </w:div>
    <w:div w:id="178200622">
      <w:bodyDiv w:val="1"/>
      <w:marLeft w:val="0"/>
      <w:marRight w:val="0"/>
      <w:marTop w:val="0"/>
      <w:marBottom w:val="0"/>
      <w:divBdr>
        <w:top w:val="none" w:sz="0" w:space="0" w:color="auto"/>
        <w:left w:val="none" w:sz="0" w:space="0" w:color="auto"/>
        <w:bottom w:val="none" w:sz="0" w:space="0" w:color="auto"/>
        <w:right w:val="none" w:sz="0" w:space="0" w:color="auto"/>
      </w:divBdr>
    </w:div>
    <w:div w:id="180314396">
      <w:bodyDiv w:val="1"/>
      <w:marLeft w:val="0"/>
      <w:marRight w:val="0"/>
      <w:marTop w:val="0"/>
      <w:marBottom w:val="0"/>
      <w:divBdr>
        <w:top w:val="none" w:sz="0" w:space="0" w:color="auto"/>
        <w:left w:val="none" w:sz="0" w:space="0" w:color="auto"/>
        <w:bottom w:val="none" w:sz="0" w:space="0" w:color="auto"/>
        <w:right w:val="none" w:sz="0" w:space="0" w:color="auto"/>
      </w:divBdr>
    </w:div>
    <w:div w:id="198783364">
      <w:bodyDiv w:val="1"/>
      <w:marLeft w:val="0"/>
      <w:marRight w:val="0"/>
      <w:marTop w:val="0"/>
      <w:marBottom w:val="0"/>
      <w:divBdr>
        <w:top w:val="none" w:sz="0" w:space="0" w:color="auto"/>
        <w:left w:val="none" w:sz="0" w:space="0" w:color="auto"/>
        <w:bottom w:val="none" w:sz="0" w:space="0" w:color="auto"/>
        <w:right w:val="none" w:sz="0" w:space="0" w:color="auto"/>
      </w:divBdr>
    </w:div>
    <w:div w:id="225382053">
      <w:bodyDiv w:val="1"/>
      <w:marLeft w:val="0"/>
      <w:marRight w:val="0"/>
      <w:marTop w:val="0"/>
      <w:marBottom w:val="0"/>
      <w:divBdr>
        <w:top w:val="none" w:sz="0" w:space="0" w:color="auto"/>
        <w:left w:val="none" w:sz="0" w:space="0" w:color="auto"/>
        <w:bottom w:val="none" w:sz="0" w:space="0" w:color="auto"/>
        <w:right w:val="none" w:sz="0" w:space="0" w:color="auto"/>
      </w:divBdr>
    </w:div>
    <w:div w:id="233056103">
      <w:bodyDiv w:val="1"/>
      <w:marLeft w:val="0"/>
      <w:marRight w:val="0"/>
      <w:marTop w:val="0"/>
      <w:marBottom w:val="0"/>
      <w:divBdr>
        <w:top w:val="none" w:sz="0" w:space="0" w:color="auto"/>
        <w:left w:val="none" w:sz="0" w:space="0" w:color="auto"/>
        <w:bottom w:val="none" w:sz="0" w:space="0" w:color="auto"/>
        <w:right w:val="none" w:sz="0" w:space="0" w:color="auto"/>
      </w:divBdr>
    </w:div>
    <w:div w:id="266887373">
      <w:bodyDiv w:val="1"/>
      <w:marLeft w:val="0"/>
      <w:marRight w:val="0"/>
      <w:marTop w:val="0"/>
      <w:marBottom w:val="0"/>
      <w:divBdr>
        <w:top w:val="none" w:sz="0" w:space="0" w:color="auto"/>
        <w:left w:val="none" w:sz="0" w:space="0" w:color="auto"/>
        <w:bottom w:val="none" w:sz="0" w:space="0" w:color="auto"/>
        <w:right w:val="none" w:sz="0" w:space="0" w:color="auto"/>
      </w:divBdr>
    </w:div>
    <w:div w:id="278024500">
      <w:bodyDiv w:val="1"/>
      <w:marLeft w:val="0"/>
      <w:marRight w:val="0"/>
      <w:marTop w:val="0"/>
      <w:marBottom w:val="0"/>
      <w:divBdr>
        <w:top w:val="none" w:sz="0" w:space="0" w:color="auto"/>
        <w:left w:val="none" w:sz="0" w:space="0" w:color="auto"/>
        <w:bottom w:val="none" w:sz="0" w:space="0" w:color="auto"/>
        <w:right w:val="none" w:sz="0" w:space="0" w:color="auto"/>
      </w:divBdr>
    </w:div>
    <w:div w:id="282925231">
      <w:bodyDiv w:val="1"/>
      <w:marLeft w:val="0"/>
      <w:marRight w:val="0"/>
      <w:marTop w:val="0"/>
      <w:marBottom w:val="0"/>
      <w:divBdr>
        <w:top w:val="none" w:sz="0" w:space="0" w:color="auto"/>
        <w:left w:val="none" w:sz="0" w:space="0" w:color="auto"/>
        <w:bottom w:val="none" w:sz="0" w:space="0" w:color="auto"/>
        <w:right w:val="none" w:sz="0" w:space="0" w:color="auto"/>
      </w:divBdr>
    </w:div>
    <w:div w:id="287130769">
      <w:bodyDiv w:val="1"/>
      <w:marLeft w:val="0"/>
      <w:marRight w:val="0"/>
      <w:marTop w:val="0"/>
      <w:marBottom w:val="0"/>
      <w:divBdr>
        <w:top w:val="none" w:sz="0" w:space="0" w:color="auto"/>
        <w:left w:val="none" w:sz="0" w:space="0" w:color="auto"/>
        <w:bottom w:val="none" w:sz="0" w:space="0" w:color="auto"/>
        <w:right w:val="none" w:sz="0" w:space="0" w:color="auto"/>
      </w:divBdr>
    </w:div>
    <w:div w:id="346172670">
      <w:bodyDiv w:val="1"/>
      <w:marLeft w:val="0"/>
      <w:marRight w:val="0"/>
      <w:marTop w:val="0"/>
      <w:marBottom w:val="0"/>
      <w:divBdr>
        <w:top w:val="none" w:sz="0" w:space="0" w:color="auto"/>
        <w:left w:val="none" w:sz="0" w:space="0" w:color="auto"/>
        <w:bottom w:val="none" w:sz="0" w:space="0" w:color="auto"/>
        <w:right w:val="none" w:sz="0" w:space="0" w:color="auto"/>
      </w:divBdr>
    </w:div>
    <w:div w:id="364335402">
      <w:bodyDiv w:val="1"/>
      <w:marLeft w:val="0"/>
      <w:marRight w:val="0"/>
      <w:marTop w:val="0"/>
      <w:marBottom w:val="0"/>
      <w:divBdr>
        <w:top w:val="none" w:sz="0" w:space="0" w:color="auto"/>
        <w:left w:val="none" w:sz="0" w:space="0" w:color="auto"/>
        <w:bottom w:val="none" w:sz="0" w:space="0" w:color="auto"/>
        <w:right w:val="none" w:sz="0" w:space="0" w:color="auto"/>
      </w:divBdr>
    </w:div>
    <w:div w:id="410079548">
      <w:bodyDiv w:val="1"/>
      <w:marLeft w:val="0"/>
      <w:marRight w:val="0"/>
      <w:marTop w:val="0"/>
      <w:marBottom w:val="0"/>
      <w:divBdr>
        <w:top w:val="none" w:sz="0" w:space="0" w:color="auto"/>
        <w:left w:val="none" w:sz="0" w:space="0" w:color="auto"/>
        <w:bottom w:val="none" w:sz="0" w:space="0" w:color="auto"/>
        <w:right w:val="none" w:sz="0" w:space="0" w:color="auto"/>
      </w:divBdr>
    </w:div>
    <w:div w:id="426079822">
      <w:bodyDiv w:val="1"/>
      <w:marLeft w:val="0"/>
      <w:marRight w:val="0"/>
      <w:marTop w:val="0"/>
      <w:marBottom w:val="0"/>
      <w:divBdr>
        <w:top w:val="none" w:sz="0" w:space="0" w:color="auto"/>
        <w:left w:val="none" w:sz="0" w:space="0" w:color="auto"/>
        <w:bottom w:val="none" w:sz="0" w:space="0" w:color="auto"/>
        <w:right w:val="none" w:sz="0" w:space="0" w:color="auto"/>
      </w:divBdr>
    </w:div>
    <w:div w:id="475100599">
      <w:bodyDiv w:val="1"/>
      <w:marLeft w:val="0"/>
      <w:marRight w:val="0"/>
      <w:marTop w:val="0"/>
      <w:marBottom w:val="0"/>
      <w:divBdr>
        <w:top w:val="none" w:sz="0" w:space="0" w:color="auto"/>
        <w:left w:val="none" w:sz="0" w:space="0" w:color="auto"/>
        <w:bottom w:val="none" w:sz="0" w:space="0" w:color="auto"/>
        <w:right w:val="none" w:sz="0" w:space="0" w:color="auto"/>
      </w:divBdr>
    </w:div>
    <w:div w:id="482089204">
      <w:bodyDiv w:val="1"/>
      <w:marLeft w:val="0"/>
      <w:marRight w:val="0"/>
      <w:marTop w:val="0"/>
      <w:marBottom w:val="0"/>
      <w:divBdr>
        <w:top w:val="none" w:sz="0" w:space="0" w:color="auto"/>
        <w:left w:val="none" w:sz="0" w:space="0" w:color="auto"/>
        <w:bottom w:val="none" w:sz="0" w:space="0" w:color="auto"/>
        <w:right w:val="none" w:sz="0" w:space="0" w:color="auto"/>
      </w:divBdr>
    </w:div>
    <w:div w:id="483618705">
      <w:bodyDiv w:val="1"/>
      <w:marLeft w:val="0"/>
      <w:marRight w:val="0"/>
      <w:marTop w:val="0"/>
      <w:marBottom w:val="0"/>
      <w:divBdr>
        <w:top w:val="none" w:sz="0" w:space="0" w:color="auto"/>
        <w:left w:val="none" w:sz="0" w:space="0" w:color="auto"/>
        <w:bottom w:val="none" w:sz="0" w:space="0" w:color="auto"/>
        <w:right w:val="none" w:sz="0" w:space="0" w:color="auto"/>
      </w:divBdr>
    </w:div>
    <w:div w:id="484512882">
      <w:bodyDiv w:val="1"/>
      <w:marLeft w:val="0"/>
      <w:marRight w:val="0"/>
      <w:marTop w:val="0"/>
      <w:marBottom w:val="0"/>
      <w:divBdr>
        <w:top w:val="none" w:sz="0" w:space="0" w:color="auto"/>
        <w:left w:val="none" w:sz="0" w:space="0" w:color="auto"/>
        <w:bottom w:val="none" w:sz="0" w:space="0" w:color="auto"/>
        <w:right w:val="none" w:sz="0" w:space="0" w:color="auto"/>
      </w:divBdr>
    </w:div>
    <w:div w:id="505097466">
      <w:bodyDiv w:val="1"/>
      <w:marLeft w:val="0"/>
      <w:marRight w:val="0"/>
      <w:marTop w:val="0"/>
      <w:marBottom w:val="0"/>
      <w:divBdr>
        <w:top w:val="none" w:sz="0" w:space="0" w:color="auto"/>
        <w:left w:val="none" w:sz="0" w:space="0" w:color="auto"/>
        <w:bottom w:val="none" w:sz="0" w:space="0" w:color="auto"/>
        <w:right w:val="none" w:sz="0" w:space="0" w:color="auto"/>
      </w:divBdr>
    </w:div>
    <w:div w:id="506022957">
      <w:bodyDiv w:val="1"/>
      <w:marLeft w:val="0"/>
      <w:marRight w:val="0"/>
      <w:marTop w:val="0"/>
      <w:marBottom w:val="0"/>
      <w:divBdr>
        <w:top w:val="none" w:sz="0" w:space="0" w:color="auto"/>
        <w:left w:val="none" w:sz="0" w:space="0" w:color="auto"/>
        <w:bottom w:val="none" w:sz="0" w:space="0" w:color="auto"/>
        <w:right w:val="none" w:sz="0" w:space="0" w:color="auto"/>
      </w:divBdr>
    </w:div>
    <w:div w:id="533663770">
      <w:bodyDiv w:val="1"/>
      <w:marLeft w:val="0"/>
      <w:marRight w:val="0"/>
      <w:marTop w:val="0"/>
      <w:marBottom w:val="0"/>
      <w:divBdr>
        <w:top w:val="none" w:sz="0" w:space="0" w:color="auto"/>
        <w:left w:val="none" w:sz="0" w:space="0" w:color="auto"/>
        <w:bottom w:val="none" w:sz="0" w:space="0" w:color="auto"/>
        <w:right w:val="none" w:sz="0" w:space="0" w:color="auto"/>
      </w:divBdr>
    </w:div>
    <w:div w:id="537934795">
      <w:bodyDiv w:val="1"/>
      <w:marLeft w:val="0"/>
      <w:marRight w:val="0"/>
      <w:marTop w:val="0"/>
      <w:marBottom w:val="0"/>
      <w:divBdr>
        <w:top w:val="none" w:sz="0" w:space="0" w:color="auto"/>
        <w:left w:val="none" w:sz="0" w:space="0" w:color="auto"/>
        <w:bottom w:val="none" w:sz="0" w:space="0" w:color="auto"/>
        <w:right w:val="none" w:sz="0" w:space="0" w:color="auto"/>
      </w:divBdr>
    </w:div>
    <w:div w:id="562369864">
      <w:bodyDiv w:val="1"/>
      <w:marLeft w:val="0"/>
      <w:marRight w:val="0"/>
      <w:marTop w:val="0"/>
      <w:marBottom w:val="0"/>
      <w:divBdr>
        <w:top w:val="none" w:sz="0" w:space="0" w:color="auto"/>
        <w:left w:val="none" w:sz="0" w:space="0" w:color="auto"/>
        <w:bottom w:val="none" w:sz="0" w:space="0" w:color="auto"/>
        <w:right w:val="none" w:sz="0" w:space="0" w:color="auto"/>
      </w:divBdr>
    </w:div>
    <w:div w:id="567106538">
      <w:bodyDiv w:val="1"/>
      <w:marLeft w:val="0"/>
      <w:marRight w:val="0"/>
      <w:marTop w:val="0"/>
      <w:marBottom w:val="0"/>
      <w:divBdr>
        <w:top w:val="none" w:sz="0" w:space="0" w:color="auto"/>
        <w:left w:val="none" w:sz="0" w:space="0" w:color="auto"/>
        <w:bottom w:val="none" w:sz="0" w:space="0" w:color="auto"/>
        <w:right w:val="none" w:sz="0" w:space="0" w:color="auto"/>
      </w:divBdr>
    </w:div>
    <w:div w:id="587925397">
      <w:bodyDiv w:val="1"/>
      <w:marLeft w:val="0"/>
      <w:marRight w:val="0"/>
      <w:marTop w:val="0"/>
      <w:marBottom w:val="0"/>
      <w:divBdr>
        <w:top w:val="none" w:sz="0" w:space="0" w:color="auto"/>
        <w:left w:val="none" w:sz="0" w:space="0" w:color="auto"/>
        <w:bottom w:val="none" w:sz="0" w:space="0" w:color="auto"/>
        <w:right w:val="none" w:sz="0" w:space="0" w:color="auto"/>
      </w:divBdr>
    </w:div>
    <w:div w:id="592010600">
      <w:bodyDiv w:val="1"/>
      <w:marLeft w:val="0"/>
      <w:marRight w:val="0"/>
      <w:marTop w:val="0"/>
      <w:marBottom w:val="0"/>
      <w:divBdr>
        <w:top w:val="none" w:sz="0" w:space="0" w:color="auto"/>
        <w:left w:val="none" w:sz="0" w:space="0" w:color="auto"/>
        <w:bottom w:val="none" w:sz="0" w:space="0" w:color="auto"/>
        <w:right w:val="none" w:sz="0" w:space="0" w:color="auto"/>
      </w:divBdr>
    </w:div>
    <w:div w:id="601960806">
      <w:bodyDiv w:val="1"/>
      <w:marLeft w:val="0"/>
      <w:marRight w:val="0"/>
      <w:marTop w:val="0"/>
      <w:marBottom w:val="0"/>
      <w:divBdr>
        <w:top w:val="none" w:sz="0" w:space="0" w:color="auto"/>
        <w:left w:val="none" w:sz="0" w:space="0" w:color="auto"/>
        <w:bottom w:val="none" w:sz="0" w:space="0" w:color="auto"/>
        <w:right w:val="none" w:sz="0" w:space="0" w:color="auto"/>
      </w:divBdr>
    </w:div>
    <w:div w:id="606815819">
      <w:bodyDiv w:val="1"/>
      <w:marLeft w:val="0"/>
      <w:marRight w:val="0"/>
      <w:marTop w:val="0"/>
      <w:marBottom w:val="0"/>
      <w:divBdr>
        <w:top w:val="none" w:sz="0" w:space="0" w:color="auto"/>
        <w:left w:val="none" w:sz="0" w:space="0" w:color="auto"/>
        <w:bottom w:val="none" w:sz="0" w:space="0" w:color="auto"/>
        <w:right w:val="none" w:sz="0" w:space="0" w:color="auto"/>
      </w:divBdr>
    </w:div>
    <w:div w:id="618337534">
      <w:bodyDiv w:val="1"/>
      <w:marLeft w:val="0"/>
      <w:marRight w:val="0"/>
      <w:marTop w:val="0"/>
      <w:marBottom w:val="0"/>
      <w:divBdr>
        <w:top w:val="none" w:sz="0" w:space="0" w:color="auto"/>
        <w:left w:val="none" w:sz="0" w:space="0" w:color="auto"/>
        <w:bottom w:val="none" w:sz="0" w:space="0" w:color="auto"/>
        <w:right w:val="none" w:sz="0" w:space="0" w:color="auto"/>
      </w:divBdr>
    </w:div>
    <w:div w:id="621036171">
      <w:bodyDiv w:val="1"/>
      <w:marLeft w:val="0"/>
      <w:marRight w:val="0"/>
      <w:marTop w:val="0"/>
      <w:marBottom w:val="0"/>
      <w:divBdr>
        <w:top w:val="none" w:sz="0" w:space="0" w:color="auto"/>
        <w:left w:val="none" w:sz="0" w:space="0" w:color="auto"/>
        <w:bottom w:val="none" w:sz="0" w:space="0" w:color="auto"/>
        <w:right w:val="none" w:sz="0" w:space="0" w:color="auto"/>
      </w:divBdr>
    </w:div>
    <w:div w:id="638269814">
      <w:bodyDiv w:val="1"/>
      <w:marLeft w:val="0"/>
      <w:marRight w:val="0"/>
      <w:marTop w:val="0"/>
      <w:marBottom w:val="0"/>
      <w:divBdr>
        <w:top w:val="none" w:sz="0" w:space="0" w:color="auto"/>
        <w:left w:val="none" w:sz="0" w:space="0" w:color="auto"/>
        <w:bottom w:val="none" w:sz="0" w:space="0" w:color="auto"/>
        <w:right w:val="none" w:sz="0" w:space="0" w:color="auto"/>
      </w:divBdr>
    </w:div>
    <w:div w:id="642851174">
      <w:bodyDiv w:val="1"/>
      <w:marLeft w:val="0"/>
      <w:marRight w:val="0"/>
      <w:marTop w:val="0"/>
      <w:marBottom w:val="0"/>
      <w:divBdr>
        <w:top w:val="none" w:sz="0" w:space="0" w:color="auto"/>
        <w:left w:val="none" w:sz="0" w:space="0" w:color="auto"/>
        <w:bottom w:val="none" w:sz="0" w:space="0" w:color="auto"/>
        <w:right w:val="none" w:sz="0" w:space="0" w:color="auto"/>
      </w:divBdr>
    </w:div>
    <w:div w:id="646595767">
      <w:bodyDiv w:val="1"/>
      <w:marLeft w:val="0"/>
      <w:marRight w:val="0"/>
      <w:marTop w:val="0"/>
      <w:marBottom w:val="0"/>
      <w:divBdr>
        <w:top w:val="none" w:sz="0" w:space="0" w:color="auto"/>
        <w:left w:val="none" w:sz="0" w:space="0" w:color="auto"/>
        <w:bottom w:val="none" w:sz="0" w:space="0" w:color="auto"/>
        <w:right w:val="none" w:sz="0" w:space="0" w:color="auto"/>
      </w:divBdr>
    </w:div>
    <w:div w:id="657660855">
      <w:bodyDiv w:val="1"/>
      <w:marLeft w:val="0"/>
      <w:marRight w:val="0"/>
      <w:marTop w:val="0"/>
      <w:marBottom w:val="0"/>
      <w:divBdr>
        <w:top w:val="none" w:sz="0" w:space="0" w:color="auto"/>
        <w:left w:val="none" w:sz="0" w:space="0" w:color="auto"/>
        <w:bottom w:val="none" w:sz="0" w:space="0" w:color="auto"/>
        <w:right w:val="none" w:sz="0" w:space="0" w:color="auto"/>
      </w:divBdr>
    </w:div>
    <w:div w:id="659508287">
      <w:bodyDiv w:val="1"/>
      <w:marLeft w:val="0"/>
      <w:marRight w:val="0"/>
      <w:marTop w:val="0"/>
      <w:marBottom w:val="0"/>
      <w:divBdr>
        <w:top w:val="none" w:sz="0" w:space="0" w:color="auto"/>
        <w:left w:val="none" w:sz="0" w:space="0" w:color="auto"/>
        <w:bottom w:val="none" w:sz="0" w:space="0" w:color="auto"/>
        <w:right w:val="none" w:sz="0" w:space="0" w:color="auto"/>
      </w:divBdr>
    </w:div>
    <w:div w:id="677780816">
      <w:bodyDiv w:val="1"/>
      <w:marLeft w:val="0"/>
      <w:marRight w:val="0"/>
      <w:marTop w:val="0"/>
      <w:marBottom w:val="0"/>
      <w:divBdr>
        <w:top w:val="none" w:sz="0" w:space="0" w:color="auto"/>
        <w:left w:val="none" w:sz="0" w:space="0" w:color="auto"/>
        <w:bottom w:val="none" w:sz="0" w:space="0" w:color="auto"/>
        <w:right w:val="none" w:sz="0" w:space="0" w:color="auto"/>
      </w:divBdr>
    </w:div>
    <w:div w:id="696541908">
      <w:bodyDiv w:val="1"/>
      <w:marLeft w:val="0"/>
      <w:marRight w:val="0"/>
      <w:marTop w:val="0"/>
      <w:marBottom w:val="0"/>
      <w:divBdr>
        <w:top w:val="none" w:sz="0" w:space="0" w:color="auto"/>
        <w:left w:val="none" w:sz="0" w:space="0" w:color="auto"/>
        <w:bottom w:val="none" w:sz="0" w:space="0" w:color="auto"/>
        <w:right w:val="none" w:sz="0" w:space="0" w:color="auto"/>
      </w:divBdr>
    </w:div>
    <w:div w:id="774977756">
      <w:bodyDiv w:val="1"/>
      <w:marLeft w:val="0"/>
      <w:marRight w:val="0"/>
      <w:marTop w:val="0"/>
      <w:marBottom w:val="0"/>
      <w:divBdr>
        <w:top w:val="none" w:sz="0" w:space="0" w:color="auto"/>
        <w:left w:val="none" w:sz="0" w:space="0" w:color="auto"/>
        <w:bottom w:val="none" w:sz="0" w:space="0" w:color="auto"/>
        <w:right w:val="none" w:sz="0" w:space="0" w:color="auto"/>
      </w:divBdr>
    </w:div>
    <w:div w:id="786973860">
      <w:bodyDiv w:val="1"/>
      <w:marLeft w:val="0"/>
      <w:marRight w:val="0"/>
      <w:marTop w:val="0"/>
      <w:marBottom w:val="0"/>
      <w:divBdr>
        <w:top w:val="none" w:sz="0" w:space="0" w:color="auto"/>
        <w:left w:val="none" w:sz="0" w:space="0" w:color="auto"/>
        <w:bottom w:val="none" w:sz="0" w:space="0" w:color="auto"/>
        <w:right w:val="none" w:sz="0" w:space="0" w:color="auto"/>
      </w:divBdr>
    </w:div>
    <w:div w:id="796025867">
      <w:bodyDiv w:val="1"/>
      <w:marLeft w:val="0"/>
      <w:marRight w:val="0"/>
      <w:marTop w:val="0"/>
      <w:marBottom w:val="0"/>
      <w:divBdr>
        <w:top w:val="none" w:sz="0" w:space="0" w:color="auto"/>
        <w:left w:val="none" w:sz="0" w:space="0" w:color="auto"/>
        <w:bottom w:val="none" w:sz="0" w:space="0" w:color="auto"/>
        <w:right w:val="none" w:sz="0" w:space="0" w:color="auto"/>
      </w:divBdr>
    </w:div>
    <w:div w:id="798839738">
      <w:bodyDiv w:val="1"/>
      <w:marLeft w:val="0"/>
      <w:marRight w:val="0"/>
      <w:marTop w:val="0"/>
      <w:marBottom w:val="0"/>
      <w:divBdr>
        <w:top w:val="none" w:sz="0" w:space="0" w:color="auto"/>
        <w:left w:val="none" w:sz="0" w:space="0" w:color="auto"/>
        <w:bottom w:val="none" w:sz="0" w:space="0" w:color="auto"/>
        <w:right w:val="none" w:sz="0" w:space="0" w:color="auto"/>
      </w:divBdr>
    </w:div>
    <w:div w:id="799108302">
      <w:bodyDiv w:val="1"/>
      <w:marLeft w:val="0"/>
      <w:marRight w:val="0"/>
      <w:marTop w:val="0"/>
      <w:marBottom w:val="0"/>
      <w:divBdr>
        <w:top w:val="none" w:sz="0" w:space="0" w:color="auto"/>
        <w:left w:val="none" w:sz="0" w:space="0" w:color="auto"/>
        <w:bottom w:val="none" w:sz="0" w:space="0" w:color="auto"/>
        <w:right w:val="none" w:sz="0" w:space="0" w:color="auto"/>
      </w:divBdr>
    </w:div>
    <w:div w:id="809128326">
      <w:bodyDiv w:val="1"/>
      <w:marLeft w:val="0"/>
      <w:marRight w:val="0"/>
      <w:marTop w:val="0"/>
      <w:marBottom w:val="0"/>
      <w:divBdr>
        <w:top w:val="none" w:sz="0" w:space="0" w:color="auto"/>
        <w:left w:val="none" w:sz="0" w:space="0" w:color="auto"/>
        <w:bottom w:val="none" w:sz="0" w:space="0" w:color="auto"/>
        <w:right w:val="none" w:sz="0" w:space="0" w:color="auto"/>
      </w:divBdr>
    </w:div>
    <w:div w:id="831144145">
      <w:bodyDiv w:val="1"/>
      <w:marLeft w:val="0"/>
      <w:marRight w:val="0"/>
      <w:marTop w:val="0"/>
      <w:marBottom w:val="0"/>
      <w:divBdr>
        <w:top w:val="none" w:sz="0" w:space="0" w:color="auto"/>
        <w:left w:val="none" w:sz="0" w:space="0" w:color="auto"/>
        <w:bottom w:val="none" w:sz="0" w:space="0" w:color="auto"/>
        <w:right w:val="none" w:sz="0" w:space="0" w:color="auto"/>
      </w:divBdr>
    </w:div>
    <w:div w:id="878321603">
      <w:bodyDiv w:val="1"/>
      <w:marLeft w:val="0"/>
      <w:marRight w:val="0"/>
      <w:marTop w:val="0"/>
      <w:marBottom w:val="0"/>
      <w:divBdr>
        <w:top w:val="none" w:sz="0" w:space="0" w:color="auto"/>
        <w:left w:val="none" w:sz="0" w:space="0" w:color="auto"/>
        <w:bottom w:val="none" w:sz="0" w:space="0" w:color="auto"/>
        <w:right w:val="none" w:sz="0" w:space="0" w:color="auto"/>
      </w:divBdr>
    </w:div>
    <w:div w:id="908227603">
      <w:bodyDiv w:val="1"/>
      <w:marLeft w:val="0"/>
      <w:marRight w:val="0"/>
      <w:marTop w:val="0"/>
      <w:marBottom w:val="0"/>
      <w:divBdr>
        <w:top w:val="none" w:sz="0" w:space="0" w:color="auto"/>
        <w:left w:val="none" w:sz="0" w:space="0" w:color="auto"/>
        <w:bottom w:val="none" w:sz="0" w:space="0" w:color="auto"/>
        <w:right w:val="none" w:sz="0" w:space="0" w:color="auto"/>
      </w:divBdr>
    </w:div>
    <w:div w:id="966547296">
      <w:bodyDiv w:val="1"/>
      <w:marLeft w:val="0"/>
      <w:marRight w:val="0"/>
      <w:marTop w:val="0"/>
      <w:marBottom w:val="0"/>
      <w:divBdr>
        <w:top w:val="none" w:sz="0" w:space="0" w:color="auto"/>
        <w:left w:val="none" w:sz="0" w:space="0" w:color="auto"/>
        <w:bottom w:val="none" w:sz="0" w:space="0" w:color="auto"/>
        <w:right w:val="none" w:sz="0" w:space="0" w:color="auto"/>
      </w:divBdr>
    </w:div>
    <w:div w:id="967007791">
      <w:bodyDiv w:val="1"/>
      <w:marLeft w:val="0"/>
      <w:marRight w:val="0"/>
      <w:marTop w:val="0"/>
      <w:marBottom w:val="0"/>
      <w:divBdr>
        <w:top w:val="none" w:sz="0" w:space="0" w:color="auto"/>
        <w:left w:val="none" w:sz="0" w:space="0" w:color="auto"/>
        <w:bottom w:val="none" w:sz="0" w:space="0" w:color="auto"/>
        <w:right w:val="none" w:sz="0" w:space="0" w:color="auto"/>
      </w:divBdr>
    </w:div>
    <w:div w:id="1005983476">
      <w:bodyDiv w:val="1"/>
      <w:marLeft w:val="0"/>
      <w:marRight w:val="0"/>
      <w:marTop w:val="0"/>
      <w:marBottom w:val="0"/>
      <w:divBdr>
        <w:top w:val="none" w:sz="0" w:space="0" w:color="auto"/>
        <w:left w:val="none" w:sz="0" w:space="0" w:color="auto"/>
        <w:bottom w:val="none" w:sz="0" w:space="0" w:color="auto"/>
        <w:right w:val="none" w:sz="0" w:space="0" w:color="auto"/>
      </w:divBdr>
    </w:div>
    <w:div w:id="1021857110">
      <w:bodyDiv w:val="1"/>
      <w:marLeft w:val="0"/>
      <w:marRight w:val="0"/>
      <w:marTop w:val="0"/>
      <w:marBottom w:val="0"/>
      <w:divBdr>
        <w:top w:val="none" w:sz="0" w:space="0" w:color="auto"/>
        <w:left w:val="none" w:sz="0" w:space="0" w:color="auto"/>
        <w:bottom w:val="none" w:sz="0" w:space="0" w:color="auto"/>
        <w:right w:val="none" w:sz="0" w:space="0" w:color="auto"/>
      </w:divBdr>
    </w:div>
    <w:div w:id="1032614157">
      <w:bodyDiv w:val="1"/>
      <w:marLeft w:val="0"/>
      <w:marRight w:val="0"/>
      <w:marTop w:val="0"/>
      <w:marBottom w:val="0"/>
      <w:divBdr>
        <w:top w:val="none" w:sz="0" w:space="0" w:color="auto"/>
        <w:left w:val="none" w:sz="0" w:space="0" w:color="auto"/>
        <w:bottom w:val="none" w:sz="0" w:space="0" w:color="auto"/>
        <w:right w:val="none" w:sz="0" w:space="0" w:color="auto"/>
      </w:divBdr>
    </w:div>
    <w:div w:id="1036005647">
      <w:bodyDiv w:val="1"/>
      <w:marLeft w:val="0"/>
      <w:marRight w:val="0"/>
      <w:marTop w:val="0"/>
      <w:marBottom w:val="0"/>
      <w:divBdr>
        <w:top w:val="none" w:sz="0" w:space="0" w:color="auto"/>
        <w:left w:val="none" w:sz="0" w:space="0" w:color="auto"/>
        <w:bottom w:val="none" w:sz="0" w:space="0" w:color="auto"/>
        <w:right w:val="none" w:sz="0" w:space="0" w:color="auto"/>
      </w:divBdr>
    </w:div>
    <w:div w:id="1057435939">
      <w:bodyDiv w:val="1"/>
      <w:marLeft w:val="0"/>
      <w:marRight w:val="0"/>
      <w:marTop w:val="0"/>
      <w:marBottom w:val="0"/>
      <w:divBdr>
        <w:top w:val="none" w:sz="0" w:space="0" w:color="auto"/>
        <w:left w:val="none" w:sz="0" w:space="0" w:color="auto"/>
        <w:bottom w:val="none" w:sz="0" w:space="0" w:color="auto"/>
        <w:right w:val="none" w:sz="0" w:space="0" w:color="auto"/>
      </w:divBdr>
    </w:div>
    <w:div w:id="1060442253">
      <w:bodyDiv w:val="1"/>
      <w:marLeft w:val="0"/>
      <w:marRight w:val="0"/>
      <w:marTop w:val="0"/>
      <w:marBottom w:val="0"/>
      <w:divBdr>
        <w:top w:val="none" w:sz="0" w:space="0" w:color="auto"/>
        <w:left w:val="none" w:sz="0" w:space="0" w:color="auto"/>
        <w:bottom w:val="none" w:sz="0" w:space="0" w:color="auto"/>
        <w:right w:val="none" w:sz="0" w:space="0" w:color="auto"/>
      </w:divBdr>
    </w:div>
    <w:div w:id="1065026051">
      <w:bodyDiv w:val="1"/>
      <w:marLeft w:val="0"/>
      <w:marRight w:val="0"/>
      <w:marTop w:val="0"/>
      <w:marBottom w:val="0"/>
      <w:divBdr>
        <w:top w:val="none" w:sz="0" w:space="0" w:color="auto"/>
        <w:left w:val="none" w:sz="0" w:space="0" w:color="auto"/>
        <w:bottom w:val="none" w:sz="0" w:space="0" w:color="auto"/>
        <w:right w:val="none" w:sz="0" w:space="0" w:color="auto"/>
      </w:divBdr>
    </w:div>
    <w:div w:id="1065179568">
      <w:bodyDiv w:val="1"/>
      <w:marLeft w:val="0"/>
      <w:marRight w:val="0"/>
      <w:marTop w:val="0"/>
      <w:marBottom w:val="0"/>
      <w:divBdr>
        <w:top w:val="none" w:sz="0" w:space="0" w:color="auto"/>
        <w:left w:val="none" w:sz="0" w:space="0" w:color="auto"/>
        <w:bottom w:val="none" w:sz="0" w:space="0" w:color="auto"/>
        <w:right w:val="none" w:sz="0" w:space="0" w:color="auto"/>
      </w:divBdr>
    </w:div>
    <w:div w:id="1099107480">
      <w:bodyDiv w:val="1"/>
      <w:marLeft w:val="0"/>
      <w:marRight w:val="0"/>
      <w:marTop w:val="0"/>
      <w:marBottom w:val="0"/>
      <w:divBdr>
        <w:top w:val="none" w:sz="0" w:space="0" w:color="auto"/>
        <w:left w:val="none" w:sz="0" w:space="0" w:color="auto"/>
        <w:bottom w:val="none" w:sz="0" w:space="0" w:color="auto"/>
        <w:right w:val="none" w:sz="0" w:space="0" w:color="auto"/>
      </w:divBdr>
    </w:div>
    <w:div w:id="1104031220">
      <w:bodyDiv w:val="1"/>
      <w:marLeft w:val="0"/>
      <w:marRight w:val="0"/>
      <w:marTop w:val="0"/>
      <w:marBottom w:val="0"/>
      <w:divBdr>
        <w:top w:val="none" w:sz="0" w:space="0" w:color="auto"/>
        <w:left w:val="none" w:sz="0" w:space="0" w:color="auto"/>
        <w:bottom w:val="none" w:sz="0" w:space="0" w:color="auto"/>
        <w:right w:val="none" w:sz="0" w:space="0" w:color="auto"/>
      </w:divBdr>
    </w:div>
    <w:div w:id="1139033567">
      <w:bodyDiv w:val="1"/>
      <w:marLeft w:val="0"/>
      <w:marRight w:val="0"/>
      <w:marTop w:val="0"/>
      <w:marBottom w:val="0"/>
      <w:divBdr>
        <w:top w:val="none" w:sz="0" w:space="0" w:color="auto"/>
        <w:left w:val="none" w:sz="0" w:space="0" w:color="auto"/>
        <w:bottom w:val="none" w:sz="0" w:space="0" w:color="auto"/>
        <w:right w:val="none" w:sz="0" w:space="0" w:color="auto"/>
      </w:divBdr>
    </w:div>
    <w:div w:id="1150752717">
      <w:bodyDiv w:val="1"/>
      <w:marLeft w:val="0"/>
      <w:marRight w:val="0"/>
      <w:marTop w:val="0"/>
      <w:marBottom w:val="0"/>
      <w:divBdr>
        <w:top w:val="none" w:sz="0" w:space="0" w:color="auto"/>
        <w:left w:val="none" w:sz="0" w:space="0" w:color="auto"/>
        <w:bottom w:val="none" w:sz="0" w:space="0" w:color="auto"/>
        <w:right w:val="none" w:sz="0" w:space="0" w:color="auto"/>
      </w:divBdr>
    </w:div>
    <w:div w:id="1163203393">
      <w:bodyDiv w:val="1"/>
      <w:marLeft w:val="0"/>
      <w:marRight w:val="0"/>
      <w:marTop w:val="0"/>
      <w:marBottom w:val="0"/>
      <w:divBdr>
        <w:top w:val="none" w:sz="0" w:space="0" w:color="auto"/>
        <w:left w:val="none" w:sz="0" w:space="0" w:color="auto"/>
        <w:bottom w:val="none" w:sz="0" w:space="0" w:color="auto"/>
        <w:right w:val="none" w:sz="0" w:space="0" w:color="auto"/>
      </w:divBdr>
    </w:div>
    <w:div w:id="1177118472">
      <w:bodyDiv w:val="1"/>
      <w:marLeft w:val="0"/>
      <w:marRight w:val="0"/>
      <w:marTop w:val="0"/>
      <w:marBottom w:val="0"/>
      <w:divBdr>
        <w:top w:val="none" w:sz="0" w:space="0" w:color="auto"/>
        <w:left w:val="none" w:sz="0" w:space="0" w:color="auto"/>
        <w:bottom w:val="none" w:sz="0" w:space="0" w:color="auto"/>
        <w:right w:val="none" w:sz="0" w:space="0" w:color="auto"/>
      </w:divBdr>
    </w:div>
    <w:div w:id="1241259438">
      <w:bodyDiv w:val="1"/>
      <w:marLeft w:val="0"/>
      <w:marRight w:val="0"/>
      <w:marTop w:val="0"/>
      <w:marBottom w:val="0"/>
      <w:divBdr>
        <w:top w:val="none" w:sz="0" w:space="0" w:color="auto"/>
        <w:left w:val="none" w:sz="0" w:space="0" w:color="auto"/>
        <w:bottom w:val="none" w:sz="0" w:space="0" w:color="auto"/>
        <w:right w:val="none" w:sz="0" w:space="0" w:color="auto"/>
      </w:divBdr>
    </w:div>
    <w:div w:id="1244411225">
      <w:bodyDiv w:val="1"/>
      <w:marLeft w:val="0"/>
      <w:marRight w:val="0"/>
      <w:marTop w:val="0"/>
      <w:marBottom w:val="0"/>
      <w:divBdr>
        <w:top w:val="none" w:sz="0" w:space="0" w:color="auto"/>
        <w:left w:val="none" w:sz="0" w:space="0" w:color="auto"/>
        <w:bottom w:val="none" w:sz="0" w:space="0" w:color="auto"/>
        <w:right w:val="none" w:sz="0" w:space="0" w:color="auto"/>
      </w:divBdr>
    </w:div>
    <w:div w:id="1253779923">
      <w:bodyDiv w:val="1"/>
      <w:marLeft w:val="0"/>
      <w:marRight w:val="0"/>
      <w:marTop w:val="0"/>
      <w:marBottom w:val="0"/>
      <w:divBdr>
        <w:top w:val="none" w:sz="0" w:space="0" w:color="auto"/>
        <w:left w:val="none" w:sz="0" w:space="0" w:color="auto"/>
        <w:bottom w:val="none" w:sz="0" w:space="0" w:color="auto"/>
        <w:right w:val="none" w:sz="0" w:space="0" w:color="auto"/>
      </w:divBdr>
    </w:div>
    <w:div w:id="1266111275">
      <w:bodyDiv w:val="1"/>
      <w:marLeft w:val="0"/>
      <w:marRight w:val="0"/>
      <w:marTop w:val="0"/>
      <w:marBottom w:val="0"/>
      <w:divBdr>
        <w:top w:val="none" w:sz="0" w:space="0" w:color="auto"/>
        <w:left w:val="none" w:sz="0" w:space="0" w:color="auto"/>
        <w:bottom w:val="none" w:sz="0" w:space="0" w:color="auto"/>
        <w:right w:val="none" w:sz="0" w:space="0" w:color="auto"/>
      </w:divBdr>
    </w:div>
    <w:div w:id="1315454706">
      <w:bodyDiv w:val="1"/>
      <w:marLeft w:val="0"/>
      <w:marRight w:val="0"/>
      <w:marTop w:val="0"/>
      <w:marBottom w:val="0"/>
      <w:divBdr>
        <w:top w:val="none" w:sz="0" w:space="0" w:color="auto"/>
        <w:left w:val="none" w:sz="0" w:space="0" w:color="auto"/>
        <w:bottom w:val="none" w:sz="0" w:space="0" w:color="auto"/>
        <w:right w:val="none" w:sz="0" w:space="0" w:color="auto"/>
      </w:divBdr>
    </w:div>
    <w:div w:id="1348563181">
      <w:bodyDiv w:val="1"/>
      <w:marLeft w:val="0"/>
      <w:marRight w:val="0"/>
      <w:marTop w:val="0"/>
      <w:marBottom w:val="0"/>
      <w:divBdr>
        <w:top w:val="none" w:sz="0" w:space="0" w:color="auto"/>
        <w:left w:val="none" w:sz="0" w:space="0" w:color="auto"/>
        <w:bottom w:val="none" w:sz="0" w:space="0" w:color="auto"/>
        <w:right w:val="none" w:sz="0" w:space="0" w:color="auto"/>
      </w:divBdr>
    </w:div>
    <w:div w:id="1354921961">
      <w:bodyDiv w:val="1"/>
      <w:marLeft w:val="0"/>
      <w:marRight w:val="0"/>
      <w:marTop w:val="0"/>
      <w:marBottom w:val="0"/>
      <w:divBdr>
        <w:top w:val="none" w:sz="0" w:space="0" w:color="auto"/>
        <w:left w:val="none" w:sz="0" w:space="0" w:color="auto"/>
        <w:bottom w:val="none" w:sz="0" w:space="0" w:color="auto"/>
        <w:right w:val="none" w:sz="0" w:space="0" w:color="auto"/>
      </w:divBdr>
    </w:div>
    <w:div w:id="1355301814">
      <w:bodyDiv w:val="1"/>
      <w:marLeft w:val="0"/>
      <w:marRight w:val="0"/>
      <w:marTop w:val="0"/>
      <w:marBottom w:val="0"/>
      <w:divBdr>
        <w:top w:val="none" w:sz="0" w:space="0" w:color="auto"/>
        <w:left w:val="none" w:sz="0" w:space="0" w:color="auto"/>
        <w:bottom w:val="none" w:sz="0" w:space="0" w:color="auto"/>
        <w:right w:val="none" w:sz="0" w:space="0" w:color="auto"/>
      </w:divBdr>
    </w:div>
    <w:div w:id="1371999703">
      <w:bodyDiv w:val="1"/>
      <w:marLeft w:val="0"/>
      <w:marRight w:val="0"/>
      <w:marTop w:val="0"/>
      <w:marBottom w:val="0"/>
      <w:divBdr>
        <w:top w:val="none" w:sz="0" w:space="0" w:color="auto"/>
        <w:left w:val="none" w:sz="0" w:space="0" w:color="auto"/>
        <w:bottom w:val="none" w:sz="0" w:space="0" w:color="auto"/>
        <w:right w:val="none" w:sz="0" w:space="0" w:color="auto"/>
      </w:divBdr>
    </w:div>
    <w:div w:id="1373068856">
      <w:bodyDiv w:val="1"/>
      <w:marLeft w:val="0"/>
      <w:marRight w:val="0"/>
      <w:marTop w:val="0"/>
      <w:marBottom w:val="0"/>
      <w:divBdr>
        <w:top w:val="none" w:sz="0" w:space="0" w:color="auto"/>
        <w:left w:val="none" w:sz="0" w:space="0" w:color="auto"/>
        <w:bottom w:val="none" w:sz="0" w:space="0" w:color="auto"/>
        <w:right w:val="none" w:sz="0" w:space="0" w:color="auto"/>
      </w:divBdr>
    </w:div>
    <w:div w:id="1375692132">
      <w:bodyDiv w:val="1"/>
      <w:marLeft w:val="0"/>
      <w:marRight w:val="0"/>
      <w:marTop w:val="0"/>
      <w:marBottom w:val="0"/>
      <w:divBdr>
        <w:top w:val="none" w:sz="0" w:space="0" w:color="auto"/>
        <w:left w:val="none" w:sz="0" w:space="0" w:color="auto"/>
        <w:bottom w:val="none" w:sz="0" w:space="0" w:color="auto"/>
        <w:right w:val="none" w:sz="0" w:space="0" w:color="auto"/>
      </w:divBdr>
    </w:div>
    <w:div w:id="1382317020">
      <w:bodyDiv w:val="1"/>
      <w:marLeft w:val="0"/>
      <w:marRight w:val="0"/>
      <w:marTop w:val="0"/>
      <w:marBottom w:val="0"/>
      <w:divBdr>
        <w:top w:val="none" w:sz="0" w:space="0" w:color="auto"/>
        <w:left w:val="none" w:sz="0" w:space="0" w:color="auto"/>
        <w:bottom w:val="none" w:sz="0" w:space="0" w:color="auto"/>
        <w:right w:val="none" w:sz="0" w:space="0" w:color="auto"/>
      </w:divBdr>
    </w:div>
    <w:div w:id="1394162497">
      <w:bodyDiv w:val="1"/>
      <w:marLeft w:val="0"/>
      <w:marRight w:val="0"/>
      <w:marTop w:val="0"/>
      <w:marBottom w:val="0"/>
      <w:divBdr>
        <w:top w:val="none" w:sz="0" w:space="0" w:color="auto"/>
        <w:left w:val="none" w:sz="0" w:space="0" w:color="auto"/>
        <w:bottom w:val="none" w:sz="0" w:space="0" w:color="auto"/>
        <w:right w:val="none" w:sz="0" w:space="0" w:color="auto"/>
      </w:divBdr>
    </w:div>
    <w:div w:id="1397970150">
      <w:bodyDiv w:val="1"/>
      <w:marLeft w:val="0"/>
      <w:marRight w:val="0"/>
      <w:marTop w:val="0"/>
      <w:marBottom w:val="0"/>
      <w:divBdr>
        <w:top w:val="none" w:sz="0" w:space="0" w:color="auto"/>
        <w:left w:val="none" w:sz="0" w:space="0" w:color="auto"/>
        <w:bottom w:val="none" w:sz="0" w:space="0" w:color="auto"/>
        <w:right w:val="none" w:sz="0" w:space="0" w:color="auto"/>
      </w:divBdr>
    </w:div>
    <w:div w:id="1405371552">
      <w:bodyDiv w:val="1"/>
      <w:marLeft w:val="0"/>
      <w:marRight w:val="0"/>
      <w:marTop w:val="0"/>
      <w:marBottom w:val="0"/>
      <w:divBdr>
        <w:top w:val="none" w:sz="0" w:space="0" w:color="auto"/>
        <w:left w:val="none" w:sz="0" w:space="0" w:color="auto"/>
        <w:bottom w:val="none" w:sz="0" w:space="0" w:color="auto"/>
        <w:right w:val="none" w:sz="0" w:space="0" w:color="auto"/>
      </w:divBdr>
    </w:div>
    <w:div w:id="1433666839">
      <w:bodyDiv w:val="1"/>
      <w:marLeft w:val="0"/>
      <w:marRight w:val="0"/>
      <w:marTop w:val="0"/>
      <w:marBottom w:val="0"/>
      <w:divBdr>
        <w:top w:val="none" w:sz="0" w:space="0" w:color="auto"/>
        <w:left w:val="none" w:sz="0" w:space="0" w:color="auto"/>
        <w:bottom w:val="none" w:sz="0" w:space="0" w:color="auto"/>
        <w:right w:val="none" w:sz="0" w:space="0" w:color="auto"/>
      </w:divBdr>
    </w:div>
    <w:div w:id="1441340071">
      <w:bodyDiv w:val="1"/>
      <w:marLeft w:val="0"/>
      <w:marRight w:val="0"/>
      <w:marTop w:val="0"/>
      <w:marBottom w:val="0"/>
      <w:divBdr>
        <w:top w:val="none" w:sz="0" w:space="0" w:color="auto"/>
        <w:left w:val="none" w:sz="0" w:space="0" w:color="auto"/>
        <w:bottom w:val="none" w:sz="0" w:space="0" w:color="auto"/>
        <w:right w:val="none" w:sz="0" w:space="0" w:color="auto"/>
      </w:divBdr>
    </w:div>
    <w:div w:id="1445885395">
      <w:bodyDiv w:val="1"/>
      <w:marLeft w:val="0"/>
      <w:marRight w:val="0"/>
      <w:marTop w:val="0"/>
      <w:marBottom w:val="0"/>
      <w:divBdr>
        <w:top w:val="none" w:sz="0" w:space="0" w:color="auto"/>
        <w:left w:val="none" w:sz="0" w:space="0" w:color="auto"/>
        <w:bottom w:val="none" w:sz="0" w:space="0" w:color="auto"/>
        <w:right w:val="none" w:sz="0" w:space="0" w:color="auto"/>
      </w:divBdr>
    </w:div>
    <w:div w:id="1448085913">
      <w:bodyDiv w:val="1"/>
      <w:marLeft w:val="0"/>
      <w:marRight w:val="0"/>
      <w:marTop w:val="0"/>
      <w:marBottom w:val="0"/>
      <w:divBdr>
        <w:top w:val="none" w:sz="0" w:space="0" w:color="auto"/>
        <w:left w:val="none" w:sz="0" w:space="0" w:color="auto"/>
        <w:bottom w:val="none" w:sz="0" w:space="0" w:color="auto"/>
        <w:right w:val="none" w:sz="0" w:space="0" w:color="auto"/>
      </w:divBdr>
    </w:div>
    <w:div w:id="1448961734">
      <w:bodyDiv w:val="1"/>
      <w:marLeft w:val="0"/>
      <w:marRight w:val="0"/>
      <w:marTop w:val="0"/>
      <w:marBottom w:val="0"/>
      <w:divBdr>
        <w:top w:val="none" w:sz="0" w:space="0" w:color="auto"/>
        <w:left w:val="none" w:sz="0" w:space="0" w:color="auto"/>
        <w:bottom w:val="none" w:sz="0" w:space="0" w:color="auto"/>
        <w:right w:val="none" w:sz="0" w:space="0" w:color="auto"/>
      </w:divBdr>
    </w:div>
    <w:div w:id="1451241501">
      <w:bodyDiv w:val="1"/>
      <w:marLeft w:val="0"/>
      <w:marRight w:val="0"/>
      <w:marTop w:val="0"/>
      <w:marBottom w:val="0"/>
      <w:divBdr>
        <w:top w:val="none" w:sz="0" w:space="0" w:color="auto"/>
        <w:left w:val="none" w:sz="0" w:space="0" w:color="auto"/>
        <w:bottom w:val="none" w:sz="0" w:space="0" w:color="auto"/>
        <w:right w:val="none" w:sz="0" w:space="0" w:color="auto"/>
      </w:divBdr>
      <w:divsChild>
        <w:div w:id="670989907">
          <w:marLeft w:val="0"/>
          <w:marRight w:val="0"/>
          <w:marTop w:val="0"/>
          <w:marBottom w:val="0"/>
          <w:divBdr>
            <w:top w:val="none" w:sz="0" w:space="0" w:color="auto"/>
            <w:left w:val="none" w:sz="0" w:space="0" w:color="auto"/>
            <w:bottom w:val="none" w:sz="0" w:space="0" w:color="auto"/>
            <w:right w:val="none" w:sz="0" w:space="0" w:color="auto"/>
          </w:divBdr>
          <w:divsChild>
            <w:div w:id="1053962201">
              <w:marLeft w:val="0"/>
              <w:marRight w:val="0"/>
              <w:marTop w:val="0"/>
              <w:marBottom w:val="0"/>
              <w:divBdr>
                <w:top w:val="none" w:sz="0" w:space="0" w:color="auto"/>
                <w:left w:val="none" w:sz="0" w:space="0" w:color="auto"/>
                <w:bottom w:val="none" w:sz="0" w:space="0" w:color="auto"/>
                <w:right w:val="none" w:sz="0" w:space="0" w:color="auto"/>
              </w:divBdr>
              <w:divsChild>
                <w:div w:id="131224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043778">
      <w:bodyDiv w:val="1"/>
      <w:marLeft w:val="0"/>
      <w:marRight w:val="0"/>
      <w:marTop w:val="0"/>
      <w:marBottom w:val="0"/>
      <w:divBdr>
        <w:top w:val="none" w:sz="0" w:space="0" w:color="auto"/>
        <w:left w:val="none" w:sz="0" w:space="0" w:color="auto"/>
        <w:bottom w:val="none" w:sz="0" w:space="0" w:color="auto"/>
        <w:right w:val="none" w:sz="0" w:space="0" w:color="auto"/>
      </w:divBdr>
      <w:divsChild>
        <w:div w:id="1411543170">
          <w:marLeft w:val="0"/>
          <w:marRight w:val="0"/>
          <w:marTop w:val="0"/>
          <w:marBottom w:val="0"/>
          <w:divBdr>
            <w:top w:val="none" w:sz="0" w:space="0" w:color="auto"/>
            <w:left w:val="none" w:sz="0" w:space="0" w:color="auto"/>
            <w:bottom w:val="none" w:sz="0" w:space="0" w:color="auto"/>
            <w:right w:val="none" w:sz="0" w:space="0" w:color="auto"/>
          </w:divBdr>
          <w:divsChild>
            <w:div w:id="315377651">
              <w:marLeft w:val="0"/>
              <w:marRight w:val="0"/>
              <w:marTop w:val="0"/>
              <w:marBottom w:val="0"/>
              <w:divBdr>
                <w:top w:val="none" w:sz="0" w:space="0" w:color="auto"/>
                <w:left w:val="none" w:sz="0" w:space="0" w:color="auto"/>
                <w:bottom w:val="none" w:sz="0" w:space="0" w:color="auto"/>
                <w:right w:val="none" w:sz="0" w:space="0" w:color="auto"/>
              </w:divBdr>
              <w:divsChild>
                <w:div w:id="50254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517772">
      <w:bodyDiv w:val="1"/>
      <w:marLeft w:val="0"/>
      <w:marRight w:val="0"/>
      <w:marTop w:val="0"/>
      <w:marBottom w:val="0"/>
      <w:divBdr>
        <w:top w:val="none" w:sz="0" w:space="0" w:color="auto"/>
        <w:left w:val="none" w:sz="0" w:space="0" w:color="auto"/>
        <w:bottom w:val="none" w:sz="0" w:space="0" w:color="auto"/>
        <w:right w:val="none" w:sz="0" w:space="0" w:color="auto"/>
      </w:divBdr>
    </w:div>
    <w:div w:id="1495871409">
      <w:bodyDiv w:val="1"/>
      <w:marLeft w:val="0"/>
      <w:marRight w:val="0"/>
      <w:marTop w:val="0"/>
      <w:marBottom w:val="0"/>
      <w:divBdr>
        <w:top w:val="none" w:sz="0" w:space="0" w:color="auto"/>
        <w:left w:val="none" w:sz="0" w:space="0" w:color="auto"/>
        <w:bottom w:val="none" w:sz="0" w:space="0" w:color="auto"/>
        <w:right w:val="none" w:sz="0" w:space="0" w:color="auto"/>
      </w:divBdr>
    </w:div>
    <w:div w:id="1509903845">
      <w:bodyDiv w:val="1"/>
      <w:marLeft w:val="0"/>
      <w:marRight w:val="0"/>
      <w:marTop w:val="0"/>
      <w:marBottom w:val="0"/>
      <w:divBdr>
        <w:top w:val="none" w:sz="0" w:space="0" w:color="auto"/>
        <w:left w:val="none" w:sz="0" w:space="0" w:color="auto"/>
        <w:bottom w:val="none" w:sz="0" w:space="0" w:color="auto"/>
        <w:right w:val="none" w:sz="0" w:space="0" w:color="auto"/>
      </w:divBdr>
    </w:div>
    <w:div w:id="1515339857">
      <w:bodyDiv w:val="1"/>
      <w:marLeft w:val="0"/>
      <w:marRight w:val="0"/>
      <w:marTop w:val="0"/>
      <w:marBottom w:val="0"/>
      <w:divBdr>
        <w:top w:val="none" w:sz="0" w:space="0" w:color="auto"/>
        <w:left w:val="none" w:sz="0" w:space="0" w:color="auto"/>
        <w:bottom w:val="none" w:sz="0" w:space="0" w:color="auto"/>
        <w:right w:val="none" w:sz="0" w:space="0" w:color="auto"/>
      </w:divBdr>
    </w:div>
    <w:div w:id="1535117981">
      <w:bodyDiv w:val="1"/>
      <w:marLeft w:val="0"/>
      <w:marRight w:val="0"/>
      <w:marTop w:val="0"/>
      <w:marBottom w:val="0"/>
      <w:divBdr>
        <w:top w:val="none" w:sz="0" w:space="0" w:color="auto"/>
        <w:left w:val="none" w:sz="0" w:space="0" w:color="auto"/>
        <w:bottom w:val="none" w:sz="0" w:space="0" w:color="auto"/>
        <w:right w:val="none" w:sz="0" w:space="0" w:color="auto"/>
      </w:divBdr>
    </w:div>
    <w:div w:id="1543980190">
      <w:bodyDiv w:val="1"/>
      <w:marLeft w:val="0"/>
      <w:marRight w:val="0"/>
      <w:marTop w:val="0"/>
      <w:marBottom w:val="0"/>
      <w:divBdr>
        <w:top w:val="none" w:sz="0" w:space="0" w:color="auto"/>
        <w:left w:val="none" w:sz="0" w:space="0" w:color="auto"/>
        <w:bottom w:val="none" w:sz="0" w:space="0" w:color="auto"/>
        <w:right w:val="none" w:sz="0" w:space="0" w:color="auto"/>
      </w:divBdr>
    </w:div>
    <w:div w:id="1544908346">
      <w:bodyDiv w:val="1"/>
      <w:marLeft w:val="0"/>
      <w:marRight w:val="0"/>
      <w:marTop w:val="0"/>
      <w:marBottom w:val="0"/>
      <w:divBdr>
        <w:top w:val="none" w:sz="0" w:space="0" w:color="auto"/>
        <w:left w:val="none" w:sz="0" w:space="0" w:color="auto"/>
        <w:bottom w:val="none" w:sz="0" w:space="0" w:color="auto"/>
        <w:right w:val="none" w:sz="0" w:space="0" w:color="auto"/>
      </w:divBdr>
    </w:div>
    <w:div w:id="1555580934">
      <w:bodyDiv w:val="1"/>
      <w:marLeft w:val="0"/>
      <w:marRight w:val="0"/>
      <w:marTop w:val="0"/>
      <w:marBottom w:val="0"/>
      <w:divBdr>
        <w:top w:val="none" w:sz="0" w:space="0" w:color="auto"/>
        <w:left w:val="none" w:sz="0" w:space="0" w:color="auto"/>
        <w:bottom w:val="none" w:sz="0" w:space="0" w:color="auto"/>
        <w:right w:val="none" w:sz="0" w:space="0" w:color="auto"/>
      </w:divBdr>
    </w:div>
    <w:div w:id="1558322971">
      <w:bodyDiv w:val="1"/>
      <w:marLeft w:val="0"/>
      <w:marRight w:val="0"/>
      <w:marTop w:val="0"/>
      <w:marBottom w:val="0"/>
      <w:divBdr>
        <w:top w:val="none" w:sz="0" w:space="0" w:color="auto"/>
        <w:left w:val="none" w:sz="0" w:space="0" w:color="auto"/>
        <w:bottom w:val="none" w:sz="0" w:space="0" w:color="auto"/>
        <w:right w:val="none" w:sz="0" w:space="0" w:color="auto"/>
      </w:divBdr>
    </w:div>
    <w:div w:id="1572616144">
      <w:bodyDiv w:val="1"/>
      <w:marLeft w:val="0"/>
      <w:marRight w:val="0"/>
      <w:marTop w:val="0"/>
      <w:marBottom w:val="0"/>
      <w:divBdr>
        <w:top w:val="none" w:sz="0" w:space="0" w:color="auto"/>
        <w:left w:val="none" w:sz="0" w:space="0" w:color="auto"/>
        <w:bottom w:val="none" w:sz="0" w:space="0" w:color="auto"/>
        <w:right w:val="none" w:sz="0" w:space="0" w:color="auto"/>
      </w:divBdr>
    </w:div>
    <w:div w:id="1580747262">
      <w:bodyDiv w:val="1"/>
      <w:marLeft w:val="0"/>
      <w:marRight w:val="0"/>
      <w:marTop w:val="0"/>
      <w:marBottom w:val="0"/>
      <w:divBdr>
        <w:top w:val="none" w:sz="0" w:space="0" w:color="auto"/>
        <w:left w:val="none" w:sz="0" w:space="0" w:color="auto"/>
        <w:bottom w:val="none" w:sz="0" w:space="0" w:color="auto"/>
        <w:right w:val="none" w:sz="0" w:space="0" w:color="auto"/>
      </w:divBdr>
    </w:div>
    <w:div w:id="1599097209">
      <w:bodyDiv w:val="1"/>
      <w:marLeft w:val="0"/>
      <w:marRight w:val="0"/>
      <w:marTop w:val="0"/>
      <w:marBottom w:val="0"/>
      <w:divBdr>
        <w:top w:val="none" w:sz="0" w:space="0" w:color="auto"/>
        <w:left w:val="none" w:sz="0" w:space="0" w:color="auto"/>
        <w:bottom w:val="none" w:sz="0" w:space="0" w:color="auto"/>
        <w:right w:val="none" w:sz="0" w:space="0" w:color="auto"/>
      </w:divBdr>
    </w:div>
    <w:div w:id="1601598772">
      <w:bodyDiv w:val="1"/>
      <w:marLeft w:val="0"/>
      <w:marRight w:val="0"/>
      <w:marTop w:val="0"/>
      <w:marBottom w:val="0"/>
      <w:divBdr>
        <w:top w:val="none" w:sz="0" w:space="0" w:color="auto"/>
        <w:left w:val="none" w:sz="0" w:space="0" w:color="auto"/>
        <w:bottom w:val="none" w:sz="0" w:space="0" w:color="auto"/>
        <w:right w:val="none" w:sz="0" w:space="0" w:color="auto"/>
      </w:divBdr>
    </w:div>
    <w:div w:id="1619095918">
      <w:bodyDiv w:val="1"/>
      <w:marLeft w:val="0"/>
      <w:marRight w:val="0"/>
      <w:marTop w:val="0"/>
      <w:marBottom w:val="0"/>
      <w:divBdr>
        <w:top w:val="none" w:sz="0" w:space="0" w:color="auto"/>
        <w:left w:val="none" w:sz="0" w:space="0" w:color="auto"/>
        <w:bottom w:val="none" w:sz="0" w:space="0" w:color="auto"/>
        <w:right w:val="none" w:sz="0" w:space="0" w:color="auto"/>
      </w:divBdr>
    </w:div>
    <w:div w:id="1626694486">
      <w:bodyDiv w:val="1"/>
      <w:marLeft w:val="0"/>
      <w:marRight w:val="0"/>
      <w:marTop w:val="0"/>
      <w:marBottom w:val="0"/>
      <w:divBdr>
        <w:top w:val="none" w:sz="0" w:space="0" w:color="auto"/>
        <w:left w:val="none" w:sz="0" w:space="0" w:color="auto"/>
        <w:bottom w:val="none" w:sz="0" w:space="0" w:color="auto"/>
        <w:right w:val="none" w:sz="0" w:space="0" w:color="auto"/>
      </w:divBdr>
    </w:div>
    <w:div w:id="1638099811">
      <w:bodyDiv w:val="1"/>
      <w:marLeft w:val="0"/>
      <w:marRight w:val="0"/>
      <w:marTop w:val="0"/>
      <w:marBottom w:val="0"/>
      <w:divBdr>
        <w:top w:val="none" w:sz="0" w:space="0" w:color="auto"/>
        <w:left w:val="none" w:sz="0" w:space="0" w:color="auto"/>
        <w:bottom w:val="none" w:sz="0" w:space="0" w:color="auto"/>
        <w:right w:val="none" w:sz="0" w:space="0" w:color="auto"/>
      </w:divBdr>
      <w:divsChild>
        <w:div w:id="165555676">
          <w:marLeft w:val="0"/>
          <w:marRight w:val="0"/>
          <w:marTop w:val="0"/>
          <w:marBottom w:val="0"/>
          <w:divBdr>
            <w:top w:val="none" w:sz="0" w:space="0" w:color="auto"/>
            <w:left w:val="none" w:sz="0" w:space="0" w:color="auto"/>
            <w:bottom w:val="none" w:sz="0" w:space="0" w:color="auto"/>
            <w:right w:val="none" w:sz="0" w:space="0" w:color="auto"/>
          </w:divBdr>
        </w:div>
        <w:div w:id="1159537840">
          <w:marLeft w:val="0"/>
          <w:marRight w:val="0"/>
          <w:marTop w:val="0"/>
          <w:marBottom w:val="0"/>
          <w:divBdr>
            <w:top w:val="none" w:sz="0" w:space="0" w:color="auto"/>
            <w:left w:val="none" w:sz="0" w:space="0" w:color="auto"/>
            <w:bottom w:val="none" w:sz="0" w:space="0" w:color="auto"/>
            <w:right w:val="none" w:sz="0" w:space="0" w:color="auto"/>
          </w:divBdr>
        </w:div>
      </w:divsChild>
    </w:div>
    <w:div w:id="1663658129">
      <w:bodyDiv w:val="1"/>
      <w:marLeft w:val="0"/>
      <w:marRight w:val="0"/>
      <w:marTop w:val="0"/>
      <w:marBottom w:val="0"/>
      <w:divBdr>
        <w:top w:val="none" w:sz="0" w:space="0" w:color="auto"/>
        <w:left w:val="none" w:sz="0" w:space="0" w:color="auto"/>
        <w:bottom w:val="none" w:sz="0" w:space="0" w:color="auto"/>
        <w:right w:val="none" w:sz="0" w:space="0" w:color="auto"/>
      </w:divBdr>
    </w:div>
    <w:div w:id="1670980582">
      <w:bodyDiv w:val="1"/>
      <w:marLeft w:val="0"/>
      <w:marRight w:val="0"/>
      <w:marTop w:val="0"/>
      <w:marBottom w:val="0"/>
      <w:divBdr>
        <w:top w:val="none" w:sz="0" w:space="0" w:color="auto"/>
        <w:left w:val="none" w:sz="0" w:space="0" w:color="auto"/>
        <w:bottom w:val="none" w:sz="0" w:space="0" w:color="auto"/>
        <w:right w:val="none" w:sz="0" w:space="0" w:color="auto"/>
      </w:divBdr>
    </w:div>
    <w:div w:id="1713114268">
      <w:bodyDiv w:val="1"/>
      <w:marLeft w:val="0"/>
      <w:marRight w:val="0"/>
      <w:marTop w:val="0"/>
      <w:marBottom w:val="0"/>
      <w:divBdr>
        <w:top w:val="none" w:sz="0" w:space="0" w:color="auto"/>
        <w:left w:val="none" w:sz="0" w:space="0" w:color="auto"/>
        <w:bottom w:val="none" w:sz="0" w:space="0" w:color="auto"/>
        <w:right w:val="none" w:sz="0" w:space="0" w:color="auto"/>
      </w:divBdr>
    </w:div>
    <w:div w:id="1744914664">
      <w:bodyDiv w:val="1"/>
      <w:marLeft w:val="0"/>
      <w:marRight w:val="0"/>
      <w:marTop w:val="0"/>
      <w:marBottom w:val="0"/>
      <w:divBdr>
        <w:top w:val="none" w:sz="0" w:space="0" w:color="auto"/>
        <w:left w:val="none" w:sz="0" w:space="0" w:color="auto"/>
        <w:bottom w:val="none" w:sz="0" w:space="0" w:color="auto"/>
        <w:right w:val="none" w:sz="0" w:space="0" w:color="auto"/>
      </w:divBdr>
    </w:div>
    <w:div w:id="1753233306">
      <w:bodyDiv w:val="1"/>
      <w:marLeft w:val="0"/>
      <w:marRight w:val="0"/>
      <w:marTop w:val="0"/>
      <w:marBottom w:val="0"/>
      <w:divBdr>
        <w:top w:val="none" w:sz="0" w:space="0" w:color="auto"/>
        <w:left w:val="none" w:sz="0" w:space="0" w:color="auto"/>
        <w:bottom w:val="none" w:sz="0" w:space="0" w:color="auto"/>
        <w:right w:val="none" w:sz="0" w:space="0" w:color="auto"/>
      </w:divBdr>
    </w:div>
    <w:div w:id="1754625425">
      <w:bodyDiv w:val="1"/>
      <w:marLeft w:val="0"/>
      <w:marRight w:val="0"/>
      <w:marTop w:val="0"/>
      <w:marBottom w:val="0"/>
      <w:divBdr>
        <w:top w:val="none" w:sz="0" w:space="0" w:color="auto"/>
        <w:left w:val="none" w:sz="0" w:space="0" w:color="auto"/>
        <w:bottom w:val="none" w:sz="0" w:space="0" w:color="auto"/>
        <w:right w:val="none" w:sz="0" w:space="0" w:color="auto"/>
      </w:divBdr>
    </w:div>
    <w:div w:id="1772896371">
      <w:bodyDiv w:val="1"/>
      <w:marLeft w:val="0"/>
      <w:marRight w:val="0"/>
      <w:marTop w:val="0"/>
      <w:marBottom w:val="0"/>
      <w:divBdr>
        <w:top w:val="none" w:sz="0" w:space="0" w:color="auto"/>
        <w:left w:val="none" w:sz="0" w:space="0" w:color="auto"/>
        <w:bottom w:val="none" w:sz="0" w:space="0" w:color="auto"/>
        <w:right w:val="none" w:sz="0" w:space="0" w:color="auto"/>
      </w:divBdr>
    </w:div>
    <w:div w:id="1775442564">
      <w:bodyDiv w:val="1"/>
      <w:marLeft w:val="0"/>
      <w:marRight w:val="0"/>
      <w:marTop w:val="0"/>
      <w:marBottom w:val="0"/>
      <w:divBdr>
        <w:top w:val="none" w:sz="0" w:space="0" w:color="auto"/>
        <w:left w:val="none" w:sz="0" w:space="0" w:color="auto"/>
        <w:bottom w:val="none" w:sz="0" w:space="0" w:color="auto"/>
        <w:right w:val="none" w:sz="0" w:space="0" w:color="auto"/>
      </w:divBdr>
    </w:div>
    <w:div w:id="1789466757">
      <w:bodyDiv w:val="1"/>
      <w:marLeft w:val="0"/>
      <w:marRight w:val="0"/>
      <w:marTop w:val="0"/>
      <w:marBottom w:val="0"/>
      <w:divBdr>
        <w:top w:val="none" w:sz="0" w:space="0" w:color="auto"/>
        <w:left w:val="none" w:sz="0" w:space="0" w:color="auto"/>
        <w:bottom w:val="none" w:sz="0" w:space="0" w:color="auto"/>
        <w:right w:val="none" w:sz="0" w:space="0" w:color="auto"/>
      </w:divBdr>
    </w:div>
    <w:div w:id="1814327495">
      <w:bodyDiv w:val="1"/>
      <w:marLeft w:val="0"/>
      <w:marRight w:val="0"/>
      <w:marTop w:val="0"/>
      <w:marBottom w:val="0"/>
      <w:divBdr>
        <w:top w:val="none" w:sz="0" w:space="0" w:color="auto"/>
        <w:left w:val="none" w:sz="0" w:space="0" w:color="auto"/>
        <w:bottom w:val="none" w:sz="0" w:space="0" w:color="auto"/>
        <w:right w:val="none" w:sz="0" w:space="0" w:color="auto"/>
      </w:divBdr>
    </w:div>
    <w:div w:id="1820687445">
      <w:bodyDiv w:val="1"/>
      <w:marLeft w:val="0"/>
      <w:marRight w:val="0"/>
      <w:marTop w:val="0"/>
      <w:marBottom w:val="0"/>
      <w:divBdr>
        <w:top w:val="none" w:sz="0" w:space="0" w:color="auto"/>
        <w:left w:val="none" w:sz="0" w:space="0" w:color="auto"/>
        <w:bottom w:val="none" w:sz="0" w:space="0" w:color="auto"/>
        <w:right w:val="none" w:sz="0" w:space="0" w:color="auto"/>
      </w:divBdr>
    </w:div>
    <w:div w:id="1822112731">
      <w:bodyDiv w:val="1"/>
      <w:marLeft w:val="0"/>
      <w:marRight w:val="0"/>
      <w:marTop w:val="0"/>
      <w:marBottom w:val="0"/>
      <w:divBdr>
        <w:top w:val="none" w:sz="0" w:space="0" w:color="auto"/>
        <w:left w:val="none" w:sz="0" w:space="0" w:color="auto"/>
        <w:bottom w:val="none" w:sz="0" w:space="0" w:color="auto"/>
        <w:right w:val="none" w:sz="0" w:space="0" w:color="auto"/>
      </w:divBdr>
    </w:div>
    <w:div w:id="1836340958">
      <w:bodyDiv w:val="1"/>
      <w:marLeft w:val="0"/>
      <w:marRight w:val="0"/>
      <w:marTop w:val="0"/>
      <w:marBottom w:val="0"/>
      <w:divBdr>
        <w:top w:val="none" w:sz="0" w:space="0" w:color="auto"/>
        <w:left w:val="none" w:sz="0" w:space="0" w:color="auto"/>
        <w:bottom w:val="none" w:sz="0" w:space="0" w:color="auto"/>
        <w:right w:val="none" w:sz="0" w:space="0" w:color="auto"/>
      </w:divBdr>
    </w:div>
    <w:div w:id="1843855420">
      <w:bodyDiv w:val="1"/>
      <w:marLeft w:val="0"/>
      <w:marRight w:val="0"/>
      <w:marTop w:val="0"/>
      <w:marBottom w:val="0"/>
      <w:divBdr>
        <w:top w:val="none" w:sz="0" w:space="0" w:color="auto"/>
        <w:left w:val="none" w:sz="0" w:space="0" w:color="auto"/>
        <w:bottom w:val="none" w:sz="0" w:space="0" w:color="auto"/>
        <w:right w:val="none" w:sz="0" w:space="0" w:color="auto"/>
      </w:divBdr>
    </w:div>
    <w:div w:id="1858275202">
      <w:bodyDiv w:val="1"/>
      <w:marLeft w:val="0"/>
      <w:marRight w:val="0"/>
      <w:marTop w:val="0"/>
      <w:marBottom w:val="0"/>
      <w:divBdr>
        <w:top w:val="none" w:sz="0" w:space="0" w:color="auto"/>
        <w:left w:val="none" w:sz="0" w:space="0" w:color="auto"/>
        <w:bottom w:val="none" w:sz="0" w:space="0" w:color="auto"/>
        <w:right w:val="none" w:sz="0" w:space="0" w:color="auto"/>
      </w:divBdr>
    </w:div>
    <w:div w:id="1866820361">
      <w:bodyDiv w:val="1"/>
      <w:marLeft w:val="0"/>
      <w:marRight w:val="0"/>
      <w:marTop w:val="0"/>
      <w:marBottom w:val="0"/>
      <w:divBdr>
        <w:top w:val="none" w:sz="0" w:space="0" w:color="auto"/>
        <w:left w:val="none" w:sz="0" w:space="0" w:color="auto"/>
        <w:bottom w:val="none" w:sz="0" w:space="0" w:color="auto"/>
        <w:right w:val="none" w:sz="0" w:space="0" w:color="auto"/>
      </w:divBdr>
    </w:div>
    <w:div w:id="1868134928">
      <w:bodyDiv w:val="1"/>
      <w:marLeft w:val="0"/>
      <w:marRight w:val="0"/>
      <w:marTop w:val="0"/>
      <w:marBottom w:val="0"/>
      <w:divBdr>
        <w:top w:val="none" w:sz="0" w:space="0" w:color="auto"/>
        <w:left w:val="none" w:sz="0" w:space="0" w:color="auto"/>
        <w:bottom w:val="none" w:sz="0" w:space="0" w:color="auto"/>
        <w:right w:val="none" w:sz="0" w:space="0" w:color="auto"/>
      </w:divBdr>
    </w:div>
    <w:div w:id="1909074956">
      <w:bodyDiv w:val="1"/>
      <w:marLeft w:val="0"/>
      <w:marRight w:val="0"/>
      <w:marTop w:val="0"/>
      <w:marBottom w:val="0"/>
      <w:divBdr>
        <w:top w:val="none" w:sz="0" w:space="0" w:color="auto"/>
        <w:left w:val="none" w:sz="0" w:space="0" w:color="auto"/>
        <w:bottom w:val="none" w:sz="0" w:space="0" w:color="auto"/>
        <w:right w:val="none" w:sz="0" w:space="0" w:color="auto"/>
      </w:divBdr>
    </w:div>
    <w:div w:id="1943223482">
      <w:bodyDiv w:val="1"/>
      <w:marLeft w:val="0"/>
      <w:marRight w:val="0"/>
      <w:marTop w:val="0"/>
      <w:marBottom w:val="0"/>
      <w:divBdr>
        <w:top w:val="none" w:sz="0" w:space="0" w:color="auto"/>
        <w:left w:val="none" w:sz="0" w:space="0" w:color="auto"/>
        <w:bottom w:val="none" w:sz="0" w:space="0" w:color="auto"/>
        <w:right w:val="none" w:sz="0" w:space="0" w:color="auto"/>
      </w:divBdr>
    </w:div>
    <w:div w:id="1954826662">
      <w:bodyDiv w:val="1"/>
      <w:marLeft w:val="0"/>
      <w:marRight w:val="0"/>
      <w:marTop w:val="0"/>
      <w:marBottom w:val="0"/>
      <w:divBdr>
        <w:top w:val="none" w:sz="0" w:space="0" w:color="auto"/>
        <w:left w:val="none" w:sz="0" w:space="0" w:color="auto"/>
        <w:bottom w:val="none" w:sz="0" w:space="0" w:color="auto"/>
        <w:right w:val="none" w:sz="0" w:space="0" w:color="auto"/>
      </w:divBdr>
    </w:div>
    <w:div w:id="1964460265">
      <w:bodyDiv w:val="1"/>
      <w:marLeft w:val="0"/>
      <w:marRight w:val="0"/>
      <w:marTop w:val="0"/>
      <w:marBottom w:val="0"/>
      <w:divBdr>
        <w:top w:val="none" w:sz="0" w:space="0" w:color="auto"/>
        <w:left w:val="none" w:sz="0" w:space="0" w:color="auto"/>
        <w:bottom w:val="none" w:sz="0" w:space="0" w:color="auto"/>
        <w:right w:val="none" w:sz="0" w:space="0" w:color="auto"/>
      </w:divBdr>
    </w:div>
    <w:div w:id="1965117913">
      <w:bodyDiv w:val="1"/>
      <w:marLeft w:val="0"/>
      <w:marRight w:val="0"/>
      <w:marTop w:val="0"/>
      <w:marBottom w:val="0"/>
      <w:divBdr>
        <w:top w:val="none" w:sz="0" w:space="0" w:color="auto"/>
        <w:left w:val="none" w:sz="0" w:space="0" w:color="auto"/>
        <w:bottom w:val="none" w:sz="0" w:space="0" w:color="auto"/>
        <w:right w:val="none" w:sz="0" w:space="0" w:color="auto"/>
      </w:divBdr>
    </w:div>
    <w:div w:id="1971353774">
      <w:bodyDiv w:val="1"/>
      <w:marLeft w:val="0"/>
      <w:marRight w:val="0"/>
      <w:marTop w:val="0"/>
      <w:marBottom w:val="0"/>
      <w:divBdr>
        <w:top w:val="none" w:sz="0" w:space="0" w:color="auto"/>
        <w:left w:val="none" w:sz="0" w:space="0" w:color="auto"/>
        <w:bottom w:val="none" w:sz="0" w:space="0" w:color="auto"/>
        <w:right w:val="none" w:sz="0" w:space="0" w:color="auto"/>
      </w:divBdr>
    </w:div>
    <w:div w:id="1982298585">
      <w:bodyDiv w:val="1"/>
      <w:marLeft w:val="0"/>
      <w:marRight w:val="0"/>
      <w:marTop w:val="0"/>
      <w:marBottom w:val="0"/>
      <w:divBdr>
        <w:top w:val="none" w:sz="0" w:space="0" w:color="auto"/>
        <w:left w:val="none" w:sz="0" w:space="0" w:color="auto"/>
        <w:bottom w:val="none" w:sz="0" w:space="0" w:color="auto"/>
        <w:right w:val="none" w:sz="0" w:space="0" w:color="auto"/>
      </w:divBdr>
    </w:div>
    <w:div w:id="2017534388">
      <w:bodyDiv w:val="1"/>
      <w:marLeft w:val="0"/>
      <w:marRight w:val="0"/>
      <w:marTop w:val="0"/>
      <w:marBottom w:val="0"/>
      <w:divBdr>
        <w:top w:val="none" w:sz="0" w:space="0" w:color="auto"/>
        <w:left w:val="none" w:sz="0" w:space="0" w:color="auto"/>
        <w:bottom w:val="none" w:sz="0" w:space="0" w:color="auto"/>
        <w:right w:val="none" w:sz="0" w:space="0" w:color="auto"/>
      </w:divBdr>
    </w:div>
    <w:div w:id="2029988274">
      <w:bodyDiv w:val="1"/>
      <w:marLeft w:val="0"/>
      <w:marRight w:val="0"/>
      <w:marTop w:val="0"/>
      <w:marBottom w:val="0"/>
      <w:divBdr>
        <w:top w:val="none" w:sz="0" w:space="0" w:color="auto"/>
        <w:left w:val="none" w:sz="0" w:space="0" w:color="auto"/>
        <w:bottom w:val="none" w:sz="0" w:space="0" w:color="auto"/>
        <w:right w:val="none" w:sz="0" w:space="0" w:color="auto"/>
      </w:divBdr>
    </w:div>
    <w:div w:id="2030056619">
      <w:bodyDiv w:val="1"/>
      <w:marLeft w:val="0"/>
      <w:marRight w:val="0"/>
      <w:marTop w:val="0"/>
      <w:marBottom w:val="0"/>
      <w:divBdr>
        <w:top w:val="none" w:sz="0" w:space="0" w:color="auto"/>
        <w:left w:val="none" w:sz="0" w:space="0" w:color="auto"/>
        <w:bottom w:val="none" w:sz="0" w:space="0" w:color="auto"/>
        <w:right w:val="none" w:sz="0" w:space="0" w:color="auto"/>
      </w:divBdr>
    </w:div>
    <w:div w:id="2040279806">
      <w:bodyDiv w:val="1"/>
      <w:marLeft w:val="0"/>
      <w:marRight w:val="0"/>
      <w:marTop w:val="0"/>
      <w:marBottom w:val="0"/>
      <w:divBdr>
        <w:top w:val="none" w:sz="0" w:space="0" w:color="auto"/>
        <w:left w:val="none" w:sz="0" w:space="0" w:color="auto"/>
        <w:bottom w:val="none" w:sz="0" w:space="0" w:color="auto"/>
        <w:right w:val="none" w:sz="0" w:space="0" w:color="auto"/>
      </w:divBdr>
    </w:div>
    <w:div w:id="2041740422">
      <w:bodyDiv w:val="1"/>
      <w:marLeft w:val="0"/>
      <w:marRight w:val="0"/>
      <w:marTop w:val="0"/>
      <w:marBottom w:val="0"/>
      <w:divBdr>
        <w:top w:val="none" w:sz="0" w:space="0" w:color="auto"/>
        <w:left w:val="none" w:sz="0" w:space="0" w:color="auto"/>
        <w:bottom w:val="none" w:sz="0" w:space="0" w:color="auto"/>
        <w:right w:val="none" w:sz="0" w:space="0" w:color="auto"/>
      </w:divBdr>
    </w:div>
    <w:div w:id="2045128758">
      <w:bodyDiv w:val="1"/>
      <w:marLeft w:val="0"/>
      <w:marRight w:val="0"/>
      <w:marTop w:val="0"/>
      <w:marBottom w:val="0"/>
      <w:divBdr>
        <w:top w:val="none" w:sz="0" w:space="0" w:color="auto"/>
        <w:left w:val="none" w:sz="0" w:space="0" w:color="auto"/>
        <w:bottom w:val="none" w:sz="0" w:space="0" w:color="auto"/>
        <w:right w:val="none" w:sz="0" w:space="0" w:color="auto"/>
      </w:divBdr>
    </w:div>
    <w:div w:id="2100637285">
      <w:bodyDiv w:val="1"/>
      <w:marLeft w:val="0"/>
      <w:marRight w:val="0"/>
      <w:marTop w:val="0"/>
      <w:marBottom w:val="0"/>
      <w:divBdr>
        <w:top w:val="none" w:sz="0" w:space="0" w:color="auto"/>
        <w:left w:val="none" w:sz="0" w:space="0" w:color="auto"/>
        <w:bottom w:val="none" w:sz="0" w:space="0" w:color="auto"/>
        <w:right w:val="none" w:sz="0" w:space="0" w:color="auto"/>
      </w:divBdr>
    </w:div>
    <w:div w:id="2130707651">
      <w:bodyDiv w:val="1"/>
      <w:marLeft w:val="0"/>
      <w:marRight w:val="0"/>
      <w:marTop w:val="0"/>
      <w:marBottom w:val="0"/>
      <w:divBdr>
        <w:top w:val="none" w:sz="0" w:space="0" w:color="auto"/>
        <w:left w:val="none" w:sz="0" w:space="0" w:color="auto"/>
        <w:bottom w:val="none" w:sz="0" w:space="0" w:color="auto"/>
        <w:right w:val="none" w:sz="0" w:space="0" w:color="auto"/>
      </w:divBdr>
    </w:div>
    <w:div w:id="2145732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40B8A8-3C35-D047-B875-555C9447F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37</Pages>
  <Words>47035</Words>
  <Characters>258696</Characters>
  <Application>Microsoft Office Word</Application>
  <DocSecurity>0</DocSecurity>
  <Lines>2155</Lines>
  <Paragraphs>610</Paragraphs>
  <ScaleCrop>false</ScaleCrop>
  <HeadingPairs>
    <vt:vector size="6" baseType="variant">
      <vt:variant>
        <vt:lpstr>Titel</vt:lpstr>
      </vt:variant>
      <vt:variant>
        <vt:i4>1</vt:i4>
      </vt:variant>
      <vt:variant>
        <vt:lpstr>Title</vt:lpstr>
      </vt:variant>
      <vt:variant>
        <vt:i4>1</vt:i4>
      </vt:variant>
      <vt:variant>
        <vt:lpstr>Titolo</vt:lpstr>
      </vt:variant>
      <vt:variant>
        <vt:i4>1</vt:i4>
      </vt:variant>
    </vt:vector>
  </HeadingPairs>
  <TitlesOfParts>
    <vt:vector size="3" baseType="lpstr">
      <vt:lpstr/>
      <vt:lpstr/>
      <vt:lpstr/>
    </vt:vector>
  </TitlesOfParts>
  <Company/>
  <LinksUpToDate>false</LinksUpToDate>
  <CharactersWithSpaces>305121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Burak Gorgec</dc:creator>
  <cp:keywords/>
  <dc:description/>
  <cp:lastModifiedBy>Gorgec, B. (Burak)</cp:lastModifiedBy>
  <cp:revision>4</cp:revision>
  <cp:lastPrinted>2020-11-22T11:42:00Z</cp:lastPrinted>
  <dcterms:created xsi:type="dcterms:W3CDTF">2021-10-05T09:30:00Z</dcterms:created>
  <dcterms:modified xsi:type="dcterms:W3CDTF">2021-10-05T10:22:00Z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http://csl.mendeley.com/styles/554743391/JOVE</vt:lpwstr>
  </property>
  <property fmtid="{D5CDD505-2E9C-101B-9397-08002B2CF9AE}" pid="5" name="Mendeley Recent Style Name 1_1">
    <vt:lpwstr>American Medical Association 11th edition - Burak Gorgec</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http://www.zotero.org/styles/bmc-cancer</vt:lpwstr>
  </property>
  <property fmtid="{D5CDD505-2E9C-101B-9397-08002B2CF9AE}" pid="11" name="Mendeley Recent Style Name 4_1">
    <vt:lpwstr>BMC Cancer</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http://www.zotero.org/styles/jama</vt:lpwstr>
  </property>
  <property fmtid="{D5CDD505-2E9C-101B-9397-08002B2CF9AE}" pid="15" name="Mendeley Recent Style Name 6_1">
    <vt:lpwstr>JAMA (The Journal of the American Medical Association)</vt:lpwstr>
  </property>
  <property fmtid="{D5CDD505-2E9C-101B-9397-08002B2CF9AE}" pid="16" name="Mendeley Recent Style Id 7_1">
    <vt:lpwstr>http://www.zotero.org/styles/journal-of-the-american-college-of-surgeons</vt:lpwstr>
  </property>
  <property fmtid="{D5CDD505-2E9C-101B-9397-08002B2CF9AE}" pid="17" name="Mendeley Recent Style Name 7_1">
    <vt:lpwstr>Journal of the American College of Surgeons</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d7c5ca2b-a2c3-3905-ba38-5b05634a0b3c</vt:lpwstr>
  </property>
  <property fmtid="{D5CDD505-2E9C-101B-9397-08002B2CF9AE}" pid="24" name="Mendeley Citation Style_1">
    <vt:lpwstr>http://www.zotero.org/styles/journal-of-the-american-college-of-surgeons</vt:lpwstr>
  </property>
</Properties>
</file>