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C5FCC" w14:textId="38429B3E" w:rsidR="007430D9" w:rsidRPr="00B80882" w:rsidRDefault="007430D9" w:rsidP="00AC182E">
      <w:pPr>
        <w:pStyle w:val="Title"/>
        <w:spacing w:before="2520" w:after="240"/>
      </w:pPr>
      <w:bookmarkStart w:id="0" w:name="_GoBack"/>
      <w:bookmarkEnd w:id="0"/>
      <w:r w:rsidRPr="00B80882">
        <w:t xml:space="preserve">Associations of </w:t>
      </w:r>
      <w:r w:rsidR="002619BD">
        <w:t xml:space="preserve">osteoporosis and sarcopenia </w:t>
      </w:r>
      <w:r w:rsidRPr="00B80882">
        <w:t>with frailty and multimorbidity among participants of the Hertfordshire Cohort Study</w:t>
      </w:r>
    </w:p>
    <w:p w14:paraId="74845F05" w14:textId="4478488C" w:rsidR="006514AA" w:rsidRDefault="006245E7" w:rsidP="004D3B04">
      <w:pPr>
        <w:rPr>
          <w:shd w:val="clear" w:color="auto" w:fill="FFFFFF"/>
          <w:vertAlign w:val="superscript"/>
        </w:rPr>
      </w:pPr>
      <w:r w:rsidRPr="006245E7">
        <w:t>Faidra Laskou</w:t>
      </w:r>
      <w:r w:rsidR="008970D1" w:rsidRPr="008970D1">
        <w:rPr>
          <w:shd w:val="clear" w:color="auto" w:fill="FFFFFF"/>
          <w:vertAlign w:val="superscript"/>
        </w:rPr>
        <w:t>1</w:t>
      </w:r>
      <w:r w:rsidR="00521C30">
        <w:rPr>
          <w:shd w:val="clear" w:color="auto" w:fill="FFFFFF"/>
          <w:vertAlign w:val="superscript"/>
        </w:rPr>
        <w:t>,2</w:t>
      </w:r>
      <w:r w:rsidRPr="006245E7">
        <w:t>,</w:t>
      </w:r>
      <w:r w:rsidR="00A67AF9">
        <w:t xml:space="preserve"> </w:t>
      </w:r>
      <w:r w:rsidR="00B7182D">
        <w:t xml:space="preserve">Nicholas </w:t>
      </w:r>
      <w:r w:rsidR="00521C30">
        <w:t xml:space="preserve">R </w:t>
      </w:r>
      <w:r w:rsidR="00A67AF9">
        <w:t>Fuggle</w:t>
      </w:r>
      <w:r w:rsidR="008970D1" w:rsidRPr="008970D1">
        <w:rPr>
          <w:shd w:val="clear" w:color="auto" w:fill="FFFFFF"/>
          <w:vertAlign w:val="superscript"/>
        </w:rPr>
        <w:t>1</w:t>
      </w:r>
      <w:r w:rsidR="00521C30">
        <w:rPr>
          <w:shd w:val="clear" w:color="auto" w:fill="FFFFFF"/>
          <w:vertAlign w:val="superscript"/>
        </w:rPr>
        <w:t>,3</w:t>
      </w:r>
      <w:r w:rsidR="00A67AF9">
        <w:t>,</w:t>
      </w:r>
      <w:r w:rsidRPr="006245E7">
        <w:t xml:space="preserve"> Harnish </w:t>
      </w:r>
      <w:r w:rsidR="00300CAC">
        <w:t xml:space="preserve">P </w:t>
      </w:r>
      <w:r w:rsidRPr="006245E7">
        <w:t>Patel</w:t>
      </w:r>
      <w:r w:rsidR="008970D1" w:rsidRPr="008970D1">
        <w:rPr>
          <w:shd w:val="clear" w:color="auto" w:fill="FFFFFF"/>
          <w:vertAlign w:val="superscript"/>
        </w:rPr>
        <w:t>1</w:t>
      </w:r>
      <w:r w:rsidR="00F31398">
        <w:rPr>
          <w:shd w:val="clear" w:color="auto" w:fill="FFFFFF"/>
          <w:vertAlign w:val="superscript"/>
        </w:rPr>
        <w:t>,2,5</w:t>
      </w:r>
      <w:r w:rsidR="00521C30">
        <w:rPr>
          <w:shd w:val="clear" w:color="auto" w:fill="FFFFFF"/>
          <w:vertAlign w:val="superscript"/>
        </w:rPr>
        <w:t>,6</w:t>
      </w:r>
      <w:r w:rsidRPr="006245E7">
        <w:t xml:space="preserve">, </w:t>
      </w:r>
      <w:r w:rsidR="009620FE">
        <w:t>Karen Jameson</w:t>
      </w:r>
      <w:r w:rsidR="008970D1" w:rsidRPr="008970D1">
        <w:rPr>
          <w:shd w:val="clear" w:color="auto" w:fill="FFFFFF"/>
          <w:vertAlign w:val="superscript"/>
        </w:rPr>
        <w:t>1</w:t>
      </w:r>
      <w:r w:rsidR="009620FE">
        <w:t>,</w:t>
      </w:r>
      <w:r w:rsidR="009E101F">
        <w:t xml:space="preserve"> </w:t>
      </w:r>
      <w:r w:rsidRPr="006245E7">
        <w:t>Cyrus Cooper</w:t>
      </w:r>
      <w:r w:rsidR="008970D1" w:rsidRPr="008970D1">
        <w:rPr>
          <w:shd w:val="clear" w:color="auto" w:fill="FFFFFF"/>
          <w:vertAlign w:val="superscript"/>
        </w:rPr>
        <w:t>1</w:t>
      </w:r>
      <w:r w:rsidR="00E11F38">
        <w:rPr>
          <w:shd w:val="clear" w:color="auto" w:fill="FFFFFF"/>
          <w:vertAlign w:val="superscript"/>
        </w:rPr>
        <w:t>,2,</w:t>
      </w:r>
      <w:r w:rsidR="00521C30">
        <w:rPr>
          <w:shd w:val="clear" w:color="auto" w:fill="FFFFFF"/>
          <w:vertAlign w:val="superscript"/>
        </w:rPr>
        <w:t>4</w:t>
      </w:r>
      <w:r w:rsidRPr="006245E7">
        <w:t>, Elaine Dennison</w:t>
      </w:r>
      <w:r w:rsidR="008970D1" w:rsidRPr="008970D1">
        <w:rPr>
          <w:shd w:val="clear" w:color="auto" w:fill="FFFFFF"/>
          <w:vertAlign w:val="superscript"/>
        </w:rPr>
        <w:t>1</w:t>
      </w:r>
      <w:r w:rsidR="00E11F38">
        <w:rPr>
          <w:shd w:val="clear" w:color="auto" w:fill="FFFFFF"/>
          <w:vertAlign w:val="superscript"/>
        </w:rPr>
        <w:t>,</w:t>
      </w:r>
      <w:r w:rsidR="00521C30">
        <w:rPr>
          <w:shd w:val="clear" w:color="auto" w:fill="FFFFFF"/>
          <w:vertAlign w:val="superscript"/>
        </w:rPr>
        <w:t>7</w:t>
      </w:r>
    </w:p>
    <w:p w14:paraId="4E8B1922" w14:textId="77777777" w:rsidR="00E2209F" w:rsidRDefault="00ED0AF1" w:rsidP="004D3B04">
      <w:pPr>
        <w:pStyle w:val="Heading1"/>
      </w:pPr>
      <w:r w:rsidRPr="00ED0AF1">
        <w:t>Affiliations:</w:t>
      </w:r>
    </w:p>
    <w:p w14:paraId="1CE4FC76" w14:textId="60F6422D" w:rsidR="00F31398" w:rsidRPr="00466F44" w:rsidRDefault="00F31398" w:rsidP="004D3B04">
      <w:pPr>
        <w:spacing w:line="240" w:lineRule="auto"/>
        <w:rPr>
          <w:shd w:val="clear" w:color="auto" w:fill="FFFFFF"/>
        </w:rPr>
      </w:pPr>
      <w:r w:rsidRPr="00466F44">
        <w:rPr>
          <w:shd w:val="clear" w:color="auto" w:fill="FFFFFF"/>
          <w:vertAlign w:val="superscript"/>
        </w:rPr>
        <w:t>1</w:t>
      </w:r>
      <w:r w:rsidR="000E3848">
        <w:rPr>
          <w:shd w:val="clear" w:color="auto" w:fill="FFFFFF"/>
          <w:vertAlign w:val="superscript"/>
        </w:rPr>
        <w:t xml:space="preserve"> </w:t>
      </w:r>
      <w:r w:rsidRPr="00466F44">
        <w:rPr>
          <w:shd w:val="clear" w:color="auto" w:fill="FFFFFF"/>
        </w:rPr>
        <w:t xml:space="preserve">Medical Research Council Lifecourse Epidemiology </w:t>
      </w:r>
      <w:r w:rsidR="00661BD0">
        <w:rPr>
          <w:shd w:val="clear" w:color="auto" w:fill="FFFFFF"/>
        </w:rPr>
        <w:t>Centre</w:t>
      </w:r>
      <w:r w:rsidRPr="00466F44">
        <w:rPr>
          <w:shd w:val="clear" w:color="auto" w:fill="FFFFFF"/>
        </w:rPr>
        <w:t>, University of Southampton, UK</w:t>
      </w:r>
    </w:p>
    <w:p w14:paraId="66E0A891" w14:textId="237B1748" w:rsidR="00521C30" w:rsidRPr="00466F44" w:rsidRDefault="00F31398" w:rsidP="004D3B04">
      <w:pPr>
        <w:spacing w:line="240" w:lineRule="auto"/>
      </w:pPr>
      <w:r w:rsidRPr="00466F44">
        <w:rPr>
          <w:vertAlign w:val="superscript"/>
        </w:rPr>
        <w:t>2</w:t>
      </w:r>
      <w:r w:rsidR="000E3848">
        <w:rPr>
          <w:vertAlign w:val="superscript"/>
        </w:rPr>
        <w:t xml:space="preserve"> </w:t>
      </w:r>
      <w:r w:rsidRPr="00466F44">
        <w:t>NIHR Southampton Biomedical Research Centre, University of Southampton and University Hospitals Southampton NHS Foundation Trust, Southampton, UK</w:t>
      </w:r>
    </w:p>
    <w:p w14:paraId="16B1DBFC" w14:textId="04B99AC7" w:rsidR="00521C30" w:rsidRDefault="00F31398" w:rsidP="004D3B04">
      <w:pPr>
        <w:spacing w:line="240" w:lineRule="auto"/>
      </w:pPr>
      <w:r>
        <w:rPr>
          <w:vertAlign w:val="superscript"/>
        </w:rPr>
        <w:t>3</w:t>
      </w:r>
      <w:r>
        <w:t xml:space="preserve"> </w:t>
      </w:r>
      <w:r w:rsidR="00521C30">
        <w:t>The Alan Turing Institute, London</w:t>
      </w:r>
    </w:p>
    <w:p w14:paraId="3A7CAC85" w14:textId="67CE43E4" w:rsidR="00F31398" w:rsidRDefault="00521C30" w:rsidP="004D3B04">
      <w:pPr>
        <w:spacing w:line="240" w:lineRule="auto"/>
      </w:pPr>
      <w:r w:rsidRPr="00521C30">
        <w:rPr>
          <w:vertAlign w:val="superscript"/>
        </w:rPr>
        <w:t>4</w:t>
      </w:r>
      <w:r>
        <w:rPr>
          <w:vertAlign w:val="superscript"/>
        </w:rPr>
        <w:t xml:space="preserve"> </w:t>
      </w:r>
      <w:r w:rsidR="00F31398" w:rsidRPr="00466F44">
        <w:t>NIHR Oxford Biomedical Research Unit, University of Oxford, Oxford, UK</w:t>
      </w:r>
    </w:p>
    <w:p w14:paraId="5BF33A90" w14:textId="43F55B39" w:rsidR="00F31398" w:rsidRPr="002815C9" w:rsidRDefault="00521C30" w:rsidP="004D3B04">
      <w:pPr>
        <w:spacing w:line="240" w:lineRule="auto"/>
      </w:pPr>
      <w:r w:rsidRPr="00E73475">
        <w:rPr>
          <w:vertAlign w:val="superscript"/>
        </w:rPr>
        <w:t xml:space="preserve">5 </w:t>
      </w:r>
      <w:r w:rsidR="00F31398" w:rsidRPr="00E73475">
        <w:rPr>
          <w:vertAlign w:val="superscript"/>
        </w:rPr>
        <w:t xml:space="preserve"> </w:t>
      </w:r>
      <w:r w:rsidR="00F31398" w:rsidRPr="002815C9">
        <w:t>Medicine for Older People, University Hospital Southampton. Southampton UK.</w:t>
      </w:r>
    </w:p>
    <w:p w14:paraId="1D1A94C2" w14:textId="36B977D1" w:rsidR="00F31398" w:rsidRPr="00E73475" w:rsidRDefault="00521C30" w:rsidP="004D3B04">
      <w:pPr>
        <w:spacing w:line="240" w:lineRule="auto"/>
      </w:pPr>
      <w:r>
        <w:rPr>
          <w:shd w:val="clear" w:color="auto" w:fill="FFFFFF"/>
          <w:vertAlign w:val="superscript"/>
        </w:rPr>
        <w:t>6</w:t>
      </w:r>
      <w:r w:rsidRPr="00466F44">
        <w:rPr>
          <w:shd w:val="clear" w:color="auto" w:fill="FFFFFF"/>
        </w:rPr>
        <w:t xml:space="preserve"> </w:t>
      </w:r>
      <w:r w:rsidR="00F31398" w:rsidRPr="002815C9">
        <w:t>Academic Geriatric Medicine, University of Southampton, Southampton UK.</w:t>
      </w:r>
    </w:p>
    <w:p w14:paraId="1FC9A647" w14:textId="36E03590" w:rsidR="00F31398" w:rsidRPr="00466F44" w:rsidRDefault="00521C30" w:rsidP="004D3B04">
      <w:pPr>
        <w:spacing w:line="240" w:lineRule="auto"/>
        <w:rPr>
          <w:shd w:val="clear" w:color="auto" w:fill="FFFFFF"/>
        </w:rPr>
      </w:pPr>
      <w:r>
        <w:rPr>
          <w:shd w:val="clear" w:color="auto" w:fill="FFFFFF"/>
          <w:vertAlign w:val="superscript"/>
        </w:rPr>
        <w:t>7</w:t>
      </w:r>
      <w:r w:rsidRPr="00466F44">
        <w:rPr>
          <w:shd w:val="clear" w:color="auto" w:fill="FFFFFF"/>
        </w:rPr>
        <w:t xml:space="preserve"> </w:t>
      </w:r>
      <w:r w:rsidR="00F31398" w:rsidRPr="00466F44">
        <w:rPr>
          <w:shd w:val="clear" w:color="auto" w:fill="FFFFFF"/>
        </w:rPr>
        <w:t>Victoria University of Wellington</w:t>
      </w:r>
    </w:p>
    <w:p w14:paraId="58DDE2B0" w14:textId="1521EBFD" w:rsidR="006514AA" w:rsidRPr="001E0B6B" w:rsidRDefault="006245E7" w:rsidP="004D3B04">
      <w:pPr>
        <w:pStyle w:val="Heading1"/>
      </w:pPr>
      <w:r w:rsidRPr="00F0004F">
        <w:t>Corresponding</w:t>
      </w:r>
      <w:r w:rsidRPr="00ED0AF1">
        <w:t xml:space="preserve"> author:</w:t>
      </w:r>
      <w:r w:rsidR="00ED0AF1" w:rsidRPr="00ED0AF1">
        <w:t xml:space="preserve"> </w:t>
      </w:r>
      <w:r w:rsidR="005F6E66">
        <w:t>Elaine Dennison</w:t>
      </w:r>
      <w:r w:rsidR="006514AA">
        <w:t xml:space="preserve">, </w:t>
      </w:r>
      <w:hyperlink r:id="rId11" w:history="1">
        <w:r w:rsidR="005F6E66" w:rsidRPr="00CE4D72">
          <w:rPr>
            <w:rStyle w:val="Hyperlink"/>
          </w:rPr>
          <w:t>emd@mrc.soton.ac.uk</w:t>
        </w:r>
      </w:hyperlink>
      <w:r w:rsidR="005F6E66">
        <w:t xml:space="preserve"> </w:t>
      </w:r>
    </w:p>
    <w:p w14:paraId="7455BE6E" w14:textId="18777F2B" w:rsidR="006514AA" w:rsidRDefault="006514AA" w:rsidP="000011C4">
      <w:r>
        <w:br w:type="page"/>
      </w:r>
    </w:p>
    <w:p w14:paraId="1F164E97" w14:textId="2F89DED0" w:rsidR="007430D9" w:rsidRPr="00B164C2" w:rsidRDefault="006514AA" w:rsidP="001456BA">
      <w:pPr>
        <w:pStyle w:val="Heading1"/>
      </w:pPr>
      <w:r w:rsidRPr="00B164C2">
        <w:lastRenderedPageBreak/>
        <w:t>Abstract</w:t>
      </w:r>
    </w:p>
    <w:p w14:paraId="759A0110" w14:textId="1D8EE7CF" w:rsidR="00A74605" w:rsidRPr="00B164C2" w:rsidRDefault="00BF066D" w:rsidP="000011C4">
      <w:pPr>
        <w:pStyle w:val="Heading2"/>
      </w:pPr>
      <w:r>
        <w:t>Background</w:t>
      </w:r>
    </w:p>
    <w:p w14:paraId="0A069624" w14:textId="35814665" w:rsidR="00A74605" w:rsidRPr="00B164C2" w:rsidRDefault="00A74605" w:rsidP="000011C4">
      <w:r w:rsidRPr="00B164C2">
        <w:t xml:space="preserve">Ageing is commonly associated with sarcopenia (SP) and osteoporosis (OP), both of which </w:t>
      </w:r>
      <w:r w:rsidR="005E6DAA">
        <w:t xml:space="preserve">are associated </w:t>
      </w:r>
      <w:r w:rsidR="00E110A7">
        <w:t xml:space="preserve">with </w:t>
      </w:r>
      <w:r w:rsidR="00AC7FF2">
        <w:t>disability</w:t>
      </w:r>
      <w:r w:rsidR="002619BD">
        <w:t xml:space="preserve">, </w:t>
      </w:r>
      <w:r w:rsidRPr="00B164C2">
        <w:t>impaired quality of life</w:t>
      </w:r>
      <w:r w:rsidR="00AC7FF2">
        <w:t xml:space="preserve"> </w:t>
      </w:r>
      <w:r w:rsidR="00C41047">
        <w:t xml:space="preserve">and </w:t>
      </w:r>
      <w:r w:rsidR="00C41047" w:rsidRPr="00B164C2">
        <w:t>mortality</w:t>
      </w:r>
      <w:r w:rsidRPr="00B164C2">
        <w:t>. The aim</w:t>
      </w:r>
      <w:r w:rsidR="00BA610F">
        <w:t>s</w:t>
      </w:r>
      <w:r w:rsidRPr="00B164C2">
        <w:t xml:space="preserve"> of this study w</w:t>
      </w:r>
      <w:r w:rsidR="00BA610F">
        <w:t>ere</w:t>
      </w:r>
      <w:r w:rsidRPr="00B164C2">
        <w:t xml:space="preserve"> to explore </w:t>
      </w:r>
      <w:r w:rsidR="00854340">
        <w:t>the relationships</w:t>
      </w:r>
      <w:r w:rsidR="00854340" w:rsidRPr="00B164C2">
        <w:t xml:space="preserve"> </w:t>
      </w:r>
      <w:r w:rsidRPr="00B164C2">
        <w:t>between SP</w:t>
      </w:r>
      <w:r w:rsidR="00854340">
        <w:t xml:space="preserve">, </w:t>
      </w:r>
      <w:r w:rsidRPr="00B164C2">
        <w:t>OP</w:t>
      </w:r>
      <w:r w:rsidR="002619BD">
        <w:t xml:space="preserve">, </w:t>
      </w:r>
      <w:r w:rsidRPr="00B164C2">
        <w:t xml:space="preserve">frailty </w:t>
      </w:r>
      <w:r w:rsidR="00983A85">
        <w:t>and</w:t>
      </w:r>
      <w:r w:rsidR="00966E30">
        <w:t xml:space="preserve"> </w:t>
      </w:r>
      <w:r w:rsidRPr="00B164C2">
        <w:t xml:space="preserve">multimorbidity in community dwelling older adults participating in the Hertfordshire Cohort Study </w:t>
      </w:r>
      <w:r w:rsidR="009C0331">
        <w:t>(HCS)</w:t>
      </w:r>
      <w:r w:rsidR="004D3926">
        <w:t>,</w:t>
      </w:r>
      <w:r w:rsidRPr="00B164C2">
        <w:t xml:space="preserve"> and to </w:t>
      </w:r>
      <w:r w:rsidR="00345D8C">
        <w:t>determine</w:t>
      </w:r>
      <w:r w:rsidR="00345D8C" w:rsidRPr="00B164C2">
        <w:t xml:space="preserve"> </w:t>
      </w:r>
      <w:r w:rsidRPr="00B164C2">
        <w:t xml:space="preserve">whether </w:t>
      </w:r>
      <w:r w:rsidR="00311421">
        <w:t xml:space="preserve">co-existence of osteoporosis and sarcopenia </w:t>
      </w:r>
      <w:r w:rsidR="00DF0EEF">
        <w:t xml:space="preserve">was </w:t>
      </w:r>
      <w:r w:rsidRPr="00B164C2">
        <w:t>associated with a significantly heavier health burden.</w:t>
      </w:r>
    </w:p>
    <w:p w14:paraId="39BAA4CB" w14:textId="77777777" w:rsidR="00A74605" w:rsidRPr="00B164C2" w:rsidRDefault="00A74605" w:rsidP="000011C4">
      <w:pPr>
        <w:pStyle w:val="Heading2"/>
      </w:pPr>
      <w:r w:rsidRPr="00B164C2">
        <w:t>Methods</w:t>
      </w:r>
    </w:p>
    <w:p w14:paraId="4850CA30" w14:textId="40102C1F" w:rsidR="00A74605" w:rsidRPr="00A6435E" w:rsidRDefault="00B3306C" w:rsidP="000011C4">
      <w:r w:rsidRPr="00A6435E">
        <w:t xml:space="preserve">At baseline, </w:t>
      </w:r>
      <w:r w:rsidR="001A051D" w:rsidRPr="00A6435E">
        <w:t>405</w:t>
      </w:r>
      <w:r w:rsidR="00196A5D" w:rsidRPr="00A6435E">
        <w:t xml:space="preserve"> </w:t>
      </w:r>
      <w:r w:rsidR="00A26247" w:rsidRPr="00A6435E">
        <w:t>participa</w:t>
      </w:r>
      <w:r w:rsidR="005E7AC7" w:rsidRPr="00A6435E">
        <w:t>nts</w:t>
      </w:r>
      <w:r w:rsidR="00300CAC" w:rsidRPr="00A6435E">
        <w:t xml:space="preserve"> </w:t>
      </w:r>
      <w:r w:rsidR="00A26247" w:rsidRPr="00A6435E">
        <w:t>self-report</w:t>
      </w:r>
      <w:r w:rsidR="00300CAC" w:rsidRPr="00A6435E">
        <w:t xml:space="preserve">ed their </w:t>
      </w:r>
      <w:r w:rsidR="00196A5D" w:rsidRPr="00A6435E">
        <w:t>comorbidities</w:t>
      </w:r>
      <w:r w:rsidR="00A74605" w:rsidRPr="00A6435E">
        <w:t xml:space="preserve">. Cut-offs for low grip strength and appendicular lean mass index were used according to the EWSGOP2 criteria to define SP. OP was diagnosed </w:t>
      </w:r>
      <w:r w:rsidR="005E7AC7" w:rsidRPr="00A6435E">
        <w:t>when</w:t>
      </w:r>
      <w:r w:rsidR="00A74605" w:rsidRPr="00A6435E">
        <w:t xml:space="preserve"> T</w:t>
      </w:r>
      <w:r w:rsidR="005E7AC7" w:rsidRPr="00A6435E">
        <w:t>-</w:t>
      </w:r>
      <w:r w:rsidR="00A74605" w:rsidRPr="00A6435E">
        <w:t xml:space="preserve">scores of &lt; -2.5 </w:t>
      </w:r>
      <w:r w:rsidR="005E7AC7" w:rsidRPr="00A6435E">
        <w:t xml:space="preserve">were present </w:t>
      </w:r>
      <w:r w:rsidR="00A74605" w:rsidRPr="00A6435E">
        <w:t>at the femoral neck or the participant report</w:t>
      </w:r>
      <w:r w:rsidR="005E7AC7" w:rsidRPr="00A6435E">
        <w:t>ed use of</w:t>
      </w:r>
      <w:r w:rsidR="00A74605" w:rsidRPr="00A6435E">
        <w:t xml:space="preserve"> </w:t>
      </w:r>
      <w:r w:rsidR="005E7AC7" w:rsidRPr="00A6435E">
        <w:t xml:space="preserve">the </w:t>
      </w:r>
      <w:r w:rsidR="00A74605" w:rsidRPr="00A6435E">
        <w:t>anti-osteoporosis medication</w:t>
      </w:r>
      <w:r w:rsidR="005E7AC7" w:rsidRPr="00A6435E">
        <w:t>s</w:t>
      </w:r>
      <w:r w:rsidR="00753080" w:rsidRPr="00A6435E">
        <w:t xml:space="preserve"> </w:t>
      </w:r>
      <w:r w:rsidR="00DA1701" w:rsidRPr="00A6435E">
        <w:t xml:space="preserve">including </w:t>
      </w:r>
      <w:r w:rsidR="00DE4659" w:rsidRPr="00A6435E">
        <w:t>hormone replacement therapy (</w:t>
      </w:r>
      <w:r w:rsidR="00A74605" w:rsidRPr="00A6435E">
        <w:t>HRT</w:t>
      </w:r>
      <w:r w:rsidR="00DE4659" w:rsidRPr="00A6435E">
        <w:t>)</w:t>
      </w:r>
      <w:r w:rsidR="00A74605" w:rsidRPr="00A6435E">
        <w:t xml:space="preserve">, raloxifene or bisphosphonates. </w:t>
      </w:r>
      <w:r w:rsidR="003962D5" w:rsidRPr="00A6435E">
        <w:t xml:space="preserve">Frailty was defined using the </w:t>
      </w:r>
      <w:r w:rsidR="00CC2835" w:rsidRPr="00A6435E">
        <w:t xml:space="preserve">standard </w:t>
      </w:r>
      <w:r w:rsidR="003962D5" w:rsidRPr="00A6435E">
        <w:t>Fried definition</w:t>
      </w:r>
      <w:r w:rsidR="002619BD" w:rsidRPr="00A6435E">
        <w:t xml:space="preserve">. </w:t>
      </w:r>
    </w:p>
    <w:p w14:paraId="5E696BB4" w14:textId="77777777" w:rsidR="00A74605" w:rsidRPr="00B164C2" w:rsidRDefault="00A74605" w:rsidP="000011C4">
      <w:pPr>
        <w:pStyle w:val="Heading2"/>
        <w:rPr>
          <w:iCs/>
        </w:rPr>
      </w:pPr>
      <w:r w:rsidRPr="00B164C2">
        <w:t>Results</w:t>
      </w:r>
    </w:p>
    <w:p w14:paraId="616A11F6" w14:textId="2FEB6144" w:rsidR="00A26247" w:rsidRPr="00A6435E" w:rsidRDefault="00346620" w:rsidP="000011C4">
      <w:r w:rsidRPr="00A6435E">
        <w:t>199 men and 206 women</w:t>
      </w:r>
      <w:r w:rsidR="00D160BF" w:rsidRPr="00A6435E">
        <w:t xml:space="preserve"> </w:t>
      </w:r>
      <w:r w:rsidR="00212795" w:rsidRPr="00A6435E">
        <w:t xml:space="preserve">were included in the </w:t>
      </w:r>
      <w:r w:rsidR="005D492D" w:rsidRPr="00A6435E">
        <w:t>study. Baseline</w:t>
      </w:r>
      <w:r w:rsidR="00A26247" w:rsidRPr="00A6435E">
        <w:t xml:space="preserve"> m</w:t>
      </w:r>
      <w:r w:rsidR="00A74605" w:rsidRPr="00A6435E">
        <w:t xml:space="preserve">edian (IQR) age of participants was 75.5 (73.4 - 77.9) years. </w:t>
      </w:r>
      <w:r w:rsidR="00E624C3" w:rsidRPr="00A6435E">
        <w:t>26 (8%)</w:t>
      </w:r>
      <w:r w:rsidR="00B334AC" w:rsidRPr="00A6435E">
        <w:t xml:space="preserve"> and </w:t>
      </w:r>
      <w:r w:rsidR="00A74605" w:rsidRPr="00A6435E">
        <w:t xml:space="preserve">66 (21.4%) of the participants had </w:t>
      </w:r>
      <w:r w:rsidR="00B334AC" w:rsidRPr="00A6435E">
        <w:t>S</w:t>
      </w:r>
      <w:r w:rsidR="00A74605" w:rsidRPr="00A6435E">
        <w:t xml:space="preserve">P and </w:t>
      </w:r>
      <w:r w:rsidR="00B334AC" w:rsidRPr="00A6435E">
        <w:t>O</w:t>
      </w:r>
      <w:r w:rsidR="00A74605" w:rsidRPr="00A6435E">
        <w:t xml:space="preserve">P respectively. 83 (20.5%) reported 3 or more comorbidities. The prevalence of pre-frailty and frailty in the study </w:t>
      </w:r>
      <w:r w:rsidR="001D47C8" w:rsidRPr="00A6435E">
        <w:t xml:space="preserve">sample </w:t>
      </w:r>
      <w:r w:rsidR="00A74605" w:rsidRPr="00A6435E">
        <w:t xml:space="preserve">was 57.5% and 8.1% respectively. </w:t>
      </w:r>
      <w:r w:rsidR="002619BD" w:rsidRPr="00A6435E">
        <w:t>H</w:t>
      </w:r>
      <w:r w:rsidR="002A6B97" w:rsidRPr="00A6435E">
        <w:t xml:space="preserve">aving </w:t>
      </w:r>
      <w:r w:rsidR="00A74605" w:rsidRPr="00A6435E">
        <w:t xml:space="preserve">SP </w:t>
      </w:r>
      <w:r w:rsidR="002A6B97" w:rsidRPr="00A6435E">
        <w:t xml:space="preserve">only </w:t>
      </w:r>
      <w:r w:rsidR="00A74605" w:rsidRPr="00A6435E">
        <w:t>was strongly associated with frailty (</w:t>
      </w:r>
      <w:r w:rsidR="00F124A2" w:rsidRPr="00A6435E">
        <w:rPr>
          <w:rFonts w:cstheme="minorHAnsi"/>
        </w:rPr>
        <w:t>OR 8.28, 95% CI 1.27, 54.03; p=0.027</w:t>
      </w:r>
      <w:r w:rsidR="00A74605" w:rsidRPr="00A6435E">
        <w:t xml:space="preserve">) while the association between </w:t>
      </w:r>
      <w:r w:rsidR="00F124A2" w:rsidRPr="00A6435E">
        <w:t xml:space="preserve">having </w:t>
      </w:r>
      <w:r w:rsidR="00A74605" w:rsidRPr="00A6435E">
        <w:t xml:space="preserve">OP </w:t>
      </w:r>
      <w:r w:rsidR="00F124A2" w:rsidRPr="00A6435E">
        <w:t xml:space="preserve">alone </w:t>
      </w:r>
      <w:r w:rsidR="00A74605" w:rsidRPr="00A6435E">
        <w:t>and frailty was weaker (</w:t>
      </w:r>
      <w:r w:rsidR="00A52E89" w:rsidRPr="00A6435E">
        <w:rPr>
          <w:rFonts w:cstheme="minorHAnsi"/>
        </w:rPr>
        <w:t>OR 2.57, 95% CI 0.61,10.78; p=0.196</w:t>
      </w:r>
      <w:r w:rsidR="00A74605" w:rsidRPr="00A6435E">
        <w:t>). The likelihood of being frail was substantially higher in the presence of co-existing SP and OP (</w:t>
      </w:r>
      <w:r w:rsidR="00AA614D" w:rsidRPr="00A6435E">
        <w:rPr>
          <w:rFonts w:cstheme="minorHAnsi"/>
        </w:rPr>
        <w:t>OR 26.15, 95% CI 3.13,218.76; p=0.003</w:t>
      </w:r>
      <w:r w:rsidR="00A74605" w:rsidRPr="00A6435E">
        <w:t xml:space="preserve">). SP </w:t>
      </w:r>
      <w:r w:rsidR="00AA614D" w:rsidRPr="00A6435E">
        <w:t xml:space="preserve">alone </w:t>
      </w:r>
      <w:r w:rsidR="00A74605" w:rsidRPr="00A6435E">
        <w:t xml:space="preserve">and OP </w:t>
      </w:r>
      <w:r w:rsidR="00AA614D" w:rsidRPr="00A6435E">
        <w:t xml:space="preserve">alone </w:t>
      </w:r>
      <w:r w:rsidR="00A74605" w:rsidRPr="00A6435E">
        <w:t xml:space="preserve">were </w:t>
      </w:r>
      <w:r w:rsidR="00AA614D" w:rsidRPr="00A6435E">
        <w:t xml:space="preserve">both </w:t>
      </w:r>
      <w:r w:rsidR="00A74605" w:rsidRPr="00A6435E">
        <w:t>associated with having 3 or more comorbidities (</w:t>
      </w:r>
      <w:r w:rsidR="009F36A8" w:rsidRPr="00A6435E">
        <w:rPr>
          <w:rFonts w:cstheme="minorHAnsi"/>
        </w:rPr>
        <w:t>OR 4.71, 95% CI 1.50, 14.76, p=0.008 and OR 2.86, 95% CI 1.32, 6.22; p=0.008 respectively</w:t>
      </w:r>
      <w:r w:rsidR="00A74605" w:rsidRPr="00A6435E">
        <w:t xml:space="preserve">) though </w:t>
      </w:r>
      <w:r w:rsidR="00253B95" w:rsidRPr="00A6435E">
        <w:t xml:space="preserve">the </w:t>
      </w:r>
      <w:r w:rsidR="005E7AC7" w:rsidRPr="00A6435E">
        <w:t>co-exist</w:t>
      </w:r>
      <w:r w:rsidR="00253B95" w:rsidRPr="00A6435E">
        <w:t xml:space="preserve">ence of </w:t>
      </w:r>
      <w:r w:rsidR="005E7AC7" w:rsidRPr="00A6435E">
        <w:t>SP and OP was not significantly associated with multimorbidity</w:t>
      </w:r>
      <w:r w:rsidR="00E0417A" w:rsidRPr="00A6435E">
        <w:t xml:space="preserve"> (</w:t>
      </w:r>
      <w:r w:rsidR="00E0417A" w:rsidRPr="00A6435E">
        <w:rPr>
          <w:rFonts w:cstheme="minorHAnsi"/>
        </w:rPr>
        <w:t>OR.</w:t>
      </w:r>
      <w:r w:rsidR="00E0417A" w:rsidRPr="00A6435E">
        <w:t xml:space="preserve"> </w:t>
      </w:r>
      <w:r w:rsidR="00E0417A" w:rsidRPr="00A6435E">
        <w:rPr>
          <w:rFonts w:cstheme="minorHAnsi"/>
        </w:rPr>
        <w:t>3.45, 95% CI 0.59, 20.26; p=0.171)</w:t>
      </w:r>
      <w:r w:rsidR="005E7AC7" w:rsidRPr="00A6435E">
        <w:t>.</w:t>
      </w:r>
      <w:r w:rsidR="00A74605" w:rsidRPr="00A6435E">
        <w:t xml:space="preserve"> </w:t>
      </w:r>
    </w:p>
    <w:p w14:paraId="2B7B14EB" w14:textId="0E5FB06B" w:rsidR="00A74605" w:rsidRPr="00B164C2" w:rsidRDefault="00A74605" w:rsidP="000011C4">
      <w:pPr>
        <w:pStyle w:val="Heading2"/>
      </w:pPr>
      <w:r w:rsidRPr="00B164C2">
        <w:t>Conclusion</w:t>
      </w:r>
      <w:r w:rsidR="00BF066D">
        <w:t>s</w:t>
      </w:r>
    </w:p>
    <w:p w14:paraId="2BDE41BB" w14:textId="45AF5B46" w:rsidR="00A74605" w:rsidRPr="00B164C2" w:rsidRDefault="005E7AC7" w:rsidP="000011C4">
      <w:r>
        <w:t xml:space="preserve">Individuals living with frailty were often </w:t>
      </w:r>
      <w:r w:rsidR="00340499">
        <w:t>osteosarcopenic</w:t>
      </w:r>
      <w:r>
        <w:t xml:space="preserve">. </w:t>
      </w:r>
      <w:r w:rsidR="00C71BD8">
        <w:t>Multimorbidity was common in individuals with either sarcopenia or osteoporosis.</w:t>
      </w:r>
      <w:r>
        <w:t xml:space="preserve"> </w:t>
      </w:r>
      <w:r w:rsidR="0085420C">
        <w:t xml:space="preserve">Early </w:t>
      </w:r>
      <w:r w:rsidR="0092407E">
        <w:t>i</w:t>
      </w:r>
      <w:r w:rsidR="00A74605" w:rsidRPr="00B164C2">
        <w:t xml:space="preserve">dentification of </w:t>
      </w:r>
      <w:r w:rsidR="003068B8">
        <w:t xml:space="preserve">SP and </w:t>
      </w:r>
      <w:r w:rsidR="00A74605" w:rsidRPr="00B164C2">
        <w:t xml:space="preserve">OP not only allows </w:t>
      </w:r>
      <w:r w:rsidR="00F2174B">
        <w:t xml:space="preserve">implementation of </w:t>
      </w:r>
      <w:r w:rsidR="00A74605" w:rsidRPr="00B164C2">
        <w:t xml:space="preserve">treatment </w:t>
      </w:r>
      <w:r w:rsidR="00F2174B">
        <w:t xml:space="preserve">strategies </w:t>
      </w:r>
      <w:r w:rsidR="00A74605" w:rsidRPr="00B164C2">
        <w:t xml:space="preserve">but </w:t>
      </w:r>
      <w:r w:rsidR="005E351E" w:rsidRPr="00B164C2">
        <w:t>also</w:t>
      </w:r>
      <w:r w:rsidR="005E351E">
        <w:t xml:space="preserve"> presents</w:t>
      </w:r>
      <w:r w:rsidR="00A74605" w:rsidRPr="00B164C2">
        <w:t xml:space="preserve"> an opportunity to mitigate frailty risk. </w:t>
      </w:r>
    </w:p>
    <w:p w14:paraId="533264D5" w14:textId="11695438" w:rsidR="006245E7" w:rsidRPr="00B164C2" w:rsidRDefault="006245E7" w:rsidP="000011C4">
      <w:pPr>
        <w:pStyle w:val="Heading1"/>
      </w:pPr>
      <w:r w:rsidRPr="00B164C2">
        <w:t>Keywords</w:t>
      </w:r>
    </w:p>
    <w:p w14:paraId="1C1F7E47" w14:textId="69DB7FA2" w:rsidR="006514AA" w:rsidRPr="00B164C2" w:rsidRDefault="00EF0E1A" w:rsidP="000011C4">
      <w:r w:rsidRPr="00B164C2">
        <w:t>Sarcopenia</w:t>
      </w:r>
      <w:r w:rsidR="00C15715" w:rsidRPr="00B164C2">
        <w:t xml:space="preserve">, </w:t>
      </w:r>
      <w:r w:rsidRPr="00B164C2">
        <w:t>osteoporosis</w:t>
      </w:r>
      <w:r w:rsidR="00C15715" w:rsidRPr="00B164C2">
        <w:t xml:space="preserve">, </w:t>
      </w:r>
      <w:r w:rsidR="00A56343">
        <w:t xml:space="preserve">osteosarcopenia, </w:t>
      </w:r>
      <w:r w:rsidR="00C15715" w:rsidRPr="00B164C2">
        <w:t>frailty</w:t>
      </w:r>
      <w:r w:rsidR="00A44F02" w:rsidRPr="00B164C2">
        <w:t xml:space="preserve">, </w:t>
      </w:r>
      <w:r w:rsidR="0040692E" w:rsidRPr="00B164C2">
        <w:t xml:space="preserve">multimorbidity, </w:t>
      </w:r>
      <w:r w:rsidR="00A44F02" w:rsidRPr="00B164C2">
        <w:t>prevalence</w:t>
      </w:r>
    </w:p>
    <w:p w14:paraId="69758BB1" w14:textId="75C3BADB" w:rsidR="006245E7" w:rsidRPr="00B80882" w:rsidRDefault="006514AA" w:rsidP="000011C4">
      <w:pPr>
        <w:pStyle w:val="Heading1"/>
      </w:pPr>
      <w:r>
        <w:br w:type="page"/>
      </w:r>
      <w:r w:rsidR="006245E7" w:rsidRPr="00B80882">
        <w:lastRenderedPageBreak/>
        <w:t>Introduction</w:t>
      </w:r>
    </w:p>
    <w:p w14:paraId="07E2AA48" w14:textId="4189B224" w:rsidR="00870E04" w:rsidRPr="000011C4" w:rsidRDefault="003068B8" w:rsidP="000011C4">
      <w:r>
        <w:t xml:space="preserve">Sarcopenia, </w:t>
      </w:r>
      <w:r w:rsidR="00E84880">
        <w:t>o</w:t>
      </w:r>
      <w:r w:rsidR="00E84880" w:rsidRPr="000011C4">
        <w:t>steoporosis,</w:t>
      </w:r>
      <w:r>
        <w:t xml:space="preserve"> </w:t>
      </w:r>
      <w:r w:rsidR="001430D4" w:rsidRPr="000011C4">
        <w:t>and frailty</w:t>
      </w:r>
      <w:r w:rsidR="0000787B" w:rsidRPr="000011C4">
        <w:t xml:space="preserve"> </w:t>
      </w:r>
      <w:r w:rsidR="003B131F" w:rsidRPr="000011C4">
        <w:t>are highly prevalent in older adults</w:t>
      </w:r>
      <w:r w:rsidR="00316351">
        <w:t xml:space="preserve"> but are frequently under-rec</w:t>
      </w:r>
      <w:r w:rsidR="00003686">
        <w:t>ognised.</w:t>
      </w:r>
      <w:r w:rsidR="007A1002" w:rsidRPr="000011C4">
        <w:t xml:space="preserve"> They </w:t>
      </w:r>
      <w:r w:rsidR="00B80882" w:rsidRPr="000011C4">
        <w:t xml:space="preserve">have all been shown to </w:t>
      </w:r>
      <w:r w:rsidR="003B131F" w:rsidRPr="000011C4">
        <w:t xml:space="preserve">have </w:t>
      </w:r>
      <w:r w:rsidR="00A74605" w:rsidRPr="000011C4">
        <w:t>a</w:t>
      </w:r>
      <w:r w:rsidR="003E7AE9">
        <w:t>n adverse</w:t>
      </w:r>
      <w:r w:rsidR="003B131F" w:rsidRPr="000011C4">
        <w:t xml:space="preserve"> impact on quality of life</w:t>
      </w:r>
      <w:r w:rsidR="003E7AE9">
        <w:t xml:space="preserve"> and </w:t>
      </w:r>
      <w:r w:rsidR="007B4470">
        <w:t xml:space="preserve">are associated with </w:t>
      </w:r>
      <w:r w:rsidR="00E03A77" w:rsidRPr="000011C4">
        <w:t>disability and mortality</w:t>
      </w:r>
      <w:r w:rsidR="00003686">
        <w:t xml:space="preserve"> </w:t>
      </w:r>
      <w:r w:rsidR="00FE21D1" w:rsidRPr="000011C4">
        <w:fldChar w:fldCharType="begin" w:fldLock="1"/>
      </w:r>
      <w:r w:rsidR="008E6C84">
        <w:instrText>ADDIN CSL_CITATION {"citationItems":[{"id":"ITEM-1","itemData":{"DOI":"10.1371/journal.pone.0233857","ISSN":"1932-6203","abstract":"Introduction The geriatric syndromes of frailty, sarcopenia, weight loss, and dementia are highly prevalent in elderly individuals across all care continuums. Despite their deleterious impact on quality of life, disability, and mortality in older adults, they are frequently under-recognized. At Saint Louis University, the Rapid Geriatric Assessment (RGA) was developed as a brief screening tool to identify these four geriatric syndromes. Materials and methods From 2015–2019, the RGA, comprised of the FRAIL, SARC-F, Simplified Nutritional Appetite Questionnaire (SNAQ), and Rapid Cognitive Screen (RCS) tools and a question on Advance Directives, was administered to 11,344 individuals ≥ 65 years of age across Missouri in community, office-based, hospital, Programs of All-Inclusive Care for the Elderly (PACE), and nursing home care settings. Standard statistical methods were used to calculate the prevalence of frailty, sarcopenia, weight loss, and dementia across the sample. Results Among the 11,344 individuals screened by the RGA, 41.0% and 30.4% met the screening criteria for pre-frailty and frailty respectively, 42.9% met the screening criteria for sarcopenia, 29.3% were anorectic and at risk for weight loss, and 28.1% screened positive for dementia. The prevalence of frailty, risk for weight loss, sarcopenia, and dementia increased with age and decreased when hospitalized patients and those in the PACE program or nursing home were excluded. Conclusions Using the RGA as a valid screening tool, the prevalence of one or more of the geriatric syndromes of frailty, sarcopenia, weight loss, and dementia in older adults across all care continuums is quite high. Management approaches exist for each of these syndromes that can improve outcomes. It is suggested that the brief RGA screening tool be administered to persons 65 and older yearly as part of the Medicare Annual Wellness Visit.","author":[{"dropping-particle":"","family":"Sanford","given":"Angela M.","non-dropping-particle":"","parse-names":false,"suffix":""},{"dropping-particle":"","family":"Morley","given":"John E.","non-dropping-particle":"","parse-names":false,"suffix":""},{"dropping-particle":"","family":"Berg-Weger","given":"Marla","non-dropping-particle":"","parse-names":false,"suffix":""},{"dropping-particle":"","family":"Lundy","given":"Janice","non-dropping-particle":"","parse-names":false,"suffix":""},{"dropping-particle":"","family":"Little","given":"Milta O.","non-dropping-particle":"","parse-names":false,"suffix":""},{"dropping-particle":"","family":"Leonard","given":"Kathleen","non-dropping-particle":"","parse-names":false,"suffix":""},{"dropping-particle":"","family":"Malmstrom","given":"Theodore K.","non-dropping-particle":"","parse-names":false,"suffix":""}],"container-title":"PLOS ONE","editor":[{"dropping-particle":"","family":"Abete","given":"Pasquale","non-dropping-particle":"","parse-names":false,"suffix":""}],"id":"ITEM-1","issue":"6","issued":{"date-parts":[["2020","6","5"]]},"page":"e0233857","publisher":"Public Library of Science","title":"High prevalence of geriatric syndromes in older adults","type":"article-journal","volume":"15"},"uris":["http://www.mendeley.com/documents/?uuid=56186dde-b4ab-30a0-a8f0-fa8f3abf392b"]}],"mendeley":{"formattedCitation":"[1]","plainTextFormattedCitation":"[1]","previouslyFormattedCitation":"[1]"},"properties":{"noteIndex":0},"schema":"https://github.com/citation-style-language/schema/raw/master/csl-citation.json"}</w:instrText>
      </w:r>
      <w:r w:rsidR="00FE21D1" w:rsidRPr="000011C4">
        <w:fldChar w:fldCharType="separate"/>
      </w:r>
      <w:r w:rsidR="00C36856" w:rsidRPr="00C36856">
        <w:rPr>
          <w:noProof/>
        </w:rPr>
        <w:t>[1]</w:t>
      </w:r>
      <w:r w:rsidR="00FE21D1" w:rsidRPr="000011C4">
        <w:fldChar w:fldCharType="end"/>
      </w:r>
      <w:r w:rsidR="005803A0" w:rsidRPr="000011C4">
        <w:t>.</w:t>
      </w:r>
      <w:r w:rsidR="00865CB9" w:rsidRPr="000011C4">
        <w:t xml:space="preserve"> </w:t>
      </w:r>
      <w:r w:rsidR="00244F8B" w:rsidRPr="000011C4">
        <w:t>United Nations estimations showed that in 2010 there were 524 million people in the world aged 65</w:t>
      </w:r>
      <w:r w:rsidR="007F2E4C" w:rsidRPr="000011C4">
        <w:t xml:space="preserve"> </w:t>
      </w:r>
      <w:r w:rsidR="00244F8B" w:rsidRPr="000011C4">
        <w:t xml:space="preserve">years old and over, </w:t>
      </w:r>
      <w:r w:rsidR="00B80882" w:rsidRPr="000011C4">
        <w:t>with projections indicating</w:t>
      </w:r>
      <w:r w:rsidR="00244F8B" w:rsidRPr="000011C4">
        <w:t xml:space="preserve"> that this number will increase to 1.5 billion by 2050 (a threefold increase)</w:t>
      </w:r>
      <w:r w:rsidR="00DA44FF" w:rsidRPr="000011C4">
        <w:fldChar w:fldCharType="begin" w:fldLock="1"/>
      </w:r>
      <w:r w:rsidR="008E6C84">
        <w:instrText>ADDIN CSL_CITATION {"citationItems":[{"id":"ITEM-1","itemData":{"author":[{"dropping-particle":"","family":"United Nations Department of Economic and Social Affairs","given":"Population Division (2020). World Population","non-dropping-particle":"","parse-names":false,"suffix":""},{"dropping-particle":"","family":"(ST/ESA/SER.A/451).","given":"Ageing 2020 Highlights: Living arrangements of older persons","non-dropping-particle":"","parse-names":false,"suffix":""}],"id":"ITEM-1","issued":{"date-parts":[["0"]]},"title":"World Population Ageing United Nations","type":"webpage"},"uris":["http://www.mendeley.com/documents/?uuid=87ad8a96-cc43-439f-8c26-9d87e4a2825f"]}],"mendeley":{"formattedCitation":"[2]","plainTextFormattedCitation":"[2]","previouslyFormattedCitation":"[2]"},"properties":{"noteIndex":0},"schema":"https://github.com/citation-style-language/schema/raw/master/csl-citation.json"}</w:instrText>
      </w:r>
      <w:r w:rsidR="00DA44FF" w:rsidRPr="000011C4">
        <w:fldChar w:fldCharType="separate"/>
      </w:r>
      <w:r w:rsidR="00C36856" w:rsidRPr="00C36856">
        <w:rPr>
          <w:noProof/>
        </w:rPr>
        <w:t>[2]</w:t>
      </w:r>
      <w:r w:rsidR="00DA44FF" w:rsidRPr="000011C4">
        <w:fldChar w:fldCharType="end"/>
      </w:r>
      <w:r w:rsidR="00827AC5" w:rsidRPr="000011C4">
        <w:t xml:space="preserve">. </w:t>
      </w:r>
      <w:r w:rsidR="00B80882" w:rsidRPr="000011C4">
        <w:t>Hence</w:t>
      </w:r>
      <w:r w:rsidR="00AC2765">
        <w:t>,</w:t>
      </w:r>
      <w:r w:rsidR="00B80882" w:rsidRPr="000011C4">
        <w:t xml:space="preserve"> identification of individuals who might be particularly vulnerable to the adverse outcomes of musculoskeletal ag</w:t>
      </w:r>
      <w:r w:rsidR="00C749EF">
        <w:t>e</w:t>
      </w:r>
      <w:r w:rsidR="00B80882" w:rsidRPr="000011C4">
        <w:t>ing is of clinical and public health concern.</w:t>
      </w:r>
    </w:p>
    <w:p w14:paraId="3AB645BF" w14:textId="5566F51C" w:rsidR="00D24B6F" w:rsidRDefault="00D24B6F" w:rsidP="00D24B6F">
      <w:r>
        <w:t xml:space="preserve">Sarcopenia is characterised by progressive and generalised decline in muscle strength, </w:t>
      </w:r>
      <w:r w:rsidR="00527558">
        <w:t>function,</w:t>
      </w:r>
      <w:r>
        <w:t xml:space="preserve"> and muscle mass with increasing age or secondary to a disease process. Sarcopenia increases the likelihood of falls and adversely impacts on functional independence and quality of life</w:t>
      </w:r>
      <w:r w:rsidR="008A6AE6">
        <w:t xml:space="preserve"> </w:t>
      </w:r>
      <w:r w:rsidR="004402C0">
        <w:fldChar w:fldCharType="begin" w:fldLock="1"/>
      </w:r>
      <w:r w:rsidR="008E6C84">
        <w:instrText>ADDIN CSL_CITATION {"citationItems":[{"id":"ITEM-1","itemData":{"DOI":"10.1007/s40520-017-0794-8","ISSN":"17208319","PMID":"28664458","abstract":"Musculoskeletal disorders affect morbidity, quality of life and mortality, and represent an increasing economic and societal burden in the context of population aging and increased life expectancy. Improvement of quality of life should be one of the priorities of any interventions to prevent and treat musculoskeletal disorders in the ageing population. Two main approaches, namely generic and disease-specific instruments, can be applied to measure health-related quality of life. Among the generic tools available in scientific literature, the short form 36 questionnaire (SF-36) and the Euroqol five item questionnaire (EQ-5D) are two of the most popular questionnaires used to quantify the health related quality of life in people with musculoskeletal disorders. However, because generic tools may not always be able to detect subtle effects of a specific condition on quality of life, a specific tool is highly valuable. Specific tools improve the ability to clinically characterize quality of life in subjects with a specific musculoskeletal disorder, as well as the capacity to assess changes over time in the QoL of these subjects. The recent development of specific tools should help to validate preventive and therapeutic interventions in this field.","author":[{"dropping-particle":"","family":"Beaudart","given":"Charlotte","non-dropping-particle":"","parse-names":false,"suffix":""},{"dropping-particle":"","family":"Biver","given":"Emmanuel","non-dropping-particle":"","parse-names":false,"suffix":""},{"dropping-particle":"","family":"Bruyère","given":"Olivier","non-dropping-particle":"","parse-names":false,"suffix":""},{"dropping-particle":"","family":"Cooper","given":"Cyrus","non-dropping-particle":"","parse-names":false,"suffix":""},{"dropping-particle":"","family":"Al-Daghri","given":"Nasser","non-dropping-particle":"","parse-names":false,"suffix":""},{"dropping-particle":"","family":"Reginster","given":"Jean Yves","non-dropping-particle":"","parse-names":false,"suffix":""},{"dropping-particle":"","family":"Rizzoli","given":"René","non-dropping-particle":"","parse-names":false,"suffix":""}],"container-title":"Aging Clinical and Experimental Research","id":"ITEM-1","issue":"5","issued":{"date-parts":[["2018","6","29"]]},"page":"413-418","publisher":"Springer International Publishing","title":"Quality of life assessment in musculo-skeletal health","type":"article","volume":"30"},"uris":["http://www.mendeley.com/documents/?uuid=5b7838f9-e68f-37b4-9fb0-755bef9c28ef"]},{"id":"ITEM-2","itemData":{"DOI":"10.1016/j.clnu.2012.02.007","ISSN":"02615614","PMID":"22414775","abstract":"Background &amp; aims: Sarcopenia has been indicated as a reliable marker of frailty and poor prognosis among the oldest individuals. We evaluated the relationship between sarcopenia and 2-year risk of falls in a population of persons aged 80 years or older. Methods: Data are from the baseline and follow-up evaluations of the Aging and Longevity Study in the Sirente Geographic Area (ilSIRENTE Study) (n= 260). According to the European Working Group on Sarcopenia in Older People (EWGSOP), sarcopenia was diagnosed in presence of low muscle mass (mid-arm muscle circumference) plus either low muscle strength (hand grip) or low physical performance (4-m walking speed). The primary outcome measure was the incident falls during the follow-up period of 2 years. The relationship between sarcopenia and incident falls was estimated by deriving hazard ratios (HRs) from multiple logistic regression models considering the dependent variable of interest at least one fall during the follow-up period. Results: Sixty-six participants (25.4%) were identified as affected by sarcopenia. Eighteen out of 66 (27.3%) participants with sarcopenia and 19 out of 194 (9.8%) without sarcopenia reported incident falls during the two-year follow-up of the study (p&lt; 0.001). After adjusting for age, gender, cognitive impairment, ADL impairment, sensory impairments, BMI, depression, physical activity, cholesterol, stroke, diabetes, number of medications, and C-reactive protein, participants with sarcopenia had a higher risk of incident falls compared with non sarcopenic subjects (adjusted hazard ratio [HR], 3.23; 95% confidence interval [CI], 1.25-8.29). Conclusions: The present study suggests that sarcopenia - assessed using the EWGSOP algorithm - is highly prevalent among elderly persons without gender differences (25%). Sarcopenic participants were over three times more likely to fall during a follow-up period of 2 years relative to non sarcopenic individuals, regardless of age, gender and other confounding factors. © 2012 Elsevier Ltd and European Society for Clinical Nutrition and Metabolism.","author":[{"dropping-particle":"","family":"Landi","given":"Francesco","non-dropping-particle":"","parse-names":false,"suffix":""},{"dropping-particle":"","family":"Liperoti","given":"Rosa","non-dropping-particle":"","parse-names":false,"suffix":""},{"dropping-particle":"","family":"Russo","given":"Andrea","non-dropping-particle":"","parse-names":false,"suffix":""},{"dropping-particle":"","family":"Giovannini","given":"Silvia","non-dropping-particle":"","parse-names":false,"suffix":""},{"dropping-particle":"","family":"Tosato","given":"Matteo","non-dropping-particle":"","parse-names":false,"suffix":""},{"dropping-particle":"","family":"Capoluongo","given":"Ettore","non-dropping-particle":"","parse-names":false,"suffix":""},{"dropping-particle":"","family":"Bernabei","given":"Roberto","non-dropping-particle":"","parse-names":false,"suffix":""},{"dropping-particle":"","family":"Onder","given":"Graziano","non-dropping-particle":"","parse-names":false,"suffix":""}],"container-title":"Clinical Nutrition","id":"ITEM-2","issue":"5","issued":{"date-parts":[["2012"]]},"page":"652-658","publisher":"Elsevier Ltd","title":"Sarcopenia as a risk factor for falls in elderly individuals: Results from the ilSIRENTE study","type":"article-journal","volume":"31"},"uris":["http://www.mendeley.com/documents/?uuid=82e98486-4dd7-4429-b83b-0c5dd6577b1d"]}],"mendeley":{"formattedCitation":"[3,4]","plainTextFormattedCitation":"[3,4]","previouslyFormattedCitation":"[3,4]"},"properties":{"noteIndex":0},"schema":"https://github.com/citation-style-language/schema/raw/master/csl-citation.json"}</w:instrText>
      </w:r>
      <w:r w:rsidR="004402C0">
        <w:fldChar w:fldCharType="separate"/>
      </w:r>
      <w:r w:rsidR="00C36856" w:rsidRPr="00C36856">
        <w:rPr>
          <w:noProof/>
        </w:rPr>
        <w:t>[3,4]</w:t>
      </w:r>
      <w:r w:rsidR="004402C0">
        <w:fldChar w:fldCharType="end"/>
      </w:r>
      <w:r>
        <w:t>. Osteoporosis</w:t>
      </w:r>
      <w:r w:rsidR="00B51CE7">
        <w:t xml:space="preserve"> </w:t>
      </w:r>
      <w:r w:rsidR="00660EBB">
        <w:t>t</w:t>
      </w:r>
      <w:r>
        <w:t>he commonest metabolic bone disease in older people</w:t>
      </w:r>
      <w:r w:rsidR="00F417C9">
        <w:t>,</w:t>
      </w:r>
      <w:r w:rsidR="00B51CE7">
        <w:t xml:space="preserve"> </w:t>
      </w:r>
      <w:r>
        <w:t xml:space="preserve">is characterised by </w:t>
      </w:r>
      <w:r w:rsidR="002619BD">
        <w:t xml:space="preserve">both </w:t>
      </w:r>
      <w:r>
        <w:t>low bone mass and microarchitectural deterioration that predispose</w:t>
      </w:r>
      <w:r w:rsidR="003715EE">
        <w:t>s</w:t>
      </w:r>
      <w:r>
        <w:t xml:space="preserve"> to low-energy transfer fragility fractures. These are associated with chronic pain, impaired physical function, loss of independence and a higher risk of short-and longer-term institutionalisation</w:t>
      </w:r>
      <w:r w:rsidR="006868BF">
        <w:fldChar w:fldCharType="begin" w:fldLock="1"/>
      </w:r>
      <w:r w:rsidR="008E6C84">
        <w:instrText>ADDIN CSL_CITATION {"citationItems":[{"id":"ITEM-1","itemData":{"DOI":"10.1007/s40520-021-01817-y","ISSN":"17208319","abstract":"Osteoporosis, a common chronic metabolic bone disease is associated with considerable morbidity and mortality. As the prevalence of osteoporosis increases with age, a paralleled elevation in the rate of incident fragility fractures will be observed. This narrative review explores the origins of bone and considers physiological mechanisms involved in bone homeostasis relevant to management and treatment. Secondary causes of osteoporosis, as well as osteosarcopenia are discussed followed by an overview of the commonly used pharmacological treatments for osteoporosis in older people.","author":[{"dropping-particle":"","family":"Barnsley","given":"J.","non-dropping-particle":"","parse-names":false,"suffix":""},{"dropping-particle":"","family":"Buckland","given":"G.","non-dropping-particle":"","parse-names":false,"suffix":""},{"dropping-particle":"","family":"Chan","given":"P. E.","non-dropping-particle":"","parse-names":false,"suffix":""},{"dropping-particle":"","family":"Ong","given":"A.","non-dropping-particle":"","parse-names":false,"suffix":""},{"dropping-particle":"","family":"Ramos","given":"A. S.","non-dropping-particle":"","parse-names":false,"suffix":""},{"dropping-particle":"","family":"Baxter","given":"M.","non-dropping-particle":"","parse-names":false,"suffix":""},{"dropping-particle":"","family":"Laskou","given":"F.","non-dropping-particle":"","parse-names":false,"suffix":""},{"dropping-particle":"","family":"Dennison","given":"E. M.","non-dropping-particle":"","parse-names":false,"suffix":""},{"dropping-particle":"","family":"Cooper","given":"C.","non-dropping-particle":"","parse-names":false,"suffix":""},{"dropping-particle":"","family":"Patel","given":"Harnish P.","non-dropping-particle":"","parse-names":false,"suffix":""}],"container-title":"Aging Clinical and Experimental Research","id":"ITEM-1","issued":{"date-parts":[["2021"]]},"publisher":"Springer Science and Business Media Deutschland GmbH","title":"Pathophysiology and treatment of osteoporosis: challenges for clinical practice in older people","type":"article"},"uris":["http://www.mendeley.com/documents/?uuid=70b45230-ca11-37a2-a651-5d2ccbc158db"]}],"mendeley":{"formattedCitation":"[5]","plainTextFormattedCitation":"[5]","previouslyFormattedCitation":"[5]"},"properties":{"noteIndex":0},"schema":"https://github.com/citation-style-language/schema/raw/master/csl-citation.json"}</w:instrText>
      </w:r>
      <w:r w:rsidR="006868BF">
        <w:fldChar w:fldCharType="separate"/>
      </w:r>
      <w:r w:rsidR="00C36856" w:rsidRPr="00C36856">
        <w:rPr>
          <w:noProof/>
        </w:rPr>
        <w:t>[5]</w:t>
      </w:r>
      <w:r w:rsidR="006868BF">
        <w:fldChar w:fldCharType="end"/>
      </w:r>
      <w:r>
        <w:t xml:space="preserve">. </w:t>
      </w:r>
      <w:r w:rsidR="00BB7222">
        <w:t>Consequently, b</w:t>
      </w:r>
      <w:r>
        <w:t xml:space="preserve">oth these conditions </w:t>
      </w:r>
      <w:r w:rsidR="00F1603C">
        <w:t>confer</w:t>
      </w:r>
      <w:r>
        <w:t xml:space="preserve"> a high health burden</w:t>
      </w:r>
      <w:r w:rsidR="006B4F83">
        <w:t xml:space="preserve"> </w:t>
      </w:r>
      <w:r>
        <w:t xml:space="preserve">for the individual as well as health care </w:t>
      </w:r>
      <w:r w:rsidR="003F79E5">
        <w:t>systems</w:t>
      </w:r>
      <w:r>
        <w:t>.</w:t>
      </w:r>
      <w:r w:rsidR="00DD438A">
        <w:t xml:space="preserve"> </w:t>
      </w:r>
      <w:r w:rsidR="005405DB">
        <w:t>‘</w:t>
      </w:r>
      <w:r w:rsidR="00CD6369">
        <w:t>Osteosa</w:t>
      </w:r>
      <w:r w:rsidR="000519BB">
        <w:t>rcopenia</w:t>
      </w:r>
      <w:r w:rsidR="005405DB">
        <w:t>’</w:t>
      </w:r>
      <w:r w:rsidR="000519BB">
        <w:t xml:space="preserve"> is the term given w</w:t>
      </w:r>
      <w:r w:rsidR="00907AF0" w:rsidRPr="000011C4">
        <w:t>hen</w:t>
      </w:r>
      <w:r w:rsidR="005405DB">
        <w:t xml:space="preserve"> </w:t>
      </w:r>
      <w:r w:rsidR="00907AF0" w:rsidRPr="000011C4">
        <w:t xml:space="preserve">osteoporosis and sarcopenia occur in consort </w:t>
      </w:r>
      <w:r w:rsidR="00DD438A">
        <w:t xml:space="preserve">and recent intense focus has been on their combined effects on </w:t>
      </w:r>
      <w:r w:rsidR="0092780B">
        <w:t xml:space="preserve">current and future </w:t>
      </w:r>
      <w:r w:rsidR="00DD438A">
        <w:t>health.</w:t>
      </w:r>
      <w:r w:rsidR="002619BD">
        <w:t xml:space="preserve"> </w:t>
      </w:r>
    </w:p>
    <w:p w14:paraId="41F63C3A" w14:textId="7792E35D" w:rsidR="00FD6244" w:rsidRDefault="00FB6821" w:rsidP="000011C4">
      <w:pPr>
        <w:rPr>
          <w:rFonts w:cstheme="minorHAnsi"/>
        </w:rPr>
      </w:pPr>
      <w:r w:rsidRPr="0087466D">
        <w:rPr>
          <w:rFonts w:cstheme="minorHAnsi"/>
        </w:rPr>
        <w:t>The syndrome of frailty is</w:t>
      </w:r>
      <w:r w:rsidR="00B47018">
        <w:rPr>
          <w:rFonts w:cstheme="minorHAnsi"/>
        </w:rPr>
        <w:t xml:space="preserve"> </w:t>
      </w:r>
      <w:r w:rsidRPr="0087466D">
        <w:rPr>
          <w:rFonts w:cstheme="minorHAnsi"/>
        </w:rPr>
        <w:t>associated with</w:t>
      </w:r>
      <w:r>
        <w:rPr>
          <w:rFonts w:cstheme="minorHAnsi"/>
        </w:rPr>
        <w:t>,</w:t>
      </w:r>
      <w:r w:rsidRPr="0087466D">
        <w:rPr>
          <w:rFonts w:cstheme="minorHAnsi"/>
        </w:rPr>
        <w:t xml:space="preserve"> but not an inevitable consequence of ageing and is characterised by </w:t>
      </w:r>
      <w:r>
        <w:rPr>
          <w:rFonts w:cstheme="minorHAnsi"/>
        </w:rPr>
        <w:t xml:space="preserve">a </w:t>
      </w:r>
      <w:r w:rsidRPr="0087466D">
        <w:rPr>
          <w:rFonts w:cstheme="minorHAnsi"/>
        </w:rPr>
        <w:t>vulnerability to stressor events that can be</w:t>
      </w:r>
      <w:r>
        <w:rPr>
          <w:rFonts w:cstheme="minorHAnsi"/>
        </w:rPr>
        <w:t xml:space="preserve"> both</w:t>
      </w:r>
      <w:r w:rsidRPr="0087466D">
        <w:rPr>
          <w:rFonts w:cstheme="minorHAnsi"/>
        </w:rPr>
        <w:t xml:space="preserve"> internal </w:t>
      </w:r>
      <w:r w:rsidR="00B47018">
        <w:rPr>
          <w:rFonts w:cstheme="minorHAnsi"/>
        </w:rPr>
        <w:t>and</w:t>
      </w:r>
      <w:r w:rsidRPr="0087466D">
        <w:rPr>
          <w:rFonts w:cstheme="minorHAnsi"/>
        </w:rPr>
        <w:t xml:space="preserve"> external</w:t>
      </w:r>
      <w:r w:rsidR="002C1F21">
        <w:rPr>
          <w:rFonts w:cstheme="minorHAnsi"/>
        </w:rPr>
        <w:t xml:space="preserve"> </w:t>
      </w:r>
      <w:r w:rsidR="00916033">
        <w:rPr>
          <w:rFonts w:cstheme="minorHAnsi"/>
        </w:rPr>
        <w:fldChar w:fldCharType="begin" w:fldLock="1"/>
      </w:r>
      <w:r w:rsidR="008E6C84">
        <w:rPr>
          <w:rFonts w:cstheme="minorHAnsi"/>
        </w:rPr>
        <w:instrText>ADDIN CSL_CITATION {"citationItems":[{"id":"ITEM-1","itemData":{"DOI":"10.1007/s40520-020-01559-3","ISSN":"17208319","PMID":"32356135","abstract":"An individual who is living with frailty has impairments in homeostasis across several body systems and is more vulnerable to stressors that may ultimately predispose them to negative health-related outcomes, disability and increased healthcare use. Approximately a quarter of individuals aged ' 85 years are living with frailty and as such the identification of those who are frail is a public health priority. Given that the syndrome of frailty is defined by progressive and gradual loss of physiological reserves there is much scope to attempt to modify the trajectory of the frailty syndrome via physical activity and nutritional interventions. In this review we give an up to date account on the identification of frailty in clinical practice and offer insights into physical activity and nutritional strategies that may be beneficial to modify or reverse the frailty syndrome.","author":[{"dropping-particle":"","family":"Woolford","given":"S. J.","non-dropping-particle":"","parse-names":false,"suffix":""},{"dropping-particle":"","family":"Sohan","given":"O.","non-dropping-particle":"","parse-names":false,"suffix":""},{"dropping-particle":"","family":"Dennison","given":"E. M.","non-dropping-particle":"","parse-names":false,"suffix":""},{"dropping-particle":"","family":"Cooper","given":"C.","non-dropping-particle":"","parse-names":false,"suffix":""},{"dropping-particle":"","family":"Patel","given":"H. P.","non-dropping-particle":"","parse-names":false,"suffix":""}],"container-title":"Aging Clinical and Experimental Research","id":"ITEM-1","issue":"9","issued":{"date-parts":[["2020","9","1"]]},"page":"1629-1637","publisher":"Springer Science and Business Media Deutschland GmbH","title":"Approaches to the diagnosis and prevention of frailty","type":"article","volume":"32"},"uris":["http://www.mendeley.com/documents/?uuid=d651ec70-9ae5-35d1-9a00-a9577847ad7a"]}],"mendeley":{"formattedCitation":"[6]","plainTextFormattedCitation":"[6]","previouslyFormattedCitation":"[6]"},"properties":{"noteIndex":0},"schema":"https://github.com/citation-style-language/schema/raw/master/csl-citation.json"}</w:instrText>
      </w:r>
      <w:r w:rsidR="00916033">
        <w:rPr>
          <w:rFonts w:cstheme="minorHAnsi"/>
        </w:rPr>
        <w:fldChar w:fldCharType="separate"/>
      </w:r>
      <w:r w:rsidR="00C36856" w:rsidRPr="00C36856">
        <w:rPr>
          <w:rFonts w:cstheme="minorHAnsi"/>
          <w:noProof/>
        </w:rPr>
        <w:t>[6]</w:t>
      </w:r>
      <w:r w:rsidR="00916033">
        <w:rPr>
          <w:rFonts w:cstheme="minorHAnsi"/>
        </w:rPr>
        <w:fldChar w:fldCharType="end"/>
      </w:r>
      <w:r w:rsidR="00916033">
        <w:rPr>
          <w:rFonts w:cstheme="minorHAnsi"/>
        </w:rPr>
        <w:t xml:space="preserve">. </w:t>
      </w:r>
      <w:r w:rsidR="000342F0">
        <w:t>Both frailty and p</w:t>
      </w:r>
      <w:r w:rsidR="000342F0" w:rsidRPr="000011C4">
        <w:t>re-frailty, the prodromal state before the onset of clinically identifiable frailty</w:t>
      </w:r>
      <w:r w:rsidR="00DE4659">
        <w:t>,</w:t>
      </w:r>
      <w:r w:rsidR="000342F0" w:rsidRPr="000011C4">
        <w:t xml:space="preserve"> </w:t>
      </w:r>
      <w:r w:rsidR="00ED2A09">
        <w:t>are</w:t>
      </w:r>
      <w:r w:rsidR="000342F0" w:rsidRPr="000011C4">
        <w:t xml:space="preserve"> associated with adverse outcomes</w:t>
      </w:r>
      <w:r w:rsidR="000342F0">
        <w:t xml:space="preserve"> </w:t>
      </w:r>
      <w:r w:rsidR="000342F0" w:rsidRPr="000011C4">
        <w:fldChar w:fldCharType="begin" w:fldLock="1"/>
      </w:r>
      <w:r w:rsidR="008E6C84">
        <w:instrText>ADDIN CSL_CITATION {"citationItems":[{"id":"ITEM-1","itemData":{"DOI":"10.1016/j.gerinurse.2019.08.004","ISSN":"15283984","PMID":"31466806","abstract":"There is as yet no widely-accepted definition of pre-frailty. We aimed to identify and examine definitions of pre-frailty in the literature to characterise important features and factors contributing to the construct using a systematic review approach with a qualitative analysis. PubMed, PsycINFO, Embase, Cochrane Library, ASSIA, and CINAHL databases were searched for studies conducted in any settings providing a definition or description of pre-frailty, published in English, between January 2000 and July 2018. Seventy-seven studies met the inclusion criteria. No consensus definition of pre-frailty was evident in the literature. Four main themes were identified using thematic analysis: (1) Pre-frailty as a prodromal, multi-factorial concept; (2) Physical, social, cognitive and nutritional subtypes; (3) Operational definitions; and (4) Outcomes. We propose a comprehensive definition suggesting that pre-frailty is a multi-dimensional concept, an early and reversible risk-state before frailty that can lead to negative healthcare outcomes, which is defined operationally by existing frailty screening and assessment tools.","author":[{"dropping-particle":"","family":"Sezgin","given":"Duygu","non-dropping-particle":"","parse-names":false,"suffix":""},{"dropping-particle":"","family":"Liew","given":"Aaron","non-dropping-particle":"","parse-names":false,"suffix":""},{"dropping-particle":"","family":"O'Donovan","given":"Mark R.","non-dropping-particle":"","parse-names":false,"suffix":""},{"dropping-particle":"","family":"O'Caoimh","given":"Rónán","non-dropping-particle":"","parse-names":false,"suffix":""}],"container-title":"Geriatric Nursing","id":"ITEM-1","issue":"2","issued":{"date-parts":[["2020"]]},"page":"139-146","title":"Pre-frailty as a multi-dimensional construct: A systematic review of definitions in the scientific literature","type":"article-journal","volume":"41"},"uris":["http://www.mendeley.com/documents/?uuid=12db7b1d-4bf1-4577-93b7-35ad80c83ebb"]}],"mendeley":{"formattedCitation":"[7]","plainTextFormattedCitation":"[7]","previouslyFormattedCitation":"[7]"},"properties":{"noteIndex":0},"schema":"https://github.com/citation-style-language/schema/raw/master/csl-citation.json"}</w:instrText>
      </w:r>
      <w:r w:rsidR="000342F0" w:rsidRPr="000011C4">
        <w:fldChar w:fldCharType="separate"/>
      </w:r>
      <w:r w:rsidR="00C36856" w:rsidRPr="00C36856">
        <w:rPr>
          <w:noProof/>
        </w:rPr>
        <w:t>[7]</w:t>
      </w:r>
      <w:r w:rsidR="000342F0" w:rsidRPr="000011C4">
        <w:fldChar w:fldCharType="end"/>
      </w:r>
      <w:r w:rsidR="000342F0" w:rsidRPr="000011C4">
        <w:t xml:space="preserve">. </w:t>
      </w:r>
      <w:r w:rsidR="007A20FC" w:rsidRPr="000011C4">
        <w:t>The most widely used definition</w:t>
      </w:r>
      <w:r w:rsidR="00654108">
        <w:t>s</w:t>
      </w:r>
      <w:r w:rsidR="007A20FC" w:rsidRPr="000011C4">
        <w:t xml:space="preserve"> of physical frailty </w:t>
      </w:r>
      <w:r w:rsidR="00654108">
        <w:t>are</w:t>
      </w:r>
      <w:r w:rsidR="007A20FC" w:rsidRPr="000011C4">
        <w:t xml:space="preserve"> </w:t>
      </w:r>
      <w:r w:rsidR="00480AE6">
        <w:t>the phenotype model described by Fried</w:t>
      </w:r>
      <w:r w:rsidR="00DE4659">
        <w:t>,</w:t>
      </w:r>
      <w:r w:rsidR="00480AE6">
        <w:t xml:space="preserve"> </w:t>
      </w:r>
      <w:r w:rsidR="00904A12">
        <w:rPr>
          <w:rFonts w:cstheme="minorHAnsi"/>
        </w:rPr>
        <w:t>where frailty is identified</w:t>
      </w:r>
      <w:r w:rsidR="005E5363" w:rsidRPr="0087466D">
        <w:rPr>
          <w:rFonts w:cstheme="minorHAnsi"/>
        </w:rPr>
        <w:t xml:space="preserve"> by the presence of at least three </w:t>
      </w:r>
      <w:r w:rsidR="002418E1">
        <w:rPr>
          <w:rFonts w:cstheme="minorHAnsi"/>
        </w:rPr>
        <w:t xml:space="preserve">out </w:t>
      </w:r>
      <w:r w:rsidR="005E5363" w:rsidRPr="0087466D">
        <w:rPr>
          <w:rFonts w:cstheme="minorHAnsi"/>
        </w:rPr>
        <w:t>of five physical characteristics</w:t>
      </w:r>
      <w:r w:rsidR="00755FE4">
        <w:rPr>
          <w:rFonts w:cstheme="minorHAnsi"/>
        </w:rPr>
        <w:t>:</w:t>
      </w:r>
      <w:r w:rsidR="005E5363" w:rsidRPr="0087466D">
        <w:rPr>
          <w:rFonts w:cstheme="minorHAnsi"/>
        </w:rPr>
        <w:t xml:space="preserve"> weight loss, exhaustion, low energy expenditure, slow walking speed and low handgrip strength </w:t>
      </w:r>
      <w:r w:rsidR="0039093A" w:rsidRPr="000011C4">
        <w:fldChar w:fldCharType="begin" w:fldLock="1"/>
      </w:r>
      <w:r w:rsidR="008E6C84">
        <w:instrText>ADDIN CSL_CITATION {"citationItems":[{"id":"ITEM-1","itemData":{"DOI":"10.1093/gerona/56.3.M146","ISSN":"1079-5006","abstract":"Background. Frailty is considered highly prevalent in old age and to confer high risk for falls, disability, hospitalization, and mortality. Frailty has been considered synonymous with disability, comorbidity, and other characteristics, but it is recognized that it may have a biologic basis and be a distinct clinical syndrome. A standardized definition has not yet been established. Methods. To develop and operationalize a phenotype of frailty in older adults and assess concurrent and predictive validity, the study used data from the Cardiovascular Health Study. Participants were 5.317 men and women 65 years and older (4,735 from an original cohort recruited in 1989-90 and 582 from an African American cohort recruited in 1992-93). Both cohorts received almost identical baseline evaluations and 7 and 4 years of follow-up, respectively, with annual examinations and surveillance for outcomes including incident disease, hospitalization, falls, disability, and mortality. Results. Frailty was defined as a clinical syndrome in which three or more of the following criteria were present: unintentional weight loss (10 lbs in past year), self-reported exhaustion, weakness (grip strength), slow walking speed, and low physical activity. The overall prevalence of frailty in this community-dwelling pupulation was 6.9%: it increased with age and was greater in women than men. Four-year incidence was 7.2%. Frailty was associated with being African American having lower education and income, poorer health, and having higher rates of comorbid chronic diseases and disability. There was overlap, but not concordance, in the cooccurrence of frailty, comorbidity, and disability. This frailty phenotype was independently predictive (over 3 years) of incident falls, worsening mobility or ADL disability, hospitalization, and death, with hazard ratios ranging from 1.82 to 4.46, unadjusted, and 1.29-2.24, adjusted for a number of health, disease, and social characteristics predictive of 5-year mortality. Intermediate frailty status, as indicated by the presence of one or two criteria, showed intermediate risk of these outcomes as well as increased risk of becoming frail over 3-4 years of follow-up (odds ratios for incident frailty = 4.51 unadjusted and 2.63 adjusted for covariates, compared to those with no frailty criteria at baseline). Conclusions. This study provides a potential standardized definition for frailty in community-dwelling older adults and offers concurrent and predic…","author":[{"dropping-particle":"","family":"Fried","given":"L. P.","non-dropping-particle":"","parse-names":false,"suffix":""},{"dropping-particle":"","family":"Tangen","given":"C. M.","non-dropping-particle":"","parse-names":false,"suffix":""},{"dropping-particle":"","family":"Walston","given":"J.","non-dropping-particle":"","parse-names":false,"suffix":""},{"dropping-particle":"","family":"Newman","given":"A. B.","non-dropping-particle":"","parse-names":false,"suffix":""},{"dropping-particle":"","family":"Hirsch","given":"C.","non-dropping-particle":"","parse-names":false,"suffix":""},{"dropping-particle":"","family":"Gottdiener","given":"J.","non-dropping-particle":"","parse-names":false,"suffix":""},{"dropping-particle":"","family":"Seeman","given":"T.","non-dropping-particle":"","parse-names":false,"suffix":""},{"dropping-particle":"","family":"Tracy","given":"R.","non-dropping-particle":"","parse-names":false,"suffix":""},{"dropping-particle":"","family":"Kop","given":"W. J.","non-dropping-particle":"","parse-names":false,"suffix":""},{"dropping-particle":"","family":"Burke","given":"G.","non-dropping-particle":"","parse-names":false,"suffix":""},{"dropping-particle":"","family":"McBurnie","given":"M. A.","non-dropping-particle":"","parse-names":false,"suffix":""}],"container-title":"The Journals of Gerontology Series A: Biological Sciences and Medical Sciences","id":"ITEM-1","issue":"3","issued":{"date-parts":[["2001","3","1"]]},"page":"M146-M157","publisher":"Gerontological Society of America","title":"Frailty in Older Adults: Evidence for a Phenotype","type":"article-journal","volume":"56"},"uris":["http://www.mendeley.com/documents/?uuid=f7dfa010-f97c-3643-86d5-214f54342ef5"]}],"mendeley":{"formattedCitation":"[8]","plainTextFormattedCitation":"[8]","previouslyFormattedCitation":"[8]"},"properties":{"noteIndex":0},"schema":"https://github.com/citation-style-language/schema/raw/master/csl-citation.json"}</w:instrText>
      </w:r>
      <w:r w:rsidR="0039093A" w:rsidRPr="000011C4">
        <w:fldChar w:fldCharType="separate"/>
      </w:r>
      <w:r w:rsidR="00C36856" w:rsidRPr="00C36856">
        <w:rPr>
          <w:noProof/>
        </w:rPr>
        <w:t>[8]</w:t>
      </w:r>
      <w:r w:rsidR="0039093A" w:rsidRPr="000011C4">
        <w:fldChar w:fldCharType="end"/>
      </w:r>
      <w:r w:rsidR="006047A1" w:rsidRPr="000011C4">
        <w:t>.</w:t>
      </w:r>
      <w:r w:rsidR="0088689F">
        <w:rPr>
          <w:rFonts w:cstheme="minorHAnsi"/>
        </w:rPr>
        <w:t xml:space="preserve"> </w:t>
      </w:r>
      <w:r w:rsidR="00A320C3">
        <w:t>The</w:t>
      </w:r>
      <w:r w:rsidR="00C27276">
        <w:t xml:space="preserve"> cumulative deficit model</w:t>
      </w:r>
      <w:r w:rsidR="002F602C">
        <w:t xml:space="preserve"> </w:t>
      </w:r>
      <w:r w:rsidR="001C704E">
        <w:t>of frailty</w:t>
      </w:r>
      <w:r w:rsidR="006047A1" w:rsidRPr="000011C4">
        <w:t xml:space="preserve"> </w:t>
      </w:r>
      <w:r w:rsidR="00AA034C" w:rsidRPr="000011C4">
        <w:t>described by Rockwood et al</w:t>
      </w:r>
      <w:r w:rsidR="004A4D3B">
        <w:t xml:space="preserve"> </w:t>
      </w:r>
      <w:r w:rsidR="001B5F61">
        <w:t>also predicts adverse health outcomes</w:t>
      </w:r>
      <w:r w:rsidR="00D9595E">
        <w:t xml:space="preserve"> </w:t>
      </w:r>
      <w:r w:rsidR="007D09D9">
        <w:t xml:space="preserve">and </w:t>
      </w:r>
      <w:r w:rsidR="008E708A">
        <w:t>comprise</w:t>
      </w:r>
      <w:r w:rsidR="00A320C3">
        <w:t>s</w:t>
      </w:r>
      <w:r w:rsidR="008E708A">
        <w:t xml:space="preserve"> </w:t>
      </w:r>
      <w:r w:rsidR="00A320C3">
        <w:t>a</w:t>
      </w:r>
      <w:r w:rsidR="008E708A" w:rsidRPr="000011C4">
        <w:t xml:space="preserve">ge associated accumulation of deficits </w:t>
      </w:r>
      <w:r w:rsidR="008E708A">
        <w:rPr>
          <w:rFonts w:cstheme="minorHAnsi"/>
        </w:rPr>
        <w:t>that</w:t>
      </w:r>
      <w:r w:rsidR="008E708A" w:rsidRPr="0087466D">
        <w:rPr>
          <w:rFonts w:cstheme="minorHAnsi"/>
        </w:rPr>
        <w:t xml:space="preserve"> range </w:t>
      </w:r>
      <w:r w:rsidR="008E708A">
        <w:rPr>
          <w:rFonts w:cstheme="minorHAnsi"/>
        </w:rPr>
        <w:t xml:space="preserve">from </w:t>
      </w:r>
      <w:r w:rsidR="008E708A" w:rsidRPr="0087466D">
        <w:rPr>
          <w:rFonts w:cstheme="minorHAnsi"/>
        </w:rPr>
        <w:t>symptoms, sensory deficits, clinical signs, diseases, disabilities and abnormal laboratory test results</w:t>
      </w:r>
      <w:r w:rsidR="00CB29BC">
        <w:rPr>
          <w:rFonts w:cstheme="minorHAnsi"/>
        </w:rPr>
        <w:t xml:space="preserve"> </w:t>
      </w:r>
      <w:r w:rsidR="00CB29BC" w:rsidRPr="000011C4">
        <w:fldChar w:fldCharType="begin" w:fldLock="1"/>
      </w:r>
      <w:r w:rsidR="008E6C84">
        <w:instrText>ADDIN CSL_CITATION {"citationItems":[{"id":"ITEM-1","itemData":{"DOI":"10.1016/j.cger.2010.08.008","ISSN":"07490690","PMID":"21093719","abstract":"As nonreplicative cells age, they commonly accumulate subcellular deficits that can compromise function. As people age, they too experience problems that can accumulate. As deficits (symptoms, signs, illnesses, disabilities) accumulate, people become more susceptible to adverse health outcomes, including worse health and even death. This state of increased risk of adverse health outcomes is indistinguishable from the idea of frailty, so deficit accumulation represents another way to define frailty. Counting deficits not only allows grades of frailty to be discerned but also provides insights into the complex problems of older adults. This process is potentially useful to geriatricians who need to be experts in managing complexity. A key to managing complexity is through instruments such as a comprehensive geriatric assessment, which can serve as the basis for routine clinical estimation of an individual's degree of frailty. Understanding people and their needs as deficits accumulate is an exciting challenge for clinical research on frailty and its management by geriatricians. © 2011 Elsevier Inc.","author":[{"dropping-particle":"","family":"Rockwood","given":"Kenneth","non-dropping-particle":"","parse-names":false,"suffix":""},{"dropping-particle":"","family":"Mitnitski","given":"Arnold","non-dropping-particle":"","parse-names":false,"suffix":""}],"container-title":"Clinics in Geriatric Medicine","id":"ITEM-1","issue":"1","issued":{"date-parts":[["2011","2","1"]]},"page":"17-26","publisher":"Elsevier","title":"Frailty Defined by Deficit Accumulation and Geriatric Medicine Defined by Frailty","type":"article","volume":"27"},"uris":["http://www.mendeley.com/documents/?uuid=76beff4c-42a0-35f6-8700-d9ebf9b5bf57"]}],"mendeley":{"formattedCitation":"[9]","plainTextFormattedCitation":"[9]","previouslyFormattedCitation":"[9]"},"properties":{"noteIndex":0},"schema":"https://github.com/citation-style-language/schema/raw/master/csl-citation.json"}</w:instrText>
      </w:r>
      <w:r w:rsidR="00CB29BC" w:rsidRPr="000011C4">
        <w:fldChar w:fldCharType="separate"/>
      </w:r>
      <w:r w:rsidR="00C36856" w:rsidRPr="00C36856">
        <w:rPr>
          <w:noProof/>
        </w:rPr>
        <w:t>[9]</w:t>
      </w:r>
      <w:r w:rsidR="00CB29BC" w:rsidRPr="000011C4">
        <w:fldChar w:fldCharType="end"/>
      </w:r>
      <w:r w:rsidR="00DE00AD">
        <w:rPr>
          <w:rFonts w:cstheme="minorHAnsi"/>
        </w:rPr>
        <w:t>.</w:t>
      </w:r>
    </w:p>
    <w:p w14:paraId="0F2AF555" w14:textId="701956B1" w:rsidR="0075598C" w:rsidRDefault="00C541CC" w:rsidP="0075598C">
      <w:r w:rsidRPr="000011C4">
        <w:t>Few other studies have considered interrelationships</w:t>
      </w:r>
      <w:r w:rsidR="00C6352D">
        <w:t xml:space="preserve"> between SP, </w:t>
      </w:r>
      <w:r w:rsidR="00916033">
        <w:t>OP,</w:t>
      </w:r>
      <w:r w:rsidR="00C6352D">
        <w:t xml:space="preserve"> and frailty</w:t>
      </w:r>
      <w:r w:rsidRPr="000011C4">
        <w:t xml:space="preserve">. </w:t>
      </w:r>
      <w:r>
        <w:t>For example,</w:t>
      </w:r>
      <w:r w:rsidR="00B5301E">
        <w:t xml:space="preserve"> </w:t>
      </w:r>
      <w:r w:rsidRPr="000011C4">
        <w:t>participants with SP</w:t>
      </w:r>
      <w:r>
        <w:t xml:space="preserve"> </w:t>
      </w:r>
      <w:r w:rsidR="002E261F" w:rsidRPr="000011C4">
        <w:t>were reported to have a high incidence of OP</w:t>
      </w:r>
      <w:r w:rsidR="006A7D34">
        <w:t xml:space="preserve">, </w:t>
      </w:r>
      <w:r w:rsidR="002E261F" w:rsidRPr="000011C4">
        <w:t>a higher incidence of falls and fractures</w:t>
      </w:r>
      <w:r w:rsidR="002E261F">
        <w:t xml:space="preserve"> </w:t>
      </w:r>
      <w:r w:rsidR="002E261F" w:rsidRPr="000011C4">
        <w:fldChar w:fldCharType="begin" w:fldLock="1"/>
      </w:r>
      <w:r w:rsidR="008E6C84">
        <w:instrText>ADDIN CSL_CITATION {"citationItems":[{"id":"ITEM-1","itemData":{"DOI":"10.1007/s00586-015-3805-5","ISSN":"14320932","PMID":"25690348","abstract":"Purpose: Sarcopenia-related falls and fractures among women with osteoporosis are becoming an emerging problem because of rapid aging worldwide. We aimed to investigate the association between sarcopenia, given by the muscle mass of the arms and legs, and osteoporotic vertebral fracture (OVF) among female patients. Methods: This cross-sectional study examined 216 women with fresh OVF (OVF group) diagnosed by magnetic resonance imaging and 1,608 women from an outpatient clinic who did not have a OVF [non-fracture (NF) group]. We performed whole-body dual-energy X-ray absorptiometry to analyze body composition, including skeletal muscle mass index (SMI; lean mass/height2) and bone mineral density (BMD). We used stepwise logistic regression analysis to determine the risk factors associated with OVF. Results: After controlling for age, the OVF group showed lower appendicular SMI (5.62 vs. 5.97 kg/m2, P &lt; 0.001), lower arm SMI (1.36 vs. 1.42 kg/m2, P = 0.004), lower leg SMI (4.27 vs. 4.55 kg/m2, P &lt; 0.001), and higher prevalence of sarcopenia (42.3 vs. 25.9 %, P &lt; 0.001), compared with the NF group. Reduced leg muscle mass and presence of sarcopenia were independent risk factors for acute OVF in multivariate analysis (odds ratio = 1.4, P = 0.002; odds ratio = 1.96, P &lt; 0.001, respectively). Conclusions: We found higher prevalence of sarcopenia and lower leg muscle mass among patients with acute OVF compared with patients who did not have an OVF. These results suggest that sarcopenia may be a risk factor for OVF.","author":[{"dropping-particle":"","family":"Hida","given":"Tetsuro","non-dropping-particle":"","parse-names":false,"suffix":""},{"dropping-particle":"","family":"Shimokata","given":"Hiroshi","non-dropping-particle":"","parse-names":false,"suffix":""},{"dropping-particle":"","family":"Sakai","given":"Yoshihito","non-dropping-particle":"","parse-names":false,"suffix":""},{"dropping-particle":"","family":"Ito","given":"Sadayuki","non-dropping-particle":"","parse-names":false,"suffix":""},{"dropping-particle":"","family":"Matsui","given":"Yasumoto","non-dropping-particle":"","parse-names":false,"suffix":""},{"dropping-particle":"","family":"Takemura","given":"Marie","non-dropping-particle":"","parse-names":false,"suffix":""},{"dropping-particle":"","family":"Kasai","given":"Takehiro","non-dropping-particle":"","parse-names":false,"suffix":""},{"dropping-particle":"","family":"Ishiguro","given":"Naoki","non-dropping-particle":"","parse-names":false,"suffix":""},{"dropping-particle":"","family":"Harada","given":"Atsushi","non-dropping-particle":"","parse-names":false,"suffix":""}],"container-title":"European Spine Journal","id":"ITEM-1","issue":"11","issued":{"date-parts":[["2016","11","1"]]},"page":"3424-3431","publisher":"Springer Verlag","title":"Sarcopenia and sarcopenic leg as potential risk factors for acute osteoporotic vertebral fracture among older women","type":"article-journal","volume":"25"},"uris":["http://www.mendeley.com/documents/?uuid=975d3b21-b1c2-324a-afce-6d431510b839"]},{"id":"ITEM-2","itemData":{"DOI":"10.1007/s00774-013-0443-z","ISSN":"14355604","PMID":"23515924","abstract":"Sarcopenia and osteoporosis are both significant health burdens among postmenopausal women. This study examined associations between sarcopenia and osteopenia/osteoporosis in Japanese women and evaluated the prevalence of sarcopenia in women with osteopenia and osteoporosis. A total of 2400 Japanese women aged 40-88 years underwent dual-energy x-ray absorptiometry (DXA) scans of the whole body, lumbar spine, and total hip. Osteopenia and osteoporosis were defined according to World Health Organization criteria using bone mineral density (BMD) of the lumbar spine or hip. Sarcopenia was defined as a relative skeletal muscle index (RSMI) more than 2 standard deviations below the mean for a young adult reference population, calculated as the appendicular skeletal muscle mass (ASM) obtained from whole-body DXA divided by height in meters squared (RSMI = ASM/height2). Significant and marginal/moderate positive correlations were observed between RSMI and lumbar spine/total hip BMDs (r = 0.197 and r = 0.274, respectively; p &lt; 0.0001 each). The BMDs of the lumbar spine and total hip showed significant moderate negative correlations with age (r = -0.270 and r = -0.375, respectively; p &lt; 0.0001 each), but RSMI showed no association with age in this population (r = 0.056). When osteopenia/osteoporosis was defined using lumbar spine BMD, prevalences of sarcopenia in subjects with normal BMD, osteopenia and osteoporosis were 10.4, 16.8, and 20.4 %, respectively. When osteopenia/osteoporosis was defined using total hip BMD, the prevalences of sarcopenia in these subjects were 9.0, 17.8, and 29.7 %, respectively. A Chi-square test for independence showed a significant association between sarcopenia and osteopenia/osteoporosis (p &lt; 0.0001). These results indicate that sarcopenia is significantly associated with osteopenia and osteoporosis in Japanese women. © 2013 The Japanese Society for Bone and Mineral Research and Springer Japan.","author":[{"dropping-particle":"","family":"Miyakoshi","given":"Naohisa","non-dropping-particle":"","parse-names":false,"suffix":""},{"dropping-particle":"","family":"Hongo","given":"Michio","non-dropping-particle":"","parse-names":false,"suffix":""},{"dropping-particle":"","family":"Mizutani","given":"Yoichi","non-dropping-particle":"","parse-names":false,"suffix":""},{"dropping-particle":"","family":"Shimada","given":"Yoichi","non-dropping-particle":"","parse-names":false,"suffix":""}],"container-title":"Journal of Bone and Mineral Metabolism","id":"ITEM-2","issue":"5","issued":{"date-parts":[["2013","9","1"]]},"page":"556-561","publisher":"Springer Japan","title":"Prevalence of sarcopenia in Japanese women with osteopenia and osteoporosis","type":"article-journal","volume":"31"},"uris":["http://www.mendeley.com/documents/?uuid=200bc4e7-21c2-3bd0-a23c-b46f1849b33e"]},{"id":"ITEM-3","itemData":{"DOI":"10.1007/s00198-016-3823-0","ISSN":"14332965","PMID":"27885410","abstract":"Summary: In a 4-year follow-up study that enrolled 1099 subjects aged ≥60 years, sarcopenia prevalence was estimated at 8.2%. Moreover, the presence of osteoporosis was significantly associated with short-term sarcopenia occurrence, but the reciprocal relationship was not observed, suggesting that osteoporosis would increase the risk of osteoporotic fracture and sarcopenia occurrence. Introduction: The present 4-year follow-up study was performed to clarify the prevalence, incidence, and relationships between sarcopenia (SP) and osteoporosis (OP) in older Japanese men and women. Methods: We enrolled 1099 participants (aged, ≥60 years; 377 men) from the second survey of the Research on Osteoarthritis/Osteoporosis against Disability (ROAD) study (2008–2010) and followed them up for 4 years. Handgrip strength, gait speed, skeletal muscle mass, and bone mineral density were assessed. SP was defined according to the Asian Working Group for Sarcopenia. OP was defined based on the World Health Organization criteria. Results: SP prevalence was 8.2% (men, 8.5%; women, 8.0%) in the second survey. In those with SP, 57.8% (21.9%; 77.6%) had OP at the lumbar spine L2–4 and/or femoral neck. SP cumulative incidence was 2.0%/year (2.2%/year; 1.9%/year). Multivariate regression analysis revealed that OP was significantly associated with SP occurrence within 4 years (odds ratio, 2.99; 95% confidence interval, 1.46–6.12; p &lt; 0.01), but the reciprocal relationship was not significantly observed (2.11; 0.59–7.59; p = 0.25). Conclusions: OP might raise the short-term risk of SP incidence. Therefore, OP would not only increase the risk for osteoporotic fracture but may also increase the risk for SP occurrence.","author":[{"dropping-particle":"","family":"Yoshimura","given":"N.","non-dropping-particle":"","parse-names":false,"suffix":""},{"dropping-particle":"","family":"Muraki","given":"S.","non-dropping-particle":"","parse-names":false,"suffix":""},{"dropping-particle":"","family":"Oka","given":"H.","non-dropping-particle":"","parse-names":false,"suffix":""},{"dropping-particle":"","family":"Iidaka","given":"T.","non-dropping-particle":"","parse-names":false,"suffix":""},{"dropping-particle":"","family":"Kodama","given":"R.","non-dropping-particle":"","parse-names":false,"suffix":""},{"dropping-particle":"","family":"Kawaguchi","given":"H.","non-dropping-particle":"","parse-names":false,"suffix":""},{"dropping-particle":"","family":"Nakamura","given":"K.","non-dropping-particle":"","parse-names":false,"suffix":""},{"dropping-particle":"","family":"Tanaka","given":"S.","non-dropping-particle":"","parse-names":false,"suffix":""},{"dropping-particle":"","family":"Akune","given":"T.","non-dropping-particle":"","parse-names":false,"suffix":""}],"container-title":"Osteoporosis International","id":"ITEM-3","issue":"1","issued":{"date-parts":[["2017","1","1"]]},"page":"189-199","publisher":"Springer London","title":"Is osteoporosis a predictor for future sarcopenia or vice versa? Four-year observations between the second and third ROAD study surveys","type":"article-journal","volume":"28"},"uris":["http://www.mendeley.com/documents/?uuid=d66e6702-383a-3c6b-8a9d-2981b4c0c175"]},{"id":"ITEM-4","itemData":{"DOI":"10.1038/s41598-020-80129-z","ISSN":"20452322","PMID":"33420234","abstract":"Sarcopenia has been associated with poor clinical outcomes in several diseases. Herein, the clinical results of balloon kyphoplasty (BKP) for acute osteoporotic vertebral fracture (OVF) treatment were assessed and compared between sarcopenia and non-sarcopenia patients. Sixty patients who underwent BKP for treatment of acute OVF with poor prognostic factors between April 2016 and September 2017 and were assessed for sarcopenia were enrolled. Clinical results (back pain on visual analogue scale [VAS]; short-form [SF] 36; vertebral deformity; activities of daily living levels; and incidence of adjacent vertebral fractures) were compared between the two groups at 6 months post-BKP. Data analysis revealed that back pain on VAS, SF-36 scores, and vertebral deformity improved from baseline to 6 months after BKP. Thirty-nine patients (65.0%) were diagnosed with sarcopenia and demonstrated a lower body mass index (21.2 vs. 23.3 kg/m2, p = 0.02), skeletal muscle mass index (5.32 vs. 6.55 kg/m2, p &lt; 0.01), hand-grip strength (14.7 vs. 19.2 kg, p = 0.01), and bone mineral density of the femoral neck (0.57 vs. 0.76 g/cm2, p &lt; 0.01) than those of patients without sarcopenia. However, no significant differences were observed in the clinical results between these groups. Therefore, BKP’s clinical results for the treatment of acute OVF are not associated with sarcopenia.","author":[{"dropping-particle":"","family":"Ohyama","given":"Shoichiro","non-dropping-particle":"","parse-names":false,"suffix":""},{"dropping-particle":"","family":"Hoshino","given":"Masatoshi","non-dropping-particle":"","parse-names":false,"suffix":""},{"dropping-particle":"","family":"Takahashi","given":"Shinji","non-dropping-particle":"","parse-names":false,"suffix":""},{"dropping-particle":"","family":"Hori","given":"Yusuke","non-dropping-particle":"","parse-names":false,"suffix":""},{"dropping-particle":"","family":"Yasuda","given":"Hiroyuki","non-dropping-particle":"","parse-names":false,"suffix":""},{"dropping-particle":"","family":"Terai","given":"Hidetomi","non-dropping-particle":"","parse-names":false,"suffix":""},{"dropping-particle":"","family":"Hayashi","given":"Kazunori","non-dropping-particle":"","parse-names":false,"suffix":""},{"dropping-particle":"","family":"Tsujio","given":"Tadao","non-dropping-particle":"","parse-names":false,"suffix":""},{"dropping-particle":"","family":"Kono","given":"Hiroshi","non-dropping-particle":"","parse-names":false,"suffix":""},{"dropping-particle":"","family":"Suzuki","given":"Akinobu","non-dropping-particle":"","parse-names":false,"suffix":""},{"dropping-particle":"","family":"Tamai","given":"Koji","non-dropping-particle":"","parse-names":false,"suffix":""},{"dropping-particle":"","family":"Toyoda","given":"Hiromitsu","non-dropping-particle":"","parse-names":false,"suffix":""},{"dropping-particle":"","family":"Dohzono","given":"Sho","non-dropping-particle":"","parse-names":false,"suffix":""},{"dropping-particle":"","family":"Nakamura","given":"Hiroaki","non-dropping-particle":"","parse-names":false,"suffix":""}],"container-title":"Scientific Reports","id":"ITEM-4","issue":"1","issued":{"date-parts":[["2021","12","1"]]},"page":"122","publisher":"Nature Research","title":"Presence of sarcopenia does not affect the clinical results of balloon kyphoplasty for acute osteoporotic vertebral fracture","type":"article-journal","volume":"11"},"uris":["http://www.mendeley.com/documents/?uuid=cdc70cf0-a384-31a1-ab2a-3a2c0fcaa1d3"]},{"id":"ITEM-5","itemData":{"DOI":"10.1093/gerona/62.7.744","ISSN":"1079-5006","abstract":"Background. A standard phenotype of frailty was associated with an increased risk of adverse outcomes including mortality in a recent study of older adults. However, the predictive validity of this phenotype for fracture outcomes and across risk subgroups is uncertain. Methods. To determine whether a standard frailty phenotype was independently associated with risk of adverse health outcomes in older women and to evaluate the consistency of associations across risk subgroups defined by age and body mass index (BMI), we ascertained frailty status in a cohort of 6724 women ≥ 69 years and followed them prospectively for incident falls, fractures, and mortality. Frailty was defined by the presence of three or more of the following criteria: unintentional weight loss, weakness, self-reported poor energy, slow walking speed, and low physical activity. Incident recurrent falls were defined as at least two falls during the subsequent year. Incident fractures (confirmed with x-ray reports), including hip fractures, and deaths were ascertained during an average of 9 years of follow-up. Results. After controlling for multiple confounders such as age, health status, medical conditions, functional status, depressive symptoms, cognitive function, and bone mineral density, frail women were subsequently at increased risk of recurrent falls (multivariate odds ratio = 1.38, 95% confidence interval [CI], 1.02-1.88), hip fracture (multivariate hazards ratio [MHR] = 1.40, 95% CI, 1.03-1.90), any nonspine fracture (MHR = 1.25, 95% CI, 1.05-1.49), and death (MHR = 1.82, 95% CI, 1.56-2.13). The associations between frailty and these outcomes persisted among women ≥ 80 years. In addition, associations between frailty and an increased risk of falls, fracture, and mortality were consistently observed across categories of BMI, including BMI ≥ 30 kg/m2. Conclusion. Frailty is an independent predictor of adverse health outcomes in older women, including very elderly women and older obese women. Copyright 2007 by The Gerontological Society of America.","author":[{"dropping-particle":"","family":"Ensrud","given":"K. E.","non-dropping-particle":"","parse-names":false,"suffix":""},{"dropping-particle":"","family":"Ewing","given":"S. K.","non-dropping-particle":"","parse-names":false,"suffix":""},{"dropping-particle":"","family":"Taylor","given":"B. C.","non-dropping-particle":"","parse-names":false,"suffix":""},{"dropping-particle":"","family":"Fink","given":"H. A.","non-dropping-particle":"","parse-names":false,"suffix":""},{"dropping-particle":"","family":"Stone","given":"K. L.","non-dropping-particle":"","parse-names":false,"suffix":""},{"dropping-particle":"","family":"Cauley","given":"J. A.","non-dropping-particle":"","parse-names":false,"suffix":""},{"dropping-particle":"","family":"Tracy","given":"J. K.","non-dropping-particle":"","parse-names":false,"suffix":""},{"dropping-particle":"","family":"Hochberg","given":"M. C.","non-dropping-particle":"","parse-names":false,"suffix":""},{"dropping-particle":"","family":"Rodondi","given":"N.","non-dropping-particle":"","parse-names":false,"suffix":""},{"dropping-particle":"","family":"Cawthon","given":"P. M.","non-dropping-particle":"","parse-names":false,"suffix":""}],"container-title":"The Journals of Gerontology Series A: Biological Sciences and Medical Sciences","id":"ITEM-5","issue":"7","issued":{"date-parts":[["2007","7","1"]]},"page":"744-751","publisher":"Gerontological Society of America","title":"Frailty and Risk of Falls, Fracture, and Mortality in Older Women: The Study of Osteoporotic Fractures","type":"article-journal","volume":"62"},"uris":["http://www.mendeley.com/documents/?uuid=052f1ef9-36b5-3409-940c-8eae87783675"]},{"id":"ITEM-6","itemData":{"DOI":"10.1002/jcsm.12411","ISSN":"21906009","PMID":"30993881","abstract":"Sarcopenia is a potentially modifiable risk factor for falls and fractures in older adults, but the strength of the association between sarcopenia, falls, and fractures is unclear. This study aims to systematically assess the literature and perform a meta-analysis of the association between sarcopenia with falls and fractures among older adults. A literature search was performed using MEDLINE, EMBASE, Cochrane, and CINAHL from inception to May 2018. Inclusion criteria were the following: published in English, mean/median age ≥ 65 years, sarcopenia diagnosis (based on definitions used by the original studies' authors), falls and/or fractures outcomes, and any study population. Pooled analyses were conducted of the associations of sarcopenia with falls and fractures, expressed in odds ratios (OR) and 95% confidence intervals (CIs). Subgroup analyses were performed by study design, population, sex, sarcopenia definition, continent, and study quality. Heterogeneity was assessed using the I2 statistics. The search identified 2771 studies. Thirty-six studies (52 838 individuals, 48.8% females, and mean age of the study populations ranging from 65.0 to 86.7 years) were included in the systematic review. Four studies reported on both falls and fractures. Ten out of 22 studies reported a significantly higher risk of falls in sarcopenic compared with non-sarcopenic individuals; 11 out of 19 studies showed a significant positive association with fractures. Thirty-three studies (45 926 individuals) were included in the meta-analysis. Sarcopenic individuals had a significant higher risk of falls (cross-sectional studies: OR 1.60; 95% CI 1.37–1.86, P &lt; 0.001, I2 = 34%; prospective studies: OR 1.89; 95% CI 1.33–2.68, P &lt; 0.001, I2 = 37%) and fractures (cross-sectional studies: OR 1.84; 95% CI 1.30–2.62, P = 0.001, I2 = 91%; prospective studies: OR 1.71; 95% CI 1.44–2.03, P = 0.011, I2 = 0%) compared with non-sarcopenic individuals. This was independent of study design, population, sex, sarcopenia definition, continent, and study quality. The positive association between sarcopenia with falls and fractures in older adults strengthens the need to invest in sarcopenia prevention and interventions to evaluate its effect on falls and fractures.","author":[{"dropping-particle":"","family":"Yeung","given":"Suey S.Y.","non-dropping-particle":"","parse-names":false,"suffix":""},{"dropping-particle":"","family":"Reijnierse","given":"Esmee M.","non-dropping-particle":"","parse-names":false,"suffix":""},{"dropping-particle":"","family":"Pham","given":"Vivien K.","non-dropping-particle":"","parse-names":false,"suffix":""},{"dropping-particle":"","family":"Trappenburg","given":"Marijke C.","non-dropping-particle":"","parse-names":false,"suffix":""},{"dropping-particle":"","family":"Lim","given":"Wen Kwang","non-dropping-particle":"","parse-names":false,"suffix":""},{"dropping-particle":"","family":"Meskers","given":"Carel G.M.","non-dropping-particle":"","parse-names":false,"suffix":""},{"dropping-particle":"","family":"Maier","given":"Andrea B.","non-dropping-particle":"","parse-names":false,"suffix":""}],"container-title":"Journal of Cachexia, Sarcopenia and Muscle","id":"ITEM-6","issue":"3","issued":{"date-parts":[["2019","6","1"]]},"page":"485-500","publisher":"Wiley Blackwell","title":"Sarcopenia and its association with falls and fractures in older adults: A systematic review and meta-analysis","type":"article","volume":"10"},"uris":["http://www.mendeley.com/documents/?uuid=0cd7e85a-ccf4-376f-bc41-236bbd3bb76c"]},{"id":"ITEM-7","itemData":{"DOI":"10.1007/s00198-018-4429-5","abstract":"To our knowledge, no comprehensive meta-analysis has examined the association between sarcopenia and the risk of fractures. This systematic review and meta-analysis of prospective cohort studies aims to summarize whether sarcopenia is a risk factor for fractures among community-dwelling older adults. We searched four electronic literature databases (Ovid MEDLINE, EMBASE, Cochrane Central Register of Controlled Trials, PubMed) for relevant publications from inception to December 2017, using relevant keywords. We conducted a pooled analysis of the association between sarcopenia and the risk of fractures by employing a random-effects model. Subgroup analyses were conducted based on definitions of sarcopenia and gender. In total, nine studies were included in our systematic review and meta-analysis. The prevalence of sarcopenia ranged from 4.3 to 33.1%. The pooled RR of fractures for the sarcopenic versus the nonsarcopenic was 1.34 (95% CI = 1.13-1.58, P = 0.001, I 2 = 5.5%, P-heterogeneity = 0.391). Subgroup analyses showed that associations between sarcopenia and fractures were significant when using the AWGS definition (combined effect size = 1.78, 95% CI = 1.25-2.54, P = 0.001), and studies in males (combined effect size = 1.39, 95% CI = 1.13-1.71, P = 0.002). In conclusion, we found that compared to nonsarcopenic, the association between sarcopenia and fractures among community-dwelling older people was significant when using the AWGS definition, and only for males. Future studies are needed to establish a possible association between sarcopenia definitions and risk of fractures of different sites.","author":[{"dropping-particle":"","family":"Zhang","given":"Y","non-dropping-particle":"","parse-names":false,"suffix":""},{"dropping-particle":"","family":"Hao","given":"Q","non-dropping-particle":"","parse-names":false,"suffix":""},{"dropping-particle":"","family":"Ge","given":"M","non-dropping-particle":"","parse-names":false,"suffix":""},{"dropping-particle":"","family":"Dong","given":"B","non-dropping-particle":"","parse-names":false,"suffix":""}],"id":"ITEM-7","issued":{"date-parts":[["0"]]},"title":"Association of sarcopenia and fractures in community-dwelling older adults: a systematic review and meta-analysis of cohort studies","type":"article-journal"},"uris":["http://www.mendeley.com/documents/?uuid=53a28f6b-dec7-3364-8474-97396aa075c8"]},{"id":"ITEM-8","itemData":{"DOI":"10.1007/s00223-015-0044-z","ISSN":"14320827","PMID":"26223791","abstract":"Sarcopenia is common in later life and may be associated with adverse health outcomes such as disability, falls and fracture. There is no consensus definition for its diagnosis although diagnostic algorithms have been proposed by the European Working Group for Sarcopenia in Older People (EWGSOP), the International Working Group on Sarcopenia (IWGS) and the Foundation for the National Institutes of Health Sarcopenia Project (FNIH). More recently, Binkley and colleagues devised a score-based system for the diagnosis of “dysmobility syndrome” in an attempt to combine adverse musculoskeletal phenotypes, including sarcopenia and osteoporosis, in order to identify older individuals at particular risk. We applied these criteria to participants from the Hertfordshire Cohort Study to define their prevalence in an unselected cohort of UK community-dwelling older adults and assess their relationships with previous falls and fracture. Body composition and areal bone mineral density were measured using dual-energy X-ray absorptiometry, gait speed was determined by a 3-m walk test and grip strength was assessed with a Jamar hand-held dynamometer. Researcher-administered questionnaires were completed detailing falls and fracture history. The prevalence of sarcopenia in this cohort was 3.3, 8.3 and 2.0 % using the EWGSOP, IWGS and related definition of FNIH, respectively; 24.8 % of individuals had dysmobility syndrome. Individuals with dysmobility reported significantly higher number of falls (last year and since the age of 45 years) (p &lt; 0.01) than those without it, but no increased fracture rate was observed in this group (p = 0.96). Those with sarcopenia as defined by the IWGS reported significantly higher falls in the last year and prevalent fractures (falls in the last year: OR 2.51; CI 1.09–5.81; p = 0.03; fractures OR 2.50; CI 1.05–5.92; p = 0.04) but these significant associations were not seen when the EWGSOP definition was applied. The IWGS definition of sarcopenia appears to be an effective means of identifying individuals at risk of prevalent adverse musculoskeletal events.","author":[{"dropping-particle":"","family":"Clynes","given":"M. A.","non-dropping-particle":"","parse-names":false,"suffix":""},{"dropping-particle":"","family":"Edwards","given":"M. H.","non-dropping-particle":"","parse-names":false,"suffix":""},{"dropping-particle":"","family":"Buehring","given":"B.","non-dropping-particle":"","parse-names":false,"suffix":""},{"dropping-particle":"","family":"Dennison","given":"E. M.","non-dropping-particle":"","parse-names":false,"suffix":""},{"dropping-particle":"","family":"Binkley","given":"N.","non-dropping-particle":"","parse-names":false,"suffix":""},{"dropping-particle":"","family":"Cooper","given":"C.","non-dropping-particle":"","parse-names":false,"suffix":""}],"container-title":"Calcified Tissue International","id":"ITEM-8","issue":"5","issued":{"date-parts":[["2015","11","1"]]},"page":"445-452","publisher":"Springer New York LLC","title":"Definitions of Sarcopenia: Associations with Previous Falls and Fracture in a Population Sample","type":"article-journal","volume":"97"},"uris":["http://www.mendeley.com/documents/?uuid=fdf4a3c2-a005-34aa-bd1e-8adc9a333ba5"]},{"id":"ITEM-9","itemData":{"DOI":"10.1186/s12891-017-1403-x","ISSN":"14712474","PMID":"28125982","abstract":"Osteoporosis and osteoporotic fractures remain significant public health challenges worldwide. Recently the concept of frailty in relation to osteoporosis in the elderly has been increasingly accepted, with emerging studies measuring frailty as a predictor of osteoporotic fractures. In this overview, we reviewed the relationship between frailty and osteoporosis, described the approaches to measuring the grades of frailty, and presented current studies and future research directions investigating osteoporosis and frailty in the elderly. It is concluded that measuring the grades of frailty in the elderly could assist in the assessment, management and decision-making for osteoporosis and osteoporotic fractures at a clinical research level and at a health care policy level.","author":[{"dropping-particle":"","family":"Li","given":"Guowei","non-dropping-particle":"","parse-names":false,"suffix":""},{"dropping-particle":"","family":"Thabane","given":"Lehana","non-dropping-particle":"","parse-names":false,"suffix":""},{"dropping-particle":"","family":"Papaioannou","given":"Alexandra","non-dropping-particle":"","parse-names":false,"suffix":""},{"dropping-particle":"","family":"Ioannidis","given":"George","non-dropping-particle":"","parse-names":false,"suffix":""},{"dropping-particle":"","family":"Levine","given":"Mitchell A.H.","non-dropping-particle":"","parse-names":false,"suffix":""},{"dropping-particle":"","family":"Adachi","given":"Jonathan D.","non-dropping-particle":"","parse-names":false,"suffix":""}],"container-title":"BMC Musculoskeletal Disorders","id":"ITEM-9","issue":"1","issued":{"date-parts":[["2017","1","26"]]},"publisher":"BioMed Central Ltd.","title":"An overview of osteoporosis and frailty in the elderly","type":"article","volume":"18"},"uris":["http://www.mendeley.com/documents/?uuid=b7db07df-a45a-31c5-b296-a84aa9a4154b"]},{"id":"ITEM-10","itemData":{"DOI":"10.1111/jgs.12146","ISBN":"9788578110796","ISSN":"1098-6596","abstract":"Objectives—To test whether women age ≥ 55 years with increasing evidence of a frailtyphenotype would have greater risk of fractures, disability, and recurrent falls, compared withwomen who were not frail, across geographic areas (Australia, Europe, and North America) andage groups. Design—Multinational, longitudinal, observational cohort study.Setting—The Global Longitudinal Study of Osteoporosis in Women (GLOW).Participants—Women (n=48,636) age ≥ 55 years enrolled at sites in Australia, Europe, andNorth America.Measurements—Components of frailty (slowness/weakness, poor endurance/exhaustion,physical activity, and unintentional weight loss) at baseline and report of fracture, disability, andrecurrent falls at 1 year of follow-up were investigated. Women also reported health anddemographic characteristics at baseline.Results—Among those age &lt; 75 years, women from the United States were more likely to beprefrail and frail than women from Australia/Canada, and Europe. The distribution of frailty wassimilar by region for women age ≥ 75 years. Odds ratios from multivariable models for frailtyversus non frailty were 1.23 (95% CI = 1.07–1.42) for fracture, 2.29 (95% CI = 2.09–2.51) fordisability, and 1.68 (95% CI = 1.54–1.83) for recurrent falls. The associations for pre-frailtyversus non frailty were weaker but still indicated statistically significant increased risk for eachoutcome. Overall, associations between frailty status and each outcome were similar across ageand geographic region.Conclusion—Increased evidence of a frailty phenotype is associated with increased risk forfracture, disability, and falls among women age ≥ 55 years in 10 countries, with similar patternsacross age and geographic region","author":[{"dropping-particle":"","family":"Sarah E. Tom, Jonathan D. Adachi, Frederick A. Anderson Jr, Steven Boonen, Roland D. Chapurlat, Juliet E. Compston, Cyrus Cooper, Stephen H. Gehlbach, Susan L. Greenspan","given":"Frederick H.","non-dropping-particle":"","parse-names":false,"suffix":""}],"container-title":"journal of americam geriatric","id":"ITEM-10","issue":"3","issued":{"date-parts":[["2013"]]},"page":"327-334","title":"Frailty and Fracture, Disability, and Falls: A Multiple CountryStudy from the Global Longitudinal Study of Osteoporosis inWomen (GLOW)","type":"article-journal","volume":"61"},"uris":["http://www.mendeley.com/documents/?uuid=08aeff0e-fbcb-479e-bfd4-62ff7f5f2ba4","http://www.mendeley.com/documents/?uuid=91e178a0-67af-4c01-b63a-d377bf1d78a8"]}],"mendeley":{"formattedCitation":"[10–19]","plainTextFormattedCitation":"[10–19]","previouslyFormattedCitation":"[10–19]"},"properties":{"noteIndex":0},"schema":"https://github.com/citation-style-language/schema/raw/master/csl-citation.json"}</w:instrText>
      </w:r>
      <w:r w:rsidR="002E261F" w:rsidRPr="000011C4">
        <w:fldChar w:fldCharType="separate"/>
      </w:r>
      <w:r w:rsidR="00C36856" w:rsidRPr="00C36856">
        <w:rPr>
          <w:noProof/>
        </w:rPr>
        <w:t>[10–19]</w:t>
      </w:r>
      <w:r w:rsidR="002E261F" w:rsidRPr="000011C4">
        <w:fldChar w:fldCharType="end"/>
      </w:r>
      <w:r w:rsidRPr="000011C4">
        <w:t>,</w:t>
      </w:r>
      <w:r w:rsidR="006A7D34">
        <w:t xml:space="preserve"> </w:t>
      </w:r>
      <w:r w:rsidRPr="000011C4">
        <w:t xml:space="preserve">but in these analyses frailty was not considered the outcome. </w:t>
      </w:r>
      <w:r w:rsidR="0096133C">
        <w:t>For instance, p</w:t>
      </w:r>
      <w:r w:rsidR="0075598C">
        <w:t xml:space="preserve">atients with SP </w:t>
      </w:r>
      <w:r w:rsidR="0075598C" w:rsidRPr="00613ECF">
        <w:t>had 12.9 times higher odds of having osteoporosis</w:t>
      </w:r>
      <w:r w:rsidR="0075598C">
        <w:t xml:space="preserve"> and 2.7 times higher odds of having fractures than the non-sarcopenic ones in a population based Finnish study</w:t>
      </w:r>
      <w:r w:rsidR="0075598C">
        <w:fldChar w:fldCharType="begin" w:fldLock="1"/>
      </w:r>
      <w:r w:rsidR="008E6C84">
        <w:instrText>ADDIN CSL_CITATION {"citationItems":[{"id":"ITEM-1","itemData":{"DOI":"10.1016/j.maturitas.2013.03.016","ISSN":"03785122","PMID":"23628279","abstract":"Purpose The aim of the study was to determine the relationship between the components of clinical sarcopenia and osteoporosis in postmenopausal women. Methods A population-based cohort of 590 Finnish postmenopausal women (mean age 67.9; range 65-72) was selected from the Osteoporosis Fracture Prevention (OSTPRE-FPS) study in 2002. Bone mineral density (BMD) and lean tissue mass were assessed by dual X-ray absorptiometry (DXA). The study sample was divided into three categories according to the WHO BMD classification: normal, osteopenia and osteoporosis. The study sample was divided into non-sarcopenic, presarcopenic, sarcopenic and non-classified groups according to quartiles of RSMI i.e. relative skeletal muscle index (appendicular muscle mass (kg)/square of height (m)), hand grip strength (kPa) and walking speed. Results In logistic regression analysis sarcopenic women had 12.9 times higher odds of having osteoporosis (p ≤ 0.001, OR = 12.9; 95% CI = 3.1-53.5) in comparison to non-sarcopenic women. In comparison to women in the highest grip strength quartile, women within the lowest quartile had 11.7 times higher odds of having osteoporosis (p = 0.001, OR = 11.7; 2.6-53.4). Sarcopenic women had 2.7 times higher odds of having fractures than their non-sarcopenic counterparts (p = 0.005, OR = 2.732; 1.4-5.5). Sarcopenic women had also 2.1 times higher risk of falls during the preceding 12 months compared to non-sarcopenic women (p = 0.021, OR = 2.1; 1.1-3.9). Adjustment for age, body mass index (BMI), physical activity and hormone therapy (HT) did not significantly alter these results. Conclusions The components of clinical sarcopenia are strongly associated with osteoporosis. Grip strength is the most significant measurement to reveal the association between sarcopenia and osteoporosis, falls and fractures. © 2013 Elsevier Ireland Ltd.","author":[{"dropping-particle":"","family":"Sjöblom","given":"Samu","non-dropping-particle":"","parse-names":false,"suffix":""},{"dropping-particle":"","family":"Suuronen","given":"Juha","non-dropping-particle":"","parse-names":false,"suffix":""},{"dropping-particle":"","family":"Rikkonen","given":"Toni","non-dropping-particle":"","parse-names":false,"suffix":""},{"dropping-particle":"","family":"Honkanen","given":"Risto","non-dropping-particle":"","parse-names":false,"suffix":""},{"dropping-particle":"","family":"Kröger","given":"Heikki","non-dropping-particle":"","parse-names":false,"suffix":""},{"dropping-particle":"","family":"Sirola","given":"Joonas","non-dropping-particle":"","parse-names":false,"suffix":""}],"container-title":"Maturitas","id":"ITEM-1","issue":"2","issued":{"date-parts":[["2013","6"]]},"page":"175-180","title":"Relationship between postmenopausal osteoporosis and the components of clinical sarcopenia","type":"article-journal","volume":"75"},"uris":["http://www.mendeley.com/documents/?uuid=0e1ff568-8464-33b9-aa49-40a63a5d23d0"]}],"mendeley":{"formattedCitation":"[20]","plainTextFormattedCitation":"[20]","previouslyFormattedCitation":"[20]"},"properties":{"noteIndex":0},"schema":"https://github.com/citation-style-language/schema/raw/master/csl-citation.json"}</w:instrText>
      </w:r>
      <w:r w:rsidR="0075598C">
        <w:fldChar w:fldCharType="separate"/>
      </w:r>
      <w:r w:rsidR="00C36856" w:rsidRPr="00C36856">
        <w:rPr>
          <w:noProof/>
        </w:rPr>
        <w:t>[20]</w:t>
      </w:r>
      <w:r w:rsidR="0075598C">
        <w:fldChar w:fldCharType="end"/>
      </w:r>
      <w:r w:rsidR="00F266AF">
        <w:t xml:space="preserve"> </w:t>
      </w:r>
      <w:r w:rsidR="00510083">
        <w:t>and</w:t>
      </w:r>
      <w:r w:rsidR="00F266AF">
        <w:t xml:space="preserve"> similarly </w:t>
      </w:r>
      <w:r w:rsidR="00500EA2">
        <w:t xml:space="preserve">BMD was found to be lower in sarcopenic </w:t>
      </w:r>
      <w:r w:rsidR="00510083">
        <w:t>individuals</w:t>
      </w:r>
      <w:r w:rsidR="00F26DB3">
        <w:t xml:space="preserve"> in the Copenhagen Sarcopenia study</w:t>
      </w:r>
      <w:r w:rsidR="00E544DC">
        <w:t xml:space="preserve">, increasing the risk of </w:t>
      </w:r>
      <w:r w:rsidR="007C42B3">
        <w:t xml:space="preserve">having </w:t>
      </w:r>
      <w:r w:rsidR="00E544DC">
        <w:t>OP</w:t>
      </w:r>
      <w:r w:rsidR="00F26DB3">
        <w:t xml:space="preserve"> </w:t>
      </w:r>
      <w:r w:rsidR="00510083">
        <w:fldChar w:fldCharType="begin" w:fldLock="1"/>
      </w:r>
      <w:r w:rsidR="008E6C84">
        <w:instrText>ADDIN CSL_CITATION {"citationItems":[{"id":"ITEM-1","itemData":{"DOI":"10.1016/j.exger.2020.110974","ISSN":"18736815","PMID":"32464171","abstract":"Introduction: As life expectancy increases, a growing percentage of older individuals with age-related diseases such as osteoporosis and sarcopenia are expected. Patients with both conditions, i.e. patient with osteosarcopenia, are suggested to have a higher risk of fall and fracture compared to individuals with either condition. Aim: To investigate the potential relationship between low bone mineral density (BMD) and muscle dysfunction in a Danish cohort of older home-dwelling individuals. Furthermore, to examine the prevalence of osteosarcopenia and alterations in prevalence depending on cut-off values chosen. Method: Measures of BMD, relative appendicular lean mass and hand grip strength were assessed in 529 individuals aged 65+ from the population-based cross-sectional Copenhagen Sarcopenia Study (CSS). Osteoporosis was diagnosed according to the World Health Organization guidelines. Sarcopenia was diagnosed in accordance with the guidelines from the European Working Group on Sarcopenia in Older People (EWGSOP2) with application of cut-off values from the EWGSOP2 paper compared to cut-off values derived from a local cohort (CSS). Results: 19.2% had osteoporosis (66 women and 35 men), whereas 2.7% (6 women and 8 men) and 4.2% (7 women and 15 men) had sarcopenia with application of EWGSOP2 and CSS cut-off values, respectively. Using the EWGSOP2 cut-off values, 1.5% (4 women and 4 men) were diagnosed with osteosarcopenia compared to 1.4% (4 women and 3 men) using CSS cut-off values. In the osteoporosis sub-population, 8% (EWGSOP2) and 7% (CSS) had sarcopenia and within the sarcopenia sub-population, 61.5% (EWGSOP2) and 33.3% (CSS) had osteoporosis. At all sites, BMD was lower among individuals with sarcopenia and sarcopenia increased the risk of osteoporosis (odds ratios: EWGSOP2: 7.3 (p &lt; 0.001) and CSS: 2.2 (ns)). Conclusion: Osteosarcopenia was present in 1.5% of a group of healthy home-dwelling older individuals. Notably, individuals with sarcopenia had lower BMD and a higher risk of osteoporosis, whereas the opposite (prevalence of sarcopenia in individuals with osteoporosis) was not as frequent. Our data indicate that screening for sarcopenia and osteoporosis should be performed simultaneously in older individuals at high risk of falls and fractures. However, further studies with outcome-related results are needed to identify optimal measures of osteosarcopenia and cut-off values for sarcopenia.","author":[{"dropping-particle":"","family":"Nielsen","given":"B. R.","non-dropping-particle":"","parse-names":false,"suffix":""},{"dropping-particle":"","family":"Andersen","given":"H. E.","non-dropping-particle":"","parse-names":false,"suffix":""},{"dropping-particle":"","family":"Haddock","given":"B.","non-dropping-particle":"","parse-names":false,"suffix":""},{"dropping-particle":"","family":"Hovind","given":"P.","non-dropping-particle":"","parse-names":false,"suffix":""},{"dropping-particle":"","family":"Schwarz","given":"P.","non-dropping-particle":"","parse-names":false,"suffix":""},{"dropping-particle":"","family":"Suetta","given":"C.","non-dropping-particle":"","parse-names":false,"suffix":""}],"container-title":"Experimental Gerontology","id":"ITEM-1","issued":{"date-parts":[["2020","9","1"]]},"page":"110974","publisher":"Elsevier Inc.","title":"Prevalence of muscle dysfunction concomitant with osteoporosis in a home-dwelling Danish population aged 65–93 years - The Copenhagen Sarcopenia Study","type":"article-journal","volume":"138"},"uris":["http://www.mendeley.com/documents/?uuid=6bd7b9bc-fcdc-4fc5-9daf-c3d5f049a06d"]}],"mendeley":{"formattedCitation":"[21]","plainTextFormattedCitation":"[21]","previouslyFormattedCitation":"[21]"},"properties":{"noteIndex":0},"schema":"https://github.com/citation-style-language/schema/raw/master/csl-citation.json"}</w:instrText>
      </w:r>
      <w:r w:rsidR="00510083">
        <w:fldChar w:fldCharType="separate"/>
      </w:r>
      <w:r w:rsidR="00C36856" w:rsidRPr="00C36856">
        <w:rPr>
          <w:noProof/>
        </w:rPr>
        <w:t>[21]</w:t>
      </w:r>
      <w:r w:rsidR="00510083">
        <w:fldChar w:fldCharType="end"/>
      </w:r>
      <w:r w:rsidR="007C42B3">
        <w:t xml:space="preserve">. </w:t>
      </w:r>
      <w:r w:rsidR="002619BD">
        <w:t>Older</w:t>
      </w:r>
      <w:r w:rsidR="00C34B37">
        <w:t xml:space="preserve"> males with a diagnosis of </w:t>
      </w:r>
      <w:r w:rsidR="00B0568C">
        <w:t xml:space="preserve">probable and definite </w:t>
      </w:r>
      <w:r w:rsidR="00C34B37">
        <w:t>sarcopenia</w:t>
      </w:r>
      <w:r w:rsidR="00B0568C">
        <w:t xml:space="preserve"> </w:t>
      </w:r>
      <w:r w:rsidR="00B775E0">
        <w:t>were</w:t>
      </w:r>
      <w:r w:rsidR="00B0568C">
        <w:t xml:space="preserve"> </w:t>
      </w:r>
      <w:r w:rsidR="00B775E0" w:rsidRPr="00B775E0">
        <w:t>8 times more likely to have a diagnosis</w:t>
      </w:r>
      <w:r w:rsidR="00B775E0">
        <w:t xml:space="preserve"> of osteopenia or osteoporosis</w:t>
      </w:r>
      <w:r w:rsidR="001472F9">
        <w:t xml:space="preserve"> </w:t>
      </w:r>
      <w:r w:rsidR="00B775E0">
        <w:fldChar w:fldCharType="begin" w:fldLock="1"/>
      </w:r>
      <w:r w:rsidR="008E6C84">
        <w:instrText>ADDIN CSL_CITATION {"citationItems":[{"id":"ITEM-1","itemData":{"DOI":"10.1590/2359-3997000000011","ISSN":"23594292","abstract":"Objective: Analyze the influence of sarcopenia in bone health of elderly men. Subjects and methods: This cross-sectional study evaluated 198 men aged over 60 years. Body composition was measured by dual energy X-ray absorptiometry. The BMD was measured at the femoral neck, total hip, lumbar spine and 33% radius. The diagnosis of abnormal BMD was defined for men who presented densitometric diagnosis of osteopenia or osteoporosis defined by T-score of femoral neck, total hip and lumbar spine.The pre-sarcopenia and sarcopenia were defined according to the European Working Group on Sarcopenia in Older People. Results: The group diagnosed with normal BMD, compared to the group of abnormal BMD, have significantly higher body weight, body mass index, grip strength, lean mass, fat mass, and relative appendicular skeletal muscle mass (RASM). However, after multiple linear regression analysis, we found that only the RASM, lean mass, and handgrip strength in the dominant hand influenced the variability of the BMD after adjustment for age and weight. Regression analyzes showed a positive association between greater appendicular lean mass and a smaller number of elderly patients with abnormal BMD diagnostic. The regression analyzes showed that elderly men diagnosed with pre-sarcopenia and sarcopenia had more abnormal BMD than non-sarcopenic elderly men. Conclusion: We concluded that pre-sarcopenia and sarcopenia were associated with abnormal BMD. The lean mass, compared to fat mass, has a greater positive influence on the BMD of elderly men.This result suggests the importance of the increase in lean mass for the bone health of elderly men.","author":[{"dropping-particle":"","family":"Pereira","given":"Fernando Borges","non-dropping-particle":"","parse-names":false,"suffix":""},{"dropping-particle":"","family":"Leite","given":"André Ferreira","non-dropping-particle":"","parse-names":false,"suffix":""},{"dropping-particle":"","family":"Paula","given":"Ana Patrícia","non-dropping-particle":"de","parse-names":false,"suffix":""}],"container-title":"Archives of Endocrinology and Metabolism","id":"ITEM-1","issue":"1","issued":{"date-parts":[["2015"]]},"page":"59-65","publisher":"Sociedade Brasileira de Endocrinologia e Metabologia","title":"Relationship between pre-sarcopenia, sarcopenia and bone mineral density in elderly men","type":"article-journal","volume":"59"},"uris":["http://www.mendeley.com/documents/?uuid=d5907212-1c32-45b4-8e18-0eab31702467"]}],"mendeley":{"formattedCitation":"[22]","plainTextFormattedCitation":"[22]","previouslyFormattedCitation":"[22]"},"properties":{"noteIndex":0},"schema":"https://github.com/citation-style-language/schema/raw/master/csl-citation.json"}</w:instrText>
      </w:r>
      <w:r w:rsidR="00B775E0">
        <w:fldChar w:fldCharType="separate"/>
      </w:r>
      <w:r w:rsidR="00C36856" w:rsidRPr="00C36856">
        <w:rPr>
          <w:noProof/>
        </w:rPr>
        <w:t>[22]</w:t>
      </w:r>
      <w:r w:rsidR="00B775E0">
        <w:fldChar w:fldCharType="end"/>
      </w:r>
      <w:r w:rsidR="00573E03">
        <w:t xml:space="preserve">, </w:t>
      </w:r>
      <w:r w:rsidR="005722B3">
        <w:t xml:space="preserve">where </w:t>
      </w:r>
      <w:r w:rsidR="00573E03">
        <w:t>i</w:t>
      </w:r>
      <w:r w:rsidR="000572E9">
        <w:t xml:space="preserve">n postmenopausal Brazilian women, sarcopenia and severe sarcopenia was </w:t>
      </w:r>
      <w:r w:rsidR="00C954E3">
        <w:t>shown to impose a</w:t>
      </w:r>
      <w:r w:rsidR="00FB7862">
        <w:t xml:space="preserve"> higher risk for osteoporosis</w:t>
      </w:r>
      <w:r w:rsidR="001458FE">
        <w:t xml:space="preserve"> adding to the growing evidence that sarcopenia and osteoporosis </w:t>
      </w:r>
      <w:r w:rsidR="00EC328D">
        <w:t>frequently co-occur</w:t>
      </w:r>
      <w:r w:rsidR="00EC328D">
        <w:fldChar w:fldCharType="begin" w:fldLock="1"/>
      </w:r>
      <w:r w:rsidR="008E6C84">
        <w:instrText>ADDIN CSL_CITATION {"citationItems":[{"id":"ITEM-1","itemData":{"DOI":"10.1007/s11657-019-0591-4","ISSN":"18623514","PMID":"30868338","abstract":"Summary: A better understanding of the relationship between osteoporosis and sarcopenia may help to develop effective preventive and therapeutic strategies. In the present study, the association between different stages of sarcopenia, BMD, and osteoporosis was examined. The salient findings indicate that a dose–response relationship exists between sarcopenia stages and bone-related phenotypes. Purpose: To assess the association between sarcopenia stages, bone mineral density (BMD), and the prevalence of osteoporosis in older women. Methods: Two hundred thirty-four women (68.3 ± 6.3 years) underwent body composition and BMD measurements using dual-energy X-ray absorptiometry. Quadriceps isokinetic torque was evaluated, and the timed up-and-go test was conducted as a measure of function. Sarcopenia stages were classified according to European Working Group on Sarcopenia in Older People (EWGSOP): nonsarcopenia, presarcopenia, sarcopenia, and severe sarcopenia. Osteoporosis was defined as BMD value (hip or spine) 2.5 standard deviations below a young-adult reference population. Between-group differences were examined using ANOVA for continuous variables and chi-squared for categorical variables. Logistic regression was performed to evaluate the association between sarcopenia stages and osteoporosis. Results: Rates of osteoporosis were 15.8%, 19.2%, 35.3%, and 46.2% for nonsarcopenia, presarcopenia, sarcopenia, and severe sarcopenia, respectively (P = 0.002). Whole-body and femoral neck BMD values were significantly lower among all sarcopenia stages when compared to nonsarcopenia (all P values &lt; 0.05, η2p 0.113 to 0.109). The severe sarcopenia group also showed significantly lower lumbar spine BMD values and T-scores (both P values &lt; 0.05; η2p 0.035 and 0.037, respectively). When clustered, sarcopenia and severe sarcopenia exhibited lower BMD values for all sites (all P values &lt; 0.01), and presented a significantly higher risk for osteoporosis (odds ratio 3.445; 95% CI 1.521–7.844). Conclusion: The observed results provide support for the concept that a dose–response relationship exists between sarcopenia stages, BMD, and the presence of osteoporosis. These findings strengthen the clinical significance of the EWGSOP sarcopenia definition and indicate that severe sarcopenia should be viewed with attention by healthcare professionals.","author":[{"dropping-particle":"","family":"Lima","given":"Ricardo M.","non-dropping-particle":"","parse-names":false,"suffix":""},{"dropping-particle":"","family":"Oliveira","given":"Ricardo Jacó","non-dropping-particle":"de","parse-names":false,"suffix":""},{"dropping-particle":"","family":"Raposo","given":"Rafael","non-dropping-particle":"","parse-names":false,"suffix":""},{"dropping-particle":"","family":"Neri","given":"Silvia Gonçalves Ricci","non-dropping-particle":"","parse-names":false,"suffix":""},{"dropping-particle":"","family":"Gadelha","given":"André Bonadias","non-dropping-particle":"","parse-names":false,"suffix":""}],"container-title":"Archives of Osteoporosis","id":"ITEM-1","issue":"1","issued":{"date-parts":[["2019","12","1"]]},"publisher":"Springer London","title":"Stages of sarcopenia, bone mineral density, and the prevalence of osteoporosis in older women","type":"article-journal","volume":"14"},"uris":["http://www.mendeley.com/documents/?uuid=3ffe6998-75bd-3d72-9cc1-ea7890fba5ac"]}],"mendeley":{"formattedCitation":"[23]","plainTextFormattedCitation":"[23]","previouslyFormattedCitation":"[23]"},"properties":{"noteIndex":0},"schema":"https://github.com/citation-style-language/schema/raw/master/csl-citation.json"}</w:instrText>
      </w:r>
      <w:r w:rsidR="00EC328D">
        <w:fldChar w:fldCharType="separate"/>
      </w:r>
      <w:r w:rsidR="00C36856" w:rsidRPr="00C36856">
        <w:rPr>
          <w:noProof/>
        </w:rPr>
        <w:t>[23]</w:t>
      </w:r>
      <w:r w:rsidR="00EC328D">
        <w:fldChar w:fldCharType="end"/>
      </w:r>
      <w:r w:rsidR="00EC328D">
        <w:t>.</w:t>
      </w:r>
      <w:r w:rsidR="005338F3">
        <w:t xml:space="preserve"> </w:t>
      </w:r>
    </w:p>
    <w:p w14:paraId="5CBA4A9F" w14:textId="5C476B41" w:rsidR="00C541CC" w:rsidRPr="000011C4" w:rsidRDefault="00C541CC" w:rsidP="00C541CC">
      <w:r>
        <w:t xml:space="preserve">However, </w:t>
      </w:r>
      <w:r w:rsidRPr="000011C4">
        <w:t xml:space="preserve">studies that have considered </w:t>
      </w:r>
      <w:r>
        <w:t>frailty as an outcome</w:t>
      </w:r>
      <w:r w:rsidRPr="000011C4">
        <w:t xml:space="preserve"> suggest the risks of serious morbidity are notably higher when osteoporosis and sarcopenia co-exist</w:t>
      </w:r>
      <w:r w:rsidR="000D705C">
        <w:t xml:space="preserve"> </w:t>
      </w:r>
      <w:r w:rsidR="000D705C">
        <w:fldChar w:fldCharType="begin" w:fldLock="1"/>
      </w:r>
      <w:r w:rsidR="008E6C84">
        <w:instrText xml:space="preserve">ADDIN CSL_CITATION {"citationItems":[{"id":"ITEM-1","itemData":{"DOI":"10.1155/2015/482940","abstract":"The aim was to apply AWGS criteria to estimate the prevalence of sarco-osteoporosis and investigate its relationship with frailty, in a sample of 316 community-dwelling Chinese older people. Regression analysis was performed using frailty as the dependent variable. The results showed that the prevalence rate of sarco-osteoporosis was 10.4% in older men and 15.1% in older women. </w:instrText>
      </w:r>
      <w:r w:rsidR="008E6C84">
        <w:rPr>
          <w:rFonts w:ascii="Cambria Math" w:hAnsi="Cambria Math" w:cs="Cambria Math"/>
        </w:rPr>
        <w:instrText>≧</w:instrText>
      </w:r>
      <w:r w:rsidR="008E6C84">
        <w:instrText xml:space="preserve">80 years old (OR 4.8; 95% CI, 3.05-10.76; </w:instrText>
      </w:r>
      <w:r w:rsidR="008E6C84">
        <w:rPr>
          <w:rFonts w:cs="Times New Roman"/>
        </w:rPr>
        <w:instrText>í</w:instrText>
      </w:r>
      <w:r w:rsidR="008E6C84">
        <w:instrText xml:space="preserve"> </w:instrText>
      </w:r>
      <w:r w:rsidR="008E6C84">
        <w:rPr>
          <w:rFonts w:cs="Times New Roman"/>
        </w:rPr>
        <w:instrText>µí±</w:instrText>
      </w:r>
      <w:r w:rsidR="008E6C84">
        <w:instrText xml:space="preserve"> = 0.027), women (OR 2.6; 95% CI, 1.18-2.76; </w:instrText>
      </w:r>
      <w:r w:rsidR="008E6C84">
        <w:rPr>
          <w:rFonts w:cs="Times New Roman"/>
        </w:rPr>
        <w:instrText>í</w:instrText>
      </w:r>
      <w:r w:rsidR="008E6C84">
        <w:instrText xml:space="preserve"> </w:instrText>
      </w:r>
      <w:r w:rsidR="008E6C84">
        <w:rPr>
          <w:rFonts w:cs="Times New Roman"/>
        </w:rPr>
        <w:instrText>µí±</w:instrText>
      </w:r>
      <w:r w:rsidR="008E6C84">
        <w:instrText xml:space="preserve"> = 0.036), and higher level of comorbidity (OR 3.71; 95% CI, 1.61-10.43; </w:instrText>
      </w:r>
      <w:r w:rsidR="008E6C84">
        <w:rPr>
          <w:rFonts w:cs="Times New Roman"/>
        </w:rPr>
        <w:instrText>í</w:instrText>
      </w:r>
      <w:r w:rsidR="008E6C84">
        <w:instrText xml:space="preserve"> </w:instrText>
      </w:r>
      <w:r w:rsidR="008E6C84">
        <w:rPr>
          <w:rFonts w:cs="Times New Roman"/>
        </w:rPr>
        <w:instrText>µí±</w:instrText>
      </w:r>
      <w:r w:rsidR="008E6C84">
        <w:instrText xml:space="preserve"> = 0.021) were independently associated with the likelihood of being sarco-osteoporosis. In the frail group, sarco-osteoporosis occurred in 26.3% of men, in 38.5% of women, and in lower proportion in the prefrail (13.6% of men; 16.2% of women) and nonfrail group (1.6% of men; 1.9% of women) (í µí±</w:instrText>
      </w:r>
      <w:r w:rsidR="008E6C84">
        <w:rPr>
          <w:rFonts w:cs="Times New Roman"/>
        </w:rPr>
        <w:instrText></w:instrText>
      </w:r>
      <w:r w:rsidR="008E6C84">
        <w:instrText xml:space="preserve"> &lt; 0.05, resp.). Furthermore, the likelihood of being frail/prefrail was substantially higher in the presence of sarco-osteoporosis (OR 4.16; 95% CI, 2.17-17.65; í µí±</w:instrText>
      </w:r>
      <w:r w:rsidR="008E6C84">
        <w:rPr>
          <w:rFonts w:cs="Times New Roman"/>
        </w:rPr>
        <w:instrText></w:instrText>
      </w:r>
      <w:r w:rsidR="008E6C84">
        <w:instrText xml:space="preserve"> = 0.019 in men; and OR 4.67; 95% CI, 2.42-18.86; </w:instrText>
      </w:r>
      <w:r w:rsidR="008E6C84">
        <w:rPr>
          <w:rFonts w:cs="Times New Roman"/>
        </w:rPr>
        <w:instrText>í</w:instrText>
      </w:r>
      <w:r w:rsidR="008E6C84">
        <w:instrText xml:space="preserve"> </w:instrText>
      </w:r>
      <w:r w:rsidR="008E6C84">
        <w:rPr>
          <w:rFonts w:cs="Times New Roman"/>
        </w:rPr>
        <w:instrText>µí±</w:instrText>
      </w:r>
      <w:r w:rsidR="008E6C84">
        <w:instrText xml:space="preserve"> = 0.007 in women). The results indicate that patients with sarco-osteoporosis are more likely to be </w:instrText>
      </w:r>
      <w:r w:rsidR="008E6C84">
        <w:rPr>
          <w:rFonts w:ascii="Cambria Math" w:hAnsi="Cambria Math" w:cs="Cambria Math"/>
        </w:rPr>
        <w:instrText>≧</w:instrText>
      </w:r>
      <w:r w:rsidR="008E6C84">
        <w:instrText>80 yrs with higher burden of comorbidities and to have frailty/prefrailty, especially for women.","author":[{"dropping-particle":"","family":"Wang","given":"Yan-Jiao","non-dropping-particle":"","parse-names":false,"suffix":""},{"dropping-particle":"","family":"Wang","given":"Yi","non-dropping-particle":"","parse-names":false,"suffix":""},{"dropping-particle":"","family":"Zhan","given":"Jun-Kun","non-dropping-particle":"","parse-names":false,"suffix":""},{"dropping-particle":"","family":"Tang","given":"Zhi-Yong","non-dropping-particle":"","parse-names":false,"suffix":""},{"dropping-particle":"","family":"He","given":"Jie-Yu","non-dropping-particle":"","parse-names":false,"suffix":""},{"dropping-particle":"","family":"Tan","given":"Pan","non-dropping-particle":"","parse-names":false,"suffix":""},{"dropping-particle":"","family":"Deng","given":"Hui-Qian","non-dropping-particle":"","parse-names":false,"suffix":""},{"dropping-particle":"","family":"Huang","given":"Wu","non-dropping-particle":"","parse-names":false,"suffix":""},{"dropping-particle":"","family":"Liu","given":"You-Shuo","non-dropping-particle":"","parse-names":false,"suffix":""}],"id":"ITEM-1","issued":{"date-parts":[["2015"]]},"title":"Sarco-Osteoporosis: Prevalence and Association with Frailty in Chinese Community-Dwelling Older Adults","type":"article-journal"},"uris":["http://www.mendeley.com/documents/?uuid=d79930bb-58a6-43c7-be79-024c73da5805"]},{"id":"ITEM-2","itemData":{"DOI":"10.1371/journal.pone.0237454","ISSN":"1932-6203","abstract":"There is growing interest in “osteosarcopenia” as the coexistence of osteoporosis and sarcopenia exacerbates negative outcomes. However, limited information is available regarding the risk factors of osteosarcopenia development in patients with osteoporosis. Therefore, we retrospectively reviewed 276 consecutive patients with postmenopausal osteoporosis who regularly visited Showa University Hospital. Patients were eligible for the study if they were ≥65 years of age and underwent dual-energy X-ray absorptiometry, blood sampling, and physical performance assessment. Patients were divided into the osteosarcopenia and osteoporosis alone groups according to the diagnostic criteria of the Asian Working Group for Sarcopenia. Of the 276 patients with osteoporosis, 54 patients (19.6%) had osteosarcopenia. Patients in the osteosarcopenia group had a greater risk of frailty than did those in the osteoporosis alone group (odds ratio 2.33; 95% confidence interval, 1.13-4.80, P = 0.028). Low body mass index seemed to be the strongest factor related to the development of osteosarcopenia, and none of the patients in the osteosarcopenia group were obese (BMI ≥27.5 kg/m2). Multiple logistic analyses revealed that patients aged 65-74 years who had comorbidities such as kidney dysfunction and high levels of HbA1c were at risk of developing osteosarcopenia. Thus, we strongly recommend the assessment of the key components of the diagnosis of osteosarcopenia in an osteoporosis clinic for patients with low body mass index. Furthermore, appropriate assessments, including comorbidities, will help in identifying patients at greater risk of developing osteosarcopenia.","author":[{"dropping-particle":"","family":"Okamura","given":"Hiroki","non-dropping-particle":"","parse-names":false,"suffix":""},{"dropping-particle":"","family":"Ishikawa","given":"Koji","non-dropping-particle":"","parse-names":false,"suffix":""},{"dropping-particle":"","family":"Kudo","given":"Yoshifumi","non-dropping-particle":"","parse-names":false,"suffix":""},{"dropping-particle":"","family":"Matsuoka","given":"Akira","non-dropping-particle":"","parse-names":false,"suffix":""},{"dropping-particle":"","family":"Maruyama","given":"Hiroshi","non-dropping-particle":"","parse-names":false,"suffix":""},{"dropping-particle":"","family":"Emori","given":"Haruka","non-dropping-particle":"","parse-names":false,"suffix":""},{"dropping-particle":"","family":"Yamamura","given":"Ryo","non-dropping-particle":"","parse-names":false,"suffix":""},{"dropping-particle":"","family":"Hayakawa","given":"Chikara","non-dropping-particle":"","parse-names":false,"suffix":""},{"dropping-particle":"","family":"Tani","given":"Soji","non-dropping-particle":"","parse-names":false,"suffix":""},{"dropping-particle":"","family":"Tsuchiya","given":"Koki","non-dropping-particle":"","parse-names":false,"suffix":""},{"dropping-particle":"","family":"Shirahata","given":"Toshiyuki","non-dropping-particle":"","parse-names":false,"suffix":""},{"dropping-particle":"","family":"Toyone","given":"Tomoaki","non-dropping-particle":"","parse-names":false,"suffix":""},{"dropping-particle":"","family":"Nagai","given":"Takashi","non-dropping-particle":"","parse-names":false,"suffix":""},{"dropping-particle":"","family":"Inagaki","given":"Katsunori","non-dropping-particle":"","parse-names":false,"suffix":""}],"container-title":"PLOS ONE","editor":[{"dropping-particle":"","family":"Mogi","given":"Masaki","non-dropping-particle":"","parse-names":false,"suffix":""}],"id":"ITEM-2","issue":"8","issued":{"date-parts":[["2020","8","7"]]},"page":"e0237454","publisher":"Public Library of Science","title":"Risk factors predicting osteosarcopenia in postmenopausal women with osteoporosis: A retrospective study","type":"article-journal","volume":"15"},"uris":["http://www.mendeley.com/documents/?uuid=d0f1001c-cf8f-30e9-a6c5-6b3c5fb0b133"]},{"id":"ITEM-3","itemData":{"DOI":"10.3390/jcm9082381","ISSN":"2077-0383","abstract":"&lt;p&gt;Osteosarcopenia and frailty have a negative health impact on an aging society. This cross-sectional study aimed to investigate the clinical characteristics and relationship of osteosarcopenia and frailty in 291 patients with chronic liver disease (CLD), who comprised 137 males and 154 females, with a median age of 70.0 years. Sarcopenia was diagnosed according to the Japan Society of Hepatology criteria. Bone mineral density was measured using dual-energy X-ray absorptiometry. Frailty was defined by five parameters (exhaustion, slowness, weakness, low physical activity, and weight loss). Among the 291 patients, 49 (16.8%) and 81 (27.8%) had osteosarcopenia and frailty, respectively. Frailty and vertebral fracture were more frequently noted in patients with osteosarcopenia than in those without osteosarcopenia (79.6% vs. 17.4% and 59.2% vs. 20.2%, respectively; p &amp;lt; 0.001 for both). Meanwhile, osteosarcopenia and vertebral fracture were more frequently observed in patients with frailty than in those without frailty (48.1% vs. 4.8% and 49.4% vs. 18.1%, respectively; p &amp;lt; 0.001 for both). On multivariate analysis, frailty was an independent factor associated with osteosarcopenia (odds ratio (OR), 9.837; p &amp;lt; 0.001), and vice versa (OR, 10.069; p &amp;lt; 0.001). Osteosarcopenia and frailty were prevalent, closely interrelated, and increased the risk of vertebral fracture in patients with CLD.&lt;/p&gt;","author":[{"dropping-particle":"","family":"Saeki","given":"Chisato","non-dropping-particle":"","parse-names":false,"suffix":""},{"dropping-particle":"","family":"Kanai","given":"Tomoya","non-dropping-particle":"","parse-names":false,"suffix":""},{"dropping-particle":"","family":"Nakano","given":"Masanori","non-dropping-particle":"","parse-names":false,"suffix":""},{"dropping-particle":"","family":"Oikawa","given":"Tsunekazu","non-dropping-particle":"","parse-names":false,"suffix":""},{"dropping-particle":"","family":"Torisu","given":"Yuichi","non-dropping-particle":"","parse-names":false,"suffix":""},{"dropping-particle":"","family":"Abo","given":"Masahiro","non-dropping-particle":"","parse-names":false,"suffix":""},{"dropping-particle":"","family":"Saruta","given":"Masayuki","non-dropping-particle":"","parse-names":false,"suffix":""},{"dropping-particle":"","family":"Tsubota","given":"Akihito","non-dropping-particle":"","parse-names":false,"suffix":""}],"container-title":"Journal of Clinical Medicine","id":"ITEM-3","issue":"8","issued":{"date-parts":[["2020","7","26"]]},"page":"2381","publisher":"MDPI AG","title":"Relationship between Osteosarcopenia and Frailty in Patients with Chronic Liver Disease","type":"article-journal","volume":"9"},"uris":["http://www.mendeley.com/documents/?uuid=7cb708ff-c641-3db2-85ca-30f815b7e1ae"]}],"mendeley":{"formattedCitation":"[24–26]","plainTextFormattedCitation":"[24–26]","previouslyFormattedCitation":"[24–26]"},"properties":{"noteIndex":0},"schema":"https://github.com/citation-style-language/schema/raw/master/csl-citation.json"}</w:instrText>
      </w:r>
      <w:r w:rsidR="000D705C">
        <w:fldChar w:fldCharType="separate"/>
      </w:r>
      <w:r w:rsidR="00C36856" w:rsidRPr="00C36856">
        <w:rPr>
          <w:noProof/>
        </w:rPr>
        <w:t>[24–26]</w:t>
      </w:r>
      <w:r w:rsidR="000D705C">
        <w:fldChar w:fldCharType="end"/>
      </w:r>
      <w:r w:rsidRPr="000011C4">
        <w:t>.</w:t>
      </w:r>
      <w:r w:rsidR="00B91073">
        <w:t xml:space="preserve"> </w:t>
      </w:r>
      <w:r w:rsidR="007239C5">
        <w:t>Individuals with o</w:t>
      </w:r>
      <w:r w:rsidR="00B91073">
        <w:t xml:space="preserve">steosarcopenia </w:t>
      </w:r>
      <w:r w:rsidR="00F52603">
        <w:t>have</w:t>
      </w:r>
      <w:r w:rsidR="009B5E18">
        <w:t xml:space="preserve"> also </w:t>
      </w:r>
      <w:r w:rsidR="00FA5787">
        <w:t>increasingly</w:t>
      </w:r>
      <w:r w:rsidR="00AC13D7">
        <w:t xml:space="preserve"> higher risk </w:t>
      </w:r>
      <w:r w:rsidR="00FA5787">
        <w:t xml:space="preserve">of </w:t>
      </w:r>
      <w:r w:rsidR="00AC13D7">
        <w:t>mortality compared to those with sarcopenia or osteoporosis alone</w:t>
      </w:r>
      <w:r w:rsidR="00A0128B">
        <w:t xml:space="preserve"> </w:t>
      </w:r>
      <w:r w:rsidR="00B676DB">
        <w:fldChar w:fldCharType="begin" w:fldLock="1"/>
      </w:r>
      <w:r w:rsidR="008E6C84">
        <w:instrText>ADDIN CSL_CITATION {"citationItems":[{"id":"ITEM-1","itemData":{"abstract":"Objectives: The objective of this study was to describe the prevalence of osteosarcopenia and its association with falls, fractures, and mortality in community-dwelling older adults. Design: Follow-up of ALEXANDROS cohorts designed to study disability associated with obesity in older adults. Setting and participants: Community-dwelling people aged 60 years and older living in Chile. Measures: At baseline, 1119 of 2372 participants had a dual-energy X-ray absorptiometry scan and the measurements for the diagnosis of sarcopenia. World Health Organization standards for bone mineral density were used to classify them as normal, osteopenia, and osteoporosis. Sarcopenia was identified using the algorithm from the European Working Group on Sarcopenia in Older People 1, validated for the Chilean population. Osteosarcopenia was defined as having sarcopenia plus osteoporosis or osteopenia. Results: The sample of 1119 participants (68.5% female) had a mean age of 72 years. At baseline, osteoporosis was identified in 23.2%, osteopenia in 49.8%, sarcopenia in 19.5%, and osteosarcopenia in 16.4% of the sample. The prevalence of osteosarcopenia increases with age, reaching 33.7% for those older than 80 years. Sarcopenia was found in 34.4% of osteoporotic people and osteoporosis in 40.8% of those with sarcopenia. After 5640 person-years of follow-up, 86 people died. The mortality was significantly higher for the group with osteosarcopenia (15.9%) compared with those without the condition (6.1%). After an adjusted Cox Regression analysis, the hazard ratio for death in people with osteosarcopenia was 2.48. Falls, fractures, and functional impairment were significantly more frequent in osteosarcopenic patients. Conclusions and implications: Osteosarcopenia is a common condition among older adults and is associated with an increased risk of falls, fractures, functional impairment, and mortality. Considering the high proportion of sarcopenia among osteoporotic patients and vice versa, screening for the second condition when the first is suspected should be advised.","author":[{"dropping-particle":"","family":"Felipe Salech, Carlos Marquez, Lydia Lera, Bárbara Angel, Rodrigo Saguez","given":"Cecilia Albala","non-dropping-particle":"","parse-names":false,"suffix":""}],"container-title":"J Am Med Dir Assoc","id":"ITEM-1","issue":"4","issued":{"date-parts":[["2021"]]},"page":"853-858","title":"Osteosarcopenia Predicts Falls, Fractures, and Mortality in Chilean Community-Dwelling Older Adults","type":"article-journal","volume":"22"},"uris":["http://www.mendeley.com/documents/?uuid=e030b249-1ddd-455f-9cc3-13fd8a87c681"]}],"mendeley":{"formattedCitation":"[27]","plainTextFormattedCitation":"[27]","previouslyFormattedCitation":"[27]"},"properties":{"noteIndex":0},"schema":"https://github.com/citation-style-language/schema/raw/master/csl-citation.json"}</w:instrText>
      </w:r>
      <w:r w:rsidR="00B676DB">
        <w:fldChar w:fldCharType="separate"/>
      </w:r>
      <w:r w:rsidR="00C36856" w:rsidRPr="00C36856">
        <w:rPr>
          <w:noProof/>
        </w:rPr>
        <w:t>[27]</w:t>
      </w:r>
      <w:r w:rsidR="00B676DB">
        <w:fldChar w:fldCharType="end"/>
      </w:r>
      <w:r w:rsidR="00935F06">
        <w:t>.</w:t>
      </w:r>
    </w:p>
    <w:p w14:paraId="70F268CA" w14:textId="052C8D1A" w:rsidR="00482337" w:rsidRPr="000011C4" w:rsidRDefault="009C4BC2" w:rsidP="00482337">
      <w:r w:rsidRPr="000011C4">
        <w:t>Given that ageing is commonly associated with sarcopenia (SP) and osteoporosis (OP), the aim</w:t>
      </w:r>
      <w:r w:rsidR="00161A10">
        <w:t>s</w:t>
      </w:r>
      <w:r w:rsidRPr="000011C4">
        <w:t xml:space="preserve"> of this study w</w:t>
      </w:r>
      <w:r w:rsidR="007D6D52">
        <w:t>ere</w:t>
      </w:r>
      <w:r w:rsidRPr="000011C4">
        <w:t xml:space="preserve"> </w:t>
      </w:r>
      <w:r w:rsidR="002619BD">
        <w:t xml:space="preserve">1. </w:t>
      </w:r>
      <w:r w:rsidRPr="000011C4">
        <w:t>to explore associations between SP and OP, individually or in combination, with frailty in community dwelling older adults participating in the Hertfordshire Cohort Study (HCS)</w:t>
      </w:r>
      <w:r w:rsidR="00DC512F">
        <w:t>,</w:t>
      </w:r>
      <w:r w:rsidRPr="000011C4">
        <w:t xml:space="preserve"> </w:t>
      </w:r>
      <w:r w:rsidR="00916033">
        <w:t xml:space="preserve">and </w:t>
      </w:r>
      <w:r w:rsidR="002619BD">
        <w:t xml:space="preserve">2. </w:t>
      </w:r>
      <w:r w:rsidRPr="000011C4">
        <w:t xml:space="preserve">to </w:t>
      </w:r>
      <w:r w:rsidR="00D90F41">
        <w:t>determine</w:t>
      </w:r>
      <w:r w:rsidRPr="000011C4">
        <w:t xml:space="preserve"> if coexistence of both SP and OP </w:t>
      </w:r>
      <w:r w:rsidR="00B15087">
        <w:t xml:space="preserve">(osteosarcopenia) </w:t>
      </w:r>
      <w:r w:rsidRPr="000011C4">
        <w:t>carries a higher likelihood of being frail</w:t>
      </w:r>
      <w:r w:rsidR="00916033">
        <w:t xml:space="preserve">. </w:t>
      </w:r>
      <w:r w:rsidR="00BE2E2A" w:rsidRPr="000011C4">
        <w:t>Given the importance of multimorbidity</w:t>
      </w:r>
      <w:r w:rsidR="00BE2E2A">
        <w:t xml:space="preserve"> on health outcomes </w:t>
      </w:r>
      <w:r w:rsidR="00916033">
        <w:fldChar w:fldCharType="begin" w:fldLock="1"/>
      </w:r>
      <w:r w:rsidR="008E6C84">
        <w:instrText>ADDIN CSL_CITATION {"citationItems":[{"id":"ITEM-1","itemData":{"DOI":"10.3390/geriatrics5040085","ISSN":"23083417","abstract":"Multi-morbidity and polypharmacy are common in older people and pose a challenge for health and social care systems, especially in the context of global population ageing. They are complex and interrelated concepts in the care of older people that require early detection and patient-centred shared decision making underpinned by multi-disciplinary team-led comprehensive geriatric assessment (CGA) across all health and social care settings. Personalised care plans need to remain responsive and adaptable to the needs and wishes of the patient, enabling the individual to maintain their independence. In this review, we aim to give an up-to-date account of the recognition and management of multi-morbidity and polypharmacy in the older person.","author":[{"dropping-particle":"","family":"Aggarwal","given":"Pritti","non-dropping-particle":"","parse-names":false,"suffix":""},{"dropping-particle":"","family":"Woolford","given":"Stephen J.","non-dropping-particle":"","parse-names":false,"suffix":""},{"dropping-particle":"","family":"Patel","given":"Harnish P.","non-dropping-particle":"","parse-names":false,"suffix":""}],"container-title":"Geriatrics (Switzerland)","id":"ITEM-1","issue":"4","issued":{"date-parts":[["2020","12","1"]]},"page":"1-11","publisher":"MDPI AG","title":"Multi-morbidity and polypharmacy in older people: Challenges and opportunities for clinical practice","type":"article","volume":"5"},"uris":["http://www.mendeley.com/documents/?uuid=d75e781f-46f0-30e6-95ac-d76c7244c3b9"]}],"mendeley":{"formattedCitation":"[28]","plainTextFormattedCitation":"[28]","previouslyFormattedCitation":"[28]"},"properties":{"noteIndex":0},"schema":"https://github.com/citation-style-language/schema/raw/master/csl-citation.json"}</w:instrText>
      </w:r>
      <w:r w:rsidR="00916033">
        <w:fldChar w:fldCharType="separate"/>
      </w:r>
      <w:r w:rsidR="00C36856" w:rsidRPr="00C36856">
        <w:rPr>
          <w:noProof/>
        </w:rPr>
        <w:t>[28]</w:t>
      </w:r>
      <w:r w:rsidR="00916033">
        <w:fldChar w:fldCharType="end"/>
      </w:r>
      <w:r w:rsidR="00BE2E2A" w:rsidRPr="000011C4">
        <w:t>,</w:t>
      </w:r>
      <w:r w:rsidR="00E25D14">
        <w:t xml:space="preserve"> and the association that previously has been described between osteosarcopenia and </w:t>
      </w:r>
      <w:r w:rsidR="00973AE6">
        <w:t>chronic diseases</w:t>
      </w:r>
      <w:r w:rsidR="005C7BE8">
        <w:fldChar w:fldCharType="begin" w:fldLock="1"/>
      </w:r>
      <w:r w:rsidR="008E6C84">
        <w:instrText>ADDIN CSL_CITATION {"citationItems":[{"id":"ITEM-1","itemData":{"DOI":"10.3390/nu13020291","ISBN":"8156162331","ISSN":"20726643","PMID":"33498519","abstract":"Osteopenia/osteoporosis and sarcopenia are common geriatric diseases among older adults and harm activities of daily living (ADL) and quality of life (QOL). Osteosarcopenia is a unique syndrome that is a concomitant of both osteopenia/osteoporosis and sarcopenia. This review aimed to summarize the related factors and clinical outcomes of osteosarcopenia to facilitate under-standing, evaluation, prevention, treatment, and further research on osteosarcopenia. We searched the literature to include meta-analyses, reviews, and clinical trials. The prevalence of osteosarcope-nia among community-dwelling older adults is significantly higher in female (up to 64.3%) compared to male (8–11%). Osteosarcopenia is a risk factor for death, fractures, and falls based on longitudinal studies. However, the associations between osteosarcopenia and many other factors have been derived based on cross-sectional studies, so the causal relationship is not clear. Few studies of osteosarcopenia in hospitals have been conducted. Osteosarcopenia is a new concept and has not yet been fully researched its relationship to clinical outcomes. Longitudinal studies and high-quality interventional studies are warranted in the future.","author":[{"dropping-particle":"","family":"Inoue","given":"Tatsuro","non-dropping-particle":"","parse-names":false,"suffix":""},{"dropping-particle":"","family":"Maeda","given":"Keisuke","non-dropping-particle":"","parse-names":false,"suffix":""},{"dropping-particle":"","family":"Nagano","given":"Ayano","non-dropping-particle":"","parse-names":false,"suffix":""},{"dropping-particle":"","family":"Shimizu","given":"Akio","non-dropping-particle":"","parse-names":false,"suffix":""},{"dropping-particle":"","family":"Ueshima","given":"Junko","non-dropping-particle":"","parse-names":false,"suffix":""},{"dropping-particle":"","family":"Murotani","given":"Kenta","non-dropping-particle":"","parse-names":false,"suffix":""},{"dropping-particle":"","family":"Sato","given":"Keisuke","non-dropping-particle":"","parse-names":false,"suffix":""},{"dropping-particle":"","family":"Hotta","given":"Kazuki","non-dropping-particle":"","parse-names":false,"suffix":""},{"dropping-particle":"","family":"Morishita","given":"Shinichiro","non-dropping-particle":"","parse-names":false,"suffix":""},{"dropping-particle":"","family":"Tsubaki","given":"Atsuhiro","non-dropping-particle":"","parse-names":false,"suffix":""}],"container-title":"Nutrients","id":"ITEM-1","issue":"2","issued":{"date-parts":[["2021"]]},"page":"1-13","title":"Related factors and clinical outcomes of osteosarcopenia: A narrative review","type":"article-journal","volume":"13"},"uris":["http://www.mendeley.com/documents/?uuid=4e0037b1-63e5-4850-9e95-e2a7e51545a4"]}],"mendeley":{"formattedCitation":"[29]","plainTextFormattedCitation":"[29]","previouslyFormattedCitation":"[29]"},"properties":{"noteIndex":0},"schema":"https://github.com/citation-style-language/schema/raw/master/csl-citation.json"}</w:instrText>
      </w:r>
      <w:r w:rsidR="005C7BE8">
        <w:fldChar w:fldCharType="separate"/>
      </w:r>
      <w:r w:rsidR="00C36856" w:rsidRPr="00C36856">
        <w:rPr>
          <w:noProof/>
        </w:rPr>
        <w:t>[29]</w:t>
      </w:r>
      <w:r w:rsidR="005C7BE8">
        <w:fldChar w:fldCharType="end"/>
      </w:r>
      <w:r w:rsidR="00BE2E2A" w:rsidRPr="000011C4">
        <w:t xml:space="preserve"> we also considered </w:t>
      </w:r>
      <w:r w:rsidR="002619BD">
        <w:t xml:space="preserve">3. </w:t>
      </w:r>
      <w:r w:rsidR="00BE2E2A" w:rsidRPr="000011C4">
        <w:t xml:space="preserve">whether the coexistence of SP and OP was associated with a significantly heavier health burden, as assessed by </w:t>
      </w:r>
      <w:r w:rsidR="00BE2E2A">
        <w:t xml:space="preserve">the number of concurrent </w:t>
      </w:r>
      <w:r w:rsidR="002619BD">
        <w:t>long-term</w:t>
      </w:r>
      <w:r w:rsidR="00BE2E2A">
        <w:t xml:space="preserve"> conditions.</w:t>
      </w:r>
      <w:r w:rsidR="00BE3D9C">
        <w:t xml:space="preserve"> </w:t>
      </w:r>
      <w:r w:rsidR="00482337" w:rsidRPr="000011C4">
        <w:t xml:space="preserve">The wealth of phenotypic information collected in the </w:t>
      </w:r>
      <w:r w:rsidR="00B97DF2">
        <w:t>HCS</w:t>
      </w:r>
      <w:r w:rsidR="00482337" w:rsidRPr="000011C4">
        <w:t xml:space="preserve">, a cohort study of </w:t>
      </w:r>
      <w:r w:rsidR="00B97DF2" w:rsidRPr="000011C4">
        <w:t xml:space="preserve">community-dwelling </w:t>
      </w:r>
      <w:r w:rsidR="00482337" w:rsidRPr="000011C4">
        <w:t>older adults</w:t>
      </w:r>
      <w:r w:rsidR="00665596">
        <w:t xml:space="preserve"> has</w:t>
      </w:r>
      <w:r w:rsidR="00482337" w:rsidRPr="000011C4">
        <w:t xml:space="preserve"> allowed us to describe the prevalence and pre-frailty in this group and to consider whether </w:t>
      </w:r>
      <w:r w:rsidR="00916033">
        <w:t xml:space="preserve">the </w:t>
      </w:r>
      <w:r w:rsidR="00482337" w:rsidRPr="000011C4">
        <w:t xml:space="preserve">coexistence of SP and OP in individuals interacted to amplitude risk of frailty. This is of </w:t>
      </w:r>
      <w:r w:rsidR="00BB1BC1">
        <w:t xml:space="preserve">high </w:t>
      </w:r>
      <w:r w:rsidR="00482337" w:rsidRPr="000011C4">
        <w:t xml:space="preserve">clinical relevance as </w:t>
      </w:r>
      <w:r w:rsidR="00916033">
        <w:t xml:space="preserve">the </w:t>
      </w:r>
      <w:r w:rsidR="00BB1BC1">
        <w:t>i</w:t>
      </w:r>
      <w:r w:rsidR="00482337" w:rsidRPr="000011C4">
        <w:t xml:space="preserve">dentification of </w:t>
      </w:r>
      <w:r w:rsidR="00BB1BC1">
        <w:t>coexistent SP</w:t>
      </w:r>
      <w:r w:rsidR="00482337" w:rsidRPr="000011C4">
        <w:t xml:space="preserve"> and </w:t>
      </w:r>
      <w:r w:rsidR="00BB1BC1">
        <w:t>OP</w:t>
      </w:r>
      <w:r w:rsidR="00482337" w:rsidRPr="000011C4">
        <w:t xml:space="preserve"> coexistence not only allows </w:t>
      </w:r>
      <w:r w:rsidR="00193059">
        <w:t xml:space="preserve">early </w:t>
      </w:r>
      <w:r w:rsidR="00482337" w:rsidRPr="000011C4">
        <w:t>treatment</w:t>
      </w:r>
      <w:r w:rsidR="00193059">
        <w:t xml:space="preserve"> and management strategies</w:t>
      </w:r>
      <w:r w:rsidR="00482337" w:rsidRPr="000011C4">
        <w:t xml:space="preserve"> but might also offer an opportunity to mitigate frailty risk</w:t>
      </w:r>
      <w:r w:rsidR="002B71F9">
        <w:t xml:space="preserve"> </w:t>
      </w:r>
      <w:r w:rsidR="00916033">
        <w:fldChar w:fldCharType="begin" w:fldLock="1"/>
      </w:r>
      <w:r w:rsidR="008E6C84">
        <w:instrText>ADDIN CSL_CITATION {"citationItems":[{"id":"ITEM-1","itemData":{"DOI":"10.1007/s40520-020-01559-3","ISSN":"17208319","PMID":"32356135","abstract":"An individual who is living with frailty has impairments in homeostasis across several body systems and is more vulnerable to stressors that may ultimately predispose them to negative health-related outcomes, disability and increased healthcare use. Approximately a quarter of individuals aged ' 85 years are living with frailty and as such the identification of those who are frail is a public health priority. Given that the syndrome of frailty is defined by progressive and gradual loss of physiological reserves there is much scope to attempt to modify the trajectory of the frailty syndrome via physical activity and nutritional interventions. In this review we give an up to date account on the identification of frailty in clinical practice and offer insights into physical activity and nutritional strategies that may be beneficial to modify or reverse the frailty syndrome.","author":[{"dropping-particle":"","family":"Woolford","given":"S. J.","non-dropping-particle":"","parse-names":false,"suffix":""},{"dropping-particle":"","family":"Sohan","given":"O.","non-dropping-particle":"","parse-names":false,"suffix":""},{"dropping-particle":"","family":"Dennison","given":"E. M.","non-dropping-particle":"","parse-names":false,"suffix":""},{"dropping-particle":"","family":"Cooper","given":"C.","non-dropping-particle":"","parse-names":false,"suffix":""},{"dropping-particle":"","family":"Patel","given":"H. P.","non-dropping-particle":"","parse-names":false,"suffix":""}],"container-title":"Aging Clinical and Experimental Research","id":"ITEM-1","issue":"9","issued":{"date-parts":[["2020","9","1"]]},"page":"1629-1637","publisher":"Springer Science and Business Media Deutschland GmbH","title":"Approaches to the diagnosis and prevention of frailty","type":"article","volume":"32"},"uris":["http://www.mendeley.com/documents/?uuid=d651ec70-9ae5-35d1-9a00-a9577847ad7a"]},{"id":"ITEM-2","itemData":{"DOI":"10.1007/s40520-021-01817-y","ISSN":"17208319","abstract":"Osteoporosis, a common chronic metabolic bone disease is associated with considerable morbidity and mortality. As the prevalence of osteoporosis increases with age, a paralleled elevation in the rate of incident fragility fractures will be observed. This narrative review explores the origins of bone and considers physiological mechanisms involved in bone homeostasis relevant to management and treatment. Secondary causes of osteoporosis, as well as osteosarcopenia are discussed followed by an overview of the commonly used pharmacological treatments for osteoporosis in older people.","author":[{"dropping-particle":"","family":"Barnsley","given":"J.","non-dropping-particle":"","parse-names":false,"suffix":""},{"dropping-particle":"","family":"Buckland","given":"G.","non-dropping-particle":"","parse-names":false,"suffix":""},{"dropping-particle":"","family":"Chan","given":"P. E.","non-dropping-particle":"","parse-names":false,"suffix":""},{"dropping-particle":"","family":"Ong","given":"A.","non-dropping-particle":"","parse-names":false,"suffix":""},{"dropping-particle":"","family":"Ramos","given":"A. S.","non-dropping-particle":"","parse-names":false,"suffix":""},{"dropping-particle":"","family":"Baxter","given":"M.","non-dropping-particle":"","parse-names":false,"suffix":""},{"dropping-particle":"","family":"Laskou","given":"F.","non-dropping-particle":"","parse-names":false,"suffix":""},{"dropping-particle":"","family":"Dennison","given":"E. M.","non-dropping-particle":"","parse-names":false,"suffix":""},{"dropping-particle":"","family":"Cooper","given":"C.","non-dropping-particle":"","parse-names":false,"suffix":""},{"dropping-particle":"","family":"Patel","given":"Harnish P.","non-dropping-particle":"","parse-names":false,"suffix":""}],"container-title":"Aging Clinical and Experimental Research","id":"ITEM-2","issued":{"date-parts":[["2021"]]},"publisher":"Springer Science and Business Media Deutschland GmbH","title":"Pathophysiology and treatment of osteoporosis: challenges for clinical practice in older people","type":"article"},"uris":["http://www.mendeley.com/documents/?uuid=70b45230-ca11-37a2-a651-5d2ccbc158db"]}],"mendeley":{"formattedCitation":"[5,6]","plainTextFormattedCitation":"[5,6]","previouslyFormattedCitation":"[5,6]"},"properties":{"noteIndex":0},"schema":"https://github.com/citation-style-language/schema/raw/master/csl-citation.json"}</w:instrText>
      </w:r>
      <w:r w:rsidR="00916033">
        <w:fldChar w:fldCharType="separate"/>
      </w:r>
      <w:r w:rsidR="00C36856" w:rsidRPr="00C36856">
        <w:rPr>
          <w:noProof/>
        </w:rPr>
        <w:t>[5,6]</w:t>
      </w:r>
      <w:r w:rsidR="00916033">
        <w:fldChar w:fldCharType="end"/>
      </w:r>
      <w:r w:rsidR="00916033">
        <w:t xml:space="preserve">. </w:t>
      </w:r>
    </w:p>
    <w:p w14:paraId="1ADC1BD4" w14:textId="567D4934" w:rsidR="006245E7" w:rsidRPr="00B80882" w:rsidRDefault="006245E7" w:rsidP="000011C4">
      <w:pPr>
        <w:pStyle w:val="Heading1"/>
      </w:pPr>
      <w:r w:rsidRPr="00B80882">
        <w:t>Methods</w:t>
      </w:r>
    </w:p>
    <w:p w14:paraId="1F6E3E6A" w14:textId="223A339B" w:rsidR="00ED0AF1" w:rsidRPr="00B80882" w:rsidRDefault="00ED0AF1" w:rsidP="000011C4">
      <w:pPr>
        <w:pStyle w:val="Heading2"/>
      </w:pPr>
      <w:r w:rsidRPr="00B80882">
        <w:t xml:space="preserve">Study </w:t>
      </w:r>
      <w:r w:rsidRPr="00D0675E">
        <w:t>participants</w:t>
      </w:r>
    </w:p>
    <w:p w14:paraId="2DDA7B61" w14:textId="755ECA1F" w:rsidR="00ED0AF1" w:rsidRPr="00B80882" w:rsidRDefault="008E7A13" w:rsidP="000011C4">
      <w:r w:rsidRPr="00B80882">
        <w:t>T</w:t>
      </w:r>
      <w:r w:rsidR="004B23D6" w:rsidRPr="00B80882">
        <w:t xml:space="preserve">he Hertfordshire Cohort Study (HCS) was designed to examine the relationship between growth in infancy and the subsequent risk of common adult diseases, including </w:t>
      </w:r>
      <w:r w:rsidR="00EF0E1A" w:rsidRPr="00B80882">
        <w:t>OP</w:t>
      </w:r>
      <w:r w:rsidR="004B23D6" w:rsidRPr="00B80882">
        <w:t xml:space="preserve"> and </w:t>
      </w:r>
      <w:r w:rsidR="00B82AA2">
        <w:t>SP and has been described in detail elsewhere</w:t>
      </w:r>
      <w:r w:rsidR="001953B9">
        <w:t xml:space="preserve"> </w:t>
      </w:r>
      <w:r w:rsidR="00957FAC" w:rsidRPr="00B80882">
        <w:fldChar w:fldCharType="begin" w:fldLock="1"/>
      </w:r>
      <w:r w:rsidR="008E6C84">
        <w:instrText>ADDIN CSL_CITATION {"citationItems":[{"id":"ITEM-1","itemData":{"DOI":"10.12688/f1000research.17457.1","ISSN":"1759796X","PMID":"30828442","abstract":"The Hertfordshire Cohort Study is a nationally unique study of men and women born in the English county of Hertfordshire in the early part of the 20 th century. Records that detail their health in infancy and childhood have been preserved, their sociodemographic, lifestyle, medical and biological attributes have been characterised in later life, and routinely collected data on their hospital use and mortality have been acquired. This paper provides an overview of the study since its inception in the 1980s, including its methods, findings, and plans for its future.","author":[{"dropping-particle":"","family":"Syddall","given":"Holly E.","non-dropping-particle":"","parse-names":false,"suffix":""},{"dropping-particle":"","family":"Simmonds","given":"Shirley J.","non-dropping-particle":"","parse-names":false,"suffix":""},{"dropping-particle":"","family":"Carter","given":"Sarah A.","non-dropping-particle":"","parse-names":false,"suffix":""},{"dropping-particle":"","family":"Robinson","given":"Sian M.","non-dropping-particle":"","parse-names":false,"suffix":""},{"dropping-particle":"","family":"Dennison","given":"Elaine M.","non-dropping-particle":"","parse-names":false,"suffix":""},{"dropping-particle":"","family":"Cooper","given":"Cyrus","non-dropping-particle":"","parse-names":false,"suffix":""},{"dropping-particle":"","family":"Bevilacqua","given":"Gregorio","non-dropping-particle":"","parse-names":false,"suffix":""},{"dropping-particle":"","family":"Bloom","given":"Ilse","non-dropping-particle":"","parse-names":false,"suffix":""},{"dropping-particle":"","family":"Clynes","given":"Michael","non-dropping-particle":"","parse-names":false,"suffix":""},{"dropping-particle":"","family":"Cox","given":"Ken","non-dropping-particle":"","parse-names":false,"suffix":""},{"dropping-particle":"","family":"Cox","given":"Vanessa","non-dropping-particle":"","parse-names":false,"suffix":""},{"dropping-particle":"","family":"Fuggle","given":"Nicholas","non-dropping-particle":"","parse-names":false,"suffix":""},{"dropping-particle":"","family":"Gale","given":"Catharine","non-dropping-particle":"","parse-names":false,"suffix":""},{"dropping-particle":"","family":"Holloway","given":"John","non-dropping-particle":"","parse-names":false,"suffix":""},{"dropping-particle":"","family":"Jameson","given":"Karen","non-dropping-particle":"","parse-names":false,"suffix":""},{"dropping-particle":"","family":"Parsons","given":"Camille","non-dropping-particle":"","parse-names":false,"suffix":""},{"dropping-particle":"","family":"Patel","given":"Harnish","non-dropping-particle":"","parse-names":false,"suffix":""},{"dropping-particle":"","family":"Ward","given":"Kate","non-dropping-particle":"","parse-names":false,"suffix":""},{"dropping-particle":"","family":"Westbury","given":"Leo","non-dropping-particle":"","parse-names":false,"suffix":""}],"container-title":"F1000Research","id":"ITEM-1","issued":{"date-parts":[["2019"]]},"publisher":"F1000 Research Ltd","title":"The hertfordshire cohort study: An overview [version 1; referees: 3 approved]","type":"article","volume":"8"},"uris":["http://www.mendeley.com/documents/?uuid=ffd8da2e-da12-3725-bc73-75c188b2c54d","http://www.mendeley.com/documents/?uuid=aa4182ff-c8a0-4a02-8a71-25a6e8c95d92"]}],"mendeley":{"formattedCitation":"[30]","plainTextFormattedCitation":"[30]","previouslyFormattedCitation":"[30]"},"properties":{"noteIndex":0},"schema":"https://github.com/citation-style-language/schema/raw/master/csl-citation.json"}</w:instrText>
      </w:r>
      <w:r w:rsidR="00957FAC" w:rsidRPr="00B80882">
        <w:fldChar w:fldCharType="separate"/>
      </w:r>
      <w:r w:rsidR="00C36856" w:rsidRPr="00C36856">
        <w:rPr>
          <w:noProof/>
        </w:rPr>
        <w:t>[30]</w:t>
      </w:r>
      <w:r w:rsidR="00957FAC" w:rsidRPr="00B80882">
        <w:fldChar w:fldCharType="end"/>
      </w:r>
      <w:r w:rsidR="004B23D6" w:rsidRPr="00B80882">
        <w:t xml:space="preserve">. </w:t>
      </w:r>
      <w:r w:rsidR="00464D5C" w:rsidRPr="00B80882">
        <w:t xml:space="preserve">Participants </w:t>
      </w:r>
      <w:r w:rsidR="00B82AA2">
        <w:t>have been</w:t>
      </w:r>
      <w:r w:rsidR="00464D5C" w:rsidRPr="00B80882">
        <w:t xml:space="preserve"> followed up at a number of timepoints </w:t>
      </w:r>
      <w:r w:rsidR="00816164">
        <w:t>since its inception</w:t>
      </w:r>
      <w:r w:rsidR="00464D5C" w:rsidRPr="00B80882">
        <w:t>.</w:t>
      </w:r>
      <w:r w:rsidR="00B82AA2">
        <w:t xml:space="preserve"> </w:t>
      </w:r>
      <w:r w:rsidRPr="00B80882">
        <w:t xml:space="preserve">The present study was performed using </w:t>
      </w:r>
      <w:r w:rsidR="00B82AA2">
        <w:t xml:space="preserve">baseline data collected </w:t>
      </w:r>
      <w:r w:rsidRPr="00B80882">
        <w:t>in 2011.</w:t>
      </w:r>
      <w:r w:rsidR="00B22FA1" w:rsidRPr="00B80882">
        <w:t xml:space="preserve"> </w:t>
      </w:r>
      <w:r w:rsidR="005D694B" w:rsidRPr="00B80882">
        <w:t xml:space="preserve">All </w:t>
      </w:r>
      <w:r w:rsidR="0047378B" w:rsidRPr="00B80882">
        <w:t>study</w:t>
      </w:r>
      <w:r w:rsidR="005D694B" w:rsidRPr="00B80882">
        <w:t xml:space="preserve"> participants </w:t>
      </w:r>
      <w:r w:rsidR="0047378B" w:rsidRPr="00B80882">
        <w:t>provided</w:t>
      </w:r>
      <w:r w:rsidR="005D694B" w:rsidRPr="00B80882">
        <w:t xml:space="preserve"> written </w:t>
      </w:r>
      <w:r w:rsidR="0047378B" w:rsidRPr="00B80882">
        <w:t xml:space="preserve">informed consent </w:t>
      </w:r>
      <w:r w:rsidR="0001014D" w:rsidRPr="00B80882">
        <w:t xml:space="preserve">and </w:t>
      </w:r>
      <w:r w:rsidR="00A26247">
        <w:rPr>
          <w:color w:val="000000"/>
          <w:shd w:val="clear" w:color="auto" w:fill="FFFFFF"/>
        </w:rPr>
        <w:t>e</w:t>
      </w:r>
      <w:r w:rsidR="0001014D" w:rsidRPr="00B80882">
        <w:rPr>
          <w:color w:val="000000"/>
          <w:shd w:val="clear" w:color="auto" w:fill="FFFFFF"/>
        </w:rPr>
        <w:t>thical approval was obtained from the Hertfordshire Research Ethics Committee</w:t>
      </w:r>
      <w:r w:rsidR="002619BD">
        <w:rPr>
          <w:color w:val="000000"/>
          <w:shd w:val="clear" w:color="auto" w:fill="FFFFFF"/>
        </w:rPr>
        <w:t xml:space="preserve">. </w:t>
      </w:r>
      <w:r w:rsidR="0001014D" w:rsidRPr="00B80882">
        <w:rPr>
          <w:color w:val="000000"/>
          <w:shd w:val="clear" w:color="auto" w:fill="FFFFFF"/>
        </w:rPr>
        <w:t>All participants gave written informed consent.</w:t>
      </w:r>
    </w:p>
    <w:p w14:paraId="5E08B1CE" w14:textId="455A03B7" w:rsidR="00E33885" w:rsidRPr="00B80882" w:rsidRDefault="00350758" w:rsidP="000011C4">
      <w:pPr>
        <w:pStyle w:val="Heading2"/>
      </w:pPr>
      <w:r>
        <w:t>Data collection</w:t>
      </w:r>
    </w:p>
    <w:p w14:paraId="2B543C64" w14:textId="524F89DD" w:rsidR="00350758" w:rsidRPr="00350758" w:rsidRDefault="00003C73" w:rsidP="00521C30">
      <w:pPr>
        <w:pStyle w:val="Heading3"/>
      </w:pPr>
      <w:r>
        <w:t>Questionnaire and anthropometry</w:t>
      </w:r>
    </w:p>
    <w:p w14:paraId="0F79564A" w14:textId="18C6788B" w:rsidR="0050032A" w:rsidRPr="0029323D" w:rsidRDefault="00E33885" w:rsidP="000011C4">
      <w:r w:rsidRPr="00B80882">
        <w:t>Participants completed questionnaires that comprised questions related to lifestyle including smoking habits, alcohol consumption, physical activity</w:t>
      </w:r>
      <w:r w:rsidR="00464D5C" w:rsidRPr="00B80882">
        <w:t xml:space="preserve"> </w:t>
      </w:r>
      <w:r w:rsidR="00E8168D" w:rsidRPr="00B80882">
        <w:t>(</w:t>
      </w:r>
      <w:r w:rsidR="00464D5C" w:rsidRPr="00B80882">
        <w:t xml:space="preserve">LASA </w:t>
      </w:r>
      <w:r w:rsidR="00E8168D" w:rsidRPr="00B80882">
        <w:t>Physical</w:t>
      </w:r>
      <w:r w:rsidR="00464D5C" w:rsidRPr="00B80882">
        <w:t xml:space="preserve"> activity </w:t>
      </w:r>
      <w:r w:rsidR="00E8168D" w:rsidRPr="00B80882">
        <w:t xml:space="preserve">Questionnaire </w:t>
      </w:r>
      <w:r w:rsidR="00F27598">
        <w:t xml:space="preserve">- </w:t>
      </w:r>
      <w:r w:rsidR="00464D5C" w:rsidRPr="00B80882">
        <w:t>LAPAQ</w:t>
      </w:r>
      <w:r w:rsidR="00E8168D" w:rsidRPr="00B80882">
        <w:t>)</w:t>
      </w:r>
      <w:r w:rsidRPr="00B80882">
        <w:t xml:space="preserve">, </w:t>
      </w:r>
      <w:r w:rsidR="00916033">
        <w:t xml:space="preserve">and </w:t>
      </w:r>
      <w:r w:rsidRPr="00B80882">
        <w:t>nutrition (Short food frequency questionnaire</w:t>
      </w:r>
      <w:r w:rsidR="0012048D" w:rsidRPr="00B80882">
        <w:t xml:space="preserve"> </w:t>
      </w:r>
      <w:r w:rsidR="00F27598">
        <w:t xml:space="preserve">- </w:t>
      </w:r>
      <w:r w:rsidR="0012048D" w:rsidRPr="00B80882">
        <w:t>FFQ</w:t>
      </w:r>
      <w:r w:rsidR="00E8168D" w:rsidRPr="00B80882">
        <w:t>)</w:t>
      </w:r>
      <w:r w:rsidRPr="00B80882">
        <w:t xml:space="preserve">. Anthropometric measurements including height </w:t>
      </w:r>
      <w:r w:rsidR="00916033">
        <w:t xml:space="preserve">and </w:t>
      </w:r>
      <w:r w:rsidRPr="00B80882">
        <w:t xml:space="preserve">weight </w:t>
      </w:r>
      <w:r w:rsidR="00F43C18">
        <w:t>were measured to calculate</w:t>
      </w:r>
      <w:r w:rsidR="00465065">
        <w:t xml:space="preserve"> </w:t>
      </w:r>
      <w:r w:rsidRPr="00B80882">
        <w:t>body mass index (</w:t>
      </w:r>
      <w:r w:rsidR="0012048D" w:rsidRPr="00B80882">
        <w:t>BMI</w:t>
      </w:r>
      <w:r w:rsidR="00620010">
        <w:t>)</w:t>
      </w:r>
      <w:r w:rsidR="00465065">
        <w:t xml:space="preserve">. </w:t>
      </w:r>
    </w:p>
    <w:p w14:paraId="026741FE" w14:textId="44BFDC75" w:rsidR="0050032A" w:rsidRDefault="0050032A" w:rsidP="00521C30">
      <w:pPr>
        <w:pStyle w:val="Heading3"/>
        <w:rPr>
          <w:shd w:val="clear" w:color="auto" w:fill="FFFFFF"/>
        </w:rPr>
      </w:pPr>
      <w:r>
        <w:rPr>
          <w:shd w:val="clear" w:color="auto" w:fill="FFFFFF"/>
        </w:rPr>
        <w:t>Physical performance and muscle mass</w:t>
      </w:r>
    </w:p>
    <w:p w14:paraId="4A23C1DD" w14:textId="28B19910" w:rsidR="00916033" w:rsidRPr="00916033" w:rsidRDefault="00CC296D" w:rsidP="000011C4">
      <w:pPr>
        <w:rPr>
          <w:rFonts w:cstheme="minorHAnsi"/>
        </w:rPr>
      </w:pPr>
      <w:r>
        <w:rPr>
          <w:shd w:val="clear" w:color="auto" w:fill="FFFFFF"/>
        </w:rPr>
        <w:t>Grip strength was measured three times in each hand using a Jamar hand-held isokinetic dynamometer using a standardised protocol</w:t>
      </w:r>
      <w:r w:rsidR="0050032A">
        <w:rPr>
          <w:shd w:val="clear" w:color="auto" w:fill="FFFFFF"/>
        </w:rPr>
        <w:t xml:space="preserve"> </w:t>
      </w:r>
      <w:r>
        <w:rPr>
          <w:shd w:val="clear" w:color="auto" w:fill="FFFFFF"/>
        </w:rPr>
        <w:fldChar w:fldCharType="begin" w:fldLock="1"/>
      </w:r>
      <w:r w:rsidR="008E6C84">
        <w:rPr>
          <w:shd w:val="clear" w:color="auto" w:fill="FFFFFF"/>
        </w:rPr>
        <w:instrText>ADDIN CSL_CITATION {"citationItems":[{"id":"ITEM-1","itemData":{"DOI":"10.1093/ageing/afr051","ISSN":"1468-2834","abstract":"Background: the European Working Group on Sarcopenia in Older People has developed a clinical definition of sarcopenia based on low muscle mass and reduced muscle function (strength or performance). Grip strength is recommended as a good simple measure of muscle strength when 'measured in standard conditions'. However, standard conditions remain to be defined.Methods: a literature search was conducted to review articles describing the measurement of grip strength listed in Medline, Web of Science and Cochrane Library databases up to 31 December 2009.Results: there is wide variability in the choice of equipment and protocol for measuring grip strength. The Jamar hand dynamometer is the most widely used instrument with established test-retest, inter-rater and intra-rater reliability. However, there is considerable variation in how it is used and studies often provide insufficient information on the protocol followed making comparisons difficult. There is evidence that variation in approach can affect the values recorded. Furthermore, reported summary measures of grip strength vary widely including maximum or mean value, from one, two or three attempts, with either hand or the dominant hand alone.Conclusions: there is considerable variation in current methods of assessing grip strength which makes comparison between studies difficult. A standardised method would enable more consistent measurement of grip strength and better assessment of sarcopenia. Our approach is described. © The Author 2011. Published by Oxford University Press on behalf of the British Geriatrics Society.","author":[{"dropping-particle":"","family":"Roberts","given":"Helen C.","non-dropping-particle":"","parse-names":false,"suffix":""},{"dropping-particle":"","family":"Denison","given":"Hayley J.","non-dropping-particle":"","parse-names":false,"suffix":""},{"dropping-particle":"","family":"Martin","given":"Helen J.","non-dropping-particle":"","parse-names":false,"suffix":""},{"dropping-particle":"","family":"Patel","given":"Harnish P.","non-dropping-particle":"","parse-names":false,"suffix":""},{"dropping-particle":"","family":"Syddall","given":"Holly","non-dropping-particle":"","parse-names":false,"suffix":""},{"dropping-particle":"","family":"Cooper","given":"Cyrus","non-dropping-particle":"","parse-names":false,"suffix":""},{"dropping-particle":"","family":"Sayer","given":"Avan Aihie","non-dropping-particle":"","parse-names":false,"suffix":""}],"container-title":"Age and Ageing","id":"ITEM-1","issue":"4","issued":{"date-parts":[["2011","7","1"]]},"page":"423-429","publisher":"Oxford Academic","title":"A review of the measurement of grip strength in clinical and epidemiological studies: towards a standardised approach","type":"article-journal","volume":"40"},"uris":["http://www.mendeley.com/documents/?uuid=1a5a9081-fede-3129-b2c1-1d7c2bbef368"]}],"mendeley":{"formattedCitation":"[31]","plainTextFormattedCitation":"[31]","previouslyFormattedCitation":"[31]"},"properties":{"noteIndex":0},"schema":"https://github.com/citation-style-language/schema/raw/master/csl-citation.json"}</w:instrText>
      </w:r>
      <w:r>
        <w:rPr>
          <w:shd w:val="clear" w:color="auto" w:fill="FFFFFF"/>
        </w:rPr>
        <w:fldChar w:fldCharType="separate"/>
      </w:r>
      <w:r w:rsidR="00C36856" w:rsidRPr="00C36856">
        <w:rPr>
          <w:noProof/>
          <w:shd w:val="clear" w:color="auto" w:fill="FFFFFF"/>
        </w:rPr>
        <w:t>[31]</w:t>
      </w:r>
      <w:r>
        <w:rPr>
          <w:shd w:val="clear" w:color="auto" w:fill="FFFFFF"/>
        </w:rPr>
        <w:fldChar w:fldCharType="end"/>
      </w:r>
      <w:r w:rsidR="005A116B">
        <w:rPr>
          <w:shd w:val="clear" w:color="auto" w:fill="FFFFFF"/>
        </w:rPr>
        <w:t>.</w:t>
      </w:r>
      <w:r>
        <w:rPr>
          <w:shd w:val="clear" w:color="auto" w:fill="FFFFFF"/>
        </w:rPr>
        <w:t xml:space="preserve"> The maximum value was used in analyses.</w:t>
      </w:r>
      <w:r w:rsidR="00C96FFA">
        <w:t xml:space="preserve"> </w:t>
      </w:r>
      <w:r w:rsidR="00377ED6" w:rsidRPr="00CC296D">
        <w:t>Gait speed</w:t>
      </w:r>
      <w:r w:rsidR="00377ED6">
        <w:t xml:space="preserve"> (metres/second)</w:t>
      </w:r>
      <w:r w:rsidR="007F5AA8">
        <w:t xml:space="preserve"> </w:t>
      </w:r>
      <w:r w:rsidR="007F5AA8">
        <w:rPr>
          <w:shd w:val="clear" w:color="auto" w:fill="FFFFFF"/>
        </w:rPr>
        <w:t xml:space="preserve">determined </w:t>
      </w:r>
      <w:r w:rsidR="00E54578">
        <w:rPr>
          <w:shd w:val="clear" w:color="auto" w:fill="FFFFFF"/>
        </w:rPr>
        <w:t>after</w:t>
      </w:r>
      <w:r>
        <w:rPr>
          <w:shd w:val="clear" w:color="auto" w:fill="FFFFFF"/>
        </w:rPr>
        <w:t xml:space="preserve"> </w:t>
      </w:r>
      <w:r w:rsidR="006C3A6A">
        <w:rPr>
          <w:shd w:val="clear" w:color="auto" w:fill="FFFFFF"/>
        </w:rPr>
        <w:t xml:space="preserve">timed </w:t>
      </w:r>
      <w:r w:rsidR="00916033">
        <w:rPr>
          <w:shd w:val="clear" w:color="auto" w:fill="FFFFFF"/>
        </w:rPr>
        <w:t>8-foot</w:t>
      </w:r>
      <w:r>
        <w:rPr>
          <w:shd w:val="clear" w:color="auto" w:fill="FFFFFF"/>
        </w:rPr>
        <w:t xml:space="preserve"> walk test.</w:t>
      </w:r>
      <w:r w:rsidRPr="00FE21D1">
        <w:rPr>
          <w:rFonts w:cstheme="minorHAnsi"/>
        </w:rPr>
        <w:t xml:space="preserve"> </w:t>
      </w:r>
      <w:r>
        <w:rPr>
          <w:shd w:val="clear" w:color="auto" w:fill="FFFFFF"/>
        </w:rPr>
        <w:t>The use of assistive devices was permitted</w:t>
      </w:r>
      <w:r w:rsidR="00485EFD">
        <w:rPr>
          <w:shd w:val="clear" w:color="auto" w:fill="FFFFFF"/>
        </w:rPr>
        <w:t>,</w:t>
      </w:r>
      <w:r>
        <w:rPr>
          <w:shd w:val="clear" w:color="auto" w:fill="FFFFFF"/>
        </w:rPr>
        <w:t xml:space="preserve"> if required.</w:t>
      </w:r>
      <w:r w:rsidRPr="00CC296D">
        <w:rPr>
          <w:shd w:val="clear" w:color="auto" w:fill="FFFFFF"/>
        </w:rPr>
        <w:t xml:space="preserve"> </w:t>
      </w:r>
      <w:r w:rsidR="00916033">
        <w:rPr>
          <w:rFonts w:cstheme="minorHAnsi"/>
        </w:rPr>
        <w:t>For c</w:t>
      </w:r>
      <w:r w:rsidR="00916033" w:rsidRPr="003A4AF4">
        <w:rPr>
          <w:rFonts w:cstheme="minorHAnsi"/>
        </w:rPr>
        <w:t>hair rises</w:t>
      </w:r>
      <w:r w:rsidR="00916033">
        <w:rPr>
          <w:rFonts w:cstheme="minorHAnsi"/>
        </w:rPr>
        <w:t xml:space="preserve"> (also </w:t>
      </w:r>
      <w:r w:rsidR="00916033" w:rsidRPr="00CC296D">
        <w:t>used to assess for physical function</w:t>
      </w:r>
      <w:r w:rsidR="00916033">
        <w:t>)</w:t>
      </w:r>
      <w:r w:rsidR="00916033" w:rsidRPr="003A4AF4">
        <w:rPr>
          <w:rFonts w:cstheme="minorHAnsi"/>
        </w:rPr>
        <w:t xml:space="preserve">, </w:t>
      </w:r>
      <w:r w:rsidR="00916033">
        <w:rPr>
          <w:rFonts w:cstheme="minorHAnsi"/>
        </w:rPr>
        <w:t xml:space="preserve">the time taken for </w:t>
      </w:r>
      <w:r w:rsidR="00916033" w:rsidRPr="003A4AF4">
        <w:rPr>
          <w:rFonts w:cstheme="minorHAnsi"/>
        </w:rPr>
        <w:t>participants to stand up and sit down</w:t>
      </w:r>
      <w:r w:rsidR="00916033">
        <w:rPr>
          <w:rFonts w:cstheme="minorHAnsi"/>
        </w:rPr>
        <w:t xml:space="preserve"> </w:t>
      </w:r>
      <w:r w:rsidR="00916033" w:rsidRPr="003A4AF4">
        <w:rPr>
          <w:rFonts w:cstheme="minorHAnsi"/>
        </w:rPr>
        <w:t xml:space="preserve">again </w:t>
      </w:r>
      <w:r w:rsidR="00916033">
        <w:rPr>
          <w:rFonts w:cstheme="minorHAnsi"/>
        </w:rPr>
        <w:t xml:space="preserve">(with </w:t>
      </w:r>
      <w:r w:rsidR="00916033" w:rsidRPr="003A4AF4">
        <w:rPr>
          <w:rFonts w:cstheme="minorHAnsi"/>
        </w:rPr>
        <w:t xml:space="preserve">their arms </w:t>
      </w:r>
      <w:r w:rsidR="00916033">
        <w:rPr>
          <w:rFonts w:cstheme="minorHAnsi"/>
        </w:rPr>
        <w:t xml:space="preserve">crossed </w:t>
      </w:r>
      <w:r w:rsidR="00916033" w:rsidRPr="003A4AF4">
        <w:rPr>
          <w:rFonts w:cstheme="minorHAnsi"/>
        </w:rPr>
        <w:t>across their chest</w:t>
      </w:r>
      <w:r w:rsidR="00916033">
        <w:rPr>
          <w:rFonts w:cstheme="minorHAnsi"/>
        </w:rPr>
        <w:t>)</w:t>
      </w:r>
      <w:r w:rsidR="00916033" w:rsidRPr="003A4AF4">
        <w:rPr>
          <w:rFonts w:cstheme="minorHAnsi"/>
        </w:rPr>
        <w:t xml:space="preserve"> a total of five times</w:t>
      </w:r>
      <w:r w:rsidR="00916033">
        <w:rPr>
          <w:rFonts w:cstheme="minorHAnsi"/>
        </w:rPr>
        <w:t xml:space="preserve"> was recorded</w:t>
      </w:r>
      <w:r w:rsidR="00916033" w:rsidRPr="003A4AF4">
        <w:rPr>
          <w:rFonts w:cstheme="minorHAnsi"/>
        </w:rPr>
        <w:t xml:space="preserve">. </w:t>
      </w:r>
    </w:p>
    <w:p w14:paraId="6DC8F2CC" w14:textId="7996C3CE" w:rsidR="00A764D3" w:rsidRPr="00B80882" w:rsidRDefault="0012048D" w:rsidP="000011C4">
      <w:r w:rsidRPr="00B80882">
        <w:t>Skeletal muscle mass was measured with</w:t>
      </w:r>
      <w:r w:rsidR="00C85E8D" w:rsidRPr="00B80882">
        <w:t xml:space="preserve"> </w:t>
      </w:r>
      <w:r w:rsidR="00151132" w:rsidRPr="00B80882">
        <w:rPr>
          <w:rFonts w:cstheme="minorHAnsi"/>
          <w:color w:val="333333"/>
          <w:shd w:val="clear" w:color="auto" w:fill="FFFFFF"/>
        </w:rPr>
        <w:t xml:space="preserve">a </w:t>
      </w:r>
      <w:r w:rsidR="00C85E8D" w:rsidRPr="00B80882">
        <w:rPr>
          <w:rFonts w:cstheme="minorHAnsi"/>
          <w:color w:val="333333"/>
          <w:shd w:val="clear" w:color="auto" w:fill="FFFFFF"/>
        </w:rPr>
        <w:t xml:space="preserve">body composition </w:t>
      </w:r>
      <w:r w:rsidR="006C3A6A" w:rsidRPr="00B80882">
        <w:t>dual-energy X-ray absorptiometry</w:t>
      </w:r>
      <w:r w:rsidR="006C3A6A" w:rsidRPr="00B80882">
        <w:rPr>
          <w:rFonts w:cstheme="minorHAnsi"/>
          <w:color w:val="333333"/>
          <w:shd w:val="clear" w:color="auto" w:fill="FFFFFF"/>
        </w:rPr>
        <w:t xml:space="preserve"> </w:t>
      </w:r>
      <w:r w:rsidR="006C3A6A">
        <w:rPr>
          <w:rFonts w:cstheme="minorHAnsi"/>
          <w:color w:val="333333"/>
          <w:shd w:val="clear" w:color="auto" w:fill="FFFFFF"/>
        </w:rPr>
        <w:t>(</w:t>
      </w:r>
      <w:r w:rsidR="00C85E8D" w:rsidRPr="00B80882">
        <w:rPr>
          <w:rFonts w:cstheme="minorHAnsi"/>
          <w:color w:val="333333"/>
          <w:shd w:val="clear" w:color="auto" w:fill="FFFFFF"/>
        </w:rPr>
        <w:t>DXA</w:t>
      </w:r>
      <w:r w:rsidR="006C3A6A">
        <w:rPr>
          <w:rFonts w:cstheme="minorHAnsi"/>
          <w:color w:val="333333"/>
          <w:shd w:val="clear" w:color="auto" w:fill="FFFFFF"/>
        </w:rPr>
        <w:t>)</w:t>
      </w:r>
      <w:r w:rsidR="00C85E8D" w:rsidRPr="00B80882">
        <w:rPr>
          <w:rFonts w:cstheme="minorHAnsi"/>
          <w:color w:val="333333"/>
          <w:shd w:val="clear" w:color="auto" w:fill="FFFFFF"/>
        </w:rPr>
        <w:t xml:space="preserve"> </w:t>
      </w:r>
      <w:r w:rsidR="00C85E8D" w:rsidRPr="00B80882">
        <w:t xml:space="preserve">scan </w:t>
      </w:r>
      <w:r w:rsidR="00C85E8D" w:rsidRPr="00196A5D">
        <w:t>(</w:t>
      </w:r>
      <w:r w:rsidR="00072B09" w:rsidRPr="00196A5D">
        <w:t>Lunar</w:t>
      </w:r>
      <w:r w:rsidR="00196A5D" w:rsidRPr="00196A5D">
        <w:t xml:space="preserve"> Prodigy Advanced</w:t>
      </w:r>
      <w:r w:rsidR="00866BEB" w:rsidRPr="00196A5D">
        <w:t xml:space="preserve">) </w:t>
      </w:r>
      <w:r w:rsidR="00C85E8D" w:rsidRPr="00196A5D">
        <w:rPr>
          <w:rFonts w:cstheme="minorHAnsi"/>
          <w:color w:val="333333"/>
          <w:shd w:val="clear" w:color="auto" w:fill="FFFFFF"/>
        </w:rPr>
        <w:t>t</w:t>
      </w:r>
      <w:r w:rsidR="00C85E8D" w:rsidRPr="00B80882">
        <w:rPr>
          <w:rFonts w:cstheme="minorHAnsi"/>
          <w:color w:val="333333"/>
          <w:shd w:val="clear" w:color="auto" w:fill="FFFFFF"/>
        </w:rPr>
        <w:t>o quantify regional as well as total lean mass, fat mass and bone mineral content.</w:t>
      </w:r>
      <w:r w:rsidRPr="00B80882">
        <w:rPr>
          <w:rFonts w:cstheme="minorHAnsi"/>
        </w:rPr>
        <w:t xml:space="preserve"> </w:t>
      </w:r>
      <w:r w:rsidR="00702274" w:rsidRPr="00B80882">
        <w:t>P</w:t>
      </w:r>
      <w:r w:rsidR="00A764D3" w:rsidRPr="00B80882">
        <w:t xml:space="preserve">roximal femur BMD values were determined using </w:t>
      </w:r>
      <w:r w:rsidR="00D30641">
        <w:t xml:space="preserve">standard DXA. </w:t>
      </w:r>
    </w:p>
    <w:p w14:paraId="08F5BA08" w14:textId="47BA4052" w:rsidR="007827F9" w:rsidRPr="00B80882" w:rsidRDefault="007827F9" w:rsidP="000011C4">
      <w:pPr>
        <w:pStyle w:val="Heading2"/>
      </w:pPr>
      <w:r w:rsidRPr="00B80882">
        <w:t xml:space="preserve">Definitions of </w:t>
      </w:r>
      <w:r w:rsidR="006B5382">
        <w:t>S</w:t>
      </w:r>
      <w:r w:rsidR="00EF0E1A" w:rsidRPr="00B80882">
        <w:t>P</w:t>
      </w:r>
      <w:r w:rsidRPr="00B80882">
        <w:t xml:space="preserve">, </w:t>
      </w:r>
      <w:r w:rsidR="006B5382">
        <w:t>O</w:t>
      </w:r>
      <w:r w:rsidR="00167387" w:rsidRPr="00B80882">
        <w:t>P</w:t>
      </w:r>
      <w:r w:rsidR="005075FE">
        <w:t xml:space="preserve">, </w:t>
      </w:r>
      <w:r w:rsidR="00916033" w:rsidRPr="00B80882">
        <w:t>frailty,</w:t>
      </w:r>
      <w:r w:rsidR="00325209" w:rsidRPr="00B80882">
        <w:t xml:space="preserve"> </w:t>
      </w:r>
      <w:r w:rsidR="005075FE">
        <w:t>and comorbidity</w:t>
      </w:r>
      <w:r w:rsidR="00325209" w:rsidRPr="00B80882">
        <w:t xml:space="preserve"> </w:t>
      </w:r>
    </w:p>
    <w:p w14:paraId="5969F2A8" w14:textId="77777777" w:rsidR="006B5382" w:rsidRPr="00B80882" w:rsidRDefault="006B5382" w:rsidP="006B5382">
      <w:pPr>
        <w:pStyle w:val="Heading3"/>
      </w:pPr>
      <w:r w:rsidRPr="00B80882">
        <w:t>S</w:t>
      </w:r>
      <w:r>
        <w:t>arcopenia</w:t>
      </w:r>
      <w:r w:rsidRPr="00B80882">
        <w:t xml:space="preserve"> </w:t>
      </w:r>
    </w:p>
    <w:p w14:paraId="508F0C85" w14:textId="79F0AC82" w:rsidR="006B5382" w:rsidRPr="00B80882" w:rsidRDefault="006B5382" w:rsidP="006B5382">
      <w:r w:rsidRPr="000011C4">
        <w:t>SP</w:t>
      </w:r>
      <w:r w:rsidRPr="00B80882">
        <w:t xml:space="preserve"> was defined using the revised EWSGOP2 criteria</w:t>
      </w:r>
      <w:r w:rsidR="00B162D2">
        <w:t xml:space="preserve"> for </w:t>
      </w:r>
      <w:r w:rsidRPr="00B80882">
        <w:t xml:space="preserve">low muscle strength measured by </w:t>
      </w:r>
      <w:r w:rsidR="0096702C">
        <w:t xml:space="preserve">hand </w:t>
      </w:r>
      <w:r w:rsidRPr="00B80882">
        <w:t>grip strength</w:t>
      </w:r>
      <w:r>
        <w:t xml:space="preserve"> (</w:t>
      </w:r>
      <w:r w:rsidRPr="00B80882">
        <w:t xml:space="preserve">&lt;27kg </w:t>
      </w:r>
      <w:r w:rsidR="00335EF2">
        <w:t>i</w:t>
      </w:r>
      <w:r w:rsidRPr="00B80882">
        <w:t>n men and &lt;16kg in women</w:t>
      </w:r>
      <w:r>
        <w:t>)</w:t>
      </w:r>
      <w:r w:rsidRPr="00B80882">
        <w:t xml:space="preserve"> </w:t>
      </w:r>
      <w:r w:rsidR="00916033">
        <w:t>or slow chair rise time (</w:t>
      </w:r>
      <w:r w:rsidR="00916033" w:rsidRPr="005D09CF">
        <w:t>&gt;15s for 5 rises</w:t>
      </w:r>
      <w:r w:rsidR="00916033">
        <w:t xml:space="preserve">) </w:t>
      </w:r>
      <w:r w:rsidRPr="00B80882">
        <w:rPr>
          <w:b/>
          <w:bCs/>
        </w:rPr>
        <w:t>and</w:t>
      </w:r>
      <w:r>
        <w:t xml:space="preserve"> low muscle quantity (</w:t>
      </w:r>
      <w:r w:rsidR="00877E11">
        <w:t>appendicular skeletal mass</w:t>
      </w:r>
      <w:r w:rsidR="0086491A">
        <w:t xml:space="preserve"> </w:t>
      </w:r>
      <w:r w:rsidR="00877E11">
        <w:t>[</w:t>
      </w:r>
      <w:r w:rsidRPr="00B80882">
        <w:t>ASM</w:t>
      </w:r>
      <w:r w:rsidR="00877E11">
        <w:t>]</w:t>
      </w:r>
      <w:r w:rsidR="00AB1ABE">
        <w:t xml:space="preserve"> index </w:t>
      </w:r>
      <w:r w:rsidR="000141B0">
        <w:t>[</w:t>
      </w:r>
      <w:r w:rsidRPr="00B80882">
        <w:t>ASM/height</w:t>
      </w:r>
      <w:r w:rsidRPr="00B80882">
        <w:rPr>
          <w:vertAlign w:val="superscript"/>
        </w:rPr>
        <w:t>2</w:t>
      </w:r>
      <w:r w:rsidR="000141B0">
        <w:rPr>
          <w:vertAlign w:val="superscript"/>
        </w:rPr>
        <w:t xml:space="preserve"> </w:t>
      </w:r>
      <w:r w:rsidR="000141B0">
        <w:t>]</w:t>
      </w:r>
      <w:r w:rsidRPr="00B80882">
        <w:t xml:space="preserve"> &lt;7.0 kg/m</w:t>
      </w:r>
      <w:r w:rsidRPr="00B80882">
        <w:rPr>
          <w:vertAlign w:val="superscript"/>
        </w:rPr>
        <w:t>2</w:t>
      </w:r>
      <w:r w:rsidRPr="00B80882">
        <w:t xml:space="preserve"> </w:t>
      </w:r>
      <w:r w:rsidR="00A910B9">
        <w:t xml:space="preserve">in men </w:t>
      </w:r>
      <w:r w:rsidRPr="00B80882">
        <w:t>and &lt;5.5 kg/m</w:t>
      </w:r>
      <w:r w:rsidRPr="00B80882">
        <w:rPr>
          <w:vertAlign w:val="superscript"/>
        </w:rPr>
        <w:t xml:space="preserve">2 </w:t>
      </w:r>
      <w:r w:rsidRPr="00B80882">
        <w:t>in women)</w:t>
      </w:r>
      <w:r w:rsidR="00916033">
        <w:t xml:space="preserve"> </w:t>
      </w:r>
      <w:r w:rsidR="00916033">
        <w:fldChar w:fldCharType="begin" w:fldLock="1"/>
      </w:r>
      <w:r w:rsidR="008E6C84">
        <w:instrText>ADDIN CSL_CITATION {"citationItems":[{"id":"ITEM-1","itemData":{"DOI":"10.1093/ageing/afy169","author":[{"dropping-particle":"","family":"Cruz-Jentoft","given":"Alfonso J","non-dropping-particle":"","parse-names":false,"suffix":""},{"dropping-particle":"","family":"Bahat","given":"Gülistan","non-dropping-particle":"","parse-names":false,"suffix":""},{"dropping-particle":"","family":"Bauer","given":"Jürgen","non-dropping-particle":"","parse-names":false,"suffix":""},{"dropping-particle":"","family":"Boirie","given":"Yves","non-dropping-particle":"","parse-names":false,"suffix":""},{"dropping-particle":"","family":"Bruyère","given":"Olivier","non-dropping-particle":"","parse-names":false,"suffix":""},{"dropping-particle":"","family":"Cederholm","given":"Tommy","non-dropping-particle":"","parse-names":false,"suffix":""},{"dropping-particle":"","family":"Cooper","given":"Cyrus","non-dropping-particle":"","parse-names":false,"suffix":""},{"dropping-particle":"","family":"Landi","given":"Francesco","non-dropping-particle":"","parse-names":false,"suffix":""},{"dropping-particle":"","family":"Rolland","given":"Yves","non-dropping-particle":"","parse-names":false,"suffix":""},{"dropping-particle":"","family":"Aihie","given":"Avan","non-dropping-particle":"","parse-names":false,"suffix":""},{"dropping-particle":"","family":"10","given":"Sayer","non-dropping-particle":"","parse-names":false,"suffix":""},{"dropping-particle":"","family":"Schneider","given":"Stéphane M","non-dropping-particle":"","parse-names":false,"suffix":""},{"dropping-particle":"","family":"Sieber","given":"Cornel C","non-dropping-particle":"","parse-names":false,"suffix":""},{"dropping-particle":"","family":"Topinkova","given":"Eva","non-dropping-particle":"","parse-names":false,"suffix":""},{"dropping-particle":"","family":"Vandewoude","given":"Maurits","non-dropping-particle":"","parse-names":false,"suffix":""},{"dropping-particle":"","family":"Visser","given":"Marjolein","non-dropping-particle":"","parse-names":false,"suffix":""},{"dropping-particle":"","family":"Zamboni","given":"Mauro","non-dropping-particle":"","parse-names":false,"suffix":""}],"container-title":"Age and Ageing","id":"ITEM-1","issued":{"date-parts":[["2019"]]},"page":"16-31","title":"Sarcopenia: revised European consensus on definition and diagnosis EUROPEAN WORKING GROUP ON SARCOPENIA IN OLDER PEOPLE 2 (EWGSOP2), AND THE EXTENDED GROUP FOR EWGSOP2","type":"article-journal","volume":"48"},"uris":["http://www.mendeley.com/documents/?uuid=2c723c30-2710-4f31-b8d2-033f69875a8a"]}],"mendeley":{"formattedCitation":"[32]","plainTextFormattedCitation":"[32]","previouslyFormattedCitation":"[32]"},"properties":{"noteIndex":0},"schema":"https://github.com/citation-style-language/schema/raw/master/csl-citation.json"}</w:instrText>
      </w:r>
      <w:r w:rsidR="00916033">
        <w:fldChar w:fldCharType="separate"/>
      </w:r>
      <w:r w:rsidR="00C36856" w:rsidRPr="00C36856">
        <w:rPr>
          <w:noProof/>
        </w:rPr>
        <w:t>[32]</w:t>
      </w:r>
      <w:r w:rsidR="00916033">
        <w:fldChar w:fldCharType="end"/>
      </w:r>
      <w:r w:rsidR="00916033">
        <w:t>.</w:t>
      </w:r>
    </w:p>
    <w:p w14:paraId="48654C06" w14:textId="7E18FEAD" w:rsidR="009454A7" w:rsidRPr="00A6435E" w:rsidRDefault="00EF0E1A" w:rsidP="000011C4">
      <w:pPr>
        <w:pStyle w:val="Heading3"/>
      </w:pPr>
      <w:r w:rsidRPr="00B80882">
        <w:t>O</w:t>
      </w:r>
      <w:r w:rsidR="00384FDD">
        <w:t>steoporosis</w:t>
      </w:r>
      <w:r w:rsidR="009454A7" w:rsidRPr="00B80882">
        <w:t xml:space="preserve"> </w:t>
      </w:r>
    </w:p>
    <w:p w14:paraId="12F60810" w14:textId="73FF3C73" w:rsidR="009454A7" w:rsidRPr="00A6435E" w:rsidRDefault="00EF0E1A" w:rsidP="000011C4">
      <w:r w:rsidRPr="00A6435E">
        <w:t>OP</w:t>
      </w:r>
      <w:r w:rsidR="009454A7" w:rsidRPr="00A6435E">
        <w:t xml:space="preserve"> was defined according to the World Health Organization </w:t>
      </w:r>
      <w:r w:rsidR="00B70A9B" w:rsidRPr="00A6435E">
        <w:t>c</w:t>
      </w:r>
      <w:r w:rsidR="009454A7" w:rsidRPr="00A6435E">
        <w:t>riteria</w:t>
      </w:r>
      <w:r w:rsidR="00986C88" w:rsidRPr="00A6435E">
        <w:t xml:space="preserve"> and </w:t>
      </w:r>
      <w:r w:rsidR="009454A7" w:rsidRPr="00A6435E">
        <w:t>diagnosed when BMD T- scores were lower than the peak bone mass by 2.5 SD</w:t>
      </w:r>
      <w:r w:rsidR="00BC5984" w:rsidRPr="00A6435E">
        <w:t xml:space="preserve"> </w:t>
      </w:r>
      <w:r w:rsidR="00B70A9B" w:rsidRPr="00A6435E">
        <w:t>at</w:t>
      </w:r>
      <w:r w:rsidR="00BC5984" w:rsidRPr="00A6435E">
        <w:t xml:space="preserve"> </w:t>
      </w:r>
      <w:r w:rsidR="00E8168D" w:rsidRPr="00A6435E">
        <w:t xml:space="preserve">the </w:t>
      </w:r>
      <w:r w:rsidR="00BC5984" w:rsidRPr="00A6435E">
        <w:t>femoral neck</w:t>
      </w:r>
      <w:r w:rsidR="00905582" w:rsidRPr="00A6435E">
        <w:t xml:space="preserve"> or the use of osteoporotic treatment</w:t>
      </w:r>
      <w:r w:rsidR="00343021" w:rsidRPr="00A6435E">
        <w:t xml:space="preserve"> </w:t>
      </w:r>
      <w:r w:rsidR="004F7C3D" w:rsidRPr="00A6435E">
        <w:t xml:space="preserve">including </w:t>
      </w:r>
      <w:r w:rsidR="00B70A9B" w:rsidRPr="00A6435E">
        <w:t>hormone replacement therapy (</w:t>
      </w:r>
      <w:r w:rsidR="004F7C3D" w:rsidRPr="00A6435E">
        <w:t>HRT</w:t>
      </w:r>
      <w:r w:rsidR="00B70A9B" w:rsidRPr="00A6435E">
        <w:t>)</w:t>
      </w:r>
      <w:r w:rsidR="004F7C3D" w:rsidRPr="00A6435E">
        <w:t xml:space="preserve">, </w:t>
      </w:r>
      <w:r w:rsidR="0098277E" w:rsidRPr="00A6435E">
        <w:t>Bisphosphonates</w:t>
      </w:r>
      <w:r w:rsidR="004F7C3D" w:rsidRPr="00A6435E">
        <w:t xml:space="preserve">, </w:t>
      </w:r>
      <w:r w:rsidR="00E8168D" w:rsidRPr="00A6435E">
        <w:t xml:space="preserve">or </w:t>
      </w:r>
      <w:r w:rsidR="004F7C3D" w:rsidRPr="00A6435E">
        <w:t>Ra</w:t>
      </w:r>
      <w:r w:rsidR="0098277E" w:rsidRPr="00A6435E">
        <w:t>loxifene</w:t>
      </w:r>
      <w:r w:rsidR="00B70A9B" w:rsidRPr="00A6435E">
        <w:t xml:space="preserve"> </w:t>
      </w:r>
      <w:r w:rsidR="008E6C84" w:rsidRPr="00A6435E">
        <w:t xml:space="preserve">was </w:t>
      </w:r>
      <w:r w:rsidR="00AF0A7D" w:rsidRPr="00A6435E">
        <w:t>reported</w:t>
      </w:r>
      <w:r w:rsidR="0098277E" w:rsidRPr="00A6435E">
        <w:t xml:space="preserve">. </w:t>
      </w:r>
    </w:p>
    <w:p w14:paraId="5DA07FF6" w14:textId="39B8C5F2" w:rsidR="00325209" w:rsidRPr="00A6435E" w:rsidRDefault="00325209" w:rsidP="000011C4">
      <w:pPr>
        <w:pStyle w:val="Heading3"/>
      </w:pPr>
      <w:r w:rsidRPr="00A6435E">
        <w:t xml:space="preserve">Frailty </w:t>
      </w:r>
    </w:p>
    <w:p w14:paraId="273E6AC3" w14:textId="72DA8465" w:rsidR="00DB6079" w:rsidRDefault="00B82AA2" w:rsidP="000011C4">
      <w:pPr>
        <w:rPr>
          <w:rFonts w:cstheme="minorHAnsi"/>
          <w:color w:val="333333"/>
          <w:shd w:val="clear" w:color="auto" w:fill="FCFCFC"/>
        </w:rPr>
      </w:pPr>
      <w:r>
        <w:t>F</w:t>
      </w:r>
      <w:r w:rsidR="00EB39B9" w:rsidRPr="00B80882">
        <w:t xml:space="preserve">railty </w:t>
      </w:r>
      <w:r>
        <w:t xml:space="preserve">was defined </w:t>
      </w:r>
      <w:r w:rsidR="00EB39B9" w:rsidRPr="00B80882">
        <w:t>using the standard Fried definition</w:t>
      </w:r>
      <w:r w:rsidR="00CC7FDA" w:rsidRPr="00B80882">
        <w:t xml:space="preserve"> using similar cut offs for muscle strength </w:t>
      </w:r>
      <w:r w:rsidR="00574D03" w:rsidRPr="00B80882">
        <w:t>that were used to define</w:t>
      </w:r>
      <w:r w:rsidR="00FC3A49" w:rsidRPr="00B80882">
        <w:t xml:space="preserve"> sarcopenia</w:t>
      </w:r>
      <w:r w:rsidR="007B353B" w:rsidRPr="00B80882">
        <w:t xml:space="preserve"> (</w:t>
      </w:r>
      <w:r w:rsidR="00C954A0" w:rsidRPr="00B80882">
        <w:t xml:space="preserve"> grip strength </w:t>
      </w:r>
      <w:r w:rsidR="00D11221" w:rsidRPr="00B80882">
        <w:t>&lt;27kg men, &lt;16kg women</w:t>
      </w:r>
      <w:r w:rsidR="00014DF7">
        <w:t xml:space="preserve">) in addition to </w:t>
      </w:r>
      <w:r w:rsidR="00854D31">
        <w:t xml:space="preserve">the presence of </w:t>
      </w:r>
      <w:r w:rsidR="00014DF7" w:rsidRPr="00B80882">
        <w:t>unintentional weight loss, self-reported exhaustion</w:t>
      </w:r>
      <w:r w:rsidR="00C954A0" w:rsidRPr="00B80882">
        <w:t xml:space="preserve"> </w:t>
      </w:r>
      <w:r w:rsidR="00574D03" w:rsidRPr="00B80882">
        <w:t xml:space="preserve">and </w:t>
      </w:r>
      <w:r w:rsidR="00C954A0" w:rsidRPr="00B80882">
        <w:t>lowest sex-specific fifth of activity time</w:t>
      </w:r>
      <w:r w:rsidR="000C0985">
        <w:t>:</w:t>
      </w:r>
      <w:r w:rsidR="00EB39B9" w:rsidRPr="00B80882">
        <w:t xml:space="preserve"> 0 out of 5 domains = non-frail, 1 or 2 domains = pre-frail, </w:t>
      </w:r>
      <w:r w:rsidR="00CF66B4">
        <w:rPr>
          <w:rFonts w:ascii="Cambria Math" w:hAnsi="Cambria Math" w:cs="Cambria Math"/>
        </w:rPr>
        <w:t>≥</w:t>
      </w:r>
      <w:r w:rsidR="00EB39B9" w:rsidRPr="00B80882">
        <w:t xml:space="preserve">3 domains = frail. </w:t>
      </w:r>
      <w:r w:rsidR="007A4323" w:rsidRPr="00B80882">
        <w:rPr>
          <w:rFonts w:cstheme="minorHAnsi"/>
        </w:rPr>
        <w:t>T</w:t>
      </w:r>
      <w:r w:rsidR="007A4323" w:rsidRPr="00B80882">
        <w:rPr>
          <w:rFonts w:cstheme="minorHAnsi"/>
          <w:color w:val="333333"/>
          <w:shd w:val="clear" w:color="auto" w:fill="FCFCFC"/>
        </w:rPr>
        <w:t xml:space="preserve">he presence of unintentional weight loss was defined as a positive answer to </w:t>
      </w:r>
      <w:r w:rsidR="00574D03" w:rsidRPr="00B80882">
        <w:rPr>
          <w:rFonts w:cstheme="minorHAnsi"/>
          <w:color w:val="333333"/>
          <w:shd w:val="clear" w:color="auto" w:fill="FCFCFC"/>
        </w:rPr>
        <w:t xml:space="preserve">the </w:t>
      </w:r>
      <w:r w:rsidR="007A4323" w:rsidRPr="00B80882">
        <w:rPr>
          <w:rFonts w:cstheme="minorHAnsi"/>
          <w:color w:val="333333"/>
          <w:shd w:val="clear" w:color="auto" w:fill="FCFCFC"/>
        </w:rPr>
        <w:t xml:space="preserve">question: </w:t>
      </w:r>
      <w:r w:rsidR="00C82FCA" w:rsidRPr="00B80882">
        <w:rPr>
          <w:rFonts w:cstheme="minorHAnsi"/>
          <w:color w:val="333333"/>
          <w:shd w:val="clear" w:color="auto" w:fill="FCFCFC"/>
        </w:rPr>
        <w:t>“In the last year, have you lost more than 10</w:t>
      </w:r>
      <w:r w:rsidR="00703412" w:rsidRPr="00B80882">
        <w:rPr>
          <w:rFonts w:cstheme="minorHAnsi"/>
          <w:color w:val="333333"/>
          <w:shd w:val="clear" w:color="auto" w:fill="FCFCFC"/>
        </w:rPr>
        <w:t xml:space="preserve"> </w:t>
      </w:r>
      <w:r w:rsidR="00C82FCA" w:rsidRPr="00B80882">
        <w:rPr>
          <w:rFonts w:cstheme="minorHAnsi"/>
          <w:color w:val="333333"/>
          <w:shd w:val="clear" w:color="auto" w:fill="FCFCFC"/>
        </w:rPr>
        <w:t xml:space="preserve">pounds </w:t>
      </w:r>
      <w:r w:rsidR="00C061EF" w:rsidRPr="00B80882">
        <w:rPr>
          <w:rFonts w:cstheme="minorHAnsi"/>
          <w:color w:val="333333"/>
          <w:shd w:val="clear" w:color="auto" w:fill="FCFCFC"/>
        </w:rPr>
        <w:t xml:space="preserve">(4.5Kg) </w:t>
      </w:r>
      <w:r w:rsidR="00C82FCA" w:rsidRPr="00B80882">
        <w:rPr>
          <w:rFonts w:cstheme="minorHAnsi"/>
          <w:color w:val="333333"/>
          <w:shd w:val="clear" w:color="auto" w:fill="FCFCFC"/>
        </w:rPr>
        <w:t xml:space="preserve">unintentionally (i.e. not </w:t>
      </w:r>
      <w:r w:rsidR="00574D03" w:rsidRPr="00B80882">
        <w:rPr>
          <w:rFonts w:cstheme="minorHAnsi"/>
          <w:color w:val="333333"/>
          <w:shd w:val="clear" w:color="auto" w:fill="FCFCFC"/>
        </w:rPr>
        <w:t>d</w:t>
      </w:r>
      <w:r w:rsidR="00C82FCA" w:rsidRPr="00B80882">
        <w:rPr>
          <w:rFonts w:cstheme="minorHAnsi"/>
          <w:color w:val="333333"/>
          <w:shd w:val="clear" w:color="auto" w:fill="FCFCFC"/>
        </w:rPr>
        <w:t xml:space="preserve">ue to dieting or exercise)?”. </w:t>
      </w:r>
      <w:r w:rsidR="009518C4" w:rsidRPr="00B80882">
        <w:rPr>
          <w:rFonts w:cstheme="minorHAnsi"/>
          <w:color w:val="333333"/>
          <w:shd w:val="clear" w:color="auto" w:fill="FCFCFC"/>
        </w:rPr>
        <w:t>The presence of self-reported exhaustion was defined as a</w:t>
      </w:r>
      <w:r w:rsidR="00703412" w:rsidRPr="00B80882">
        <w:rPr>
          <w:rFonts w:cstheme="minorHAnsi"/>
          <w:color w:val="333333"/>
          <w:shd w:val="clear" w:color="auto" w:fill="FCFCFC"/>
        </w:rPr>
        <w:t>n</w:t>
      </w:r>
      <w:r w:rsidR="00EB49A1" w:rsidRPr="00B80882">
        <w:rPr>
          <w:rFonts w:cstheme="minorHAnsi"/>
          <w:color w:val="333333"/>
          <w:shd w:val="clear" w:color="auto" w:fill="FCFCFC"/>
        </w:rPr>
        <w:t xml:space="preserve"> </w:t>
      </w:r>
      <w:r w:rsidR="009518C4" w:rsidRPr="00B80882">
        <w:rPr>
          <w:rFonts w:cstheme="minorHAnsi"/>
          <w:color w:val="333333"/>
          <w:shd w:val="clear" w:color="auto" w:fill="FCFCFC"/>
        </w:rPr>
        <w:t xml:space="preserve">answer </w:t>
      </w:r>
      <w:r w:rsidR="00574D03" w:rsidRPr="00B80882">
        <w:rPr>
          <w:rFonts w:cstheme="minorHAnsi"/>
          <w:color w:val="333333"/>
          <w:shd w:val="clear" w:color="auto" w:fill="FCFCFC"/>
        </w:rPr>
        <w:t xml:space="preserve">of a moderate amount of time or most of the time (i.e. ≥3 days) </w:t>
      </w:r>
      <w:r w:rsidR="009518C4" w:rsidRPr="00B80882">
        <w:rPr>
          <w:rFonts w:cstheme="minorHAnsi"/>
          <w:color w:val="333333"/>
          <w:shd w:val="clear" w:color="auto" w:fill="FCFCFC"/>
        </w:rPr>
        <w:t xml:space="preserve">to </w:t>
      </w:r>
      <w:r w:rsidR="00574D03" w:rsidRPr="00B80882">
        <w:rPr>
          <w:rFonts w:cstheme="minorHAnsi"/>
          <w:color w:val="333333"/>
          <w:shd w:val="clear" w:color="auto" w:fill="FCFCFC"/>
        </w:rPr>
        <w:t xml:space="preserve">the </w:t>
      </w:r>
      <w:r w:rsidR="009518C4" w:rsidRPr="00B80882">
        <w:rPr>
          <w:rFonts w:cstheme="minorHAnsi"/>
          <w:color w:val="333333"/>
          <w:shd w:val="clear" w:color="auto" w:fill="FCFCFC"/>
        </w:rPr>
        <w:t>question</w:t>
      </w:r>
      <w:r w:rsidR="007A4323" w:rsidRPr="00B80882">
        <w:rPr>
          <w:rFonts w:cstheme="minorHAnsi"/>
          <w:color w:val="333333"/>
          <w:shd w:val="clear" w:color="auto" w:fill="FCFCFC"/>
        </w:rPr>
        <w:t xml:space="preserve">: </w:t>
      </w:r>
      <w:r w:rsidR="00574D03" w:rsidRPr="00B80882">
        <w:rPr>
          <w:rFonts w:cstheme="minorHAnsi"/>
          <w:color w:val="333333"/>
          <w:shd w:val="clear" w:color="auto" w:fill="FCFCFC"/>
        </w:rPr>
        <w:t xml:space="preserve">How often in the last week did you feel </w:t>
      </w:r>
      <w:r w:rsidR="002F7127" w:rsidRPr="00B80882">
        <w:rPr>
          <w:rFonts w:cstheme="minorHAnsi"/>
          <w:color w:val="333333"/>
          <w:shd w:val="clear" w:color="auto" w:fill="FCFCFC"/>
        </w:rPr>
        <w:t xml:space="preserve">“everything I did </w:t>
      </w:r>
      <w:r w:rsidR="001B6388" w:rsidRPr="00B80882">
        <w:rPr>
          <w:rFonts w:cstheme="minorHAnsi"/>
          <w:color w:val="333333"/>
          <w:shd w:val="clear" w:color="auto" w:fill="FCFCFC"/>
        </w:rPr>
        <w:t>was an effort</w:t>
      </w:r>
      <w:r w:rsidR="00040A6F" w:rsidRPr="00B80882">
        <w:rPr>
          <w:rFonts w:cstheme="minorHAnsi"/>
          <w:color w:val="333333"/>
          <w:shd w:val="clear" w:color="auto" w:fill="FCFCFC"/>
        </w:rPr>
        <w:t>” or I could not get going”</w:t>
      </w:r>
      <w:r w:rsidR="00574D03" w:rsidRPr="00B80882">
        <w:rPr>
          <w:rFonts w:cstheme="minorHAnsi"/>
          <w:color w:val="333333"/>
          <w:shd w:val="clear" w:color="auto" w:fill="FCFCFC"/>
        </w:rPr>
        <w:t>.</w:t>
      </w:r>
      <w:r w:rsidR="00091E10">
        <w:rPr>
          <w:rFonts w:cstheme="minorHAnsi"/>
          <w:color w:val="333333"/>
          <w:shd w:val="clear" w:color="auto" w:fill="FCFCFC"/>
        </w:rPr>
        <w:t xml:space="preserve"> </w:t>
      </w:r>
    </w:p>
    <w:p w14:paraId="0C6E6665" w14:textId="2EE23B93" w:rsidR="00DB6079" w:rsidRDefault="00DB6079" w:rsidP="00521C30">
      <w:pPr>
        <w:pStyle w:val="Heading3"/>
        <w:rPr>
          <w:shd w:val="clear" w:color="auto" w:fill="FCFCFC"/>
        </w:rPr>
      </w:pPr>
      <w:r>
        <w:rPr>
          <w:shd w:val="clear" w:color="auto" w:fill="FCFCFC"/>
        </w:rPr>
        <w:t>Comorbidit</w:t>
      </w:r>
      <w:r w:rsidR="000C51F6">
        <w:rPr>
          <w:shd w:val="clear" w:color="auto" w:fill="FCFCFC"/>
        </w:rPr>
        <w:t>y</w:t>
      </w:r>
    </w:p>
    <w:p w14:paraId="644946A9" w14:textId="717B31FA" w:rsidR="00AA034C" w:rsidRPr="00A6435E" w:rsidRDefault="00DA73D2" w:rsidP="000011C4">
      <w:pPr>
        <w:rPr>
          <w:rFonts w:cstheme="minorHAnsi"/>
          <w:shd w:val="clear" w:color="auto" w:fill="FCFCFC"/>
        </w:rPr>
      </w:pPr>
      <w:r w:rsidRPr="00A6435E">
        <w:rPr>
          <w:shd w:val="clear" w:color="auto" w:fill="FCFCFC"/>
        </w:rPr>
        <w:t xml:space="preserve">Participants were asked to </w:t>
      </w:r>
      <w:r w:rsidR="00CA1114" w:rsidRPr="00A6435E">
        <w:rPr>
          <w:shd w:val="clear" w:color="auto" w:fill="FCFCFC"/>
        </w:rPr>
        <w:t>self-</w:t>
      </w:r>
      <w:r w:rsidRPr="00A6435E">
        <w:rPr>
          <w:shd w:val="clear" w:color="auto" w:fill="FCFCFC"/>
        </w:rPr>
        <w:t xml:space="preserve">report </w:t>
      </w:r>
      <w:r w:rsidR="00CA1114" w:rsidRPr="00A6435E">
        <w:rPr>
          <w:shd w:val="clear" w:color="auto" w:fill="FCFCFC"/>
        </w:rPr>
        <w:t>their comorbidities</w:t>
      </w:r>
      <w:r w:rsidR="00F71CDE" w:rsidRPr="00A6435E">
        <w:rPr>
          <w:shd w:val="clear" w:color="auto" w:fill="FCFCFC"/>
        </w:rPr>
        <w:t xml:space="preserve"> with the use of a questionnaire.</w:t>
      </w:r>
      <w:r w:rsidR="00CA1114" w:rsidRPr="00A6435E">
        <w:rPr>
          <w:shd w:val="clear" w:color="auto" w:fill="FCFCFC"/>
        </w:rPr>
        <w:t xml:space="preserve"> </w:t>
      </w:r>
      <w:r w:rsidRPr="00A6435E">
        <w:rPr>
          <w:shd w:val="clear" w:color="auto" w:fill="FCFCFC"/>
        </w:rPr>
        <w:t>We then categorize</w:t>
      </w:r>
      <w:r w:rsidR="00B82AA2" w:rsidRPr="00A6435E">
        <w:rPr>
          <w:shd w:val="clear" w:color="auto" w:fill="FCFCFC"/>
        </w:rPr>
        <w:t>d</w:t>
      </w:r>
      <w:r w:rsidRPr="00A6435E">
        <w:rPr>
          <w:shd w:val="clear" w:color="auto" w:fill="FCFCFC"/>
        </w:rPr>
        <w:t xml:space="preserve"> the number </w:t>
      </w:r>
      <w:r w:rsidR="00B82AA2" w:rsidRPr="00A6435E">
        <w:rPr>
          <w:shd w:val="clear" w:color="auto" w:fill="FCFCFC"/>
        </w:rPr>
        <w:t xml:space="preserve">as </w:t>
      </w:r>
      <w:r w:rsidRPr="00A6435E">
        <w:rPr>
          <w:shd w:val="clear" w:color="auto" w:fill="FCFCFC"/>
        </w:rPr>
        <w:t xml:space="preserve">none, one, two, </w:t>
      </w:r>
      <w:r w:rsidR="00F31398" w:rsidRPr="00A6435E">
        <w:rPr>
          <w:shd w:val="clear" w:color="auto" w:fill="FCFCFC"/>
        </w:rPr>
        <w:t xml:space="preserve">and </w:t>
      </w:r>
      <w:r w:rsidRPr="00A6435E">
        <w:rPr>
          <w:shd w:val="clear" w:color="auto" w:fill="FCFCFC"/>
        </w:rPr>
        <w:t>three or more.</w:t>
      </w:r>
      <w:r w:rsidRPr="00A6435E" w:rsidDel="00DA73D2">
        <w:rPr>
          <w:shd w:val="clear" w:color="auto" w:fill="FCFCFC"/>
        </w:rPr>
        <w:t xml:space="preserve"> </w:t>
      </w:r>
      <w:r w:rsidR="00DE4659" w:rsidRPr="00A6435E">
        <w:rPr>
          <w:shd w:val="clear" w:color="auto" w:fill="FCFCFC"/>
        </w:rPr>
        <w:t xml:space="preserve">Multimorbidity was defined when participants </w:t>
      </w:r>
      <w:r w:rsidR="00A12442" w:rsidRPr="00A6435E">
        <w:rPr>
          <w:shd w:val="clear" w:color="auto" w:fill="FCFCFC"/>
        </w:rPr>
        <w:t>self-</w:t>
      </w:r>
      <w:r w:rsidR="00DE4659" w:rsidRPr="00A6435E">
        <w:rPr>
          <w:shd w:val="clear" w:color="auto" w:fill="FCFCFC"/>
        </w:rPr>
        <w:t xml:space="preserve">reported 3 or more comorbidities. </w:t>
      </w:r>
    </w:p>
    <w:p w14:paraId="606C6C65" w14:textId="7A5F1A0C" w:rsidR="000B46BB" w:rsidRPr="00B80882" w:rsidRDefault="000B46BB" w:rsidP="000011C4">
      <w:pPr>
        <w:pStyle w:val="Heading2"/>
      </w:pPr>
      <w:r w:rsidRPr="00B80882">
        <w:t>Statistical analysis</w:t>
      </w:r>
    </w:p>
    <w:p w14:paraId="7781C6B0" w14:textId="781A0598" w:rsidR="00A26247" w:rsidRPr="00E008E8" w:rsidRDefault="00574D03" w:rsidP="000011C4">
      <w:r w:rsidRPr="00B80882">
        <w:t xml:space="preserve">Descriptive statistics for continuous variables were expressed as mean and standard deviation (SD) or median and interquartile range (IQR) as appropriate. Categorical variables were expressed as frequency (N) and percentage (%). Differences between groups (such as frailty status) were assessed using analysis of variance (ANOVA), Kruskal-Wallis tests, Pearson’s </w:t>
      </w:r>
      <w:r w:rsidRPr="00B80882">
        <w:rPr>
          <w:rStyle w:val="st"/>
        </w:rPr>
        <w:t>χ</w:t>
      </w:r>
      <w:r w:rsidRPr="00B80882">
        <w:rPr>
          <w:rStyle w:val="st"/>
          <w:vertAlign w:val="superscript"/>
        </w:rPr>
        <w:t>2</w:t>
      </w:r>
      <w:r w:rsidRPr="00B80882">
        <w:t xml:space="preserve"> tests or Fisher’s exact tests as appropriate. </w:t>
      </w:r>
      <w:r w:rsidR="009275B4" w:rsidRPr="00B80882">
        <w:rPr>
          <w:color w:val="000000"/>
        </w:rPr>
        <w:t xml:space="preserve">Logistic regressions were performed to analyse associations of </w:t>
      </w:r>
      <w:r w:rsidR="00EF0E1A" w:rsidRPr="00B80882">
        <w:rPr>
          <w:color w:val="000000"/>
        </w:rPr>
        <w:t>OP</w:t>
      </w:r>
      <w:r w:rsidR="00D70D72" w:rsidRPr="00B80882">
        <w:rPr>
          <w:color w:val="000000"/>
        </w:rPr>
        <w:t xml:space="preserve"> </w:t>
      </w:r>
      <w:r w:rsidR="00FE2032" w:rsidRPr="00B80882">
        <w:rPr>
          <w:color w:val="000000"/>
        </w:rPr>
        <w:t xml:space="preserve">at femoral </w:t>
      </w:r>
      <w:r w:rsidR="004E4758" w:rsidRPr="00B80882">
        <w:rPr>
          <w:color w:val="000000"/>
        </w:rPr>
        <w:t xml:space="preserve">neck, </w:t>
      </w:r>
      <w:r w:rsidR="00EF0E1A" w:rsidRPr="00B80882">
        <w:rPr>
          <w:color w:val="000000"/>
        </w:rPr>
        <w:t>SP</w:t>
      </w:r>
      <w:r w:rsidR="00D70D72" w:rsidRPr="00B80882">
        <w:rPr>
          <w:color w:val="000000"/>
        </w:rPr>
        <w:t xml:space="preserve"> </w:t>
      </w:r>
      <w:r w:rsidR="00FE2032" w:rsidRPr="00B80882">
        <w:rPr>
          <w:color w:val="000000"/>
        </w:rPr>
        <w:t xml:space="preserve">and </w:t>
      </w:r>
      <w:r w:rsidR="00C65FF7" w:rsidRPr="00B80882">
        <w:rPr>
          <w:color w:val="000000"/>
        </w:rPr>
        <w:t xml:space="preserve">co-existence of </w:t>
      </w:r>
      <w:r w:rsidR="00EF0E1A" w:rsidRPr="00B80882">
        <w:rPr>
          <w:color w:val="000000"/>
        </w:rPr>
        <w:t>OP</w:t>
      </w:r>
      <w:r w:rsidR="00C65FF7" w:rsidRPr="00B80882">
        <w:rPr>
          <w:color w:val="000000"/>
        </w:rPr>
        <w:t xml:space="preserve"> and </w:t>
      </w:r>
      <w:r w:rsidR="00EF0E1A" w:rsidRPr="00B80882">
        <w:rPr>
          <w:color w:val="000000"/>
        </w:rPr>
        <w:t>SP</w:t>
      </w:r>
      <w:r w:rsidR="00C65FF7" w:rsidRPr="00B80882">
        <w:rPr>
          <w:color w:val="000000"/>
        </w:rPr>
        <w:t xml:space="preserve"> </w:t>
      </w:r>
      <w:r w:rsidR="009275B4" w:rsidRPr="00B80882">
        <w:rPr>
          <w:color w:val="000000"/>
        </w:rPr>
        <w:t>as explanatory variables for frailty</w:t>
      </w:r>
      <w:r w:rsidR="00F7276D" w:rsidRPr="00B80882">
        <w:rPr>
          <w:color w:val="000000"/>
        </w:rPr>
        <w:t xml:space="preserve"> adjusting for sex only initially, then further adjusting for age, BMI, current </w:t>
      </w:r>
      <w:r w:rsidR="00296E23" w:rsidRPr="00B80882">
        <w:rPr>
          <w:color w:val="000000"/>
        </w:rPr>
        <w:t>smoker,</w:t>
      </w:r>
      <w:r w:rsidR="00F7276D" w:rsidRPr="00B80882">
        <w:rPr>
          <w:color w:val="000000"/>
        </w:rPr>
        <w:t xml:space="preserve"> and alcohol consumption. </w:t>
      </w:r>
    </w:p>
    <w:p w14:paraId="050B61A4" w14:textId="3D7974C7" w:rsidR="003F1D67" w:rsidRPr="00B80882" w:rsidRDefault="006245E7" w:rsidP="000011C4">
      <w:pPr>
        <w:pStyle w:val="Heading1"/>
      </w:pPr>
      <w:r w:rsidRPr="00544179">
        <w:t>Results</w:t>
      </w:r>
    </w:p>
    <w:p w14:paraId="148D4DF3" w14:textId="1E16DC95" w:rsidR="00F3429C" w:rsidRPr="00B80882" w:rsidRDefault="00F3429C" w:rsidP="000011C4">
      <w:r>
        <w:rPr>
          <w:color w:val="000000"/>
        </w:rPr>
        <w:t xml:space="preserve">Complete </w:t>
      </w:r>
      <w:r w:rsidR="00A26247">
        <w:rPr>
          <w:color w:val="000000"/>
        </w:rPr>
        <w:t xml:space="preserve">baseline </w:t>
      </w:r>
      <w:r>
        <w:rPr>
          <w:color w:val="000000"/>
        </w:rPr>
        <w:t>data</w:t>
      </w:r>
      <w:r w:rsidR="00B82AA2">
        <w:rPr>
          <w:color w:val="000000"/>
        </w:rPr>
        <w:t xml:space="preserve"> were available </w:t>
      </w:r>
      <w:r w:rsidR="006F659D" w:rsidRPr="00B80882">
        <w:rPr>
          <w:color w:val="000000"/>
        </w:rPr>
        <w:t xml:space="preserve">for 405 </w:t>
      </w:r>
      <w:r w:rsidR="00204C7C" w:rsidRPr="00B80882">
        <w:rPr>
          <w:color w:val="000000"/>
        </w:rPr>
        <w:t>participants (</w:t>
      </w:r>
      <w:r w:rsidR="006F659D" w:rsidRPr="00B80882">
        <w:rPr>
          <w:color w:val="000000"/>
        </w:rPr>
        <w:t xml:space="preserve">199 </w:t>
      </w:r>
      <w:r w:rsidR="00204C7C" w:rsidRPr="00B80882">
        <w:rPr>
          <w:color w:val="000000"/>
        </w:rPr>
        <w:t xml:space="preserve">men and </w:t>
      </w:r>
      <w:r w:rsidR="006F659D" w:rsidRPr="00B80882">
        <w:rPr>
          <w:color w:val="000000"/>
        </w:rPr>
        <w:t xml:space="preserve">206 </w:t>
      </w:r>
      <w:r w:rsidR="00204C7C" w:rsidRPr="00B80882">
        <w:rPr>
          <w:color w:val="000000"/>
        </w:rPr>
        <w:t>women)</w:t>
      </w:r>
      <w:r w:rsidR="00897C2F" w:rsidRPr="00B80882">
        <w:rPr>
          <w:color w:val="000000"/>
        </w:rPr>
        <w:t xml:space="preserve">. </w:t>
      </w:r>
      <w:r w:rsidR="006F659D" w:rsidRPr="00B80882">
        <w:rPr>
          <w:color w:val="000000"/>
        </w:rPr>
        <w:t>T</w:t>
      </w:r>
      <w:r w:rsidR="009C5E44" w:rsidRPr="00B80882">
        <w:t xml:space="preserve">he </w:t>
      </w:r>
      <w:r w:rsidR="006F659D" w:rsidRPr="00B80882">
        <w:t xml:space="preserve">median </w:t>
      </w:r>
      <w:r w:rsidR="009C5E44" w:rsidRPr="00B80882">
        <w:t xml:space="preserve">(SD) age of participants </w:t>
      </w:r>
      <w:r w:rsidR="00B82AA2">
        <w:t xml:space="preserve">at baseline </w:t>
      </w:r>
      <w:r w:rsidR="009C5E44" w:rsidRPr="00B80882">
        <w:t>was 75.</w:t>
      </w:r>
      <w:r w:rsidR="006F659D" w:rsidRPr="00B80882">
        <w:t>5</w:t>
      </w:r>
      <w:r w:rsidR="009C5E44" w:rsidRPr="00B80882">
        <w:t xml:space="preserve"> (</w:t>
      </w:r>
      <w:r w:rsidR="006F659D" w:rsidRPr="00B80882">
        <w:t>73.4 - 77.92</w:t>
      </w:r>
      <w:r w:rsidR="009C5E44" w:rsidRPr="00B80882">
        <w:t>) years.</w:t>
      </w:r>
      <w:r w:rsidR="009D3242" w:rsidRPr="00B80882">
        <w:t xml:space="preserve"> </w:t>
      </w:r>
      <w:r>
        <w:t>The characteristics of this population are shown in</w:t>
      </w:r>
      <w:r w:rsidR="003A50DB">
        <w:t xml:space="preserve"> </w:t>
      </w:r>
      <w:r w:rsidR="003A50DB" w:rsidRPr="003A50DB">
        <w:rPr>
          <w:b/>
          <w:bCs/>
        </w:rPr>
        <w:t>Table 1</w:t>
      </w:r>
      <w:r w:rsidR="003A50DB">
        <w:t>. 4</w:t>
      </w:r>
      <w:r w:rsidRPr="00B80882">
        <w:t xml:space="preserve">.5% of men and 2.9% of women were current smokers with no sex difference (p = 0.391). There was a significant difference between women and men </w:t>
      </w:r>
      <w:r w:rsidR="00A26247">
        <w:t xml:space="preserve">at baseline </w:t>
      </w:r>
      <w:r w:rsidRPr="00B80882">
        <w:t xml:space="preserve">in the median (IQR) alcohol consumption </w:t>
      </w:r>
      <w:r w:rsidR="002943E7">
        <w:t>[</w:t>
      </w:r>
      <w:r w:rsidR="00F31398">
        <w:t>(</w:t>
      </w:r>
      <w:r w:rsidRPr="00B80882">
        <w:t>men: 6.2 (1.0 - 12.3) units per week; women: 0.3 (0.0 - 3.1) units per week; p&lt;0.001</w:t>
      </w:r>
      <w:r w:rsidR="00F31398">
        <w:t>)</w:t>
      </w:r>
      <w:r w:rsidR="002943E7">
        <w:t>]</w:t>
      </w:r>
      <w:r w:rsidRPr="00B80882">
        <w:t>.</w:t>
      </w:r>
      <w:r w:rsidRPr="00B80882">
        <w:rPr>
          <w:rFonts w:cs="Times New Roman"/>
          <w:lang w:eastAsia="en-GB"/>
        </w:rPr>
        <w:t xml:space="preserve"> </w:t>
      </w:r>
      <w:r w:rsidR="00A764CB" w:rsidRPr="00B80882">
        <w:t>Over half of participants reported to have low walking speed (</w:t>
      </w:r>
      <w:r w:rsidR="00A764CB" w:rsidRPr="00B80882">
        <w:rPr>
          <w:rFonts w:cstheme="minorHAnsi"/>
        </w:rPr>
        <w:t>≤</w:t>
      </w:r>
      <w:r w:rsidR="00A764CB" w:rsidRPr="00B80882">
        <w:t>0.8m/s) (55.2%, 217/393) and one fifth of them had low physical activity</w:t>
      </w:r>
      <w:r w:rsidR="00915B72" w:rsidRPr="00B80882">
        <w:t xml:space="preserve"> (80/394). One fifth of participants had evidence of osteoporosis and 8% had evidence of sarcopenia. 20.5% (83/405) self-reported 3 or more comorbidities</w:t>
      </w:r>
      <w:r w:rsidR="001B5806" w:rsidRPr="00B80882">
        <w:t xml:space="preserve">. </w:t>
      </w:r>
    </w:p>
    <w:p w14:paraId="41D3194B" w14:textId="1AE7668F" w:rsidR="00541D6A" w:rsidRPr="00B80882" w:rsidRDefault="00541D6A" w:rsidP="00541D6A">
      <w:r w:rsidRPr="00B80882">
        <w:t>There were significant differences between non</w:t>
      </w:r>
      <w:r>
        <w:t>-</w:t>
      </w:r>
      <w:r w:rsidRPr="00B80882">
        <w:t>frail, pre</w:t>
      </w:r>
      <w:r>
        <w:t>-</w:t>
      </w:r>
      <w:r w:rsidR="00A12442" w:rsidRPr="00B80882">
        <w:t>frail,</w:t>
      </w:r>
      <w:r w:rsidRPr="00B80882">
        <w:t xml:space="preserve"> and frail participants with respect to age (p=0.002), height (p=0.035), BMI(kg/m</w:t>
      </w:r>
      <w:r w:rsidRPr="00B80882">
        <w:rPr>
          <w:vertAlign w:val="superscript"/>
        </w:rPr>
        <w:t>2</w:t>
      </w:r>
      <w:r w:rsidRPr="00B80882">
        <w:t xml:space="preserve">) (p&lt;0.001), alcohol consumption (p=0.027), physical activity in the last 2 weeks (p&lt;0.001), walking speed (p&lt;0.001) and grip strength (p&lt;0.001) </w:t>
      </w:r>
      <w:bookmarkStart w:id="1" w:name="_Table_1:_Characteristics"/>
      <w:bookmarkEnd w:id="1"/>
      <w:r>
        <w:t>as shown in</w:t>
      </w:r>
      <w:r w:rsidR="002F5333">
        <w:t xml:space="preserve"> </w:t>
      </w:r>
      <w:r w:rsidR="003A50DB">
        <w:rPr>
          <w:b/>
          <w:bCs/>
        </w:rPr>
        <w:t xml:space="preserve">Table 2. </w:t>
      </w:r>
      <w:r w:rsidR="003A50DB" w:rsidRPr="003A50DB">
        <w:t>O</w:t>
      </w:r>
      <w:r w:rsidRPr="00B80882">
        <w:t>f the five Fried frailty components, low walking speed and low physical activity followed by self-reported exhaustion were the most prevalent (96.6%, 87.5% and 75.8% respectively)</w:t>
      </w:r>
      <w:r>
        <w:t xml:space="preserve"> among frail participants. </w:t>
      </w:r>
    </w:p>
    <w:p w14:paraId="0A9FC730" w14:textId="339584C7" w:rsidR="009A27BC" w:rsidRDefault="009A27BC" w:rsidP="000011C4">
      <w:r>
        <w:t xml:space="preserve">In our sample, the prevalence of frailty and pre-frailty at baseline was 8.1% (men 7.0%, women 9.2%) and 57.5% (men 54.3%, women 60.7%), respectively. </w:t>
      </w:r>
      <w:r w:rsidR="008E1081" w:rsidRPr="008E1081">
        <w:rPr>
          <w:b/>
          <w:bCs/>
        </w:rPr>
        <w:t>Fig</w:t>
      </w:r>
      <w:r w:rsidR="00757D68">
        <w:rPr>
          <w:b/>
          <w:bCs/>
        </w:rPr>
        <w:t>.</w:t>
      </w:r>
      <w:r w:rsidR="008E1081" w:rsidRPr="008E1081">
        <w:rPr>
          <w:b/>
          <w:bCs/>
        </w:rPr>
        <w:t>1</w:t>
      </w:r>
      <w:r w:rsidR="008E1081">
        <w:t xml:space="preserve"> </w:t>
      </w:r>
      <w:r>
        <w:t>illustrates the prevalence of frailty in the 70-74, 75-79m and</w:t>
      </w:r>
      <w:r w:rsidRPr="00B80882">
        <w:t xml:space="preserve"> ≥ 80-year age groups</w:t>
      </w:r>
      <w:r>
        <w:t>. These were</w:t>
      </w:r>
      <w:r w:rsidRPr="00B80882">
        <w:t xml:space="preserve"> 5.8%, 9.8%, and 14.3% respectively, and that of pre-frailty was 55.3%, 59.3% and 61.9% respectively.</w:t>
      </w:r>
      <w:r>
        <w:t xml:space="preserve"> </w:t>
      </w:r>
      <w:r w:rsidR="008E1081" w:rsidRPr="008E1081">
        <w:rPr>
          <w:b/>
          <w:bCs/>
        </w:rPr>
        <w:t>Fig.1</w:t>
      </w:r>
      <w:r w:rsidR="008E1081">
        <w:t xml:space="preserve"> </w:t>
      </w:r>
      <w:r>
        <w:t>(</w:t>
      </w:r>
      <w:r w:rsidRPr="00B80882">
        <w:t>b</w:t>
      </w:r>
      <w:r>
        <w:t>)</w:t>
      </w:r>
      <w:r w:rsidRPr="00B80882">
        <w:t xml:space="preserve"> and </w:t>
      </w:r>
      <w:r w:rsidR="008E1081" w:rsidRPr="008E1081">
        <w:rPr>
          <w:b/>
          <w:bCs/>
        </w:rPr>
        <w:t>Fig.1</w:t>
      </w:r>
      <w:r w:rsidR="008E1081">
        <w:t xml:space="preserve"> </w:t>
      </w:r>
      <w:r>
        <w:t>(</w:t>
      </w:r>
      <w:r w:rsidRPr="00B80882">
        <w:t>c</w:t>
      </w:r>
      <w:r>
        <w:t>)</w:t>
      </w:r>
      <w:r w:rsidRPr="00B80882">
        <w:t xml:space="preserve"> also shows the age- and gender- stratified prevalence of frailty and pre-frailty. </w:t>
      </w:r>
      <w:r>
        <w:t>T</w:t>
      </w:r>
      <w:r w:rsidRPr="00B80882">
        <w:t xml:space="preserve">here were no significant differences in frailty status between men and women nor between the age groups in both sexes. </w:t>
      </w:r>
      <w:bookmarkStart w:id="2" w:name="_Figure_b:_Age-and"/>
      <w:bookmarkEnd w:id="2"/>
    </w:p>
    <w:p w14:paraId="6EDDA22E" w14:textId="75F42A3F" w:rsidR="00CC1025" w:rsidRPr="00A6435E" w:rsidRDefault="00F3429C" w:rsidP="000011C4">
      <w:pPr>
        <w:rPr>
          <w:rFonts w:cstheme="minorHAnsi"/>
        </w:rPr>
      </w:pPr>
      <w:r>
        <w:t xml:space="preserve">We next considered interrelationships between SP, </w:t>
      </w:r>
      <w:r w:rsidR="00E008E8">
        <w:t>OP,</w:t>
      </w:r>
      <w:r>
        <w:t xml:space="preserve"> or both with frailty. </w:t>
      </w:r>
      <w:r w:rsidR="005A4237" w:rsidRPr="00A74866">
        <w:t>Co-existence of SP, OP and frailty was observed in 1% of this population. 2%</w:t>
      </w:r>
      <w:r w:rsidR="006C5486">
        <w:t xml:space="preserve"> </w:t>
      </w:r>
      <w:r w:rsidR="005A4237" w:rsidRPr="00A74866">
        <w:t xml:space="preserve">of the study </w:t>
      </w:r>
      <w:r w:rsidR="002D6D9F">
        <w:t>sample</w:t>
      </w:r>
      <w:r w:rsidR="005A4237" w:rsidRPr="00A74866">
        <w:t xml:space="preserve"> had SP and OP. 73% had no evidence of SP, OP, or </w:t>
      </w:r>
      <w:r w:rsidR="000B0B12" w:rsidRPr="00A74866">
        <w:t>frailty</w:t>
      </w:r>
      <w:r w:rsidR="000B0B12">
        <w:t xml:space="preserve"> (</w:t>
      </w:r>
      <w:r w:rsidR="008E1081" w:rsidRPr="008E1081">
        <w:rPr>
          <w:b/>
          <w:bCs/>
        </w:rPr>
        <w:t>Fig.</w:t>
      </w:r>
      <w:r w:rsidR="008E1081">
        <w:rPr>
          <w:b/>
          <w:bCs/>
        </w:rPr>
        <w:t>2</w:t>
      </w:r>
      <w:r w:rsidR="000B0B12">
        <w:t>)</w:t>
      </w:r>
      <w:r w:rsidR="005A4237" w:rsidRPr="00A74866">
        <w:t xml:space="preserve">. </w:t>
      </w:r>
      <w:r w:rsidR="00916033" w:rsidRPr="00A74866">
        <w:t xml:space="preserve">Amongst the participants with frailty, 27.8% had a concomitant diagnosis of SP, compared with 8.9% in </w:t>
      </w:r>
      <w:r w:rsidR="00916033">
        <w:t xml:space="preserve">the </w:t>
      </w:r>
      <w:r w:rsidR="00916033" w:rsidRPr="00A74866">
        <w:t>pre-frail and 4.0% in the non-frail categor</w:t>
      </w:r>
      <w:r w:rsidR="00916033">
        <w:t>ies</w:t>
      </w:r>
      <w:r w:rsidR="00916033" w:rsidRPr="00A74866">
        <w:t xml:space="preserve"> (p=0.005)</w:t>
      </w:r>
      <w:r w:rsidR="00916033">
        <w:t xml:space="preserve">. </w:t>
      </w:r>
      <w:r w:rsidR="00916033">
        <w:rPr>
          <w:rFonts w:cstheme="minorHAnsi"/>
        </w:rPr>
        <w:t xml:space="preserve">In a model of SP/OP status, having </w:t>
      </w:r>
      <w:r w:rsidR="00916033" w:rsidRPr="00772C63">
        <w:rPr>
          <w:rFonts w:cstheme="minorHAnsi"/>
        </w:rPr>
        <w:t xml:space="preserve">SP </w:t>
      </w:r>
      <w:r w:rsidR="00916033">
        <w:rPr>
          <w:rFonts w:cstheme="minorHAnsi"/>
        </w:rPr>
        <w:t xml:space="preserve">only </w:t>
      </w:r>
      <w:r w:rsidR="00916033" w:rsidRPr="00772C63">
        <w:rPr>
          <w:rFonts w:cstheme="minorHAnsi"/>
        </w:rPr>
        <w:t xml:space="preserve">was </w:t>
      </w:r>
      <w:r w:rsidR="00916033">
        <w:rPr>
          <w:rFonts w:cstheme="minorHAnsi"/>
        </w:rPr>
        <w:t xml:space="preserve">strongly </w:t>
      </w:r>
      <w:r w:rsidR="00916033" w:rsidRPr="00772C63">
        <w:rPr>
          <w:rFonts w:cstheme="minorHAnsi"/>
        </w:rPr>
        <w:t>associated with frailt</w:t>
      </w:r>
      <w:r w:rsidR="00916033" w:rsidRPr="00A6435E">
        <w:rPr>
          <w:rFonts w:cstheme="minorHAnsi"/>
        </w:rPr>
        <w:t>y (OR 8.28, 95% CI 1.27, 54.03; p=0.027) while the association between having OP alone and frailty was weaker (OR 2.57, 95% CI 0.61,10.78; p=0.196). The likelihood of being frail was substantially higher in the presence of co-existing SP and OP (OR 26.15, 95% CI 3.13,218.76; p=0.003)</w:t>
      </w:r>
      <w:r w:rsidR="003A50DB" w:rsidRPr="00A6435E">
        <w:rPr>
          <w:rFonts w:cstheme="minorHAnsi"/>
        </w:rPr>
        <w:t xml:space="preserve"> (Table 3)</w:t>
      </w:r>
      <w:r w:rsidR="00CC1025" w:rsidRPr="00A6435E">
        <w:rPr>
          <w:rFonts w:cstheme="minorHAnsi"/>
        </w:rPr>
        <w:t xml:space="preserve"> </w:t>
      </w:r>
      <w:r w:rsidR="00916033" w:rsidRPr="00A6435E">
        <w:rPr>
          <w:rFonts w:cstheme="minorHAnsi"/>
        </w:rPr>
        <w:t>Having SP alone and OP alone were both associated with having 3 or more comorbidities (OR 4.71, 95% CI 1.50, 14.76, p=0.008 and OR 2.86, 95% CI 1.32, 6.22; p=0.008 respectively) though this relationship was not stronger with co-existing SP and OP (OR.</w:t>
      </w:r>
      <w:r w:rsidR="00916033" w:rsidRPr="00A6435E">
        <w:t xml:space="preserve"> </w:t>
      </w:r>
      <w:r w:rsidR="00916033" w:rsidRPr="00A6435E">
        <w:rPr>
          <w:rFonts w:cstheme="minorHAnsi"/>
        </w:rPr>
        <w:t>3.45, 95% CI 0.59, 20.26; p=0.171)</w:t>
      </w:r>
      <w:r w:rsidR="00916033" w:rsidRPr="00A6435E" w:rsidDel="00916033">
        <w:rPr>
          <w:rFonts w:cstheme="minorHAnsi"/>
        </w:rPr>
        <w:t xml:space="preserve"> </w:t>
      </w:r>
      <w:r w:rsidR="003A50DB" w:rsidRPr="00A6435E">
        <w:rPr>
          <w:rFonts w:cstheme="minorHAnsi"/>
        </w:rPr>
        <w:t>(Table 4).</w:t>
      </w:r>
      <w:bookmarkStart w:id="3" w:name="_Figure_b:_Venn"/>
      <w:bookmarkStart w:id="4" w:name="_Table_3:_Incidence"/>
      <w:bookmarkStart w:id="5" w:name="_Table_4:_Incidence"/>
      <w:bookmarkStart w:id="6" w:name="_Table_5:_Relationship"/>
      <w:bookmarkEnd w:id="3"/>
      <w:bookmarkEnd w:id="4"/>
      <w:bookmarkEnd w:id="5"/>
      <w:bookmarkEnd w:id="6"/>
    </w:p>
    <w:p w14:paraId="1D15EEEC" w14:textId="35338DB8" w:rsidR="00577B24" w:rsidRPr="00A6435E" w:rsidRDefault="002619BD" w:rsidP="000011C4">
      <w:pPr>
        <w:pStyle w:val="Heading1"/>
        <w:rPr>
          <w:b w:val="0"/>
        </w:rPr>
      </w:pPr>
      <w:r w:rsidRPr="00A6435E">
        <w:rPr>
          <w:b w:val="0"/>
        </w:rPr>
        <w:t>Discussion</w:t>
      </w:r>
      <w:r w:rsidR="00577B24" w:rsidRPr="00A6435E">
        <w:rPr>
          <w:b w:val="0"/>
        </w:rPr>
        <w:t>:</w:t>
      </w:r>
    </w:p>
    <w:p w14:paraId="2BA572D7" w14:textId="502F36F1" w:rsidR="00544179" w:rsidRPr="00A6435E" w:rsidRDefault="00BF66AB" w:rsidP="000011C4">
      <w:pPr>
        <w:rPr>
          <w:rFonts w:cstheme="minorHAnsi"/>
        </w:rPr>
      </w:pPr>
      <w:r w:rsidRPr="00A6435E">
        <w:t xml:space="preserve">In this </w:t>
      </w:r>
      <w:r w:rsidR="00002E2C" w:rsidRPr="00A6435E">
        <w:t>study,</w:t>
      </w:r>
      <w:r w:rsidRPr="00A6435E">
        <w:t xml:space="preserve"> we examined the association between </w:t>
      </w:r>
      <w:r w:rsidR="00EF0E1A" w:rsidRPr="00A6435E">
        <w:t>SP</w:t>
      </w:r>
      <w:r w:rsidR="003D4A51" w:rsidRPr="00A6435E">
        <w:t xml:space="preserve">, </w:t>
      </w:r>
      <w:r w:rsidR="00EF0E1A" w:rsidRPr="00A6435E">
        <w:t>OP</w:t>
      </w:r>
      <w:r w:rsidR="003D4A51" w:rsidRPr="00A6435E">
        <w:t xml:space="preserve"> or </w:t>
      </w:r>
      <w:r w:rsidR="00916033" w:rsidRPr="00A6435E">
        <w:t>co-existence of sarcopenia and osteoporosis</w:t>
      </w:r>
      <w:r w:rsidR="00121E9F" w:rsidRPr="00A6435E">
        <w:t xml:space="preserve">, </w:t>
      </w:r>
      <w:r w:rsidR="00F413B3" w:rsidRPr="00A6435E">
        <w:t>with</w:t>
      </w:r>
      <w:r w:rsidR="00C428D0" w:rsidRPr="00A6435E">
        <w:t xml:space="preserve"> </w:t>
      </w:r>
      <w:r w:rsidR="001074CE" w:rsidRPr="00A6435E">
        <w:t xml:space="preserve">frailty </w:t>
      </w:r>
      <w:r w:rsidR="00253D9A" w:rsidRPr="00A6435E">
        <w:t xml:space="preserve">and multimorbidity </w:t>
      </w:r>
      <w:r w:rsidR="00AA6733" w:rsidRPr="00A6435E">
        <w:t>in 4</w:t>
      </w:r>
      <w:r w:rsidR="00FF5468" w:rsidRPr="00A6435E">
        <w:t>05</w:t>
      </w:r>
      <w:r w:rsidR="00AA6733" w:rsidRPr="00A6435E">
        <w:t xml:space="preserve"> </w:t>
      </w:r>
      <w:r w:rsidR="004F399D" w:rsidRPr="00A6435E">
        <w:t>community</w:t>
      </w:r>
      <w:r w:rsidR="00AA6733" w:rsidRPr="00A6435E">
        <w:t xml:space="preserve"> dwelling</w:t>
      </w:r>
      <w:r w:rsidR="004F399D" w:rsidRPr="00A6435E">
        <w:t xml:space="preserve"> </w:t>
      </w:r>
      <w:r w:rsidR="00E41EBA" w:rsidRPr="00A6435E">
        <w:t>older</w:t>
      </w:r>
      <w:r w:rsidR="004F399D" w:rsidRPr="00A6435E">
        <w:t xml:space="preserve"> men and women</w:t>
      </w:r>
      <w:r w:rsidR="00EB2437" w:rsidRPr="00A6435E">
        <w:t xml:space="preserve">. We </w:t>
      </w:r>
      <w:r w:rsidR="00533245" w:rsidRPr="00A6435E">
        <w:t>also report</w:t>
      </w:r>
      <w:r w:rsidR="00A449F6" w:rsidRPr="00A6435E">
        <w:t xml:space="preserve"> prevalence and incidence of frailty in the same group of community dwelling older adults</w:t>
      </w:r>
      <w:r w:rsidR="004F399D" w:rsidRPr="00A6435E">
        <w:t xml:space="preserve">. </w:t>
      </w:r>
      <w:r w:rsidR="00253D9A" w:rsidRPr="00A6435E">
        <w:rPr>
          <w:rFonts w:cstheme="minorHAnsi"/>
        </w:rPr>
        <w:t xml:space="preserve">As </w:t>
      </w:r>
      <w:r w:rsidR="00A449F6" w:rsidRPr="00A6435E">
        <w:rPr>
          <w:rFonts w:cstheme="minorHAnsi"/>
        </w:rPr>
        <w:t xml:space="preserve">might be </w:t>
      </w:r>
      <w:r w:rsidR="00253D9A" w:rsidRPr="00A6435E">
        <w:rPr>
          <w:rFonts w:cstheme="minorHAnsi"/>
        </w:rPr>
        <w:t xml:space="preserve">anticipated, SP was associated with frailty </w:t>
      </w:r>
      <w:r w:rsidR="00031464" w:rsidRPr="00A6435E">
        <w:rPr>
          <w:rFonts w:cstheme="minorHAnsi"/>
        </w:rPr>
        <w:t>but</w:t>
      </w:r>
      <w:r w:rsidR="00253D9A" w:rsidRPr="00A6435E">
        <w:rPr>
          <w:rFonts w:cstheme="minorHAnsi"/>
        </w:rPr>
        <w:t xml:space="preserve"> the association of OP with frailty was weaker</w:t>
      </w:r>
      <w:r w:rsidR="00121E9F" w:rsidRPr="00A6435E">
        <w:rPr>
          <w:rFonts w:cstheme="minorHAnsi"/>
        </w:rPr>
        <w:t>.</w:t>
      </w:r>
      <w:r w:rsidR="00253D9A" w:rsidRPr="00A6435E">
        <w:rPr>
          <w:rFonts w:cstheme="minorHAnsi"/>
        </w:rPr>
        <w:t xml:space="preserve"> </w:t>
      </w:r>
      <w:r w:rsidR="000B0B12" w:rsidRPr="00A6435E">
        <w:rPr>
          <w:rFonts w:cstheme="minorHAnsi"/>
        </w:rPr>
        <w:t>However,</w:t>
      </w:r>
      <w:r w:rsidR="00A449F6" w:rsidRPr="00A6435E">
        <w:rPr>
          <w:rFonts w:cstheme="minorHAnsi"/>
        </w:rPr>
        <w:t xml:space="preserve"> w</w:t>
      </w:r>
      <w:r w:rsidR="00253D9A" w:rsidRPr="00A6435E">
        <w:t>e</w:t>
      </w:r>
      <w:r w:rsidR="00A449F6" w:rsidRPr="00A6435E">
        <w:t xml:space="preserve"> </w:t>
      </w:r>
      <w:r w:rsidR="000B0B12" w:rsidRPr="00A6435E">
        <w:t>also reported</w:t>
      </w:r>
      <w:r w:rsidR="00253D9A" w:rsidRPr="00A6435E">
        <w:t xml:space="preserve"> that the likelihood of being frail was markedly higher in the presence of </w:t>
      </w:r>
      <w:r w:rsidR="00916033" w:rsidRPr="00A6435E">
        <w:t>co-exist</w:t>
      </w:r>
      <w:r w:rsidR="008E6C84" w:rsidRPr="00A6435E">
        <w:t>ing</w:t>
      </w:r>
      <w:r w:rsidR="00916033" w:rsidRPr="00A6435E">
        <w:t xml:space="preserve"> sarcopenia </w:t>
      </w:r>
      <w:r w:rsidR="008E6C84" w:rsidRPr="00A6435E">
        <w:t xml:space="preserve">and </w:t>
      </w:r>
      <w:r w:rsidR="00916033" w:rsidRPr="00A6435E">
        <w:t xml:space="preserve">osteoporosis </w:t>
      </w:r>
      <w:r w:rsidR="00253D9A" w:rsidRPr="00A6435E">
        <w:t xml:space="preserve">than with SP </w:t>
      </w:r>
      <w:r w:rsidR="00CC1025" w:rsidRPr="00A6435E">
        <w:t>alone</w:t>
      </w:r>
      <w:r w:rsidR="00253D9A" w:rsidRPr="00A6435E">
        <w:t>.</w:t>
      </w:r>
      <w:r w:rsidR="00544179" w:rsidRPr="00A6435E">
        <w:t xml:space="preserve"> </w:t>
      </w:r>
      <w:r w:rsidR="00A74866" w:rsidRPr="00A6435E">
        <w:t>We</w:t>
      </w:r>
      <w:r w:rsidR="00544179" w:rsidRPr="00A6435E">
        <w:t xml:space="preserve"> had anticipated relationships between SP and frailty because of the diagnostic criteria for the two conditions</w:t>
      </w:r>
      <w:r w:rsidR="00544179" w:rsidRPr="00A6435E">
        <w:rPr>
          <w:rFonts w:cstheme="minorHAnsi"/>
        </w:rPr>
        <w:fldChar w:fldCharType="begin" w:fldLock="1"/>
      </w:r>
      <w:r w:rsidR="008E6C84" w:rsidRPr="00A6435E">
        <w:rPr>
          <w:rFonts w:cstheme="minorHAnsi"/>
        </w:rPr>
        <w:instrText>ADDIN CSL_CITATION {"citationItems":[{"id":"ITEM-1","itemData":{"DOI":"10.1016/j.jamda.2017.09.014","ISSN":"15389375","PMID":"29079029","abstract":"Introduction: Frailty and sarcopenia are correlates of musculoskeletal aging that represent a state of vulnerability increasing the risk of negative health outcomes. Standardized definitions are lacking for both, and sometimes both concepts are used interchangeably. However, no large study has assessed the coexistence of these 2 entities in a cohort of older community-dwelling people. Methods: Data were taken from the Toledo Study of Healthy Aging (TSHA), a study of community-dwelling elderly (≥65 years). The study population consists of 1611 participants with frailty and sarcopenia assessments. For sarcopenia, we used 3 criteria: European Working Group on Sarcopenia in Older People (EWGSOP), the Foundation for the National Institutes of Health (FNIH), and the FNIH fitted to the cut-off points of our population [standardized FNIH (sFNIH)]. Frailty was assessed according to the Fried criteria with cut-off points adjusted to our population. We used logistic regression to assess the relationship between sarcopenia and frailty and measures of diagnostic accuracy to evaluate the potential use of sarcopenia as a diagnostic marker for frailty. Results: The mean age of the population was 75.42 years (±5.86). Overall, 72 (4.5%) were frail. In addition, 352 (21.8%), 332 (20.6%), and 453 (28.1%) participants were considered sarcopenic according to the EWGSOP, FNIH, and sFNIH criteria, respectively. The prevalence of frailty among those with sarcopenia was 8.2% (29/352), 15.7% (52/332), and 10.4% (47/453). Moreover, among frail people, the prevalence of sarcopenia was 40.27%, 72.2%, and 65.3% according to the used criteria. Sarcopenia showed a low sensitivity (&lt;10%) but high specificity (&gt;97%) for the diagnosis of frailty, with a low intercorrelation (Cramer V = 0.16, 0.40, and 0.30) between the 3 criteria and frailty. Using multivariate logistic regression, frailty was associated with sarcopenia according to EWGSOP [odds ratio (OR) = 1.67, 95% confidence interval (CI) = 0.95, 2.96], FNIH (OR = 10.61, 95% CI = 5.8, 19.4), and sFNIH (OR = 6.63, 95% CI =3.5, 12.53). Conclusion: Frailty and sarcopenia are distinct but related conditions. Sarcopenia is not a useful clinical biomarker of frailty, but its absence might be useful to exclude frailty.","author":[{"dropping-particle":"","family":"Davies","given":"B.","non-dropping-particle":"","parse-names":false,"suffix":""},{"dropping-particle":"","family":"García","given":"F.","non-dropping-particle":"","parse-names":false,"suffix":""},{"dropping-particle":"","family":"Ara","given":"I.","non-dropping-particle":"","parse-names":false,"suffix":""},{"dropping-particle":"","family":"Artalejo","given":"F. Rodríguez","non-dropping-particle":"","parse-names":false,"suffix":""},{"dropping-particle":"","family":"Rodriguez-Mañas","given":"L.","non-dropping-particle":"","parse-names":false,"suffix":""},{"dropping-particle":"","family":"Walter","given":"S.","non-dropping-particle":"","parse-names":false,"suffix":""}],"container-title":"Journal of the American Medical Directors Association","id":"ITEM-1","issue":"4","issued":{"date-parts":[["2018","4","1"]]},"page":"282-286","publisher":"Elsevier Inc.","title":"Relationship Between Sarcopenia and Frailty in the Toledo Study of Healthy Aging: A Population Based Cross-Sectional Study","type":"article-journal","volume":"19"},"uris":["http://www.mendeley.com/documents/?uuid=b07325f5-bdab-4bd7-988b-9c7e7e10ab0a"]}],"mendeley":{"formattedCitation":"[33]","plainTextFormattedCitation":"[33]","previouslyFormattedCitation":"[33]"},"properties":{"noteIndex":0},"schema":"https://github.com/citation-style-language/schema/raw/master/csl-citation.json"}</w:instrText>
      </w:r>
      <w:r w:rsidR="00544179" w:rsidRPr="00A6435E">
        <w:rPr>
          <w:rFonts w:cstheme="minorHAnsi"/>
        </w:rPr>
        <w:fldChar w:fldCharType="separate"/>
      </w:r>
      <w:r w:rsidR="00C36856" w:rsidRPr="00A6435E">
        <w:rPr>
          <w:rFonts w:cstheme="minorHAnsi"/>
          <w:noProof/>
        </w:rPr>
        <w:t>[33]</w:t>
      </w:r>
      <w:r w:rsidR="00544179" w:rsidRPr="00A6435E">
        <w:rPr>
          <w:rFonts w:cstheme="minorHAnsi"/>
        </w:rPr>
        <w:fldChar w:fldCharType="end"/>
      </w:r>
      <w:r w:rsidR="00A449F6" w:rsidRPr="00A6435E">
        <w:rPr>
          <w:rFonts w:cstheme="minorHAnsi"/>
        </w:rPr>
        <w:t xml:space="preserve">. For this </w:t>
      </w:r>
      <w:r w:rsidR="000B0B12" w:rsidRPr="00A6435E">
        <w:rPr>
          <w:rFonts w:cstheme="minorHAnsi"/>
        </w:rPr>
        <w:t>reason,</w:t>
      </w:r>
      <w:r w:rsidR="00A449F6" w:rsidRPr="00A6435E">
        <w:rPr>
          <w:rFonts w:cstheme="minorHAnsi"/>
        </w:rPr>
        <w:t xml:space="preserve"> </w:t>
      </w:r>
      <w:r w:rsidR="00544179" w:rsidRPr="00A6435E">
        <w:rPr>
          <w:rFonts w:cstheme="minorHAnsi"/>
        </w:rPr>
        <w:t>we also considered relationship with mu</w:t>
      </w:r>
      <w:r w:rsidR="00A74866" w:rsidRPr="00A6435E">
        <w:rPr>
          <w:rFonts w:cstheme="minorHAnsi"/>
        </w:rPr>
        <w:t>l</w:t>
      </w:r>
      <w:r w:rsidR="00544179" w:rsidRPr="00A6435E">
        <w:rPr>
          <w:rFonts w:cstheme="minorHAnsi"/>
        </w:rPr>
        <w:t xml:space="preserve">timorbidity as a proxy </w:t>
      </w:r>
      <w:r w:rsidR="00FA1586" w:rsidRPr="00A6435E">
        <w:rPr>
          <w:rFonts w:cstheme="minorHAnsi"/>
        </w:rPr>
        <w:t>marker for frailty</w:t>
      </w:r>
      <w:r w:rsidR="00544179" w:rsidRPr="00A6435E">
        <w:rPr>
          <w:rFonts w:cstheme="minorHAnsi"/>
        </w:rPr>
        <w:t>.</w:t>
      </w:r>
      <w:r w:rsidR="00A449F6" w:rsidRPr="00A6435E">
        <w:rPr>
          <w:rFonts w:cstheme="minorHAnsi"/>
        </w:rPr>
        <w:t xml:space="preserve"> Both SP and OP were associated with multimorbidity, but in this case there did not appear to be an interaction between the two conditions.</w:t>
      </w:r>
    </w:p>
    <w:p w14:paraId="6A489709" w14:textId="59317E00" w:rsidR="00E27CF9" w:rsidRPr="001347B6" w:rsidRDefault="00121E9F" w:rsidP="000011C4">
      <w:r w:rsidRPr="00A6435E">
        <w:t>The concept of osteosarcopenia is relatively new, but in previous work c</w:t>
      </w:r>
      <w:r w:rsidRPr="00A6435E">
        <w:rPr>
          <w:lang w:val="en-US"/>
        </w:rPr>
        <w:t>o</w:t>
      </w:r>
      <w:r w:rsidR="00A449F6" w:rsidRPr="00A6435E">
        <w:rPr>
          <w:lang w:val="en-US"/>
        </w:rPr>
        <w:t>-</w:t>
      </w:r>
      <w:r w:rsidRPr="00A6435E">
        <w:rPr>
          <w:lang w:val="en-US"/>
        </w:rPr>
        <w:t xml:space="preserve">existence of </w:t>
      </w:r>
      <w:r w:rsidR="00A449F6" w:rsidRPr="00A6435E">
        <w:rPr>
          <w:lang w:val="en-US"/>
        </w:rPr>
        <w:t>SP and OP has been associated cross-</w:t>
      </w:r>
      <w:r w:rsidRPr="00A6435E">
        <w:rPr>
          <w:lang w:val="en-US"/>
        </w:rPr>
        <w:t>sectionally with depression, malnutrition, peptic ulcer disease, inflammatory arthritis and reduced mobility</w:t>
      </w:r>
      <w:r w:rsidR="00B23093" w:rsidRPr="00A6435E">
        <w:rPr>
          <w:lang w:val="en-US"/>
        </w:rPr>
        <w:t xml:space="preserve"> </w:t>
      </w:r>
      <w:r w:rsidR="00FE21D1" w:rsidRPr="00A6435E">
        <w:rPr>
          <w:lang w:val="en-US"/>
        </w:rPr>
        <w:fldChar w:fldCharType="begin" w:fldLock="1"/>
      </w:r>
      <w:r w:rsidR="008E6C84" w:rsidRPr="00A6435E">
        <w:rPr>
          <w:lang w:val="en-US"/>
        </w:rPr>
        <w:instrText>ADDIN CSL_CITATION {"citationItems":[{"id":"ITEM-1","itemData":{"DOI":"10.1016/j.jamda.2014.10.018","ISSN":"15389375","PMID":"25512216","abstract":"Objectives: In older persons, the combination of osteopenia/osteoporosis and sarcopenia has been proposed as a subset of frailer individuals at higher risk of institutionalization, falls, and fractures. However, the particular clinical, biochemical, and functional characteristics of the osteosarcopenic (OS) patients remain unknown. In this study, we used a clinical definition of osteosarcopenia aiming to determine the clinical, functional, and biochemical features that are unique to these patients within a population of older people who fall. Design: Cross-sectional study. Setting: Falls and Fractures Clinic, Nepean Hospital (Penrith, NSW, Australia). Participants: A total of 680 people (mean age=79, 65% women) assessed between 2009 and2013. Measurements: Assessment included medical history, physical examination, bone densitometry and body composition by dual-energy X-ray absorptiometry, posturography, grip strength, gait parameters (GaitRITE), and blood tests for nutrition and secondary causes of sarcopenia and osteoporosis. Patients were divided into 4 groups: (1) osteopenic (BMD &lt;-1.0 SD), (2) sarcopenic, (3) OS, and (4) nonsarcopenic/nonosteopenic. Difference between groups was assessed with 1-way ANOVA and χ2 analysis. Multivariable linear regression evaluated the association between the groups and measures of physical function. Multivariable logistic regression evaluated risk factors for being in the OS group. Results: Mean age of the OS patients was 80.4±7.0years. Our analyses showed that OS patients are older, mostly women, are at high risk for depression and malnutrition, have body mass index lower than 25, and showed a higher prevalence of peptic disease, inflammatory arthritis, maternal hip fracture, history of atraumatic fracture, and impaired mobility. Conclusion: We have reported a set of characteristics that are highly prevalent in OS patients. This study could be used to inform the design of future trials and to develop interventions to prevent institutionalization and poor outcomes in this particular set of high-risk patients.","author":[{"dropping-particle":"","family":"Huo","given":"Ya Ruth","non-dropping-particle":"","parse-names":false,"suffix":""},{"dropping-particle":"","family":"Suriyaarachchi","given":"Pushpa","non-dropping-particle":"","parse-names":false,"suffix":""},{"dropping-particle":"","family":"Gomez","given":"Fernando","non-dropping-particle":"","parse-names":false,"suffix":""},{"dropping-particle":"","family":"Curcio","given":"Carmen L.","non-dropping-particle":"","parse-names":false,"suffix":""},{"dropping-particle":"","family":"Boersma","given":"Derek","non-dropping-particle":"","parse-names":false,"suffix":""},{"dropping-particle":"","family":"Muir","given":"Susan W.","non-dropping-particle":"","parse-names":false,"suffix":""},{"dropping-particle":"","family":"Montero-Odasso","given":"Manuel","non-dropping-particle":"","parse-names":false,"suffix":""},{"dropping-particle":"","family":"Gunawardene","given":"Piumali","non-dropping-particle":"","parse-names":false,"suffix":""},{"dropping-particle":"","family":"Demontiero","given":"Oddom","non-dropping-particle":"","parse-names":false,"suffix":""},{"dropping-particle":"","family":"Duque","given":"Gustavo","non-dropping-particle":"","parse-names":false,"suffix":""}],"container-title":"Journal of the American Medical Directors Association","id":"ITEM-1","issue":"4","issued":{"date-parts":[["2015"]]},"page":"290-295","publisher":"Elsevier Inc.","title":"Phenotype of Osteosarcopenia in Older Individuals With a History of Falling","type":"article-journal","volume":"16"},"uris":["http://www.mendeley.com/documents/?uuid=f285c1a9-000e-446a-9ac2-d145caea518f"]}],"mendeley":{"formattedCitation":"[34]","plainTextFormattedCitation":"[34]","previouslyFormattedCitation":"[34]"},"properties":{"noteIndex":0},"schema":"https://github.com/citation-style-language/schema/raw/master/csl-citation.json"}</w:instrText>
      </w:r>
      <w:r w:rsidR="00FE21D1" w:rsidRPr="00A6435E">
        <w:rPr>
          <w:lang w:val="en-US"/>
        </w:rPr>
        <w:fldChar w:fldCharType="separate"/>
      </w:r>
      <w:r w:rsidR="00C36856" w:rsidRPr="00A6435E">
        <w:rPr>
          <w:noProof/>
          <w:lang w:val="en-US"/>
        </w:rPr>
        <w:t>[34]</w:t>
      </w:r>
      <w:r w:rsidR="00FE21D1" w:rsidRPr="00A6435E">
        <w:rPr>
          <w:lang w:val="en-US"/>
        </w:rPr>
        <w:fldChar w:fldCharType="end"/>
      </w:r>
      <w:r w:rsidR="00FE21D1" w:rsidRPr="00A6435E">
        <w:rPr>
          <w:lang w:val="en-US"/>
        </w:rPr>
        <w:t>.</w:t>
      </w:r>
      <w:r w:rsidRPr="00A6435E">
        <w:rPr>
          <w:lang w:val="en-US"/>
        </w:rPr>
        <w:t xml:space="preserve"> Studies from Australia and China have demonstrated that individuals with both </w:t>
      </w:r>
      <w:r w:rsidR="00A449F6" w:rsidRPr="00A6435E">
        <w:rPr>
          <w:lang w:val="en-US"/>
        </w:rPr>
        <w:t>OP</w:t>
      </w:r>
      <w:r w:rsidRPr="00A6435E">
        <w:rPr>
          <w:lang w:val="en-US"/>
        </w:rPr>
        <w:t xml:space="preserve"> and </w:t>
      </w:r>
      <w:r w:rsidR="00A449F6" w:rsidRPr="00A6435E">
        <w:rPr>
          <w:lang w:val="en-US"/>
        </w:rPr>
        <w:t>SP</w:t>
      </w:r>
      <w:r w:rsidRPr="00A6435E">
        <w:rPr>
          <w:lang w:val="en-US"/>
        </w:rPr>
        <w:t xml:space="preserve"> are at higher risk of falls and fractures than those with </w:t>
      </w:r>
      <w:r w:rsidR="00A449F6" w:rsidRPr="00A6435E">
        <w:rPr>
          <w:lang w:val="en-US"/>
        </w:rPr>
        <w:t>OP</w:t>
      </w:r>
      <w:r w:rsidRPr="00A6435E">
        <w:rPr>
          <w:lang w:val="en-US"/>
        </w:rPr>
        <w:t xml:space="preserve"> or </w:t>
      </w:r>
      <w:r w:rsidR="00A449F6" w:rsidRPr="00A6435E">
        <w:rPr>
          <w:lang w:val="en-US"/>
        </w:rPr>
        <w:t>SP</w:t>
      </w:r>
      <w:r w:rsidRPr="00A6435E">
        <w:rPr>
          <w:lang w:val="en-US"/>
        </w:rPr>
        <w:t xml:space="preserve"> alone</w:t>
      </w:r>
      <w:r w:rsidR="00FE21D1" w:rsidRPr="00A6435E">
        <w:rPr>
          <w:lang w:val="en-US"/>
        </w:rPr>
        <w:t xml:space="preserve"> </w:t>
      </w:r>
      <w:r w:rsidR="00FE21D1" w:rsidRPr="00A6435E">
        <w:rPr>
          <w:lang w:val="en-US"/>
        </w:rPr>
        <w:fldChar w:fldCharType="begin" w:fldLock="1"/>
      </w:r>
      <w:r w:rsidR="008E6C84" w:rsidRPr="00A6435E">
        <w:rPr>
          <w:lang w:val="en-US"/>
        </w:rPr>
        <w:instrText xml:space="preserve">ADDIN CSL_CITATION {"citationItems":[{"id":"ITEM-1","itemData":{"DOI":"10.1016/j.jamda.2014.10.018","ISSN":"15389375","PMID":"25512216","abstract":"Objectives: In older persons, the combination of osteopenia/osteoporosis and sarcopenia has been proposed as a subset of frailer individuals at higher risk of institutionalization, falls, and fractures. However, the particular clinical, biochemical, and functional characteristics of the osteosarcopenic (OS) patients remain unknown. In this study, we used a clinical definition of osteosarcopenia aiming to determine the clinical, functional, and biochemical features that are unique to these patients within a population of older people who fall. Design: Cross-sectional study. Setting: Falls and Fractures Clinic, Nepean Hospital (Penrith, NSW, Australia). Participants: A total of 680 people (mean age=79, 65% women) assessed between 2009 and2013. Measurements: Assessment included medical history, physical examination, bone densitometry and body composition by dual-energy X-ray absorptiometry, posturography, grip strength, gait parameters (GaitRITE), and blood tests for nutrition and secondary causes of sarcopenia and osteoporosis. Patients were divided into 4 groups: (1) osteopenic (BMD &lt;-1.0 SD), (2) sarcopenic, (3) OS, and (4) nonsarcopenic/nonosteopenic. Difference between groups was assessed with 1-way ANOVA and χ2 analysis. Multivariable linear regression evaluated the association between the groups and measures of physical function. Multivariable logistic regression evaluated risk factors for being in the OS group. Results: Mean age of the OS patients was 80.4±7.0years. Our analyses showed that OS patients are older, mostly women, are at high risk for depression and malnutrition, have body mass index lower than 25, and showed a higher prevalence of peptic disease, inflammatory arthritis, maternal hip fracture, history of atraumatic fracture, and impaired mobility. Conclusion: We have reported a set of characteristics that are highly prevalent in OS patients. This study could be used to inform the design of future trials and to develop interventions to prevent institutionalization and poor outcomes in this particular set of high-risk patients.","author":[{"dropping-particle":"","family":"Huo","given":"Ya Ruth","non-dropping-particle":"","parse-names":false,"suffix":""},{"dropping-particle":"","family":"Suriyaarachchi","given":"Pushpa","non-dropping-particle":"","parse-names":false,"suffix":""},{"dropping-particle":"","family":"Gomez","given":"Fernando","non-dropping-particle":"","parse-names":false,"suffix":""},{"dropping-particle":"","family":"Curcio","given":"Carmen L.","non-dropping-particle":"","parse-names":false,"suffix":""},{"dropping-particle":"","family":"Boersma","given":"Derek","non-dropping-particle":"","parse-names":false,"suffix":""},{"dropping-particle":"","family":"Muir","given":"Susan W.","non-dropping-particle":"","parse-names":false,"suffix":""},{"dropping-particle":"","family":"Montero-Odasso","given":"Manuel","non-dropping-particle":"","parse-names":false,"suffix":""},{"dropping-particle":"","family":"Gunawardene","given":"Piumali","non-dropping-particle":"","parse-names":false,"suffix":""},{"dropping-particle":"","family":"Demontiero","given":"Oddom","non-dropping-particle":"","parse-names":false,"suffix":""},{"dropping-particle":"","family":"Duque","given":"Gustavo","non-dropping-particle":"","parse-names":false,"suffix":""}],"container-title":"Journal of the American Medical Directors Association","id":"ITEM-1","issue":"4","issued":{"date-parts":[["2015"]]},"page":"290-295","publisher":"Elsevier Inc.","title":"Phenotype of Osteosarcopenia in Older Individuals With a History of Falling","type":"article-journal","volume":"16"},"uris":["http://www.mendeley.com/documents/?uuid=f285c1a9-000e-446a-9ac2-d145caea518f"]},{"id":"ITEM-2","itemData":{"DOI":"10.1155/2015/482940","abstract":"The aim was to apply AWGS criteria to estimate the prevalence of sarco-osteoporosis and investigate its relationship with frailty, in a sample of 316 community-dwelling Chinese older people. Regression analysis was performed using frailty as the dependent variable. The results showed that the prevalence rate of sarco-osteoporosis was 10.4% in older men and 15.1% in older women. </w:instrText>
      </w:r>
      <w:r w:rsidR="008E6C84" w:rsidRPr="00A6435E">
        <w:rPr>
          <w:rFonts w:ascii="Cambria Math" w:hAnsi="Cambria Math" w:cs="Cambria Math"/>
          <w:lang w:val="en-US"/>
        </w:rPr>
        <w:instrText>≧</w:instrText>
      </w:r>
      <w:r w:rsidR="008E6C84" w:rsidRPr="00A6435E">
        <w:rPr>
          <w:lang w:val="en-US"/>
        </w:rPr>
        <w:instrText xml:space="preserve">80 years old (OR 4.8; 95% CI, 3.05-10.76; </w:instrText>
      </w:r>
      <w:r w:rsidR="008E6C84" w:rsidRPr="00A6435E">
        <w:rPr>
          <w:rFonts w:cs="Times New Roman"/>
          <w:lang w:val="en-US"/>
        </w:rPr>
        <w:instrText>í</w:instrText>
      </w:r>
      <w:r w:rsidR="008E6C84" w:rsidRPr="00A6435E">
        <w:rPr>
          <w:lang w:val="en-US"/>
        </w:rPr>
        <w:instrText xml:space="preserve"> </w:instrText>
      </w:r>
      <w:r w:rsidR="008E6C84" w:rsidRPr="00A6435E">
        <w:rPr>
          <w:rFonts w:cs="Times New Roman"/>
          <w:lang w:val="en-US"/>
        </w:rPr>
        <w:instrText>µí±</w:instrText>
      </w:r>
      <w:r w:rsidR="008E6C84" w:rsidRPr="00A6435E">
        <w:rPr>
          <w:lang w:val="en-US"/>
        </w:rPr>
        <w:instrText xml:space="preserve"> = 0.027), women (OR 2.6; 95% CI, 1.18-2.76; </w:instrText>
      </w:r>
      <w:r w:rsidR="008E6C84" w:rsidRPr="00A6435E">
        <w:rPr>
          <w:rFonts w:cs="Times New Roman"/>
          <w:lang w:val="en-US"/>
        </w:rPr>
        <w:instrText>í</w:instrText>
      </w:r>
      <w:r w:rsidR="008E6C84" w:rsidRPr="00A6435E">
        <w:rPr>
          <w:lang w:val="en-US"/>
        </w:rPr>
        <w:instrText xml:space="preserve"> </w:instrText>
      </w:r>
      <w:r w:rsidR="008E6C84" w:rsidRPr="00A6435E">
        <w:rPr>
          <w:rFonts w:cs="Times New Roman"/>
          <w:lang w:val="en-US"/>
        </w:rPr>
        <w:instrText>µí±</w:instrText>
      </w:r>
      <w:r w:rsidR="008E6C84" w:rsidRPr="00A6435E">
        <w:rPr>
          <w:lang w:val="en-US"/>
        </w:rPr>
        <w:instrText xml:space="preserve"> = 0.036), and higher level of comorbidity (OR 3.71; 95% CI, 1.61-10.43; </w:instrText>
      </w:r>
      <w:r w:rsidR="008E6C84" w:rsidRPr="00A6435E">
        <w:rPr>
          <w:rFonts w:cs="Times New Roman"/>
          <w:lang w:val="en-US"/>
        </w:rPr>
        <w:instrText>í</w:instrText>
      </w:r>
      <w:r w:rsidR="008E6C84" w:rsidRPr="00A6435E">
        <w:rPr>
          <w:lang w:val="en-US"/>
        </w:rPr>
        <w:instrText xml:space="preserve"> </w:instrText>
      </w:r>
      <w:r w:rsidR="008E6C84" w:rsidRPr="00A6435E">
        <w:rPr>
          <w:rFonts w:cs="Times New Roman"/>
          <w:lang w:val="en-US"/>
        </w:rPr>
        <w:instrText>µí±</w:instrText>
      </w:r>
      <w:r w:rsidR="008E6C84" w:rsidRPr="00A6435E">
        <w:rPr>
          <w:lang w:val="en-US"/>
        </w:rPr>
        <w:instrText xml:space="preserve"> = 0.021) were independently associated with the likelihood of being sarco-osteoporosis. In the frail group, sarco-osteoporosis occurred in 26.3% of men, in 38.5% of women, and in lower proportion in the prefrail (13.6% of men; 16.2% of women) and nonfrail group (1.6% of men; 1.9% of women) (í µí±</w:instrText>
      </w:r>
      <w:r w:rsidR="008E6C84" w:rsidRPr="00A6435E">
        <w:rPr>
          <w:rFonts w:cs="Times New Roman"/>
          <w:lang w:val="en-US"/>
        </w:rPr>
        <w:instrText></w:instrText>
      </w:r>
      <w:r w:rsidR="008E6C84" w:rsidRPr="00A6435E">
        <w:rPr>
          <w:lang w:val="en-US"/>
        </w:rPr>
        <w:instrText xml:space="preserve"> &lt; 0.05, resp.). Furthermore, the likelihood of being frail/prefrail was substantially higher in the presence of sarco-osteoporosis (OR 4.16; 95% CI, 2.17-17.65; í µí±</w:instrText>
      </w:r>
      <w:r w:rsidR="008E6C84" w:rsidRPr="00A6435E">
        <w:rPr>
          <w:rFonts w:cs="Times New Roman"/>
          <w:lang w:val="en-US"/>
        </w:rPr>
        <w:instrText></w:instrText>
      </w:r>
      <w:r w:rsidR="008E6C84" w:rsidRPr="00A6435E">
        <w:rPr>
          <w:lang w:val="en-US"/>
        </w:rPr>
        <w:instrText xml:space="preserve"> = 0.019 in men; and OR 4.67; 95% CI, 2.42-18.86; </w:instrText>
      </w:r>
      <w:r w:rsidR="008E6C84" w:rsidRPr="00A6435E">
        <w:rPr>
          <w:rFonts w:cs="Times New Roman"/>
          <w:lang w:val="en-US"/>
        </w:rPr>
        <w:instrText>í</w:instrText>
      </w:r>
      <w:r w:rsidR="008E6C84" w:rsidRPr="00A6435E">
        <w:rPr>
          <w:lang w:val="en-US"/>
        </w:rPr>
        <w:instrText xml:space="preserve"> </w:instrText>
      </w:r>
      <w:r w:rsidR="008E6C84" w:rsidRPr="00A6435E">
        <w:rPr>
          <w:rFonts w:cs="Times New Roman"/>
          <w:lang w:val="en-US"/>
        </w:rPr>
        <w:instrText>µí±</w:instrText>
      </w:r>
      <w:r w:rsidR="008E6C84" w:rsidRPr="00A6435E">
        <w:rPr>
          <w:lang w:val="en-US"/>
        </w:rPr>
        <w:instrText xml:space="preserve"> = 0.007 in women). The results indicate that patients with sarco-osteoporosis are more likely to be </w:instrText>
      </w:r>
      <w:r w:rsidR="008E6C84" w:rsidRPr="00A6435E">
        <w:rPr>
          <w:rFonts w:ascii="Cambria Math" w:hAnsi="Cambria Math" w:cs="Cambria Math"/>
          <w:lang w:val="en-US"/>
        </w:rPr>
        <w:instrText>≧</w:instrText>
      </w:r>
      <w:r w:rsidR="008E6C84" w:rsidRPr="00A6435E">
        <w:rPr>
          <w:lang w:val="en-US"/>
        </w:rPr>
        <w:instrText>80 yrs with higher burden of comorbidities and to have frailty/prefrailty, especially for women.","author":[{"dropping-particle":"","family":"Wang","given":"Yan-Jiao","non-dropping-particle":"","parse-names":false,"suffix":""},{"dropping-particle":"","family":"Wang","given":"Yi","non-dropping-particle":"","parse-names":false,"suffix":""},{"dropping-particle":"","family":"Zhan","given":"Jun-Kun","non-dropping-particle":"","parse-names":false,"suffix":""},{"dropping-particle":"","family":"Tang","given":"Zhi-Yong","non-dropping-particle":"","parse-names":false,"suffix":""},{"dropping-particle":"","family":"He","given":"Jie-Yu","non-dropping-particle":"","parse-names":false,"suffix":""},{"dropping-particle":"","family":"Tan","given":"Pan","non-dropping-particle":"","parse-names":false,"suffix":""},{"dropping-particle":"","family":"Deng","given":"Hui-Qian","non-dropping-particle":"","parse-names":false,"suffix":""},{"dropping-particle":"","family":"Huang","given":"Wu","non-dropping-particle":"","parse-names":false,"suffix":""},{"dropping-particle":"","family":"Liu","given":"You-Shuo","non-dropping-particle":"","parse-names":false,"suffix":""}],"id":"ITEM-2","issued":{"date-parts":[["2015"]]},"title":"Sarco-Osteoporosis: Prevalence and Association with Frailty in Chinese Community-Dwelling Older Adults","type":"article-journal"},"uris":["http://www.mendeley.com/documents/?uuid=d79930bb-58a6-43c7-be79-024c73da5805"]}],"mendeley":{"formattedCitation":"[24,34]","plainTextFormattedCitation":"[24,34]","previouslyFormattedCitation":"[34,35]"},"properties":{"noteIndex":0},"schema":"https://github.com/citation-style-language/schema/raw/master/csl-citation.json"}</w:instrText>
      </w:r>
      <w:r w:rsidR="00FE21D1" w:rsidRPr="00A6435E">
        <w:rPr>
          <w:lang w:val="en-US"/>
        </w:rPr>
        <w:fldChar w:fldCharType="separate"/>
      </w:r>
      <w:r w:rsidR="008E6C84" w:rsidRPr="00A6435E">
        <w:rPr>
          <w:noProof/>
          <w:lang w:val="en-US"/>
        </w:rPr>
        <w:t>[24,34]</w:t>
      </w:r>
      <w:r w:rsidR="00FE21D1" w:rsidRPr="00A6435E">
        <w:rPr>
          <w:lang w:val="en-US"/>
        </w:rPr>
        <w:fldChar w:fldCharType="end"/>
      </w:r>
      <w:r w:rsidR="00FE21D1" w:rsidRPr="00A6435E">
        <w:rPr>
          <w:lang w:val="en-US"/>
        </w:rPr>
        <w:t>.</w:t>
      </w:r>
      <w:r w:rsidR="00A74866" w:rsidRPr="00A6435E">
        <w:rPr>
          <w:lang w:val="en-US"/>
        </w:rPr>
        <w:t xml:space="preserve"> </w:t>
      </w:r>
      <w:r w:rsidR="0037185B" w:rsidRPr="00A6435E">
        <w:rPr>
          <w:shd w:val="clear" w:color="auto" w:fill="FFFFFF"/>
        </w:rPr>
        <w:t>Only</w:t>
      </w:r>
      <w:r w:rsidR="00AA50FF" w:rsidRPr="00A6435E">
        <w:rPr>
          <w:shd w:val="clear" w:color="auto" w:fill="FFFFFF"/>
        </w:rPr>
        <w:t xml:space="preserve"> </w:t>
      </w:r>
      <w:r w:rsidR="00FF5468" w:rsidRPr="00A6435E">
        <w:rPr>
          <w:shd w:val="clear" w:color="auto" w:fill="FFFFFF"/>
        </w:rPr>
        <w:t xml:space="preserve">a </w:t>
      </w:r>
      <w:r w:rsidR="0037185B" w:rsidRPr="00A6435E">
        <w:rPr>
          <w:shd w:val="clear" w:color="auto" w:fill="FFFFFF"/>
        </w:rPr>
        <w:t>few</w:t>
      </w:r>
      <w:r w:rsidR="00AA50FF" w:rsidRPr="00A6435E">
        <w:rPr>
          <w:shd w:val="clear" w:color="auto" w:fill="FFFFFF"/>
        </w:rPr>
        <w:t xml:space="preserve"> studies </w:t>
      </w:r>
      <w:r w:rsidR="00A74866" w:rsidRPr="00A6435E">
        <w:rPr>
          <w:shd w:val="clear" w:color="auto" w:fill="FFFFFF"/>
        </w:rPr>
        <w:t xml:space="preserve">have </w:t>
      </w:r>
      <w:r w:rsidR="00AA50FF" w:rsidRPr="00A6435E">
        <w:rPr>
          <w:shd w:val="clear" w:color="auto" w:fill="FFFFFF"/>
        </w:rPr>
        <w:t xml:space="preserve">examined the association between both </w:t>
      </w:r>
      <w:r w:rsidR="00EF0E1A" w:rsidRPr="00A6435E">
        <w:rPr>
          <w:shd w:val="clear" w:color="auto" w:fill="FFFFFF"/>
        </w:rPr>
        <w:t>OP</w:t>
      </w:r>
      <w:r w:rsidR="00AA50FF" w:rsidRPr="00A6435E">
        <w:rPr>
          <w:shd w:val="clear" w:color="auto" w:fill="FFFFFF"/>
        </w:rPr>
        <w:t xml:space="preserve"> and </w:t>
      </w:r>
      <w:r w:rsidR="00EF0E1A" w:rsidRPr="00A6435E">
        <w:rPr>
          <w:shd w:val="clear" w:color="auto" w:fill="FFFFFF"/>
        </w:rPr>
        <w:t>SP</w:t>
      </w:r>
      <w:r w:rsidR="00AA50FF" w:rsidRPr="00A6435E">
        <w:rPr>
          <w:shd w:val="clear" w:color="auto" w:fill="FFFFFF"/>
        </w:rPr>
        <w:t xml:space="preserve"> with frailty in community dwelling older adults. In the Women's Health </w:t>
      </w:r>
      <w:r w:rsidR="00AA50FF" w:rsidRPr="00B80882">
        <w:rPr>
          <w:color w:val="000000"/>
          <w:shd w:val="clear" w:color="auto" w:fill="FFFFFF"/>
        </w:rPr>
        <w:t xml:space="preserve">and Aging Studies II, the likelihood of being frail was higher in the presence of these two </w:t>
      </w:r>
      <w:r w:rsidR="000B0B12" w:rsidRPr="00B80882">
        <w:rPr>
          <w:color w:val="000000"/>
          <w:shd w:val="clear" w:color="auto" w:fill="FFFFFF"/>
        </w:rPr>
        <w:t>conditions,</w:t>
      </w:r>
      <w:r w:rsidR="00A449F6">
        <w:rPr>
          <w:color w:val="000000"/>
          <w:shd w:val="clear" w:color="auto" w:fill="FFFFFF"/>
        </w:rPr>
        <w:t xml:space="preserve"> but t</w:t>
      </w:r>
      <w:r w:rsidR="00F6579E" w:rsidRPr="00B80882">
        <w:rPr>
          <w:color w:val="000000"/>
          <w:shd w:val="clear" w:color="auto" w:fill="FFFFFF"/>
        </w:rPr>
        <w:t xml:space="preserve">he association was </w:t>
      </w:r>
      <w:r w:rsidR="00A74866">
        <w:rPr>
          <w:color w:val="000000"/>
          <w:shd w:val="clear" w:color="auto" w:fill="FFFFFF"/>
        </w:rPr>
        <w:t xml:space="preserve">not statistically </w:t>
      </w:r>
      <w:r w:rsidR="00F6579E" w:rsidRPr="00B80882">
        <w:rPr>
          <w:color w:val="000000"/>
          <w:shd w:val="clear" w:color="auto" w:fill="FFFFFF"/>
        </w:rPr>
        <w:t>significant</w:t>
      </w:r>
      <w:r w:rsidR="00AA50FF" w:rsidRPr="00B80882">
        <w:rPr>
          <w:color w:val="000000"/>
          <w:shd w:val="clear" w:color="auto" w:fill="FFFFFF"/>
        </w:rPr>
        <w:t xml:space="preserve">. </w:t>
      </w:r>
      <w:r w:rsidR="00F6579E" w:rsidRPr="00B80882">
        <w:rPr>
          <w:color w:val="000000"/>
          <w:shd w:val="clear" w:color="auto" w:fill="FFFFFF"/>
        </w:rPr>
        <w:t>The criteria</w:t>
      </w:r>
      <w:r w:rsidR="00AA50FF" w:rsidRPr="00B80882">
        <w:rPr>
          <w:color w:val="000000"/>
          <w:shd w:val="clear" w:color="auto" w:fill="FFFFFF"/>
        </w:rPr>
        <w:t xml:space="preserve"> used </w:t>
      </w:r>
      <w:r w:rsidR="00A74866">
        <w:rPr>
          <w:color w:val="000000"/>
          <w:shd w:val="clear" w:color="auto" w:fill="FFFFFF"/>
        </w:rPr>
        <w:t xml:space="preserve">in this study </w:t>
      </w:r>
      <w:r w:rsidR="00AA50FF" w:rsidRPr="00B80882">
        <w:rPr>
          <w:color w:val="000000"/>
          <w:shd w:val="clear" w:color="auto" w:fill="FFFFFF"/>
        </w:rPr>
        <w:t xml:space="preserve">to assess </w:t>
      </w:r>
      <w:r w:rsidR="00EF0E1A" w:rsidRPr="00B80882">
        <w:rPr>
          <w:color w:val="000000"/>
          <w:shd w:val="clear" w:color="auto" w:fill="FFFFFF"/>
        </w:rPr>
        <w:t>SP</w:t>
      </w:r>
      <w:r w:rsidR="00AA50FF" w:rsidRPr="00B80882">
        <w:rPr>
          <w:color w:val="000000"/>
          <w:shd w:val="clear" w:color="auto" w:fill="FFFFFF"/>
        </w:rPr>
        <w:t xml:space="preserve"> was appendicular lean mass by height</w:t>
      </w:r>
      <w:r w:rsidR="00AA50FF" w:rsidRPr="00B80882">
        <w:rPr>
          <w:color w:val="000000"/>
          <w:shd w:val="clear" w:color="auto" w:fill="FFFFFF"/>
          <w:vertAlign w:val="superscript"/>
        </w:rPr>
        <w:t>2</w:t>
      </w:r>
      <w:r w:rsidR="00AA50FF" w:rsidRPr="00B80882">
        <w:rPr>
          <w:color w:val="000000"/>
          <w:shd w:val="clear" w:color="auto" w:fill="FFFFFF"/>
        </w:rPr>
        <w:t xml:space="preserve"> without taking into account muscle strength</w:t>
      </w:r>
      <w:r w:rsidR="00A74866">
        <w:rPr>
          <w:color w:val="000000"/>
          <w:shd w:val="clear" w:color="auto" w:fill="FFFFFF"/>
        </w:rPr>
        <w:t xml:space="preserve">, possibly </w:t>
      </w:r>
      <w:r w:rsidR="00F6579E" w:rsidRPr="00B80882">
        <w:rPr>
          <w:color w:val="000000"/>
          <w:shd w:val="clear" w:color="auto" w:fill="FFFFFF"/>
        </w:rPr>
        <w:t>lead</w:t>
      </w:r>
      <w:r w:rsidR="00A74866">
        <w:rPr>
          <w:color w:val="000000"/>
          <w:shd w:val="clear" w:color="auto" w:fill="FFFFFF"/>
        </w:rPr>
        <w:t>ing</w:t>
      </w:r>
      <w:r w:rsidR="00F6579E" w:rsidRPr="00B80882">
        <w:rPr>
          <w:color w:val="000000"/>
          <w:shd w:val="clear" w:color="auto" w:fill="FFFFFF"/>
        </w:rPr>
        <w:t xml:space="preserve"> to an under recognition of sarcopenic participants</w:t>
      </w:r>
      <w:r w:rsidR="00EA781B">
        <w:rPr>
          <w:color w:val="000000"/>
          <w:shd w:val="clear" w:color="auto" w:fill="FFFFFF"/>
        </w:rPr>
        <w:t xml:space="preserve"> </w:t>
      </w:r>
      <w:r w:rsidR="00AA50FF" w:rsidRPr="00B80882">
        <w:rPr>
          <w:color w:val="000000"/>
          <w:shd w:val="clear" w:color="auto" w:fill="FFFFFF"/>
        </w:rPr>
        <w:fldChar w:fldCharType="begin" w:fldLock="1"/>
      </w:r>
      <w:r w:rsidR="008E6C84">
        <w:rPr>
          <w:color w:val="000000"/>
          <w:shd w:val="clear" w:color="auto" w:fill="FFFFFF"/>
        </w:rPr>
        <w:instrText>ADDIN CSL_CITATION {"citationItems":[{"id":"ITEM-1","itemData":{"DOI":"10.1016/j.bone.2010.12.025","ISSN":"87563282","PMID":"21195216","abstract":"Objectives: The goal of this study was to examine the associations between severe osteopenia and osteoporosis and/or sarcopenia on frailty status, a major geriatric syndrome in community-dwelling older women. Design: Cross-sectional analysis. Setting: Women's Health and Aging Studies II (WHAS-II), Baltimore, Maryland. Participants and measurements: The analytic sample for this study included 250 women aged 76-86years old who underwent DXA evaluation at round 4. Frailty was determined using validated screening criteria. Severe osteopenia was defined as BMD between -2.0 SD and -2.49 SD and osteoporosis as BMD less than -2.5 SD (lumbar spine and/or proximal femur). Sarcopenia was determined by the appendicular lean mass by height2 (aLM/ht2 method) and considered present when the value was less then -2 SD compared to young women. Results: Mean age of study subjects was 79.6 (± 2.7) years. Overall prevalence of frailty was 6.8% (n = 17). Severe osteopenia/osteoporosis occurred in 42.1% (n = 7) in the frail group, 28% (n = 33) in the pre frail group and 25.2% in the robust group. Sarcopenia was present in 52.9% (n = 9) in the frail group, 42% (n = 50) in the pre frail and 41.2% (n = 47) in the robust group. Almost sixteen percent (n = 39) had severe osteopenia/osteoporosis concomitant to sarcopenia. In an adjusted logistic regression model, severe osteopenia/osteoporosis (OR: 2.1; 95% CI: 0.68-6.6, p = 0.196) and sarcopenia (OR: 3.1; 95% CI: 0.88-11.1; p = 0.077) were individually associated with frailty, though not statistically significant. On the other hand, the likelihood of being frail was substantially higher in the presence of these two syndromes (OR: 6.4; 95% CI: 1.1-36.8, p=0.037). Conclusion: These findings suggest a concomitant impact of severe osteopenia/osteoporosis plus sarcopenia in regard to frailty status in a sample of oldest old women living in the community. © 2010 Elsevier Inc.","author":[{"dropping-particle":"","family":"Frisoli","given":"Alberto","non-dropping-particle":"","parse-names":false,"suffix":""},{"dropping-particle":"","family":"Chaves","given":"Paulo Henrique","non-dropping-particle":"","parse-names":false,"suffix":""},{"dropping-particle":"","family":"Ingham","given":"Sheila Jean Mc Neill","non-dropping-particle":"","parse-names":false,"suffix":""},{"dropping-particle":"","family":"Fried","given":"Linda P.","non-dropping-particle":"","parse-names":false,"suffix":""}],"container-title":"Bone","id":"ITEM-1","issue":"4","issued":{"date-parts":[["2011","4","1"]]},"page":"952-957","publisher":"Elsevier","title":"Severe osteopenia and osteoporosis, sarcopenia, and frailty status in community-dwelling older women: Results from the Women's Health and Aging Study (WHAS) II","type":"article-journal","volume":"48"},"uris":["http://www.mendeley.com/documents/?uuid=1ddc9269-8d6b-3b6a-87f2-5c72bf1e0187"]}],"mendeley":{"formattedCitation":"[35]","plainTextFormattedCitation":"[35]","previouslyFormattedCitation":"[36]"},"properties":{"noteIndex":0},"schema":"https://github.com/citation-style-language/schema/raw/master/csl-citation.json"}</w:instrText>
      </w:r>
      <w:r w:rsidR="00AA50FF" w:rsidRPr="00B80882">
        <w:rPr>
          <w:color w:val="000000"/>
          <w:shd w:val="clear" w:color="auto" w:fill="FFFFFF"/>
        </w:rPr>
        <w:fldChar w:fldCharType="separate"/>
      </w:r>
      <w:r w:rsidR="008E6C84" w:rsidRPr="008E6C84">
        <w:rPr>
          <w:noProof/>
          <w:color w:val="000000"/>
          <w:shd w:val="clear" w:color="auto" w:fill="FFFFFF"/>
        </w:rPr>
        <w:t>[35]</w:t>
      </w:r>
      <w:r w:rsidR="00AA50FF" w:rsidRPr="00B80882">
        <w:rPr>
          <w:color w:val="000000"/>
          <w:shd w:val="clear" w:color="auto" w:fill="FFFFFF"/>
        </w:rPr>
        <w:fldChar w:fldCharType="end"/>
      </w:r>
      <w:r w:rsidR="00AA50FF" w:rsidRPr="00B80882">
        <w:rPr>
          <w:color w:val="000000"/>
          <w:shd w:val="clear" w:color="auto" w:fill="FFFFFF"/>
        </w:rPr>
        <w:t>.</w:t>
      </w:r>
      <w:r w:rsidR="00A449F6">
        <w:rPr>
          <w:color w:val="000000"/>
          <w:shd w:val="clear" w:color="auto" w:fill="FFFFFF"/>
        </w:rPr>
        <w:t xml:space="preserve"> </w:t>
      </w:r>
      <w:r w:rsidR="006A332A" w:rsidRPr="00B80882">
        <w:rPr>
          <w:color w:val="000000"/>
          <w:shd w:val="clear" w:color="auto" w:fill="FFFFFF"/>
        </w:rPr>
        <w:t>In the SARCO</w:t>
      </w:r>
      <w:r w:rsidR="009D6469" w:rsidRPr="00B80882">
        <w:rPr>
          <w:color w:val="000000"/>
          <w:shd w:val="clear" w:color="auto" w:fill="FFFFFF"/>
        </w:rPr>
        <w:t>S</w:t>
      </w:r>
      <w:r w:rsidR="006A332A" w:rsidRPr="00B80882">
        <w:rPr>
          <w:color w:val="000000"/>
          <w:shd w:val="clear" w:color="auto" w:fill="FFFFFF"/>
        </w:rPr>
        <w:t xml:space="preserve">-study, </w:t>
      </w:r>
      <w:r w:rsidR="00C436B5" w:rsidRPr="00B80882">
        <w:rPr>
          <w:color w:val="000000"/>
          <w:shd w:val="clear" w:color="auto" w:fill="FFFFFF"/>
        </w:rPr>
        <w:t xml:space="preserve">low lean mass </w:t>
      </w:r>
      <w:r w:rsidR="00AA034C" w:rsidRPr="00B80882">
        <w:rPr>
          <w:color w:val="000000"/>
          <w:shd w:val="clear" w:color="auto" w:fill="FFFFFF"/>
        </w:rPr>
        <w:t xml:space="preserve">together with </w:t>
      </w:r>
      <w:r w:rsidR="00EF0E1A" w:rsidRPr="00B80882">
        <w:rPr>
          <w:color w:val="000000"/>
          <w:shd w:val="clear" w:color="auto" w:fill="FFFFFF"/>
        </w:rPr>
        <w:t>OP</w:t>
      </w:r>
      <w:r w:rsidR="00C436B5" w:rsidRPr="00B80882">
        <w:rPr>
          <w:color w:val="000000"/>
          <w:shd w:val="clear" w:color="auto" w:fill="FFFFFF"/>
        </w:rPr>
        <w:t xml:space="preserve"> showed </w:t>
      </w:r>
      <w:r w:rsidR="00A74866">
        <w:rPr>
          <w:color w:val="000000"/>
          <w:shd w:val="clear" w:color="auto" w:fill="FFFFFF"/>
        </w:rPr>
        <w:t>an</w:t>
      </w:r>
      <w:r w:rsidR="00C436B5" w:rsidRPr="00B80882">
        <w:rPr>
          <w:color w:val="000000"/>
          <w:shd w:val="clear" w:color="auto" w:fill="FFFFFF"/>
        </w:rPr>
        <w:t xml:space="preserve"> association with </w:t>
      </w:r>
      <w:r w:rsidR="00A16729" w:rsidRPr="00B80882">
        <w:rPr>
          <w:color w:val="000000"/>
          <w:shd w:val="clear" w:color="auto" w:fill="FFFFFF"/>
        </w:rPr>
        <w:t>frailty</w:t>
      </w:r>
      <w:r w:rsidR="00AA034C" w:rsidRPr="00B80882">
        <w:rPr>
          <w:color w:val="000000"/>
          <w:shd w:val="clear" w:color="auto" w:fill="FFFFFF"/>
        </w:rPr>
        <w:t>;</w:t>
      </w:r>
      <w:r w:rsidR="00A16729" w:rsidRPr="00B80882">
        <w:rPr>
          <w:color w:val="000000"/>
          <w:shd w:val="clear" w:color="auto" w:fill="FFFFFF"/>
        </w:rPr>
        <w:t xml:space="preserve"> </w:t>
      </w:r>
      <w:r w:rsidR="006E7DFD" w:rsidRPr="00B80882">
        <w:rPr>
          <w:color w:val="000000"/>
          <w:shd w:val="clear" w:color="auto" w:fill="FFFFFF"/>
        </w:rPr>
        <w:t>cut-offs for lean mass were based on FNIH criteria</w:t>
      </w:r>
      <w:r w:rsidR="0003327A" w:rsidRPr="00B80882">
        <w:rPr>
          <w:color w:val="000000"/>
          <w:shd w:val="clear" w:color="auto" w:fill="FFFFFF"/>
        </w:rPr>
        <w:t xml:space="preserve"> and</w:t>
      </w:r>
      <w:r w:rsidR="00871DE5" w:rsidRPr="00B80882">
        <w:rPr>
          <w:color w:val="000000"/>
          <w:shd w:val="clear" w:color="auto" w:fill="FFFFFF"/>
        </w:rPr>
        <w:t xml:space="preserve"> </w:t>
      </w:r>
      <w:r w:rsidR="0003327A" w:rsidRPr="00B80882">
        <w:rPr>
          <w:color w:val="000000"/>
          <w:shd w:val="clear" w:color="auto" w:fill="FFFFFF"/>
        </w:rPr>
        <w:t xml:space="preserve">the </w:t>
      </w:r>
      <w:r w:rsidR="00871DE5" w:rsidRPr="00B80882">
        <w:rPr>
          <w:color w:val="000000"/>
          <w:shd w:val="clear" w:color="auto" w:fill="FFFFFF"/>
        </w:rPr>
        <w:t xml:space="preserve">authors </w:t>
      </w:r>
      <w:r w:rsidR="00BA06AE" w:rsidRPr="00B80882">
        <w:rPr>
          <w:color w:val="000000"/>
          <w:shd w:val="clear" w:color="auto" w:fill="FFFFFF"/>
        </w:rPr>
        <w:t xml:space="preserve">aimed to characterize the phenotype of </w:t>
      </w:r>
      <w:r w:rsidR="0034626A" w:rsidRPr="00B80882">
        <w:rPr>
          <w:color w:val="000000"/>
          <w:shd w:val="clear" w:color="auto" w:fill="FFFFFF"/>
        </w:rPr>
        <w:t xml:space="preserve">sarcopenic older </w:t>
      </w:r>
      <w:r w:rsidR="00BA06AE" w:rsidRPr="00B80882">
        <w:rPr>
          <w:color w:val="000000"/>
          <w:shd w:val="clear" w:color="auto" w:fill="FFFFFF"/>
        </w:rPr>
        <w:t xml:space="preserve">adults </w:t>
      </w:r>
      <w:r w:rsidR="0020644E" w:rsidRPr="00B80882">
        <w:rPr>
          <w:color w:val="000000"/>
          <w:shd w:val="clear" w:color="auto" w:fill="FFFFFF"/>
        </w:rPr>
        <w:t>only based on lean mass</w:t>
      </w:r>
      <w:r w:rsidR="0034626A" w:rsidRPr="00B80882">
        <w:rPr>
          <w:color w:val="000000"/>
          <w:shd w:val="clear" w:color="auto" w:fill="FFFFFF"/>
        </w:rPr>
        <w:t xml:space="preserve"> </w:t>
      </w:r>
      <w:r w:rsidR="00F23650" w:rsidRPr="00B80882">
        <w:rPr>
          <w:color w:val="000000"/>
          <w:shd w:val="clear" w:color="auto" w:fill="FFFFFF"/>
        </w:rPr>
        <w:fldChar w:fldCharType="begin" w:fldLock="1"/>
      </w:r>
      <w:r w:rsidR="008E6C84">
        <w:rPr>
          <w:color w:val="000000"/>
          <w:shd w:val="clear" w:color="auto" w:fill="FFFFFF"/>
        </w:rPr>
        <w:instrText>ADDIN CSL_CITATION {"citationItems":[{"id":"ITEM-1","itemData":{"DOI":"10.1038/s41430-020-00753-w","ISSN":"14765640","abstract":"Purpose: To characterize the phenotypes of older adults with low lean mass and osteoporosis, concomitantly or isolated, in regards to poor physical performance and frailty status. Design: Cross-sectional analysis of the SARCopenia and OSteoporosis in Older Adults with Cardiovascular Diseases Study (SARCOS). Setting: Outpatient geriatric cardiology clinic. Participants and method: 385 older adults underwent DXA analysis. Low lean mass was diagnosed according to FNIH and low BMD by a T-score ≤ −2.5 SD. Subjects were grouped into: I—Low lean mass and Osteoporosis (LLMO); II—Low lean mass (LLM); III—Osteoporosis (OP), and IV—Controls. Poor physical performance was diagnosed by weakness or slow walking speed or impaired mobility. Frailty was diagnosed by CHS criteria. Results: The mean age was 78.22 ± 7.16 years. The prevalence of LLMO, LLM, and OP were 14.8%, 39.5%, and 19.2%, respectively. LLMO subjects were older, predominantly women, with a high percentage of body fat (HTBF). LLM was represented by obese men, while individuals with OP were preferably women, older and leaner. In a regression analyses, LLMO presented an OR: 6.42 (2.63‒15.65; p &lt; 0.001) for weakness, OR: 2.55 (1.09‒5.95; p = 0.030) for impaired mobility, and OR: 14.75 (2.72‒79.94; p = 0.002) for frailty. After adjusting for HTBF, the OR for frailty, decreased to 7.25 (1.11–47.21; p = 0.038). LLM and OP were associated only with weakness with an OR: 3.06 (1.36–6.84; p = 0.006) and OR: 3.14 (1.29–7.62; p = 0.011), respectively. Conclusion: In Brazilian older community-dwelling outpatient adults, the phenotype characterized by low lean mass and osteoporosis presents a higher association with impaired mobility, weakness and frailty status compared to the others phenotyeps and controls. A high percentage of body fat presents a synergistic effect with low lean mass and osteoporosis phenotype in regards to frailty.","author":[{"dropping-particle":"","family":"Frisoli","given":"Alberto","non-dropping-particle":"","parse-names":false,"suffix":""},{"dropping-particle":"","family":"Paes","given":"Angela Tavares","non-dropping-particle":"","parse-names":false,"suffix":""},{"dropping-particle":"","family":"Borges","given":"Jairo","non-dropping-particle":"","parse-names":false,"suffix":""},{"dropping-particle":"","family":"Ingham","given":"Sheila Mc Neill","non-dropping-particle":"","parse-names":false,"suffix":""},{"dropping-particle":"","family":"Cartocci","given":"Monica Maria","non-dropping-particle":"","parse-names":false,"suffix":""},{"dropping-particle":"","family":"Lima","given":"Eliene","non-dropping-particle":"","parse-names":false,"suffix":""},{"dropping-particle":"","family":"Camargo Carvalho","given":"Antonio Carlos","non-dropping-particle":"de","parse-names":false,"suffix":""}],"container-title":"European Journal of Clinical Nutrition","id":"ITEM-1","issue":"3","issued":{"date-parts":[["2020","3","1"]]},"page":"446-455","publisher":"Springer Nature","title":"The association between low lean mass and osteoporosis increases the risk of weakness, poor physical performance and frailty in Brazilian older adults: data from SARCOS study","type":"article-journal","volume":"75"},"uris":["http://www.mendeley.com/documents/?uuid=9103ef26-4554-37b7-bf3a-a7416783e9c4"]}],"mendeley":{"formattedCitation":"[36]","plainTextFormattedCitation":"[36]","previouslyFormattedCitation":"[37]"},"properties":{"noteIndex":0},"schema":"https://github.com/citation-style-language/schema/raw/master/csl-citation.json"}</w:instrText>
      </w:r>
      <w:r w:rsidR="00F23650" w:rsidRPr="00B80882">
        <w:rPr>
          <w:color w:val="000000"/>
          <w:shd w:val="clear" w:color="auto" w:fill="FFFFFF"/>
        </w:rPr>
        <w:fldChar w:fldCharType="separate"/>
      </w:r>
      <w:r w:rsidR="008E6C84" w:rsidRPr="008E6C84">
        <w:rPr>
          <w:noProof/>
          <w:color w:val="000000"/>
          <w:shd w:val="clear" w:color="auto" w:fill="FFFFFF"/>
        </w:rPr>
        <w:t>[36]</w:t>
      </w:r>
      <w:r w:rsidR="00F23650" w:rsidRPr="00B80882">
        <w:rPr>
          <w:color w:val="000000"/>
          <w:shd w:val="clear" w:color="auto" w:fill="FFFFFF"/>
        </w:rPr>
        <w:fldChar w:fldCharType="end"/>
      </w:r>
      <w:r w:rsidR="004C0A55" w:rsidRPr="00B80882">
        <w:rPr>
          <w:color w:val="000000"/>
          <w:shd w:val="clear" w:color="auto" w:fill="FFFFFF"/>
        </w:rPr>
        <w:t>.</w:t>
      </w:r>
      <w:r w:rsidR="009F3D43" w:rsidRPr="00B80882">
        <w:rPr>
          <w:color w:val="000000"/>
          <w:shd w:val="clear" w:color="auto" w:fill="FFFFFF"/>
        </w:rPr>
        <w:t xml:space="preserve"> </w:t>
      </w:r>
      <w:r w:rsidR="00AA50FF" w:rsidRPr="00B80882">
        <w:rPr>
          <w:color w:val="000000"/>
          <w:shd w:val="clear" w:color="auto" w:fill="FFFFFF"/>
        </w:rPr>
        <w:t xml:space="preserve">In </w:t>
      </w:r>
      <w:r w:rsidR="00AA034C" w:rsidRPr="00B80882">
        <w:rPr>
          <w:color w:val="000000"/>
          <w:shd w:val="clear" w:color="auto" w:fill="FFFFFF"/>
        </w:rPr>
        <w:t>a</w:t>
      </w:r>
      <w:r w:rsidR="002A3147">
        <w:rPr>
          <w:color w:val="000000"/>
          <w:shd w:val="clear" w:color="auto" w:fill="FFFFFF"/>
        </w:rPr>
        <w:t xml:space="preserve"> study of </w:t>
      </w:r>
      <w:r w:rsidR="00AA034C" w:rsidRPr="00B80882">
        <w:rPr>
          <w:color w:val="000000"/>
          <w:shd w:val="clear" w:color="auto" w:fill="FFFFFF"/>
        </w:rPr>
        <w:t>octogenarian</w:t>
      </w:r>
      <w:r w:rsidR="002A3147">
        <w:rPr>
          <w:color w:val="000000"/>
          <w:shd w:val="clear" w:color="auto" w:fill="FFFFFF"/>
        </w:rPr>
        <w:t>s in China</w:t>
      </w:r>
      <w:r w:rsidR="005A7E80">
        <w:rPr>
          <w:color w:val="000000"/>
          <w:shd w:val="clear" w:color="auto" w:fill="FFFFFF"/>
        </w:rPr>
        <w:t>,</w:t>
      </w:r>
      <w:r w:rsidR="00AA034C" w:rsidRPr="00B80882">
        <w:rPr>
          <w:color w:val="000000"/>
          <w:shd w:val="clear" w:color="auto" w:fill="FFFFFF"/>
        </w:rPr>
        <w:t xml:space="preserve"> </w:t>
      </w:r>
      <w:r w:rsidR="00AA50FF" w:rsidRPr="00B80882">
        <w:rPr>
          <w:color w:val="000000"/>
          <w:shd w:val="clear" w:color="auto" w:fill="FFFFFF"/>
        </w:rPr>
        <w:t xml:space="preserve">women </w:t>
      </w:r>
      <w:r w:rsidR="00A74866">
        <w:rPr>
          <w:color w:val="000000"/>
          <w:shd w:val="clear" w:color="auto" w:fill="FFFFFF"/>
        </w:rPr>
        <w:t xml:space="preserve">were more likely to have osteosarcopenia </w:t>
      </w:r>
      <w:r w:rsidR="00AA50FF" w:rsidRPr="00B80882">
        <w:rPr>
          <w:color w:val="000000"/>
          <w:shd w:val="clear" w:color="auto" w:fill="FFFFFF"/>
        </w:rPr>
        <w:t xml:space="preserve">compared to men; </w:t>
      </w:r>
      <w:r w:rsidR="00EF0E1A" w:rsidRPr="00B80882">
        <w:rPr>
          <w:color w:val="000000"/>
          <w:shd w:val="clear" w:color="auto" w:fill="FFFFFF"/>
        </w:rPr>
        <w:t>SP</w:t>
      </w:r>
      <w:r w:rsidR="00AA50FF" w:rsidRPr="00B80882">
        <w:rPr>
          <w:color w:val="000000"/>
          <w:shd w:val="clear" w:color="auto" w:fill="FFFFFF"/>
        </w:rPr>
        <w:t xml:space="preserve"> and </w:t>
      </w:r>
      <w:r w:rsidR="00EF0E1A" w:rsidRPr="00B80882">
        <w:rPr>
          <w:color w:val="000000"/>
          <w:shd w:val="clear" w:color="auto" w:fill="FFFFFF"/>
        </w:rPr>
        <w:t>OP</w:t>
      </w:r>
      <w:r w:rsidR="00AA50FF" w:rsidRPr="00B80882">
        <w:rPr>
          <w:color w:val="000000"/>
          <w:shd w:val="clear" w:color="auto" w:fill="FFFFFF"/>
        </w:rPr>
        <w:t xml:space="preserve"> </w:t>
      </w:r>
      <w:r w:rsidR="00A74866">
        <w:rPr>
          <w:color w:val="000000"/>
          <w:shd w:val="clear" w:color="auto" w:fill="FFFFFF"/>
        </w:rPr>
        <w:t xml:space="preserve">alone or in combination </w:t>
      </w:r>
      <w:r w:rsidR="00AA50FF" w:rsidRPr="00B80882">
        <w:rPr>
          <w:color w:val="000000"/>
          <w:shd w:val="clear" w:color="auto" w:fill="FFFFFF"/>
        </w:rPr>
        <w:t xml:space="preserve">were associated with frailty </w:t>
      </w:r>
      <w:r w:rsidR="00AA50FF" w:rsidRPr="00B80882">
        <w:rPr>
          <w:color w:val="000000"/>
          <w:shd w:val="clear" w:color="auto" w:fill="FFFFFF"/>
        </w:rPr>
        <w:fldChar w:fldCharType="begin" w:fldLock="1"/>
      </w:r>
      <w:r w:rsidR="008E6C84">
        <w:rPr>
          <w:color w:val="000000"/>
          <w:shd w:val="clear" w:color="auto" w:fill="FFFFFF"/>
        </w:rPr>
        <w:instrText xml:space="preserve">ADDIN CSL_CITATION {"citationItems":[{"id":"ITEM-1","itemData":{"DOI":"10.1155/2015/482940","abstract":"The aim was to apply AWGS criteria to estimate the prevalence of sarco-osteoporosis and investigate its relationship with frailty, in a sample of 316 community-dwelling Chinese older people. Regression analysis was performed using frailty as the dependent variable. The results showed that the prevalence rate of sarco-osteoporosis was 10.4% in older men and 15.1% in older women. </w:instrText>
      </w:r>
      <w:r w:rsidR="008E6C84">
        <w:rPr>
          <w:rFonts w:ascii="Cambria Math" w:hAnsi="Cambria Math" w:cs="Cambria Math"/>
          <w:color w:val="000000"/>
          <w:shd w:val="clear" w:color="auto" w:fill="FFFFFF"/>
        </w:rPr>
        <w:instrText>≧</w:instrText>
      </w:r>
      <w:r w:rsidR="008E6C84">
        <w:rPr>
          <w:color w:val="000000"/>
          <w:shd w:val="clear" w:color="auto" w:fill="FFFFFF"/>
        </w:rPr>
        <w:instrText xml:space="preserve">80 years old (OR 4.8; 95% CI, 3.05-10.76; </w:instrText>
      </w:r>
      <w:r w:rsidR="008E6C84">
        <w:rPr>
          <w:rFonts w:cs="Times New Roman"/>
          <w:color w:val="000000"/>
          <w:shd w:val="clear" w:color="auto" w:fill="FFFFFF"/>
        </w:rPr>
        <w:instrText>í</w:instrText>
      </w:r>
      <w:r w:rsidR="008E6C84">
        <w:rPr>
          <w:color w:val="000000"/>
          <w:shd w:val="clear" w:color="auto" w:fill="FFFFFF"/>
        </w:rPr>
        <w:instrText xml:space="preserve"> </w:instrText>
      </w:r>
      <w:r w:rsidR="008E6C84">
        <w:rPr>
          <w:rFonts w:cs="Times New Roman"/>
          <w:color w:val="000000"/>
          <w:shd w:val="clear" w:color="auto" w:fill="FFFFFF"/>
        </w:rPr>
        <w:instrText>µí±</w:instrText>
      </w:r>
      <w:r w:rsidR="008E6C84">
        <w:rPr>
          <w:color w:val="000000"/>
          <w:shd w:val="clear" w:color="auto" w:fill="FFFFFF"/>
        </w:rPr>
        <w:instrText xml:space="preserve"> = 0.027), women (OR 2.6; 95% CI, 1.18-2.76; </w:instrText>
      </w:r>
      <w:r w:rsidR="008E6C84">
        <w:rPr>
          <w:rFonts w:cs="Times New Roman"/>
          <w:color w:val="000000"/>
          <w:shd w:val="clear" w:color="auto" w:fill="FFFFFF"/>
        </w:rPr>
        <w:instrText>í</w:instrText>
      </w:r>
      <w:r w:rsidR="008E6C84">
        <w:rPr>
          <w:color w:val="000000"/>
          <w:shd w:val="clear" w:color="auto" w:fill="FFFFFF"/>
        </w:rPr>
        <w:instrText xml:space="preserve"> </w:instrText>
      </w:r>
      <w:r w:rsidR="008E6C84">
        <w:rPr>
          <w:rFonts w:cs="Times New Roman"/>
          <w:color w:val="000000"/>
          <w:shd w:val="clear" w:color="auto" w:fill="FFFFFF"/>
        </w:rPr>
        <w:instrText>µí±</w:instrText>
      </w:r>
      <w:r w:rsidR="008E6C84">
        <w:rPr>
          <w:color w:val="000000"/>
          <w:shd w:val="clear" w:color="auto" w:fill="FFFFFF"/>
        </w:rPr>
        <w:instrText xml:space="preserve"> = 0.036), and higher level of comorbidity (OR 3.71; 95% CI, 1.61-10.43; í µí±</w:instrText>
      </w:r>
      <w:r w:rsidR="008E6C84">
        <w:rPr>
          <w:rFonts w:cs="Times New Roman"/>
          <w:color w:val="000000"/>
          <w:shd w:val="clear" w:color="auto" w:fill="FFFFFF"/>
        </w:rPr>
        <w:instrText></w:instrText>
      </w:r>
      <w:r w:rsidR="008E6C84">
        <w:rPr>
          <w:color w:val="000000"/>
          <w:shd w:val="clear" w:color="auto" w:fill="FFFFFF"/>
        </w:rPr>
        <w:instrText xml:space="preserve"> = 0.021) were independently associated with the likelihood of being sarco-osteoporosis. In the frail group, sarco-osteoporosis occurred in 26.3% of men, in 38.5% of women, and in lower proportion in the prefrail (13.6% of men; 16.2% of women) and nonfrail group (1.6% of men; 1.9% of women) (í µí±</w:instrText>
      </w:r>
      <w:r w:rsidR="008E6C84">
        <w:rPr>
          <w:rFonts w:cs="Times New Roman"/>
          <w:color w:val="000000"/>
          <w:shd w:val="clear" w:color="auto" w:fill="FFFFFF"/>
        </w:rPr>
        <w:instrText></w:instrText>
      </w:r>
      <w:r w:rsidR="008E6C84">
        <w:rPr>
          <w:color w:val="000000"/>
          <w:shd w:val="clear" w:color="auto" w:fill="FFFFFF"/>
        </w:rPr>
        <w:instrText xml:space="preserve"> &lt; 0.05, resp.). Furthermore, the likelihood of being frail/prefrail was substantially higher in the presence of sarco-osteoporosis (OR 4.16; 95% CI, 2.17-17.65; </w:instrText>
      </w:r>
      <w:r w:rsidR="008E6C84">
        <w:rPr>
          <w:rFonts w:cs="Times New Roman"/>
          <w:color w:val="000000"/>
          <w:shd w:val="clear" w:color="auto" w:fill="FFFFFF"/>
        </w:rPr>
        <w:instrText>í</w:instrText>
      </w:r>
      <w:r w:rsidR="008E6C84">
        <w:rPr>
          <w:color w:val="000000"/>
          <w:shd w:val="clear" w:color="auto" w:fill="FFFFFF"/>
        </w:rPr>
        <w:instrText xml:space="preserve"> </w:instrText>
      </w:r>
      <w:r w:rsidR="008E6C84">
        <w:rPr>
          <w:rFonts w:cs="Times New Roman"/>
          <w:color w:val="000000"/>
          <w:shd w:val="clear" w:color="auto" w:fill="FFFFFF"/>
        </w:rPr>
        <w:instrText>µí±</w:instrText>
      </w:r>
      <w:r w:rsidR="008E6C84">
        <w:rPr>
          <w:color w:val="000000"/>
          <w:shd w:val="clear" w:color="auto" w:fill="FFFFFF"/>
        </w:rPr>
        <w:instrText xml:space="preserve"> = 0.019 in men; and OR 4.67; 95% CI, 2.42-18.86; í µí±</w:instrText>
      </w:r>
      <w:r w:rsidR="008E6C84">
        <w:rPr>
          <w:rFonts w:cs="Times New Roman"/>
          <w:color w:val="000000"/>
          <w:shd w:val="clear" w:color="auto" w:fill="FFFFFF"/>
        </w:rPr>
        <w:instrText></w:instrText>
      </w:r>
      <w:r w:rsidR="008E6C84">
        <w:rPr>
          <w:color w:val="000000"/>
          <w:shd w:val="clear" w:color="auto" w:fill="FFFFFF"/>
        </w:rPr>
        <w:instrText xml:space="preserve"> = 0.007 in women). The results indicate that patients with sarco-osteoporosis are more likely to be </w:instrText>
      </w:r>
      <w:r w:rsidR="008E6C84">
        <w:rPr>
          <w:rFonts w:ascii="Cambria Math" w:hAnsi="Cambria Math" w:cs="Cambria Math"/>
          <w:color w:val="000000"/>
          <w:shd w:val="clear" w:color="auto" w:fill="FFFFFF"/>
        </w:rPr>
        <w:instrText>≧</w:instrText>
      </w:r>
      <w:r w:rsidR="008E6C84">
        <w:rPr>
          <w:color w:val="000000"/>
          <w:shd w:val="clear" w:color="auto" w:fill="FFFFFF"/>
        </w:rPr>
        <w:instrText>80 yrs with higher burden of comorbidities and to have frailty/prefrailty, especially for women.","author":[{"dropping-particle":"","family":"Wang","given":"Yan-Jiao","non-dropping-particle":"","parse-names":false,"suffix":""},{"dropping-particle":"","family":"Wang","given":"Yi","non-dropping-particle":"","parse-names":false,"suffix":""},{"dropping-particle":"","family":"Zhan","given":"Jun-Kun","non-dropping-particle":"","parse-names":false,"suffix":""},{"dropping-particle":"","family":"Tang","given":"Zhi-Yong","non-dropping-particle":"","parse-names":false,"suffix":""},{"dropping-particle":"","family":"He","given":"Jie-Yu","non-dropping-particle":"","parse-names":false,"suffix":""},{"dropping-particle":"","family":"Tan","given":"Pan","non-dropping-particle":"","parse-names":false,"suffix":""},{"dropping-particle":"","family":"Deng","given":"Hui-Qian","non-dropping-particle":"","parse-names":false,"suffix":""},{"dropping-particle":"","family":"Huang","given":"Wu","non-dropping-particle":"","parse-names":false,"suffix":""},{"dropping-particle":"","family":"Liu","given":"You-Shuo","non-dropping-particle":"","parse-names":false,"suffix":""}],"id":"ITEM-1","issued":{"date-parts":[["2015"]]},"title":"Sarco-Osteoporosis: Prevalence and Association with Frailty in Chinese Community-Dwelling Older Adults","type":"article-journal"},"uris":["http://www.mendeley.com/documents/?uuid=d79930bb-58a6-43c7-be79-024c73da5805"]}],"mendeley":{"formattedCitation":"[24]","plainTextFormattedCitation":"[24]","previouslyFormattedCitation":"[24]"},"properties":{"noteIndex":0},"schema":"https://github.com/citation-style-language/schema/raw/master/csl-citation.json"}</w:instrText>
      </w:r>
      <w:r w:rsidR="00AA50FF" w:rsidRPr="00B80882">
        <w:rPr>
          <w:color w:val="000000"/>
          <w:shd w:val="clear" w:color="auto" w:fill="FFFFFF"/>
        </w:rPr>
        <w:fldChar w:fldCharType="separate"/>
      </w:r>
      <w:r w:rsidR="008E6C84" w:rsidRPr="008E6C84">
        <w:rPr>
          <w:noProof/>
          <w:color w:val="000000"/>
          <w:shd w:val="clear" w:color="auto" w:fill="FFFFFF"/>
        </w:rPr>
        <w:t>[24]</w:t>
      </w:r>
      <w:r w:rsidR="00AA50FF" w:rsidRPr="00B80882">
        <w:rPr>
          <w:color w:val="000000"/>
          <w:shd w:val="clear" w:color="auto" w:fill="FFFFFF"/>
        </w:rPr>
        <w:fldChar w:fldCharType="end"/>
      </w:r>
      <w:r w:rsidR="00AA50FF" w:rsidRPr="00B80882">
        <w:rPr>
          <w:color w:val="000000"/>
          <w:shd w:val="clear" w:color="auto" w:fill="FFFFFF"/>
        </w:rPr>
        <w:t xml:space="preserve">. </w:t>
      </w:r>
      <w:r w:rsidR="00EF0E1A" w:rsidRPr="00B80882">
        <w:rPr>
          <w:color w:val="202020"/>
        </w:rPr>
        <w:t>OP</w:t>
      </w:r>
      <w:r w:rsidR="00AA50FF" w:rsidRPr="00B80882">
        <w:rPr>
          <w:color w:val="202020"/>
        </w:rPr>
        <w:t xml:space="preserve">, risk of falls and </w:t>
      </w:r>
      <w:r w:rsidR="00EF0E1A" w:rsidRPr="00B80882">
        <w:rPr>
          <w:color w:val="202020"/>
        </w:rPr>
        <w:t>SP</w:t>
      </w:r>
      <w:r w:rsidR="00AA50FF" w:rsidRPr="00B80882">
        <w:rPr>
          <w:color w:val="202020"/>
        </w:rPr>
        <w:t xml:space="preserve"> </w:t>
      </w:r>
      <w:r w:rsidR="00A74866">
        <w:rPr>
          <w:color w:val="202020"/>
        </w:rPr>
        <w:t>we</w:t>
      </w:r>
      <w:r w:rsidR="00AA50FF" w:rsidRPr="00B80882">
        <w:rPr>
          <w:color w:val="202020"/>
        </w:rPr>
        <w:t>re reported in the I-Lan Longitudinal Aging Study to be associated with frailty</w:t>
      </w:r>
      <w:r w:rsidR="00AA034C" w:rsidRPr="00B80882">
        <w:rPr>
          <w:color w:val="202020"/>
        </w:rPr>
        <w:t xml:space="preserve"> independently</w:t>
      </w:r>
      <w:r w:rsidR="00AA50FF" w:rsidRPr="00B80882">
        <w:rPr>
          <w:color w:val="202020"/>
        </w:rPr>
        <w:t xml:space="preserve"> </w:t>
      </w:r>
      <w:r w:rsidR="00AA50FF" w:rsidRPr="00B80882">
        <w:rPr>
          <w:color w:val="202020"/>
        </w:rPr>
        <w:fldChar w:fldCharType="begin" w:fldLock="1"/>
      </w:r>
      <w:r w:rsidR="008E6C84">
        <w:rPr>
          <w:color w:val="202020"/>
        </w:rPr>
        <w:instrText>ADDIN CSL_CITATION {"citationItems":[{"id":"ITEM-1","itemData":{"DOI":"10.1371/journal.pone.0136968","ISSN":"1932-6203","abstract":"Background: Association of frailty with adverse clinical outcomes has been reported in Western countries, but data from the Asian population are scarce. This study aimed to evaluate the epidemiology of frailty among community-dwelling middle-aged and elderly population and to explore its association with musculoskeletal health in Taiwan. Methods: I-Lan Longitudinal Aging Study (ILAS) data were retrieved for this study. Frailty was defined by the Fried's criteria; a comparison of demographic characteristics, physical performance, and body composition, including skeletal muscle mass and bone mineral density (BMD), as well as recent falls, history of hip fractures and the functional status of subjects with different frailty statuses were accomplished. Results: Overall, the data of 1,839 participants (mean age: 63.9±9.3 years, male 47.5%) were obtained for analysis. The prevalence of pre-frailty was 42.3%in men and 38.8%in women, whereas the prevalence of frailty was 6.9% and 6.7% in men and women, respectively. Frailty was significantly associated with older age, the male gender, larger waist circumference, lower skeletal muscle index, lower hip BMD, poorer physical function, poorer nutritional status, and poorer cognitive function. Also, frailty was significantly associated with osteoporosis (OR: 7.73, 95% CI: 5.01-11.90, p&lt;0.001), history of hip fractures (OR: 8.66, 95% CI: 2.47-30.40, p = 0.001), and recent falls (O.R: 2.53, 95% CI: 1.35-4.76, p = 0.004). Conclusions: Frailty and pre-frailty, in Taiwan, was closely associated with recent falls, history of hip fractures and osteoporosis among community-dwelling people 50 years of age and older. Furthermore, frailty intervention programs should take an integrated approach towards strengthening both and muscle mass, as well as prevention of falls. Copyright:","author":[{"dropping-particle":"","family":"Liu","given":"Li-Kuo","non-dropping-particle":"","parse-names":false,"suffix":""},{"dropping-particle":"","family":"Lee","given":"Wei-Ju","non-dropping-particle":"","parse-names":false,"suffix":""},{"dropping-particle":"","family":"Chen","given":"Liang-Yu","non-dropping-particle":"","parse-names":false,"suffix":""},{"dropping-particle":"","family":"Hwang","given":"An-Chun","non-dropping-particle":"","parse-names":false,"suffix":""},{"dropping-particle":"","family":"Lin","given":"Ming-Hsien","non-dropping-particle":"","parse-names":false,"suffix":""},{"dropping-particle":"","family":"Peng","given":"Li-Ning","non-dropping-particle":"","parse-names":false,"suffix":""},{"dropping-particle":"","family":"Chen","given":"Liang-Kung","non-dropping-particle":"","parse-names":false,"suffix":""}],"container-title":"PLOS ONE","editor":[{"dropping-particle":"","family":"Hsu","given":"Yi-Hsiang","non-dropping-particle":"","parse-names":false,"suffix":""}],"id":"ITEM-1","issue":"9","issued":{"date-parts":[["2015","9"]]},"page":"e0136968","publisher":"Public Library of Science","title":"Association between Frailty, Osteoporosis, Falls and Hip Fractures among Community-Dwelling People Aged 50 Years and Older in Taiwan: Results from I-Lan Longitudinal Aging Study","type":"article-journal","volume":"10"},"uris":["http://www.mendeley.com/documents/?uuid=d17dc8e5-8932-3a78-81c9-2338a7bde8d3","http://www.mendeley.com/documents/?uuid=50ec2bae-399a-43e8-b221-bfd7048c236c"]}],"mendeley":{"formattedCitation":"[37]","plainTextFormattedCitation":"[37]","previouslyFormattedCitation":"[38]"},"properties":{"noteIndex":0},"schema":"https://github.com/citation-style-language/schema/raw/master/csl-citation.json"}</w:instrText>
      </w:r>
      <w:r w:rsidR="00AA50FF" w:rsidRPr="00B80882">
        <w:rPr>
          <w:color w:val="202020"/>
        </w:rPr>
        <w:fldChar w:fldCharType="separate"/>
      </w:r>
      <w:r w:rsidR="008E6C84" w:rsidRPr="008E6C84">
        <w:rPr>
          <w:noProof/>
          <w:color w:val="202020"/>
        </w:rPr>
        <w:t>[37]</w:t>
      </w:r>
      <w:r w:rsidR="00AA50FF" w:rsidRPr="00B80882">
        <w:rPr>
          <w:color w:val="202020"/>
        </w:rPr>
        <w:fldChar w:fldCharType="end"/>
      </w:r>
      <w:r w:rsidR="00AB3059">
        <w:rPr>
          <w:color w:val="202020"/>
        </w:rPr>
        <w:t>.</w:t>
      </w:r>
      <w:r w:rsidR="00AA50FF" w:rsidRPr="00B80882">
        <w:rPr>
          <w:color w:val="202020"/>
        </w:rPr>
        <w:t xml:space="preserve"> </w:t>
      </w:r>
      <w:r w:rsidR="00C56024" w:rsidRPr="00B80882">
        <w:t>In a hospital based study</w:t>
      </w:r>
      <w:r w:rsidR="00AA034C" w:rsidRPr="00B80882">
        <w:t xml:space="preserve">, </w:t>
      </w:r>
      <w:r w:rsidR="00EF0E1A" w:rsidRPr="00B80882">
        <w:t>SP</w:t>
      </w:r>
      <w:r w:rsidR="00C56024" w:rsidRPr="00B80882">
        <w:t xml:space="preserve"> was strongly associated with frailty (</w:t>
      </w:r>
      <w:r w:rsidR="00FF5468" w:rsidRPr="00B80882">
        <w:t>p</w:t>
      </w:r>
      <w:r w:rsidR="00C56024" w:rsidRPr="00B80882">
        <w:t xml:space="preserve">&lt;0.001) while </w:t>
      </w:r>
      <w:r w:rsidR="00A449F6">
        <w:t xml:space="preserve">relationships with </w:t>
      </w:r>
      <w:r w:rsidR="00EF0E1A" w:rsidRPr="00B80882">
        <w:t>OP</w:t>
      </w:r>
      <w:r w:rsidR="00C56024" w:rsidRPr="00B80882">
        <w:t xml:space="preserve"> </w:t>
      </w:r>
      <w:r w:rsidR="00A449F6">
        <w:t>were weaker</w:t>
      </w:r>
      <w:r w:rsidR="00C56024" w:rsidRPr="00B80882">
        <w:t xml:space="preserve"> (p=0.055)</w:t>
      </w:r>
      <w:r w:rsidR="00C56024" w:rsidRPr="00A449F6">
        <w:fldChar w:fldCharType="begin" w:fldLock="1"/>
      </w:r>
      <w:r w:rsidR="008E6C84">
        <w:instrText>ADDIN CSL_CITATION {"citationItems":[{"id":"ITEM-1","itemData":{"DOI":"10.2169/internalmedicine.4399-19","ISSN":"0918-2918","abstract":"Objective The association between frailty and abdominal symptoms has not been evaluated. Methods We conducted a hospital-based, retrospective cross-sectional study of consecutive outpatients !65 years old at the Department of Gastroenterology, Juntendo Tokyo Koto Geriatric Medical Center from 2017 to 2019. Patients were included in the study if all of the following information was available from their medical records: patient's profile, the evaluation of osteoporosis, sarcopenia, frailty, nutritional status, findings of upper gastrointestinal endoscopy, and questionnaire results for abdominal symptoms [Frequency Scale for the Symptoms of Gastroesophageal Reflux Disease (FSSG) and Constipation Scoring System (CSS)]. We divided the subjects into frailty and non-frailty groups and investigated the risk factors for frailty. Results Of the 313 eligible study subjects [134 men (42.8%) and 179 women (57.2%); mean age, 75.7±6.0 years; mean body mass index, 22.8±3.6 kg/m2], frailty was noted in 71 cases (22.7%). In a univariate analysis, an older age (p&lt;0.001), female gender (p=0.010), successful eradication of Helicobacter pylori (p=0.049), proton pump inhibitor (PPI) use (p&lt;0.001), laxative/prokinetics use (p=0.008), sarcopenia (p&lt;0.001), osteoporosis (p&lt;0.001), hypozincemia (p=0.002), hypoalbuminemia (p&lt;0.001), low lymphocytes (p=0.004), a high CONUT score (p&lt;0.001), a high FSSG score (p=0.001), and a high CSS score (p&lt;0.001) were significantly associated with frailty. A multivariate logistic regression analysis showed that an older age [odds ratio (OR) 1.16; 95% confidence interval (CI) 1.08-1.24, p&lt;0.001], PPI use (OR 2.42; 95% CI 1.18-4.98, p=0.016), sarcopenia (OR 7.35; 95% CI 3.30-16.40, p&lt;0.001), hypozincemia (OR 0.96; 95% CI 0.92-0.99, p=0.027), a high FSSG score (OR 1.08; 95% CI 1.01-1.16, p=0.021), and a high CSS score (OR 1.13; 95% CI 1.03-1.23, p=0.007) were significantly associated with frailty. Conclusion Advanced age, PPI user, sarcopenia, hypozincemia, a high FSSG score, and high CSS score are associated with frailty.","author":[{"dropping-particle":"","family":"Asaoka","given":"Daisuke","non-dropping-particle":"","parse-names":false,"suffix":""},{"dropping-particle":"","family":"Takeda","given":"Tsutomu","non-dropping-particle":"","parse-names":false,"suffix":""},{"dropping-particle":"","family":"Inami","given":"Yoshihiro","non-dropping-particle":"","parse-names":false,"suffix":""},{"dropping-particle":"","family":"Abe","given":"Daiki","non-dropping-particle":"","parse-names":false,"suffix":""},{"dropping-particle":"","family":"Shimada","given":"Yuji","non-dropping-particle":"","parse-names":false,"suffix":""},{"dropping-particle":"","family":"Matsumoto","given":"Kenshi","non-dropping-particle":"","parse-names":false,"suffix":""},{"dropping-particle":"","family":"Ueyama","given":"Hiroya","non-dropping-particle":"","parse-names":false,"suffix":""},{"dropping-particle":"","family":"Matsumoto","given":"Kohei","non-dropping-particle":"","parse-names":false,"suffix":""},{"dropping-particle":"","family":"Komori","given":"Hiroyuki","non-dropping-particle":"","parse-names":false,"suffix":""},{"dropping-particle":"","family":"Akazawa","given":"Yoichi","non-dropping-particle":"","parse-names":false,"suffix":""},{"dropping-particle":"","family":"Osada","given":"Taro","non-dropping-particle":"","parse-names":false,"suffix":""},{"dropping-particle":"","family":"Hojo","given":"Mariko","non-dropping-particle":"","parse-names":false,"suffix":""},{"dropping-particle":"","family":"Nagahara","given":"Akihito","non-dropping-particle":"","parse-names":false,"suffix":""}],"container-title":"Internal Medicine","id":"ITEM-1","issue":"14","issued":{"date-parts":[["2020","7","15"]]},"page":"1677-1685","publisher":"Japanese Society of Internal Medicine","title":"The Association between Frailty and Abdominal Symptoms: A Hospital-based Cross-sectional Study","type":"article-journal","volume":"59"},"uris":["http://www.mendeley.com/documents/?uuid=38129766-d205-3f37-b69e-6a343a64a855"]}],"mendeley":{"formattedCitation":"[38]","plainTextFormattedCitation":"[38]","previouslyFormattedCitation":"[39]"},"properties":{"noteIndex":0},"schema":"https://github.com/citation-style-language/schema/raw/master/csl-citation.json"}</w:instrText>
      </w:r>
      <w:r w:rsidR="00C56024" w:rsidRPr="00A449F6">
        <w:fldChar w:fldCharType="separate"/>
      </w:r>
      <w:r w:rsidR="008E6C84" w:rsidRPr="008E6C84">
        <w:rPr>
          <w:noProof/>
        </w:rPr>
        <w:t>[38]</w:t>
      </w:r>
      <w:r w:rsidR="00C56024" w:rsidRPr="00A449F6">
        <w:fldChar w:fldCharType="end"/>
      </w:r>
      <w:r w:rsidR="00C64C8C">
        <w:t>.</w:t>
      </w:r>
      <w:r w:rsidR="00A449F6" w:rsidRPr="00A449F6">
        <w:t xml:space="preserve"> Finally</w:t>
      </w:r>
      <w:r w:rsidR="005A7E80">
        <w:t>,</w:t>
      </w:r>
      <w:r w:rsidR="00A449F6" w:rsidRPr="00A449F6">
        <w:t xml:space="preserve"> </w:t>
      </w:r>
      <w:r w:rsidR="005A7E80">
        <w:t>i</w:t>
      </w:r>
      <w:r w:rsidR="00A449F6" w:rsidRPr="00A449F6">
        <w:t xml:space="preserve">n a retrospective study among postmenopausal patients with known OP attending a hospital bone clinic, those with a diagnosis of osteosarcopenia were more likely to be frail than those with OP alone </w:t>
      </w:r>
      <w:r w:rsidR="00A449F6" w:rsidRPr="00A449F6">
        <w:fldChar w:fldCharType="begin" w:fldLock="1"/>
      </w:r>
      <w:r w:rsidR="008E6C84">
        <w:instrText>ADDIN CSL_CITATION {"citationItems":[{"id":"ITEM-1","itemData":{"DOI":"10.1371/journal.pone.0237454","ISSN":"1932-6203","abstract":"There is growing interest in “osteosarcopenia” as the coexistence of osteoporosis and sarcopenia exacerbates negative outcomes. However, limited information is available regarding the risk factors of osteosarcopenia development in patients with osteoporosis. Therefore, we retrospectively reviewed 276 consecutive patients with postmenopausal osteoporosis who regularly visited Showa University Hospital. Patients were eligible for the study if they were ≥65 years of age and underwent dual-energy X-ray absorptiometry, blood sampling, and physical performance assessment. Patients were divided into the osteosarcopenia and osteoporosis alone groups according to the diagnostic criteria of the Asian Working Group for Sarcopenia. Of the 276 patients with osteoporosis, 54 patients (19.6%) had osteosarcopenia. Patients in the osteosarcopenia group had a greater risk of frailty than did those in the osteoporosis alone group (odds ratio 2.33; 95% confidence interval, 1.13-4.80, P = 0.028). Low body mass index seemed to be the strongest factor related to the development of osteosarcopenia, and none of the patients in the osteosarcopenia group were obese (BMI ≥27.5 kg/m2). Multiple logistic analyses revealed that patients aged 65-74 years who had comorbidities such as kidney dysfunction and high levels of HbA1c were at risk of developing osteosarcopenia. Thus, we strongly recommend the assessment of the key components of the diagnosis of osteosarcopenia in an osteoporosis clinic for patients with low body mass index. Furthermore, appropriate assessments, including comorbidities, will help in identifying patients at greater risk of developing osteosarcopenia.","author":[{"dropping-particle":"","family":"Okamura","given":"Hiroki","non-dropping-particle":"","parse-names":false,"suffix":""},{"dropping-particle":"","family":"Ishikawa","given":"Koji","non-dropping-particle":"","parse-names":false,"suffix":""},{"dropping-particle":"","family":"Kudo","given":"Yoshifumi","non-dropping-particle":"","parse-names":false,"suffix":""},{"dropping-particle":"","family":"Matsuoka","given":"Akira","non-dropping-particle":"","parse-names":false,"suffix":""},{"dropping-particle":"","family":"Maruyama","given":"Hiroshi","non-dropping-particle":"","parse-names":false,"suffix":""},{"dropping-particle":"","family":"Emori","given":"Haruka","non-dropping-particle":"","parse-names":false,"suffix":""},{"dropping-particle":"","family":"Yamamura","given":"Ryo","non-dropping-particle":"","parse-names":false,"suffix":""},{"dropping-particle":"","family":"Hayakawa","given":"Chikara","non-dropping-particle":"","parse-names":false,"suffix":""},{"dropping-particle":"","family":"Tani","given":"Soji","non-dropping-particle":"","parse-names":false,"suffix":""},{"dropping-particle":"","family":"Tsuchiya","given":"Koki","non-dropping-particle":"","parse-names":false,"suffix":""},{"dropping-particle":"","family":"Shirahata","given":"Toshiyuki","non-dropping-particle":"","parse-names":false,"suffix":""},{"dropping-particle":"","family":"Toyone","given":"Tomoaki","non-dropping-particle":"","parse-names":false,"suffix":""},{"dropping-particle":"","family":"Nagai","given":"Takashi","non-dropping-particle":"","parse-names":false,"suffix":""},{"dropping-particle":"","family":"Inagaki","given":"Katsunori","non-dropping-particle":"","parse-names":false,"suffix":""}],"container-title":"PLOS ONE","editor":[{"dropping-particle":"","family":"Mogi","given":"Masaki","non-dropping-particle":"","parse-names":false,"suffix":""}],"id":"ITEM-1","issue":"8","issued":{"date-parts":[["2020","8"]]},"page":"e0237454","publisher":"Public Library of Science","title":"Risk factors predicting osteosarcopenia in postmenopausal women with osteoporosis: A retrospective study","type":"article-journal","volume":"15"},"uris":["http://www.mendeley.com/documents/?uuid=247a7ab5-245c-3707-9734-05f542593ed3","http://www.mendeley.com/documents/?uuid=b33a9900-a3d8-4dbc-ab8d-88be4a9ebdde"]}],"mendeley":{"formattedCitation":"[39]","plainTextFormattedCitation":"[39]","previouslyFormattedCitation":"[40]"},"properties":{"noteIndex":0},"schema":"https://github.com/citation-style-language/schema/raw/master/csl-citation.json"}</w:instrText>
      </w:r>
      <w:r w:rsidR="00A449F6" w:rsidRPr="00A449F6">
        <w:fldChar w:fldCharType="separate"/>
      </w:r>
      <w:r w:rsidR="008E6C84" w:rsidRPr="008E6C84">
        <w:rPr>
          <w:noProof/>
        </w:rPr>
        <w:t>[39]</w:t>
      </w:r>
      <w:r w:rsidR="00A449F6" w:rsidRPr="00A449F6">
        <w:fldChar w:fldCharType="end"/>
      </w:r>
      <w:r w:rsidR="00A449F6" w:rsidRPr="00A449F6">
        <w:t>.</w:t>
      </w:r>
    </w:p>
    <w:p w14:paraId="43E6B1F6" w14:textId="70AE07B5" w:rsidR="00977495" w:rsidRPr="00A6435E" w:rsidRDefault="00121E9F" w:rsidP="000011C4">
      <w:r>
        <w:t xml:space="preserve">As </w:t>
      </w:r>
      <w:r w:rsidR="000B0B12">
        <w:t>expected,</w:t>
      </w:r>
      <w:r w:rsidRPr="00B80882">
        <w:t xml:space="preserve"> frailty and pre-frailty were more prevalent in individuals over the age of 80 in both sexes. Both the prevalence of frailty and pre-frailty were increased with age in women, but only pre-frailty was increased with age in men</w:t>
      </w:r>
      <w:r w:rsidR="00916033">
        <w:t xml:space="preserve">, </w:t>
      </w:r>
      <w:r w:rsidR="00916033" w:rsidRPr="00A6435E">
        <w:t>however the number of men aged over 80 in our study was low</w:t>
      </w:r>
      <w:r w:rsidRPr="00A6435E">
        <w:t>. P</w:t>
      </w:r>
      <w:r w:rsidR="00DA73D2" w:rsidRPr="00A6435E">
        <w:t xml:space="preserve">revious UK based studies </w:t>
      </w:r>
      <w:r w:rsidR="008A3CAB" w:rsidRPr="00A6435E">
        <w:t>r</w:t>
      </w:r>
      <w:r w:rsidR="003A0196" w:rsidRPr="00A6435E">
        <w:t>eport</w:t>
      </w:r>
      <w:r w:rsidR="00DA73D2" w:rsidRPr="00A6435E">
        <w:t xml:space="preserve"> similar </w:t>
      </w:r>
      <w:r w:rsidR="008A3CAB" w:rsidRPr="00A6435E">
        <w:t xml:space="preserve">prevalence </w:t>
      </w:r>
      <w:r w:rsidRPr="00A6435E">
        <w:t xml:space="preserve">of frailty </w:t>
      </w:r>
      <w:r w:rsidR="00DA73D2" w:rsidRPr="00A6435E">
        <w:t>to our study but sex difference</w:t>
      </w:r>
      <w:r w:rsidR="008E6C84" w:rsidRPr="00A6435E">
        <w:t>s</w:t>
      </w:r>
      <w:r w:rsidR="00DA73D2" w:rsidRPr="00A6435E">
        <w:t xml:space="preserve"> w</w:t>
      </w:r>
      <w:r w:rsidR="008E6C84" w:rsidRPr="00A6435E">
        <w:t>ere</w:t>
      </w:r>
      <w:r w:rsidR="00DA73D2" w:rsidRPr="00A6435E">
        <w:t xml:space="preserve"> noted </w:t>
      </w:r>
      <w:r w:rsidR="00977495" w:rsidRPr="00A6435E">
        <w:fldChar w:fldCharType="begin" w:fldLock="1"/>
      </w:r>
      <w:r w:rsidR="008E6C84" w:rsidRPr="00A6435E">
        <w:instrText>ADDIN CSL_CITATION {"citationItems":[{"id":"ITEM-1","itemData":{"DOI":"10.1093/ageing/afp204","ISSN":"00020729","PMID":"20007127","abstract":"Background: frailty, a multi-dimensional geriatric syndrome, confers a high risk for falls, disability, hospitalisation and mortality. The prevalence and correlates of frailty in the UK are unknown. Methods: frailty, defined by Fried, was examined among community-dwelling young-old (64-74 years) men (n = 320) and women (n = 318) who participated in the Hertfordshire Cohort Study, UK. Results: the prevalence of frailty was 8.5% among women and 4.1% among men (P = 0.02). Among men, older age (P = 0.009), younger age of leaving education (P = 0.05), not owning/mortgaging one's home (odds ratio [OR] for frailty 3.45 [95% confidence interval {CI} 1.01-11.81], P = 0.05, in comparison with owner/mortgage occupiers) and reduced car availability (OR for frailty 3.57 per unit decrease in number of cars available [95% CI 1.32, 10.0], P = 0.01) were associated with increased odds of frailty. Among women, not owning/mortgaging one's home (P = 0.02) was associated with frailty. With the exception of car availability among men (P = 0.03), all associations were non-significant (P &gt; 0.05) after adjustment for co-morbidity. Conclusions: frailty is not uncommon even among community-dwelling young-old men and women in the UK. There are social inequalities in frailty which appear to be mediated by co-morbidity. © The Author 2009. Published by Oxford University Press on behalf of the British Geriatrics Society.","author":[{"dropping-particle":"","family":"Syddall","given":"Holly","non-dropping-particle":"","parse-names":false,"suffix":""},{"dropping-particle":"","family":"Roberts","given":"Helen C.","non-dropping-particle":"","parse-names":false,"suffix":""},{"dropping-particle":"","family":"Evandrou","given":"Maria","non-dropping-particle":"","parse-names":false,"suffix":""},{"dropping-particle":"","family":"Cooper","given":"Cyrus","non-dropping-particle":"","parse-names":false,"suffix":""},{"dropping-particle":"","family":"Bergman","given":"Howard","non-dropping-particle":"","parse-names":false,"suffix":""},{"dropping-particle":"","family":"Sayer","given":"Avan Aihie","non-dropping-particle":"","parse-names":false,"suffix":""}],"container-title":"Age and Ageing","id":"ITEM-1","issue":"2","issued":{"date-parts":[["2009"]]},"page":"197-203","title":"Prevalence and correlates of frailty among community-dwelling older men and women: Findings from the Hertfordshire Cohort Study","type":"article-journal","volume":"39"},"uris":["http://www.mendeley.com/documents/?uuid=7ec649ab-aefa-44c3-bbe9-f780ae1c4887"]}],"mendeley":{"formattedCitation":"[40]","plainTextFormattedCitation":"[40]","previouslyFormattedCitation":"[41]"},"properties":{"noteIndex":0},"schema":"https://github.com/citation-style-language/schema/raw/master/csl-citation.json"}</w:instrText>
      </w:r>
      <w:r w:rsidR="00977495" w:rsidRPr="00A6435E">
        <w:fldChar w:fldCharType="separate"/>
      </w:r>
      <w:r w:rsidR="008E6C84" w:rsidRPr="00A6435E">
        <w:rPr>
          <w:noProof/>
        </w:rPr>
        <w:t>[40]</w:t>
      </w:r>
      <w:r w:rsidR="00977495" w:rsidRPr="00A6435E">
        <w:fldChar w:fldCharType="end"/>
      </w:r>
      <w:r w:rsidR="007A42B9" w:rsidRPr="00A6435E">
        <w:t xml:space="preserve">. Weighted prevalence in the </w:t>
      </w:r>
      <w:r w:rsidR="008E6C84" w:rsidRPr="00A6435E">
        <w:t>English Longitudinal Study of Ageing (</w:t>
      </w:r>
      <w:r w:rsidR="007A42B9" w:rsidRPr="00A6435E">
        <w:t>ELSA</w:t>
      </w:r>
      <w:r w:rsidR="008E6C84" w:rsidRPr="00A6435E">
        <w:t>)</w:t>
      </w:r>
      <w:r w:rsidR="007A42B9" w:rsidRPr="00A6435E">
        <w:t xml:space="preserve"> study was </w:t>
      </w:r>
      <w:r w:rsidR="00977495" w:rsidRPr="00A6435E">
        <w:t>14%</w:t>
      </w:r>
      <w:r w:rsidR="00DA73D2" w:rsidRPr="00A6435E">
        <w:t xml:space="preserve"> </w:t>
      </w:r>
      <w:r w:rsidR="007A42B9" w:rsidRPr="00A6435E">
        <w:t xml:space="preserve">among participants age 60-90 years </w:t>
      </w:r>
      <w:r w:rsidR="00DA73D2" w:rsidRPr="00A6435E">
        <w:fldChar w:fldCharType="begin" w:fldLock="1"/>
      </w:r>
      <w:r w:rsidR="008E6C84" w:rsidRPr="00A6435E">
        <w:instrText>ADDIN CSL_CITATION {"citationItems":[{"id":"ITEM-1","itemData":{"DOI":"10.1093/ageing/afu148","ISSN":"14682834","PMID":"25313241","abstract":"METHODS: participants were 5,450 people aged 60 and over from the English Longitudinal Study of Ageing. Frailty was defined according to the Fried criteria. Participants were asked about difficulties with mobility or other everyday activities. Those with difficulties were asked whether they received help or used assistive devices.\nRESULTS: the overall weighted prevalence of frailty was 14%. Prevalence rose with increasing age, from 6.5% in those aged 60-69 years to 65% in those aged 90 or over. Frailty occurred more frequently in women than in men (16 versus 12%). Mobility difficulties were very common: 93% of frail individuals had such difficulties versus 58% of the non-frail individuals. Among frail individuals, difficulties in performing activities or instrumental activities of daily living were reported by 57 or 64%, respectively, versus 13 or 15%, respectively, among the non-frail individuals. Among those with difficulties with mobility or other daily activities, 71% of frail individuals and 31% of non-frail individuals said that they received help. Of those with difficulties, 63% of frail individuals and 20% of non-frail individuals used a walking stick, but the use of other assistive devices was uncommon.\nCONCLUSIONS: frailty becomes increasingly common in older age groups and is associated with a sizeable burden as regards difficulties with mobility and other everyday activities.\nOBJECTIVE: to examine the prevalence of frailty and disability in people aged 60 and over and the proportion of those with disabilities who receive help or use assistive devices.","author":[{"dropping-particle":"","family":"Gale","given":"Catharine R.","non-dropping-particle":"","parse-names":false,"suffix":""},{"dropping-particle":"","family":"Cooper","given":"Cyrus","non-dropping-particle":"","parse-names":false,"suffix":""},{"dropping-particle":"","family":"Sayer","given":"Avan A.ihie","non-dropping-particle":"","parse-names":false,"suffix":""}],"container-title":"Age and ageing","id":"ITEM-1","issue":"1","issued":{"date-parts":[["2015"]]},"page":"162-165","title":"Prevalence of frailty and disability: findings from the English Longitudinal Study of Ageing","type":"article-journal","volume":"44"},"uris":["http://www.mendeley.com/documents/?uuid=4a89f8cd-c076-4e5b-a351-c79da5a0c503","http://www.mendeley.com/documents/?uuid=f699f99b-4708-43ec-8945-89c1edccc1bf"]}],"mendeley":{"formattedCitation":"[41]","plainTextFormattedCitation":"[41]","previouslyFormattedCitation":"[42]"},"properties":{"noteIndex":0},"schema":"https://github.com/citation-style-language/schema/raw/master/csl-citation.json"}</w:instrText>
      </w:r>
      <w:r w:rsidR="00DA73D2" w:rsidRPr="00A6435E">
        <w:fldChar w:fldCharType="separate"/>
      </w:r>
      <w:r w:rsidR="008E6C84" w:rsidRPr="00A6435E">
        <w:rPr>
          <w:noProof/>
        </w:rPr>
        <w:t>[41]</w:t>
      </w:r>
      <w:r w:rsidR="00DA73D2" w:rsidRPr="00A6435E">
        <w:fldChar w:fldCharType="end"/>
      </w:r>
      <w:r w:rsidR="00386196" w:rsidRPr="00A6435E">
        <w:t>;</w:t>
      </w:r>
      <w:r w:rsidR="00977495" w:rsidRPr="00A6435E">
        <w:t xml:space="preserve"> </w:t>
      </w:r>
      <w:r w:rsidR="00F90ADD" w:rsidRPr="00A6435E">
        <w:t xml:space="preserve">prevalence </w:t>
      </w:r>
      <w:r w:rsidR="00977495" w:rsidRPr="00A6435E">
        <w:t xml:space="preserve">did increase with age, </w:t>
      </w:r>
      <w:r w:rsidR="00DA73D2" w:rsidRPr="00A6435E">
        <w:t xml:space="preserve">was more common </w:t>
      </w:r>
      <w:r w:rsidR="00977495" w:rsidRPr="00A6435E">
        <w:t xml:space="preserve">in </w:t>
      </w:r>
      <w:r w:rsidR="00DA73D2" w:rsidRPr="00A6435E">
        <w:t>women, and was associated</w:t>
      </w:r>
      <w:r w:rsidR="00977495" w:rsidRPr="00A6435E">
        <w:t xml:space="preserve"> with a burden in regard to </w:t>
      </w:r>
      <w:r w:rsidR="00135CAD" w:rsidRPr="00A6435E">
        <w:t xml:space="preserve">mobility, </w:t>
      </w:r>
      <w:r w:rsidR="007A42B9" w:rsidRPr="00A6435E">
        <w:t xml:space="preserve">and </w:t>
      </w:r>
      <w:r w:rsidR="00135CAD" w:rsidRPr="00A6435E">
        <w:t>everyday</w:t>
      </w:r>
      <w:r w:rsidR="00977495" w:rsidRPr="00A6435E">
        <w:t xml:space="preserve"> </w:t>
      </w:r>
      <w:r w:rsidR="00DA73D2" w:rsidRPr="00A6435E">
        <w:t>activities</w:t>
      </w:r>
      <w:r w:rsidR="00FE21D1" w:rsidRPr="00A6435E">
        <w:t>.</w:t>
      </w:r>
    </w:p>
    <w:p w14:paraId="7E00F9AD" w14:textId="1A1C0B87" w:rsidR="00AB5AE7" w:rsidRPr="00A6435E" w:rsidRDefault="007A42B9" w:rsidP="000011C4">
      <w:pPr>
        <w:rPr>
          <w:rFonts w:ascii="Georgia" w:hAnsi="Georgia"/>
          <w:shd w:val="clear" w:color="auto" w:fill="FFFFFF"/>
        </w:rPr>
      </w:pPr>
      <w:r w:rsidRPr="00A6435E">
        <w:t xml:space="preserve">Other groups studying </w:t>
      </w:r>
      <w:r w:rsidR="00E01435" w:rsidRPr="00A6435E">
        <w:t xml:space="preserve">an older population have </w:t>
      </w:r>
      <w:r w:rsidRPr="00A6435E">
        <w:t>found the prevalence of frailty and pre-frailty to b</w:t>
      </w:r>
      <w:r w:rsidR="006F6A8D" w:rsidRPr="00A6435E">
        <w:t>e</w:t>
      </w:r>
      <w:r w:rsidRPr="00A6435E">
        <w:t xml:space="preserve"> </w:t>
      </w:r>
      <w:r w:rsidR="00E01435" w:rsidRPr="00A6435E">
        <w:t>similar to our</w:t>
      </w:r>
      <w:r w:rsidRPr="00A6435E">
        <w:t xml:space="preserve"> study</w:t>
      </w:r>
      <w:r w:rsidRPr="00A6435E" w:rsidDel="00AA034C">
        <w:t xml:space="preserve"> </w:t>
      </w:r>
      <w:r w:rsidR="00977495" w:rsidRPr="00A6435E">
        <w:fldChar w:fldCharType="begin" w:fldLock="1"/>
      </w:r>
      <w:r w:rsidR="008E6C84" w:rsidRPr="00A6435E">
        <w:instrText>ADDIN CSL_CITATION {"citationItems":[{"id":"ITEM-1","itemData":{"DOI":"10.1016/j.archger.2012.07.002","ISSN":"01674943","PMID":"22857807","abstract":"The aim of this study was to assess the prevalence of frailty and to identify factors associated with frailty in older people living in the community through a cross-sectional study of community-dwelling persons age 75 and older. A total of 640 individuals were interviewed using the FRALLE survey between 2009 and 2010. This survey measures frailty through the five Fried criteria, and through questions on sociodemographics, health habits, health status, social relations and data on health-related quality of life. The mean age of the participants was 81.3 ± 5.0; 39.7% were men. The prevalence of frailty was 9.6% (95% confidence interval (CI): 7.6-11.5) and that of pre-frailty was 47% (95% CI: 42.7-51.2). After the logistic regression, age (over 85 years) (odds ratio (OR): 3.61; 95% CI: 1.65-7.91; p&lt; 0.001), depressive symptoms (OR: 3.13; 95% CI: 1.37-7.13; p= 0.0006), comorbidity (OR: 5.20; 95% CI: 1.78-15.16; p= 0.0002), cognitive impairment (OR: 3.22; 95% CI: 1.48-7.02; p= 0.0003), poor social ties (OR: 0.57; 95% CI: 0.43-0.77; p&lt; 0.001) and poor physical health (OR: 0.98; 95% CI: 0.97-0.98; p&lt; 0.001) were significantly associated with frailty. There is great variability in the prevalence of frailty depending on the study considered. The lack of homogeneity in the measurement of the five criteria, the age of participants and the degree of dependence could explain the differences observed. Here, the factors associated with frailty were age, comorbidity, cognitive impairment and depressive symptoms, while the diversity of social interaction and health-related physical function were protective factors. © 2012 Elsevier Ireland Ltd.","author":[{"dropping-particle":"","family":"Jürschik","given":"Pilar","non-dropping-particle":"","parse-names":false,"suffix":""},{"dropping-particle":"","family":"Nunin","given":"Carmen","non-dropping-particle":"","parse-names":false,"suffix":""},{"dropping-particle":"","family":"Botigué","given":"Teresa","non-dropping-particle":"","parse-names":false,"suffix":""},{"dropping-particle":"","family":"Escobar","given":"Miguel Angel","non-dropping-particle":"","parse-names":false,"suffix":""},{"dropping-particle":"","family":"Lavedán","given":"Ana","non-dropping-particle":"","parse-names":false,"suffix":""},{"dropping-particle":"","family":"Viladrosa","given":"Maria","non-dropping-particle":"","parse-names":false,"suffix":""}],"container-title":"Archives of Gerontology and Geriatrics","id":"ITEM-1","issue":"3","issued":{"date-parts":[["2012","11"]]},"page":"625-631","publisher":"Elsevier","title":"Prevalence of frailty and factors associated with frailty in the elderly population of Lleida, Spain: The FRALLE survey","type":"article-journal","volume":"55"},"uris":["http://www.mendeley.com/documents/?uuid=211b680d-e53d-310a-9119-445de343ec92","http://www.mendeley.com/documents/?uuid=59d9baa7-317e-48ce-94a6-88895209a798"]},{"id":"ITEM-2","itemData":{"DOI":"10.1093/gerona/63.10.1089","ISSN":"10795006","PMID":"18948560","abstract":"Background. To better understand the contribution of frailty to health-related outcomes in elderly persons, it seems valuable to explore data from cohort studies across the world in an attempt to establish a comprehensive definition. The purpose of this report is to show the characteristics of frailty and observe its prognosis in a large sample of French community-dwelling elderly persons. Methods. We used data from 6078 persons 65 years old or older participating in the Three-City Study (3C). Frailty was defined as having at least three of the following criteria: weight loss, weakness, exhaustion, slowness, and low activity. Principal outcomes were incident disability, hospitalization, and death. Multiple covariates were used to test the predictive validity of frailty on these outcomes. Results. Four hundred twenty-six individuals (7%) met frailty criteria. Participants classified as frail were significantly older, more likely to be female, and less educated and reported more chronic diseases, lower income, and poorer selfreported health status in comparison to nonfrail participants. In multivariate analysis, frailty was significantly associated with 4-year incidence of disability in activities of daily living (ADL) and instrumental ADL. However, frailty was marginally associated with incident hospitalization and was not a statistically significant predictor of incident mobility disability or mortality adjusting for potential confounding factors. Conclusions. Frailty is not specific to a subgroup or region of the world. The construct proposed by Fried and colleagues confirms its predictive validity for adverse-health outcomes, particularly for certain components of disability, thus suggesting that it may be useful in population screening and predicting service needs. Copyright 2008 by The Gerontological Society of America.","author":[{"dropping-particle":"","family":"Ávila-Funes","given":"José Alberto","non-dropping-particle":"","parse-names":false,"suffix":""},{"dropping-particle":"","family":"Helmer","given":"Catherine","non-dropping-particle":"","parse-names":false,"suffix":""},{"dropping-particle":"","family":"Amieva","given":"Hélène","non-dropping-particle":"","parse-names":false,"suffix":""},{"dropping-particle":"","family":"Barberger-Gateau","given":"Pascale","non-dropping-particle":"","parse-names":false,"suffix":""},{"dropping-particle":"","family":"Goff","given":"Mélanie","non-dropping-particle":"Le","parse-names":false,"suffix":""},{"dropping-particle":"","family":"Ritchie","given":"Karen","non-dropping-particle":"","parse-names":false,"suffix":""},{"dropping-particle":"","family":"Portet","given":"Florence","non-dropping-particle":"","parse-names":false,"suffix":""},{"dropping-particle":"","family":"Carrière","given":"Isabelle","non-dropping-particle":"","parse-names":false,"suffix":""},{"dropping-particle":"","family":"Tavernier","given":"Béatrice","non-dropping-particle":"","parse-names":false,"suffix":""},{"dropping-particle":"","family":"Gutiérrez-Robledo","given":"Luis Miguel","non-dropping-particle":"","parse-names":false,"suffix":""},{"dropping-particle":"","family":"Dartigues","given":"Jean François","non-dropping-particle":"","parse-names":false,"suffix":""}],"container-title":"Journals of Gerontology - Series A Biological Sciences and Medical Sciences","id":"ITEM-2","issue":"10","issued":{"date-parts":[["2008"]]},"page":"1089-1096","publisher":"Gerontological Society of America","title":"Frailty among community-dwelling elderly people in france: The three-city study","type":"article-journal","volume":"63"},"uris":["http://www.mendeley.com/documents/?uuid=59795e42-1969-37ac-8cbe-30be78af8fa6","http://www.mendeley.com/documents/?uuid=e694a0f6-5d33-457b-b937-e7f28f3ab16b"]},{"id":"ITEM-3","itemData":{"DOI":"10.1371/journal.pone.0136968","ISSN":"1932-6203","abstract":"Background: Association of frailty with adverse clinical outcomes has been reported in Western countries, but data from the Asian population are scarce. This study aimed to evaluate the epidemiology of frailty among community-dwelling middle-aged and elderly population and to explore its association with musculoskeletal health in Taiwan. Methods: I-Lan Longitudinal Aging Study (ILAS) data were retrieved for this study. Frailty was defined by the Fried's criteria; a comparison of demographic characteristics, physical performance, and body composition, including skeletal muscle mass and bone mineral density (BMD), as well as recent falls, history of hip fractures and the functional status of subjects with different frailty statuses were accomplished. Results: Overall, the data of 1,839 participants (mean age: 63.9±9.3 years, male 47.5%) were obtained for analysis. The prevalence of pre-frailty was 42.3%in men and 38.8%in women, whereas the prevalence of frailty was 6.9% and 6.7% in men and women, respectively. Frailty was significantly associated with older age, the male gender, larger waist circumference, lower skeletal muscle index, lower hip BMD, poorer physical function, poorer nutritional status, and poorer cognitive function. Also, frailty was significantly associated with osteoporosis (OR: 7.73, 95% CI: 5.01-11.90, p&lt;0.001), history of hip fractures (OR: 8.66, 95% CI: 2.47-30.40, p = 0.001), and recent falls (O.R: 2.53, 95% CI: 1.35-4.76, p = 0.004). Conclusions: Frailty and pre-frailty, in Taiwan, was closely associated with recent falls, history of hip fractures and osteoporosis among community-dwelling people 50 years of age and older. Furthermore, frailty intervention programs should take an integrated approach towards strengthening both and muscle mass, as well as prevention of falls. Copyright:","author":[{"dropping-particle":"","family":"Liu","given":"Li-Kuo","non-dropping-particle":"","parse-names":false,"suffix":""},{"dropping-particle":"","family":"Lee","given":"Wei-Ju","non-dropping-particle":"","parse-names":false,"suffix":""},{"dropping-particle":"","family":"Chen","given":"Liang-Yu","non-dropping-particle":"","parse-names":false,"suffix":""},{"dropping-particle":"","family":"Hwang","given":"An-Chun","non-dropping-particle":"","parse-names":false,"suffix":""},{"dropping-particle":"","family":"Lin","given":"Ming-Hsien","non-dropping-particle":"","parse-names":false,"suffix":""},{"dropping-particle":"","family":"Peng","given":"Li-Ning","non-dropping-particle":"","parse-names":false,"suffix":""},{"dropping-particle":"","family":"Chen","given":"Liang-Kung","non-dropping-particle":"","parse-names":false,"suffix":""}],"container-title":"PLOS ONE","editor":[{"dropping-particle":"","family":"Hsu","given":"Yi-Hsiang","non-dropping-particle":"","parse-names":false,"suffix":""}],"id":"ITEM-3","issue":"9","issued":{"date-parts":[["2015","9"]]},"page":"e0136968","publisher":"Public Library of Science","title":"Association between Frailty, Osteoporosis, Falls and Hip Fractures among Community-Dwelling People Aged 50 Years and Older in Taiwan: Results from I-Lan Longitudinal Aging Study","type":"article-journal","volume":"10"},"uris":["http://www.mendeley.com/documents/?uuid=50ec2bae-399a-43e8-b221-bfd7048c236c","http://www.mendeley.com/documents/?uuid=d17dc8e5-8932-3a78-81c9-2338a7bde8d3"]},{"id":"ITEM-4","itemData":{"DOI":"10.1007/s00774-019-01012-0","ISSN":"14355604","PMID":"31222550","abstract":"This study aimed to estimate the prevalence of locomotive syndrome, sarcopenia, and frailty and clarify their co-existence in a population-based cohort. The third survey of Research on Osteoarthritis/Osteoporosis Against Disability (ROAD) study was conducted between 2012 and 2013, examining 963 subjects (aged ≥ 60 years; 321 men, 642 women). Locomotive syndrome, sarcopenia, and frailty were defined using three tests proposed by Japanese Orthopaedic Association, Asian Working Group for Sarcopenia criteria, and Fried’s definition, respectively. Prevalence of locomotive syndrome stages 1 and 2 were 81.0% (men, 80.4%; women, 81.3%) and 34.1% (men, 30.5%; women, 35.8%), respectively, and those of sarcopenia and frailty were 8.7% (men, 9.7%; women, 8.3%) and 4.5% (men, 2.8%; women, 5.3%), respectively. Locomotive syndrome stage 1, sarcopenia, and frailty co-existed in 2.1%; 6.5% had locomotive syndrome stage 1 and sarcopenia, 2.4% had locomotive syndrome stage 1 and frailty, while none had sarcopenia and frailty. Locomotive syndrome stage 1 presented alone in 70.0%, sarcopenia in 0.1%, and no frailty. The remaining 18.9% had none of these conditions. Co-existence of locomotive syndrome stage 2, sarcopenia, and frailty was observed in 2.0%; 5.0% had locomotive syndrome stage 2 and sarcopenia, 2.2% had locomotive syndrome stage 2 and frailty, and 0.1% had sarcopenia and frailty. Locomotive syndrome stage 2, sarcopenia, and frailty alone, presented in 24.9%, 1.7%, and 0.2%, respectively. The remaining 64.0% had none of these conditions. Most subjects with sarcopenia and/or frailty also had locomotive syndrome. Preventing locomotive syndrome may help prevent frailty and sarcopenia and subsequent disability.","author":[{"dropping-particle":"","family":"Yoshimura","given":"Noriko","non-dropping-particle":"","parse-names":false,"suffix":""},{"dropping-particle":"","family":"Muraki","given":"Shigeyuki","non-dropping-particle":"","parse-names":false,"suffix":""},{"dropping-particle":"","family":"Iidaka","given":"Toshiko","non-dropping-particle":"","parse-names":false,"suffix":""},{"dropping-particle":"","family":"Oka","given":"Hiroyuki","non-dropping-particle":"","parse-names":false,"suffix":""},{"dropping-particle":"","family":"Horii","given":"Chiaki","non-dropping-particle":"","parse-names":false,"suffix":""},{"dropping-particle":"","family":"Kawaguchi","given":"Hiroshi","non-dropping-particle":"","parse-names":false,"suffix":""},{"dropping-particle":"","family":"Akune","given":"Toru","non-dropping-particle":"","parse-names":false,"suffix":""},{"dropping-particle":"","family":"Nakamura","given":"Kozo","non-dropping-particle":"","parse-names":false,"suffix":""},{"dropping-particle":"","family":"Tanaka","given":"Sakae","non-dropping-particle":"","parse-names":false,"suffix":""}],"container-title":"Journal of Bone and Mineral Metabolism","id":"ITEM-4","issue":"6","issued":{"date-parts":[["2019","11","1"]]},"page":"1058-1066","publisher":"Springer Tokyo","title":"Prevalence and co-existence of locomotive syndrome, sarcopenia, and frailty: the third survey of Research on Osteoarthritis/Osteoporosis Against Disability (ROAD) study","type":"article-journal","volume":"37"},"uris":["http://www.mendeley.com/documents/?uuid=3eb8d68a-4745-3f63-843b-b9fbacd7d770"]}],"mendeley":{"formattedCitation":"[37,42–44]","plainTextFormattedCitation":"[37,42–44]","previouslyFormattedCitation":"[38,43–45]"},"properties":{"noteIndex":0},"schema":"https://github.com/citation-style-language/schema/raw/master/csl-citation.json"}</w:instrText>
      </w:r>
      <w:r w:rsidR="00977495" w:rsidRPr="00A6435E">
        <w:fldChar w:fldCharType="separate"/>
      </w:r>
      <w:r w:rsidR="008E6C84" w:rsidRPr="00A6435E">
        <w:rPr>
          <w:noProof/>
        </w:rPr>
        <w:t>[37,42–44]</w:t>
      </w:r>
      <w:r w:rsidR="00977495" w:rsidRPr="00A6435E">
        <w:fldChar w:fldCharType="end"/>
      </w:r>
      <w:r w:rsidR="00544179" w:rsidRPr="00A6435E">
        <w:t>, although dif</w:t>
      </w:r>
      <w:r w:rsidR="00E01435" w:rsidRPr="00A6435E">
        <w:t>ferent pop</w:t>
      </w:r>
      <w:r w:rsidR="00544179" w:rsidRPr="00A6435E">
        <w:t>u</w:t>
      </w:r>
      <w:r w:rsidR="00E01435" w:rsidRPr="00A6435E">
        <w:t>l</w:t>
      </w:r>
      <w:r w:rsidR="00544179" w:rsidRPr="00A6435E">
        <w:t xml:space="preserve">ation sampling and definitional approaches may lead to differences in findings. </w:t>
      </w:r>
      <w:r w:rsidR="00E01435" w:rsidRPr="00A6435E">
        <w:t xml:space="preserve">For example in a community dwelling cohort </w:t>
      </w:r>
      <w:r w:rsidR="00FE21D1" w:rsidRPr="00A6435E">
        <w:t xml:space="preserve">of </w:t>
      </w:r>
      <w:r w:rsidR="00CF4CDA" w:rsidRPr="00A6435E">
        <w:t>men and women in Japan with</w:t>
      </w:r>
      <w:r w:rsidR="00EC34C8" w:rsidRPr="00A6435E">
        <w:t xml:space="preserve"> </w:t>
      </w:r>
      <w:r w:rsidR="00FE21D1" w:rsidRPr="00A6435E">
        <w:t xml:space="preserve">mean age of 70.3 (SD 11.0) years, </w:t>
      </w:r>
      <w:r w:rsidR="00E01435" w:rsidRPr="00A6435E">
        <w:t>the prevalence of frailty was estimated to be 5.6% in both sexes (in the same cohort frailty was more common in the presence of both SP and OP</w:t>
      </w:r>
      <w:r w:rsidR="002D70C6" w:rsidRPr="00A6435E">
        <w:t xml:space="preserve">) </w:t>
      </w:r>
      <w:r w:rsidR="00E01435" w:rsidRPr="00A6435E">
        <w:fldChar w:fldCharType="begin" w:fldLock="1"/>
      </w:r>
      <w:r w:rsidR="008E6C84" w:rsidRPr="00A6435E">
        <w:instrText>ADDIN CSL_CITATION {"citationItems":[{"id":"ITEM-1","itemData":{"DOI":"10.1007/s00198-018-4596-4","ISSN":"14332965","PMID":"29931626","abstract":"Summary: In this 4-year follow-up study including 1083 subjects (≥ 60 years), the prevalence of frailty was estimated to be 5.6%; osteoporosis was found to be significantly associated with frailty. Moreover, the presence of both osteoporosis and sarcopenia increased the risk of frailty compared to the presence of osteoporosis or sarcopenia alone. Introduction: This study aims to examine the contribution of sarcopenia and osteoporosis to the occurrence of frailty using 4-year follow-up information of a population-based cohort study. Methods: The second survey of the Research on Osteoarthritis/Osteoporosis Against Disability (ROAD) study was conducted between 2008 and 2010; 1083 subjects (aged ≥ 60 years, 372 men, 711 women) completed all examinations on frailty, sarcopenia, and osteoporosis, which were defined using Fried’s definition, Asian Working Group for Sarcopenia criteria, and WHO criteria, respectively. The third survey was conducted between 2012 and 2013; 749 of 1083 individuals enrolled from the second survey (69.2%, 248 men, 501 women) completed assessments identical to those in the second survey. Results: The prevalence of frailty in the second survey was 5.6% (men, 3.8%; women, 6.6%). The cumulative incidence of frailty was 1.2%/year (men, 0.8%/year; women, 1.3%/year). After adjustment for confounding factors, logistic regression analysis indicated that osteoporosis was significantly associated with the occurrence of frailty (odds ratio, 3.07; 95% confidence interval, 1.26–7.36; p = 0.012). Moreover, the occurrence of frailty significantly increased according to the presence of osteoporosis and sarcopenia (odds ratio vs. neither osteoporosis nor sarcopenia: osteoporosis alone, 2.50; osteoporosis and sarcopenia, 5.80). Conclusions: Preventing osteoporosis and coexistence of osteoporosis and sarcopenia may help reduce the risk of frailty.","author":[{"dropping-particle":"","family":"Yoshimura","given":"N.","non-dropping-particle":"","parse-names":false,"suffix":""},{"dropping-particle":"","family":"Muraki","given":"S.","non-dropping-particle":"","parse-names":false,"suffix":""},{"dropping-particle":"","family":"Oka","given":"H.","non-dropping-particle":"","parse-names":false,"suffix":""},{"dropping-particle":"","family":"Iidaka","given":"T.","non-dropping-particle":"","parse-names":false,"suffix":""},{"dropping-particle":"","family":"Kodama","given":"R.","non-dropping-particle":"","parse-names":false,"suffix":""},{"dropping-particle":"","family":"Horii","given":"C.","non-dropping-particle":"","parse-names":false,"suffix":""},{"dropping-particle":"","family":"Kawaguchi","given":"H.","non-dropping-particle":"","parse-names":false,"suffix":""},{"dropping-particle":"","family":"Nakamura","given":"K.","non-dropping-particle":"","parse-names":false,"suffix":""},{"dropping-particle":"","family":"Akune","given":"T.","non-dropping-particle":"","parse-names":false,"suffix":""},{"dropping-particle":"","family":"Tanaka","given":"S.","non-dropping-particle":"","parse-names":false,"suffix":""}],"container-title":"Osteoporosis International","id":"ITEM-1","issue":"10","issued":{"date-parts":[["2018","10","1"]]},"page":"2181-2190","publisher":"Springer London","title":"Do sarcopenia and/or osteoporosis increase the risk of frailty? A 4-year observation of the second and third ROAD study surveys","type":"article-journal","volume":"29"},"uris":["http://www.mendeley.com/documents/?uuid=a8ae69ee-9c09-3c05-a5fa-4b0708ca56c3"]}],"mendeley":{"formattedCitation":"[45]","plainTextFormattedCitation":"[45]","previouslyFormattedCitation":"[46]"},"properties":{"noteIndex":0},"schema":"https://github.com/citation-style-language/schema/raw/master/csl-citation.json"}</w:instrText>
      </w:r>
      <w:r w:rsidR="00E01435" w:rsidRPr="00A6435E">
        <w:fldChar w:fldCharType="separate"/>
      </w:r>
      <w:r w:rsidR="008E6C84" w:rsidRPr="00A6435E">
        <w:rPr>
          <w:noProof/>
        </w:rPr>
        <w:t>[45]</w:t>
      </w:r>
      <w:r w:rsidR="00E01435" w:rsidRPr="00A6435E">
        <w:fldChar w:fldCharType="end"/>
      </w:r>
      <w:r w:rsidR="00E01435" w:rsidRPr="00A6435E">
        <w:t>. I</w:t>
      </w:r>
      <w:r w:rsidR="00977495" w:rsidRPr="00A6435E">
        <w:rPr>
          <w:rFonts w:cstheme="minorHAnsi"/>
        </w:rPr>
        <w:t>n a recent systematic review and meta-analysis</w:t>
      </w:r>
      <w:r w:rsidR="00AA034C" w:rsidRPr="00A6435E">
        <w:rPr>
          <w:rFonts w:cstheme="minorHAnsi"/>
        </w:rPr>
        <w:t>,</w:t>
      </w:r>
      <w:r w:rsidR="00977495" w:rsidRPr="00A6435E">
        <w:rPr>
          <w:rFonts w:cstheme="minorHAnsi"/>
        </w:rPr>
        <w:t xml:space="preserve"> </w:t>
      </w:r>
      <w:r w:rsidR="00E01435" w:rsidRPr="00A6435E">
        <w:rPr>
          <w:rFonts w:cstheme="minorHAnsi"/>
        </w:rPr>
        <w:t xml:space="preserve">the </w:t>
      </w:r>
      <w:r w:rsidR="00977495" w:rsidRPr="00A6435E">
        <w:rPr>
          <w:rFonts w:cstheme="minorHAnsi"/>
        </w:rPr>
        <w:t>pooled prevalence of frailty</w:t>
      </w:r>
      <w:r w:rsidR="00E01435" w:rsidRPr="00A6435E">
        <w:rPr>
          <w:rFonts w:cstheme="minorHAnsi"/>
        </w:rPr>
        <w:t xml:space="preserve"> </w:t>
      </w:r>
      <w:r w:rsidR="00FE21D1" w:rsidRPr="00A6435E">
        <w:rPr>
          <w:rFonts w:cstheme="minorHAnsi"/>
        </w:rPr>
        <w:t>for community dwellers aged ≥50 years</w:t>
      </w:r>
      <w:r w:rsidR="00977495" w:rsidRPr="00A6435E">
        <w:rPr>
          <w:rFonts w:cstheme="minorHAnsi"/>
        </w:rPr>
        <w:t xml:space="preserve">, using </w:t>
      </w:r>
      <w:r w:rsidR="008E6C84" w:rsidRPr="00A6435E">
        <w:rPr>
          <w:rFonts w:cstheme="minorHAnsi"/>
        </w:rPr>
        <w:t>full</w:t>
      </w:r>
      <w:r w:rsidR="00977495" w:rsidRPr="00A6435E">
        <w:rPr>
          <w:rFonts w:cstheme="minorHAnsi"/>
        </w:rPr>
        <w:t xml:space="preserve"> and recognised </w:t>
      </w:r>
      <w:r w:rsidR="00977495" w:rsidRPr="00B80882">
        <w:rPr>
          <w:rFonts w:cstheme="minorHAnsi"/>
          <w:color w:val="202020"/>
        </w:rPr>
        <w:t>modification</w:t>
      </w:r>
      <w:r w:rsidR="00E01435">
        <w:rPr>
          <w:rFonts w:cstheme="minorHAnsi"/>
          <w:color w:val="202020"/>
        </w:rPr>
        <w:t>s</w:t>
      </w:r>
      <w:r w:rsidR="00977495" w:rsidRPr="00B80882">
        <w:rPr>
          <w:rFonts w:cstheme="minorHAnsi"/>
          <w:color w:val="202020"/>
        </w:rPr>
        <w:t xml:space="preserve"> of Fried’s criteria, was 12% across 62 counties worldwide compared to 24% when other measures of frailty </w:t>
      </w:r>
      <w:r w:rsidR="00544179">
        <w:rPr>
          <w:rFonts w:cstheme="minorHAnsi"/>
          <w:color w:val="202020"/>
        </w:rPr>
        <w:t xml:space="preserve">were </w:t>
      </w:r>
      <w:r w:rsidR="00977495" w:rsidRPr="00B80882">
        <w:rPr>
          <w:rFonts w:cstheme="minorHAnsi"/>
          <w:color w:val="202020"/>
        </w:rPr>
        <w:t>used</w:t>
      </w:r>
      <w:r w:rsidR="00FE21D1">
        <w:rPr>
          <w:rFonts w:cstheme="minorHAnsi"/>
          <w:color w:val="202020"/>
        </w:rPr>
        <w:t>,</w:t>
      </w:r>
      <w:r w:rsidR="00977495" w:rsidRPr="00B80882">
        <w:rPr>
          <w:rFonts w:cstheme="minorHAnsi"/>
          <w:color w:val="202020"/>
        </w:rPr>
        <w:t xml:space="preserve"> highlighting that instrument selection influences prevalence</w:t>
      </w:r>
      <w:r w:rsidR="00544179">
        <w:rPr>
          <w:rFonts w:cstheme="minorHAnsi"/>
          <w:color w:val="202020"/>
        </w:rPr>
        <w:t xml:space="preserve"> </w:t>
      </w:r>
      <w:r w:rsidR="00977495" w:rsidRPr="00B80882">
        <w:rPr>
          <w:rFonts w:cstheme="minorHAnsi"/>
          <w:color w:val="202020"/>
        </w:rPr>
        <w:t>proportions</w:t>
      </w:r>
      <w:r w:rsidR="006C2DFB">
        <w:rPr>
          <w:rFonts w:cstheme="minorHAnsi"/>
          <w:color w:val="202020"/>
        </w:rPr>
        <w:t>.</w:t>
      </w:r>
      <w:r w:rsidR="00977495" w:rsidRPr="00B80882">
        <w:rPr>
          <w:rFonts w:cstheme="minorHAnsi"/>
          <w:color w:val="202020"/>
        </w:rPr>
        <w:t xml:space="preserve"> </w:t>
      </w:r>
      <w:r w:rsidR="00916033" w:rsidRPr="00B80882">
        <w:rPr>
          <w:rFonts w:cstheme="minorHAnsi"/>
          <w:color w:val="202020"/>
        </w:rPr>
        <w:t>In Europe</w:t>
      </w:r>
      <w:r w:rsidR="00977495" w:rsidRPr="00B80882">
        <w:rPr>
          <w:rFonts w:cstheme="minorHAnsi"/>
          <w:color w:val="202020"/>
        </w:rPr>
        <w:t xml:space="preserve"> specifically the prevalence of frailty was 8%</w:t>
      </w:r>
      <w:r w:rsidRPr="00B80882">
        <w:rPr>
          <w:rFonts w:cstheme="minorHAnsi"/>
          <w:color w:val="202020"/>
        </w:rPr>
        <w:t xml:space="preserve">, a percentage close to our </w:t>
      </w:r>
      <w:r w:rsidR="00AA6729" w:rsidRPr="00B80882">
        <w:rPr>
          <w:rFonts w:cstheme="minorHAnsi"/>
          <w:color w:val="202020"/>
        </w:rPr>
        <w:t xml:space="preserve">calculated </w:t>
      </w:r>
      <w:r w:rsidRPr="00B80882">
        <w:rPr>
          <w:rFonts w:cstheme="minorHAnsi"/>
          <w:color w:val="202020"/>
        </w:rPr>
        <w:t>prevalence,</w:t>
      </w:r>
      <w:r w:rsidR="00977495" w:rsidRPr="00B80882">
        <w:rPr>
          <w:rFonts w:cstheme="minorHAnsi"/>
          <w:color w:val="202020"/>
        </w:rPr>
        <w:t xml:space="preserve"> when using physical frailty measures and that of pre-frailty </w:t>
      </w:r>
      <w:r w:rsidR="00AA6729" w:rsidRPr="00B80882">
        <w:rPr>
          <w:rFonts w:cstheme="minorHAnsi"/>
          <w:color w:val="202020"/>
        </w:rPr>
        <w:t xml:space="preserve">was </w:t>
      </w:r>
      <w:r w:rsidR="00977495" w:rsidRPr="00B80882">
        <w:rPr>
          <w:rFonts w:cstheme="minorHAnsi"/>
          <w:color w:val="202020"/>
        </w:rPr>
        <w:t>42%</w:t>
      </w:r>
      <w:r w:rsidR="00977495" w:rsidRPr="00A6435E">
        <w:rPr>
          <w:rFonts w:cstheme="minorHAnsi"/>
        </w:rPr>
        <w:fldChar w:fldCharType="begin" w:fldLock="1"/>
      </w:r>
      <w:r w:rsidR="008E6C84" w:rsidRPr="00A6435E">
        <w:rPr>
          <w:rFonts w:cstheme="minorHAnsi"/>
        </w:rPr>
        <w:instrText>ADDIN CSL_CITATION {"citationItems":[{"id":"ITEM-1","itemData":{"DOI":"10.1093/ageing/afaa219","ISSN":"0002-0729","PMID":"33068107","abstract":"Introduction: The prevalence of frailty at population level is unclear. We examined this in population-based studies, investigating sources of heterogeneity. Methods: PubMed, Embase, CINAHL and Cochrane Library databases were searched for observational population-level studies published between 1 January 1998 and 1 April 2020, including individuals aged ≥50 years, identified using any frailty measure. Prevalence estimates were extracted independently, assessed for bias and analysed using a random-effects model. Results: In total, 240 studies reporting 265 prevalence proportions from 62 countries and territories, representing 1,755,497 participants, were included. Pooled prevalence in studies using physical frailty measures was 12% (95% CI = 11-13%; n = 178), compared with 24% (95% CI = 22-26%; n = 71) for the deficit accumulation model (those using a frailty index, FI). For pre-frailty, this was 46% (95% CI = 45-48%; n = 147) and 49% (95% CI = 46-52%; n = 29), respectively. For physical frailty, the prevalence was higher among females, 15% (95% CI = 14-17%; n = 142), than males, 11% (95% CI = 10-12%; n = 144). For studies using a FI, the prevalence was also higher in females, 29% (95% CI = 24-35%; n = 34) versus 20% (95% CI = 16-24%; n = 34), for males. These values were similar for pre-frailty. Prevalence increased according to the minimum age at study inclusion. Analysing only data from nationally representative studies gave a frailty prevalence of 7% (95% CI = 5-9%; n = 46) for physical frailty and 24% (95% CI = 22-26%; n = 44) for FIs. Conclusions: Population-level frailty prevalence varied by classification and sex. Data were heterogenous and limited, particularly from nationally representative studies making the interpretation of differences by geographic region challenging. Common methodological approaches to gathering data are required to improve the accuracy of population-level prevalence estimates. Protocol registration: PROSPERO-CRD42018105431.","author":[{"dropping-particle":"","family":"O’Caoimh","given":"Rónán","non-dropping-particle":"","parse-names":false,"suffix":""},{"dropping-particle":"","family":"Sezgin","given":"Duygu","non-dropping-particle":"","parse-names":false,"suffix":""},{"dropping-particle":"","family":"O’Donovan","given":"Mark R","non-dropping-particle":"","parse-names":false,"suffix":""},{"dropping-particle":"","family":"Molloy","given":"D William","non-dropping-particle":"","parse-names":false,"suffix":""},{"dropping-particle":"","family":"Clegg","given":"Andrew","non-dropping-particle":"","parse-names":false,"suffix":""},{"dropping-particle":"","family":"Rockwood","given":"Kenneth","non-dropping-particle":"","parse-names":false,"suffix":""},{"dropping-particle":"","family":"Liew","given":"Aaron","non-dropping-particle":"","parse-names":false,"suffix":""}],"container-title":"Age and Ageing","id":"ITEM-1","issue":"1","issued":{"date-parts":[["2021"]]},"page":"96-104","title":"Prevalence of frailty in 62 countries across the world: a systematic review and meta-analysis of population-level studies","type":"article-journal","volume":"50"},"uris":["http://www.mendeley.com/documents/?uuid=456b7ec2-0002-4e3d-adc5-47a39d7b1063","http://www.mendeley.com/documents/?uuid=758c1147-b514-4836-9821-e60e4dbd48c8"]}],"mendeley":{"formattedCitation":"[46]","plainTextFormattedCitation":"[46]","previouslyFormattedCitation":"[47]"},"properties":{"noteIndex":0},"schema":"https://github.com/citation-style-language/schema/raw/master/csl-citation.json"}</w:instrText>
      </w:r>
      <w:r w:rsidR="00977495" w:rsidRPr="00A6435E">
        <w:rPr>
          <w:rFonts w:cstheme="minorHAnsi"/>
        </w:rPr>
        <w:fldChar w:fldCharType="separate"/>
      </w:r>
      <w:r w:rsidR="008E6C84" w:rsidRPr="00A6435E">
        <w:rPr>
          <w:rFonts w:cstheme="minorHAnsi"/>
          <w:noProof/>
        </w:rPr>
        <w:t>[46]</w:t>
      </w:r>
      <w:r w:rsidR="00977495" w:rsidRPr="00A6435E">
        <w:rPr>
          <w:rFonts w:cstheme="minorHAnsi"/>
        </w:rPr>
        <w:fldChar w:fldCharType="end"/>
      </w:r>
      <w:r w:rsidR="00544179" w:rsidRPr="00A6435E">
        <w:rPr>
          <w:rFonts w:cstheme="minorHAnsi"/>
        </w:rPr>
        <w:t xml:space="preserve">. </w:t>
      </w:r>
      <w:r w:rsidR="00E01435" w:rsidRPr="00A6435E">
        <w:rPr>
          <w:rFonts w:cstheme="minorHAnsi"/>
        </w:rPr>
        <w:t xml:space="preserve">Far fewer data are available regarding the prevalence of pre-frailty in community dwelling populations. </w:t>
      </w:r>
      <w:r w:rsidR="0050080F" w:rsidRPr="00A6435E">
        <w:rPr>
          <w:rFonts w:cstheme="minorHAnsi"/>
        </w:rPr>
        <w:t>The Survey of Health, Aging and Retirement in Europe (</w:t>
      </w:r>
      <w:r w:rsidR="00977495" w:rsidRPr="00A6435E">
        <w:rPr>
          <w:shd w:val="clear" w:color="auto" w:fill="FFFFFF"/>
        </w:rPr>
        <w:t>SHARE</w:t>
      </w:r>
      <w:r w:rsidR="0050080F" w:rsidRPr="00A6435E">
        <w:rPr>
          <w:shd w:val="clear" w:color="auto" w:fill="FFFFFF"/>
        </w:rPr>
        <w:t>)</w:t>
      </w:r>
      <w:r w:rsidR="00977495" w:rsidRPr="00A6435E">
        <w:rPr>
          <w:shd w:val="clear" w:color="auto" w:fill="FFFFFF"/>
        </w:rPr>
        <w:t xml:space="preserve"> was one of the few studies assessing pre-frailty</w:t>
      </w:r>
      <w:r w:rsidRPr="00A6435E">
        <w:rPr>
          <w:shd w:val="clear" w:color="auto" w:fill="FFFFFF"/>
        </w:rPr>
        <w:t xml:space="preserve"> and found that the prevalence of pre-frailty </w:t>
      </w:r>
      <w:r w:rsidR="00FE21D1" w:rsidRPr="00A6435E">
        <w:rPr>
          <w:shd w:val="clear" w:color="auto" w:fill="FFFFFF"/>
        </w:rPr>
        <w:t>in individuals over the age of 50</w:t>
      </w:r>
      <w:r w:rsidR="00E01435" w:rsidRPr="00A6435E">
        <w:rPr>
          <w:shd w:val="clear" w:color="auto" w:fill="FFFFFF"/>
        </w:rPr>
        <w:t xml:space="preserve"> </w:t>
      </w:r>
      <w:r w:rsidRPr="00A6435E">
        <w:rPr>
          <w:shd w:val="clear" w:color="auto" w:fill="FFFFFF"/>
        </w:rPr>
        <w:t>in ten European countries ranged between 34.6% and 50.9%</w:t>
      </w:r>
      <w:r w:rsidR="00977495" w:rsidRPr="00A6435E">
        <w:rPr>
          <w:shd w:val="clear" w:color="auto" w:fill="FFFFFF"/>
        </w:rPr>
        <w:t xml:space="preserve"> </w:t>
      </w:r>
      <w:r w:rsidR="00977495" w:rsidRPr="00A6435E">
        <w:rPr>
          <w:shd w:val="clear" w:color="auto" w:fill="FFFFFF"/>
        </w:rPr>
        <w:fldChar w:fldCharType="begin" w:fldLock="1"/>
      </w:r>
      <w:r w:rsidR="008E6C84" w:rsidRPr="00A6435E">
        <w:rPr>
          <w:shd w:val="clear" w:color="auto" w:fill="FFFFFF"/>
        </w:rPr>
        <w:instrText>ADDIN CSL_CITATION {"citationItems":[{"id":"ITEM-1","itemData":{"DOI":"10.1093/gerona/glp012","ISSN":"10795006","PMID":"19276189","abstract":"Background. Frailty is an indicator of health status in old age. Its frequency has been described mainly for North America; comparable data from other countries are lacking. Here we report on the prevalence of frailty in 10 European countries included in a population-based survey. Methods. Cross-sectional analysis of 18,227 randomly selected community-dwelling individuals 50 years of age and older, enrolled in the Survey of Health, Aging and Retirement in Europe (SHARE) in 2004. Complete data for assessing a frailty phenotype (exhaustion, shrinking, weakness, slowness, and low physical activity) were available for 16,584 participants. Prevalences of frailty and prefrailty were estimated for individuals 50-64 years and 65 years of age and older from each country. The latter group was analyzed further after excluding disabled individuals. We estimated country effects in this subset using multivariate logistic regression models, controlling first for age, gender, and then demographics and education. Results. The proportion of frailty (three to five criteria) or prefrailty (one to two criteria) was higher in southern than in northern Europe. International differences in the prevalences of frailty and prefrailty for 65 years and older group persisted after excluding the disabled. Demographic characteristics did not account for international differences; however, education was associated with frailty. Controlling for education, age and gender diminished the effects of residing in Italy and Spain. Conclusions. A higher prevalence of frailty in southern countries is consistent with previous findings of a north-south gradient for other health indicators in SHARE. Our data suggest that socioeconomic factors like education contribute to these differences in frailty and prefrailty. © The Author 2009. Published by Oxford University Press on behalf of The Gerontological Society of America. All rights reserved.","author":[{"dropping-particle":"","family":"Santos-Eggimann","given":"Brigitte","non-dropping-particle":"","parse-names":false,"suffix":""},{"dropping-particle":"","family":"Cuénoud","given":"Patrick","non-dropping-particle":"","parse-names":false,"suffix":""},{"dropping-particle":"","family":"Spagnoli","given":"Jacques","non-dropping-particle":"","parse-names":false,"suffix":""},{"dropping-particle":"","family":"Junod","given":"Julien","non-dropping-particle":"","parse-names":false,"suffix":""}],"container-title":"Journals of Gerontology - Series A Biological Sciences and Medical Sciences","id":"ITEM-1","issue":"6","issued":{"date-parts":[["2009","6"]]},"page":"675-681","publisher":"Oxford University Press","title":"Prevalence of frailty in middle-aged and older community-dwelling Europeans living in 10 countries","type":"article-journal","volume":"64"},"uris":["http://www.mendeley.com/documents/?uuid=23b0f414-6d82-3b5e-a545-6af186be5a84","http://www.mendeley.com/documents/?uuid=412d660c-ac14-4905-b0fb-3a0f972c06cc"]}],"mendeley":{"formattedCitation":"[47]","plainTextFormattedCitation":"[47]","previouslyFormattedCitation":"[48]"},"properties":{"noteIndex":0},"schema":"https://github.com/citation-style-language/schema/raw/master/csl-citation.json"}</w:instrText>
      </w:r>
      <w:r w:rsidR="00977495" w:rsidRPr="00A6435E">
        <w:rPr>
          <w:shd w:val="clear" w:color="auto" w:fill="FFFFFF"/>
        </w:rPr>
        <w:fldChar w:fldCharType="separate"/>
      </w:r>
      <w:r w:rsidR="008E6C84" w:rsidRPr="00A6435E">
        <w:rPr>
          <w:noProof/>
          <w:shd w:val="clear" w:color="auto" w:fill="FFFFFF"/>
        </w:rPr>
        <w:t>[47]</w:t>
      </w:r>
      <w:r w:rsidR="00977495" w:rsidRPr="00A6435E">
        <w:rPr>
          <w:shd w:val="clear" w:color="auto" w:fill="FFFFFF"/>
        </w:rPr>
        <w:fldChar w:fldCharType="end"/>
      </w:r>
      <w:r w:rsidR="00977495" w:rsidRPr="00A6435E">
        <w:rPr>
          <w:shd w:val="clear" w:color="auto" w:fill="FFFFFF"/>
        </w:rPr>
        <w:t>. In our study, the prevalence of pre-frailty was higher</w:t>
      </w:r>
      <w:r w:rsidR="006F52BD" w:rsidRPr="00A6435E">
        <w:rPr>
          <w:shd w:val="clear" w:color="auto" w:fill="FFFFFF"/>
        </w:rPr>
        <w:t>,</w:t>
      </w:r>
      <w:r w:rsidR="00E01435" w:rsidRPr="00A6435E">
        <w:rPr>
          <w:shd w:val="clear" w:color="auto" w:fill="FFFFFF"/>
        </w:rPr>
        <w:t xml:space="preserve"> ranging from 55.3% to 61.9%. </w:t>
      </w:r>
      <w:r w:rsidR="00977495" w:rsidRPr="00A6435E">
        <w:rPr>
          <w:shd w:val="clear" w:color="auto" w:fill="FFFFFF"/>
        </w:rPr>
        <w:t>Approxim</w:t>
      </w:r>
      <w:r w:rsidR="00E01435" w:rsidRPr="00A6435E">
        <w:rPr>
          <w:shd w:val="clear" w:color="auto" w:fill="FFFFFF"/>
        </w:rPr>
        <w:t xml:space="preserve">ately </w:t>
      </w:r>
      <w:r w:rsidR="005806DC" w:rsidRPr="00A6435E">
        <w:rPr>
          <w:shd w:val="clear" w:color="auto" w:fill="FFFFFF"/>
        </w:rPr>
        <w:t>43.4 and 150.6 per 1000 person-years</w:t>
      </w:r>
      <w:r w:rsidR="00E01435" w:rsidRPr="00A6435E">
        <w:rPr>
          <w:shd w:val="clear" w:color="auto" w:fill="FFFFFF"/>
        </w:rPr>
        <w:t xml:space="preserve"> wa</w:t>
      </w:r>
      <w:r w:rsidR="00977495" w:rsidRPr="00A6435E">
        <w:rPr>
          <w:shd w:val="clear" w:color="auto" w:fill="FFFFFF"/>
        </w:rPr>
        <w:t xml:space="preserve">s the estimated incidence of frailty and pre-frailty </w:t>
      </w:r>
      <w:r w:rsidR="00012B78" w:rsidRPr="00A6435E">
        <w:rPr>
          <w:shd w:val="clear" w:color="auto" w:fill="FFFFFF"/>
        </w:rPr>
        <w:t xml:space="preserve">respectively </w:t>
      </w:r>
      <w:r w:rsidR="00977495" w:rsidRPr="00A6435E">
        <w:rPr>
          <w:shd w:val="clear" w:color="auto" w:fill="FFFFFF"/>
        </w:rPr>
        <w:t>in a recent systematic review and meta-analysis</w:t>
      </w:r>
      <w:r w:rsidR="00977495" w:rsidRPr="00A6435E">
        <w:rPr>
          <w:shd w:val="clear" w:color="auto" w:fill="FFFFFF"/>
        </w:rPr>
        <w:fldChar w:fldCharType="begin" w:fldLock="1"/>
      </w:r>
      <w:r w:rsidR="008E6C84" w:rsidRPr="00A6435E">
        <w:rPr>
          <w:shd w:val="clear" w:color="auto" w:fill="FFFFFF"/>
        </w:rPr>
        <w:instrText>ADDIN CSL_CITATION {"citationItems":[{"id":"ITEM-1","itemData":{"DOI":"10.1001/jamanetworkopen.2019.8398","ISSN":"25743805","PMID":"31373653","abstract":"Importance: Frailty is a common geriatric syndrome of significant public health importance, yet there is limited understanding of the risk of frailty development at a population level. Objective: To estimate the global incidence of frailty and prefrailty among community-dwelling adults 60 years or older. Data Sources: MEDLINE, Embase, PsycINFO, Web of Science, CINAHL Plus, and AMED (Allied and Complementary Medicine Database) were searched from inception to January 2019 without language restrictions using combinations of the keywords frailty, older adults, and incidence. The reference lists of eligible studies were hand searched. Study Selection: In the systematic review, 2 authors undertook the search, article screening, and study selection. Cohort studies that reported or had sufficient data to compute incidence of frailty or prefrailty among community-dwelling adults 60 years or older at baseline were eligible. Data Extraction and Synthesis: The methodological quality of included studies was assessed using The Joanna Briggs Institute's Critical Appraisal Checklist for Prevalence and Incidence Studies. Meta-analysis was conducted using a random-effects (DerSimonian and Laird) model. Main Outcomes and Measures: Incidence of frailty (defined as new cases of frailty among robust or prefrail individuals) and incidence of prefrailty (defined as new cases of prefrailty among robust individuals), both over a specified duration. Results: Of 15 176 retrieved references, 46 observational studies involving 120 805 nonfrail (robust or prefrail) participants from 28 countries were included in this systematic review. Among the nonfrail individuals who survived a median follow-up of 3.0 (range, 1.0-11.7) years, 13.6% (13 678 of 100 313) became frail, with the pooled incidence rate being 43.4 (95% CI, 37.3-50.4; I2 = 98.5%) cases per 1000 person-years. The incidence of frailty was significantly higher in prefrail individuals than robust individuals (pooled incidence rates, 62.7 [95% CI, 49.2-79.8; I2 = 97.8%] vs 12.0 [95% CI, 8.2-17.5; I2 = 94.9%] cases per 1000 person-years, respectively; P for difference &lt; .001). Among robust individuals in 21 studies who survived a median follow-up of 2.5 (range, 1.0-10.0) years, 30.9% (9974 of 32 268) became prefrail, with the pooled incidence rate being 150.6 (95% CI, 123.3-184.1; I2 = 98.9%) cases per 1000 person-years. The frailty and prefrailty incidence rates were significantly higher in women than men (frailty: 44.8 [95% CI…","author":[{"dropping-particle":"","family":"Ofori-Asenso","given":"Richard","non-dropping-particle":"","parse-names":false,"suffix":""},{"dropping-particle":"","family":"Chin","given":"Ken L.","non-dropping-particle":"","parse-names":false,"suffix":""},{"dropping-particle":"","family":"Mazidi","given":"Mohsen","non-dropping-particle":"","parse-names":false,"suffix":""},{"dropping-particle":"","family":"Zomer","given":"Ella","non-dropping-particle":"","parse-names":false,"suffix":""},{"dropping-particle":"","family":"Ilomaki","given":"Jenni","non-dropping-particle":"","parse-names":false,"suffix":""},{"dropping-particle":"","family":"Zullo","given":"Andrew R.","non-dropping-particle":"","parse-names":false,"suffix":""},{"dropping-particle":"","family":"Gasevic","given":"Danijela","non-dropping-particle":"","parse-names":false,"suffix":""},{"dropping-particle":"","family":"Ademi","given":"Zanfina","non-dropping-particle":"","parse-names":false,"suffix":""},{"dropping-particle":"","family":"Korhonen","given":"Maarit J.","non-dropping-particle":"","parse-names":false,"suffix":""},{"dropping-particle":"","family":"LoGiudice","given":"Dina","non-dropping-particle":"","parse-names":false,"suffix":""},{"dropping-particle":"","family":"Bell","given":"J. Simon","non-dropping-particle":"","parse-names":false,"suffix":""},{"dropping-particle":"","family":"Liew","given":"Danny","non-dropping-particle":"","parse-names":false,"suffix":""}],"container-title":"JAMA network open","id":"ITEM-1","issue":"8","issued":{"date-parts":[["2019","8"]]},"page":"e198398","publisher":"NLM (Medline)","title":"Global Incidence of Frailty and Prefrailty Among Community-Dwelling Older Adults: A Systematic Review and Meta-analysis","type":"article-journal","volume":"2"},"uris":["http://www.mendeley.com/documents/?uuid=9579477a-5fe9-3a7a-a990-cc0f0d7f0d61","http://www.mendeley.com/documents/?uuid=a6494f9f-ec73-4948-946f-8b965668a236"]}],"mendeley":{"formattedCitation":"[48]","plainTextFormattedCitation":"[48]","previouslyFormattedCitation":"[49]"},"properties":{"noteIndex":0},"schema":"https://github.com/citation-style-language/schema/raw/master/csl-citation.json"}</w:instrText>
      </w:r>
      <w:r w:rsidR="00977495" w:rsidRPr="00A6435E">
        <w:rPr>
          <w:shd w:val="clear" w:color="auto" w:fill="FFFFFF"/>
        </w:rPr>
        <w:fldChar w:fldCharType="separate"/>
      </w:r>
      <w:r w:rsidR="008E6C84" w:rsidRPr="00A6435E">
        <w:rPr>
          <w:noProof/>
          <w:shd w:val="clear" w:color="auto" w:fill="FFFFFF"/>
        </w:rPr>
        <w:t>[48]</w:t>
      </w:r>
      <w:r w:rsidR="00977495" w:rsidRPr="00A6435E">
        <w:rPr>
          <w:shd w:val="clear" w:color="auto" w:fill="FFFFFF"/>
        </w:rPr>
        <w:fldChar w:fldCharType="end"/>
      </w:r>
      <w:r w:rsidR="005806DC" w:rsidRPr="00A6435E">
        <w:rPr>
          <w:shd w:val="clear" w:color="auto" w:fill="FFFFFF"/>
        </w:rPr>
        <w:t xml:space="preserve">; a higher incidence compared to our study </w:t>
      </w:r>
      <w:r w:rsidR="00E01435" w:rsidRPr="00A6435E">
        <w:rPr>
          <w:shd w:val="clear" w:color="auto" w:fill="FFFFFF"/>
        </w:rPr>
        <w:t>although</w:t>
      </w:r>
      <w:r w:rsidR="00977495" w:rsidRPr="00A6435E">
        <w:rPr>
          <w:shd w:val="clear" w:color="auto" w:fill="FFFFFF"/>
        </w:rPr>
        <w:t xml:space="preserve"> </w:t>
      </w:r>
      <w:r w:rsidR="00977495" w:rsidRPr="00A6435E">
        <w:rPr>
          <w:rFonts w:cstheme="minorHAnsi"/>
          <w:shd w:val="clear" w:color="auto" w:fill="FFFFFF"/>
        </w:rPr>
        <w:t xml:space="preserve">there is </w:t>
      </w:r>
      <w:r w:rsidR="00E01435" w:rsidRPr="00A6435E">
        <w:rPr>
          <w:rFonts w:cstheme="minorHAnsi"/>
          <w:shd w:val="clear" w:color="auto" w:fill="FFFFFF"/>
        </w:rPr>
        <w:t xml:space="preserve">likely to be </w:t>
      </w:r>
      <w:r w:rsidR="00977495" w:rsidRPr="00A6435E">
        <w:rPr>
          <w:rFonts w:cstheme="minorHAnsi"/>
          <w:shd w:val="clear" w:color="auto" w:fill="FFFFFF"/>
        </w:rPr>
        <w:t>substantial geographic variation</w:t>
      </w:r>
      <w:r w:rsidR="005806DC" w:rsidRPr="00A6435E">
        <w:rPr>
          <w:rFonts w:cstheme="minorHAnsi"/>
          <w:shd w:val="clear" w:color="auto" w:fill="FFFFFF"/>
        </w:rPr>
        <w:t xml:space="preserve"> when measuring incidence</w:t>
      </w:r>
      <w:r w:rsidR="00977495" w:rsidRPr="00A6435E">
        <w:rPr>
          <w:rFonts w:cstheme="minorHAnsi"/>
          <w:shd w:val="clear" w:color="auto" w:fill="FFFFFF"/>
        </w:rPr>
        <w:fldChar w:fldCharType="begin" w:fldLock="1"/>
      </w:r>
      <w:r w:rsidR="008E6C84" w:rsidRPr="00A6435E">
        <w:rPr>
          <w:rFonts w:cstheme="minorHAnsi"/>
          <w:shd w:val="clear" w:color="auto" w:fill="FFFFFF"/>
        </w:rPr>
        <w:instrText>ADDIN CSL_CITATION {"citationItems":[{"id":"ITEM-1","itemData":{"DOI":"10.1186/s12877-019-1393-7","ISSN":"14712318","PMID":"31888498","abstract":"Background: Frailty is a clinically recognizable state of reduced resilience to stressors and increased vulnerability to adverse outcomes. The majority of studies have focused on the prevalence and risk factors of frailty, while the incidence of frailty has not been well documented, especially in less developed regions including China - a country that has the largest aging population in the world. We investigated the incidence of frailty among non-frail Chinese older adults by sociodemographic characteristics, disease burden, and geographic region. Methods: Participants were 4939 adults aged ≥60 years from the China Health and Retirement Longitudinal Study, a cohort study of a nationally representative sample of middle-aged and older community-dwelling adults from 28 provinces in China. Frailty was assessed by an adapted version of the well-validated Fried's physical frailty phenotype, in which five criteria were included: weakness, slowness, exhaustion, physical inactivity, and shrinking. Results: Over an average of 2.1 years of follow-up (10,514.2 person-years), the weighted incidence rate of frailty was 60.6 per 1000 person-years; the incidence rate was 28.8 and 86.6 per 1000 person-years for those who were initially robust and prefrail, respectively. Participants who were older and widowed, had lower education and household income, lived in rural areas, and had higher burden of chronic conditions had higher frailty incidence. Frailty incidence ranged from 44.8 per 1000 person-years in the Southeast to 93.0 per 1000 person-years in the Northwest. Conclusions: Incidence rate of frailty was 60.6 per 1000 person-years among community-living Chinese adults aged ≥ 60 years. Substantial sociodemographic and geographical disparities exist in frailty incidence.","author":[{"dropping-particle":"","family":"Xu","given":"Weihao","non-dropping-particle":"","parse-names":false,"suffix":""},{"dropping-particle":"","family":"Li","given":"Ya Xi","non-dropping-particle":"","parse-names":false,"suffix":""},{"dropping-particle":"","family":"Wu","given":"Chenkai","non-dropping-particle":"","parse-names":false,"suffix":""}],"container-title":"BMC Geriatrics","id":"ITEM-1","issue":"1","issued":{"date-parts":[["2019","12"]]},"page":"378","publisher":"BioMed Central Ltd.","title":"Incidence of frailty among community-dwelling older adults: A nationally representative profile in China","type":"article-journal","volume":"19"},"uris":["http://www.mendeley.com/documents/?uuid=9bfde418-c954-3373-93a0-45fa3f7e3d2a","http://www.mendeley.com/documents/?uuid=bc7425f9-fe63-423a-9976-cfc65c6fed5d"]}],"mendeley":{"formattedCitation":"[49]","plainTextFormattedCitation":"[49]","previouslyFormattedCitation":"[50]"},"properties":{"noteIndex":0},"schema":"https://github.com/citation-style-language/schema/raw/master/csl-citation.json"}</w:instrText>
      </w:r>
      <w:r w:rsidR="00977495" w:rsidRPr="00A6435E">
        <w:rPr>
          <w:rFonts w:cstheme="minorHAnsi"/>
          <w:shd w:val="clear" w:color="auto" w:fill="FFFFFF"/>
        </w:rPr>
        <w:fldChar w:fldCharType="separate"/>
      </w:r>
      <w:r w:rsidR="008E6C84" w:rsidRPr="00A6435E">
        <w:rPr>
          <w:rFonts w:cstheme="minorHAnsi"/>
          <w:noProof/>
          <w:shd w:val="clear" w:color="auto" w:fill="FFFFFF"/>
        </w:rPr>
        <w:t>[49]</w:t>
      </w:r>
      <w:r w:rsidR="00977495" w:rsidRPr="00A6435E">
        <w:rPr>
          <w:rFonts w:cstheme="minorHAnsi"/>
          <w:shd w:val="clear" w:color="auto" w:fill="FFFFFF"/>
        </w:rPr>
        <w:fldChar w:fldCharType="end"/>
      </w:r>
      <w:r w:rsidR="00977495" w:rsidRPr="00A6435E">
        <w:rPr>
          <w:rFonts w:ascii="Georgia" w:hAnsi="Georgia"/>
          <w:shd w:val="clear" w:color="auto" w:fill="FFFFFF"/>
        </w:rPr>
        <w:t xml:space="preserve">. </w:t>
      </w:r>
    </w:p>
    <w:p w14:paraId="7FC064BE" w14:textId="40F30CC4" w:rsidR="000E03F4" w:rsidRPr="00A6435E" w:rsidRDefault="008E6C84" w:rsidP="000011C4">
      <w:r w:rsidRPr="00A6435E">
        <w:t xml:space="preserve">Our </w:t>
      </w:r>
      <w:r w:rsidR="007D4BCF" w:rsidRPr="00A6435E">
        <w:t>study has some l</w:t>
      </w:r>
      <w:r w:rsidR="007A0715" w:rsidRPr="00A6435E">
        <w:t xml:space="preserve">imitations. </w:t>
      </w:r>
      <w:r w:rsidR="00121E9F" w:rsidRPr="00A6435E">
        <w:t xml:space="preserve">Participants in the </w:t>
      </w:r>
      <w:r w:rsidR="005A45E2" w:rsidRPr="00A6435E">
        <w:t xml:space="preserve">HCS cohort </w:t>
      </w:r>
      <w:r w:rsidR="00121E9F" w:rsidRPr="00A6435E">
        <w:t>study are all community living, and therefore might be expected to show a healthy cohort bias</w:t>
      </w:r>
      <w:r w:rsidR="005806DC" w:rsidRPr="00A6435E">
        <w:t>, limiting our ability to discern some relationships. This is</w:t>
      </w:r>
      <w:r w:rsidR="00121E9F" w:rsidRPr="00A6435E">
        <w:t xml:space="preserve"> reflected by the relatively low number of sarcopenic and frail individuals</w:t>
      </w:r>
      <w:r w:rsidR="005806DC" w:rsidRPr="00A6435E">
        <w:t xml:space="preserve"> and by the fact that p</w:t>
      </w:r>
      <w:r w:rsidR="00C51D4C" w:rsidRPr="00A6435E">
        <w:t>articipants</w:t>
      </w:r>
      <w:r w:rsidR="00B67280" w:rsidRPr="00A6435E">
        <w:t xml:space="preserve"> </w:t>
      </w:r>
      <w:r w:rsidR="005806DC" w:rsidRPr="00A6435E">
        <w:t>for whom data were available at follow up and developed frailty</w:t>
      </w:r>
      <w:r w:rsidR="009727A9" w:rsidRPr="00A6435E">
        <w:t>,</w:t>
      </w:r>
      <w:r w:rsidR="005806DC" w:rsidRPr="00A6435E">
        <w:t xml:space="preserve"> were overall healthier</w:t>
      </w:r>
      <w:r w:rsidR="00C26046" w:rsidRPr="00A6435E">
        <w:t>.</w:t>
      </w:r>
      <w:r w:rsidR="005806DC" w:rsidRPr="00A6435E">
        <w:t xml:space="preserve"> They </w:t>
      </w:r>
      <w:r w:rsidR="00B67280" w:rsidRPr="00A6435E">
        <w:t xml:space="preserve">were </w:t>
      </w:r>
      <w:r w:rsidR="008C1FD6" w:rsidRPr="00A6435E">
        <w:t>younger, heavier,</w:t>
      </w:r>
      <w:r w:rsidR="00592FE3" w:rsidRPr="00A6435E">
        <w:t xml:space="preserve"> </w:t>
      </w:r>
      <w:r w:rsidR="004B3C8D" w:rsidRPr="00A6435E">
        <w:t xml:space="preserve">taller, </w:t>
      </w:r>
      <w:r w:rsidR="004B3C8D">
        <w:t xml:space="preserve">stronger, </w:t>
      </w:r>
      <w:r w:rsidR="00BC4939">
        <w:t xml:space="preserve">faster walkers </w:t>
      </w:r>
      <w:r w:rsidR="008C1FD6">
        <w:t xml:space="preserve">and </w:t>
      </w:r>
      <w:r w:rsidR="004732B2">
        <w:t>had better physical activity</w:t>
      </w:r>
      <w:r w:rsidR="005806DC">
        <w:t xml:space="preserve"> compared to those for whom data were not available on incidence frailty</w:t>
      </w:r>
      <w:r w:rsidR="00A21307">
        <w:t xml:space="preserve">. </w:t>
      </w:r>
      <w:r w:rsidR="000B0B12">
        <w:t>However,</w:t>
      </w:r>
      <w:r w:rsidR="00544179">
        <w:t xml:space="preserve"> this study has been able to draw on the detailed phenotypic information available in the HCS to report the epidemiology of coexisting </w:t>
      </w:r>
      <w:r w:rsidR="00E01435">
        <w:t>OP and SP</w:t>
      </w:r>
      <w:r w:rsidR="00544179">
        <w:t xml:space="preserve">, and its association with multimorbidity and frailty. </w:t>
      </w:r>
      <w:r w:rsidR="002619BD">
        <w:t>Furthermore,</w:t>
      </w:r>
      <w:r w:rsidR="00E01435">
        <w:t xml:space="preserve"> </w:t>
      </w:r>
      <w:r w:rsidR="007C40CF" w:rsidRPr="00B80882">
        <w:t xml:space="preserve">HCS participants have been compared with those in the nationally representative Health Survey for England and have been found to be broadly comparable in terms of their health and lifestyle. We therefore suggest that the results from the current study could be reasonably generalised to the wider population of older men and </w:t>
      </w:r>
      <w:r w:rsidR="007C40CF" w:rsidRPr="00A6435E">
        <w:t>women.</w:t>
      </w:r>
    </w:p>
    <w:p w14:paraId="568401A2" w14:textId="77777777" w:rsidR="00DB5D8A" w:rsidRPr="00A6435E" w:rsidRDefault="008E6C84" w:rsidP="00DB1B05">
      <w:r w:rsidRPr="00A6435E">
        <w:rPr>
          <w:rFonts w:cs="Times New Roman"/>
          <w:szCs w:val="20"/>
          <w:shd w:val="clear" w:color="auto" w:fill="FFFFFF"/>
        </w:rPr>
        <w:t>Our study suggests</w:t>
      </w:r>
      <w:r w:rsidRPr="00A6435E">
        <w:t xml:space="preserve"> that the likelihood of being frail was markedly higher when sarcopenia and osteoporosis were co-existent. However, the relationship may be bidirectional given the risk factors and pathophysiological pathways that drive individual conditions. Future longitudinal cohort studies of older people who are diverse in both ethnicity and socio-economic status may provide a more comprehensive understanding to the relationship between osteosarcopenia and frailty.</w:t>
      </w:r>
    </w:p>
    <w:p w14:paraId="6817679A" w14:textId="213F8C87" w:rsidR="00F44B01" w:rsidRPr="00B80882" w:rsidRDefault="0063418A" w:rsidP="00DB5D8A">
      <w:pPr>
        <w:pStyle w:val="Heading1"/>
      </w:pPr>
      <w:r>
        <w:t>Conclusion</w:t>
      </w:r>
    </w:p>
    <w:p w14:paraId="055BE825" w14:textId="4C642C5F" w:rsidR="006245E7" w:rsidRDefault="00D35DFD" w:rsidP="000011C4">
      <w:r w:rsidRPr="00B80882">
        <w:t xml:space="preserve">We have shown an overall prevalence of frailty in community </w:t>
      </w:r>
      <w:r w:rsidR="00E01435">
        <w:t xml:space="preserve">dwelling </w:t>
      </w:r>
      <w:r w:rsidRPr="00B80882">
        <w:t xml:space="preserve">older </w:t>
      </w:r>
      <w:r w:rsidR="00E01435">
        <w:t xml:space="preserve">UK </w:t>
      </w:r>
      <w:r w:rsidRPr="00B80882">
        <w:t>adults of</w:t>
      </w:r>
      <w:r w:rsidR="0040692E" w:rsidRPr="00B80882">
        <w:t xml:space="preserve"> 8.1% </w:t>
      </w:r>
      <w:r w:rsidRPr="00B80882">
        <w:t>with the risk increasing with age</w:t>
      </w:r>
      <w:r w:rsidR="00E01435">
        <w:t xml:space="preserve">. Corresponding figures for </w:t>
      </w:r>
      <w:r w:rsidRPr="00B80882">
        <w:t xml:space="preserve">pre-frailty </w:t>
      </w:r>
      <w:r w:rsidR="00E01435">
        <w:t>were</w:t>
      </w:r>
      <w:r w:rsidR="0040692E" w:rsidRPr="00B80882">
        <w:t xml:space="preserve"> 57.5% </w:t>
      </w:r>
      <w:r w:rsidRPr="00B80882">
        <w:t>with the risk increasing with age only in female</w:t>
      </w:r>
      <w:r w:rsidR="0040692E" w:rsidRPr="00B80882">
        <w:t>s</w:t>
      </w:r>
      <w:r w:rsidRPr="00B80882">
        <w:t>. We found that the presence</w:t>
      </w:r>
      <w:r w:rsidR="00F44B01" w:rsidRPr="00B80882">
        <w:t xml:space="preserve"> of baseline </w:t>
      </w:r>
      <w:r w:rsidR="00EF0E1A" w:rsidRPr="00B80882">
        <w:t>SP</w:t>
      </w:r>
      <w:r w:rsidR="00F44B01" w:rsidRPr="00B80882">
        <w:t xml:space="preserve"> and </w:t>
      </w:r>
      <w:r w:rsidR="00EF0E1A" w:rsidRPr="00B80882">
        <w:t>OP</w:t>
      </w:r>
      <w:r w:rsidR="00F44B01" w:rsidRPr="00B80882">
        <w:t xml:space="preserve"> together are associated with </w:t>
      </w:r>
      <w:r w:rsidR="00E01435">
        <w:t xml:space="preserve">a much higher risk of </w:t>
      </w:r>
      <w:r w:rsidR="00F44B01" w:rsidRPr="00B80882">
        <w:t>frailty</w:t>
      </w:r>
      <w:r w:rsidR="00E01435">
        <w:t xml:space="preserve"> cross-sectionally than either condition alone, </w:t>
      </w:r>
      <w:r w:rsidRPr="00B80882">
        <w:t xml:space="preserve">and that SP and OP are </w:t>
      </w:r>
      <w:r w:rsidR="0063418A">
        <w:t xml:space="preserve">both </w:t>
      </w:r>
      <w:r w:rsidRPr="00B80882">
        <w:t xml:space="preserve">closely linked with multimorbidity. </w:t>
      </w:r>
      <w:r w:rsidR="00F44B01" w:rsidRPr="00B80882">
        <w:t xml:space="preserve">As the presence of co-existing </w:t>
      </w:r>
      <w:r w:rsidR="00EF0E1A" w:rsidRPr="00B80882">
        <w:t>SP</w:t>
      </w:r>
      <w:r w:rsidR="00F44B01" w:rsidRPr="00B80882">
        <w:t xml:space="preserve"> and </w:t>
      </w:r>
      <w:r w:rsidR="00EF0E1A" w:rsidRPr="00B80882">
        <w:t>OP</w:t>
      </w:r>
      <w:r w:rsidR="00F44B01" w:rsidRPr="00B80882">
        <w:t xml:space="preserve"> were highly associated with frailty, appropriate treatment and early intervention of these conditions can have a clinical benefit </w:t>
      </w:r>
      <w:r w:rsidR="00C1318C">
        <w:t xml:space="preserve">to reduce the </w:t>
      </w:r>
      <w:r w:rsidR="002619BD">
        <w:t>progression to</w:t>
      </w:r>
      <w:r w:rsidR="00C1318C">
        <w:t xml:space="preserve"> </w:t>
      </w:r>
      <w:r w:rsidR="006A01D6">
        <w:t>frailty</w:t>
      </w:r>
      <w:r w:rsidR="00F44B01" w:rsidRPr="00B80882">
        <w:t xml:space="preserve">. </w:t>
      </w:r>
      <w:r w:rsidR="00685CC9">
        <w:t>Furthermore,</w:t>
      </w:r>
      <w:r w:rsidR="00F44B01" w:rsidRPr="00B80882">
        <w:t xml:space="preserve"> identifying</w:t>
      </w:r>
      <w:r w:rsidR="000A11DF">
        <w:t xml:space="preserve"> and treating</w:t>
      </w:r>
      <w:r w:rsidR="00F44B01" w:rsidRPr="00B80882">
        <w:t xml:space="preserve"> individuals with pre-frailty and probable </w:t>
      </w:r>
      <w:r w:rsidR="00EF0E1A" w:rsidRPr="00B80882">
        <w:t>SP</w:t>
      </w:r>
      <w:r w:rsidR="00F44B01" w:rsidRPr="00B80882">
        <w:t xml:space="preserve"> </w:t>
      </w:r>
      <w:r w:rsidR="002619BD">
        <w:t>as</w:t>
      </w:r>
      <w:r w:rsidR="00916033" w:rsidRPr="00B80882">
        <w:t xml:space="preserve"> </w:t>
      </w:r>
      <w:r w:rsidR="00F44B01" w:rsidRPr="00B80882">
        <w:t>early and reversible risk-state</w:t>
      </w:r>
      <w:r w:rsidR="000A11DF">
        <w:t>s</w:t>
      </w:r>
      <w:r w:rsidR="00F44B01" w:rsidRPr="00B80882">
        <w:t xml:space="preserve"> </w:t>
      </w:r>
      <w:r w:rsidR="00FF6C2E">
        <w:t>may be associated with</w:t>
      </w:r>
      <w:r w:rsidR="00F44B01" w:rsidRPr="00B80882">
        <w:t xml:space="preserve"> better healthcare outcomes</w:t>
      </w:r>
      <w:r w:rsidR="00FF6C2E">
        <w:t xml:space="preserve"> and </w:t>
      </w:r>
      <w:r w:rsidR="00916033">
        <w:t>lower risk</w:t>
      </w:r>
      <w:r w:rsidR="00FF6C2E">
        <w:t xml:space="preserve"> of developing frailty</w:t>
      </w:r>
      <w:r w:rsidR="00F44B01" w:rsidRPr="00B80882">
        <w:t xml:space="preserve">. </w:t>
      </w:r>
      <w:r w:rsidR="00045446" w:rsidRPr="00B80882">
        <w:t>Muscle and bone inter-relationships need to be further studied in large prospective longitudinal cohorts</w:t>
      </w:r>
      <w:r w:rsidR="00045446">
        <w:t xml:space="preserve"> as </w:t>
      </w:r>
      <w:r w:rsidR="00F44B01" w:rsidRPr="00B80882">
        <w:t xml:space="preserve">better understanding of the </w:t>
      </w:r>
      <w:r w:rsidR="00CE4B26">
        <w:t xml:space="preserve">epidemiology of </w:t>
      </w:r>
      <w:r w:rsidR="001A7287">
        <w:t xml:space="preserve">osteosarcopenia </w:t>
      </w:r>
      <w:r w:rsidR="00F44B01" w:rsidRPr="00B80882">
        <w:t xml:space="preserve">is extremely relevant </w:t>
      </w:r>
      <w:r w:rsidR="00526670">
        <w:t xml:space="preserve">to inform the development of </w:t>
      </w:r>
      <w:r w:rsidR="00504DBD">
        <w:t xml:space="preserve">future interventions and therapeutics to maintain </w:t>
      </w:r>
      <w:r w:rsidR="003930AE">
        <w:t xml:space="preserve">older </w:t>
      </w:r>
      <w:r w:rsidR="002619BD">
        <w:t>people’s</w:t>
      </w:r>
      <w:r w:rsidR="003930AE">
        <w:t xml:space="preserve"> independence.</w:t>
      </w:r>
      <w:r w:rsidR="00F44B01" w:rsidRPr="00B80882">
        <w:t xml:space="preserve"> </w:t>
      </w:r>
    </w:p>
    <w:p w14:paraId="3CE4EAC3" w14:textId="4CB0FF09" w:rsidR="00D61A10" w:rsidRPr="00B80882" w:rsidRDefault="00DC6F10" w:rsidP="000011C4">
      <w:pPr>
        <w:pStyle w:val="Heading1"/>
      </w:pPr>
      <w:r>
        <w:t>Acknowledgements</w:t>
      </w:r>
    </w:p>
    <w:p w14:paraId="7DA8E14A" w14:textId="3E3DB2CA" w:rsidR="006245E7" w:rsidRPr="00B80882" w:rsidRDefault="006245E7" w:rsidP="00521C30">
      <w:pPr>
        <w:pStyle w:val="Heading2"/>
      </w:pPr>
      <w:r w:rsidRPr="00B80882">
        <w:t>A</w:t>
      </w:r>
      <w:r w:rsidR="00673A02" w:rsidRPr="00B80882">
        <w:t>uthor’s contributions</w:t>
      </w:r>
    </w:p>
    <w:p w14:paraId="6000BB82" w14:textId="1CF947A5" w:rsidR="00673A02" w:rsidRPr="00B80882" w:rsidRDefault="00BA20A9" w:rsidP="000011C4">
      <w:r w:rsidRPr="00B80882">
        <w:rPr>
          <w:shd w:val="clear" w:color="auto" w:fill="FFFFFF"/>
        </w:rPr>
        <w:t xml:space="preserve">FL, NF, </w:t>
      </w:r>
      <w:r w:rsidR="00A9183A" w:rsidRPr="00B80882">
        <w:rPr>
          <w:shd w:val="clear" w:color="auto" w:fill="FFFFFF"/>
        </w:rPr>
        <w:t>HPP, CC and ED</w:t>
      </w:r>
      <w:r w:rsidRPr="00B80882">
        <w:rPr>
          <w:shd w:val="clear" w:color="auto" w:fill="FFFFFF"/>
        </w:rPr>
        <w:t xml:space="preserve">. participated in the conception, design and conduct of the study. K.J. conducted statistical analyses. </w:t>
      </w:r>
      <w:r w:rsidR="00A9183A" w:rsidRPr="00B80882">
        <w:rPr>
          <w:shd w:val="clear" w:color="auto" w:fill="FFFFFF"/>
        </w:rPr>
        <w:t>FL</w:t>
      </w:r>
      <w:r w:rsidRPr="00B80882">
        <w:rPr>
          <w:shd w:val="clear" w:color="auto" w:fill="FFFFFF"/>
        </w:rPr>
        <w:t>. drafted the first version of the manuscript. All authors read and approved the final manuscript.</w:t>
      </w:r>
    </w:p>
    <w:p w14:paraId="746148CD" w14:textId="263E4FB8" w:rsidR="006245E7" w:rsidRDefault="006245E7" w:rsidP="00521C30">
      <w:pPr>
        <w:pStyle w:val="Heading2"/>
      </w:pPr>
      <w:r w:rsidRPr="00B80882">
        <w:t xml:space="preserve">Conflict of interest </w:t>
      </w:r>
    </w:p>
    <w:p w14:paraId="20095418" w14:textId="4871C1A5" w:rsidR="00521C30" w:rsidRDefault="00EF2C46" w:rsidP="00521C30">
      <w:r w:rsidRPr="0069501C">
        <w:t>ED declares consultancy and speak</w:t>
      </w:r>
      <w:r w:rsidR="00514A8C">
        <w:t>er</w:t>
      </w:r>
      <w:r w:rsidRPr="0069501C">
        <w:t xml:space="preserve"> fees from Pfizer, UCB and Lilly</w:t>
      </w:r>
      <w:r w:rsidR="0069501C">
        <w:t xml:space="preserve">. </w:t>
      </w:r>
      <w:r w:rsidR="000F076A">
        <w:t>CC</w:t>
      </w:r>
      <w:r w:rsidR="005673E5">
        <w:t xml:space="preserve"> has received lecture fees and honoraria from Amgen, Danone, Eli Lilly, GSK, </w:t>
      </w:r>
      <w:r w:rsidR="005673E5">
        <w:rPr>
          <w:color w:val="000000"/>
        </w:rPr>
        <w:t xml:space="preserve">Kyowa Kirin, </w:t>
      </w:r>
      <w:r w:rsidR="005673E5">
        <w:t>Medtronic, Merck, Nestlé, Novartis, Pfizer, Roche, Servier, Shire, Takeda and UCB outside of the submitted work.</w:t>
      </w:r>
    </w:p>
    <w:p w14:paraId="45ADB3F8" w14:textId="1F783752" w:rsidR="007430D9" w:rsidRDefault="00521C30" w:rsidP="000011C4">
      <w:r>
        <w:t>NF declares travel bursaries from Pfizer and Eli Lilly.</w:t>
      </w:r>
    </w:p>
    <w:p w14:paraId="3E327F13" w14:textId="61EEF770" w:rsidR="00567F3F" w:rsidRDefault="00567F3F" w:rsidP="000011C4">
      <w:r>
        <w:t xml:space="preserve">HPP </w:t>
      </w:r>
      <w:r w:rsidR="00514A8C">
        <w:t xml:space="preserve">has received lecture fees from Abbott, </w:t>
      </w:r>
      <w:r w:rsidR="00521C30">
        <w:t>Pfizer,</w:t>
      </w:r>
      <w:r w:rsidR="00514A8C">
        <w:t xml:space="preserve"> and </w:t>
      </w:r>
      <w:r w:rsidR="00376A78">
        <w:t>HC-UK conferences outside of the submitted work.</w:t>
      </w:r>
    </w:p>
    <w:p w14:paraId="27977BCD" w14:textId="54E3DF1E" w:rsidR="00521C30" w:rsidRPr="00B80882" w:rsidRDefault="00521C30" w:rsidP="000011C4">
      <w:r>
        <w:t xml:space="preserve">KJ has nothing to declare. </w:t>
      </w:r>
    </w:p>
    <w:p w14:paraId="0F11F957" w14:textId="1726590C" w:rsidR="005540CC" w:rsidRPr="00B80882" w:rsidRDefault="006245E7" w:rsidP="00521C30">
      <w:pPr>
        <w:pStyle w:val="Heading2"/>
      </w:pPr>
      <w:r w:rsidRPr="00B80882">
        <w:t>Ethical approval</w:t>
      </w:r>
    </w:p>
    <w:p w14:paraId="720DC7BD" w14:textId="4F1EB5E0" w:rsidR="008F0F03" w:rsidRDefault="008F0F03" w:rsidP="000011C4">
      <w:pPr>
        <w:rPr>
          <w:shd w:val="clear" w:color="auto" w:fill="FFFFFF"/>
        </w:rPr>
      </w:pPr>
      <w:r w:rsidRPr="00B80882">
        <w:t xml:space="preserve">All study participants provided written informed consent and </w:t>
      </w:r>
      <w:r w:rsidRPr="00B80882">
        <w:rPr>
          <w:shd w:val="clear" w:color="auto" w:fill="FFFFFF"/>
        </w:rPr>
        <w:t>Ethical approval was obtained from the Hertfordshire Research Ethics Committee</w:t>
      </w:r>
      <w:r w:rsidR="00376A78">
        <w:rPr>
          <w:shd w:val="clear" w:color="auto" w:fill="FFFFFF"/>
        </w:rPr>
        <w:t xml:space="preserve"> (number). </w:t>
      </w:r>
    </w:p>
    <w:p w14:paraId="73481582" w14:textId="6980BCE0" w:rsidR="000533B5" w:rsidRPr="00EA5011" w:rsidRDefault="000533B5" w:rsidP="000011C4">
      <w:r w:rsidRPr="00EA5011">
        <w:rPr>
          <w:shd w:val="clear" w:color="auto" w:fill="FFFFFF"/>
        </w:rPr>
        <w:t xml:space="preserve">The authors of this manuscript certify that they comply with the </w:t>
      </w:r>
      <w:hyperlink r:id="rId12" w:history="1">
        <w:r w:rsidRPr="00EA5011">
          <w:rPr>
            <w:rStyle w:val="Hyperlink"/>
            <w:rFonts w:cstheme="minorHAnsi"/>
            <w:color w:val="auto"/>
            <w:u w:val="none"/>
            <w:shd w:val="clear" w:color="auto" w:fill="FFFFFF"/>
          </w:rPr>
          <w:t>ethical guidelines for authorship and publishing</w:t>
        </w:r>
      </w:hyperlink>
      <w:r w:rsidRPr="00EA5011">
        <w:rPr>
          <w:shd w:val="clear" w:color="auto" w:fill="FFFFFF"/>
        </w:rPr>
        <w:t xml:space="preserve"> in the Journal of Cachexia, Sarcopenia and Muscle</w:t>
      </w:r>
      <w:r w:rsidR="00824C84">
        <w:rPr>
          <w:shd w:val="clear" w:color="auto" w:fill="FFFFFF"/>
        </w:rPr>
        <w:t xml:space="preserve">. </w:t>
      </w:r>
    </w:p>
    <w:p w14:paraId="67E19811" w14:textId="7DD35C9B" w:rsidR="003B7CBD" w:rsidRPr="0001014D" w:rsidRDefault="003B7CBD" w:rsidP="00521C30">
      <w:pPr>
        <w:pStyle w:val="Heading2"/>
      </w:pPr>
      <w:r w:rsidRPr="000533B5">
        <w:rPr>
          <w:shd w:val="clear" w:color="auto" w:fill="FFFFFF"/>
        </w:rPr>
        <w:t>Funding</w:t>
      </w:r>
    </w:p>
    <w:p w14:paraId="14899E2C" w14:textId="484A2EA4" w:rsidR="00900AB0" w:rsidRPr="00521C30" w:rsidRDefault="00900AB0" w:rsidP="002619BD">
      <w:pPr>
        <w:rPr>
          <w:b/>
          <w:i/>
        </w:rPr>
      </w:pPr>
      <w:r w:rsidRPr="00521C30">
        <w:t>FL</w:t>
      </w:r>
      <w:r>
        <w:t xml:space="preserve"> and HPP</w:t>
      </w:r>
      <w:r w:rsidRPr="00521C30">
        <w:t xml:space="preserve"> are supported by the NIHR Southampton Biomedical Research Centre, </w:t>
      </w:r>
      <w:r w:rsidR="002619BD" w:rsidRPr="00521C30">
        <w:t>Nutrition,</w:t>
      </w:r>
      <w:r w:rsidRPr="00521C30">
        <w:t xml:space="preserve"> and the University of Southampton. This report is independent research and the views expressed in this publication are those of the authors and not necessarily those of the NHS, the NIHR or the Department of Health. These funding bodies had no role in writing of the manuscript or decision to submit for publication.</w:t>
      </w:r>
    </w:p>
    <w:p w14:paraId="4F52AEED" w14:textId="5D233D00" w:rsidR="007430D9" w:rsidRDefault="007430D9" w:rsidP="000011C4">
      <w:r>
        <w:br w:type="page"/>
      </w:r>
    </w:p>
    <w:p w14:paraId="3CBFC2B5" w14:textId="77777777" w:rsidR="00A6435E" w:rsidRPr="002760FF" w:rsidRDefault="00A6435E" w:rsidP="00A6435E">
      <w:pPr>
        <w:pStyle w:val="Heading1"/>
      </w:pPr>
      <w:r>
        <w:t>Tables</w:t>
      </w:r>
    </w:p>
    <w:tbl>
      <w:tblPr>
        <w:tblStyle w:val="TableGrid"/>
        <w:tblW w:w="916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2"/>
      </w:tblGrid>
      <w:tr w:rsidR="00A6435E" w14:paraId="6C6808DE" w14:textId="77777777" w:rsidTr="004B59D5">
        <w:tc>
          <w:tcPr>
            <w:tcW w:w="9162" w:type="dxa"/>
          </w:tcPr>
          <w:p w14:paraId="239D80EF" w14:textId="77777777" w:rsidR="00A6435E" w:rsidRPr="002760FF" w:rsidRDefault="00A6435E" w:rsidP="004B59D5">
            <w:pPr>
              <w:pStyle w:val="Caption"/>
              <w:jc w:val="left"/>
            </w:pPr>
            <w:bookmarkStart w:id="7" w:name="_Ref67995040"/>
            <w:r w:rsidRPr="008B6E27">
              <w:rPr>
                <w:b/>
                <w:bCs/>
              </w:rPr>
              <w:t xml:space="preserve">Table </w:t>
            </w:r>
            <w:r w:rsidRPr="008B6E27">
              <w:rPr>
                <w:b/>
                <w:bCs/>
              </w:rPr>
              <w:fldChar w:fldCharType="begin"/>
            </w:r>
            <w:r w:rsidRPr="008B6E27">
              <w:rPr>
                <w:b/>
                <w:bCs/>
              </w:rPr>
              <w:instrText xml:space="preserve"> SEQ Table \* ARABIC </w:instrText>
            </w:r>
            <w:r w:rsidRPr="008B6E27">
              <w:rPr>
                <w:b/>
                <w:bCs/>
              </w:rPr>
              <w:fldChar w:fldCharType="separate"/>
            </w:r>
            <w:r>
              <w:rPr>
                <w:b/>
                <w:bCs/>
                <w:noProof/>
              </w:rPr>
              <w:t>1</w:t>
            </w:r>
            <w:r w:rsidRPr="008B6E27">
              <w:rPr>
                <w:b/>
                <w:bCs/>
              </w:rPr>
              <w:fldChar w:fldCharType="end"/>
            </w:r>
            <w:bookmarkEnd w:id="7"/>
            <w:r w:rsidRPr="002760FF">
              <w:t>: Baseline characteristics of all participants</w:t>
            </w:r>
            <w:r w:rsidRPr="00904021">
              <w:rPr>
                <w:rStyle w:val="FootnoteReference"/>
              </w:rPr>
              <w:footnoteReference w:id="2"/>
            </w:r>
            <w:r>
              <w:t>.</w:t>
            </w:r>
          </w:p>
        </w:tc>
      </w:tr>
      <w:tr w:rsidR="00A6435E" w14:paraId="4B26AA22" w14:textId="77777777" w:rsidTr="004B59D5">
        <w:tc>
          <w:tcPr>
            <w:tcW w:w="9162" w:type="dxa"/>
          </w:tcPr>
          <w:tbl>
            <w:tblPr>
              <w:tblStyle w:val="ListTable7Colorful"/>
              <w:tblW w:w="8217" w:type="dxa"/>
              <w:tblLook w:val="0680" w:firstRow="0" w:lastRow="0" w:firstColumn="1" w:lastColumn="0" w:noHBand="1" w:noVBand="1"/>
            </w:tblPr>
            <w:tblGrid>
              <w:gridCol w:w="4857"/>
              <w:gridCol w:w="966"/>
              <w:gridCol w:w="1108"/>
              <w:gridCol w:w="1286"/>
            </w:tblGrid>
            <w:tr w:rsidR="00A6435E" w:rsidRPr="00A04528" w14:paraId="283A756C"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tcBorders>
                    <w:bottom w:val="single" w:sz="4" w:space="0" w:color="auto"/>
                  </w:tcBorders>
                  <w:vAlign w:val="center"/>
                </w:tcPr>
                <w:p w14:paraId="6E2927C1" w14:textId="77777777" w:rsidR="00A6435E" w:rsidRPr="00A04528" w:rsidRDefault="00A6435E" w:rsidP="004B59D5">
                  <w:pPr>
                    <w:pStyle w:val="Figure"/>
                    <w:jc w:val="left"/>
                    <w:rPr>
                      <w:i w:val="0"/>
                      <w:iCs w:val="0"/>
                    </w:rPr>
                  </w:pPr>
                </w:p>
              </w:tc>
              <w:tc>
                <w:tcPr>
                  <w:tcW w:w="3360" w:type="dxa"/>
                  <w:gridSpan w:val="3"/>
                  <w:tcBorders>
                    <w:left w:val="nil"/>
                    <w:bottom w:val="single" w:sz="4" w:space="0" w:color="auto"/>
                  </w:tcBorders>
                  <w:vAlign w:val="center"/>
                </w:tcPr>
                <w:p w14:paraId="3BE701BD"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All participants</w:t>
                  </w:r>
                </w:p>
              </w:tc>
            </w:tr>
            <w:tr w:rsidR="00A6435E" w:rsidRPr="00A04528" w14:paraId="42793594"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tcBorders>
                    <w:top w:val="single" w:sz="4" w:space="0" w:color="auto"/>
                    <w:bottom w:val="single" w:sz="4" w:space="0" w:color="auto"/>
                    <w:right w:val="none" w:sz="0" w:space="0" w:color="auto"/>
                  </w:tcBorders>
                  <w:vAlign w:val="center"/>
                </w:tcPr>
                <w:p w14:paraId="65B767D4" w14:textId="77777777" w:rsidR="00A6435E" w:rsidRPr="00A04528" w:rsidRDefault="00A6435E" w:rsidP="004B59D5">
                  <w:pPr>
                    <w:pStyle w:val="Figure"/>
                    <w:jc w:val="left"/>
                    <w:rPr>
                      <w:i w:val="0"/>
                      <w:iCs w:val="0"/>
                    </w:rPr>
                  </w:pPr>
                </w:p>
              </w:tc>
              <w:tc>
                <w:tcPr>
                  <w:tcW w:w="966" w:type="dxa"/>
                  <w:tcBorders>
                    <w:top w:val="single" w:sz="4" w:space="0" w:color="auto"/>
                    <w:left w:val="nil"/>
                    <w:bottom w:val="single" w:sz="4" w:space="0" w:color="auto"/>
                  </w:tcBorders>
                  <w:vAlign w:val="center"/>
                </w:tcPr>
                <w:p w14:paraId="481727AD"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N</w:t>
                  </w:r>
                </w:p>
              </w:tc>
              <w:tc>
                <w:tcPr>
                  <w:tcW w:w="1108" w:type="dxa"/>
                  <w:tcBorders>
                    <w:top w:val="single" w:sz="4" w:space="0" w:color="auto"/>
                    <w:bottom w:val="single" w:sz="4" w:space="0" w:color="auto"/>
                  </w:tcBorders>
                  <w:vAlign w:val="center"/>
                </w:tcPr>
                <w:p w14:paraId="3B59F4C2"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Median</w:t>
                  </w:r>
                </w:p>
              </w:tc>
              <w:tc>
                <w:tcPr>
                  <w:tcW w:w="0" w:type="auto"/>
                  <w:tcBorders>
                    <w:top w:val="single" w:sz="4" w:space="0" w:color="auto"/>
                    <w:bottom w:val="single" w:sz="4" w:space="0" w:color="auto"/>
                  </w:tcBorders>
                  <w:vAlign w:val="center"/>
                </w:tcPr>
                <w:p w14:paraId="050F9950"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IQR</w:t>
                  </w:r>
                </w:p>
              </w:tc>
            </w:tr>
            <w:tr w:rsidR="00A6435E" w:rsidRPr="00A04528" w14:paraId="076902D8"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tcBorders>
                    <w:top w:val="single" w:sz="4" w:space="0" w:color="auto"/>
                  </w:tcBorders>
                  <w:vAlign w:val="center"/>
                </w:tcPr>
                <w:p w14:paraId="3F094C5A" w14:textId="77777777" w:rsidR="00A6435E" w:rsidRPr="00A04528" w:rsidRDefault="00A6435E" w:rsidP="004B59D5">
                  <w:pPr>
                    <w:pStyle w:val="Figure"/>
                    <w:jc w:val="left"/>
                    <w:rPr>
                      <w:i w:val="0"/>
                      <w:iCs w:val="0"/>
                    </w:rPr>
                  </w:pPr>
                  <w:r w:rsidRPr="00A04528">
                    <w:rPr>
                      <w:i w:val="0"/>
                      <w:iCs w:val="0"/>
                    </w:rPr>
                    <w:t>Age (years)</w:t>
                  </w:r>
                </w:p>
              </w:tc>
              <w:tc>
                <w:tcPr>
                  <w:tcW w:w="966" w:type="dxa"/>
                  <w:tcBorders>
                    <w:top w:val="single" w:sz="4" w:space="0" w:color="auto"/>
                  </w:tcBorders>
                  <w:vAlign w:val="center"/>
                </w:tcPr>
                <w:p w14:paraId="62C2ED83"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405</w:t>
                  </w:r>
                </w:p>
              </w:tc>
              <w:tc>
                <w:tcPr>
                  <w:tcW w:w="1108" w:type="dxa"/>
                  <w:tcBorders>
                    <w:top w:val="single" w:sz="4" w:space="0" w:color="auto"/>
                  </w:tcBorders>
                  <w:vAlign w:val="center"/>
                </w:tcPr>
                <w:p w14:paraId="6B1EAC1B"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75.5</w:t>
                  </w:r>
                </w:p>
              </w:tc>
              <w:tc>
                <w:tcPr>
                  <w:tcW w:w="0" w:type="auto"/>
                  <w:tcBorders>
                    <w:top w:val="single" w:sz="4" w:space="0" w:color="auto"/>
                  </w:tcBorders>
                  <w:vAlign w:val="center"/>
                </w:tcPr>
                <w:p w14:paraId="12BD68C5"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73.4 - 77.9</w:t>
                  </w:r>
                </w:p>
              </w:tc>
            </w:tr>
            <w:tr w:rsidR="00A6435E" w:rsidRPr="00A04528" w14:paraId="20665CF3"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629ED190" w14:textId="77777777" w:rsidR="00A6435E" w:rsidRPr="00A04528" w:rsidRDefault="00A6435E" w:rsidP="004B59D5">
                  <w:pPr>
                    <w:pStyle w:val="Figure"/>
                    <w:jc w:val="left"/>
                    <w:rPr>
                      <w:i w:val="0"/>
                      <w:iCs w:val="0"/>
                    </w:rPr>
                  </w:pPr>
                  <w:r w:rsidRPr="00A04528">
                    <w:rPr>
                      <w:i w:val="0"/>
                      <w:iCs w:val="0"/>
                    </w:rPr>
                    <w:t>Weight (kg)</w:t>
                  </w:r>
                </w:p>
              </w:tc>
              <w:tc>
                <w:tcPr>
                  <w:tcW w:w="966" w:type="dxa"/>
                  <w:vAlign w:val="center"/>
                </w:tcPr>
                <w:p w14:paraId="01DA6AE4"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405</w:t>
                  </w:r>
                </w:p>
              </w:tc>
              <w:tc>
                <w:tcPr>
                  <w:tcW w:w="1108" w:type="dxa"/>
                  <w:vAlign w:val="center"/>
                </w:tcPr>
                <w:p w14:paraId="33435DAF"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76.0</w:t>
                  </w:r>
                </w:p>
              </w:tc>
              <w:tc>
                <w:tcPr>
                  <w:tcW w:w="0" w:type="auto"/>
                  <w:vAlign w:val="center"/>
                </w:tcPr>
                <w:p w14:paraId="3A6DC68A"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68.2 - 85.8</w:t>
                  </w:r>
                </w:p>
              </w:tc>
            </w:tr>
            <w:tr w:rsidR="00A6435E" w:rsidRPr="00A04528" w14:paraId="0DB27D85"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12088E54" w14:textId="77777777" w:rsidR="00A6435E" w:rsidRPr="00A04528" w:rsidRDefault="00A6435E" w:rsidP="004B59D5">
                  <w:pPr>
                    <w:pStyle w:val="Figure"/>
                    <w:jc w:val="left"/>
                    <w:rPr>
                      <w:i w:val="0"/>
                      <w:iCs w:val="0"/>
                    </w:rPr>
                  </w:pPr>
                  <w:r w:rsidRPr="00A04528">
                    <w:rPr>
                      <w:i w:val="0"/>
                      <w:iCs w:val="0"/>
                    </w:rPr>
                    <w:t>BMI (kg/m</w:t>
                  </w:r>
                  <w:r w:rsidRPr="00A04528">
                    <w:rPr>
                      <w:i w:val="0"/>
                      <w:iCs w:val="0"/>
                      <w:vertAlign w:val="superscript"/>
                    </w:rPr>
                    <w:t>2</w:t>
                  </w:r>
                  <w:r w:rsidRPr="00A04528">
                    <w:rPr>
                      <w:i w:val="0"/>
                      <w:iCs w:val="0"/>
                    </w:rPr>
                    <w:t>)</w:t>
                  </w:r>
                </w:p>
              </w:tc>
              <w:tc>
                <w:tcPr>
                  <w:tcW w:w="966" w:type="dxa"/>
                  <w:vAlign w:val="center"/>
                </w:tcPr>
                <w:p w14:paraId="6D48DAE5"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402</w:t>
                  </w:r>
                </w:p>
              </w:tc>
              <w:tc>
                <w:tcPr>
                  <w:tcW w:w="1108" w:type="dxa"/>
                  <w:vAlign w:val="center"/>
                </w:tcPr>
                <w:p w14:paraId="1F026DBE"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27.4</w:t>
                  </w:r>
                </w:p>
              </w:tc>
              <w:tc>
                <w:tcPr>
                  <w:tcW w:w="0" w:type="auto"/>
                  <w:vAlign w:val="center"/>
                </w:tcPr>
                <w:p w14:paraId="3B38D0E4"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25.1 - 30.9</w:t>
                  </w:r>
                </w:p>
              </w:tc>
            </w:tr>
            <w:tr w:rsidR="00A6435E" w:rsidRPr="00A04528" w14:paraId="44A86939"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1385FDC2" w14:textId="77777777" w:rsidR="00A6435E" w:rsidRPr="00A04528" w:rsidRDefault="00A6435E" w:rsidP="004B59D5">
                  <w:pPr>
                    <w:pStyle w:val="Figure"/>
                    <w:jc w:val="left"/>
                    <w:rPr>
                      <w:i w:val="0"/>
                      <w:iCs w:val="0"/>
                    </w:rPr>
                  </w:pPr>
                  <w:r w:rsidRPr="00A04528">
                    <w:rPr>
                      <w:i w:val="0"/>
                      <w:iCs w:val="0"/>
                    </w:rPr>
                    <w:t>Alcohol consumption (units per week)</w:t>
                  </w:r>
                </w:p>
              </w:tc>
              <w:tc>
                <w:tcPr>
                  <w:tcW w:w="966" w:type="dxa"/>
                  <w:vAlign w:val="center"/>
                </w:tcPr>
                <w:p w14:paraId="1664B5EC"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405</w:t>
                  </w:r>
                </w:p>
              </w:tc>
              <w:tc>
                <w:tcPr>
                  <w:tcW w:w="1108" w:type="dxa"/>
                  <w:vAlign w:val="center"/>
                </w:tcPr>
                <w:p w14:paraId="30A3EC49"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2.0</w:t>
                  </w:r>
                </w:p>
              </w:tc>
              <w:tc>
                <w:tcPr>
                  <w:tcW w:w="0" w:type="auto"/>
                  <w:vAlign w:val="center"/>
                </w:tcPr>
                <w:p w14:paraId="1BAC8649"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0.1 - 8.3</w:t>
                  </w:r>
                </w:p>
              </w:tc>
            </w:tr>
            <w:tr w:rsidR="00A6435E" w:rsidRPr="00A04528" w14:paraId="2F8E2714"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tcBorders>
                    <w:bottom w:val="single" w:sz="4" w:space="0" w:color="auto"/>
                  </w:tcBorders>
                  <w:vAlign w:val="center"/>
                </w:tcPr>
                <w:p w14:paraId="0BD98D39" w14:textId="77777777" w:rsidR="00A6435E" w:rsidRPr="00A04528" w:rsidRDefault="00A6435E" w:rsidP="004B59D5">
                  <w:pPr>
                    <w:pStyle w:val="Figure"/>
                    <w:jc w:val="left"/>
                    <w:rPr>
                      <w:i w:val="0"/>
                      <w:iCs w:val="0"/>
                    </w:rPr>
                  </w:pPr>
                  <w:r w:rsidRPr="00A04528">
                    <w:rPr>
                      <w:i w:val="0"/>
                      <w:iCs w:val="0"/>
                    </w:rPr>
                    <w:t>Activity time in last 2 weeks (min/day)</w:t>
                  </w:r>
                </w:p>
              </w:tc>
              <w:tc>
                <w:tcPr>
                  <w:tcW w:w="966" w:type="dxa"/>
                  <w:tcBorders>
                    <w:bottom w:val="single" w:sz="4" w:space="0" w:color="auto"/>
                  </w:tcBorders>
                  <w:vAlign w:val="center"/>
                </w:tcPr>
                <w:p w14:paraId="340B6B32"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394</w:t>
                  </w:r>
                </w:p>
              </w:tc>
              <w:tc>
                <w:tcPr>
                  <w:tcW w:w="1108" w:type="dxa"/>
                  <w:tcBorders>
                    <w:bottom w:val="single" w:sz="4" w:space="0" w:color="auto"/>
                  </w:tcBorders>
                  <w:vAlign w:val="center"/>
                </w:tcPr>
                <w:p w14:paraId="351C2C70"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190</w:t>
                  </w:r>
                </w:p>
              </w:tc>
              <w:tc>
                <w:tcPr>
                  <w:tcW w:w="0" w:type="auto"/>
                  <w:tcBorders>
                    <w:bottom w:val="single" w:sz="4" w:space="0" w:color="auto"/>
                  </w:tcBorders>
                  <w:vAlign w:val="center"/>
                </w:tcPr>
                <w:p w14:paraId="14E1A546"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124 - 283</w:t>
                  </w:r>
                </w:p>
              </w:tc>
            </w:tr>
            <w:tr w:rsidR="00A6435E" w:rsidRPr="00A04528" w14:paraId="18A4951D"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tcBorders>
                    <w:top w:val="single" w:sz="4" w:space="0" w:color="auto"/>
                    <w:bottom w:val="single" w:sz="4" w:space="0" w:color="auto"/>
                    <w:right w:val="none" w:sz="0" w:space="0" w:color="auto"/>
                  </w:tcBorders>
                  <w:vAlign w:val="center"/>
                </w:tcPr>
                <w:p w14:paraId="7B7DEA07" w14:textId="77777777" w:rsidR="00A6435E" w:rsidRPr="00A04528" w:rsidRDefault="00A6435E" w:rsidP="004B59D5">
                  <w:pPr>
                    <w:pStyle w:val="Figure"/>
                    <w:jc w:val="left"/>
                    <w:rPr>
                      <w:i w:val="0"/>
                      <w:iCs w:val="0"/>
                    </w:rPr>
                  </w:pPr>
                </w:p>
              </w:tc>
              <w:tc>
                <w:tcPr>
                  <w:tcW w:w="966" w:type="dxa"/>
                  <w:tcBorders>
                    <w:top w:val="single" w:sz="4" w:space="0" w:color="auto"/>
                    <w:left w:val="nil"/>
                    <w:bottom w:val="single" w:sz="4" w:space="0" w:color="auto"/>
                  </w:tcBorders>
                  <w:vAlign w:val="center"/>
                </w:tcPr>
                <w:p w14:paraId="2887FE7D"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N</w:t>
                  </w:r>
                </w:p>
              </w:tc>
              <w:tc>
                <w:tcPr>
                  <w:tcW w:w="1108" w:type="dxa"/>
                  <w:tcBorders>
                    <w:top w:val="single" w:sz="4" w:space="0" w:color="auto"/>
                    <w:bottom w:val="single" w:sz="4" w:space="0" w:color="auto"/>
                  </w:tcBorders>
                  <w:vAlign w:val="center"/>
                </w:tcPr>
                <w:p w14:paraId="043AC347"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Mean</w:t>
                  </w:r>
                </w:p>
              </w:tc>
              <w:tc>
                <w:tcPr>
                  <w:tcW w:w="0" w:type="auto"/>
                  <w:tcBorders>
                    <w:top w:val="single" w:sz="4" w:space="0" w:color="auto"/>
                    <w:bottom w:val="single" w:sz="4" w:space="0" w:color="auto"/>
                  </w:tcBorders>
                  <w:vAlign w:val="center"/>
                </w:tcPr>
                <w:p w14:paraId="5D62214E"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SD</w:t>
                  </w:r>
                </w:p>
              </w:tc>
            </w:tr>
            <w:tr w:rsidR="00A6435E" w:rsidRPr="00A04528" w14:paraId="571B379E"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tcBorders>
                    <w:top w:val="single" w:sz="4" w:space="0" w:color="auto"/>
                  </w:tcBorders>
                  <w:vAlign w:val="center"/>
                </w:tcPr>
                <w:p w14:paraId="7CF942F6" w14:textId="77777777" w:rsidR="00A6435E" w:rsidRPr="00A04528" w:rsidRDefault="00A6435E" w:rsidP="004B59D5">
                  <w:pPr>
                    <w:pStyle w:val="Figure"/>
                    <w:jc w:val="left"/>
                    <w:rPr>
                      <w:i w:val="0"/>
                      <w:iCs w:val="0"/>
                    </w:rPr>
                  </w:pPr>
                  <w:r w:rsidRPr="00A04528">
                    <w:rPr>
                      <w:i w:val="0"/>
                      <w:iCs w:val="0"/>
                    </w:rPr>
                    <w:t>Height (cm)</w:t>
                  </w:r>
                </w:p>
              </w:tc>
              <w:tc>
                <w:tcPr>
                  <w:tcW w:w="966" w:type="dxa"/>
                  <w:tcBorders>
                    <w:top w:val="single" w:sz="4" w:space="0" w:color="auto"/>
                  </w:tcBorders>
                  <w:vAlign w:val="center"/>
                </w:tcPr>
                <w:p w14:paraId="018AD7E0"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402</w:t>
                  </w:r>
                </w:p>
              </w:tc>
              <w:tc>
                <w:tcPr>
                  <w:tcW w:w="1108" w:type="dxa"/>
                  <w:tcBorders>
                    <w:top w:val="single" w:sz="4" w:space="0" w:color="auto"/>
                  </w:tcBorders>
                  <w:vAlign w:val="center"/>
                </w:tcPr>
                <w:p w14:paraId="46884D45"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165.7</w:t>
                  </w:r>
                </w:p>
              </w:tc>
              <w:tc>
                <w:tcPr>
                  <w:tcW w:w="0" w:type="auto"/>
                  <w:tcBorders>
                    <w:top w:val="single" w:sz="4" w:space="0" w:color="auto"/>
                  </w:tcBorders>
                  <w:vAlign w:val="center"/>
                </w:tcPr>
                <w:p w14:paraId="76091FF0"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9.3</w:t>
                  </w:r>
                </w:p>
              </w:tc>
            </w:tr>
            <w:tr w:rsidR="00A6435E" w:rsidRPr="00A04528" w14:paraId="2AE476C9"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4A3184EF" w14:textId="77777777" w:rsidR="00A6435E" w:rsidRPr="00A04528" w:rsidRDefault="00A6435E" w:rsidP="004B59D5">
                  <w:pPr>
                    <w:pStyle w:val="Figure"/>
                    <w:jc w:val="left"/>
                    <w:rPr>
                      <w:i w:val="0"/>
                      <w:iCs w:val="0"/>
                    </w:rPr>
                  </w:pPr>
                  <w:r w:rsidRPr="00A04528">
                    <w:rPr>
                      <w:i w:val="0"/>
                      <w:iCs w:val="0"/>
                    </w:rPr>
                    <w:t>Maximum grip (kg)</w:t>
                  </w:r>
                </w:p>
              </w:tc>
              <w:tc>
                <w:tcPr>
                  <w:tcW w:w="966" w:type="dxa"/>
                  <w:vAlign w:val="center"/>
                </w:tcPr>
                <w:p w14:paraId="68C5AB2D"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405</w:t>
                  </w:r>
                </w:p>
              </w:tc>
              <w:tc>
                <w:tcPr>
                  <w:tcW w:w="1108" w:type="dxa"/>
                  <w:vAlign w:val="center"/>
                </w:tcPr>
                <w:p w14:paraId="0244BBD6"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28.7</w:t>
                  </w:r>
                </w:p>
              </w:tc>
              <w:tc>
                <w:tcPr>
                  <w:tcW w:w="0" w:type="auto"/>
                  <w:vAlign w:val="center"/>
                </w:tcPr>
                <w:p w14:paraId="21E6B618"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10</w:t>
                  </w:r>
                </w:p>
              </w:tc>
            </w:tr>
            <w:tr w:rsidR="00A6435E" w:rsidRPr="00A04528" w14:paraId="26C92BDC"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19ADD31D" w14:textId="77777777" w:rsidR="00A6435E" w:rsidRPr="00A04528" w:rsidRDefault="00A6435E" w:rsidP="004B59D5">
                  <w:pPr>
                    <w:pStyle w:val="Figure"/>
                    <w:jc w:val="left"/>
                    <w:rPr>
                      <w:i w:val="0"/>
                      <w:iCs w:val="0"/>
                    </w:rPr>
                  </w:pPr>
                  <w:r w:rsidRPr="00A04528">
                    <w:rPr>
                      <w:i w:val="0"/>
                      <w:iCs w:val="0"/>
                    </w:rPr>
                    <w:t>Gait speed (m/s)</w:t>
                  </w:r>
                </w:p>
              </w:tc>
              <w:tc>
                <w:tcPr>
                  <w:tcW w:w="966" w:type="dxa"/>
                  <w:vAlign w:val="center"/>
                </w:tcPr>
                <w:p w14:paraId="3C88CE0F"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393</w:t>
                  </w:r>
                </w:p>
              </w:tc>
              <w:tc>
                <w:tcPr>
                  <w:tcW w:w="1108" w:type="dxa"/>
                  <w:vAlign w:val="center"/>
                </w:tcPr>
                <w:p w14:paraId="6755FD13"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0.75</w:t>
                  </w:r>
                </w:p>
              </w:tc>
              <w:tc>
                <w:tcPr>
                  <w:tcW w:w="0" w:type="auto"/>
                  <w:vAlign w:val="center"/>
                </w:tcPr>
                <w:p w14:paraId="68DAA3C2"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0.18</w:t>
                  </w:r>
                </w:p>
              </w:tc>
            </w:tr>
            <w:tr w:rsidR="00A6435E" w:rsidRPr="00A04528" w14:paraId="4B18EE54"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0EA45D5C" w14:textId="77777777" w:rsidR="00A6435E" w:rsidRPr="00A04528" w:rsidRDefault="00A6435E" w:rsidP="004B59D5">
                  <w:pPr>
                    <w:pStyle w:val="Figure"/>
                    <w:jc w:val="left"/>
                    <w:rPr>
                      <w:i w:val="0"/>
                      <w:iCs w:val="0"/>
                    </w:rPr>
                  </w:pPr>
                  <w:r w:rsidRPr="00A04528">
                    <w:rPr>
                      <w:i w:val="0"/>
                      <w:iCs w:val="0"/>
                    </w:rPr>
                    <w:t>ALM index (kg/m</w:t>
                  </w:r>
                  <w:r w:rsidRPr="00A04528">
                    <w:rPr>
                      <w:i w:val="0"/>
                      <w:iCs w:val="0"/>
                      <w:vertAlign w:val="superscript"/>
                    </w:rPr>
                    <w:t>2</w:t>
                  </w:r>
                  <w:r w:rsidRPr="00A04528">
                    <w:rPr>
                      <w:i w:val="0"/>
                      <w:iCs w:val="0"/>
                    </w:rPr>
                    <w:t>)</w:t>
                  </w:r>
                  <w:r w:rsidRPr="00A04528">
                    <w:rPr>
                      <w:i w:val="0"/>
                      <w:iCs w:val="0"/>
                      <w:vertAlign w:val="superscript"/>
                    </w:rPr>
                    <w:t>1</w:t>
                  </w:r>
                </w:p>
              </w:tc>
              <w:tc>
                <w:tcPr>
                  <w:tcW w:w="966" w:type="dxa"/>
                  <w:vAlign w:val="center"/>
                </w:tcPr>
                <w:p w14:paraId="529E3C02"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295</w:t>
                  </w:r>
                </w:p>
              </w:tc>
              <w:tc>
                <w:tcPr>
                  <w:tcW w:w="1108" w:type="dxa"/>
                  <w:vAlign w:val="center"/>
                </w:tcPr>
                <w:p w14:paraId="1B70EB4D"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7.27</w:t>
                  </w:r>
                </w:p>
              </w:tc>
              <w:tc>
                <w:tcPr>
                  <w:tcW w:w="0" w:type="auto"/>
                  <w:vAlign w:val="center"/>
                </w:tcPr>
                <w:p w14:paraId="55FFA2E4"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1.08</w:t>
                  </w:r>
                </w:p>
              </w:tc>
            </w:tr>
            <w:tr w:rsidR="00A6435E" w:rsidRPr="00A04528" w14:paraId="059E4CC3"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tcBorders>
                    <w:bottom w:val="single" w:sz="4" w:space="0" w:color="auto"/>
                  </w:tcBorders>
                  <w:vAlign w:val="center"/>
                </w:tcPr>
                <w:p w14:paraId="167BDCC4" w14:textId="77777777" w:rsidR="00A6435E" w:rsidRPr="00A04528" w:rsidRDefault="00A6435E" w:rsidP="004B59D5">
                  <w:pPr>
                    <w:pStyle w:val="Figure"/>
                    <w:jc w:val="left"/>
                    <w:rPr>
                      <w:i w:val="0"/>
                      <w:iCs w:val="0"/>
                    </w:rPr>
                  </w:pPr>
                  <w:r w:rsidRPr="00A04528">
                    <w:rPr>
                      <w:i w:val="0"/>
                      <w:iCs w:val="0"/>
                    </w:rPr>
                    <w:t>Femoral neck BMD (g/cm</w:t>
                  </w:r>
                  <w:r w:rsidRPr="00A04528">
                    <w:rPr>
                      <w:i w:val="0"/>
                      <w:iCs w:val="0"/>
                      <w:vertAlign w:val="superscript"/>
                    </w:rPr>
                    <w:t>2</w:t>
                  </w:r>
                  <w:r w:rsidRPr="00A04528">
                    <w:rPr>
                      <w:i w:val="0"/>
                      <w:iCs w:val="0"/>
                    </w:rPr>
                    <w:t>)</w:t>
                  </w:r>
                  <w:r w:rsidRPr="00A04528">
                    <w:rPr>
                      <w:i w:val="0"/>
                      <w:iCs w:val="0"/>
                      <w:vertAlign w:val="superscript"/>
                    </w:rPr>
                    <w:t>2</w:t>
                  </w:r>
                </w:p>
              </w:tc>
              <w:tc>
                <w:tcPr>
                  <w:tcW w:w="966" w:type="dxa"/>
                  <w:tcBorders>
                    <w:bottom w:val="single" w:sz="4" w:space="0" w:color="auto"/>
                  </w:tcBorders>
                  <w:vAlign w:val="center"/>
                </w:tcPr>
                <w:p w14:paraId="28D11349"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306</w:t>
                  </w:r>
                </w:p>
              </w:tc>
              <w:tc>
                <w:tcPr>
                  <w:tcW w:w="1108" w:type="dxa"/>
                  <w:tcBorders>
                    <w:bottom w:val="single" w:sz="4" w:space="0" w:color="auto"/>
                  </w:tcBorders>
                  <w:vAlign w:val="center"/>
                </w:tcPr>
                <w:p w14:paraId="77DDA751"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0.889</w:t>
                  </w:r>
                </w:p>
              </w:tc>
              <w:tc>
                <w:tcPr>
                  <w:tcW w:w="0" w:type="auto"/>
                  <w:tcBorders>
                    <w:bottom w:val="single" w:sz="4" w:space="0" w:color="auto"/>
                  </w:tcBorders>
                  <w:vAlign w:val="center"/>
                </w:tcPr>
                <w:p w14:paraId="0D68B96D"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0.139</w:t>
                  </w:r>
                </w:p>
              </w:tc>
            </w:tr>
            <w:tr w:rsidR="00A6435E" w:rsidRPr="00A04528" w14:paraId="38A69A42"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tcBorders>
                    <w:top w:val="single" w:sz="4" w:space="0" w:color="auto"/>
                    <w:bottom w:val="single" w:sz="4" w:space="0" w:color="auto"/>
                    <w:right w:val="none" w:sz="0" w:space="0" w:color="auto"/>
                  </w:tcBorders>
                  <w:vAlign w:val="center"/>
                </w:tcPr>
                <w:p w14:paraId="24F3973A" w14:textId="77777777" w:rsidR="00A6435E" w:rsidRPr="00A04528" w:rsidRDefault="00A6435E" w:rsidP="004B59D5">
                  <w:pPr>
                    <w:pStyle w:val="Figure"/>
                    <w:jc w:val="left"/>
                    <w:rPr>
                      <w:i w:val="0"/>
                      <w:iCs w:val="0"/>
                    </w:rPr>
                  </w:pPr>
                </w:p>
              </w:tc>
              <w:tc>
                <w:tcPr>
                  <w:tcW w:w="966" w:type="dxa"/>
                  <w:tcBorders>
                    <w:top w:val="single" w:sz="4" w:space="0" w:color="auto"/>
                    <w:left w:val="nil"/>
                    <w:bottom w:val="single" w:sz="4" w:space="0" w:color="auto"/>
                  </w:tcBorders>
                  <w:vAlign w:val="center"/>
                </w:tcPr>
                <w:p w14:paraId="2FFD635D"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Total N</w:t>
                  </w:r>
                </w:p>
              </w:tc>
              <w:tc>
                <w:tcPr>
                  <w:tcW w:w="1108" w:type="dxa"/>
                  <w:tcBorders>
                    <w:top w:val="single" w:sz="4" w:space="0" w:color="auto"/>
                    <w:bottom w:val="single" w:sz="4" w:space="0" w:color="auto"/>
                  </w:tcBorders>
                  <w:vAlign w:val="center"/>
                </w:tcPr>
                <w:p w14:paraId="26D9B1B7"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N</w:t>
                  </w:r>
                </w:p>
              </w:tc>
              <w:tc>
                <w:tcPr>
                  <w:tcW w:w="0" w:type="auto"/>
                  <w:tcBorders>
                    <w:top w:val="single" w:sz="4" w:space="0" w:color="auto"/>
                    <w:bottom w:val="single" w:sz="4" w:space="0" w:color="auto"/>
                  </w:tcBorders>
                  <w:vAlign w:val="center"/>
                </w:tcPr>
                <w:p w14:paraId="08838589"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w:t>
                  </w:r>
                </w:p>
              </w:tc>
            </w:tr>
            <w:tr w:rsidR="00A6435E" w:rsidRPr="00A04528" w14:paraId="530EEED5"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tcBorders>
                    <w:top w:val="single" w:sz="4" w:space="0" w:color="auto"/>
                  </w:tcBorders>
                  <w:vAlign w:val="center"/>
                </w:tcPr>
                <w:p w14:paraId="6A78A65F" w14:textId="77777777" w:rsidR="00A6435E" w:rsidRPr="00A04528" w:rsidRDefault="00A6435E" w:rsidP="004B59D5">
                  <w:pPr>
                    <w:pStyle w:val="Figure"/>
                    <w:jc w:val="left"/>
                    <w:rPr>
                      <w:i w:val="0"/>
                      <w:iCs w:val="0"/>
                    </w:rPr>
                  </w:pPr>
                  <w:r w:rsidRPr="00A04528">
                    <w:rPr>
                      <w:i w:val="0"/>
                      <w:iCs w:val="0"/>
                    </w:rPr>
                    <w:t>Female sex</w:t>
                  </w:r>
                </w:p>
              </w:tc>
              <w:tc>
                <w:tcPr>
                  <w:tcW w:w="966" w:type="dxa"/>
                  <w:tcBorders>
                    <w:top w:val="single" w:sz="4" w:space="0" w:color="auto"/>
                  </w:tcBorders>
                  <w:vAlign w:val="center"/>
                </w:tcPr>
                <w:p w14:paraId="319386E5"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405</w:t>
                  </w:r>
                </w:p>
              </w:tc>
              <w:tc>
                <w:tcPr>
                  <w:tcW w:w="1108" w:type="dxa"/>
                  <w:tcBorders>
                    <w:top w:val="single" w:sz="4" w:space="0" w:color="auto"/>
                  </w:tcBorders>
                  <w:vAlign w:val="center"/>
                </w:tcPr>
                <w:p w14:paraId="03AAC6C0"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206</w:t>
                  </w:r>
                </w:p>
              </w:tc>
              <w:tc>
                <w:tcPr>
                  <w:tcW w:w="0" w:type="auto"/>
                  <w:tcBorders>
                    <w:top w:val="single" w:sz="4" w:space="0" w:color="auto"/>
                  </w:tcBorders>
                  <w:vAlign w:val="center"/>
                </w:tcPr>
                <w:p w14:paraId="49977922"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50.9</w:t>
                  </w:r>
                </w:p>
              </w:tc>
            </w:tr>
            <w:tr w:rsidR="00A6435E" w:rsidRPr="00A04528" w14:paraId="0F45EB97"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7EED4747" w14:textId="77777777" w:rsidR="00A6435E" w:rsidRPr="00A04528" w:rsidRDefault="00A6435E" w:rsidP="004B59D5">
                  <w:pPr>
                    <w:pStyle w:val="Figure"/>
                    <w:jc w:val="left"/>
                    <w:rPr>
                      <w:i w:val="0"/>
                      <w:iCs w:val="0"/>
                    </w:rPr>
                  </w:pPr>
                  <w:r w:rsidRPr="00A04528">
                    <w:rPr>
                      <w:i w:val="0"/>
                      <w:iCs w:val="0"/>
                    </w:rPr>
                    <w:t>Unintentional weight lost</w:t>
                  </w:r>
                </w:p>
              </w:tc>
              <w:tc>
                <w:tcPr>
                  <w:tcW w:w="966" w:type="dxa"/>
                  <w:vAlign w:val="center"/>
                </w:tcPr>
                <w:p w14:paraId="6FD47031"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404</w:t>
                  </w:r>
                </w:p>
              </w:tc>
              <w:tc>
                <w:tcPr>
                  <w:tcW w:w="1108" w:type="dxa"/>
                  <w:vAlign w:val="center"/>
                </w:tcPr>
                <w:p w14:paraId="43E0FC50"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16</w:t>
                  </w:r>
                </w:p>
              </w:tc>
              <w:tc>
                <w:tcPr>
                  <w:tcW w:w="0" w:type="auto"/>
                  <w:vAlign w:val="center"/>
                </w:tcPr>
                <w:p w14:paraId="293C7449"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w:t>
                  </w:r>
                </w:p>
              </w:tc>
            </w:tr>
            <w:tr w:rsidR="00A6435E" w:rsidRPr="00A04528" w14:paraId="43E584A3"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086BB5E2" w14:textId="77777777" w:rsidR="00A6435E" w:rsidRPr="00A04528" w:rsidRDefault="00A6435E" w:rsidP="004B59D5">
                  <w:pPr>
                    <w:pStyle w:val="Figure"/>
                    <w:jc w:val="left"/>
                    <w:rPr>
                      <w:i w:val="0"/>
                      <w:iCs w:val="0"/>
                    </w:rPr>
                  </w:pPr>
                  <w:r w:rsidRPr="00A04528">
                    <w:rPr>
                      <w:i w:val="0"/>
                      <w:iCs w:val="0"/>
                    </w:rPr>
                    <w:t>Self-reported exhaustion</w:t>
                  </w:r>
                </w:p>
              </w:tc>
              <w:tc>
                <w:tcPr>
                  <w:tcW w:w="966" w:type="dxa"/>
                  <w:vAlign w:val="center"/>
                </w:tcPr>
                <w:p w14:paraId="272D5128"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405</w:t>
                  </w:r>
                </w:p>
              </w:tc>
              <w:tc>
                <w:tcPr>
                  <w:tcW w:w="1108" w:type="dxa"/>
                  <w:vAlign w:val="center"/>
                </w:tcPr>
                <w:p w14:paraId="108F2BE6"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48</w:t>
                  </w:r>
                </w:p>
              </w:tc>
              <w:tc>
                <w:tcPr>
                  <w:tcW w:w="0" w:type="auto"/>
                  <w:vAlign w:val="center"/>
                </w:tcPr>
                <w:p w14:paraId="5F93CB27"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11.9</w:t>
                  </w:r>
                </w:p>
              </w:tc>
            </w:tr>
            <w:tr w:rsidR="00A6435E" w:rsidRPr="00A04528" w14:paraId="21C78559"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571E4984" w14:textId="77777777" w:rsidR="00A6435E" w:rsidRPr="00A04528" w:rsidRDefault="00A6435E" w:rsidP="004B59D5">
                  <w:pPr>
                    <w:pStyle w:val="Figure"/>
                    <w:jc w:val="left"/>
                    <w:rPr>
                      <w:i w:val="0"/>
                      <w:iCs w:val="0"/>
                    </w:rPr>
                  </w:pPr>
                  <w:r w:rsidRPr="00A04528">
                    <w:rPr>
                      <w:i w:val="0"/>
                      <w:iCs w:val="0"/>
                    </w:rPr>
                    <w:t>Low grip strength (&lt;27kg men; &lt;16kg women)</w:t>
                  </w:r>
                </w:p>
              </w:tc>
              <w:tc>
                <w:tcPr>
                  <w:tcW w:w="966" w:type="dxa"/>
                  <w:vAlign w:val="center"/>
                </w:tcPr>
                <w:p w14:paraId="3FF720CC"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405</w:t>
                  </w:r>
                </w:p>
              </w:tc>
              <w:tc>
                <w:tcPr>
                  <w:tcW w:w="1108" w:type="dxa"/>
                  <w:vAlign w:val="center"/>
                </w:tcPr>
                <w:p w14:paraId="06B215C5"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47</w:t>
                  </w:r>
                </w:p>
              </w:tc>
              <w:tc>
                <w:tcPr>
                  <w:tcW w:w="0" w:type="auto"/>
                  <w:vAlign w:val="center"/>
                </w:tcPr>
                <w:p w14:paraId="78F9CA01"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11.6</w:t>
                  </w:r>
                </w:p>
              </w:tc>
            </w:tr>
            <w:tr w:rsidR="00A6435E" w:rsidRPr="00A04528" w14:paraId="024D760D"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7E5359E8" w14:textId="77777777" w:rsidR="00A6435E" w:rsidRPr="00A04528" w:rsidRDefault="00A6435E" w:rsidP="004B59D5">
                  <w:pPr>
                    <w:pStyle w:val="Figure"/>
                    <w:jc w:val="left"/>
                    <w:rPr>
                      <w:i w:val="0"/>
                      <w:iCs w:val="0"/>
                    </w:rPr>
                  </w:pPr>
                  <w:r w:rsidRPr="00A04528">
                    <w:rPr>
                      <w:i w:val="0"/>
                      <w:iCs w:val="0"/>
                    </w:rPr>
                    <w:t>Low walking speed (≤0.8 m/s)</w:t>
                  </w:r>
                </w:p>
              </w:tc>
              <w:tc>
                <w:tcPr>
                  <w:tcW w:w="966" w:type="dxa"/>
                  <w:vAlign w:val="center"/>
                </w:tcPr>
                <w:p w14:paraId="5EAD0A6C"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393</w:t>
                  </w:r>
                </w:p>
              </w:tc>
              <w:tc>
                <w:tcPr>
                  <w:tcW w:w="1108" w:type="dxa"/>
                  <w:vAlign w:val="center"/>
                </w:tcPr>
                <w:p w14:paraId="2F75B5DD"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217</w:t>
                  </w:r>
                </w:p>
              </w:tc>
              <w:tc>
                <w:tcPr>
                  <w:tcW w:w="0" w:type="auto"/>
                  <w:vAlign w:val="center"/>
                </w:tcPr>
                <w:p w14:paraId="51CEB6F3"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55.2</w:t>
                  </w:r>
                </w:p>
              </w:tc>
            </w:tr>
            <w:tr w:rsidR="00A6435E" w:rsidRPr="00A04528" w14:paraId="1A245454"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70B6882B" w14:textId="77777777" w:rsidR="00A6435E" w:rsidRPr="00A04528" w:rsidRDefault="00A6435E" w:rsidP="004B59D5">
                  <w:pPr>
                    <w:pStyle w:val="Figure"/>
                    <w:jc w:val="left"/>
                    <w:rPr>
                      <w:i w:val="0"/>
                      <w:iCs w:val="0"/>
                    </w:rPr>
                  </w:pPr>
                  <w:r w:rsidRPr="00A04528">
                    <w:rPr>
                      <w:i w:val="0"/>
                      <w:iCs w:val="0"/>
                    </w:rPr>
                    <w:t>Low physical activity</w:t>
                  </w:r>
                  <w:r w:rsidRPr="00A04528">
                    <w:rPr>
                      <w:i w:val="0"/>
                      <w:iCs w:val="0"/>
                      <w:vertAlign w:val="superscript"/>
                    </w:rPr>
                    <w:t>3</w:t>
                  </w:r>
                </w:p>
              </w:tc>
              <w:tc>
                <w:tcPr>
                  <w:tcW w:w="966" w:type="dxa"/>
                  <w:vAlign w:val="center"/>
                </w:tcPr>
                <w:p w14:paraId="2592C359"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394</w:t>
                  </w:r>
                </w:p>
              </w:tc>
              <w:tc>
                <w:tcPr>
                  <w:tcW w:w="1108" w:type="dxa"/>
                  <w:vAlign w:val="center"/>
                </w:tcPr>
                <w:p w14:paraId="0A5D0321"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80</w:t>
                  </w:r>
                </w:p>
              </w:tc>
              <w:tc>
                <w:tcPr>
                  <w:tcW w:w="0" w:type="auto"/>
                  <w:vAlign w:val="center"/>
                </w:tcPr>
                <w:p w14:paraId="2D4DBBA4"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20.3</w:t>
                  </w:r>
                </w:p>
              </w:tc>
            </w:tr>
            <w:tr w:rsidR="00A6435E" w:rsidRPr="00A04528" w14:paraId="23C0480F"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7EC3D482" w14:textId="77777777" w:rsidR="00A6435E" w:rsidRPr="00A04528" w:rsidRDefault="00A6435E" w:rsidP="004B59D5">
                  <w:pPr>
                    <w:pStyle w:val="Figure"/>
                    <w:jc w:val="left"/>
                    <w:rPr>
                      <w:i w:val="0"/>
                      <w:iCs w:val="0"/>
                    </w:rPr>
                  </w:pPr>
                  <w:r w:rsidRPr="00A04528">
                    <w:rPr>
                      <w:i w:val="0"/>
                      <w:iCs w:val="0"/>
                    </w:rPr>
                    <w:t>Emaciated (BMI &lt;18.5kg/m</w:t>
                  </w:r>
                  <w:r w:rsidRPr="00A04528">
                    <w:rPr>
                      <w:i w:val="0"/>
                      <w:iCs w:val="0"/>
                      <w:vertAlign w:val="superscript"/>
                    </w:rPr>
                    <w:t>2</w:t>
                  </w:r>
                  <w:r w:rsidRPr="00A04528">
                    <w:rPr>
                      <w:i w:val="0"/>
                      <w:iCs w:val="0"/>
                    </w:rPr>
                    <w:t>)</w:t>
                  </w:r>
                </w:p>
              </w:tc>
              <w:tc>
                <w:tcPr>
                  <w:tcW w:w="966" w:type="dxa"/>
                  <w:vAlign w:val="center"/>
                </w:tcPr>
                <w:p w14:paraId="39BC6FB2"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402</w:t>
                  </w:r>
                </w:p>
              </w:tc>
              <w:tc>
                <w:tcPr>
                  <w:tcW w:w="1108" w:type="dxa"/>
                  <w:vAlign w:val="center"/>
                </w:tcPr>
                <w:p w14:paraId="0D15CBDF"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2</w:t>
                  </w:r>
                </w:p>
              </w:tc>
              <w:tc>
                <w:tcPr>
                  <w:tcW w:w="0" w:type="auto"/>
                  <w:vAlign w:val="center"/>
                </w:tcPr>
                <w:p w14:paraId="183AD313"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0.5</w:t>
                  </w:r>
                </w:p>
              </w:tc>
            </w:tr>
            <w:tr w:rsidR="00A6435E" w:rsidRPr="00A04528" w14:paraId="3734E3FC"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22993E38" w14:textId="77777777" w:rsidR="00A6435E" w:rsidRPr="00A04528" w:rsidRDefault="00A6435E" w:rsidP="004B59D5">
                  <w:pPr>
                    <w:pStyle w:val="Figure"/>
                    <w:jc w:val="left"/>
                    <w:rPr>
                      <w:i w:val="0"/>
                      <w:iCs w:val="0"/>
                    </w:rPr>
                  </w:pPr>
                  <w:r w:rsidRPr="00A04528">
                    <w:rPr>
                      <w:i w:val="0"/>
                      <w:iCs w:val="0"/>
                    </w:rPr>
                    <w:t>Current smoker</w:t>
                  </w:r>
                </w:p>
              </w:tc>
              <w:tc>
                <w:tcPr>
                  <w:tcW w:w="966" w:type="dxa"/>
                  <w:vAlign w:val="center"/>
                </w:tcPr>
                <w:p w14:paraId="6BF4AADB"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405</w:t>
                  </w:r>
                </w:p>
              </w:tc>
              <w:tc>
                <w:tcPr>
                  <w:tcW w:w="1108" w:type="dxa"/>
                  <w:vAlign w:val="center"/>
                </w:tcPr>
                <w:p w14:paraId="244B7C76"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15</w:t>
                  </w:r>
                </w:p>
              </w:tc>
              <w:tc>
                <w:tcPr>
                  <w:tcW w:w="0" w:type="auto"/>
                  <w:vAlign w:val="center"/>
                </w:tcPr>
                <w:p w14:paraId="7EF279BA"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3.7</w:t>
                  </w:r>
                </w:p>
              </w:tc>
            </w:tr>
            <w:tr w:rsidR="00A6435E" w:rsidRPr="00A04528" w14:paraId="23E58D5B"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031B0781" w14:textId="77777777" w:rsidR="00A6435E" w:rsidRPr="00A04528" w:rsidRDefault="00A6435E" w:rsidP="004B59D5">
                  <w:pPr>
                    <w:pStyle w:val="Figure"/>
                    <w:jc w:val="left"/>
                    <w:rPr>
                      <w:i w:val="0"/>
                      <w:iCs w:val="0"/>
                    </w:rPr>
                  </w:pPr>
                  <w:r w:rsidRPr="00A04528">
                    <w:rPr>
                      <w:i w:val="0"/>
                      <w:iCs w:val="0"/>
                    </w:rPr>
                    <w:t>Osteoporosis</w:t>
                  </w:r>
                  <w:r w:rsidRPr="00A04528">
                    <w:rPr>
                      <w:i w:val="0"/>
                      <w:iCs w:val="0"/>
                      <w:vertAlign w:val="superscript"/>
                    </w:rPr>
                    <w:t>4</w:t>
                  </w:r>
                </w:p>
              </w:tc>
              <w:tc>
                <w:tcPr>
                  <w:tcW w:w="966" w:type="dxa"/>
                  <w:vAlign w:val="center"/>
                </w:tcPr>
                <w:p w14:paraId="3EFB81E2"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308</w:t>
                  </w:r>
                </w:p>
              </w:tc>
              <w:tc>
                <w:tcPr>
                  <w:tcW w:w="1108" w:type="dxa"/>
                  <w:vAlign w:val="center"/>
                </w:tcPr>
                <w:p w14:paraId="51B28069"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66</w:t>
                  </w:r>
                </w:p>
              </w:tc>
              <w:tc>
                <w:tcPr>
                  <w:tcW w:w="0" w:type="auto"/>
                  <w:vAlign w:val="center"/>
                </w:tcPr>
                <w:p w14:paraId="47F52DA9"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21.4</w:t>
                  </w:r>
                </w:p>
              </w:tc>
            </w:tr>
            <w:tr w:rsidR="00A6435E" w:rsidRPr="00A04528" w14:paraId="7E281EA9"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386C912F" w14:textId="77777777" w:rsidR="00A6435E" w:rsidRPr="00A04528" w:rsidRDefault="00A6435E" w:rsidP="004B59D5">
                  <w:pPr>
                    <w:pStyle w:val="Figure"/>
                    <w:jc w:val="left"/>
                    <w:rPr>
                      <w:i w:val="0"/>
                      <w:iCs w:val="0"/>
                    </w:rPr>
                  </w:pPr>
                  <w:r w:rsidRPr="00A04528">
                    <w:rPr>
                      <w:i w:val="0"/>
                      <w:iCs w:val="0"/>
                    </w:rPr>
                    <w:t>Sarcopenia</w:t>
                  </w:r>
                </w:p>
              </w:tc>
              <w:tc>
                <w:tcPr>
                  <w:tcW w:w="966" w:type="dxa"/>
                  <w:vAlign w:val="center"/>
                </w:tcPr>
                <w:p w14:paraId="380A8999"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323</w:t>
                  </w:r>
                </w:p>
              </w:tc>
              <w:tc>
                <w:tcPr>
                  <w:tcW w:w="1108" w:type="dxa"/>
                  <w:vAlign w:val="center"/>
                </w:tcPr>
                <w:p w14:paraId="074D7E0A"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26</w:t>
                  </w:r>
                </w:p>
              </w:tc>
              <w:tc>
                <w:tcPr>
                  <w:tcW w:w="0" w:type="auto"/>
                  <w:vAlign w:val="center"/>
                </w:tcPr>
                <w:p w14:paraId="42E8F5BD"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8.0</w:t>
                  </w:r>
                </w:p>
              </w:tc>
            </w:tr>
            <w:tr w:rsidR="00A6435E" w:rsidRPr="00A04528" w14:paraId="17E05508" w14:textId="77777777" w:rsidTr="004B59D5">
              <w:trPr>
                <w:cantSplit/>
                <w:trHeight w:val="56"/>
              </w:trPr>
              <w:tc>
                <w:tcPr>
                  <w:cnfStyle w:val="001000000000" w:firstRow="0" w:lastRow="0" w:firstColumn="1" w:lastColumn="0" w:oddVBand="0" w:evenVBand="0" w:oddHBand="0" w:evenHBand="0" w:firstRowFirstColumn="0" w:firstRowLastColumn="0" w:lastRowFirstColumn="0" w:lastRowLastColumn="0"/>
                  <w:tcW w:w="4857" w:type="dxa"/>
                  <w:tcBorders>
                    <w:bottom w:val="single" w:sz="4" w:space="0" w:color="auto"/>
                  </w:tcBorders>
                  <w:vAlign w:val="center"/>
                </w:tcPr>
                <w:p w14:paraId="642D32C7" w14:textId="77777777" w:rsidR="00A6435E" w:rsidRPr="00A04528" w:rsidRDefault="00A6435E" w:rsidP="004B59D5">
                  <w:pPr>
                    <w:pStyle w:val="Figure"/>
                    <w:jc w:val="left"/>
                    <w:rPr>
                      <w:i w:val="0"/>
                      <w:iCs w:val="0"/>
                    </w:rPr>
                  </w:pPr>
                  <w:r w:rsidRPr="00A04528">
                    <w:rPr>
                      <w:i w:val="0"/>
                      <w:iCs w:val="0"/>
                    </w:rPr>
                    <w:t>Having 3 or more comorbidities</w:t>
                  </w:r>
                </w:p>
              </w:tc>
              <w:tc>
                <w:tcPr>
                  <w:tcW w:w="966" w:type="dxa"/>
                  <w:tcBorders>
                    <w:bottom w:val="single" w:sz="4" w:space="0" w:color="auto"/>
                  </w:tcBorders>
                  <w:vAlign w:val="center"/>
                </w:tcPr>
                <w:p w14:paraId="3501E006"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405</w:t>
                  </w:r>
                </w:p>
              </w:tc>
              <w:tc>
                <w:tcPr>
                  <w:tcW w:w="1108" w:type="dxa"/>
                  <w:tcBorders>
                    <w:bottom w:val="single" w:sz="4" w:space="0" w:color="auto"/>
                  </w:tcBorders>
                  <w:vAlign w:val="center"/>
                </w:tcPr>
                <w:p w14:paraId="23FC16F4"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83</w:t>
                  </w:r>
                </w:p>
              </w:tc>
              <w:tc>
                <w:tcPr>
                  <w:tcW w:w="0" w:type="auto"/>
                  <w:tcBorders>
                    <w:bottom w:val="single" w:sz="4" w:space="0" w:color="auto"/>
                  </w:tcBorders>
                  <w:vAlign w:val="center"/>
                </w:tcPr>
                <w:p w14:paraId="19096124" w14:textId="77777777" w:rsidR="00A6435E" w:rsidRPr="00A04528" w:rsidRDefault="00A6435E" w:rsidP="004B59D5">
                  <w:pPr>
                    <w:pStyle w:val="Figure"/>
                    <w:cnfStyle w:val="000000000000" w:firstRow="0" w:lastRow="0" w:firstColumn="0" w:lastColumn="0" w:oddVBand="0" w:evenVBand="0" w:oddHBand="0" w:evenHBand="0" w:firstRowFirstColumn="0" w:firstRowLastColumn="0" w:lastRowFirstColumn="0" w:lastRowLastColumn="0"/>
                  </w:pPr>
                  <w:r w:rsidRPr="00A04528">
                    <w:t>20.5</w:t>
                  </w:r>
                </w:p>
              </w:tc>
            </w:tr>
          </w:tbl>
          <w:p w14:paraId="142ADB2B" w14:textId="77777777" w:rsidR="00A6435E" w:rsidRDefault="00A6435E" w:rsidP="004B59D5"/>
        </w:tc>
      </w:tr>
    </w:tbl>
    <w:p w14:paraId="2559A5F5" w14:textId="77777777" w:rsidR="00A6435E" w:rsidRDefault="00A6435E" w:rsidP="00A6435E"/>
    <w:p w14:paraId="7B40660B" w14:textId="77777777" w:rsidR="00A6435E" w:rsidRDefault="00A6435E" w:rsidP="00A6435E">
      <w:pPr>
        <w:sectPr w:rsidR="00A6435E" w:rsidSect="002361D4">
          <w:footerReference w:type="default" r:id="rId13"/>
          <w:pgSz w:w="11906" w:h="16838"/>
          <w:pgMar w:top="1440" w:right="1440" w:bottom="1440" w:left="1440" w:header="708" w:footer="708" w:gutter="0"/>
          <w:cols w:space="708"/>
          <w:docGrid w:linePitch="360"/>
        </w:sectPr>
      </w:pPr>
    </w:p>
    <w:tbl>
      <w:tblPr>
        <w:tblStyle w:val="TableGrid"/>
        <w:tblW w:w="0" w:type="auto"/>
        <w:tblBorders>
          <w:left w:val="none" w:sz="0" w:space="0" w:color="auto"/>
          <w:right w:val="none" w:sz="0" w:space="0" w:color="auto"/>
        </w:tblBorders>
        <w:tblCellMar>
          <w:left w:w="0" w:type="dxa"/>
          <w:right w:w="0" w:type="dxa"/>
        </w:tblCellMar>
        <w:tblLook w:val="04A0" w:firstRow="1" w:lastRow="0" w:firstColumn="1" w:lastColumn="0" w:noHBand="0" w:noVBand="1"/>
      </w:tblPr>
      <w:tblGrid>
        <w:gridCol w:w="13758"/>
      </w:tblGrid>
      <w:tr w:rsidR="00A6435E" w14:paraId="0373821C" w14:textId="77777777" w:rsidTr="004B59D5">
        <w:tc>
          <w:tcPr>
            <w:tcW w:w="13758" w:type="dxa"/>
            <w:tcBorders>
              <w:top w:val="nil"/>
            </w:tcBorders>
          </w:tcPr>
          <w:p w14:paraId="70979D1E" w14:textId="77777777" w:rsidR="00A6435E" w:rsidRPr="001146D5" w:rsidRDefault="00A6435E" w:rsidP="004B59D5">
            <w:pPr>
              <w:pStyle w:val="Figure"/>
              <w:jc w:val="left"/>
              <w:rPr>
                <w:b/>
                <w:bCs/>
              </w:rPr>
            </w:pPr>
            <w:bookmarkStart w:id="8" w:name="_Hlk64888785"/>
            <w:bookmarkStart w:id="9" w:name="_Ref64892653"/>
            <w:r w:rsidRPr="00F110B4">
              <w:rPr>
                <w:b/>
                <w:bCs/>
              </w:rPr>
              <w:t xml:space="preserve">Table </w:t>
            </w:r>
            <w:r w:rsidRPr="00F110B4">
              <w:rPr>
                <w:b/>
                <w:bCs/>
              </w:rPr>
              <w:fldChar w:fldCharType="begin"/>
            </w:r>
            <w:r w:rsidRPr="00F110B4">
              <w:rPr>
                <w:b/>
                <w:bCs/>
              </w:rPr>
              <w:instrText xml:space="preserve"> SEQ Table \* ARABIC </w:instrText>
            </w:r>
            <w:r w:rsidRPr="00F110B4">
              <w:rPr>
                <w:b/>
                <w:bCs/>
              </w:rPr>
              <w:fldChar w:fldCharType="separate"/>
            </w:r>
            <w:r w:rsidRPr="00F110B4">
              <w:rPr>
                <w:b/>
                <w:bCs/>
              </w:rPr>
              <w:t>2</w:t>
            </w:r>
            <w:r w:rsidRPr="00F110B4">
              <w:rPr>
                <w:b/>
                <w:bCs/>
              </w:rPr>
              <w:fldChar w:fldCharType="end"/>
            </w:r>
            <w:bookmarkEnd w:id="8"/>
            <w:r>
              <w:t xml:space="preserve">: </w:t>
            </w:r>
            <w:bookmarkEnd w:id="9"/>
            <w:r w:rsidRPr="00817C46">
              <w:t xml:space="preserve">Characteristics of individuals by frailty category; frailty components and association with </w:t>
            </w:r>
            <w:r>
              <w:t>SP</w:t>
            </w:r>
            <w:r w:rsidRPr="00817C46">
              <w:t xml:space="preserve"> and </w:t>
            </w:r>
            <w:r>
              <w:t>OP. categories</w:t>
            </w:r>
            <w:r w:rsidRPr="00904021">
              <w:rPr>
                <w:rStyle w:val="FootnoteReference"/>
              </w:rPr>
              <w:footnoteReference w:id="3"/>
            </w:r>
            <w:r>
              <w:t>.</w:t>
            </w:r>
          </w:p>
        </w:tc>
      </w:tr>
      <w:tr w:rsidR="00A6435E" w14:paraId="0FC0D08C" w14:textId="77777777" w:rsidTr="004B59D5">
        <w:tc>
          <w:tcPr>
            <w:tcW w:w="13758" w:type="dxa"/>
          </w:tcPr>
          <w:tbl>
            <w:tblPr>
              <w:tblStyle w:val="TableGrid"/>
              <w:tblpPr w:leftFromText="180" w:rightFromText="180" w:horzAnchor="margin" w:tblpXSpec="center" w:tblpY="-1455"/>
              <w:tblOverlap w:val="never"/>
              <w:tblW w:w="5000" w:type="pct"/>
              <w:tblLook w:val="04A0" w:firstRow="1" w:lastRow="0" w:firstColumn="1" w:lastColumn="0" w:noHBand="0" w:noVBand="1"/>
            </w:tblPr>
            <w:tblGrid>
              <w:gridCol w:w="2533"/>
              <w:gridCol w:w="1130"/>
              <w:gridCol w:w="1020"/>
              <w:gridCol w:w="1265"/>
              <w:gridCol w:w="1056"/>
              <w:gridCol w:w="1020"/>
              <w:gridCol w:w="1262"/>
              <w:gridCol w:w="1108"/>
              <w:gridCol w:w="1020"/>
              <w:gridCol w:w="1262"/>
              <w:gridCol w:w="1072"/>
            </w:tblGrid>
            <w:tr w:rsidR="00A6435E" w14:paraId="6B5987F5" w14:textId="77777777" w:rsidTr="004B59D5">
              <w:trPr>
                <w:trHeight w:val="338"/>
              </w:trPr>
              <w:tc>
                <w:tcPr>
                  <w:tcW w:w="921" w:type="pct"/>
                  <w:vMerge w:val="restart"/>
                  <w:vAlign w:val="center"/>
                </w:tcPr>
                <w:p w14:paraId="0153298B" w14:textId="77777777" w:rsidR="00A6435E" w:rsidRDefault="00A6435E" w:rsidP="004B59D5">
                  <w:pPr>
                    <w:pStyle w:val="Figure"/>
                    <w:jc w:val="left"/>
                  </w:pPr>
                </w:p>
              </w:tc>
              <w:tc>
                <w:tcPr>
                  <w:tcW w:w="1242" w:type="pct"/>
                  <w:gridSpan w:val="3"/>
                  <w:vAlign w:val="center"/>
                </w:tcPr>
                <w:p w14:paraId="6E6D63E7" w14:textId="77777777" w:rsidR="00A6435E" w:rsidRPr="001146D5" w:rsidRDefault="00A6435E" w:rsidP="004B59D5">
                  <w:pPr>
                    <w:pStyle w:val="Figure"/>
                    <w:rPr>
                      <w:b/>
                      <w:bCs/>
                    </w:rPr>
                  </w:pPr>
                  <w:r w:rsidRPr="001146D5">
                    <w:rPr>
                      <w:b/>
                      <w:bCs/>
                    </w:rPr>
                    <w:t>Non-frail</w:t>
                  </w:r>
                </w:p>
              </w:tc>
              <w:tc>
                <w:tcPr>
                  <w:tcW w:w="1214" w:type="pct"/>
                  <w:gridSpan w:val="3"/>
                  <w:vAlign w:val="center"/>
                </w:tcPr>
                <w:p w14:paraId="759E8DC7" w14:textId="77777777" w:rsidR="00A6435E" w:rsidRPr="001146D5" w:rsidRDefault="00A6435E" w:rsidP="004B59D5">
                  <w:pPr>
                    <w:pStyle w:val="Figure"/>
                    <w:rPr>
                      <w:b/>
                      <w:bCs/>
                    </w:rPr>
                  </w:pPr>
                  <w:r w:rsidRPr="001146D5">
                    <w:rPr>
                      <w:b/>
                      <w:bCs/>
                    </w:rPr>
                    <w:t>Pre-frail</w:t>
                  </w:r>
                </w:p>
              </w:tc>
              <w:tc>
                <w:tcPr>
                  <w:tcW w:w="1623" w:type="pct"/>
                  <w:gridSpan w:val="4"/>
                  <w:vAlign w:val="center"/>
                </w:tcPr>
                <w:p w14:paraId="5EB1F038" w14:textId="77777777" w:rsidR="00A6435E" w:rsidRPr="001146D5" w:rsidRDefault="00A6435E" w:rsidP="004B59D5">
                  <w:pPr>
                    <w:pStyle w:val="Figure"/>
                    <w:rPr>
                      <w:b/>
                      <w:bCs/>
                    </w:rPr>
                  </w:pPr>
                  <w:r w:rsidRPr="001146D5">
                    <w:rPr>
                      <w:b/>
                      <w:bCs/>
                    </w:rPr>
                    <w:t>Frail</w:t>
                  </w:r>
                </w:p>
              </w:tc>
            </w:tr>
            <w:tr w:rsidR="00A6435E" w14:paraId="2BE84647" w14:textId="77777777" w:rsidTr="004B59D5">
              <w:trPr>
                <w:trHeight w:val="325"/>
              </w:trPr>
              <w:tc>
                <w:tcPr>
                  <w:tcW w:w="921" w:type="pct"/>
                  <w:vMerge/>
                  <w:vAlign w:val="center"/>
                </w:tcPr>
                <w:p w14:paraId="64C1A642" w14:textId="77777777" w:rsidR="00A6435E" w:rsidRDefault="00A6435E" w:rsidP="004B59D5">
                  <w:pPr>
                    <w:pStyle w:val="Figure"/>
                    <w:jc w:val="left"/>
                  </w:pPr>
                </w:p>
              </w:tc>
              <w:tc>
                <w:tcPr>
                  <w:tcW w:w="411" w:type="pct"/>
                  <w:vAlign w:val="center"/>
                </w:tcPr>
                <w:p w14:paraId="74140D50" w14:textId="77777777" w:rsidR="00A6435E" w:rsidRPr="001146D5" w:rsidRDefault="00A6435E" w:rsidP="004B59D5">
                  <w:pPr>
                    <w:pStyle w:val="Figure"/>
                    <w:rPr>
                      <w:b/>
                      <w:bCs/>
                    </w:rPr>
                  </w:pPr>
                  <w:r w:rsidRPr="001146D5">
                    <w:rPr>
                      <w:b/>
                      <w:bCs/>
                    </w:rPr>
                    <w:t>N</w:t>
                  </w:r>
                </w:p>
              </w:tc>
              <w:tc>
                <w:tcPr>
                  <w:tcW w:w="371" w:type="pct"/>
                  <w:vAlign w:val="center"/>
                </w:tcPr>
                <w:p w14:paraId="404FA003" w14:textId="77777777" w:rsidR="00A6435E" w:rsidRPr="001146D5" w:rsidRDefault="00A6435E" w:rsidP="004B59D5">
                  <w:pPr>
                    <w:pStyle w:val="Figure"/>
                    <w:rPr>
                      <w:b/>
                      <w:bCs/>
                    </w:rPr>
                  </w:pPr>
                  <w:r w:rsidRPr="001146D5">
                    <w:rPr>
                      <w:b/>
                      <w:bCs/>
                    </w:rPr>
                    <w:t>Median</w:t>
                  </w:r>
                </w:p>
              </w:tc>
              <w:tc>
                <w:tcPr>
                  <w:tcW w:w="460" w:type="pct"/>
                  <w:vAlign w:val="center"/>
                </w:tcPr>
                <w:p w14:paraId="49BA66EF" w14:textId="77777777" w:rsidR="00A6435E" w:rsidRPr="001146D5" w:rsidRDefault="00A6435E" w:rsidP="004B59D5">
                  <w:pPr>
                    <w:pStyle w:val="Figure"/>
                    <w:rPr>
                      <w:b/>
                      <w:bCs/>
                    </w:rPr>
                  </w:pPr>
                  <w:r w:rsidRPr="001146D5">
                    <w:rPr>
                      <w:b/>
                      <w:bCs/>
                    </w:rPr>
                    <w:t>IQR</w:t>
                  </w:r>
                </w:p>
              </w:tc>
              <w:tc>
                <w:tcPr>
                  <w:tcW w:w="384" w:type="pct"/>
                  <w:vAlign w:val="center"/>
                </w:tcPr>
                <w:p w14:paraId="0F0BC27B" w14:textId="77777777" w:rsidR="00A6435E" w:rsidRPr="001146D5" w:rsidRDefault="00A6435E" w:rsidP="004B59D5">
                  <w:pPr>
                    <w:pStyle w:val="Figure"/>
                    <w:rPr>
                      <w:b/>
                      <w:bCs/>
                    </w:rPr>
                  </w:pPr>
                  <w:r w:rsidRPr="001146D5">
                    <w:rPr>
                      <w:b/>
                      <w:bCs/>
                    </w:rPr>
                    <w:t>N</w:t>
                  </w:r>
                </w:p>
              </w:tc>
              <w:tc>
                <w:tcPr>
                  <w:tcW w:w="371" w:type="pct"/>
                  <w:vAlign w:val="center"/>
                </w:tcPr>
                <w:p w14:paraId="5130B27D" w14:textId="77777777" w:rsidR="00A6435E" w:rsidRPr="001146D5" w:rsidRDefault="00A6435E" w:rsidP="004B59D5">
                  <w:pPr>
                    <w:pStyle w:val="Figure"/>
                    <w:rPr>
                      <w:b/>
                      <w:bCs/>
                    </w:rPr>
                  </w:pPr>
                  <w:r w:rsidRPr="001146D5">
                    <w:rPr>
                      <w:b/>
                      <w:bCs/>
                    </w:rPr>
                    <w:t>Median</w:t>
                  </w:r>
                </w:p>
              </w:tc>
              <w:tc>
                <w:tcPr>
                  <w:tcW w:w="459" w:type="pct"/>
                  <w:vAlign w:val="center"/>
                </w:tcPr>
                <w:p w14:paraId="543C3C07" w14:textId="77777777" w:rsidR="00A6435E" w:rsidRPr="001146D5" w:rsidRDefault="00A6435E" w:rsidP="004B59D5">
                  <w:pPr>
                    <w:pStyle w:val="Figure"/>
                    <w:rPr>
                      <w:b/>
                      <w:bCs/>
                    </w:rPr>
                  </w:pPr>
                  <w:r w:rsidRPr="001146D5">
                    <w:rPr>
                      <w:b/>
                      <w:bCs/>
                    </w:rPr>
                    <w:t>IQR</w:t>
                  </w:r>
                </w:p>
              </w:tc>
              <w:tc>
                <w:tcPr>
                  <w:tcW w:w="403" w:type="pct"/>
                  <w:vAlign w:val="center"/>
                </w:tcPr>
                <w:p w14:paraId="25D7B17C" w14:textId="77777777" w:rsidR="00A6435E" w:rsidRPr="001146D5" w:rsidRDefault="00A6435E" w:rsidP="004B59D5">
                  <w:pPr>
                    <w:pStyle w:val="Figure"/>
                    <w:rPr>
                      <w:b/>
                      <w:bCs/>
                    </w:rPr>
                  </w:pPr>
                  <w:r w:rsidRPr="001146D5">
                    <w:rPr>
                      <w:b/>
                      <w:bCs/>
                    </w:rPr>
                    <w:t>N</w:t>
                  </w:r>
                </w:p>
              </w:tc>
              <w:tc>
                <w:tcPr>
                  <w:tcW w:w="371" w:type="pct"/>
                  <w:vAlign w:val="center"/>
                </w:tcPr>
                <w:p w14:paraId="5EC0ACD3" w14:textId="77777777" w:rsidR="00A6435E" w:rsidRPr="001146D5" w:rsidRDefault="00A6435E" w:rsidP="004B59D5">
                  <w:pPr>
                    <w:pStyle w:val="Figure"/>
                    <w:rPr>
                      <w:b/>
                      <w:bCs/>
                    </w:rPr>
                  </w:pPr>
                  <w:r w:rsidRPr="001146D5">
                    <w:rPr>
                      <w:b/>
                      <w:bCs/>
                    </w:rPr>
                    <w:t>Median</w:t>
                  </w:r>
                </w:p>
              </w:tc>
              <w:tc>
                <w:tcPr>
                  <w:tcW w:w="459" w:type="pct"/>
                  <w:vAlign w:val="center"/>
                </w:tcPr>
                <w:p w14:paraId="20B2FF22" w14:textId="77777777" w:rsidR="00A6435E" w:rsidRPr="001146D5" w:rsidRDefault="00A6435E" w:rsidP="004B59D5">
                  <w:pPr>
                    <w:pStyle w:val="Figure"/>
                    <w:rPr>
                      <w:b/>
                      <w:bCs/>
                    </w:rPr>
                  </w:pPr>
                  <w:r w:rsidRPr="001146D5">
                    <w:rPr>
                      <w:b/>
                      <w:bCs/>
                    </w:rPr>
                    <w:t>IQR</w:t>
                  </w:r>
                </w:p>
              </w:tc>
              <w:tc>
                <w:tcPr>
                  <w:tcW w:w="390" w:type="pct"/>
                  <w:vAlign w:val="center"/>
                </w:tcPr>
                <w:p w14:paraId="0DF28516" w14:textId="77777777" w:rsidR="00A6435E" w:rsidRPr="001146D5" w:rsidRDefault="00A6435E" w:rsidP="004B59D5">
                  <w:pPr>
                    <w:pStyle w:val="Figure"/>
                    <w:rPr>
                      <w:b/>
                      <w:bCs/>
                    </w:rPr>
                  </w:pPr>
                  <w:r w:rsidRPr="001146D5">
                    <w:rPr>
                      <w:b/>
                      <w:bCs/>
                    </w:rPr>
                    <w:t>p-value</w:t>
                  </w:r>
                  <w:r w:rsidRPr="001146D5">
                    <w:rPr>
                      <w:b/>
                      <w:bCs/>
                      <w:vertAlign w:val="superscript"/>
                    </w:rPr>
                    <w:t>1</w:t>
                  </w:r>
                </w:p>
              </w:tc>
            </w:tr>
            <w:tr w:rsidR="00A6435E" w14:paraId="5030B0B7" w14:textId="77777777" w:rsidTr="004B59D5">
              <w:trPr>
                <w:trHeight w:val="338"/>
              </w:trPr>
              <w:tc>
                <w:tcPr>
                  <w:tcW w:w="921" w:type="pct"/>
                  <w:vAlign w:val="center"/>
                </w:tcPr>
                <w:p w14:paraId="08DCEEDC" w14:textId="77777777" w:rsidR="00A6435E" w:rsidRDefault="00A6435E" w:rsidP="004B59D5">
                  <w:pPr>
                    <w:pStyle w:val="Figure"/>
                    <w:jc w:val="left"/>
                  </w:pPr>
                  <w:r>
                    <w:t>Age (years)</w:t>
                  </w:r>
                </w:p>
              </w:tc>
              <w:tc>
                <w:tcPr>
                  <w:tcW w:w="411" w:type="pct"/>
                  <w:vAlign w:val="center"/>
                </w:tcPr>
                <w:p w14:paraId="1EC411F7" w14:textId="77777777" w:rsidR="00A6435E" w:rsidRDefault="00A6435E" w:rsidP="004B59D5">
                  <w:pPr>
                    <w:pStyle w:val="Figure"/>
                  </w:pPr>
                  <w:r>
                    <w:t>139</w:t>
                  </w:r>
                </w:p>
              </w:tc>
              <w:tc>
                <w:tcPr>
                  <w:tcW w:w="371" w:type="pct"/>
                  <w:vAlign w:val="center"/>
                </w:tcPr>
                <w:p w14:paraId="62F1F25E" w14:textId="77777777" w:rsidR="00A6435E" w:rsidRDefault="00A6435E" w:rsidP="004B59D5">
                  <w:pPr>
                    <w:pStyle w:val="Figure"/>
                  </w:pPr>
                  <w:r>
                    <w:t>74.7</w:t>
                  </w:r>
                </w:p>
              </w:tc>
              <w:tc>
                <w:tcPr>
                  <w:tcW w:w="460" w:type="pct"/>
                  <w:vAlign w:val="center"/>
                </w:tcPr>
                <w:p w14:paraId="76EBDE7B" w14:textId="77777777" w:rsidR="00A6435E" w:rsidRDefault="00A6435E" w:rsidP="004B59D5">
                  <w:pPr>
                    <w:pStyle w:val="Figure"/>
                  </w:pPr>
                  <w:r>
                    <w:t>73.1 - 76.8</w:t>
                  </w:r>
                </w:p>
              </w:tc>
              <w:tc>
                <w:tcPr>
                  <w:tcW w:w="384" w:type="pct"/>
                  <w:vAlign w:val="center"/>
                </w:tcPr>
                <w:p w14:paraId="51C308D2" w14:textId="77777777" w:rsidR="00A6435E" w:rsidRDefault="00A6435E" w:rsidP="004B59D5">
                  <w:pPr>
                    <w:pStyle w:val="Figure"/>
                  </w:pPr>
                  <w:r>
                    <w:t>233</w:t>
                  </w:r>
                </w:p>
              </w:tc>
              <w:tc>
                <w:tcPr>
                  <w:tcW w:w="371" w:type="pct"/>
                  <w:vAlign w:val="center"/>
                </w:tcPr>
                <w:p w14:paraId="42364F1C" w14:textId="77777777" w:rsidR="00A6435E" w:rsidRDefault="00A6435E" w:rsidP="004B59D5">
                  <w:pPr>
                    <w:pStyle w:val="Figure"/>
                  </w:pPr>
                  <w:r>
                    <w:t>75.7</w:t>
                  </w:r>
                </w:p>
              </w:tc>
              <w:tc>
                <w:tcPr>
                  <w:tcW w:w="459" w:type="pct"/>
                  <w:vAlign w:val="center"/>
                </w:tcPr>
                <w:p w14:paraId="3885B173" w14:textId="77777777" w:rsidR="00A6435E" w:rsidRDefault="00A6435E" w:rsidP="004B59D5">
                  <w:pPr>
                    <w:pStyle w:val="Figure"/>
                  </w:pPr>
                  <w:r>
                    <w:t>73.7 - 78.5</w:t>
                  </w:r>
                </w:p>
              </w:tc>
              <w:tc>
                <w:tcPr>
                  <w:tcW w:w="403" w:type="pct"/>
                  <w:vAlign w:val="center"/>
                </w:tcPr>
                <w:p w14:paraId="7BF55F2B" w14:textId="77777777" w:rsidR="00A6435E" w:rsidRDefault="00A6435E" w:rsidP="004B59D5">
                  <w:pPr>
                    <w:pStyle w:val="Figure"/>
                  </w:pPr>
                  <w:r>
                    <w:t>33</w:t>
                  </w:r>
                </w:p>
              </w:tc>
              <w:tc>
                <w:tcPr>
                  <w:tcW w:w="371" w:type="pct"/>
                  <w:vAlign w:val="center"/>
                </w:tcPr>
                <w:p w14:paraId="0F50DF06" w14:textId="77777777" w:rsidR="00A6435E" w:rsidRDefault="00A6435E" w:rsidP="004B59D5">
                  <w:pPr>
                    <w:pStyle w:val="Figure"/>
                  </w:pPr>
                  <w:r>
                    <w:t>77.0</w:t>
                  </w:r>
                </w:p>
              </w:tc>
              <w:tc>
                <w:tcPr>
                  <w:tcW w:w="459" w:type="pct"/>
                  <w:vAlign w:val="center"/>
                </w:tcPr>
                <w:p w14:paraId="2C8899F6" w14:textId="77777777" w:rsidR="00A6435E" w:rsidRDefault="00A6435E" w:rsidP="004B59D5">
                  <w:pPr>
                    <w:pStyle w:val="Figure"/>
                  </w:pPr>
                  <w:r>
                    <w:t>74.7 - 78.9</w:t>
                  </w:r>
                </w:p>
              </w:tc>
              <w:tc>
                <w:tcPr>
                  <w:tcW w:w="390" w:type="pct"/>
                  <w:vAlign w:val="center"/>
                </w:tcPr>
                <w:p w14:paraId="0F872F5D" w14:textId="77777777" w:rsidR="00A6435E" w:rsidRPr="001146D5" w:rsidRDefault="00A6435E" w:rsidP="004B59D5">
                  <w:pPr>
                    <w:pStyle w:val="Figure"/>
                    <w:rPr>
                      <w:b/>
                      <w:bCs/>
                    </w:rPr>
                  </w:pPr>
                  <w:r w:rsidRPr="001146D5">
                    <w:rPr>
                      <w:b/>
                      <w:bCs/>
                      <w:color w:val="FF0000"/>
                    </w:rPr>
                    <w:t>0.002*</w:t>
                  </w:r>
                </w:p>
              </w:tc>
            </w:tr>
            <w:tr w:rsidR="00A6435E" w14:paraId="5F23A8FD" w14:textId="77777777" w:rsidTr="004B59D5">
              <w:trPr>
                <w:trHeight w:val="325"/>
              </w:trPr>
              <w:tc>
                <w:tcPr>
                  <w:tcW w:w="921" w:type="pct"/>
                  <w:vAlign w:val="center"/>
                </w:tcPr>
                <w:p w14:paraId="76F84394" w14:textId="77777777" w:rsidR="00A6435E" w:rsidRDefault="00A6435E" w:rsidP="004B59D5">
                  <w:pPr>
                    <w:pStyle w:val="Figure"/>
                    <w:jc w:val="left"/>
                  </w:pPr>
                  <w:r>
                    <w:t>Weight (kg)</w:t>
                  </w:r>
                </w:p>
              </w:tc>
              <w:tc>
                <w:tcPr>
                  <w:tcW w:w="411" w:type="pct"/>
                  <w:vAlign w:val="center"/>
                </w:tcPr>
                <w:p w14:paraId="2D458292" w14:textId="77777777" w:rsidR="00A6435E" w:rsidRDefault="00A6435E" w:rsidP="004B59D5">
                  <w:pPr>
                    <w:pStyle w:val="Figure"/>
                  </w:pPr>
                  <w:r>
                    <w:t>139</w:t>
                  </w:r>
                </w:p>
              </w:tc>
              <w:tc>
                <w:tcPr>
                  <w:tcW w:w="371" w:type="pct"/>
                  <w:vAlign w:val="center"/>
                </w:tcPr>
                <w:p w14:paraId="5EAEF3FA" w14:textId="77777777" w:rsidR="00A6435E" w:rsidRDefault="00A6435E" w:rsidP="004B59D5">
                  <w:pPr>
                    <w:pStyle w:val="Figure"/>
                  </w:pPr>
                  <w:r>
                    <w:t>74.3</w:t>
                  </w:r>
                </w:p>
              </w:tc>
              <w:tc>
                <w:tcPr>
                  <w:tcW w:w="460" w:type="pct"/>
                  <w:vAlign w:val="center"/>
                </w:tcPr>
                <w:p w14:paraId="78D2AEF5" w14:textId="77777777" w:rsidR="00A6435E" w:rsidRDefault="00A6435E" w:rsidP="004B59D5">
                  <w:pPr>
                    <w:pStyle w:val="Figure"/>
                  </w:pPr>
                  <w:r>
                    <w:t>68.2 - 81.9</w:t>
                  </w:r>
                </w:p>
              </w:tc>
              <w:tc>
                <w:tcPr>
                  <w:tcW w:w="384" w:type="pct"/>
                  <w:vAlign w:val="center"/>
                </w:tcPr>
                <w:p w14:paraId="458EF7D9" w14:textId="77777777" w:rsidR="00A6435E" w:rsidRDefault="00A6435E" w:rsidP="004B59D5">
                  <w:pPr>
                    <w:pStyle w:val="Figure"/>
                  </w:pPr>
                  <w:r>
                    <w:t>233</w:t>
                  </w:r>
                </w:p>
              </w:tc>
              <w:tc>
                <w:tcPr>
                  <w:tcW w:w="371" w:type="pct"/>
                  <w:vAlign w:val="center"/>
                </w:tcPr>
                <w:p w14:paraId="18C709A4" w14:textId="77777777" w:rsidR="00A6435E" w:rsidRDefault="00A6435E" w:rsidP="004B59D5">
                  <w:pPr>
                    <w:pStyle w:val="Figure"/>
                  </w:pPr>
                  <w:r>
                    <w:t>76.6</w:t>
                  </w:r>
                </w:p>
              </w:tc>
              <w:tc>
                <w:tcPr>
                  <w:tcW w:w="459" w:type="pct"/>
                  <w:vAlign w:val="center"/>
                </w:tcPr>
                <w:p w14:paraId="26C988D5" w14:textId="77777777" w:rsidR="00A6435E" w:rsidRDefault="00A6435E" w:rsidP="004B59D5">
                  <w:pPr>
                    <w:pStyle w:val="Figure"/>
                  </w:pPr>
                  <w:r>
                    <w:t>68.2 - 88.0</w:t>
                  </w:r>
                </w:p>
              </w:tc>
              <w:tc>
                <w:tcPr>
                  <w:tcW w:w="403" w:type="pct"/>
                  <w:vAlign w:val="center"/>
                </w:tcPr>
                <w:p w14:paraId="1C932C52" w14:textId="77777777" w:rsidR="00A6435E" w:rsidRDefault="00A6435E" w:rsidP="004B59D5">
                  <w:pPr>
                    <w:pStyle w:val="Figure"/>
                  </w:pPr>
                  <w:r>
                    <w:t>33</w:t>
                  </w:r>
                </w:p>
              </w:tc>
              <w:tc>
                <w:tcPr>
                  <w:tcW w:w="371" w:type="pct"/>
                  <w:vAlign w:val="center"/>
                </w:tcPr>
                <w:p w14:paraId="55181091" w14:textId="77777777" w:rsidR="00A6435E" w:rsidRDefault="00A6435E" w:rsidP="004B59D5">
                  <w:pPr>
                    <w:pStyle w:val="Figure"/>
                  </w:pPr>
                  <w:r>
                    <w:t>78.5</w:t>
                  </w:r>
                </w:p>
              </w:tc>
              <w:tc>
                <w:tcPr>
                  <w:tcW w:w="459" w:type="pct"/>
                  <w:vAlign w:val="center"/>
                </w:tcPr>
                <w:p w14:paraId="17406F28" w14:textId="77777777" w:rsidR="00A6435E" w:rsidRDefault="00A6435E" w:rsidP="004B59D5">
                  <w:pPr>
                    <w:pStyle w:val="Figure"/>
                  </w:pPr>
                  <w:r>
                    <w:t>70.6 - 88.7</w:t>
                  </w:r>
                </w:p>
              </w:tc>
              <w:tc>
                <w:tcPr>
                  <w:tcW w:w="390" w:type="pct"/>
                  <w:vAlign w:val="center"/>
                </w:tcPr>
                <w:p w14:paraId="1DF51B43" w14:textId="77777777" w:rsidR="00A6435E" w:rsidRDefault="00A6435E" w:rsidP="004B59D5">
                  <w:pPr>
                    <w:pStyle w:val="Figure"/>
                  </w:pPr>
                  <w:r>
                    <w:t>0.143</w:t>
                  </w:r>
                </w:p>
              </w:tc>
            </w:tr>
            <w:tr w:rsidR="00A6435E" w14:paraId="38D17B60" w14:textId="77777777" w:rsidTr="004B59D5">
              <w:trPr>
                <w:trHeight w:val="338"/>
              </w:trPr>
              <w:tc>
                <w:tcPr>
                  <w:tcW w:w="921" w:type="pct"/>
                  <w:vAlign w:val="center"/>
                </w:tcPr>
                <w:p w14:paraId="7616CEF8" w14:textId="77777777" w:rsidR="00A6435E" w:rsidRDefault="00A6435E" w:rsidP="004B59D5">
                  <w:pPr>
                    <w:pStyle w:val="Figure"/>
                    <w:jc w:val="left"/>
                  </w:pPr>
                  <w:r>
                    <w:t>BMI (kg/m</w:t>
                  </w:r>
                  <w:r>
                    <w:rPr>
                      <w:vertAlign w:val="superscript"/>
                    </w:rPr>
                    <w:t>2</w:t>
                  </w:r>
                  <w:r>
                    <w:t>)</w:t>
                  </w:r>
                </w:p>
              </w:tc>
              <w:tc>
                <w:tcPr>
                  <w:tcW w:w="411" w:type="pct"/>
                  <w:vAlign w:val="center"/>
                </w:tcPr>
                <w:p w14:paraId="640EF0DC" w14:textId="77777777" w:rsidR="00A6435E" w:rsidRDefault="00A6435E" w:rsidP="004B59D5">
                  <w:pPr>
                    <w:pStyle w:val="Figure"/>
                  </w:pPr>
                  <w:r>
                    <w:t>139</w:t>
                  </w:r>
                </w:p>
              </w:tc>
              <w:tc>
                <w:tcPr>
                  <w:tcW w:w="371" w:type="pct"/>
                  <w:vAlign w:val="center"/>
                </w:tcPr>
                <w:p w14:paraId="2C3B1000" w14:textId="77777777" w:rsidR="00A6435E" w:rsidRDefault="00A6435E" w:rsidP="004B59D5">
                  <w:pPr>
                    <w:pStyle w:val="Figure"/>
                  </w:pPr>
                  <w:r>
                    <w:t>26.5</w:t>
                  </w:r>
                </w:p>
              </w:tc>
              <w:tc>
                <w:tcPr>
                  <w:tcW w:w="460" w:type="pct"/>
                  <w:vAlign w:val="center"/>
                </w:tcPr>
                <w:p w14:paraId="70E18EF0" w14:textId="77777777" w:rsidR="00A6435E" w:rsidRDefault="00A6435E" w:rsidP="004B59D5">
                  <w:pPr>
                    <w:pStyle w:val="Figure"/>
                  </w:pPr>
                  <w:r>
                    <w:t>24.4 - 29.2</w:t>
                  </w:r>
                </w:p>
              </w:tc>
              <w:tc>
                <w:tcPr>
                  <w:tcW w:w="384" w:type="pct"/>
                  <w:vAlign w:val="center"/>
                </w:tcPr>
                <w:p w14:paraId="18357D35" w14:textId="77777777" w:rsidR="00A6435E" w:rsidRDefault="00A6435E" w:rsidP="004B59D5">
                  <w:pPr>
                    <w:pStyle w:val="Figure"/>
                  </w:pPr>
                  <w:r>
                    <w:t>230</w:t>
                  </w:r>
                </w:p>
              </w:tc>
              <w:tc>
                <w:tcPr>
                  <w:tcW w:w="371" w:type="pct"/>
                  <w:vAlign w:val="center"/>
                </w:tcPr>
                <w:p w14:paraId="57112302" w14:textId="77777777" w:rsidR="00A6435E" w:rsidRDefault="00A6435E" w:rsidP="004B59D5">
                  <w:pPr>
                    <w:pStyle w:val="Figure"/>
                  </w:pPr>
                  <w:r>
                    <w:t>28.4</w:t>
                  </w:r>
                </w:p>
              </w:tc>
              <w:tc>
                <w:tcPr>
                  <w:tcW w:w="459" w:type="pct"/>
                  <w:vAlign w:val="center"/>
                </w:tcPr>
                <w:p w14:paraId="4778EBE0" w14:textId="77777777" w:rsidR="00A6435E" w:rsidRDefault="00A6435E" w:rsidP="004B59D5">
                  <w:pPr>
                    <w:pStyle w:val="Figure"/>
                  </w:pPr>
                  <w:r>
                    <w:t>25.6 - 31.2</w:t>
                  </w:r>
                </w:p>
              </w:tc>
              <w:tc>
                <w:tcPr>
                  <w:tcW w:w="403" w:type="pct"/>
                  <w:vAlign w:val="center"/>
                </w:tcPr>
                <w:p w14:paraId="04FDDCA6" w14:textId="77777777" w:rsidR="00A6435E" w:rsidRDefault="00A6435E" w:rsidP="004B59D5">
                  <w:pPr>
                    <w:pStyle w:val="Figure"/>
                  </w:pPr>
                  <w:r>
                    <w:t>33</w:t>
                  </w:r>
                </w:p>
              </w:tc>
              <w:tc>
                <w:tcPr>
                  <w:tcW w:w="371" w:type="pct"/>
                  <w:vAlign w:val="center"/>
                </w:tcPr>
                <w:p w14:paraId="1A0691D7" w14:textId="77777777" w:rsidR="00A6435E" w:rsidRDefault="00A6435E" w:rsidP="004B59D5">
                  <w:pPr>
                    <w:pStyle w:val="Figure"/>
                  </w:pPr>
                  <w:r>
                    <w:t>29.4</w:t>
                  </w:r>
                </w:p>
              </w:tc>
              <w:tc>
                <w:tcPr>
                  <w:tcW w:w="459" w:type="pct"/>
                  <w:vAlign w:val="center"/>
                </w:tcPr>
                <w:p w14:paraId="0915AE2A" w14:textId="77777777" w:rsidR="00A6435E" w:rsidRDefault="00A6435E" w:rsidP="004B59D5">
                  <w:pPr>
                    <w:pStyle w:val="Figure"/>
                  </w:pPr>
                  <w:r>
                    <w:t>25.4 - 32.8</w:t>
                  </w:r>
                </w:p>
              </w:tc>
              <w:tc>
                <w:tcPr>
                  <w:tcW w:w="390" w:type="pct"/>
                  <w:vAlign w:val="center"/>
                </w:tcPr>
                <w:p w14:paraId="1FC7388F" w14:textId="77777777" w:rsidR="00A6435E" w:rsidRPr="001146D5" w:rsidRDefault="00A6435E" w:rsidP="004B59D5">
                  <w:pPr>
                    <w:pStyle w:val="Figure"/>
                    <w:rPr>
                      <w:b/>
                      <w:bCs/>
                    </w:rPr>
                  </w:pPr>
                  <w:r w:rsidRPr="001146D5">
                    <w:rPr>
                      <w:b/>
                      <w:bCs/>
                      <w:color w:val="FF0000"/>
                    </w:rPr>
                    <w:t>&lt;0.001*</w:t>
                  </w:r>
                </w:p>
              </w:tc>
            </w:tr>
            <w:tr w:rsidR="00A6435E" w14:paraId="4DBADF71" w14:textId="77777777" w:rsidTr="004B59D5">
              <w:trPr>
                <w:trHeight w:val="325"/>
              </w:trPr>
              <w:tc>
                <w:tcPr>
                  <w:tcW w:w="921" w:type="pct"/>
                  <w:vAlign w:val="center"/>
                </w:tcPr>
                <w:p w14:paraId="5776D8E8" w14:textId="77777777" w:rsidR="00A6435E" w:rsidRDefault="00A6435E" w:rsidP="004B59D5">
                  <w:pPr>
                    <w:pStyle w:val="Figure"/>
                    <w:jc w:val="left"/>
                  </w:pPr>
                  <w:r>
                    <w:t>Alcohol consumption (units per week)</w:t>
                  </w:r>
                </w:p>
              </w:tc>
              <w:tc>
                <w:tcPr>
                  <w:tcW w:w="411" w:type="pct"/>
                  <w:vAlign w:val="center"/>
                </w:tcPr>
                <w:p w14:paraId="056C1D9E" w14:textId="77777777" w:rsidR="00A6435E" w:rsidRDefault="00A6435E" w:rsidP="004B59D5">
                  <w:pPr>
                    <w:pStyle w:val="Figure"/>
                  </w:pPr>
                  <w:r>
                    <w:t>139</w:t>
                  </w:r>
                </w:p>
              </w:tc>
              <w:tc>
                <w:tcPr>
                  <w:tcW w:w="371" w:type="pct"/>
                  <w:vAlign w:val="center"/>
                </w:tcPr>
                <w:p w14:paraId="1FB8E801" w14:textId="77777777" w:rsidR="00A6435E" w:rsidRDefault="00A6435E" w:rsidP="004B59D5">
                  <w:pPr>
                    <w:pStyle w:val="Figure"/>
                  </w:pPr>
                  <w:r>
                    <w:t>3.3</w:t>
                  </w:r>
                </w:p>
              </w:tc>
              <w:tc>
                <w:tcPr>
                  <w:tcW w:w="460" w:type="pct"/>
                  <w:vAlign w:val="center"/>
                </w:tcPr>
                <w:p w14:paraId="13A92B48" w14:textId="77777777" w:rsidR="00A6435E" w:rsidRDefault="00A6435E" w:rsidP="004B59D5">
                  <w:pPr>
                    <w:pStyle w:val="Figure"/>
                  </w:pPr>
                  <w:r>
                    <w:t>0.3 - 10.0</w:t>
                  </w:r>
                </w:p>
              </w:tc>
              <w:tc>
                <w:tcPr>
                  <w:tcW w:w="384" w:type="pct"/>
                  <w:vAlign w:val="center"/>
                </w:tcPr>
                <w:p w14:paraId="5BEE367B" w14:textId="77777777" w:rsidR="00A6435E" w:rsidRDefault="00A6435E" w:rsidP="004B59D5">
                  <w:pPr>
                    <w:pStyle w:val="Figure"/>
                  </w:pPr>
                  <w:r>
                    <w:t>233</w:t>
                  </w:r>
                </w:p>
              </w:tc>
              <w:tc>
                <w:tcPr>
                  <w:tcW w:w="371" w:type="pct"/>
                  <w:vAlign w:val="center"/>
                </w:tcPr>
                <w:p w14:paraId="5CACF7E8" w14:textId="77777777" w:rsidR="00A6435E" w:rsidRDefault="00A6435E" w:rsidP="004B59D5">
                  <w:pPr>
                    <w:pStyle w:val="Figure"/>
                  </w:pPr>
                  <w:r>
                    <w:t>2.0</w:t>
                  </w:r>
                </w:p>
              </w:tc>
              <w:tc>
                <w:tcPr>
                  <w:tcW w:w="459" w:type="pct"/>
                  <w:vAlign w:val="center"/>
                </w:tcPr>
                <w:p w14:paraId="72AF5658" w14:textId="77777777" w:rsidR="00A6435E" w:rsidRDefault="00A6435E" w:rsidP="004B59D5">
                  <w:pPr>
                    <w:pStyle w:val="Figure"/>
                  </w:pPr>
                  <w:r>
                    <w:t>0.1 - 7.5</w:t>
                  </w:r>
                </w:p>
              </w:tc>
              <w:tc>
                <w:tcPr>
                  <w:tcW w:w="403" w:type="pct"/>
                  <w:vAlign w:val="center"/>
                </w:tcPr>
                <w:p w14:paraId="4B9070B8" w14:textId="77777777" w:rsidR="00A6435E" w:rsidRDefault="00A6435E" w:rsidP="004B59D5">
                  <w:pPr>
                    <w:pStyle w:val="Figure"/>
                  </w:pPr>
                  <w:r>
                    <w:t>33</w:t>
                  </w:r>
                </w:p>
              </w:tc>
              <w:tc>
                <w:tcPr>
                  <w:tcW w:w="371" w:type="pct"/>
                  <w:vAlign w:val="center"/>
                </w:tcPr>
                <w:p w14:paraId="7F411B55" w14:textId="77777777" w:rsidR="00A6435E" w:rsidRDefault="00A6435E" w:rsidP="004B59D5">
                  <w:pPr>
                    <w:pStyle w:val="Figure"/>
                  </w:pPr>
                  <w:r>
                    <w:t>0.5</w:t>
                  </w:r>
                </w:p>
              </w:tc>
              <w:tc>
                <w:tcPr>
                  <w:tcW w:w="459" w:type="pct"/>
                  <w:vAlign w:val="center"/>
                </w:tcPr>
                <w:p w14:paraId="7FC27992" w14:textId="77777777" w:rsidR="00A6435E" w:rsidRDefault="00A6435E" w:rsidP="004B59D5">
                  <w:pPr>
                    <w:pStyle w:val="Figure"/>
                  </w:pPr>
                  <w:r>
                    <w:t>0.0 - 5.0</w:t>
                  </w:r>
                </w:p>
              </w:tc>
              <w:tc>
                <w:tcPr>
                  <w:tcW w:w="390" w:type="pct"/>
                  <w:vAlign w:val="center"/>
                </w:tcPr>
                <w:p w14:paraId="62BED33E" w14:textId="77777777" w:rsidR="00A6435E" w:rsidRPr="001146D5" w:rsidRDefault="00A6435E" w:rsidP="004B59D5">
                  <w:pPr>
                    <w:pStyle w:val="Figure"/>
                    <w:rPr>
                      <w:b/>
                      <w:bCs/>
                    </w:rPr>
                  </w:pPr>
                  <w:r w:rsidRPr="001146D5">
                    <w:rPr>
                      <w:b/>
                      <w:bCs/>
                      <w:color w:val="FF0000"/>
                    </w:rPr>
                    <w:t>0.027*</w:t>
                  </w:r>
                </w:p>
              </w:tc>
            </w:tr>
            <w:tr w:rsidR="00A6435E" w14:paraId="78D2D02A" w14:textId="77777777" w:rsidTr="004B59D5">
              <w:trPr>
                <w:trHeight w:val="338"/>
              </w:trPr>
              <w:tc>
                <w:tcPr>
                  <w:tcW w:w="921" w:type="pct"/>
                  <w:vAlign w:val="center"/>
                </w:tcPr>
                <w:p w14:paraId="151ADDCD" w14:textId="77777777" w:rsidR="00A6435E" w:rsidRDefault="00A6435E" w:rsidP="004B59D5">
                  <w:pPr>
                    <w:pStyle w:val="Figure"/>
                    <w:jc w:val="left"/>
                  </w:pPr>
                  <w:r>
                    <w:t>Activity time in last 2 weeks (min/day)</w:t>
                  </w:r>
                </w:p>
              </w:tc>
              <w:tc>
                <w:tcPr>
                  <w:tcW w:w="411" w:type="pct"/>
                  <w:vAlign w:val="center"/>
                </w:tcPr>
                <w:p w14:paraId="42BBBC97" w14:textId="77777777" w:rsidR="00A6435E" w:rsidRDefault="00A6435E" w:rsidP="004B59D5">
                  <w:pPr>
                    <w:pStyle w:val="Figure"/>
                  </w:pPr>
                  <w:r>
                    <w:t>139</w:t>
                  </w:r>
                </w:p>
              </w:tc>
              <w:tc>
                <w:tcPr>
                  <w:tcW w:w="371" w:type="pct"/>
                  <w:vAlign w:val="center"/>
                </w:tcPr>
                <w:p w14:paraId="373ED2C2" w14:textId="77777777" w:rsidR="00A6435E" w:rsidRDefault="00A6435E" w:rsidP="004B59D5">
                  <w:pPr>
                    <w:pStyle w:val="Figure"/>
                  </w:pPr>
                  <w:r>
                    <w:t>231</w:t>
                  </w:r>
                </w:p>
              </w:tc>
              <w:tc>
                <w:tcPr>
                  <w:tcW w:w="460" w:type="pct"/>
                  <w:vAlign w:val="center"/>
                </w:tcPr>
                <w:p w14:paraId="00283785" w14:textId="77777777" w:rsidR="00A6435E" w:rsidRDefault="00A6435E" w:rsidP="004B59D5">
                  <w:pPr>
                    <w:pStyle w:val="Figure"/>
                  </w:pPr>
                  <w:r>
                    <w:t>178 - 327</w:t>
                  </w:r>
                </w:p>
              </w:tc>
              <w:tc>
                <w:tcPr>
                  <w:tcW w:w="384" w:type="pct"/>
                  <w:vAlign w:val="center"/>
                </w:tcPr>
                <w:p w14:paraId="21E69108" w14:textId="77777777" w:rsidR="00A6435E" w:rsidRDefault="00A6435E" w:rsidP="004B59D5">
                  <w:pPr>
                    <w:pStyle w:val="Figure"/>
                  </w:pPr>
                  <w:r>
                    <w:t>223</w:t>
                  </w:r>
                </w:p>
              </w:tc>
              <w:tc>
                <w:tcPr>
                  <w:tcW w:w="371" w:type="pct"/>
                  <w:vAlign w:val="center"/>
                </w:tcPr>
                <w:p w14:paraId="25569DBA" w14:textId="77777777" w:rsidR="00A6435E" w:rsidRDefault="00A6435E" w:rsidP="004B59D5">
                  <w:pPr>
                    <w:pStyle w:val="Figure"/>
                  </w:pPr>
                  <w:r>
                    <w:t>176</w:t>
                  </w:r>
                </w:p>
              </w:tc>
              <w:tc>
                <w:tcPr>
                  <w:tcW w:w="459" w:type="pct"/>
                  <w:vAlign w:val="center"/>
                </w:tcPr>
                <w:p w14:paraId="06EDA4D1" w14:textId="77777777" w:rsidR="00A6435E" w:rsidRDefault="00A6435E" w:rsidP="004B59D5">
                  <w:pPr>
                    <w:pStyle w:val="Figure"/>
                  </w:pPr>
                  <w:r>
                    <w:t>107 - 240</w:t>
                  </w:r>
                </w:p>
              </w:tc>
              <w:tc>
                <w:tcPr>
                  <w:tcW w:w="403" w:type="pct"/>
                  <w:vAlign w:val="center"/>
                </w:tcPr>
                <w:p w14:paraId="65D89AE6" w14:textId="77777777" w:rsidR="00A6435E" w:rsidRDefault="00A6435E" w:rsidP="004B59D5">
                  <w:pPr>
                    <w:pStyle w:val="Figure"/>
                  </w:pPr>
                  <w:r>
                    <w:t>32</w:t>
                  </w:r>
                </w:p>
              </w:tc>
              <w:tc>
                <w:tcPr>
                  <w:tcW w:w="371" w:type="pct"/>
                  <w:vAlign w:val="center"/>
                </w:tcPr>
                <w:p w14:paraId="41BB5381" w14:textId="77777777" w:rsidR="00A6435E" w:rsidRDefault="00A6435E" w:rsidP="004B59D5">
                  <w:pPr>
                    <w:pStyle w:val="Figure"/>
                  </w:pPr>
                  <w:r>
                    <w:t>63</w:t>
                  </w:r>
                </w:p>
              </w:tc>
              <w:tc>
                <w:tcPr>
                  <w:tcW w:w="459" w:type="pct"/>
                  <w:vAlign w:val="center"/>
                </w:tcPr>
                <w:p w14:paraId="4A7F4F8F" w14:textId="77777777" w:rsidR="00A6435E" w:rsidRDefault="00A6435E" w:rsidP="004B59D5">
                  <w:pPr>
                    <w:pStyle w:val="Figure"/>
                  </w:pPr>
                  <w:r>
                    <w:t>42 - 91</w:t>
                  </w:r>
                </w:p>
              </w:tc>
              <w:tc>
                <w:tcPr>
                  <w:tcW w:w="390" w:type="pct"/>
                  <w:vAlign w:val="center"/>
                </w:tcPr>
                <w:p w14:paraId="111BF6AC" w14:textId="77777777" w:rsidR="00A6435E" w:rsidRPr="001146D5" w:rsidRDefault="00A6435E" w:rsidP="004B59D5">
                  <w:pPr>
                    <w:pStyle w:val="Figure"/>
                    <w:rPr>
                      <w:b/>
                      <w:bCs/>
                    </w:rPr>
                  </w:pPr>
                  <w:r w:rsidRPr="001146D5">
                    <w:rPr>
                      <w:b/>
                      <w:bCs/>
                      <w:color w:val="FF0000"/>
                    </w:rPr>
                    <w:t>&lt;0.001*</w:t>
                  </w:r>
                </w:p>
              </w:tc>
            </w:tr>
            <w:tr w:rsidR="00A6435E" w:rsidRPr="00C3595C" w14:paraId="10296F7A" w14:textId="77777777" w:rsidTr="004B59D5">
              <w:trPr>
                <w:trHeight w:val="325"/>
              </w:trPr>
              <w:tc>
                <w:tcPr>
                  <w:tcW w:w="921" w:type="pct"/>
                  <w:vAlign w:val="center"/>
                </w:tcPr>
                <w:p w14:paraId="4A88D77D" w14:textId="77777777" w:rsidR="00A6435E" w:rsidRPr="00C3595C" w:rsidRDefault="00A6435E" w:rsidP="004B59D5">
                  <w:pPr>
                    <w:pStyle w:val="Figure"/>
                    <w:jc w:val="left"/>
                    <w:rPr>
                      <w:b/>
                      <w:bCs/>
                    </w:rPr>
                  </w:pPr>
                </w:p>
              </w:tc>
              <w:tc>
                <w:tcPr>
                  <w:tcW w:w="411" w:type="pct"/>
                  <w:vAlign w:val="center"/>
                </w:tcPr>
                <w:p w14:paraId="7EBFB68A" w14:textId="77777777" w:rsidR="00A6435E" w:rsidRPr="00C3595C" w:rsidRDefault="00A6435E" w:rsidP="004B59D5">
                  <w:pPr>
                    <w:pStyle w:val="Figure"/>
                    <w:rPr>
                      <w:b/>
                      <w:bCs/>
                    </w:rPr>
                  </w:pPr>
                  <w:r w:rsidRPr="00C3595C">
                    <w:rPr>
                      <w:b/>
                      <w:bCs/>
                    </w:rPr>
                    <w:t>N</w:t>
                  </w:r>
                </w:p>
              </w:tc>
              <w:tc>
                <w:tcPr>
                  <w:tcW w:w="371" w:type="pct"/>
                  <w:vAlign w:val="center"/>
                </w:tcPr>
                <w:p w14:paraId="1BCACE10" w14:textId="77777777" w:rsidR="00A6435E" w:rsidRPr="00C3595C" w:rsidRDefault="00A6435E" w:rsidP="004B59D5">
                  <w:pPr>
                    <w:pStyle w:val="Figure"/>
                    <w:rPr>
                      <w:b/>
                      <w:bCs/>
                    </w:rPr>
                  </w:pPr>
                  <w:r w:rsidRPr="00C3595C">
                    <w:rPr>
                      <w:b/>
                      <w:bCs/>
                    </w:rPr>
                    <w:t>Mean</w:t>
                  </w:r>
                </w:p>
              </w:tc>
              <w:tc>
                <w:tcPr>
                  <w:tcW w:w="460" w:type="pct"/>
                  <w:vAlign w:val="center"/>
                </w:tcPr>
                <w:p w14:paraId="4E4FEE17" w14:textId="77777777" w:rsidR="00A6435E" w:rsidRPr="00C3595C" w:rsidRDefault="00A6435E" w:rsidP="004B59D5">
                  <w:pPr>
                    <w:pStyle w:val="Figure"/>
                    <w:rPr>
                      <w:b/>
                      <w:bCs/>
                    </w:rPr>
                  </w:pPr>
                  <w:r w:rsidRPr="00C3595C">
                    <w:rPr>
                      <w:b/>
                      <w:bCs/>
                    </w:rPr>
                    <w:t>SD</w:t>
                  </w:r>
                </w:p>
              </w:tc>
              <w:tc>
                <w:tcPr>
                  <w:tcW w:w="384" w:type="pct"/>
                  <w:vAlign w:val="center"/>
                </w:tcPr>
                <w:p w14:paraId="6B6DBD9F" w14:textId="77777777" w:rsidR="00A6435E" w:rsidRPr="00C3595C" w:rsidRDefault="00A6435E" w:rsidP="004B59D5">
                  <w:pPr>
                    <w:pStyle w:val="Figure"/>
                    <w:rPr>
                      <w:b/>
                      <w:bCs/>
                    </w:rPr>
                  </w:pPr>
                  <w:r w:rsidRPr="00C3595C">
                    <w:rPr>
                      <w:b/>
                      <w:bCs/>
                    </w:rPr>
                    <w:t>N</w:t>
                  </w:r>
                </w:p>
              </w:tc>
              <w:tc>
                <w:tcPr>
                  <w:tcW w:w="371" w:type="pct"/>
                  <w:vAlign w:val="center"/>
                </w:tcPr>
                <w:p w14:paraId="6C1071B9" w14:textId="77777777" w:rsidR="00A6435E" w:rsidRPr="00C3595C" w:rsidRDefault="00A6435E" w:rsidP="004B59D5">
                  <w:pPr>
                    <w:pStyle w:val="Figure"/>
                    <w:rPr>
                      <w:b/>
                      <w:bCs/>
                    </w:rPr>
                  </w:pPr>
                  <w:r w:rsidRPr="00C3595C">
                    <w:rPr>
                      <w:b/>
                      <w:bCs/>
                    </w:rPr>
                    <w:t>Mean</w:t>
                  </w:r>
                </w:p>
              </w:tc>
              <w:tc>
                <w:tcPr>
                  <w:tcW w:w="459" w:type="pct"/>
                  <w:vAlign w:val="center"/>
                </w:tcPr>
                <w:p w14:paraId="4DE7B4E0" w14:textId="77777777" w:rsidR="00A6435E" w:rsidRPr="00C3595C" w:rsidRDefault="00A6435E" w:rsidP="004B59D5">
                  <w:pPr>
                    <w:pStyle w:val="Figure"/>
                    <w:rPr>
                      <w:b/>
                      <w:bCs/>
                    </w:rPr>
                  </w:pPr>
                  <w:r w:rsidRPr="00C3595C">
                    <w:rPr>
                      <w:b/>
                      <w:bCs/>
                    </w:rPr>
                    <w:t>SD</w:t>
                  </w:r>
                </w:p>
              </w:tc>
              <w:tc>
                <w:tcPr>
                  <w:tcW w:w="403" w:type="pct"/>
                  <w:vAlign w:val="center"/>
                </w:tcPr>
                <w:p w14:paraId="4D12DA27" w14:textId="77777777" w:rsidR="00A6435E" w:rsidRPr="00C3595C" w:rsidRDefault="00A6435E" w:rsidP="004B59D5">
                  <w:pPr>
                    <w:pStyle w:val="Figure"/>
                    <w:rPr>
                      <w:b/>
                      <w:bCs/>
                    </w:rPr>
                  </w:pPr>
                  <w:r w:rsidRPr="00C3595C">
                    <w:rPr>
                      <w:b/>
                      <w:bCs/>
                    </w:rPr>
                    <w:t>N</w:t>
                  </w:r>
                </w:p>
              </w:tc>
              <w:tc>
                <w:tcPr>
                  <w:tcW w:w="371" w:type="pct"/>
                  <w:vAlign w:val="center"/>
                </w:tcPr>
                <w:p w14:paraId="6747EFC5" w14:textId="77777777" w:rsidR="00A6435E" w:rsidRPr="00C3595C" w:rsidRDefault="00A6435E" w:rsidP="004B59D5">
                  <w:pPr>
                    <w:pStyle w:val="Figure"/>
                    <w:rPr>
                      <w:b/>
                      <w:bCs/>
                    </w:rPr>
                  </w:pPr>
                  <w:r w:rsidRPr="00C3595C">
                    <w:rPr>
                      <w:b/>
                      <w:bCs/>
                    </w:rPr>
                    <w:t>Mean</w:t>
                  </w:r>
                </w:p>
              </w:tc>
              <w:tc>
                <w:tcPr>
                  <w:tcW w:w="459" w:type="pct"/>
                  <w:vAlign w:val="center"/>
                </w:tcPr>
                <w:p w14:paraId="4DC63E18" w14:textId="77777777" w:rsidR="00A6435E" w:rsidRPr="00C3595C" w:rsidRDefault="00A6435E" w:rsidP="004B59D5">
                  <w:pPr>
                    <w:pStyle w:val="Figure"/>
                    <w:rPr>
                      <w:b/>
                      <w:bCs/>
                    </w:rPr>
                  </w:pPr>
                  <w:r w:rsidRPr="00C3595C">
                    <w:rPr>
                      <w:b/>
                      <w:bCs/>
                    </w:rPr>
                    <w:t>SD</w:t>
                  </w:r>
                </w:p>
              </w:tc>
              <w:tc>
                <w:tcPr>
                  <w:tcW w:w="390" w:type="pct"/>
                  <w:vAlign w:val="center"/>
                </w:tcPr>
                <w:p w14:paraId="4948FD47" w14:textId="77777777" w:rsidR="00A6435E" w:rsidRPr="00C3595C" w:rsidRDefault="00A6435E" w:rsidP="004B59D5">
                  <w:pPr>
                    <w:pStyle w:val="Figure"/>
                    <w:rPr>
                      <w:b/>
                      <w:bCs/>
                    </w:rPr>
                  </w:pPr>
                  <w:r w:rsidRPr="00C3595C">
                    <w:rPr>
                      <w:b/>
                      <w:bCs/>
                    </w:rPr>
                    <w:t>p-value</w:t>
                  </w:r>
                  <w:r w:rsidRPr="00C3595C">
                    <w:rPr>
                      <w:b/>
                      <w:bCs/>
                      <w:vertAlign w:val="superscript"/>
                    </w:rPr>
                    <w:t>1</w:t>
                  </w:r>
                </w:p>
              </w:tc>
            </w:tr>
            <w:tr w:rsidR="00A6435E" w14:paraId="027C0299" w14:textId="77777777" w:rsidTr="004B59D5">
              <w:trPr>
                <w:trHeight w:val="325"/>
              </w:trPr>
              <w:tc>
                <w:tcPr>
                  <w:tcW w:w="921" w:type="pct"/>
                  <w:vAlign w:val="center"/>
                </w:tcPr>
                <w:p w14:paraId="20A65744" w14:textId="77777777" w:rsidR="00A6435E" w:rsidRDefault="00A6435E" w:rsidP="004B59D5">
                  <w:pPr>
                    <w:pStyle w:val="Figure"/>
                    <w:jc w:val="left"/>
                  </w:pPr>
                  <w:r>
                    <w:t>Height (cm)</w:t>
                  </w:r>
                </w:p>
              </w:tc>
              <w:tc>
                <w:tcPr>
                  <w:tcW w:w="411" w:type="pct"/>
                  <w:vAlign w:val="center"/>
                </w:tcPr>
                <w:p w14:paraId="286E8B2B" w14:textId="77777777" w:rsidR="00A6435E" w:rsidRDefault="00A6435E" w:rsidP="004B59D5">
                  <w:pPr>
                    <w:pStyle w:val="Figure"/>
                  </w:pPr>
                  <w:r>
                    <w:t>139</w:t>
                  </w:r>
                </w:p>
              </w:tc>
              <w:tc>
                <w:tcPr>
                  <w:tcW w:w="371" w:type="pct"/>
                  <w:vAlign w:val="center"/>
                </w:tcPr>
                <w:p w14:paraId="33DDC4B1" w14:textId="77777777" w:rsidR="00A6435E" w:rsidRDefault="00A6435E" w:rsidP="004B59D5">
                  <w:pPr>
                    <w:pStyle w:val="Figure"/>
                  </w:pPr>
                  <w:r>
                    <w:t>167.3</w:t>
                  </w:r>
                </w:p>
              </w:tc>
              <w:tc>
                <w:tcPr>
                  <w:tcW w:w="460" w:type="pct"/>
                  <w:vAlign w:val="center"/>
                </w:tcPr>
                <w:p w14:paraId="5DCF8C7F" w14:textId="77777777" w:rsidR="00A6435E" w:rsidRDefault="00A6435E" w:rsidP="004B59D5">
                  <w:pPr>
                    <w:pStyle w:val="Figure"/>
                  </w:pPr>
                  <w:r>
                    <w:t>9.1</w:t>
                  </w:r>
                </w:p>
              </w:tc>
              <w:tc>
                <w:tcPr>
                  <w:tcW w:w="384" w:type="pct"/>
                  <w:vAlign w:val="center"/>
                </w:tcPr>
                <w:p w14:paraId="7E4DC7F0" w14:textId="77777777" w:rsidR="00A6435E" w:rsidRDefault="00A6435E" w:rsidP="004B59D5">
                  <w:pPr>
                    <w:pStyle w:val="Figure"/>
                  </w:pPr>
                  <w:r>
                    <w:t>230</w:t>
                  </w:r>
                </w:p>
              </w:tc>
              <w:tc>
                <w:tcPr>
                  <w:tcW w:w="371" w:type="pct"/>
                  <w:vAlign w:val="center"/>
                </w:tcPr>
                <w:p w14:paraId="08FC404C" w14:textId="77777777" w:rsidR="00A6435E" w:rsidRDefault="00A6435E" w:rsidP="004B59D5">
                  <w:pPr>
                    <w:pStyle w:val="Figure"/>
                  </w:pPr>
                  <w:r>
                    <w:t>165.0</w:t>
                  </w:r>
                </w:p>
              </w:tc>
              <w:tc>
                <w:tcPr>
                  <w:tcW w:w="459" w:type="pct"/>
                  <w:vAlign w:val="center"/>
                </w:tcPr>
                <w:p w14:paraId="503B4BB2" w14:textId="77777777" w:rsidR="00A6435E" w:rsidRDefault="00A6435E" w:rsidP="004B59D5">
                  <w:pPr>
                    <w:pStyle w:val="Figure"/>
                  </w:pPr>
                  <w:r>
                    <w:t>9.3</w:t>
                  </w:r>
                </w:p>
              </w:tc>
              <w:tc>
                <w:tcPr>
                  <w:tcW w:w="403" w:type="pct"/>
                  <w:vAlign w:val="center"/>
                </w:tcPr>
                <w:p w14:paraId="0DD3CC53" w14:textId="77777777" w:rsidR="00A6435E" w:rsidRDefault="00A6435E" w:rsidP="004B59D5">
                  <w:pPr>
                    <w:pStyle w:val="Figure"/>
                  </w:pPr>
                  <w:r>
                    <w:t>33</w:t>
                  </w:r>
                </w:p>
              </w:tc>
              <w:tc>
                <w:tcPr>
                  <w:tcW w:w="371" w:type="pct"/>
                  <w:vAlign w:val="center"/>
                </w:tcPr>
                <w:p w14:paraId="11524BC5" w14:textId="77777777" w:rsidR="00A6435E" w:rsidRDefault="00A6435E" w:rsidP="004B59D5">
                  <w:pPr>
                    <w:pStyle w:val="Figure"/>
                  </w:pPr>
                  <w:r>
                    <w:t>163.9</w:t>
                  </w:r>
                </w:p>
              </w:tc>
              <w:tc>
                <w:tcPr>
                  <w:tcW w:w="459" w:type="pct"/>
                  <w:vAlign w:val="center"/>
                </w:tcPr>
                <w:p w14:paraId="1D318036" w14:textId="77777777" w:rsidR="00A6435E" w:rsidRDefault="00A6435E" w:rsidP="004B59D5">
                  <w:pPr>
                    <w:pStyle w:val="Figure"/>
                  </w:pPr>
                  <w:r>
                    <w:t>9.9</w:t>
                  </w:r>
                </w:p>
              </w:tc>
              <w:tc>
                <w:tcPr>
                  <w:tcW w:w="390" w:type="pct"/>
                  <w:vAlign w:val="center"/>
                </w:tcPr>
                <w:p w14:paraId="0F106193" w14:textId="77777777" w:rsidR="00A6435E" w:rsidRPr="001146D5" w:rsidRDefault="00A6435E" w:rsidP="004B59D5">
                  <w:pPr>
                    <w:pStyle w:val="Figure"/>
                    <w:rPr>
                      <w:b/>
                      <w:bCs/>
                    </w:rPr>
                  </w:pPr>
                  <w:r w:rsidRPr="001146D5">
                    <w:rPr>
                      <w:b/>
                      <w:bCs/>
                      <w:color w:val="FF0000"/>
                    </w:rPr>
                    <w:t>0.035*</w:t>
                  </w:r>
                </w:p>
              </w:tc>
            </w:tr>
            <w:tr w:rsidR="00A6435E" w14:paraId="102F76D7" w14:textId="77777777" w:rsidTr="004B59D5">
              <w:trPr>
                <w:trHeight w:val="325"/>
              </w:trPr>
              <w:tc>
                <w:tcPr>
                  <w:tcW w:w="921" w:type="pct"/>
                  <w:vAlign w:val="center"/>
                </w:tcPr>
                <w:p w14:paraId="6A7C51EA" w14:textId="77777777" w:rsidR="00A6435E" w:rsidRDefault="00A6435E" w:rsidP="004B59D5">
                  <w:pPr>
                    <w:pStyle w:val="Figure"/>
                    <w:jc w:val="left"/>
                  </w:pPr>
                  <w:r>
                    <w:t>Maximum grip (kg)</w:t>
                  </w:r>
                </w:p>
              </w:tc>
              <w:tc>
                <w:tcPr>
                  <w:tcW w:w="411" w:type="pct"/>
                  <w:vAlign w:val="center"/>
                </w:tcPr>
                <w:p w14:paraId="3E5F6FE7" w14:textId="77777777" w:rsidR="00A6435E" w:rsidRDefault="00A6435E" w:rsidP="004B59D5">
                  <w:pPr>
                    <w:pStyle w:val="Figure"/>
                  </w:pPr>
                  <w:r>
                    <w:t>139</w:t>
                  </w:r>
                </w:p>
              </w:tc>
              <w:tc>
                <w:tcPr>
                  <w:tcW w:w="371" w:type="pct"/>
                  <w:vAlign w:val="center"/>
                </w:tcPr>
                <w:p w14:paraId="6E54BEFE" w14:textId="77777777" w:rsidR="00A6435E" w:rsidRDefault="00A6435E" w:rsidP="004B59D5">
                  <w:pPr>
                    <w:pStyle w:val="Figure"/>
                  </w:pPr>
                  <w:r>
                    <w:t>32.4</w:t>
                  </w:r>
                </w:p>
              </w:tc>
              <w:tc>
                <w:tcPr>
                  <w:tcW w:w="460" w:type="pct"/>
                  <w:vAlign w:val="center"/>
                </w:tcPr>
                <w:p w14:paraId="442FFA74" w14:textId="77777777" w:rsidR="00A6435E" w:rsidRDefault="00A6435E" w:rsidP="004B59D5">
                  <w:pPr>
                    <w:pStyle w:val="Figure"/>
                  </w:pPr>
                  <w:r>
                    <w:t>9.3</w:t>
                  </w:r>
                </w:p>
              </w:tc>
              <w:tc>
                <w:tcPr>
                  <w:tcW w:w="384" w:type="pct"/>
                  <w:vAlign w:val="center"/>
                </w:tcPr>
                <w:p w14:paraId="7FA8086E" w14:textId="77777777" w:rsidR="00A6435E" w:rsidRDefault="00A6435E" w:rsidP="004B59D5">
                  <w:pPr>
                    <w:pStyle w:val="Figure"/>
                  </w:pPr>
                  <w:r>
                    <w:t>233</w:t>
                  </w:r>
                </w:p>
              </w:tc>
              <w:tc>
                <w:tcPr>
                  <w:tcW w:w="371" w:type="pct"/>
                  <w:vAlign w:val="center"/>
                </w:tcPr>
                <w:p w14:paraId="6C58716C" w14:textId="77777777" w:rsidR="00A6435E" w:rsidRDefault="00A6435E" w:rsidP="004B59D5">
                  <w:pPr>
                    <w:pStyle w:val="Figure"/>
                  </w:pPr>
                  <w:r>
                    <w:t>27.7</w:t>
                  </w:r>
                </w:p>
              </w:tc>
              <w:tc>
                <w:tcPr>
                  <w:tcW w:w="459" w:type="pct"/>
                  <w:vAlign w:val="center"/>
                </w:tcPr>
                <w:p w14:paraId="18043A0B" w14:textId="77777777" w:rsidR="00A6435E" w:rsidRDefault="00A6435E" w:rsidP="004B59D5">
                  <w:pPr>
                    <w:pStyle w:val="Figure"/>
                  </w:pPr>
                  <w:r>
                    <w:t>9.5</w:t>
                  </w:r>
                </w:p>
              </w:tc>
              <w:tc>
                <w:tcPr>
                  <w:tcW w:w="403" w:type="pct"/>
                  <w:vAlign w:val="center"/>
                </w:tcPr>
                <w:p w14:paraId="75336A92" w14:textId="77777777" w:rsidR="00A6435E" w:rsidRDefault="00A6435E" w:rsidP="004B59D5">
                  <w:pPr>
                    <w:pStyle w:val="Figure"/>
                  </w:pPr>
                  <w:r>
                    <w:t>33</w:t>
                  </w:r>
                </w:p>
              </w:tc>
              <w:tc>
                <w:tcPr>
                  <w:tcW w:w="371" w:type="pct"/>
                  <w:vAlign w:val="center"/>
                </w:tcPr>
                <w:p w14:paraId="508C542E" w14:textId="77777777" w:rsidR="00A6435E" w:rsidRDefault="00A6435E" w:rsidP="004B59D5">
                  <w:pPr>
                    <w:pStyle w:val="Figure"/>
                  </w:pPr>
                  <w:r>
                    <w:t>20.6</w:t>
                  </w:r>
                </w:p>
              </w:tc>
              <w:tc>
                <w:tcPr>
                  <w:tcW w:w="459" w:type="pct"/>
                  <w:vAlign w:val="center"/>
                </w:tcPr>
                <w:p w14:paraId="32864D57" w14:textId="77777777" w:rsidR="00A6435E" w:rsidRDefault="00A6435E" w:rsidP="004B59D5">
                  <w:pPr>
                    <w:pStyle w:val="Figure"/>
                  </w:pPr>
                  <w:r>
                    <w:t>10.1</w:t>
                  </w:r>
                </w:p>
              </w:tc>
              <w:tc>
                <w:tcPr>
                  <w:tcW w:w="390" w:type="pct"/>
                  <w:vAlign w:val="center"/>
                </w:tcPr>
                <w:p w14:paraId="6551DA45" w14:textId="77777777" w:rsidR="00A6435E" w:rsidRDefault="00A6435E" w:rsidP="004B59D5">
                  <w:pPr>
                    <w:pStyle w:val="Figure"/>
                  </w:pPr>
                  <w:r>
                    <w:t>&lt;0.</w:t>
                  </w:r>
                  <w:r w:rsidRPr="001146D5">
                    <w:rPr>
                      <w:b/>
                      <w:bCs/>
                      <w:color w:val="FF0000"/>
                    </w:rPr>
                    <w:t>001*</w:t>
                  </w:r>
                </w:p>
              </w:tc>
            </w:tr>
            <w:tr w:rsidR="00A6435E" w14:paraId="7E0C5D48" w14:textId="77777777" w:rsidTr="004B59D5">
              <w:trPr>
                <w:trHeight w:val="325"/>
              </w:trPr>
              <w:tc>
                <w:tcPr>
                  <w:tcW w:w="921" w:type="pct"/>
                  <w:vAlign w:val="center"/>
                </w:tcPr>
                <w:p w14:paraId="07EECD8E" w14:textId="77777777" w:rsidR="00A6435E" w:rsidRDefault="00A6435E" w:rsidP="004B59D5">
                  <w:pPr>
                    <w:pStyle w:val="Figure"/>
                    <w:jc w:val="left"/>
                  </w:pPr>
                  <w:r>
                    <w:t>Gait speed (m/s)</w:t>
                  </w:r>
                </w:p>
              </w:tc>
              <w:tc>
                <w:tcPr>
                  <w:tcW w:w="411" w:type="pct"/>
                  <w:vAlign w:val="center"/>
                </w:tcPr>
                <w:p w14:paraId="6F5083F2" w14:textId="77777777" w:rsidR="00A6435E" w:rsidRDefault="00A6435E" w:rsidP="004B59D5">
                  <w:pPr>
                    <w:pStyle w:val="Figure"/>
                  </w:pPr>
                  <w:r>
                    <w:t>139</w:t>
                  </w:r>
                </w:p>
              </w:tc>
              <w:tc>
                <w:tcPr>
                  <w:tcW w:w="371" w:type="pct"/>
                  <w:vAlign w:val="center"/>
                </w:tcPr>
                <w:p w14:paraId="7EE2C010" w14:textId="77777777" w:rsidR="00A6435E" w:rsidRDefault="00A6435E" w:rsidP="004B59D5">
                  <w:pPr>
                    <w:pStyle w:val="Figure"/>
                  </w:pPr>
                  <w:r>
                    <w:t>0.90</w:t>
                  </w:r>
                </w:p>
              </w:tc>
              <w:tc>
                <w:tcPr>
                  <w:tcW w:w="460" w:type="pct"/>
                  <w:vAlign w:val="center"/>
                </w:tcPr>
                <w:p w14:paraId="5BEF2E68" w14:textId="77777777" w:rsidR="00A6435E" w:rsidRDefault="00A6435E" w:rsidP="004B59D5">
                  <w:pPr>
                    <w:pStyle w:val="Figure"/>
                  </w:pPr>
                  <w:r>
                    <w:t>0.1</w:t>
                  </w:r>
                </w:p>
              </w:tc>
              <w:tc>
                <w:tcPr>
                  <w:tcW w:w="384" w:type="pct"/>
                  <w:vAlign w:val="center"/>
                </w:tcPr>
                <w:p w14:paraId="01D42AB8" w14:textId="77777777" w:rsidR="00A6435E" w:rsidRDefault="00A6435E" w:rsidP="004B59D5">
                  <w:pPr>
                    <w:pStyle w:val="Figure"/>
                  </w:pPr>
                  <w:r>
                    <w:t>225</w:t>
                  </w:r>
                </w:p>
              </w:tc>
              <w:tc>
                <w:tcPr>
                  <w:tcW w:w="371" w:type="pct"/>
                  <w:vAlign w:val="center"/>
                </w:tcPr>
                <w:p w14:paraId="43778DA4" w14:textId="77777777" w:rsidR="00A6435E" w:rsidRDefault="00A6435E" w:rsidP="004B59D5">
                  <w:pPr>
                    <w:pStyle w:val="Figure"/>
                  </w:pPr>
                  <w:r>
                    <w:t>0.69</w:t>
                  </w:r>
                </w:p>
              </w:tc>
              <w:tc>
                <w:tcPr>
                  <w:tcW w:w="459" w:type="pct"/>
                  <w:vAlign w:val="center"/>
                </w:tcPr>
                <w:p w14:paraId="5C819A48" w14:textId="77777777" w:rsidR="00A6435E" w:rsidRDefault="00A6435E" w:rsidP="004B59D5">
                  <w:pPr>
                    <w:pStyle w:val="Figure"/>
                  </w:pPr>
                  <w:r>
                    <w:t>0.15</w:t>
                  </w:r>
                </w:p>
              </w:tc>
              <w:tc>
                <w:tcPr>
                  <w:tcW w:w="403" w:type="pct"/>
                  <w:vAlign w:val="center"/>
                </w:tcPr>
                <w:p w14:paraId="7308947E" w14:textId="77777777" w:rsidR="00A6435E" w:rsidRDefault="00A6435E" w:rsidP="004B59D5">
                  <w:pPr>
                    <w:pStyle w:val="Figure"/>
                  </w:pPr>
                  <w:r>
                    <w:t>29</w:t>
                  </w:r>
                </w:p>
              </w:tc>
              <w:tc>
                <w:tcPr>
                  <w:tcW w:w="371" w:type="pct"/>
                  <w:vAlign w:val="center"/>
                </w:tcPr>
                <w:p w14:paraId="2B35ABE6" w14:textId="77777777" w:rsidR="00A6435E" w:rsidRDefault="00A6435E" w:rsidP="004B59D5">
                  <w:pPr>
                    <w:pStyle w:val="Figure"/>
                  </w:pPr>
                  <w:r>
                    <w:t>0.53</w:t>
                  </w:r>
                </w:p>
              </w:tc>
              <w:tc>
                <w:tcPr>
                  <w:tcW w:w="459" w:type="pct"/>
                  <w:vAlign w:val="center"/>
                </w:tcPr>
                <w:p w14:paraId="45104F6D" w14:textId="77777777" w:rsidR="00A6435E" w:rsidRDefault="00A6435E" w:rsidP="004B59D5">
                  <w:pPr>
                    <w:pStyle w:val="Figure"/>
                  </w:pPr>
                  <w:r>
                    <w:t>0.14</w:t>
                  </w:r>
                </w:p>
              </w:tc>
              <w:tc>
                <w:tcPr>
                  <w:tcW w:w="390" w:type="pct"/>
                  <w:vAlign w:val="center"/>
                </w:tcPr>
                <w:p w14:paraId="1DC3DD45" w14:textId="77777777" w:rsidR="00A6435E" w:rsidRPr="001146D5" w:rsidRDefault="00A6435E" w:rsidP="004B59D5">
                  <w:pPr>
                    <w:pStyle w:val="Figure"/>
                    <w:rPr>
                      <w:b/>
                      <w:bCs/>
                    </w:rPr>
                  </w:pPr>
                  <w:r w:rsidRPr="001146D5">
                    <w:rPr>
                      <w:b/>
                      <w:bCs/>
                      <w:color w:val="FF0000"/>
                    </w:rPr>
                    <w:t>&lt;0.001*</w:t>
                  </w:r>
                </w:p>
              </w:tc>
            </w:tr>
            <w:tr w:rsidR="00A6435E" w14:paraId="0C71ED95" w14:textId="77777777" w:rsidTr="004B59D5">
              <w:trPr>
                <w:trHeight w:val="325"/>
              </w:trPr>
              <w:tc>
                <w:tcPr>
                  <w:tcW w:w="921" w:type="pct"/>
                  <w:vAlign w:val="center"/>
                </w:tcPr>
                <w:p w14:paraId="3B637C5B" w14:textId="77777777" w:rsidR="00A6435E" w:rsidRDefault="00A6435E" w:rsidP="004B59D5">
                  <w:pPr>
                    <w:pStyle w:val="Figure"/>
                    <w:jc w:val="left"/>
                  </w:pPr>
                  <w:r>
                    <w:t>ALM index (kg/m</w:t>
                  </w:r>
                  <w:r>
                    <w:rPr>
                      <w:vertAlign w:val="superscript"/>
                    </w:rPr>
                    <w:t>2</w:t>
                  </w:r>
                  <w:r>
                    <w:t>)</w:t>
                  </w:r>
                  <w:r>
                    <w:rPr>
                      <w:vertAlign w:val="superscript"/>
                    </w:rPr>
                    <w:t>2</w:t>
                  </w:r>
                </w:p>
              </w:tc>
              <w:tc>
                <w:tcPr>
                  <w:tcW w:w="411" w:type="pct"/>
                  <w:vAlign w:val="center"/>
                </w:tcPr>
                <w:p w14:paraId="72A689CB" w14:textId="77777777" w:rsidR="00A6435E" w:rsidRDefault="00A6435E" w:rsidP="004B59D5">
                  <w:pPr>
                    <w:pStyle w:val="Figure"/>
                  </w:pPr>
                  <w:r>
                    <w:t>110</w:t>
                  </w:r>
                </w:p>
              </w:tc>
              <w:tc>
                <w:tcPr>
                  <w:tcW w:w="371" w:type="pct"/>
                  <w:vAlign w:val="center"/>
                </w:tcPr>
                <w:p w14:paraId="7A012FAC" w14:textId="77777777" w:rsidR="00A6435E" w:rsidRDefault="00A6435E" w:rsidP="004B59D5">
                  <w:pPr>
                    <w:pStyle w:val="Figure"/>
                  </w:pPr>
                  <w:r>
                    <w:t>7.28</w:t>
                  </w:r>
                </w:p>
              </w:tc>
              <w:tc>
                <w:tcPr>
                  <w:tcW w:w="460" w:type="pct"/>
                  <w:vAlign w:val="center"/>
                </w:tcPr>
                <w:p w14:paraId="1A8ECE4D" w14:textId="77777777" w:rsidR="00A6435E" w:rsidRDefault="00A6435E" w:rsidP="004B59D5">
                  <w:pPr>
                    <w:pStyle w:val="Figure"/>
                  </w:pPr>
                  <w:r>
                    <w:t>1.08</w:t>
                  </w:r>
                </w:p>
              </w:tc>
              <w:tc>
                <w:tcPr>
                  <w:tcW w:w="384" w:type="pct"/>
                  <w:vAlign w:val="center"/>
                </w:tcPr>
                <w:p w14:paraId="738D1A57" w14:textId="77777777" w:rsidR="00A6435E" w:rsidRDefault="00A6435E" w:rsidP="004B59D5">
                  <w:pPr>
                    <w:pStyle w:val="Figure"/>
                  </w:pPr>
                  <w:r>
                    <w:t>168</w:t>
                  </w:r>
                </w:p>
              </w:tc>
              <w:tc>
                <w:tcPr>
                  <w:tcW w:w="371" w:type="pct"/>
                  <w:vAlign w:val="center"/>
                </w:tcPr>
                <w:p w14:paraId="0738688E" w14:textId="77777777" w:rsidR="00A6435E" w:rsidRDefault="00A6435E" w:rsidP="004B59D5">
                  <w:pPr>
                    <w:pStyle w:val="Figure"/>
                  </w:pPr>
                  <w:r>
                    <w:t>7.28</w:t>
                  </w:r>
                </w:p>
              </w:tc>
              <w:tc>
                <w:tcPr>
                  <w:tcW w:w="459" w:type="pct"/>
                  <w:vAlign w:val="center"/>
                </w:tcPr>
                <w:p w14:paraId="1A0FC743" w14:textId="77777777" w:rsidR="00A6435E" w:rsidRDefault="00A6435E" w:rsidP="004B59D5">
                  <w:pPr>
                    <w:pStyle w:val="Figure"/>
                  </w:pPr>
                  <w:r>
                    <w:t>1.08</w:t>
                  </w:r>
                </w:p>
              </w:tc>
              <w:tc>
                <w:tcPr>
                  <w:tcW w:w="403" w:type="pct"/>
                  <w:vAlign w:val="center"/>
                </w:tcPr>
                <w:p w14:paraId="6A5C073D" w14:textId="77777777" w:rsidR="00A6435E" w:rsidRDefault="00A6435E" w:rsidP="004B59D5">
                  <w:pPr>
                    <w:pStyle w:val="Figure"/>
                  </w:pPr>
                  <w:r>
                    <w:t>17</w:t>
                  </w:r>
                </w:p>
              </w:tc>
              <w:tc>
                <w:tcPr>
                  <w:tcW w:w="371" w:type="pct"/>
                  <w:vAlign w:val="center"/>
                </w:tcPr>
                <w:p w14:paraId="678EAE50" w14:textId="77777777" w:rsidR="00A6435E" w:rsidRDefault="00A6435E" w:rsidP="004B59D5">
                  <w:pPr>
                    <w:pStyle w:val="Figure"/>
                  </w:pPr>
                  <w:r>
                    <w:t>7.08</w:t>
                  </w:r>
                </w:p>
              </w:tc>
              <w:tc>
                <w:tcPr>
                  <w:tcW w:w="459" w:type="pct"/>
                  <w:vAlign w:val="center"/>
                </w:tcPr>
                <w:p w14:paraId="67C21644" w14:textId="77777777" w:rsidR="00A6435E" w:rsidRDefault="00A6435E" w:rsidP="004B59D5">
                  <w:pPr>
                    <w:pStyle w:val="Figure"/>
                  </w:pPr>
                  <w:r>
                    <w:t>1.10</w:t>
                  </w:r>
                </w:p>
              </w:tc>
              <w:tc>
                <w:tcPr>
                  <w:tcW w:w="390" w:type="pct"/>
                  <w:vAlign w:val="center"/>
                </w:tcPr>
                <w:p w14:paraId="1BDD1B6D" w14:textId="77777777" w:rsidR="00A6435E" w:rsidRDefault="00A6435E" w:rsidP="004B59D5">
                  <w:pPr>
                    <w:pStyle w:val="Figure"/>
                  </w:pPr>
                  <w:r>
                    <w:t>0.745</w:t>
                  </w:r>
                </w:p>
              </w:tc>
            </w:tr>
            <w:tr w:rsidR="00A6435E" w14:paraId="3451836E" w14:textId="77777777" w:rsidTr="004B59D5">
              <w:trPr>
                <w:trHeight w:val="325"/>
              </w:trPr>
              <w:tc>
                <w:tcPr>
                  <w:tcW w:w="921" w:type="pct"/>
                  <w:vAlign w:val="center"/>
                </w:tcPr>
                <w:p w14:paraId="09B41D76" w14:textId="77777777" w:rsidR="00A6435E" w:rsidRDefault="00A6435E" w:rsidP="004B59D5">
                  <w:pPr>
                    <w:pStyle w:val="Figure"/>
                    <w:jc w:val="left"/>
                  </w:pPr>
                  <w:r>
                    <w:t>Femoral neck BMD (g/cm</w:t>
                  </w:r>
                  <w:r>
                    <w:rPr>
                      <w:vertAlign w:val="superscript"/>
                    </w:rPr>
                    <w:t>2</w:t>
                  </w:r>
                  <w:r>
                    <w:t>)</w:t>
                  </w:r>
                  <w:r>
                    <w:rPr>
                      <w:vertAlign w:val="superscript"/>
                    </w:rPr>
                    <w:t>3</w:t>
                  </w:r>
                </w:p>
              </w:tc>
              <w:tc>
                <w:tcPr>
                  <w:tcW w:w="411" w:type="pct"/>
                  <w:vAlign w:val="center"/>
                </w:tcPr>
                <w:p w14:paraId="5DDAF169" w14:textId="77777777" w:rsidR="00A6435E" w:rsidRDefault="00A6435E" w:rsidP="004B59D5">
                  <w:pPr>
                    <w:pStyle w:val="Figure"/>
                  </w:pPr>
                  <w:r>
                    <w:t>115</w:t>
                  </w:r>
                </w:p>
              </w:tc>
              <w:tc>
                <w:tcPr>
                  <w:tcW w:w="371" w:type="pct"/>
                  <w:vAlign w:val="center"/>
                </w:tcPr>
                <w:p w14:paraId="336C362B" w14:textId="77777777" w:rsidR="00A6435E" w:rsidRDefault="00A6435E" w:rsidP="004B59D5">
                  <w:pPr>
                    <w:pStyle w:val="Figure"/>
                  </w:pPr>
                  <w:r>
                    <w:t>0.892</w:t>
                  </w:r>
                </w:p>
              </w:tc>
              <w:tc>
                <w:tcPr>
                  <w:tcW w:w="460" w:type="pct"/>
                  <w:vAlign w:val="center"/>
                </w:tcPr>
                <w:p w14:paraId="5966CE1C" w14:textId="77777777" w:rsidR="00A6435E" w:rsidRDefault="00A6435E" w:rsidP="004B59D5">
                  <w:pPr>
                    <w:pStyle w:val="Figure"/>
                  </w:pPr>
                  <w:r>
                    <w:t>0.127</w:t>
                  </w:r>
                </w:p>
              </w:tc>
              <w:tc>
                <w:tcPr>
                  <w:tcW w:w="384" w:type="pct"/>
                  <w:vAlign w:val="center"/>
                </w:tcPr>
                <w:p w14:paraId="57FDF4BE" w14:textId="77777777" w:rsidR="00A6435E" w:rsidRDefault="00A6435E" w:rsidP="004B59D5">
                  <w:pPr>
                    <w:pStyle w:val="Figure"/>
                  </w:pPr>
                  <w:r>
                    <w:t>172</w:t>
                  </w:r>
                </w:p>
              </w:tc>
              <w:tc>
                <w:tcPr>
                  <w:tcW w:w="371" w:type="pct"/>
                  <w:vAlign w:val="center"/>
                </w:tcPr>
                <w:p w14:paraId="44A2FE6E" w14:textId="77777777" w:rsidR="00A6435E" w:rsidRDefault="00A6435E" w:rsidP="004B59D5">
                  <w:pPr>
                    <w:pStyle w:val="Figure"/>
                  </w:pPr>
                  <w:r>
                    <w:t>0.892</w:t>
                  </w:r>
                </w:p>
              </w:tc>
              <w:tc>
                <w:tcPr>
                  <w:tcW w:w="459" w:type="pct"/>
                  <w:vAlign w:val="center"/>
                </w:tcPr>
                <w:p w14:paraId="3C07A0E5" w14:textId="77777777" w:rsidR="00A6435E" w:rsidRDefault="00A6435E" w:rsidP="004B59D5">
                  <w:pPr>
                    <w:pStyle w:val="Figure"/>
                  </w:pPr>
                  <w:r>
                    <w:t>0.148</w:t>
                  </w:r>
                </w:p>
              </w:tc>
              <w:tc>
                <w:tcPr>
                  <w:tcW w:w="403" w:type="pct"/>
                  <w:vAlign w:val="center"/>
                </w:tcPr>
                <w:p w14:paraId="0BB4505B" w14:textId="77777777" w:rsidR="00A6435E" w:rsidRDefault="00A6435E" w:rsidP="004B59D5">
                  <w:pPr>
                    <w:pStyle w:val="Figure"/>
                  </w:pPr>
                  <w:r>
                    <w:t>19</w:t>
                  </w:r>
                </w:p>
              </w:tc>
              <w:tc>
                <w:tcPr>
                  <w:tcW w:w="371" w:type="pct"/>
                  <w:vAlign w:val="center"/>
                </w:tcPr>
                <w:p w14:paraId="1F7B5A66" w14:textId="77777777" w:rsidR="00A6435E" w:rsidRDefault="00A6435E" w:rsidP="004B59D5">
                  <w:pPr>
                    <w:pStyle w:val="Figure"/>
                  </w:pPr>
                  <w:r>
                    <w:t>0.853</w:t>
                  </w:r>
                </w:p>
              </w:tc>
              <w:tc>
                <w:tcPr>
                  <w:tcW w:w="459" w:type="pct"/>
                  <w:vAlign w:val="center"/>
                </w:tcPr>
                <w:p w14:paraId="5A47BC64" w14:textId="77777777" w:rsidR="00A6435E" w:rsidRDefault="00A6435E" w:rsidP="004B59D5">
                  <w:pPr>
                    <w:pStyle w:val="Figure"/>
                  </w:pPr>
                  <w:r>
                    <w:t>0.134</w:t>
                  </w:r>
                </w:p>
              </w:tc>
              <w:tc>
                <w:tcPr>
                  <w:tcW w:w="390" w:type="pct"/>
                  <w:vAlign w:val="center"/>
                </w:tcPr>
                <w:p w14:paraId="0D133128" w14:textId="77777777" w:rsidR="00A6435E" w:rsidRDefault="00A6435E" w:rsidP="004B59D5">
                  <w:pPr>
                    <w:pStyle w:val="Figure"/>
                  </w:pPr>
                  <w:r>
                    <w:t>0.500</w:t>
                  </w:r>
                </w:p>
              </w:tc>
            </w:tr>
            <w:tr w:rsidR="00A6435E" w:rsidRPr="00CE22A1" w14:paraId="0EEF1CC4" w14:textId="77777777" w:rsidTr="004B59D5">
              <w:trPr>
                <w:trHeight w:val="325"/>
              </w:trPr>
              <w:tc>
                <w:tcPr>
                  <w:tcW w:w="921" w:type="pct"/>
                  <w:vAlign w:val="center"/>
                </w:tcPr>
                <w:p w14:paraId="362BD9C5" w14:textId="77777777" w:rsidR="00A6435E" w:rsidRPr="00CE22A1" w:rsidRDefault="00A6435E" w:rsidP="004B59D5">
                  <w:pPr>
                    <w:pStyle w:val="Figure"/>
                    <w:jc w:val="left"/>
                    <w:rPr>
                      <w:b/>
                      <w:bCs/>
                    </w:rPr>
                  </w:pPr>
                </w:p>
              </w:tc>
              <w:tc>
                <w:tcPr>
                  <w:tcW w:w="411" w:type="pct"/>
                  <w:vAlign w:val="center"/>
                </w:tcPr>
                <w:p w14:paraId="4B4E26FE" w14:textId="77777777" w:rsidR="00A6435E" w:rsidRPr="00CE22A1" w:rsidRDefault="00A6435E" w:rsidP="004B59D5">
                  <w:pPr>
                    <w:pStyle w:val="Figure"/>
                    <w:rPr>
                      <w:b/>
                      <w:bCs/>
                    </w:rPr>
                  </w:pPr>
                  <w:r w:rsidRPr="00CE22A1">
                    <w:rPr>
                      <w:b/>
                      <w:bCs/>
                    </w:rPr>
                    <w:t>Total N</w:t>
                  </w:r>
                </w:p>
              </w:tc>
              <w:tc>
                <w:tcPr>
                  <w:tcW w:w="371" w:type="pct"/>
                  <w:vAlign w:val="center"/>
                </w:tcPr>
                <w:p w14:paraId="103AC29B" w14:textId="77777777" w:rsidR="00A6435E" w:rsidRPr="00CE22A1" w:rsidRDefault="00A6435E" w:rsidP="004B59D5">
                  <w:pPr>
                    <w:pStyle w:val="Figure"/>
                    <w:rPr>
                      <w:b/>
                      <w:bCs/>
                    </w:rPr>
                  </w:pPr>
                  <w:r w:rsidRPr="00CE22A1">
                    <w:rPr>
                      <w:b/>
                      <w:bCs/>
                    </w:rPr>
                    <w:t>N</w:t>
                  </w:r>
                </w:p>
              </w:tc>
              <w:tc>
                <w:tcPr>
                  <w:tcW w:w="460" w:type="pct"/>
                  <w:vAlign w:val="center"/>
                </w:tcPr>
                <w:p w14:paraId="3948701A" w14:textId="77777777" w:rsidR="00A6435E" w:rsidRPr="00CE22A1" w:rsidRDefault="00A6435E" w:rsidP="004B59D5">
                  <w:pPr>
                    <w:pStyle w:val="Figure"/>
                    <w:rPr>
                      <w:b/>
                      <w:bCs/>
                    </w:rPr>
                  </w:pPr>
                  <w:r w:rsidRPr="00CE22A1">
                    <w:rPr>
                      <w:b/>
                      <w:bCs/>
                    </w:rPr>
                    <w:t>%</w:t>
                  </w:r>
                </w:p>
              </w:tc>
              <w:tc>
                <w:tcPr>
                  <w:tcW w:w="384" w:type="pct"/>
                  <w:vAlign w:val="center"/>
                </w:tcPr>
                <w:p w14:paraId="2B016D56" w14:textId="77777777" w:rsidR="00A6435E" w:rsidRPr="00CE22A1" w:rsidRDefault="00A6435E" w:rsidP="004B59D5">
                  <w:pPr>
                    <w:pStyle w:val="Figure"/>
                    <w:rPr>
                      <w:b/>
                      <w:bCs/>
                    </w:rPr>
                  </w:pPr>
                  <w:r w:rsidRPr="00CE22A1">
                    <w:rPr>
                      <w:b/>
                      <w:bCs/>
                    </w:rPr>
                    <w:t>Total N</w:t>
                  </w:r>
                </w:p>
              </w:tc>
              <w:tc>
                <w:tcPr>
                  <w:tcW w:w="371" w:type="pct"/>
                  <w:vAlign w:val="center"/>
                </w:tcPr>
                <w:p w14:paraId="70CC588D" w14:textId="77777777" w:rsidR="00A6435E" w:rsidRPr="00CE22A1" w:rsidRDefault="00A6435E" w:rsidP="004B59D5">
                  <w:pPr>
                    <w:pStyle w:val="Figure"/>
                    <w:rPr>
                      <w:b/>
                      <w:bCs/>
                    </w:rPr>
                  </w:pPr>
                  <w:r w:rsidRPr="00CE22A1">
                    <w:rPr>
                      <w:b/>
                      <w:bCs/>
                    </w:rPr>
                    <w:t>N</w:t>
                  </w:r>
                </w:p>
              </w:tc>
              <w:tc>
                <w:tcPr>
                  <w:tcW w:w="459" w:type="pct"/>
                  <w:vAlign w:val="center"/>
                </w:tcPr>
                <w:p w14:paraId="6A6E1108" w14:textId="77777777" w:rsidR="00A6435E" w:rsidRPr="00CE22A1" w:rsidRDefault="00A6435E" w:rsidP="004B59D5">
                  <w:pPr>
                    <w:pStyle w:val="Figure"/>
                    <w:rPr>
                      <w:b/>
                      <w:bCs/>
                    </w:rPr>
                  </w:pPr>
                  <w:r w:rsidRPr="00CE22A1">
                    <w:rPr>
                      <w:b/>
                      <w:bCs/>
                    </w:rPr>
                    <w:t>%</w:t>
                  </w:r>
                </w:p>
              </w:tc>
              <w:tc>
                <w:tcPr>
                  <w:tcW w:w="403" w:type="pct"/>
                  <w:vAlign w:val="center"/>
                </w:tcPr>
                <w:p w14:paraId="1B904AD5" w14:textId="77777777" w:rsidR="00A6435E" w:rsidRPr="00CE22A1" w:rsidRDefault="00A6435E" w:rsidP="004B59D5">
                  <w:pPr>
                    <w:pStyle w:val="Figure"/>
                    <w:rPr>
                      <w:b/>
                      <w:bCs/>
                    </w:rPr>
                  </w:pPr>
                  <w:r w:rsidRPr="00CE22A1">
                    <w:rPr>
                      <w:b/>
                      <w:bCs/>
                    </w:rPr>
                    <w:t>Total N</w:t>
                  </w:r>
                </w:p>
              </w:tc>
              <w:tc>
                <w:tcPr>
                  <w:tcW w:w="371" w:type="pct"/>
                  <w:vAlign w:val="center"/>
                </w:tcPr>
                <w:p w14:paraId="09938893" w14:textId="77777777" w:rsidR="00A6435E" w:rsidRPr="00CE22A1" w:rsidRDefault="00A6435E" w:rsidP="004B59D5">
                  <w:pPr>
                    <w:pStyle w:val="Figure"/>
                    <w:rPr>
                      <w:b/>
                      <w:bCs/>
                    </w:rPr>
                  </w:pPr>
                  <w:r w:rsidRPr="00CE22A1">
                    <w:rPr>
                      <w:b/>
                      <w:bCs/>
                    </w:rPr>
                    <w:t>N</w:t>
                  </w:r>
                </w:p>
              </w:tc>
              <w:tc>
                <w:tcPr>
                  <w:tcW w:w="459" w:type="pct"/>
                  <w:vAlign w:val="center"/>
                </w:tcPr>
                <w:p w14:paraId="7BEB35E8" w14:textId="77777777" w:rsidR="00A6435E" w:rsidRPr="00CE22A1" w:rsidRDefault="00A6435E" w:rsidP="004B59D5">
                  <w:pPr>
                    <w:pStyle w:val="Figure"/>
                    <w:rPr>
                      <w:b/>
                      <w:bCs/>
                    </w:rPr>
                  </w:pPr>
                  <w:r w:rsidRPr="00CE22A1">
                    <w:rPr>
                      <w:b/>
                      <w:bCs/>
                    </w:rPr>
                    <w:t>%</w:t>
                  </w:r>
                </w:p>
              </w:tc>
              <w:tc>
                <w:tcPr>
                  <w:tcW w:w="390" w:type="pct"/>
                  <w:vAlign w:val="center"/>
                </w:tcPr>
                <w:p w14:paraId="09800291" w14:textId="77777777" w:rsidR="00A6435E" w:rsidRPr="00CE22A1" w:rsidRDefault="00A6435E" w:rsidP="004B59D5">
                  <w:pPr>
                    <w:pStyle w:val="Figure"/>
                    <w:rPr>
                      <w:b/>
                      <w:bCs/>
                    </w:rPr>
                  </w:pPr>
                  <w:r w:rsidRPr="00CE22A1">
                    <w:rPr>
                      <w:b/>
                      <w:bCs/>
                    </w:rPr>
                    <w:t>p-value</w:t>
                  </w:r>
                  <w:r w:rsidRPr="00CE22A1">
                    <w:rPr>
                      <w:b/>
                      <w:bCs/>
                      <w:vertAlign w:val="superscript"/>
                    </w:rPr>
                    <w:t>1</w:t>
                  </w:r>
                </w:p>
              </w:tc>
            </w:tr>
            <w:tr w:rsidR="00A6435E" w14:paraId="28D9414C" w14:textId="77777777" w:rsidTr="004B59D5">
              <w:trPr>
                <w:trHeight w:val="325"/>
              </w:trPr>
              <w:tc>
                <w:tcPr>
                  <w:tcW w:w="921" w:type="pct"/>
                  <w:vAlign w:val="center"/>
                </w:tcPr>
                <w:p w14:paraId="062F4580" w14:textId="77777777" w:rsidR="00A6435E" w:rsidRDefault="00A6435E" w:rsidP="004B59D5">
                  <w:pPr>
                    <w:pStyle w:val="Figure"/>
                    <w:jc w:val="left"/>
                  </w:pPr>
                  <w:r>
                    <w:t>Female sex</w:t>
                  </w:r>
                </w:p>
              </w:tc>
              <w:tc>
                <w:tcPr>
                  <w:tcW w:w="411" w:type="pct"/>
                  <w:vAlign w:val="center"/>
                </w:tcPr>
                <w:p w14:paraId="5E89FF1D" w14:textId="77777777" w:rsidR="00A6435E" w:rsidRDefault="00A6435E" w:rsidP="004B59D5">
                  <w:pPr>
                    <w:pStyle w:val="Figure"/>
                  </w:pPr>
                  <w:r>
                    <w:t>139</w:t>
                  </w:r>
                </w:p>
              </w:tc>
              <w:tc>
                <w:tcPr>
                  <w:tcW w:w="371" w:type="pct"/>
                  <w:vAlign w:val="center"/>
                </w:tcPr>
                <w:p w14:paraId="6F0CDD8A" w14:textId="77777777" w:rsidR="00A6435E" w:rsidRDefault="00A6435E" w:rsidP="004B59D5">
                  <w:pPr>
                    <w:pStyle w:val="Figure"/>
                  </w:pPr>
                  <w:r>
                    <w:t>62</w:t>
                  </w:r>
                </w:p>
              </w:tc>
              <w:tc>
                <w:tcPr>
                  <w:tcW w:w="460" w:type="pct"/>
                  <w:vAlign w:val="center"/>
                </w:tcPr>
                <w:p w14:paraId="5B9BE773" w14:textId="77777777" w:rsidR="00A6435E" w:rsidRDefault="00A6435E" w:rsidP="004B59D5">
                  <w:pPr>
                    <w:pStyle w:val="Figure"/>
                  </w:pPr>
                  <w:r>
                    <w:t>44.6</w:t>
                  </w:r>
                </w:p>
              </w:tc>
              <w:tc>
                <w:tcPr>
                  <w:tcW w:w="384" w:type="pct"/>
                  <w:vAlign w:val="center"/>
                </w:tcPr>
                <w:p w14:paraId="070B0B69" w14:textId="77777777" w:rsidR="00A6435E" w:rsidRDefault="00A6435E" w:rsidP="004B59D5">
                  <w:pPr>
                    <w:pStyle w:val="Figure"/>
                  </w:pPr>
                  <w:r>
                    <w:t>233</w:t>
                  </w:r>
                </w:p>
              </w:tc>
              <w:tc>
                <w:tcPr>
                  <w:tcW w:w="371" w:type="pct"/>
                  <w:vAlign w:val="center"/>
                </w:tcPr>
                <w:p w14:paraId="4DC16C72" w14:textId="77777777" w:rsidR="00A6435E" w:rsidRDefault="00A6435E" w:rsidP="004B59D5">
                  <w:pPr>
                    <w:pStyle w:val="Figure"/>
                  </w:pPr>
                  <w:r>
                    <w:t>125</w:t>
                  </w:r>
                </w:p>
              </w:tc>
              <w:tc>
                <w:tcPr>
                  <w:tcW w:w="459" w:type="pct"/>
                  <w:vAlign w:val="center"/>
                </w:tcPr>
                <w:p w14:paraId="106A3F30" w14:textId="77777777" w:rsidR="00A6435E" w:rsidRDefault="00A6435E" w:rsidP="004B59D5">
                  <w:pPr>
                    <w:pStyle w:val="Figure"/>
                  </w:pPr>
                  <w:r>
                    <w:t>53.6</w:t>
                  </w:r>
                </w:p>
              </w:tc>
              <w:tc>
                <w:tcPr>
                  <w:tcW w:w="403" w:type="pct"/>
                  <w:vAlign w:val="center"/>
                </w:tcPr>
                <w:p w14:paraId="5706CBE2" w14:textId="77777777" w:rsidR="00A6435E" w:rsidRDefault="00A6435E" w:rsidP="004B59D5">
                  <w:pPr>
                    <w:pStyle w:val="Figure"/>
                  </w:pPr>
                  <w:r>
                    <w:t>33</w:t>
                  </w:r>
                </w:p>
              </w:tc>
              <w:tc>
                <w:tcPr>
                  <w:tcW w:w="371" w:type="pct"/>
                  <w:vAlign w:val="center"/>
                </w:tcPr>
                <w:p w14:paraId="3AC886D3" w14:textId="77777777" w:rsidR="00A6435E" w:rsidRDefault="00A6435E" w:rsidP="004B59D5">
                  <w:pPr>
                    <w:pStyle w:val="Figure"/>
                  </w:pPr>
                  <w:r>
                    <w:t>19</w:t>
                  </w:r>
                </w:p>
              </w:tc>
              <w:tc>
                <w:tcPr>
                  <w:tcW w:w="459" w:type="pct"/>
                  <w:vAlign w:val="center"/>
                </w:tcPr>
                <w:p w14:paraId="39E931CE" w14:textId="77777777" w:rsidR="00A6435E" w:rsidRDefault="00A6435E" w:rsidP="004B59D5">
                  <w:pPr>
                    <w:pStyle w:val="Figure"/>
                  </w:pPr>
                  <w:r>
                    <w:t>57.6</w:t>
                  </w:r>
                </w:p>
              </w:tc>
              <w:tc>
                <w:tcPr>
                  <w:tcW w:w="390" w:type="pct"/>
                  <w:vAlign w:val="center"/>
                </w:tcPr>
                <w:p w14:paraId="42288DEB" w14:textId="77777777" w:rsidR="00A6435E" w:rsidRDefault="00A6435E" w:rsidP="004B59D5">
                  <w:pPr>
                    <w:pStyle w:val="Figure"/>
                  </w:pPr>
                  <w:r>
                    <w:t>0.174</w:t>
                  </w:r>
                </w:p>
              </w:tc>
            </w:tr>
            <w:tr w:rsidR="00A6435E" w14:paraId="0FE08E64" w14:textId="77777777" w:rsidTr="004B59D5">
              <w:trPr>
                <w:trHeight w:val="325"/>
              </w:trPr>
              <w:tc>
                <w:tcPr>
                  <w:tcW w:w="921" w:type="pct"/>
                  <w:vAlign w:val="center"/>
                </w:tcPr>
                <w:p w14:paraId="31AABAAE" w14:textId="77777777" w:rsidR="00A6435E" w:rsidRDefault="00A6435E" w:rsidP="004B59D5">
                  <w:pPr>
                    <w:pStyle w:val="Figure"/>
                    <w:jc w:val="left"/>
                  </w:pPr>
                  <w:r>
                    <w:t>Unintentional weight lost</w:t>
                  </w:r>
                </w:p>
              </w:tc>
              <w:tc>
                <w:tcPr>
                  <w:tcW w:w="411" w:type="pct"/>
                  <w:vAlign w:val="center"/>
                </w:tcPr>
                <w:p w14:paraId="7DC87648" w14:textId="77777777" w:rsidR="00A6435E" w:rsidRDefault="00A6435E" w:rsidP="004B59D5">
                  <w:pPr>
                    <w:pStyle w:val="Figure"/>
                  </w:pPr>
                  <w:r>
                    <w:t>139</w:t>
                  </w:r>
                </w:p>
              </w:tc>
              <w:tc>
                <w:tcPr>
                  <w:tcW w:w="371" w:type="pct"/>
                  <w:vAlign w:val="center"/>
                </w:tcPr>
                <w:p w14:paraId="0E6E9687" w14:textId="77777777" w:rsidR="00A6435E" w:rsidRDefault="00A6435E" w:rsidP="004B59D5">
                  <w:pPr>
                    <w:pStyle w:val="Figure"/>
                  </w:pPr>
                  <w:r>
                    <w:t>0</w:t>
                  </w:r>
                </w:p>
              </w:tc>
              <w:tc>
                <w:tcPr>
                  <w:tcW w:w="460" w:type="pct"/>
                  <w:vAlign w:val="center"/>
                </w:tcPr>
                <w:p w14:paraId="439181F3" w14:textId="77777777" w:rsidR="00A6435E" w:rsidRDefault="00A6435E" w:rsidP="004B59D5">
                  <w:pPr>
                    <w:pStyle w:val="Figure"/>
                  </w:pPr>
                  <w:r>
                    <w:t>0</w:t>
                  </w:r>
                </w:p>
              </w:tc>
              <w:tc>
                <w:tcPr>
                  <w:tcW w:w="384" w:type="pct"/>
                  <w:vAlign w:val="center"/>
                </w:tcPr>
                <w:p w14:paraId="40331700" w14:textId="77777777" w:rsidR="00A6435E" w:rsidRDefault="00A6435E" w:rsidP="004B59D5">
                  <w:pPr>
                    <w:pStyle w:val="Figure"/>
                  </w:pPr>
                  <w:r>
                    <w:t>232</w:t>
                  </w:r>
                </w:p>
              </w:tc>
              <w:tc>
                <w:tcPr>
                  <w:tcW w:w="371" w:type="pct"/>
                  <w:vAlign w:val="center"/>
                </w:tcPr>
                <w:p w14:paraId="03063F09" w14:textId="77777777" w:rsidR="00A6435E" w:rsidRDefault="00A6435E" w:rsidP="004B59D5">
                  <w:pPr>
                    <w:pStyle w:val="Figure"/>
                  </w:pPr>
                  <w:r>
                    <w:t>8</w:t>
                  </w:r>
                </w:p>
              </w:tc>
              <w:tc>
                <w:tcPr>
                  <w:tcW w:w="459" w:type="pct"/>
                  <w:vAlign w:val="center"/>
                </w:tcPr>
                <w:p w14:paraId="21ACDC31" w14:textId="77777777" w:rsidR="00A6435E" w:rsidRDefault="00A6435E" w:rsidP="004B59D5">
                  <w:pPr>
                    <w:pStyle w:val="Figure"/>
                  </w:pPr>
                  <w:r>
                    <w:t>3.4</w:t>
                  </w:r>
                </w:p>
              </w:tc>
              <w:tc>
                <w:tcPr>
                  <w:tcW w:w="403" w:type="pct"/>
                  <w:vAlign w:val="center"/>
                </w:tcPr>
                <w:p w14:paraId="7F8805D0" w14:textId="77777777" w:rsidR="00A6435E" w:rsidRDefault="00A6435E" w:rsidP="004B59D5">
                  <w:pPr>
                    <w:pStyle w:val="Figure"/>
                  </w:pPr>
                  <w:r>
                    <w:t>33</w:t>
                  </w:r>
                </w:p>
              </w:tc>
              <w:tc>
                <w:tcPr>
                  <w:tcW w:w="371" w:type="pct"/>
                  <w:vAlign w:val="center"/>
                </w:tcPr>
                <w:p w14:paraId="2053EE61" w14:textId="77777777" w:rsidR="00A6435E" w:rsidRDefault="00A6435E" w:rsidP="004B59D5">
                  <w:pPr>
                    <w:pStyle w:val="Figure"/>
                  </w:pPr>
                  <w:r>
                    <w:t>8</w:t>
                  </w:r>
                </w:p>
              </w:tc>
              <w:tc>
                <w:tcPr>
                  <w:tcW w:w="459" w:type="pct"/>
                  <w:vAlign w:val="center"/>
                </w:tcPr>
                <w:p w14:paraId="4EECD5C8" w14:textId="77777777" w:rsidR="00A6435E" w:rsidRDefault="00A6435E" w:rsidP="004B59D5">
                  <w:pPr>
                    <w:pStyle w:val="Figure"/>
                  </w:pPr>
                  <w:r>
                    <w:t>24.2</w:t>
                  </w:r>
                </w:p>
              </w:tc>
              <w:tc>
                <w:tcPr>
                  <w:tcW w:w="390" w:type="pct"/>
                  <w:vAlign w:val="center"/>
                </w:tcPr>
                <w:p w14:paraId="6ED22BA0" w14:textId="77777777" w:rsidR="00A6435E" w:rsidRPr="001146D5" w:rsidRDefault="00A6435E" w:rsidP="004B59D5">
                  <w:pPr>
                    <w:pStyle w:val="Figure"/>
                    <w:rPr>
                      <w:b/>
                      <w:bCs/>
                    </w:rPr>
                  </w:pPr>
                  <w:r w:rsidRPr="001146D5">
                    <w:rPr>
                      <w:b/>
                      <w:bCs/>
                      <w:color w:val="FF0000"/>
                    </w:rPr>
                    <w:t>&lt;0.001*</w:t>
                  </w:r>
                </w:p>
              </w:tc>
            </w:tr>
            <w:tr w:rsidR="00A6435E" w14:paraId="2C5103C2" w14:textId="77777777" w:rsidTr="004B59D5">
              <w:trPr>
                <w:trHeight w:val="325"/>
              </w:trPr>
              <w:tc>
                <w:tcPr>
                  <w:tcW w:w="921" w:type="pct"/>
                  <w:vAlign w:val="center"/>
                </w:tcPr>
                <w:p w14:paraId="34C35025" w14:textId="77777777" w:rsidR="00A6435E" w:rsidRDefault="00A6435E" w:rsidP="004B59D5">
                  <w:pPr>
                    <w:pStyle w:val="Figure"/>
                    <w:jc w:val="left"/>
                  </w:pPr>
                  <w:r>
                    <w:t>Self-reported exhaustion</w:t>
                  </w:r>
                </w:p>
              </w:tc>
              <w:tc>
                <w:tcPr>
                  <w:tcW w:w="411" w:type="pct"/>
                  <w:vAlign w:val="center"/>
                </w:tcPr>
                <w:p w14:paraId="43E66FA9" w14:textId="77777777" w:rsidR="00A6435E" w:rsidRDefault="00A6435E" w:rsidP="004B59D5">
                  <w:pPr>
                    <w:pStyle w:val="Figure"/>
                  </w:pPr>
                  <w:r>
                    <w:t>139</w:t>
                  </w:r>
                </w:p>
              </w:tc>
              <w:tc>
                <w:tcPr>
                  <w:tcW w:w="371" w:type="pct"/>
                  <w:vAlign w:val="center"/>
                </w:tcPr>
                <w:p w14:paraId="7A568686" w14:textId="77777777" w:rsidR="00A6435E" w:rsidRDefault="00A6435E" w:rsidP="004B59D5">
                  <w:pPr>
                    <w:pStyle w:val="Figure"/>
                  </w:pPr>
                  <w:r>
                    <w:t>0</w:t>
                  </w:r>
                </w:p>
              </w:tc>
              <w:tc>
                <w:tcPr>
                  <w:tcW w:w="460" w:type="pct"/>
                  <w:vAlign w:val="center"/>
                </w:tcPr>
                <w:p w14:paraId="6473C49A" w14:textId="77777777" w:rsidR="00A6435E" w:rsidRDefault="00A6435E" w:rsidP="004B59D5">
                  <w:pPr>
                    <w:pStyle w:val="Figure"/>
                  </w:pPr>
                  <w:r>
                    <w:t>0</w:t>
                  </w:r>
                </w:p>
              </w:tc>
              <w:tc>
                <w:tcPr>
                  <w:tcW w:w="384" w:type="pct"/>
                  <w:vAlign w:val="center"/>
                </w:tcPr>
                <w:p w14:paraId="484A46F3" w14:textId="77777777" w:rsidR="00A6435E" w:rsidRDefault="00A6435E" w:rsidP="004B59D5">
                  <w:pPr>
                    <w:pStyle w:val="Figure"/>
                  </w:pPr>
                  <w:r>
                    <w:t>233</w:t>
                  </w:r>
                </w:p>
              </w:tc>
              <w:tc>
                <w:tcPr>
                  <w:tcW w:w="371" w:type="pct"/>
                  <w:vAlign w:val="center"/>
                </w:tcPr>
                <w:p w14:paraId="6490AD8B" w14:textId="77777777" w:rsidR="00A6435E" w:rsidRDefault="00A6435E" w:rsidP="004B59D5">
                  <w:pPr>
                    <w:pStyle w:val="Figure"/>
                  </w:pPr>
                  <w:r>
                    <w:t>23</w:t>
                  </w:r>
                </w:p>
              </w:tc>
              <w:tc>
                <w:tcPr>
                  <w:tcW w:w="459" w:type="pct"/>
                  <w:vAlign w:val="center"/>
                </w:tcPr>
                <w:p w14:paraId="1D5EA276" w14:textId="77777777" w:rsidR="00A6435E" w:rsidRDefault="00A6435E" w:rsidP="004B59D5">
                  <w:pPr>
                    <w:pStyle w:val="Figure"/>
                  </w:pPr>
                  <w:r>
                    <w:t>9.9</w:t>
                  </w:r>
                </w:p>
              </w:tc>
              <w:tc>
                <w:tcPr>
                  <w:tcW w:w="403" w:type="pct"/>
                  <w:vAlign w:val="center"/>
                </w:tcPr>
                <w:p w14:paraId="528B5119" w14:textId="77777777" w:rsidR="00A6435E" w:rsidRDefault="00A6435E" w:rsidP="004B59D5">
                  <w:pPr>
                    <w:pStyle w:val="Figure"/>
                  </w:pPr>
                  <w:r>
                    <w:t>33</w:t>
                  </w:r>
                </w:p>
              </w:tc>
              <w:tc>
                <w:tcPr>
                  <w:tcW w:w="371" w:type="pct"/>
                  <w:vAlign w:val="center"/>
                </w:tcPr>
                <w:p w14:paraId="45B309D1" w14:textId="77777777" w:rsidR="00A6435E" w:rsidRDefault="00A6435E" w:rsidP="004B59D5">
                  <w:pPr>
                    <w:pStyle w:val="Figure"/>
                  </w:pPr>
                  <w:r>
                    <w:t>25</w:t>
                  </w:r>
                </w:p>
              </w:tc>
              <w:tc>
                <w:tcPr>
                  <w:tcW w:w="459" w:type="pct"/>
                  <w:vAlign w:val="center"/>
                </w:tcPr>
                <w:p w14:paraId="008C79AF" w14:textId="77777777" w:rsidR="00A6435E" w:rsidRDefault="00A6435E" w:rsidP="004B59D5">
                  <w:pPr>
                    <w:pStyle w:val="Figure"/>
                  </w:pPr>
                  <w:r>
                    <w:t>75.8</w:t>
                  </w:r>
                </w:p>
              </w:tc>
              <w:tc>
                <w:tcPr>
                  <w:tcW w:w="390" w:type="pct"/>
                  <w:vAlign w:val="center"/>
                </w:tcPr>
                <w:p w14:paraId="2824F17D" w14:textId="77777777" w:rsidR="00A6435E" w:rsidRPr="001146D5" w:rsidRDefault="00A6435E" w:rsidP="004B59D5">
                  <w:pPr>
                    <w:pStyle w:val="Figure"/>
                    <w:rPr>
                      <w:b/>
                      <w:bCs/>
                    </w:rPr>
                  </w:pPr>
                  <w:r w:rsidRPr="001146D5">
                    <w:rPr>
                      <w:b/>
                      <w:bCs/>
                      <w:color w:val="FF0000"/>
                    </w:rPr>
                    <w:t>&lt;0.001*</w:t>
                  </w:r>
                </w:p>
              </w:tc>
            </w:tr>
            <w:tr w:rsidR="00A6435E" w14:paraId="7DC27BBC" w14:textId="77777777" w:rsidTr="004B59D5">
              <w:trPr>
                <w:trHeight w:val="325"/>
              </w:trPr>
              <w:tc>
                <w:tcPr>
                  <w:tcW w:w="921" w:type="pct"/>
                  <w:vAlign w:val="center"/>
                </w:tcPr>
                <w:p w14:paraId="3B09E30F" w14:textId="77777777" w:rsidR="00A6435E" w:rsidRDefault="00A6435E" w:rsidP="004B59D5">
                  <w:pPr>
                    <w:pStyle w:val="Figure"/>
                    <w:jc w:val="left"/>
                  </w:pPr>
                  <w:r>
                    <w:t xml:space="preserve">Low grip strength </w:t>
                  </w:r>
                  <w:r>
                    <w:br/>
                    <w:t>(&lt;27kg men; &lt;16kg women)</w:t>
                  </w:r>
                </w:p>
              </w:tc>
              <w:tc>
                <w:tcPr>
                  <w:tcW w:w="411" w:type="pct"/>
                  <w:vAlign w:val="center"/>
                </w:tcPr>
                <w:p w14:paraId="055893C7" w14:textId="77777777" w:rsidR="00A6435E" w:rsidRDefault="00A6435E" w:rsidP="004B59D5">
                  <w:pPr>
                    <w:pStyle w:val="Figure"/>
                  </w:pPr>
                  <w:r>
                    <w:t>139</w:t>
                  </w:r>
                </w:p>
              </w:tc>
              <w:tc>
                <w:tcPr>
                  <w:tcW w:w="371" w:type="pct"/>
                  <w:vAlign w:val="center"/>
                </w:tcPr>
                <w:p w14:paraId="3229E281" w14:textId="77777777" w:rsidR="00A6435E" w:rsidRDefault="00A6435E" w:rsidP="004B59D5">
                  <w:pPr>
                    <w:pStyle w:val="Figure"/>
                  </w:pPr>
                  <w:r>
                    <w:t>0</w:t>
                  </w:r>
                </w:p>
              </w:tc>
              <w:tc>
                <w:tcPr>
                  <w:tcW w:w="460" w:type="pct"/>
                  <w:vAlign w:val="center"/>
                </w:tcPr>
                <w:p w14:paraId="0BE344F6" w14:textId="77777777" w:rsidR="00A6435E" w:rsidRDefault="00A6435E" w:rsidP="004B59D5">
                  <w:pPr>
                    <w:pStyle w:val="Figure"/>
                  </w:pPr>
                  <w:r>
                    <w:t>0</w:t>
                  </w:r>
                </w:p>
              </w:tc>
              <w:tc>
                <w:tcPr>
                  <w:tcW w:w="384" w:type="pct"/>
                  <w:vAlign w:val="center"/>
                </w:tcPr>
                <w:p w14:paraId="28D93988" w14:textId="77777777" w:rsidR="00A6435E" w:rsidRDefault="00A6435E" w:rsidP="004B59D5">
                  <w:pPr>
                    <w:pStyle w:val="Figure"/>
                  </w:pPr>
                  <w:r>
                    <w:t>233</w:t>
                  </w:r>
                </w:p>
              </w:tc>
              <w:tc>
                <w:tcPr>
                  <w:tcW w:w="371" w:type="pct"/>
                  <w:vAlign w:val="center"/>
                </w:tcPr>
                <w:p w14:paraId="3080D7AC" w14:textId="77777777" w:rsidR="00A6435E" w:rsidRDefault="00A6435E" w:rsidP="004B59D5">
                  <w:pPr>
                    <w:pStyle w:val="Figure"/>
                  </w:pPr>
                  <w:r>
                    <w:t>27</w:t>
                  </w:r>
                </w:p>
              </w:tc>
              <w:tc>
                <w:tcPr>
                  <w:tcW w:w="459" w:type="pct"/>
                  <w:vAlign w:val="center"/>
                </w:tcPr>
                <w:p w14:paraId="59DE9CFA" w14:textId="77777777" w:rsidR="00A6435E" w:rsidRDefault="00A6435E" w:rsidP="004B59D5">
                  <w:pPr>
                    <w:pStyle w:val="Figure"/>
                  </w:pPr>
                  <w:r>
                    <w:t>11.6</w:t>
                  </w:r>
                </w:p>
              </w:tc>
              <w:tc>
                <w:tcPr>
                  <w:tcW w:w="403" w:type="pct"/>
                  <w:vAlign w:val="center"/>
                </w:tcPr>
                <w:p w14:paraId="4C390533" w14:textId="77777777" w:rsidR="00A6435E" w:rsidRDefault="00A6435E" w:rsidP="004B59D5">
                  <w:pPr>
                    <w:pStyle w:val="Figure"/>
                  </w:pPr>
                  <w:r>
                    <w:t>33</w:t>
                  </w:r>
                </w:p>
              </w:tc>
              <w:tc>
                <w:tcPr>
                  <w:tcW w:w="371" w:type="pct"/>
                  <w:vAlign w:val="center"/>
                </w:tcPr>
                <w:p w14:paraId="42896253" w14:textId="77777777" w:rsidR="00A6435E" w:rsidRDefault="00A6435E" w:rsidP="004B59D5">
                  <w:pPr>
                    <w:pStyle w:val="Figure"/>
                  </w:pPr>
                  <w:r>
                    <w:t>20</w:t>
                  </w:r>
                </w:p>
              </w:tc>
              <w:tc>
                <w:tcPr>
                  <w:tcW w:w="459" w:type="pct"/>
                  <w:vAlign w:val="center"/>
                </w:tcPr>
                <w:p w14:paraId="2B8DDA1A" w14:textId="77777777" w:rsidR="00A6435E" w:rsidRDefault="00A6435E" w:rsidP="004B59D5">
                  <w:pPr>
                    <w:pStyle w:val="Figure"/>
                  </w:pPr>
                  <w:r>
                    <w:t>60.6</w:t>
                  </w:r>
                </w:p>
              </w:tc>
              <w:tc>
                <w:tcPr>
                  <w:tcW w:w="390" w:type="pct"/>
                  <w:vAlign w:val="center"/>
                </w:tcPr>
                <w:p w14:paraId="7BF4EA03" w14:textId="77777777" w:rsidR="00A6435E" w:rsidRPr="001146D5" w:rsidRDefault="00A6435E" w:rsidP="004B59D5">
                  <w:pPr>
                    <w:pStyle w:val="Figure"/>
                    <w:rPr>
                      <w:b/>
                      <w:bCs/>
                    </w:rPr>
                  </w:pPr>
                  <w:r w:rsidRPr="001146D5">
                    <w:rPr>
                      <w:b/>
                      <w:bCs/>
                      <w:color w:val="FF0000"/>
                    </w:rPr>
                    <w:t>&lt;0.001*</w:t>
                  </w:r>
                </w:p>
              </w:tc>
            </w:tr>
            <w:tr w:rsidR="00A6435E" w14:paraId="16CA0F02" w14:textId="77777777" w:rsidTr="004B59D5">
              <w:trPr>
                <w:trHeight w:val="325"/>
              </w:trPr>
              <w:tc>
                <w:tcPr>
                  <w:tcW w:w="921" w:type="pct"/>
                  <w:vAlign w:val="center"/>
                </w:tcPr>
                <w:p w14:paraId="2911C4DF" w14:textId="77777777" w:rsidR="00A6435E" w:rsidRDefault="00A6435E" w:rsidP="004B59D5">
                  <w:pPr>
                    <w:pStyle w:val="Figure"/>
                    <w:jc w:val="left"/>
                  </w:pPr>
                  <w:r>
                    <w:t>Low walking speed (≤0.8 m/s)</w:t>
                  </w:r>
                </w:p>
              </w:tc>
              <w:tc>
                <w:tcPr>
                  <w:tcW w:w="411" w:type="pct"/>
                  <w:vAlign w:val="center"/>
                </w:tcPr>
                <w:p w14:paraId="29BA764E" w14:textId="77777777" w:rsidR="00A6435E" w:rsidRDefault="00A6435E" w:rsidP="004B59D5">
                  <w:pPr>
                    <w:pStyle w:val="Figure"/>
                  </w:pPr>
                  <w:r>
                    <w:t>139</w:t>
                  </w:r>
                </w:p>
              </w:tc>
              <w:tc>
                <w:tcPr>
                  <w:tcW w:w="371" w:type="pct"/>
                  <w:vAlign w:val="center"/>
                </w:tcPr>
                <w:p w14:paraId="71595943" w14:textId="77777777" w:rsidR="00A6435E" w:rsidRDefault="00A6435E" w:rsidP="004B59D5">
                  <w:pPr>
                    <w:pStyle w:val="Figure"/>
                  </w:pPr>
                  <w:r>
                    <w:t>0</w:t>
                  </w:r>
                </w:p>
              </w:tc>
              <w:tc>
                <w:tcPr>
                  <w:tcW w:w="460" w:type="pct"/>
                  <w:vAlign w:val="center"/>
                </w:tcPr>
                <w:p w14:paraId="0BC251C2" w14:textId="77777777" w:rsidR="00A6435E" w:rsidRDefault="00A6435E" w:rsidP="004B59D5">
                  <w:pPr>
                    <w:pStyle w:val="Figure"/>
                  </w:pPr>
                  <w:r>
                    <w:t>0</w:t>
                  </w:r>
                </w:p>
              </w:tc>
              <w:tc>
                <w:tcPr>
                  <w:tcW w:w="384" w:type="pct"/>
                  <w:vAlign w:val="center"/>
                </w:tcPr>
                <w:p w14:paraId="38C7410A" w14:textId="77777777" w:rsidR="00A6435E" w:rsidRDefault="00A6435E" w:rsidP="004B59D5">
                  <w:pPr>
                    <w:pStyle w:val="Figure"/>
                  </w:pPr>
                  <w:r>
                    <w:t>225</w:t>
                  </w:r>
                </w:p>
              </w:tc>
              <w:tc>
                <w:tcPr>
                  <w:tcW w:w="371" w:type="pct"/>
                  <w:vAlign w:val="center"/>
                </w:tcPr>
                <w:p w14:paraId="4F16F400" w14:textId="77777777" w:rsidR="00A6435E" w:rsidRDefault="00A6435E" w:rsidP="004B59D5">
                  <w:pPr>
                    <w:pStyle w:val="Figure"/>
                  </w:pPr>
                  <w:r>
                    <w:t>189</w:t>
                  </w:r>
                </w:p>
              </w:tc>
              <w:tc>
                <w:tcPr>
                  <w:tcW w:w="459" w:type="pct"/>
                  <w:vAlign w:val="center"/>
                </w:tcPr>
                <w:p w14:paraId="3E9B75E6" w14:textId="77777777" w:rsidR="00A6435E" w:rsidRDefault="00A6435E" w:rsidP="004B59D5">
                  <w:pPr>
                    <w:pStyle w:val="Figure"/>
                  </w:pPr>
                  <w:r>
                    <w:t>84.0</w:t>
                  </w:r>
                </w:p>
              </w:tc>
              <w:tc>
                <w:tcPr>
                  <w:tcW w:w="403" w:type="pct"/>
                  <w:vAlign w:val="center"/>
                </w:tcPr>
                <w:p w14:paraId="6D06C07C" w14:textId="77777777" w:rsidR="00A6435E" w:rsidRDefault="00A6435E" w:rsidP="004B59D5">
                  <w:pPr>
                    <w:pStyle w:val="Figure"/>
                  </w:pPr>
                  <w:r>
                    <w:t>29</w:t>
                  </w:r>
                </w:p>
              </w:tc>
              <w:tc>
                <w:tcPr>
                  <w:tcW w:w="371" w:type="pct"/>
                  <w:vAlign w:val="center"/>
                </w:tcPr>
                <w:p w14:paraId="37133D46" w14:textId="77777777" w:rsidR="00A6435E" w:rsidRDefault="00A6435E" w:rsidP="004B59D5">
                  <w:pPr>
                    <w:pStyle w:val="Figure"/>
                  </w:pPr>
                  <w:r>
                    <w:t>28</w:t>
                  </w:r>
                </w:p>
              </w:tc>
              <w:tc>
                <w:tcPr>
                  <w:tcW w:w="459" w:type="pct"/>
                  <w:vAlign w:val="center"/>
                </w:tcPr>
                <w:p w14:paraId="78227361" w14:textId="77777777" w:rsidR="00A6435E" w:rsidRDefault="00A6435E" w:rsidP="004B59D5">
                  <w:pPr>
                    <w:pStyle w:val="Figure"/>
                  </w:pPr>
                  <w:r>
                    <w:t>96.6</w:t>
                  </w:r>
                </w:p>
              </w:tc>
              <w:tc>
                <w:tcPr>
                  <w:tcW w:w="390" w:type="pct"/>
                  <w:vAlign w:val="center"/>
                </w:tcPr>
                <w:p w14:paraId="5CB13EFB" w14:textId="77777777" w:rsidR="00A6435E" w:rsidRPr="001146D5" w:rsidRDefault="00A6435E" w:rsidP="004B59D5">
                  <w:pPr>
                    <w:pStyle w:val="Figure"/>
                    <w:rPr>
                      <w:b/>
                      <w:bCs/>
                    </w:rPr>
                  </w:pPr>
                  <w:r w:rsidRPr="001146D5">
                    <w:rPr>
                      <w:b/>
                      <w:bCs/>
                      <w:color w:val="FF0000"/>
                    </w:rPr>
                    <w:t>&lt;0.001*</w:t>
                  </w:r>
                </w:p>
              </w:tc>
            </w:tr>
            <w:tr w:rsidR="00A6435E" w14:paraId="225F9E5E" w14:textId="77777777" w:rsidTr="004B59D5">
              <w:trPr>
                <w:trHeight w:val="325"/>
              </w:trPr>
              <w:tc>
                <w:tcPr>
                  <w:tcW w:w="921" w:type="pct"/>
                  <w:vAlign w:val="center"/>
                </w:tcPr>
                <w:p w14:paraId="60AE81D0" w14:textId="77777777" w:rsidR="00A6435E" w:rsidRDefault="00A6435E" w:rsidP="004B59D5">
                  <w:pPr>
                    <w:pStyle w:val="Figure"/>
                    <w:jc w:val="left"/>
                  </w:pPr>
                  <w:r>
                    <w:t>Low physical activity</w:t>
                  </w:r>
                  <w:r>
                    <w:rPr>
                      <w:vertAlign w:val="superscript"/>
                    </w:rPr>
                    <w:t>4</w:t>
                  </w:r>
                </w:p>
              </w:tc>
              <w:tc>
                <w:tcPr>
                  <w:tcW w:w="411" w:type="pct"/>
                  <w:vAlign w:val="center"/>
                </w:tcPr>
                <w:p w14:paraId="21B6EA59" w14:textId="77777777" w:rsidR="00A6435E" w:rsidRDefault="00A6435E" w:rsidP="004B59D5">
                  <w:pPr>
                    <w:pStyle w:val="Figure"/>
                  </w:pPr>
                  <w:r>
                    <w:t>139</w:t>
                  </w:r>
                </w:p>
              </w:tc>
              <w:tc>
                <w:tcPr>
                  <w:tcW w:w="371" w:type="pct"/>
                  <w:vAlign w:val="center"/>
                </w:tcPr>
                <w:p w14:paraId="01490D63" w14:textId="77777777" w:rsidR="00A6435E" w:rsidRDefault="00A6435E" w:rsidP="004B59D5">
                  <w:pPr>
                    <w:pStyle w:val="Figure"/>
                  </w:pPr>
                  <w:r>
                    <w:t>0</w:t>
                  </w:r>
                </w:p>
              </w:tc>
              <w:tc>
                <w:tcPr>
                  <w:tcW w:w="460" w:type="pct"/>
                  <w:vAlign w:val="center"/>
                </w:tcPr>
                <w:p w14:paraId="6A933327" w14:textId="77777777" w:rsidR="00A6435E" w:rsidRDefault="00A6435E" w:rsidP="004B59D5">
                  <w:pPr>
                    <w:pStyle w:val="Figure"/>
                  </w:pPr>
                  <w:r>
                    <w:t>0</w:t>
                  </w:r>
                </w:p>
              </w:tc>
              <w:tc>
                <w:tcPr>
                  <w:tcW w:w="384" w:type="pct"/>
                  <w:vAlign w:val="center"/>
                </w:tcPr>
                <w:p w14:paraId="2C1E551C" w14:textId="77777777" w:rsidR="00A6435E" w:rsidRDefault="00A6435E" w:rsidP="004B59D5">
                  <w:pPr>
                    <w:pStyle w:val="Figure"/>
                  </w:pPr>
                  <w:r>
                    <w:t>223</w:t>
                  </w:r>
                </w:p>
              </w:tc>
              <w:tc>
                <w:tcPr>
                  <w:tcW w:w="371" w:type="pct"/>
                  <w:vAlign w:val="center"/>
                </w:tcPr>
                <w:p w14:paraId="22B3CE5E" w14:textId="77777777" w:rsidR="00A6435E" w:rsidRDefault="00A6435E" w:rsidP="004B59D5">
                  <w:pPr>
                    <w:pStyle w:val="Figure"/>
                  </w:pPr>
                  <w:r>
                    <w:t>52</w:t>
                  </w:r>
                </w:p>
              </w:tc>
              <w:tc>
                <w:tcPr>
                  <w:tcW w:w="459" w:type="pct"/>
                  <w:vAlign w:val="center"/>
                </w:tcPr>
                <w:p w14:paraId="6700B2A7" w14:textId="77777777" w:rsidR="00A6435E" w:rsidRDefault="00A6435E" w:rsidP="004B59D5">
                  <w:pPr>
                    <w:pStyle w:val="Figure"/>
                  </w:pPr>
                  <w:r>
                    <w:t>23.3</w:t>
                  </w:r>
                </w:p>
              </w:tc>
              <w:tc>
                <w:tcPr>
                  <w:tcW w:w="403" w:type="pct"/>
                  <w:vAlign w:val="center"/>
                </w:tcPr>
                <w:p w14:paraId="20D2ADF3" w14:textId="77777777" w:rsidR="00A6435E" w:rsidRDefault="00A6435E" w:rsidP="004B59D5">
                  <w:pPr>
                    <w:pStyle w:val="Figure"/>
                  </w:pPr>
                  <w:r>
                    <w:t>32</w:t>
                  </w:r>
                </w:p>
              </w:tc>
              <w:tc>
                <w:tcPr>
                  <w:tcW w:w="371" w:type="pct"/>
                  <w:vAlign w:val="center"/>
                </w:tcPr>
                <w:p w14:paraId="4D6811BA" w14:textId="77777777" w:rsidR="00A6435E" w:rsidRDefault="00A6435E" w:rsidP="004B59D5">
                  <w:pPr>
                    <w:pStyle w:val="Figure"/>
                  </w:pPr>
                  <w:r>
                    <w:t>28</w:t>
                  </w:r>
                </w:p>
              </w:tc>
              <w:tc>
                <w:tcPr>
                  <w:tcW w:w="459" w:type="pct"/>
                  <w:vAlign w:val="center"/>
                </w:tcPr>
                <w:p w14:paraId="2C7CED3B" w14:textId="77777777" w:rsidR="00A6435E" w:rsidRDefault="00A6435E" w:rsidP="004B59D5">
                  <w:pPr>
                    <w:pStyle w:val="Figure"/>
                  </w:pPr>
                  <w:r>
                    <w:t>87.5</w:t>
                  </w:r>
                </w:p>
              </w:tc>
              <w:tc>
                <w:tcPr>
                  <w:tcW w:w="390" w:type="pct"/>
                  <w:vAlign w:val="center"/>
                </w:tcPr>
                <w:p w14:paraId="4FA5B00C" w14:textId="77777777" w:rsidR="00A6435E" w:rsidRPr="001146D5" w:rsidRDefault="00A6435E" w:rsidP="004B59D5">
                  <w:pPr>
                    <w:pStyle w:val="Figure"/>
                    <w:rPr>
                      <w:b/>
                      <w:bCs/>
                    </w:rPr>
                  </w:pPr>
                  <w:r w:rsidRPr="001146D5">
                    <w:rPr>
                      <w:b/>
                      <w:bCs/>
                      <w:color w:val="FF0000"/>
                    </w:rPr>
                    <w:t>&lt;0.001*</w:t>
                  </w:r>
                </w:p>
              </w:tc>
            </w:tr>
            <w:tr w:rsidR="00A6435E" w14:paraId="18172A6C" w14:textId="77777777" w:rsidTr="004B59D5">
              <w:trPr>
                <w:trHeight w:val="325"/>
              </w:trPr>
              <w:tc>
                <w:tcPr>
                  <w:tcW w:w="921" w:type="pct"/>
                  <w:vAlign w:val="center"/>
                </w:tcPr>
                <w:p w14:paraId="494B461A" w14:textId="77777777" w:rsidR="00A6435E" w:rsidRDefault="00A6435E" w:rsidP="004B59D5">
                  <w:pPr>
                    <w:pStyle w:val="Figure"/>
                    <w:jc w:val="left"/>
                  </w:pPr>
                  <w:r>
                    <w:t>Emaciated (BMI &lt;18.5kg/m</w:t>
                  </w:r>
                  <w:r>
                    <w:rPr>
                      <w:vertAlign w:val="superscript"/>
                    </w:rPr>
                    <w:t>2</w:t>
                  </w:r>
                  <w:r>
                    <w:t>)</w:t>
                  </w:r>
                </w:p>
              </w:tc>
              <w:tc>
                <w:tcPr>
                  <w:tcW w:w="411" w:type="pct"/>
                  <w:vAlign w:val="center"/>
                </w:tcPr>
                <w:p w14:paraId="67CD37FF" w14:textId="77777777" w:rsidR="00A6435E" w:rsidRDefault="00A6435E" w:rsidP="004B59D5">
                  <w:pPr>
                    <w:pStyle w:val="Figure"/>
                  </w:pPr>
                  <w:r>
                    <w:t>139</w:t>
                  </w:r>
                </w:p>
              </w:tc>
              <w:tc>
                <w:tcPr>
                  <w:tcW w:w="371" w:type="pct"/>
                  <w:vAlign w:val="center"/>
                </w:tcPr>
                <w:p w14:paraId="46EA28B3" w14:textId="77777777" w:rsidR="00A6435E" w:rsidRDefault="00A6435E" w:rsidP="004B59D5">
                  <w:pPr>
                    <w:pStyle w:val="Figure"/>
                  </w:pPr>
                  <w:r>
                    <w:t>2</w:t>
                  </w:r>
                </w:p>
              </w:tc>
              <w:tc>
                <w:tcPr>
                  <w:tcW w:w="460" w:type="pct"/>
                  <w:vAlign w:val="center"/>
                </w:tcPr>
                <w:p w14:paraId="2028268F" w14:textId="77777777" w:rsidR="00A6435E" w:rsidRDefault="00A6435E" w:rsidP="004B59D5">
                  <w:pPr>
                    <w:pStyle w:val="Figure"/>
                  </w:pPr>
                  <w:r>
                    <w:t>1.4</w:t>
                  </w:r>
                </w:p>
              </w:tc>
              <w:tc>
                <w:tcPr>
                  <w:tcW w:w="384" w:type="pct"/>
                  <w:vAlign w:val="center"/>
                </w:tcPr>
                <w:p w14:paraId="3F5BF306" w14:textId="77777777" w:rsidR="00A6435E" w:rsidRDefault="00A6435E" w:rsidP="004B59D5">
                  <w:pPr>
                    <w:pStyle w:val="Figure"/>
                  </w:pPr>
                  <w:r>
                    <w:t>230</w:t>
                  </w:r>
                </w:p>
              </w:tc>
              <w:tc>
                <w:tcPr>
                  <w:tcW w:w="371" w:type="pct"/>
                  <w:vAlign w:val="center"/>
                </w:tcPr>
                <w:p w14:paraId="4586F410" w14:textId="77777777" w:rsidR="00A6435E" w:rsidRDefault="00A6435E" w:rsidP="004B59D5">
                  <w:pPr>
                    <w:pStyle w:val="Figure"/>
                  </w:pPr>
                  <w:r>
                    <w:t>0</w:t>
                  </w:r>
                </w:p>
              </w:tc>
              <w:tc>
                <w:tcPr>
                  <w:tcW w:w="459" w:type="pct"/>
                  <w:vAlign w:val="center"/>
                </w:tcPr>
                <w:p w14:paraId="654DDD35" w14:textId="77777777" w:rsidR="00A6435E" w:rsidRDefault="00A6435E" w:rsidP="004B59D5">
                  <w:pPr>
                    <w:pStyle w:val="Figure"/>
                  </w:pPr>
                  <w:r>
                    <w:t>0</w:t>
                  </w:r>
                </w:p>
              </w:tc>
              <w:tc>
                <w:tcPr>
                  <w:tcW w:w="403" w:type="pct"/>
                  <w:vAlign w:val="center"/>
                </w:tcPr>
                <w:p w14:paraId="772C1A75" w14:textId="77777777" w:rsidR="00A6435E" w:rsidRDefault="00A6435E" w:rsidP="004B59D5">
                  <w:pPr>
                    <w:pStyle w:val="Figure"/>
                  </w:pPr>
                  <w:r>
                    <w:t>33</w:t>
                  </w:r>
                </w:p>
              </w:tc>
              <w:tc>
                <w:tcPr>
                  <w:tcW w:w="371" w:type="pct"/>
                  <w:vAlign w:val="center"/>
                </w:tcPr>
                <w:p w14:paraId="72000365" w14:textId="77777777" w:rsidR="00A6435E" w:rsidRDefault="00A6435E" w:rsidP="004B59D5">
                  <w:pPr>
                    <w:pStyle w:val="Figure"/>
                  </w:pPr>
                  <w:r>
                    <w:t>0</w:t>
                  </w:r>
                </w:p>
              </w:tc>
              <w:tc>
                <w:tcPr>
                  <w:tcW w:w="459" w:type="pct"/>
                  <w:vAlign w:val="center"/>
                </w:tcPr>
                <w:p w14:paraId="058F3481" w14:textId="77777777" w:rsidR="00A6435E" w:rsidRDefault="00A6435E" w:rsidP="004B59D5">
                  <w:pPr>
                    <w:pStyle w:val="Figure"/>
                  </w:pPr>
                  <w:r>
                    <w:t>0</w:t>
                  </w:r>
                </w:p>
              </w:tc>
              <w:tc>
                <w:tcPr>
                  <w:tcW w:w="390" w:type="pct"/>
                  <w:vAlign w:val="center"/>
                </w:tcPr>
                <w:p w14:paraId="61DDE13F" w14:textId="77777777" w:rsidR="00A6435E" w:rsidRDefault="00A6435E" w:rsidP="004B59D5">
                  <w:pPr>
                    <w:pStyle w:val="Figure"/>
                  </w:pPr>
                  <w:r>
                    <w:t>0.277</w:t>
                  </w:r>
                </w:p>
              </w:tc>
            </w:tr>
            <w:tr w:rsidR="00A6435E" w14:paraId="3C766E3F" w14:textId="77777777" w:rsidTr="004B59D5">
              <w:trPr>
                <w:trHeight w:val="325"/>
              </w:trPr>
              <w:tc>
                <w:tcPr>
                  <w:tcW w:w="921" w:type="pct"/>
                  <w:vAlign w:val="center"/>
                </w:tcPr>
                <w:p w14:paraId="4BC3205D" w14:textId="77777777" w:rsidR="00A6435E" w:rsidRDefault="00A6435E" w:rsidP="004B59D5">
                  <w:pPr>
                    <w:pStyle w:val="Figure"/>
                    <w:jc w:val="left"/>
                  </w:pPr>
                  <w:r>
                    <w:t>Current smoker</w:t>
                  </w:r>
                </w:p>
              </w:tc>
              <w:tc>
                <w:tcPr>
                  <w:tcW w:w="411" w:type="pct"/>
                  <w:vAlign w:val="center"/>
                </w:tcPr>
                <w:p w14:paraId="17BD734B" w14:textId="77777777" w:rsidR="00A6435E" w:rsidRDefault="00A6435E" w:rsidP="004B59D5">
                  <w:pPr>
                    <w:pStyle w:val="Figure"/>
                  </w:pPr>
                  <w:r>
                    <w:t>139</w:t>
                  </w:r>
                </w:p>
              </w:tc>
              <w:tc>
                <w:tcPr>
                  <w:tcW w:w="371" w:type="pct"/>
                  <w:vAlign w:val="center"/>
                </w:tcPr>
                <w:p w14:paraId="59FCC01D" w14:textId="77777777" w:rsidR="00A6435E" w:rsidRDefault="00A6435E" w:rsidP="004B59D5">
                  <w:pPr>
                    <w:pStyle w:val="Figure"/>
                  </w:pPr>
                  <w:r>
                    <w:t>2</w:t>
                  </w:r>
                </w:p>
              </w:tc>
              <w:tc>
                <w:tcPr>
                  <w:tcW w:w="460" w:type="pct"/>
                  <w:vAlign w:val="center"/>
                </w:tcPr>
                <w:p w14:paraId="5062F765" w14:textId="77777777" w:rsidR="00A6435E" w:rsidRDefault="00A6435E" w:rsidP="004B59D5">
                  <w:pPr>
                    <w:pStyle w:val="Figure"/>
                  </w:pPr>
                  <w:r>
                    <w:t>1.4</w:t>
                  </w:r>
                </w:p>
              </w:tc>
              <w:tc>
                <w:tcPr>
                  <w:tcW w:w="384" w:type="pct"/>
                  <w:vAlign w:val="center"/>
                </w:tcPr>
                <w:p w14:paraId="7FB9B5E1" w14:textId="77777777" w:rsidR="00A6435E" w:rsidRDefault="00A6435E" w:rsidP="004B59D5">
                  <w:pPr>
                    <w:pStyle w:val="Figure"/>
                  </w:pPr>
                  <w:r>
                    <w:t>233</w:t>
                  </w:r>
                </w:p>
              </w:tc>
              <w:tc>
                <w:tcPr>
                  <w:tcW w:w="371" w:type="pct"/>
                  <w:vAlign w:val="center"/>
                </w:tcPr>
                <w:p w14:paraId="128370ED" w14:textId="77777777" w:rsidR="00A6435E" w:rsidRDefault="00A6435E" w:rsidP="004B59D5">
                  <w:pPr>
                    <w:pStyle w:val="Figure"/>
                  </w:pPr>
                  <w:r>
                    <w:t>12</w:t>
                  </w:r>
                </w:p>
              </w:tc>
              <w:tc>
                <w:tcPr>
                  <w:tcW w:w="459" w:type="pct"/>
                  <w:vAlign w:val="center"/>
                </w:tcPr>
                <w:p w14:paraId="578FF50F" w14:textId="77777777" w:rsidR="00A6435E" w:rsidRDefault="00A6435E" w:rsidP="004B59D5">
                  <w:pPr>
                    <w:pStyle w:val="Figure"/>
                  </w:pPr>
                  <w:r>
                    <w:t>5.2</w:t>
                  </w:r>
                </w:p>
              </w:tc>
              <w:tc>
                <w:tcPr>
                  <w:tcW w:w="403" w:type="pct"/>
                  <w:vAlign w:val="center"/>
                </w:tcPr>
                <w:p w14:paraId="48B92CCC" w14:textId="77777777" w:rsidR="00A6435E" w:rsidRDefault="00A6435E" w:rsidP="004B59D5">
                  <w:pPr>
                    <w:pStyle w:val="Figure"/>
                  </w:pPr>
                  <w:r>
                    <w:t>33</w:t>
                  </w:r>
                </w:p>
              </w:tc>
              <w:tc>
                <w:tcPr>
                  <w:tcW w:w="371" w:type="pct"/>
                  <w:vAlign w:val="center"/>
                </w:tcPr>
                <w:p w14:paraId="02F85A9D" w14:textId="77777777" w:rsidR="00A6435E" w:rsidRDefault="00A6435E" w:rsidP="004B59D5">
                  <w:pPr>
                    <w:pStyle w:val="Figure"/>
                  </w:pPr>
                  <w:r>
                    <w:t>1</w:t>
                  </w:r>
                </w:p>
              </w:tc>
              <w:tc>
                <w:tcPr>
                  <w:tcW w:w="459" w:type="pct"/>
                  <w:vAlign w:val="center"/>
                </w:tcPr>
                <w:p w14:paraId="0CB8FDF9" w14:textId="77777777" w:rsidR="00A6435E" w:rsidRDefault="00A6435E" w:rsidP="004B59D5">
                  <w:pPr>
                    <w:pStyle w:val="Figure"/>
                  </w:pPr>
                  <w:r>
                    <w:t>3.0</w:t>
                  </w:r>
                </w:p>
              </w:tc>
              <w:tc>
                <w:tcPr>
                  <w:tcW w:w="390" w:type="pct"/>
                  <w:vAlign w:val="center"/>
                </w:tcPr>
                <w:p w14:paraId="2FF3F122" w14:textId="77777777" w:rsidR="00A6435E" w:rsidRDefault="00A6435E" w:rsidP="004B59D5">
                  <w:pPr>
                    <w:pStyle w:val="Figure"/>
                  </w:pPr>
                  <w:r>
                    <w:t>0.169</w:t>
                  </w:r>
                </w:p>
              </w:tc>
            </w:tr>
            <w:tr w:rsidR="00A6435E" w14:paraId="3F8E055C" w14:textId="77777777" w:rsidTr="004B59D5">
              <w:trPr>
                <w:trHeight w:val="325"/>
              </w:trPr>
              <w:tc>
                <w:tcPr>
                  <w:tcW w:w="921" w:type="pct"/>
                  <w:vAlign w:val="center"/>
                </w:tcPr>
                <w:p w14:paraId="26704DBA" w14:textId="77777777" w:rsidR="00A6435E" w:rsidRDefault="00A6435E" w:rsidP="004B59D5">
                  <w:pPr>
                    <w:pStyle w:val="Figure"/>
                    <w:jc w:val="left"/>
                  </w:pPr>
                  <w:r>
                    <w:t>Osteoporosis</w:t>
                  </w:r>
                  <w:r>
                    <w:rPr>
                      <w:vertAlign w:val="superscript"/>
                    </w:rPr>
                    <w:t>5</w:t>
                  </w:r>
                </w:p>
              </w:tc>
              <w:tc>
                <w:tcPr>
                  <w:tcW w:w="411" w:type="pct"/>
                  <w:vAlign w:val="center"/>
                </w:tcPr>
                <w:p w14:paraId="3D62AAD8" w14:textId="77777777" w:rsidR="00A6435E" w:rsidRDefault="00A6435E" w:rsidP="004B59D5">
                  <w:pPr>
                    <w:pStyle w:val="Figure"/>
                  </w:pPr>
                  <w:r>
                    <w:t>118</w:t>
                  </w:r>
                </w:p>
              </w:tc>
              <w:tc>
                <w:tcPr>
                  <w:tcW w:w="371" w:type="pct"/>
                  <w:vAlign w:val="center"/>
                </w:tcPr>
                <w:p w14:paraId="0D40E4E2" w14:textId="77777777" w:rsidR="00A6435E" w:rsidRDefault="00A6435E" w:rsidP="004B59D5">
                  <w:pPr>
                    <w:pStyle w:val="Figure"/>
                  </w:pPr>
                  <w:r>
                    <w:t>24</w:t>
                  </w:r>
                </w:p>
              </w:tc>
              <w:tc>
                <w:tcPr>
                  <w:tcW w:w="460" w:type="pct"/>
                  <w:vAlign w:val="center"/>
                </w:tcPr>
                <w:p w14:paraId="0D995F5D" w14:textId="77777777" w:rsidR="00A6435E" w:rsidRDefault="00A6435E" w:rsidP="004B59D5">
                  <w:pPr>
                    <w:pStyle w:val="Figure"/>
                  </w:pPr>
                  <w:r>
                    <w:t>20.3</w:t>
                  </w:r>
                </w:p>
              </w:tc>
              <w:tc>
                <w:tcPr>
                  <w:tcW w:w="384" w:type="pct"/>
                  <w:vAlign w:val="center"/>
                </w:tcPr>
                <w:p w14:paraId="4FEC1B2C" w14:textId="77777777" w:rsidR="00A6435E" w:rsidRDefault="00A6435E" w:rsidP="004B59D5">
                  <w:pPr>
                    <w:pStyle w:val="Figure"/>
                  </w:pPr>
                  <w:r>
                    <w:t>173</w:t>
                  </w:r>
                </w:p>
              </w:tc>
              <w:tc>
                <w:tcPr>
                  <w:tcW w:w="371" w:type="pct"/>
                  <w:vAlign w:val="center"/>
                </w:tcPr>
                <w:p w14:paraId="2FDB3D27" w14:textId="77777777" w:rsidR="00A6435E" w:rsidRDefault="00A6435E" w:rsidP="004B59D5">
                  <w:pPr>
                    <w:pStyle w:val="Figure"/>
                  </w:pPr>
                  <w:r>
                    <w:t>36</w:t>
                  </w:r>
                </w:p>
              </w:tc>
              <w:tc>
                <w:tcPr>
                  <w:tcW w:w="459" w:type="pct"/>
                  <w:vAlign w:val="center"/>
                </w:tcPr>
                <w:p w14:paraId="08C5D6AA" w14:textId="77777777" w:rsidR="00A6435E" w:rsidRDefault="00A6435E" w:rsidP="004B59D5">
                  <w:pPr>
                    <w:pStyle w:val="Figure"/>
                  </w:pPr>
                  <w:r>
                    <w:t>20.8</w:t>
                  </w:r>
                </w:p>
              </w:tc>
              <w:tc>
                <w:tcPr>
                  <w:tcW w:w="403" w:type="pct"/>
                  <w:vAlign w:val="center"/>
                </w:tcPr>
                <w:p w14:paraId="28C8F4E7" w14:textId="77777777" w:rsidR="00A6435E" w:rsidRDefault="00A6435E" w:rsidP="004B59D5">
                  <w:pPr>
                    <w:pStyle w:val="Figure"/>
                  </w:pPr>
                  <w:r>
                    <w:t>17</w:t>
                  </w:r>
                </w:p>
              </w:tc>
              <w:tc>
                <w:tcPr>
                  <w:tcW w:w="371" w:type="pct"/>
                  <w:vAlign w:val="center"/>
                </w:tcPr>
                <w:p w14:paraId="4067FDC9" w14:textId="77777777" w:rsidR="00A6435E" w:rsidRDefault="00A6435E" w:rsidP="004B59D5">
                  <w:pPr>
                    <w:pStyle w:val="Figure"/>
                  </w:pPr>
                  <w:r>
                    <w:t>6</w:t>
                  </w:r>
                </w:p>
              </w:tc>
              <w:tc>
                <w:tcPr>
                  <w:tcW w:w="459" w:type="pct"/>
                  <w:vAlign w:val="center"/>
                </w:tcPr>
                <w:p w14:paraId="707FE6E0" w14:textId="77777777" w:rsidR="00A6435E" w:rsidRDefault="00A6435E" w:rsidP="004B59D5">
                  <w:pPr>
                    <w:pStyle w:val="Figure"/>
                  </w:pPr>
                  <w:r>
                    <w:t>35.3</w:t>
                  </w:r>
                </w:p>
              </w:tc>
              <w:tc>
                <w:tcPr>
                  <w:tcW w:w="390" w:type="pct"/>
                  <w:vAlign w:val="center"/>
                </w:tcPr>
                <w:p w14:paraId="75C91DED" w14:textId="77777777" w:rsidR="00A6435E" w:rsidRDefault="00A6435E" w:rsidP="004B59D5">
                  <w:pPr>
                    <w:pStyle w:val="Figure"/>
                  </w:pPr>
                  <w:r>
                    <w:t>0.375</w:t>
                  </w:r>
                </w:p>
              </w:tc>
            </w:tr>
            <w:tr w:rsidR="00A6435E" w14:paraId="2CC627AF" w14:textId="77777777" w:rsidTr="004B59D5">
              <w:trPr>
                <w:trHeight w:val="325"/>
              </w:trPr>
              <w:tc>
                <w:tcPr>
                  <w:tcW w:w="921" w:type="pct"/>
                  <w:vAlign w:val="center"/>
                </w:tcPr>
                <w:p w14:paraId="4670626E" w14:textId="77777777" w:rsidR="00A6435E" w:rsidRDefault="00A6435E" w:rsidP="004B59D5">
                  <w:pPr>
                    <w:pStyle w:val="Figure"/>
                    <w:jc w:val="left"/>
                  </w:pPr>
                  <w:r>
                    <w:t>Sarcopenia</w:t>
                  </w:r>
                </w:p>
              </w:tc>
              <w:tc>
                <w:tcPr>
                  <w:tcW w:w="411" w:type="pct"/>
                  <w:vAlign w:val="center"/>
                </w:tcPr>
                <w:p w14:paraId="607CDECA" w14:textId="77777777" w:rsidR="00A6435E" w:rsidRDefault="00A6435E" w:rsidP="004B59D5">
                  <w:pPr>
                    <w:pStyle w:val="Figure"/>
                  </w:pPr>
                  <w:r>
                    <w:t>126</w:t>
                  </w:r>
                </w:p>
              </w:tc>
              <w:tc>
                <w:tcPr>
                  <w:tcW w:w="371" w:type="pct"/>
                  <w:vAlign w:val="center"/>
                </w:tcPr>
                <w:p w14:paraId="317BDA81" w14:textId="77777777" w:rsidR="00A6435E" w:rsidRDefault="00A6435E" w:rsidP="004B59D5">
                  <w:pPr>
                    <w:pStyle w:val="Figure"/>
                  </w:pPr>
                  <w:r>
                    <w:t>5</w:t>
                  </w:r>
                </w:p>
              </w:tc>
              <w:tc>
                <w:tcPr>
                  <w:tcW w:w="460" w:type="pct"/>
                  <w:vAlign w:val="center"/>
                </w:tcPr>
                <w:p w14:paraId="777A48A6" w14:textId="77777777" w:rsidR="00A6435E" w:rsidRDefault="00A6435E" w:rsidP="004B59D5">
                  <w:pPr>
                    <w:pStyle w:val="Figure"/>
                  </w:pPr>
                  <w:r>
                    <w:t>4.0</w:t>
                  </w:r>
                </w:p>
              </w:tc>
              <w:tc>
                <w:tcPr>
                  <w:tcW w:w="384" w:type="pct"/>
                  <w:vAlign w:val="center"/>
                </w:tcPr>
                <w:p w14:paraId="2941F494" w14:textId="77777777" w:rsidR="00A6435E" w:rsidRDefault="00A6435E" w:rsidP="004B59D5">
                  <w:pPr>
                    <w:pStyle w:val="Figure"/>
                  </w:pPr>
                  <w:r>
                    <w:t>179</w:t>
                  </w:r>
                </w:p>
              </w:tc>
              <w:tc>
                <w:tcPr>
                  <w:tcW w:w="371" w:type="pct"/>
                  <w:vAlign w:val="center"/>
                </w:tcPr>
                <w:p w14:paraId="6250975F" w14:textId="77777777" w:rsidR="00A6435E" w:rsidRDefault="00A6435E" w:rsidP="004B59D5">
                  <w:pPr>
                    <w:pStyle w:val="Figure"/>
                  </w:pPr>
                  <w:r>
                    <w:t>16</w:t>
                  </w:r>
                </w:p>
              </w:tc>
              <w:tc>
                <w:tcPr>
                  <w:tcW w:w="459" w:type="pct"/>
                  <w:vAlign w:val="center"/>
                </w:tcPr>
                <w:p w14:paraId="48CC0DE6" w14:textId="77777777" w:rsidR="00A6435E" w:rsidRDefault="00A6435E" w:rsidP="004B59D5">
                  <w:pPr>
                    <w:pStyle w:val="Figure"/>
                  </w:pPr>
                  <w:r>
                    <w:t>8.9</w:t>
                  </w:r>
                </w:p>
              </w:tc>
              <w:tc>
                <w:tcPr>
                  <w:tcW w:w="403" w:type="pct"/>
                  <w:vAlign w:val="center"/>
                </w:tcPr>
                <w:p w14:paraId="573E0A18" w14:textId="77777777" w:rsidR="00A6435E" w:rsidRDefault="00A6435E" w:rsidP="004B59D5">
                  <w:pPr>
                    <w:pStyle w:val="Figure"/>
                  </w:pPr>
                  <w:r>
                    <w:t>18</w:t>
                  </w:r>
                </w:p>
              </w:tc>
              <w:tc>
                <w:tcPr>
                  <w:tcW w:w="371" w:type="pct"/>
                  <w:vAlign w:val="center"/>
                </w:tcPr>
                <w:p w14:paraId="021616E2" w14:textId="77777777" w:rsidR="00A6435E" w:rsidRDefault="00A6435E" w:rsidP="004B59D5">
                  <w:pPr>
                    <w:pStyle w:val="Figure"/>
                  </w:pPr>
                  <w:r>
                    <w:t>5</w:t>
                  </w:r>
                </w:p>
              </w:tc>
              <w:tc>
                <w:tcPr>
                  <w:tcW w:w="459" w:type="pct"/>
                  <w:vAlign w:val="center"/>
                </w:tcPr>
                <w:p w14:paraId="24789F9D" w14:textId="77777777" w:rsidR="00A6435E" w:rsidRDefault="00A6435E" w:rsidP="004B59D5">
                  <w:pPr>
                    <w:pStyle w:val="Figure"/>
                  </w:pPr>
                  <w:r>
                    <w:t>27.8</w:t>
                  </w:r>
                </w:p>
              </w:tc>
              <w:tc>
                <w:tcPr>
                  <w:tcW w:w="390" w:type="pct"/>
                  <w:vAlign w:val="center"/>
                </w:tcPr>
                <w:p w14:paraId="429016C4" w14:textId="77777777" w:rsidR="00A6435E" w:rsidRPr="001146D5" w:rsidRDefault="00A6435E" w:rsidP="004B59D5">
                  <w:pPr>
                    <w:pStyle w:val="Figure"/>
                    <w:rPr>
                      <w:b/>
                      <w:bCs/>
                    </w:rPr>
                  </w:pPr>
                  <w:r w:rsidRPr="001146D5">
                    <w:rPr>
                      <w:b/>
                      <w:bCs/>
                      <w:color w:val="FF0000"/>
                    </w:rPr>
                    <w:t>0.005*</w:t>
                  </w:r>
                </w:p>
              </w:tc>
            </w:tr>
            <w:tr w:rsidR="00A6435E" w14:paraId="042387B4" w14:textId="77777777" w:rsidTr="004B59D5">
              <w:trPr>
                <w:trHeight w:val="325"/>
              </w:trPr>
              <w:tc>
                <w:tcPr>
                  <w:tcW w:w="921" w:type="pct"/>
                  <w:vAlign w:val="center"/>
                </w:tcPr>
                <w:p w14:paraId="48ED2D2E" w14:textId="77777777" w:rsidR="00A6435E" w:rsidRDefault="00A6435E" w:rsidP="004B59D5">
                  <w:pPr>
                    <w:pStyle w:val="Figure"/>
                    <w:jc w:val="left"/>
                  </w:pPr>
                  <w:r>
                    <w:t>Having 3 or more comorbidities</w:t>
                  </w:r>
                </w:p>
              </w:tc>
              <w:tc>
                <w:tcPr>
                  <w:tcW w:w="411" w:type="pct"/>
                  <w:vAlign w:val="center"/>
                </w:tcPr>
                <w:p w14:paraId="4DEB17ED" w14:textId="77777777" w:rsidR="00A6435E" w:rsidRDefault="00A6435E" w:rsidP="004B59D5">
                  <w:pPr>
                    <w:pStyle w:val="Figure"/>
                  </w:pPr>
                  <w:r>
                    <w:t>139</w:t>
                  </w:r>
                </w:p>
              </w:tc>
              <w:tc>
                <w:tcPr>
                  <w:tcW w:w="371" w:type="pct"/>
                  <w:vAlign w:val="center"/>
                </w:tcPr>
                <w:p w14:paraId="4F01AD3F" w14:textId="77777777" w:rsidR="00A6435E" w:rsidRDefault="00A6435E" w:rsidP="004B59D5">
                  <w:pPr>
                    <w:pStyle w:val="Figure"/>
                  </w:pPr>
                  <w:r>
                    <w:t>19</w:t>
                  </w:r>
                </w:p>
              </w:tc>
              <w:tc>
                <w:tcPr>
                  <w:tcW w:w="460" w:type="pct"/>
                  <w:vAlign w:val="center"/>
                </w:tcPr>
                <w:p w14:paraId="0E60350A" w14:textId="77777777" w:rsidR="00A6435E" w:rsidRDefault="00A6435E" w:rsidP="004B59D5">
                  <w:pPr>
                    <w:pStyle w:val="Figure"/>
                  </w:pPr>
                  <w:r>
                    <w:t>13.7</w:t>
                  </w:r>
                </w:p>
              </w:tc>
              <w:tc>
                <w:tcPr>
                  <w:tcW w:w="384" w:type="pct"/>
                  <w:vAlign w:val="center"/>
                </w:tcPr>
                <w:p w14:paraId="1BDF6A5F" w14:textId="77777777" w:rsidR="00A6435E" w:rsidRDefault="00A6435E" w:rsidP="004B59D5">
                  <w:pPr>
                    <w:pStyle w:val="Figure"/>
                  </w:pPr>
                  <w:r>
                    <w:t>233</w:t>
                  </w:r>
                </w:p>
              </w:tc>
              <w:tc>
                <w:tcPr>
                  <w:tcW w:w="371" w:type="pct"/>
                  <w:vAlign w:val="center"/>
                </w:tcPr>
                <w:p w14:paraId="650078A7" w14:textId="77777777" w:rsidR="00A6435E" w:rsidRDefault="00A6435E" w:rsidP="004B59D5">
                  <w:pPr>
                    <w:pStyle w:val="Figure"/>
                  </w:pPr>
                  <w:r>
                    <w:t>48</w:t>
                  </w:r>
                </w:p>
              </w:tc>
              <w:tc>
                <w:tcPr>
                  <w:tcW w:w="459" w:type="pct"/>
                  <w:vAlign w:val="center"/>
                </w:tcPr>
                <w:p w14:paraId="5E219D12" w14:textId="77777777" w:rsidR="00A6435E" w:rsidRDefault="00A6435E" w:rsidP="004B59D5">
                  <w:pPr>
                    <w:pStyle w:val="Figure"/>
                  </w:pPr>
                  <w:r>
                    <w:t>20.6</w:t>
                  </w:r>
                </w:p>
              </w:tc>
              <w:tc>
                <w:tcPr>
                  <w:tcW w:w="403" w:type="pct"/>
                  <w:vAlign w:val="center"/>
                </w:tcPr>
                <w:p w14:paraId="4A93A5C9" w14:textId="77777777" w:rsidR="00A6435E" w:rsidRDefault="00A6435E" w:rsidP="004B59D5">
                  <w:pPr>
                    <w:pStyle w:val="Figure"/>
                  </w:pPr>
                  <w:r>
                    <w:t>33</w:t>
                  </w:r>
                </w:p>
              </w:tc>
              <w:tc>
                <w:tcPr>
                  <w:tcW w:w="371" w:type="pct"/>
                  <w:vAlign w:val="center"/>
                </w:tcPr>
                <w:p w14:paraId="1D4BFF97" w14:textId="77777777" w:rsidR="00A6435E" w:rsidRDefault="00A6435E" w:rsidP="004B59D5">
                  <w:pPr>
                    <w:pStyle w:val="Figure"/>
                  </w:pPr>
                  <w:r>
                    <w:t>16</w:t>
                  </w:r>
                </w:p>
              </w:tc>
              <w:tc>
                <w:tcPr>
                  <w:tcW w:w="459" w:type="pct"/>
                  <w:vAlign w:val="center"/>
                </w:tcPr>
                <w:p w14:paraId="07990918" w14:textId="77777777" w:rsidR="00A6435E" w:rsidRDefault="00A6435E" w:rsidP="004B59D5">
                  <w:pPr>
                    <w:pStyle w:val="Figure"/>
                  </w:pPr>
                  <w:r>
                    <w:t>48.5</w:t>
                  </w:r>
                </w:p>
              </w:tc>
              <w:tc>
                <w:tcPr>
                  <w:tcW w:w="390" w:type="pct"/>
                  <w:vAlign w:val="center"/>
                </w:tcPr>
                <w:p w14:paraId="14FE8AE7" w14:textId="77777777" w:rsidR="00A6435E" w:rsidRPr="001146D5" w:rsidRDefault="00A6435E" w:rsidP="004B59D5">
                  <w:pPr>
                    <w:pStyle w:val="Figure"/>
                    <w:rPr>
                      <w:b/>
                      <w:bCs/>
                      <w:color w:val="FF0000"/>
                    </w:rPr>
                  </w:pPr>
                  <w:r w:rsidRPr="001146D5">
                    <w:rPr>
                      <w:b/>
                      <w:bCs/>
                      <w:color w:val="FF0000"/>
                    </w:rPr>
                    <w:t>&lt;0.001*</w:t>
                  </w:r>
                </w:p>
              </w:tc>
            </w:tr>
          </w:tbl>
          <w:p w14:paraId="6219B850" w14:textId="77777777" w:rsidR="00A6435E" w:rsidRDefault="00A6435E" w:rsidP="004B59D5">
            <w:pPr>
              <w:pStyle w:val="Figure"/>
            </w:pPr>
          </w:p>
        </w:tc>
      </w:tr>
    </w:tbl>
    <w:p w14:paraId="730D4B85" w14:textId="77777777" w:rsidR="00A6435E" w:rsidRDefault="00A6435E" w:rsidP="00A6435E">
      <w:pPr>
        <w:sectPr w:rsidR="00A6435E" w:rsidSect="005456C6">
          <w:pgSz w:w="16838" w:h="11906" w:orient="landscape"/>
          <w:pgMar w:top="1440" w:right="1440" w:bottom="1440" w:left="1440" w:header="708" w:footer="708" w:gutter="0"/>
          <w:cols w:space="708"/>
          <w:docGrid w:linePitch="360"/>
        </w:sectPr>
      </w:pPr>
    </w:p>
    <w:p w14:paraId="60172427" w14:textId="77777777" w:rsidR="00A6435E" w:rsidRDefault="00A6435E" w:rsidP="00A6435E"/>
    <w:tbl>
      <w:tblPr>
        <w:tblStyle w:val="TableGrid"/>
        <w:tblpPr w:leftFromText="180" w:rightFromText="180" w:vertAnchor="text" w:horzAnchor="margin" w:tblpY="288"/>
        <w:tblW w:w="0" w:type="auto"/>
        <w:tblBorders>
          <w:left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8800"/>
      </w:tblGrid>
      <w:tr w:rsidR="00A6435E" w14:paraId="1B8186B6" w14:textId="77777777" w:rsidTr="004B59D5">
        <w:tc>
          <w:tcPr>
            <w:tcW w:w="8800" w:type="dxa"/>
            <w:tcBorders>
              <w:top w:val="nil"/>
            </w:tcBorders>
            <w:vAlign w:val="center"/>
          </w:tcPr>
          <w:p w14:paraId="72D2C94D" w14:textId="77777777" w:rsidR="00A6435E" w:rsidRDefault="00A6435E" w:rsidP="004B59D5">
            <w:pPr>
              <w:pStyle w:val="Caption"/>
              <w:spacing w:before="0" w:after="0"/>
              <w:jc w:val="left"/>
            </w:pPr>
            <w:r>
              <w:rPr>
                <w:b/>
                <w:bCs/>
              </w:rPr>
              <w:t>Ta</w:t>
            </w:r>
            <w:r w:rsidRPr="008C187C">
              <w:rPr>
                <w:b/>
                <w:bCs/>
              </w:rPr>
              <w:t xml:space="preserve">ble </w:t>
            </w:r>
            <w:r w:rsidRPr="008C187C">
              <w:rPr>
                <w:b/>
                <w:bCs/>
              </w:rPr>
              <w:fldChar w:fldCharType="begin"/>
            </w:r>
            <w:r w:rsidRPr="008C187C">
              <w:rPr>
                <w:b/>
                <w:bCs/>
              </w:rPr>
              <w:instrText xml:space="preserve"> SEQ Table \* ARABIC </w:instrText>
            </w:r>
            <w:r w:rsidRPr="008C187C">
              <w:rPr>
                <w:b/>
                <w:bCs/>
              </w:rPr>
              <w:fldChar w:fldCharType="separate"/>
            </w:r>
            <w:r w:rsidRPr="008C187C">
              <w:rPr>
                <w:b/>
                <w:bCs/>
              </w:rPr>
              <w:t>3</w:t>
            </w:r>
            <w:r w:rsidRPr="008C187C">
              <w:rPr>
                <w:b/>
                <w:bCs/>
              </w:rPr>
              <w:fldChar w:fldCharType="end"/>
            </w:r>
            <w:r w:rsidRPr="008C187C">
              <w:rPr>
                <w:b/>
                <w:bCs/>
              </w:rPr>
              <w:t>:</w:t>
            </w:r>
            <w:r w:rsidRPr="00A91AF1">
              <w:t xml:space="preserve"> Relationship of SP, OP, and frailty at baseline</w:t>
            </w:r>
            <w:r w:rsidRPr="00904021">
              <w:rPr>
                <w:rStyle w:val="FootnoteReference"/>
              </w:rPr>
              <w:footnoteReference w:id="4"/>
            </w:r>
            <w:r w:rsidRPr="00A91AF1">
              <w:t>.</w:t>
            </w:r>
          </w:p>
        </w:tc>
      </w:tr>
      <w:tr w:rsidR="00A6435E" w:rsidRPr="00817C46" w14:paraId="362BE266" w14:textId="77777777" w:rsidTr="004B59D5">
        <w:tc>
          <w:tcPr>
            <w:tcW w:w="8800" w:type="dxa"/>
            <w:tcBorders>
              <w:bottom w:val="nil"/>
            </w:tcBorders>
          </w:tcPr>
          <w:tbl>
            <w:tblPr>
              <w:tblStyle w:val="TableGrid"/>
              <w:tblpPr w:leftFromText="180" w:rightFromText="180" w:vertAnchor="text" w:horzAnchor="margin" w:tblpY="-91"/>
              <w:tblOverlap w:val="never"/>
              <w:tblW w:w="894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651"/>
              <w:gridCol w:w="592"/>
              <w:gridCol w:w="270"/>
              <w:gridCol w:w="404"/>
              <w:gridCol w:w="1221"/>
              <w:gridCol w:w="1002"/>
              <w:gridCol w:w="650"/>
              <w:gridCol w:w="818"/>
              <w:gridCol w:w="1437"/>
              <w:gridCol w:w="904"/>
            </w:tblGrid>
            <w:tr w:rsidR="00A6435E" w14:paraId="036EDD26" w14:textId="77777777" w:rsidTr="004B59D5">
              <w:trPr>
                <w:trHeight w:val="427"/>
              </w:trPr>
              <w:tc>
                <w:tcPr>
                  <w:tcW w:w="922" w:type="pct"/>
                  <w:vMerge w:val="restart"/>
                  <w:tcBorders>
                    <w:right w:val="single" w:sz="4" w:space="0" w:color="auto"/>
                  </w:tcBorders>
                  <w:vAlign w:val="center"/>
                </w:tcPr>
                <w:p w14:paraId="5319B1C8" w14:textId="77777777" w:rsidR="00A6435E" w:rsidRPr="000D4A4A" w:rsidRDefault="00A6435E" w:rsidP="004B59D5">
                  <w:pPr>
                    <w:pStyle w:val="Figure"/>
                  </w:pPr>
                </w:p>
              </w:tc>
              <w:tc>
                <w:tcPr>
                  <w:tcW w:w="1950" w:type="pct"/>
                  <w:gridSpan w:val="5"/>
                  <w:tcBorders>
                    <w:top w:val="nil"/>
                    <w:left w:val="single" w:sz="4" w:space="0" w:color="auto"/>
                    <w:bottom w:val="double" w:sz="4" w:space="0" w:color="auto"/>
                    <w:right w:val="single" w:sz="4" w:space="0" w:color="auto"/>
                  </w:tcBorders>
                  <w:vAlign w:val="center"/>
                </w:tcPr>
                <w:p w14:paraId="1BC6324E" w14:textId="77777777" w:rsidR="00A6435E" w:rsidRPr="000D4A4A" w:rsidRDefault="00A6435E" w:rsidP="004B59D5">
                  <w:pPr>
                    <w:pStyle w:val="Figure"/>
                  </w:pPr>
                  <w:r w:rsidRPr="000D4A4A">
                    <w:t>Adjusted for sex only</w:t>
                  </w:r>
                </w:p>
              </w:tc>
              <w:tc>
                <w:tcPr>
                  <w:tcW w:w="2128" w:type="pct"/>
                  <w:gridSpan w:val="4"/>
                  <w:tcBorders>
                    <w:top w:val="nil"/>
                    <w:left w:val="single" w:sz="4" w:space="0" w:color="auto"/>
                    <w:bottom w:val="double" w:sz="4" w:space="0" w:color="auto"/>
                  </w:tcBorders>
                  <w:vAlign w:val="center"/>
                </w:tcPr>
                <w:p w14:paraId="1D849C5A" w14:textId="77777777" w:rsidR="00A6435E" w:rsidRDefault="00A6435E" w:rsidP="004B59D5">
                  <w:pPr>
                    <w:pStyle w:val="Figure"/>
                  </w:pPr>
                  <w:r>
                    <w:t>Fully adjusted</w:t>
                  </w:r>
                  <w:r>
                    <w:rPr>
                      <w:vertAlign w:val="superscript"/>
                    </w:rPr>
                    <w:t>1</w:t>
                  </w:r>
                </w:p>
              </w:tc>
            </w:tr>
            <w:tr w:rsidR="00A6435E" w14:paraId="326D825F" w14:textId="77777777" w:rsidTr="004B59D5">
              <w:trPr>
                <w:trHeight w:val="442"/>
              </w:trPr>
              <w:tc>
                <w:tcPr>
                  <w:tcW w:w="922" w:type="pct"/>
                  <w:vMerge/>
                  <w:tcBorders>
                    <w:bottom w:val="single" w:sz="4" w:space="0" w:color="auto"/>
                    <w:right w:val="single" w:sz="4" w:space="0" w:color="auto"/>
                  </w:tcBorders>
                  <w:vAlign w:val="center"/>
                </w:tcPr>
                <w:p w14:paraId="4F26B3F9" w14:textId="77777777" w:rsidR="00A6435E" w:rsidRPr="000D4A4A" w:rsidRDefault="00A6435E" w:rsidP="004B59D5">
                  <w:pPr>
                    <w:pStyle w:val="Figure"/>
                  </w:pPr>
                </w:p>
              </w:tc>
              <w:tc>
                <w:tcPr>
                  <w:tcW w:w="331" w:type="pct"/>
                  <w:tcBorders>
                    <w:top w:val="double" w:sz="4" w:space="0" w:color="auto"/>
                    <w:left w:val="single" w:sz="4" w:space="0" w:color="auto"/>
                    <w:bottom w:val="single" w:sz="4" w:space="0" w:color="auto"/>
                    <w:right w:val="nil"/>
                  </w:tcBorders>
                  <w:vAlign w:val="center"/>
                </w:tcPr>
                <w:p w14:paraId="1AD34800" w14:textId="77777777" w:rsidR="00A6435E" w:rsidRPr="000D4A4A" w:rsidRDefault="00A6435E" w:rsidP="004B59D5">
                  <w:pPr>
                    <w:pStyle w:val="Figure"/>
                  </w:pPr>
                  <w:r w:rsidRPr="000D4A4A">
                    <w:t>N</w:t>
                  </w:r>
                </w:p>
              </w:tc>
              <w:tc>
                <w:tcPr>
                  <w:tcW w:w="377" w:type="pct"/>
                  <w:gridSpan w:val="2"/>
                  <w:tcBorders>
                    <w:top w:val="double" w:sz="4" w:space="0" w:color="auto"/>
                    <w:left w:val="nil"/>
                    <w:bottom w:val="double" w:sz="4" w:space="0" w:color="auto"/>
                    <w:right w:val="nil"/>
                  </w:tcBorders>
                  <w:vAlign w:val="center"/>
                </w:tcPr>
                <w:p w14:paraId="367DFB19" w14:textId="77777777" w:rsidR="00A6435E" w:rsidRPr="000D4A4A" w:rsidRDefault="00A6435E" w:rsidP="004B59D5">
                  <w:pPr>
                    <w:pStyle w:val="Figure"/>
                  </w:pPr>
                  <w:r>
                    <w:t>OR</w:t>
                  </w:r>
                </w:p>
              </w:tc>
              <w:tc>
                <w:tcPr>
                  <w:tcW w:w="682" w:type="pct"/>
                  <w:tcBorders>
                    <w:top w:val="double" w:sz="4" w:space="0" w:color="auto"/>
                    <w:left w:val="nil"/>
                    <w:bottom w:val="double" w:sz="4" w:space="0" w:color="auto"/>
                    <w:right w:val="single" w:sz="4" w:space="0" w:color="auto"/>
                  </w:tcBorders>
                  <w:vAlign w:val="center"/>
                </w:tcPr>
                <w:p w14:paraId="1A16B26B" w14:textId="77777777" w:rsidR="00A6435E" w:rsidRPr="000D4A4A" w:rsidRDefault="00A6435E" w:rsidP="004B59D5">
                  <w:pPr>
                    <w:pStyle w:val="Figure"/>
                  </w:pPr>
                  <w:r w:rsidRPr="000D4A4A">
                    <w:t>95% CI</w:t>
                  </w:r>
                </w:p>
              </w:tc>
              <w:tc>
                <w:tcPr>
                  <w:tcW w:w="560" w:type="pct"/>
                  <w:tcBorders>
                    <w:top w:val="double" w:sz="4" w:space="0" w:color="auto"/>
                    <w:left w:val="single" w:sz="4" w:space="0" w:color="auto"/>
                    <w:bottom w:val="double" w:sz="4" w:space="0" w:color="auto"/>
                    <w:right w:val="single" w:sz="4" w:space="0" w:color="auto"/>
                  </w:tcBorders>
                  <w:vAlign w:val="center"/>
                </w:tcPr>
                <w:p w14:paraId="73C77F85" w14:textId="77777777" w:rsidR="00A6435E" w:rsidRPr="000D4A4A" w:rsidRDefault="00A6435E" w:rsidP="004B59D5">
                  <w:pPr>
                    <w:pStyle w:val="Figure"/>
                  </w:pPr>
                  <w:r w:rsidRPr="000D4A4A">
                    <w:t>p-</w:t>
                  </w:r>
                  <w:r>
                    <w:br/>
                  </w:r>
                  <w:r w:rsidRPr="000D4A4A">
                    <w:t>value</w:t>
                  </w:r>
                </w:p>
              </w:tc>
              <w:tc>
                <w:tcPr>
                  <w:tcW w:w="363" w:type="pct"/>
                  <w:tcBorders>
                    <w:top w:val="double" w:sz="4" w:space="0" w:color="auto"/>
                    <w:left w:val="single" w:sz="4" w:space="0" w:color="auto"/>
                    <w:bottom w:val="single" w:sz="4" w:space="0" w:color="auto"/>
                    <w:right w:val="nil"/>
                  </w:tcBorders>
                  <w:vAlign w:val="center"/>
                </w:tcPr>
                <w:p w14:paraId="47740A8D" w14:textId="77777777" w:rsidR="00A6435E" w:rsidRPr="000D4A4A" w:rsidRDefault="00A6435E" w:rsidP="004B59D5">
                  <w:pPr>
                    <w:pStyle w:val="Figure"/>
                  </w:pPr>
                  <w:r w:rsidRPr="000D4A4A">
                    <w:t>N</w:t>
                  </w:r>
                </w:p>
              </w:tc>
              <w:tc>
                <w:tcPr>
                  <w:tcW w:w="457" w:type="pct"/>
                  <w:tcBorders>
                    <w:top w:val="double" w:sz="4" w:space="0" w:color="auto"/>
                    <w:left w:val="nil"/>
                    <w:bottom w:val="single" w:sz="4" w:space="0" w:color="auto"/>
                    <w:right w:val="nil"/>
                  </w:tcBorders>
                  <w:vAlign w:val="center"/>
                </w:tcPr>
                <w:p w14:paraId="49C5992A" w14:textId="77777777" w:rsidR="00A6435E" w:rsidRPr="000D4A4A" w:rsidRDefault="00A6435E" w:rsidP="004B59D5">
                  <w:pPr>
                    <w:pStyle w:val="Figure"/>
                  </w:pPr>
                  <w:r>
                    <w:t>OR</w:t>
                  </w:r>
                </w:p>
              </w:tc>
              <w:tc>
                <w:tcPr>
                  <w:tcW w:w="802" w:type="pct"/>
                  <w:tcBorders>
                    <w:top w:val="double" w:sz="4" w:space="0" w:color="auto"/>
                    <w:left w:val="nil"/>
                    <w:bottom w:val="single" w:sz="4" w:space="0" w:color="auto"/>
                    <w:right w:val="single" w:sz="4" w:space="0" w:color="auto"/>
                  </w:tcBorders>
                  <w:vAlign w:val="center"/>
                </w:tcPr>
                <w:p w14:paraId="3C91C736" w14:textId="77777777" w:rsidR="00A6435E" w:rsidRPr="000D4A4A" w:rsidRDefault="00A6435E" w:rsidP="004B59D5">
                  <w:pPr>
                    <w:pStyle w:val="Figure"/>
                  </w:pPr>
                  <w:r w:rsidRPr="000D4A4A">
                    <w:t>95% CI</w:t>
                  </w:r>
                </w:p>
              </w:tc>
              <w:tc>
                <w:tcPr>
                  <w:tcW w:w="505" w:type="pct"/>
                  <w:tcBorders>
                    <w:top w:val="double" w:sz="4" w:space="0" w:color="auto"/>
                    <w:left w:val="single" w:sz="4" w:space="0" w:color="auto"/>
                    <w:bottom w:val="single" w:sz="4" w:space="0" w:color="auto"/>
                  </w:tcBorders>
                  <w:vAlign w:val="center"/>
                </w:tcPr>
                <w:p w14:paraId="3F942C1F" w14:textId="77777777" w:rsidR="00A6435E" w:rsidRPr="000D4A4A" w:rsidRDefault="00A6435E" w:rsidP="004B59D5">
                  <w:pPr>
                    <w:pStyle w:val="Figure"/>
                  </w:pPr>
                  <w:r w:rsidRPr="000D4A4A">
                    <w:t>p-value</w:t>
                  </w:r>
                </w:p>
              </w:tc>
            </w:tr>
            <w:tr w:rsidR="00A6435E" w14:paraId="3200322B" w14:textId="77777777" w:rsidTr="004B59D5">
              <w:trPr>
                <w:trHeight w:val="427"/>
              </w:trPr>
              <w:tc>
                <w:tcPr>
                  <w:tcW w:w="922" w:type="pct"/>
                  <w:tcBorders>
                    <w:top w:val="double" w:sz="4" w:space="0" w:color="auto"/>
                  </w:tcBorders>
                  <w:vAlign w:val="center"/>
                </w:tcPr>
                <w:p w14:paraId="2E2F3993" w14:textId="77777777" w:rsidR="00A6435E" w:rsidRPr="000D4A4A" w:rsidRDefault="00A6435E" w:rsidP="004B59D5">
                  <w:pPr>
                    <w:pStyle w:val="Figure"/>
                  </w:pPr>
                  <w:r>
                    <w:t xml:space="preserve">OP </w:t>
                  </w:r>
                  <w:r w:rsidRPr="000D4A4A">
                    <w:t xml:space="preserve">&amp; </w:t>
                  </w:r>
                  <w:r>
                    <w:t>SP</w:t>
                  </w:r>
                  <w:r w:rsidRPr="000D4A4A">
                    <w:t xml:space="preserve"> status</w:t>
                  </w:r>
                </w:p>
              </w:tc>
              <w:tc>
                <w:tcPr>
                  <w:tcW w:w="482" w:type="pct"/>
                  <w:gridSpan w:val="2"/>
                  <w:tcBorders>
                    <w:top w:val="double" w:sz="4" w:space="0" w:color="auto"/>
                    <w:bottom w:val="nil"/>
                    <w:right w:val="nil"/>
                  </w:tcBorders>
                  <w:vAlign w:val="center"/>
                </w:tcPr>
                <w:p w14:paraId="64C085AE" w14:textId="77777777" w:rsidR="00A6435E" w:rsidRDefault="00A6435E" w:rsidP="004B59D5">
                  <w:pPr>
                    <w:pStyle w:val="Figure"/>
                  </w:pPr>
                  <w:r w:rsidRPr="000D4A4A">
                    <w:t>293</w:t>
                  </w:r>
                </w:p>
              </w:tc>
              <w:tc>
                <w:tcPr>
                  <w:tcW w:w="908" w:type="pct"/>
                  <w:gridSpan w:val="2"/>
                  <w:tcBorders>
                    <w:top w:val="double" w:sz="4" w:space="0" w:color="auto"/>
                    <w:left w:val="nil"/>
                    <w:bottom w:val="nil"/>
                    <w:right w:val="single" w:sz="4" w:space="0" w:color="auto"/>
                  </w:tcBorders>
                  <w:vAlign w:val="center"/>
                </w:tcPr>
                <w:p w14:paraId="48D556C7" w14:textId="77777777" w:rsidR="00A6435E" w:rsidRDefault="00A6435E" w:rsidP="004B59D5">
                  <w:pPr>
                    <w:pStyle w:val="Figure"/>
                  </w:pPr>
                </w:p>
              </w:tc>
              <w:tc>
                <w:tcPr>
                  <w:tcW w:w="560" w:type="pct"/>
                  <w:tcBorders>
                    <w:top w:val="double" w:sz="4" w:space="0" w:color="auto"/>
                    <w:bottom w:val="nil"/>
                    <w:right w:val="single" w:sz="4" w:space="0" w:color="auto"/>
                  </w:tcBorders>
                  <w:vAlign w:val="center"/>
                </w:tcPr>
                <w:p w14:paraId="3B6EDFB8" w14:textId="77777777" w:rsidR="00A6435E" w:rsidRDefault="00A6435E" w:rsidP="004B59D5">
                  <w:pPr>
                    <w:pStyle w:val="Figure"/>
                  </w:pPr>
                </w:p>
              </w:tc>
              <w:tc>
                <w:tcPr>
                  <w:tcW w:w="363" w:type="pct"/>
                  <w:tcBorders>
                    <w:top w:val="double" w:sz="4" w:space="0" w:color="auto"/>
                    <w:left w:val="single" w:sz="4" w:space="0" w:color="auto"/>
                    <w:bottom w:val="nil"/>
                    <w:right w:val="nil"/>
                  </w:tcBorders>
                  <w:vAlign w:val="center"/>
                </w:tcPr>
                <w:p w14:paraId="27895E00" w14:textId="77777777" w:rsidR="00A6435E" w:rsidRDefault="00A6435E" w:rsidP="004B59D5">
                  <w:pPr>
                    <w:pStyle w:val="Figure"/>
                  </w:pPr>
                  <w:r>
                    <w:t>284</w:t>
                  </w:r>
                </w:p>
              </w:tc>
              <w:tc>
                <w:tcPr>
                  <w:tcW w:w="1259" w:type="pct"/>
                  <w:gridSpan w:val="2"/>
                  <w:tcBorders>
                    <w:top w:val="double" w:sz="4" w:space="0" w:color="auto"/>
                    <w:left w:val="nil"/>
                    <w:bottom w:val="nil"/>
                    <w:right w:val="single" w:sz="4" w:space="0" w:color="auto"/>
                  </w:tcBorders>
                  <w:vAlign w:val="center"/>
                </w:tcPr>
                <w:p w14:paraId="5BE7FCC4" w14:textId="77777777" w:rsidR="00A6435E" w:rsidRDefault="00A6435E" w:rsidP="004B59D5">
                  <w:pPr>
                    <w:pStyle w:val="Figure"/>
                  </w:pPr>
                </w:p>
              </w:tc>
              <w:tc>
                <w:tcPr>
                  <w:tcW w:w="505" w:type="pct"/>
                  <w:tcBorders>
                    <w:top w:val="double" w:sz="4" w:space="0" w:color="auto"/>
                    <w:left w:val="single" w:sz="4" w:space="0" w:color="auto"/>
                    <w:bottom w:val="nil"/>
                  </w:tcBorders>
                  <w:vAlign w:val="center"/>
                </w:tcPr>
                <w:p w14:paraId="6DD8D214" w14:textId="77777777" w:rsidR="00A6435E" w:rsidRDefault="00A6435E" w:rsidP="004B59D5">
                  <w:pPr>
                    <w:pStyle w:val="Figure"/>
                  </w:pPr>
                </w:p>
              </w:tc>
            </w:tr>
            <w:tr w:rsidR="00A6435E" w14:paraId="7CF4AED1" w14:textId="77777777" w:rsidTr="004B59D5">
              <w:trPr>
                <w:trHeight w:val="702"/>
              </w:trPr>
              <w:tc>
                <w:tcPr>
                  <w:tcW w:w="922" w:type="pct"/>
                  <w:vAlign w:val="center"/>
                </w:tcPr>
                <w:p w14:paraId="4C915A7C" w14:textId="77777777" w:rsidR="00A6435E" w:rsidRPr="000D4A4A" w:rsidRDefault="00A6435E" w:rsidP="004B59D5">
                  <w:pPr>
                    <w:pStyle w:val="Figure"/>
                  </w:pPr>
                  <w:r w:rsidRPr="000D4A4A">
                    <w:t xml:space="preserve">Neither </w:t>
                  </w:r>
                  <w:r>
                    <w:t>OP</w:t>
                  </w:r>
                  <w:r w:rsidRPr="000D4A4A">
                    <w:t xml:space="preserve"> nor </w:t>
                  </w:r>
                  <w:r>
                    <w:t>SP</w:t>
                  </w:r>
                  <w:r w:rsidRPr="000D4A4A">
                    <w:t xml:space="preserve"> (reference)</w:t>
                  </w:r>
                </w:p>
              </w:tc>
              <w:tc>
                <w:tcPr>
                  <w:tcW w:w="1390" w:type="pct"/>
                  <w:gridSpan w:val="4"/>
                  <w:tcBorders>
                    <w:top w:val="nil"/>
                    <w:bottom w:val="nil"/>
                    <w:right w:val="single" w:sz="4" w:space="0" w:color="auto"/>
                  </w:tcBorders>
                  <w:vAlign w:val="center"/>
                </w:tcPr>
                <w:p w14:paraId="7F493018" w14:textId="77777777" w:rsidR="00A6435E" w:rsidRDefault="00A6435E" w:rsidP="004B59D5">
                  <w:pPr>
                    <w:pStyle w:val="Figure"/>
                  </w:pPr>
                </w:p>
              </w:tc>
              <w:tc>
                <w:tcPr>
                  <w:tcW w:w="560" w:type="pct"/>
                  <w:tcBorders>
                    <w:top w:val="nil"/>
                    <w:bottom w:val="nil"/>
                    <w:right w:val="single" w:sz="4" w:space="0" w:color="auto"/>
                  </w:tcBorders>
                  <w:vAlign w:val="center"/>
                </w:tcPr>
                <w:p w14:paraId="35C6FBE2" w14:textId="77777777" w:rsidR="00A6435E" w:rsidRDefault="00A6435E" w:rsidP="004B59D5">
                  <w:pPr>
                    <w:pStyle w:val="Figure"/>
                  </w:pPr>
                </w:p>
              </w:tc>
              <w:tc>
                <w:tcPr>
                  <w:tcW w:w="1623" w:type="pct"/>
                  <w:gridSpan w:val="3"/>
                  <w:tcBorders>
                    <w:top w:val="nil"/>
                    <w:left w:val="single" w:sz="4" w:space="0" w:color="auto"/>
                    <w:bottom w:val="nil"/>
                    <w:right w:val="single" w:sz="4" w:space="0" w:color="auto"/>
                  </w:tcBorders>
                  <w:vAlign w:val="center"/>
                </w:tcPr>
                <w:p w14:paraId="2DB9EDFC" w14:textId="77777777" w:rsidR="00A6435E" w:rsidRDefault="00A6435E" w:rsidP="004B59D5">
                  <w:pPr>
                    <w:pStyle w:val="Figure"/>
                  </w:pPr>
                </w:p>
              </w:tc>
              <w:tc>
                <w:tcPr>
                  <w:tcW w:w="505" w:type="pct"/>
                  <w:tcBorders>
                    <w:top w:val="nil"/>
                    <w:left w:val="single" w:sz="4" w:space="0" w:color="auto"/>
                    <w:bottom w:val="nil"/>
                  </w:tcBorders>
                  <w:vAlign w:val="center"/>
                </w:tcPr>
                <w:p w14:paraId="50EBB111" w14:textId="77777777" w:rsidR="00A6435E" w:rsidRDefault="00A6435E" w:rsidP="004B59D5">
                  <w:pPr>
                    <w:pStyle w:val="Figure"/>
                  </w:pPr>
                </w:p>
              </w:tc>
            </w:tr>
            <w:tr w:rsidR="00A6435E" w14:paraId="72A491EE" w14:textId="77777777" w:rsidTr="004B59D5">
              <w:trPr>
                <w:trHeight w:val="427"/>
              </w:trPr>
              <w:tc>
                <w:tcPr>
                  <w:tcW w:w="922" w:type="pct"/>
                  <w:vAlign w:val="center"/>
                </w:tcPr>
                <w:p w14:paraId="51E3795E" w14:textId="77777777" w:rsidR="00A6435E" w:rsidRPr="000D4A4A" w:rsidRDefault="00A6435E" w:rsidP="004B59D5">
                  <w:pPr>
                    <w:pStyle w:val="Figure"/>
                  </w:pPr>
                  <w:r>
                    <w:t>OP</w:t>
                  </w:r>
                  <w:r w:rsidRPr="000D4A4A">
                    <w:t xml:space="preserve"> only</w:t>
                  </w:r>
                </w:p>
              </w:tc>
              <w:tc>
                <w:tcPr>
                  <w:tcW w:w="331" w:type="pct"/>
                  <w:tcBorders>
                    <w:top w:val="nil"/>
                    <w:bottom w:val="nil"/>
                    <w:right w:val="nil"/>
                  </w:tcBorders>
                  <w:vAlign w:val="center"/>
                </w:tcPr>
                <w:p w14:paraId="1EB3E54A" w14:textId="77777777" w:rsidR="00A6435E" w:rsidRPr="000D4A4A" w:rsidRDefault="00A6435E" w:rsidP="004B59D5">
                  <w:pPr>
                    <w:pStyle w:val="Figure"/>
                  </w:pPr>
                </w:p>
              </w:tc>
              <w:tc>
                <w:tcPr>
                  <w:tcW w:w="377" w:type="pct"/>
                  <w:gridSpan w:val="2"/>
                  <w:tcBorders>
                    <w:top w:val="nil"/>
                    <w:left w:val="nil"/>
                    <w:bottom w:val="nil"/>
                    <w:right w:val="nil"/>
                  </w:tcBorders>
                  <w:vAlign w:val="center"/>
                </w:tcPr>
                <w:p w14:paraId="76700F10" w14:textId="77777777" w:rsidR="00A6435E" w:rsidRPr="000D4A4A" w:rsidRDefault="00A6435E" w:rsidP="004B59D5">
                  <w:pPr>
                    <w:pStyle w:val="Figure"/>
                  </w:pPr>
                  <w:r w:rsidRPr="000D4A4A">
                    <w:t>2.24</w:t>
                  </w:r>
                </w:p>
              </w:tc>
              <w:tc>
                <w:tcPr>
                  <w:tcW w:w="682" w:type="pct"/>
                  <w:tcBorders>
                    <w:top w:val="nil"/>
                    <w:left w:val="nil"/>
                    <w:bottom w:val="nil"/>
                    <w:right w:val="single" w:sz="4" w:space="0" w:color="auto"/>
                  </w:tcBorders>
                  <w:vAlign w:val="center"/>
                </w:tcPr>
                <w:p w14:paraId="43FEC815" w14:textId="77777777" w:rsidR="00A6435E" w:rsidRPr="000D4A4A" w:rsidRDefault="00A6435E" w:rsidP="004B59D5">
                  <w:pPr>
                    <w:pStyle w:val="Figure"/>
                  </w:pPr>
                  <w:r w:rsidRPr="000D4A4A">
                    <w:t>0.53, 9.56</w:t>
                  </w:r>
                </w:p>
              </w:tc>
              <w:tc>
                <w:tcPr>
                  <w:tcW w:w="560" w:type="pct"/>
                  <w:tcBorders>
                    <w:top w:val="nil"/>
                    <w:left w:val="single" w:sz="4" w:space="0" w:color="auto"/>
                    <w:bottom w:val="nil"/>
                    <w:right w:val="single" w:sz="4" w:space="0" w:color="auto"/>
                  </w:tcBorders>
                  <w:vAlign w:val="center"/>
                </w:tcPr>
                <w:p w14:paraId="204E9D6E" w14:textId="77777777" w:rsidR="00A6435E" w:rsidRDefault="00A6435E" w:rsidP="004B59D5">
                  <w:pPr>
                    <w:pStyle w:val="Figure"/>
                  </w:pPr>
                  <w:r>
                    <w:t>0.274</w:t>
                  </w:r>
                </w:p>
              </w:tc>
              <w:tc>
                <w:tcPr>
                  <w:tcW w:w="363" w:type="pct"/>
                  <w:tcBorders>
                    <w:top w:val="nil"/>
                    <w:left w:val="single" w:sz="4" w:space="0" w:color="auto"/>
                    <w:bottom w:val="nil"/>
                    <w:right w:val="nil"/>
                  </w:tcBorders>
                  <w:vAlign w:val="center"/>
                </w:tcPr>
                <w:p w14:paraId="02FA4999" w14:textId="77777777" w:rsidR="00A6435E" w:rsidRDefault="00A6435E" w:rsidP="004B59D5">
                  <w:pPr>
                    <w:pStyle w:val="Figure"/>
                  </w:pPr>
                </w:p>
              </w:tc>
              <w:tc>
                <w:tcPr>
                  <w:tcW w:w="457" w:type="pct"/>
                  <w:tcBorders>
                    <w:top w:val="nil"/>
                    <w:left w:val="nil"/>
                    <w:bottom w:val="nil"/>
                    <w:right w:val="nil"/>
                  </w:tcBorders>
                  <w:vAlign w:val="center"/>
                </w:tcPr>
                <w:p w14:paraId="56E634BE" w14:textId="77777777" w:rsidR="00A6435E" w:rsidRDefault="00A6435E" w:rsidP="004B59D5">
                  <w:pPr>
                    <w:pStyle w:val="Figure"/>
                  </w:pPr>
                  <w:r>
                    <w:t>2.57</w:t>
                  </w:r>
                </w:p>
              </w:tc>
              <w:tc>
                <w:tcPr>
                  <w:tcW w:w="802" w:type="pct"/>
                  <w:tcBorders>
                    <w:top w:val="nil"/>
                    <w:left w:val="nil"/>
                    <w:bottom w:val="nil"/>
                    <w:right w:val="single" w:sz="4" w:space="0" w:color="auto"/>
                  </w:tcBorders>
                  <w:vAlign w:val="center"/>
                </w:tcPr>
                <w:p w14:paraId="588245C6" w14:textId="77777777" w:rsidR="00A6435E" w:rsidRDefault="00A6435E" w:rsidP="004B59D5">
                  <w:pPr>
                    <w:pStyle w:val="Figure"/>
                  </w:pPr>
                  <w:r>
                    <w:t>0.61, 10.78</w:t>
                  </w:r>
                </w:p>
              </w:tc>
              <w:tc>
                <w:tcPr>
                  <w:tcW w:w="505" w:type="pct"/>
                  <w:tcBorders>
                    <w:top w:val="nil"/>
                    <w:left w:val="single" w:sz="4" w:space="0" w:color="auto"/>
                    <w:bottom w:val="nil"/>
                  </w:tcBorders>
                  <w:vAlign w:val="center"/>
                </w:tcPr>
                <w:p w14:paraId="18BBAB3A" w14:textId="77777777" w:rsidR="00A6435E" w:rsidRDefault="00A6435E" w:rsidP="004B59D5">
                  <w:pPr>
                    <w:pStyle w:val="Figure"/>
                  </w:pPr>
                  <w:r>
                    <w:t>0.196</w:t>
                  </w:r>
                </w:p>
              </w:tc>
            </w:tr>
            <w:tr w:rsidR="00A6435E" w14:paraId="5157B008" w14:textId="77777777" w:rsidTr="004B59D5">
              <w:trPr>
                <w:trHeight w:val="412"/>
              </w:trPr>
              <w:tc>
                <w:tcPr>
                  <w:tcW w:w="922" w:type="pct"/>
                  <w:vAlign w:val="center"/>
                </w:tcPr>
                <w:p w14:paraId="2E7F4AB4" w14:textId="77777777" w:rsidR="00A6435E" w:rsidRPr="000D4A4A" w:rsidRDefault="00A6435E" w:rsidP="004B59D5">
                  <w:pPr>
                    <w:pStyle w:val="Figure"/>
                  </w:pPr>
                  <w:r>
                    <w:t>SP</w:t>
                  </w:r>
                  <w:r w:rsidRPr="000D4A4A">
                    <w:t xml:space="preserve"> only</w:t>
                  </w:r>
                </w:p>
              </w:tc>
              <w:tc>
                <w:tcPr>
                  <w:tcW w:w="331" w:type="pct"/>
                  <w:tcBorders>
                    <w:top w:val="nil"/>
                    <w:bottom w:val="nil"/>
                    <w:right w:val="nil"/>
                  </w:tcBorders>
                  <w:vAlign w:val="center"/>
                </w:tcPr>
                <w:p w14:paraId="64619CF3" w14:textId="77777777" w:rsidR="00A6435E" w:rsidRPr="000D4A4A" w:rsidRDefault="00A6435E" w:rsidP="004B59D5">
                  <w:pPr>
                    <w:pStyle w:val="Figure"/>
                  </w:pPr>
                </w:p>
              </w:tc>
              <w:tc>
                <w:tcPr>
                  <w:tcW w:w="377" w:type="pct"/>
                  <w:gridSpan w:val="2"/>
                  <w:tcBorders>
                    <w:top w:val="nil"/>
                    <w:left w:val="nil"/>
                    <w:bottom w:val="nil"/>
                    <w:right w:val="nil"/>
                  </w:tcBorders>
                  <w:vAlign w:val="center"/>
                </w:tcPr>
                <w:p w14:paraId="0FCF1403" w14:textId="77777777" w:rsidR="00A6435E" w:rsidRPr="000D4A4A" w:rsidRDefault="00A6435E" w:rsidP="004B59D5">
                  <w:pPr>
                    <w:pStyle w:val="Figure"/>
                  </w:pPr>
                  <w:r w:rsidRPr="000D4A4A">
                    <w:t>3.77</w:t>
                  </w:r>
                </w:p>
              </w:tc>
              <w:tc>
                <w:tcPr>
                  <w:tcW w:w="682" w:type="pct"/>
                  <w:tcBorders>
                    <w:top w:val="nil"/>
                    <w:left w:val="nil"/>
                    <w:bottom w:val="nil"/>
                    <w:right w:val="single" w:sz="4" w:space="0" w:color="auto"/>
                  </w:tcBorders>
                  <w:vAlign w:val="center"/>
                </w:tcPr>
                <w:p w14:paraId="163F62A0" w14:textId="77777777" w:rsidR="00A6435E" w:rsidRPr="000D4A4A" w:rsidRDefault="00A6435E" w:rsidP="004B59D5">
                  <w:pPr>
                    <w:pStyle w:val="Figure"/>
                  </w:pPr>
                  <w:r w:rsidRPr="000D4A4A">
                    <w:t>0.68, 20.90</w:t>
                  </w:r>
                </w:p>
              </w:tc>
              <w:tc>
                <w:tcPr>
                  <w:tcW w:w="560" w:type="pct"/>
                  <w:tcBorders>
                    <w:top w:val="nil"/>
                    <w:left w:val="single" w:sz="4" w:space="0" w:color="auto"/>
                    <w:bottom w:val="nil"/>
                    <w:right w:val="single" w:sz="4" w:space="0" w:color="auto"/>
                  </w:tcBorders>
                  <w:vAlign w:val="center"/>
                </w:tcPr>
                <w:p w14:paraId="18B75C0F" w14:textId="77777777" w:rsidR="00A6435E" w:rsidRDefault="00A6435E" w:rsidP="004B59D5">
                  <w:pPr>
                    <w:pStyle w:val="Figure"/>
                  </w:pPr>
                  <w:r>
                    <w:t>0.129</w:t>
                  </w:r>
                </w:p>
              </w:tc>
              <w:tc>
                <w:tcPr>
                  <w:tcW w:w="363" w:type="pct"/>
                  <w:tcBorders>
                    <w:top w:val="nil"/>
                    <w:left w:val="single" w:sz="4" w:space="0" w:color="auto"/>
                    <w:bottom w:val="nil"/>
                    <w:right w:val="nil"/>
                  </w:tcBorders>
                  <w:vAlign w:val="center"/>
                </w:tcPr>
                <w:p w14:paraId="4D536D50" w14:textId="77777777" w:rsidR="00A6435E" w:rsidRDefault="00A6435E" w:rsidP="004B59D5">
                  <w:pPr>
                    <w:pStyle w:val="Figure"/>
                  </w:pPr>
                </w:p>
              </w:tc>
              <w:tc>
                <w:tcPr>
                  <w:tcW w:w="457" w:type="pct"/>
                  <w:tcBorders>
                    <w:top w:val="nil"/>
                    <w:left w:val="nil"/>
                    <w:bottom w:val="nil"/>
                    <w:right w:val="nil"/>
                  </w:tcBorders>
                  <w:vAlign w:val="center"/>
                </w:tcPr>
                <w:p w14:paraId="149562F1" w14:textId="77777777" w:rsidR="00A6435E" w:rsidRDefault="00A6435E" w:rsidP="004B59D5">
                  <w:pPr>
                    <w:pStyle w:val="Figure"/>
                  </w:pPr>
                  <w:r>
                    <w:t>8.28</w:t>
                  </w:r>
                </w:p>
              </w:tc>
              <w:tc>
                <w:tcPr>
                  <w:tcW w:w="802" w:type="pct"/>
                  <w:tcBorders>
                    <w:top w:val="nil"/>
                    <w:left w:val="nil"/>
                    <w:bottom w:val="nil"/>
                    <w:right w:val="single" w:sz="4" w:space="0" w:color="auto"/>
                  </w:tcBorders>
                  <w:vAlign w:val="center"/>
                </w:tcPr>
                <w:p w14:paraId="420178F7" w14:textId="77777777" w:rsidR="00A6435E" w:rsidRDefault="00A6435E" w:rsidP="004B59D5">
                  <w:pPr>
                    <w:pStyle w:val="Figure"/>
                  </w:pPr>
                  <w:r>
                    <w:t>1.27, 54.03</w:t>
                  </w:r>
                </w:p>
              </w:tc>
              <w:tc>
                <w:tcPr>
                  <w:tcW w:w="505" w:type="pct"/>
                  <w:tcBorders>
                    <w:top w:val="nil"/>
                    <w:left w:val="single" w:sz="4" w:space="0" w:color="auto"/>
                    <w:bottom w:val="nil"/>
                  </w:tcBorders>
                  <w:vAlign w:val="center"/>
                </w:tcPr>
                <w:p w14:paraId="4D8A6529" w14:textId="77777777" w:rsidR="00A6435E" w:rsidRPr="00521C30" w:rsidRDefault="00A6435E" w:rsidP="004B59D5">
                  <w:pPr>
                    <w:pStyle w:val="Figure"/>
                    <w:rPr>
                      <w:color w:val="FF0000"/>
                    </w:rPr>
                  </w:pPr>
                  <w:r w:rsidRPr="00521C30">
                    <w:rPr>
                      <w:color w:val="FF0000"/>
                    </w:rPr>
                    <w:t>0.027*</w:t>
                  </w:r>
                </w:p>
              </w:tc>
            </w:tr>
            <w:tr w:rsidR="00A6435E" w14:paraId="4DD736F8" w14:textId="77777777" w:rsidTr="004B59D5">
              <w:trPr>
                <w:trHeight w:val="412"/>
              </w:trPr>
              <w:tc>
                <w:tcPr>
                  <w:tcW w:w="922" w:type="pct"/>
                  <w:vAlign w:val="center"/>
                </w:tcPr>
                <w:p w14:paraId="2C091074" w14:textId="77777777" w:rsidR="00A6435E" w:rsidRDefault="00A6435E" w:rsidP="004B59D5">
                  <w:pPr>
                    <w:pStyle w:val="Figure"/>
                  </w:pPr>
                  <w:r>
                    <w:t>Both OP &amp; SP</w:t>
                  </w:r>
                </w:p>
              </w:tc>
              <w:tc>
                <w:tcPr>
                  <w:tcW w:w="331" w:type="pct"/>
                  <w:tcBorders>
                    <w:top w:val="nil"/>
                    <w:bottom w:val="nil"/>
                    <w:right w:val="nil"/>
                  </w:tcBorders>
                  <w:vAlign w:val="center"/>
                </w:tcPr>
                <w:p w14:paraId="72C8FB0B" w14:textId="77777777" w:rsidR="00A6435E" w:rsidRDefault="00A6435E" w:rsidP="004B59D5">
                  <w:pPr>
                    <w:pStyle w:val="Figure"/>
                  </w:pPr>
                </w:p>
              </w:tc>
              <w:tc>
                <w:tcPr>
                  <w:tcW w:w="377" w:type="pct"/>
                  <w:gridSpan w:val="2"/>
                  <w:tcBorders>
                    <w:top w:val="nil"/>
                    <w:left w:val="nil"/>
                    <w:bottom w:val="nil"/>
                    <w:right w:val="nil"/>
                  </w:tcBorders>
                  <w:vAlign w:val="center"/>
                </w:tcPr>
                <w:p w14:paraId="2353CB16" w14:textId="77777777" w:rsidR="00A6435E" w:rsidRDefault="00A6435E" w:rsidP="004B59D5">
                  <w:pPr>
                    <w:pStyle w:val="Figure"/>
                  </w:pPr>
                  <w:r>
                    <w:t>9.98</w:t>
                  </w:r>
                </w:p>
              </w:tc>
              <w:tc>
                <w:tcPr>
                  <w:tcW w:w="682" w:type="pct"/>
                  <w:tcBorders>
                    <w:top w:val="nil"/>
                    <w:left w:val="nil"/>
                    <w:bottom w:val="nil"/>
                    <w:right w:val="single" w:sz="4" w:space="0" w:color="auto"/>
                  </w:tcBorders>
                  <w:vAlign w:val="center"/>
                </w:tcPr>
                <w:p w14:paraId="60A2C8A8" w14:textId="77777777" w:rsidR="00A6435E" w:rsidRDefault="00A6435E" w:rsidP="004B59D5">
                  <w:pPr>
                    <w:pStyle w:val="Figure"/>
                  </w:pPr>
                  <w:r>
                    <w:t>1.60, 62.22</w:t>
                  </w:r>
                </w:p>
              </w:tc>
              <w:tc>
                <w:tcPr>
                  <w:tcW w:w="560" w:type="pct"/>
                  <w:tcBorders>
                    <w:top w:val="nil"/>
                    <w:left w:val="single" w:sz="4" w:space="0" w:color="auto"/>
                    <w:bottom w:val="nil"/>
                    <w:right w:val="single" w:sz="4" w:space="0" w:color="auto"/>
                  </w:tcBorders>
                  <w:vAlign w:val="center"/>
                </w:tcPr>
                <w:p w14:paraId="5FF8C1AD" w14:textId="77777777" w:rsidR="00A6435E" w:rsidRPr="00F073EB" w:rsidRDefault="00A6435E" w:rsidP="004B59D5">
                  <w:pPr>
                    <w:pStyle w:val="Figure"/>
                  </w:pPr>
                  <w:r w:rsidRPr="00F073EB">
                    <w:t>0.014</w:t>
                  </w:r>
                  <w:r>
                    <w:t>*</w:t>
                  </w:r>
                </w:p>
              </w:tc>
              <w:tc>
                <w:tcPr>
                  <w:tcW w:w="363" w:type="pct"/>
                  <w:tcBorders>
                    <w:top w:val="nil"/>
                    <w:left w:val="single" w:sz="4" w:space="0" w:color="auto"/>
                    <w:bottom w:val="nil"/>
                    <w:right w:val="nil"/>
                  </w:tcBorders>
                  <w:vAlign w:val="center"/>
                </w:tcPr>
                <w:p w14:paraId="652AF239" w14:textId="77777777" w:rsidR="00A6435E" w:rsidRDefault="00A6435E" w:rsidP="004B59D5">
                  <w:pPr>
                    <w:pStyle w:val="Figure"/>
                  </w:pPr>
                </w:p>
              </w:tc>
              <w:tc>
                <w:tcPr>
                  <w:tcW w:w="457" w:type="pct"/>
                  <w:tcBorders>
                    <w:top w:val="nil"/>
                    <w:left w:val="nil"/>
                    <w:bottom w:val="nil"/>
                    <w:right w:val="nil"/>
                  </w:tcBorders>
                  <w:vAlign w:val="center"/>
                </w:tcPr>
                <w:p w14:paraId="3B9B4F85" w14:textId="77777777" w:rsidR="00A6435E" w:rsidRDefault="00A6435E" w:rsidP="004B59D5">
                  <w:pPr>
                    <w:pStyle w:val="Figure"/>
                  </w:pPr>
                  <w:r>
                    <w:t>26.15</w:t>
                  </w:r>
                </w:p>
              </w:tc>
              <w:tc>
                <w:tcPr>
                  <w:tcW w:w="802" w:type="pct"/>
                  <w:tcBorders>
                    <w:top w:val="nil"/>
                    <w:left w:val="nil"/>
                    <w:bottom w:val="nil"/>
                    <w:right w:val="single" w:sz="4" w:space="0" w:color="auto"/>
                  </w:tcBorders>
                  <w:vAlign w:val="center"/>
                </w:tcPr>
                <w:p w14:paraId="504680D9" w14:textId="77777777" w:rsidR="00A6435E" w:rsidRDefault="00A6435E" w:rsidP="004B59D5">
                  <w:pPr>
                    <w:pStyle w:val="Figure"/>
                  </w:pPr>
                  <w:r>
                    <w:t>3.13,218.76</w:t>
                  </w:r>
                </w:p>
              </w:tc>
              <w:tc>
                <w:tcPr>
                  <w:tcW w:w="505" w:type="pct"/>
                  <w:tcBorders>
                    <w:top w:val="nil"/>
                    <w:left w:val="single" w:sz="4" w:space="0" w:color="auto"/>
                    <w:bottom w:val="nil"/>
                  </w:tcBorders>
                  <w:vAlign w:val="center"/>
                </w:tcPr>
                <w:p w14:paraId="3BC9F560" w14:textId="77777777" w:rsidR="00A6435E" w:rsidRPr="00521C30" w:rsidRDefault="00A6435E" w:rsidP="004B59D5">
                  <w:pPr>
                    <w:pStyle w:val="Figure"/>
                    <w:rPr>
                      <w:color w:val="FF0000"/>
                    </w:rPr>
                  </w:pPr>
                  <w:r w:rsidRPr="00521C30">
                    <w:rPr>
                      <w:color w:val="FF0000"/>
                    </w:rPr>
                    <w:t>0.003*</w:t>
                  </w:r>
                </w:p>
              </w:tc>
            </w:tr>
          </w:tbl>
          <w:p w14:paraId="5464B2CA" w14:textId="77777777" w:rsidR="00A6435E" w:rsidRPr="00B164C2" w:rsidRDefault="00A6435E" w:rsidP="004B59D5">
            <w:pPr>
              <w:pStyle w:val="Figure"/>
              <w:jc w:val="left"/>
              <w:rPr>
                <w:vertAlign w:val="superscript"/>
              </w:rPr>
            </w:pPr>
            <w:r>
              <w:rPr>
                <w:vertAlign w:val="superscript"/>
              </w:rPr>
              <w:t xml:space="preserve">N= number of participants, </w:t>
            </w:r>
            <w:r w:rsidRPr="00B164C2">
              <w:rPr>
                <w:vertAlign w:val="superscript"/>
              </w:rPr>
              <w:t>OR</w:t>
            </w:r>
            <w:r>
              <w:rPr>
                <w:vertAlign w:val="superscript"/>
              </w:rPr>
              <w:t>=</w:t>
            </w:r>
            <w:r w:rsidRPr="00B164C2">
              <w:rPr>
                <w:vertAlign w:val="superscript"/>
              </w:rPr>
              <w:t xml:space="preserve"> Odds ratio</w:t>
            </w:r>
            <w:r>
              <w:rPr>
                <w:vertAlign w:val="superscript"/>
              </w:rPr>
              <w:t xml:space="preserve">, CI= Confidence interval, </w:t>
            </w:r>
            <w:r w:rsidRPr="00B164C2">
              <w:rPr>
                <w:vertAlign w:val="superscript"/>
              </w:rPr>
              <w:t>OP</w:t>
            </w:r>
            <w:r>
              <w:rPr>
                <w:vertAlign w:val="superscript"/>
              </w:rPr>
              <w:t>=</w:t>
            </w:r>
            <w:r w:rsidRPr="00B164C2">
              <w:rPr>
                <w:vertAlign w:val="superscript"/>
              </w:rPr>
              <w:t>Osteoporosis, SP</w:t>
            </w:r>
            <w:r>
              <w:rPr>
                <w:vertAlign w:val="superscript"/>
              </w:rPr>
              <w:t>=</w:t>
            </w:r>
            <w:r w:rsidRPr="00B164C2">
              <w:rPr>
                <w:vertAlign w:val="superscript"/>
              </w:rPr>
              <w:t>Sarcopenia</w:t>
            </w:r>
            <w:r>
              <w:rPr>
                <w:vertAlign w:val="superscript"/>
              </w:rPr>
              <w:t xml:space="preserve">, </w:t>
            </w:r>
            <w:r w:rsidRPr="000533B5">
              <w:rPr>
                <w:rFonts w:ascii="Calibri" w:hAnsi="Calibri" w:cstheme="minorHAnsi"/>
                <w:i/>
                <w:iCs/>
                <w:color w:val="000000"/>
                <w:vertAlign w:val="superscript"/>
              </w:rPr>
              <w:t>*</w:t>
            </w:r>
            <w:r>
              <w:rPr>
                <w:rFonts w:ascii="Calibri" w:hAnsi="Calibri" w:cstheme="minorHAnsi"/>
                <w:i/>
                <w:iCs/>
                <w:color w:val="000000"/>
                <w:vertAlign w:val="superscript"/>
              </w:rPr>
              <w:t xml:space="preserve"> p-value &lt;0.05</w:t>
            </w:r>
          </w:p>
        </w:tc>
      </w:tr>
    </w:tbl>
    <w:p w14:paraId="4C9935ED" w14:textId="77777777" w:rsidR="00A6435E" w:rsidRDefault="00A6435E" w:rsidP="00A6435E"/>
    <w:p w14:paraId="2CB69AE4" w14:textId="77777777" w:rsidR="00A6435E" w:rsidRDefault="00A6435E" w:rsidP="00A6435E"/>
    <w:tbl>
      <w:tblPr>
        <w:tblStyle w:val="TableGrid"/>
        <w:tblpPr w:leftFromText="180" w:rightFromText="180" w:vertAnchor="text" w:horzAnchor="margin" w:tblpY="152"/>
        <w:tblW w:w="0" w:type="auto"/>
        <w:tblBorders>
          <w:left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9026"/>
      </w:tblGrid>
      <w:tr w:rsidR="00A6435E" w14:paraId="46C43137" w14:textId="77777777" w:rsidTr="004B59D5">
        <w:tc>
          <w:tcPr>
            <w:tcW w:w="9026" w:type="dxa"/>
            <w:tcBorders>
              <w:top w:val="nil"/>
            </w:tcBorders>
            <w:vAlign w:val="center"/>
          </w:tcPr>
          <w:p w14:paraId="7460F5D7" w14:textId="77777777" w:rsidR="00A6435E" w:rsidRDefault="00A6435E" w:rsidP="004B59D5">
            <w:pPr>
              <w:pStyle w:val="Caption"/>
              <w:keepLines/>
              <w:jc w:val="left"/>
            </w:pPr>
            <w:bookmarkStart w:id="10" w:name="_Ref67995192"/>
            <w:r w:rsidRPr="008805E2">
              <w:rPr>
                <w:b/>
                <w:bCs/>
              </w:rPr>
              <w:t xml:space="preserve">Table </w:t>
            </w:r>
            <w:r w:rsidRPr="008805E2">
              <w:rPr>
                <w:b/>
                <w:bCs/>
              </w:rPr>
              <w:fldChar w:fldCharType="begin"/>
            </w:r>
            <w:r w:rsidRPr="008805E2">
              <w:rPr>
                <w:b/>
                <w:bCs/>
              </w:rPr>
              <w:instrText xml:space="preserve"> SEQ Table \* ARABIC </w:instrText>
            </w:r>
            <w:r w:rsidRPr="008805E2">
              <w:rPr>
                <w:b/>
                <w:bCs/>
              </w:rPr>
              <w:fldChar w:fldCharType="separate"/>
            </w:r>
            <w:r w:rsidRPr="008805E2">
              <w:rPr>
                <w:b/>
                <w:bCs/>
              </w:rPr>
              <w:t>4</w:t>
            </w:r>
            <w:r w:rsidRPr="008805E2">
              <w:rPr>
                <w:b/>
                <w:bCs/>
              </w:rPr>
              <w:fldChar w:fldCharType="end"/>
            </w:r>
            <w:bookmarkEnd w:id="10"/>
            <w:r>
              <w:t>:</w:t>
            </w:r>
            <w:r w:rsidRPr="00A91AF1">
              <w:t xml:space="preserve"> Relationship of SP, OP, and </w:t>
            </w:r>
            <w:r>
              <w:t>multimorbidity (</w:t>
            </w:r>
            <w:r>
              <w:rPr>
                <w:rFonts w:cstheme="minorHAnsi"/>
              </w:rPr>
              <w:t>≥</w:t>
            </w:r>
            <w:r>
              <w:t>3 comorbidities)</w:t>
            </w:r>
            <w:r w:rsidRPr="00A91AF1">
              <w:t xml:space="preserve"> at baseline.</w:t>
            </w:r>
            <w:r w:rsidRPr="00904021">
              <w:rPr>
                <w:rStyle w:val="FootnoteReference"/>
              </w:rPr>
              <w:footnoteReference w:id="5"/>
            </w:r>
            <w:r w:rsidRPr="00A91AF1">
              <w:t xml:space="preserve"> </w:t>
            </w:r>
          </w:p>
        </w:tc>
      </w:tr>
      <w:tr w:rsidR="00A6435E" w:rsidRPr="00817C46" w14:paraId="4610F60E" w14:textId="77777777" w:rsidTr="004B59D5">
        <w:tc>
          <w:tcPr>
            <w:tcW w:w="9026" w:type="dxa"/>
            <w:tcBorders>
              <w:bottom w:val="single" w:sz="4" w:space="0" w:color="auto"/>
            </w:tcBorders>
          </w:tcPr>
          <w:tbl>
            <w:tblPr>
              <w:tblStyle w:val="TableGrid"/>
              <w:tblpPr w:leftFromText="180" w:rightFromText="180" w:vertAnchor="text" w:horzAnchor="margin" w:tblpY="-81"/>
              <w:tblOverlap w:val="never"/>
              <w:tblW w:w="907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751"/>
              <w:gridCol w:w="628"/>
              <w:gridCol w:w="728"/>
              <w:gridCol w:w="1355"/>
              <w:gridCol w:w="970"/>
              <w:gridCol w:w="626"/>
              <w:gridCol w:w="719"/>
              <w:gridCol w:w="1356"/>
              <w:gridCol w:w="946"/>
            </w:tblGrid>
            <w:tr w:rsidR="00A6435E" w14:paraId="4A6D1549" w14:textId="77777777" w:rsidTr="004B59D5">
              <w:trPr>
                <w:trHeight w:val="429"/>
              </w:trPr>
              <w:tc>
                <w:tcPr>
                  <w:tcW w:w="964" w:type="pct"/>
                  <w:vMerge w:val="restart"/>
                  <w:tcBorders>
                    <w:right w:val="single" w:sz="4" w:space="0" w:color="auto"/>
                  </w:tcBorders>
                </w:tcPr>
                <w:p w14:paraId="6FA0EB69" w14:textId="77777777" w:rsidR="00A6435E" w:rsidRPr="000D4A4A" w:rsidRDefault="00A6435E" w:rsidP="004B59D5">
                  <w:pPr>
                    <w:pStyle w:val="Figure"/>
                  </w:pPr>
                  <w:r w:rsidRPr="000D4A4A">
                    <w:t> </w:t>
                  </w:r>
                </w:p>
              </w:tc>
              <w:tc>
                <w:tcPr>
                  <w:tcW w:w="2027" w:type="pct"/>
                  <w:gridSpan w:val="4"/>
                  <w:tcBorders>
                    <w:top w:val="nil"/>
                    <w:left w:val="single" w:sz="4" w:space="0" w:color="auto"/>
                    <w:bottom w:val="double" w:sz="4" w:space="0" w:color="auto"/>
                    <w:right w:val="single" w:sz="4" w:space="0" w:color="auto"/>
                  </w:tcBorders>
                  <w:vAlign w:val="center"/>
                </w:tcPr>
                <w:p w14:paraId="0B741295" w14:textId="77777777" w:rsidR="00A6435E" w:rsidRPr="000D4A4A" w:rsidRDefault="00A6435E" w:rsidP="004B59D5">
                  <w:pPr>
                    <w:pStyle w:val="Figure"/>
                  </w:pPr>
                  <w:r w:rsidRPr="000D4A4A">
                    <w:t>Adjusted for sex only</w:t>
                  </w:r>
                </w:p>
              </w:tc>
              <w:tc>
                <w:tcPr>
                  <w:tcW w:w="2009" w:type="pct"/>
                  <w:gridSpan w:val="4"/>
                  <w:tcBorders>
                    <w:top w:val="nil"/>
                    <w:left w:val="single" w:sz="4" w:space="0" w:color="auto"/>
                    <w:bottom w:val="double" w:sz="4" w:space="0" w:color="auto"/>
                  </w:tcBorders>
                  <w:vAlign w:val="center"/>
                </w:tcPr>
                <w:p w14:paraId="7EF9A648" w14:textId="77777777" w:rsidR="00A6435E" w:rsidRDefault="00A6435E" w:rsidP="004B59D5">
                  <w:pPr>
                    <w:pStyle w:val="Figure"/>
                  </w:pPr>
                  <w:r>
                    <w:t>Fully adjusted</w:t>
                  </w:r>
                  <w:r>
                    <w:rPr>
                      <w:vertAlign w:val="superscript"/>
                    </w:rPr>
                    <w:t>1</w:t>
                  </w:r>
                </w:p>
              </w:tc>
            </w:tr>
            <w:tr w:rsidR="00A6435E" w14:paraId="2C9FF445" w14:textId="77777777" w:rsidTr="004B59D5">
              <w:trPr>
                <w:trHeight w:val="444"/>
              </w:trPr>
              <w:tc>
                <w:tcPr>
                  <w:tcW w:w="964" w:type="pct"/>
                  <w:vMerge/>
                  <w:tcBorders>
                    <w:bottom w:val="single" w:sz="4" w:space="0" w:color="auto"/>
                    <w:right w:val="single" w:sz="4" w:space="0" w:color="auto"/>
                  </w:tcBorders>
                </w:tcPr>
                <w:p w14:paraId="55D6788C" w14:textId="77777777" w:rsidR="00A6435E" w:rsidRPr="000D4A4A" w:rsidRDefault="00A6435E" w:rsidP="004B59D5">
                  <w:pPr>
                    <w:pStyle w:val="Figure"/>
                  </w:pPr>
                </w:p>
              </w:tc>
              <w:tc>
                <w:tcPr>
                  <w:tcW w:w="346" w:type="pct"/>
                  <w:tcBorders>
                    <w:top w:val="double" w:sz="4" w:space="0" w:color="auto"/>
                    <w:left w:val="single" w:sz="4" w:space="0" w:color="auto"/>
                    <w:bottom w:val="single" w:sz="4" w:space="0" w:color="auto"/>
                    <w:right w:val="nil"/>
                  </w:tcBorders>
                  <w:vAlign w:val="center"/>
                </w:tcPr>
                <w:p w14:paraId="1FDB6356" w14:textId="77777777" w:rsidR="00A6435E" w:rsidRPr="000D4A4A" w:rsidRDefault="00A6435E" w:rsidP="004B59D5">
                  <w:pPr>
                    <w:pStyle w:val="Figure"/>
                  </w:pPr>
                  <w:r w:rsidRPr="000D4A4A">
                    <w:t>N</w:t>
                  </w:r>
                </w:p>
              </w:tc>
              <w:tc>
                <w:tcPr>
                  <w:tcW w:w="401" w:type="pct"/>
                  <w:tcBorders>
                    <w:top w:val="double" w:sz="4" w:space="0" w:color="auto"/>
                    <w:left w:val="nil"/>
                    <w:bottom w:val="single" w:sz="4" w:space="0" w:color="auto"/>
                    <w:right w:val="nil"/>
                  </w:tcBorders>
                  <w:vAlign w:val="center"/>
                </w:tcPr>
                <w:p w14:paraId="3E7E90DE" w14:textId="77777777" w:rsidR="00A6435E" w:rsidRPr="000D4A4A" w:rsidRDefault="00A6435E" w:rsidP="004B59D5">
                  <w:pPr>
                    <w:pStyle w:val="Figure"/>
                  </w:pPr>
                  <w:r>
                    <w:t>OR</w:t>
                  </w:r>
                </w:p>
              </w:tc>
              <w:tc>
                <w:tcPr>
                  <w:tcW w:w="746" w:type="pct"/>
                  <w:tcBorders>
                    <w:top w:val="double" w:sz="4" w:space="0" w:color="auto"/>
                    <w:left w:val="nil"/>
                    <w:bottom w:val="single" w:sz="4" w:space="0" w:color="auto"/>
                    <w:right w:val="nil"/>
                  </w:tcBorders>
                  <w:vAlign w:val="center"/>
                </w:tcPr>
                <w:p w14:paraId="18885816" w14:textId="77777777" w:rsidR="00A6435E" w:rsidRPr="000D4A4A" w:rsidRDefault="00A6435E" w:rsidP="004B59D5">
                  <w:pPr>
                    <w:pStyle w:val="Figure"/>
                  </w:pPr>
                  <w:r w:rsidRPr="000D4A4A">
                    <w:t>95% CI</w:t>
                  </w:r>
                </w:p>
              </w:tc>
              <w:tc>
                <w:tcPr>
                  <w:tcW w:w="532" w:type="pct"/>
                  <w:tcBorders>
                    <w:top w:val="double" w:sz="4" w:space="0" w:color="auto"/>
                    <w:left w:val="nil"/>
                    <w:bottom w:val="single" w:sz="4" w:space="0" w:color="auto"/>
                    <w:right w:val="single" w:sz="4" w:space="0" w:color="auto"/>
                  </w:tcBorders>
                  <w:vAlign w:val="center"/>
                </w:tcPr>
                <w:p w14:paraId="41A809C0" w14:textId="77777777" w:rsidR="00A6435E" w:rsidRPr="000D4A4A" w:rsidRDefault="00A6435E" w:rsidP="004B59D5">
                  <w:pPr>
                    <w:pStyle w:val="Figure"/>
                  </w:pPr>
                  <w:r w:rsidRPr="000D4A4A">
                    <w:t>p-value</w:t>
                  </w:r>
                </w:p>
              </w:tc>
              <w:tc>
                <w:tcPr>
                  <w:tcW w:w="345" w:type="pct"/>
                  <w:tcBorders>
                    <w:top w:val="double" w:sz="4" w:space="0" w:color="auto"/>
                    <w:left w:val="single" w:sz="4" w:space="0" w:color="auto"/>
                    <w:bottom w:val="single" w:sz="4" w:space="0" w:color="auto"/>
                    <w:right w:val="nil"/>
                  </w:tcBorders>
                  <w:vAlign w:val="center"/>
                </w:tcPr>
                <w:p w14:paraId="668AE8B5" w14:textId="77777777" w:rsidR="00A6435E" w:rsidRPr="000D4A4A" w:rsidRDefault="00A6435E" w:rsidP="004B59D5">
                  <w:pPr>
                    <w:pStyle w:val="Figure"/>
                  </w:pPr>
                  <w:r w:rsidRPr="000D4A4A">
                    <w:t>N</w:t>
                  </w:r>
                </w:p>
              </w:tc>
              <w:tc>
                <w:tcPr>
                  <w:tcW w:w="396" w:type="pct"/>
                  <w:tcBorders>
                    <w:top w:val="double" w:sz="4" w:space="0" w:color="auto"/>
                    <w:left w:val="nil"/>
                    <w:bottom w:val="single" w:sz="4" w:space="0" w:color="auto"/>
                    <w:right w:val="nil"/>
                  </w:tcBorders>
                  <w:vAlign w:val="center"/>
                </w:tcPr>
                <w:p w14:paraId="7A0E5F69" w14:textId="77777777" w:rsidR="00A6435E" w:rsidRPr="000D4A4A" w:rsidRDefault="00A6435E" w:rsidP="004B59D5">
                  <w:pPr>
                    <w:pStyle w:val="Figure"/>
                  </w:pPr>
                  <w:r>
                    <w:t>OR</w:t>
                  </w:r>
                </w:p>
              </w:tc>
              <w:tc>
                <w:tcPr>
                  <w:tcW w:w="747" w:type="pct"/>
                  <w:tcBorders>
                    <w:top w:val="double" w:sz="4" w:space="0" w:color="auto"/>
                    <w:left w:val="nil"/>
                    <w:bottom w:val="single" w:sz="4" w:space="0" w:color="auto"/>
                    <w:right w:val="single" w:sz="4" w:space="0" w:color="auto"/>
                  </w:tcBorders>
                  <w:vAlign w:val="center"/>
                </w:tcPr>
                <w:p w14:paraId="146F426C" w14:textId="77777777" w:rsidR="00A6435E" w:rsidRPr="000D4A4A" w:rsidRDefault="00A6435E" w:rsidP="004B59D5">
                  <w:pPr>
                    <w:pStyle w:val="Figure"/>
                  </w:pPr>
                  <w:r w:rsidRPr="000D4A4A">
                    <w:t>95% CI</w:t>
                  </w:r>
                </w:p>
              </w:tc>
              <w:tc>
                <w:tcPr>
                  <w:tcW w:w="521" w:type="pct"/>
                  <w:tcBorders>
                    <w:top w:val="double" w:sz="4" w:space="0" w:color="auto"/>
                    <w:left w:val="single" w:sz="4" w:space="0" w:color="auto"/>
                    <w:bottom w:val="single" w:sz="4" w:space="0" w:color="auto"/>
                  </w:tcBorders>
                  <w:vAlign w:val="center"/>
                </w:tcPr>
                <w:p w14:paraId="0B53E5B4" w14:textId="77777777" w:rsidR="00A6435E" w:rsidRPr="000D4A4A" w:rsidRDefault="00A6435E" w:rsidP="004B59D5">
                  <w:pPr>
                    <w:pStyle w:val="Figure"/>
                  </w:pPr>
                  <w:r w:rsidRPr="000D4A4A">
                    <w:t>p-value</w:t>
                  </w:r>
                </w:p>
              </w:tc>
            </w:tr>
            <w:tr w:rsidR="00A6435E" w14:paraId="00D3DAA1" w14:textId="77777777" w:rsidTr="004B59D5">
              <w:trPr>
                <w:trHeight w:val="429"/>
              </w:trPr>
              <w:tc>
                <w:tcPr>
                  <w:tcW w:w="964" w:type="pct"/>
                  <w:tcBorders>
                    <w:top w:val="double" w:sz="4" w:space="0" w:color="auto"/>
                  </w:tcBorders>
                  <w:vAlign w:val="center"/>
                </w:tcPr>
                <w:p w14:paraId="0F6AD8A8" w14:textId="77777777" w:rsidR="00A6435E" w:rsidRPr="000D4A4A" w:rsidRDefault="00A6435E" w:rsidP="004B59D5">
                  <w:pPr>
                    <w:pStyle w:val="Figure"/>
                  </w:pPr>
                  <w:r>
                    <w:t xml:space="preserve">OP </w:t>
                  </w:r>
                  <w:r w:rsidRPr="000D4A4A">
                    <w:t xml:space="preserve">&amp; </w:t>
                  </w:r>
                  <w:r>
                    <w:t>SP</w:t>
                  </w:r>
                  <w:r w:rsidRPr="000D4A4A">
                    <w:t xml:space="preserve"> status</w:t>
                  </w:r>
                </w:p>
              </w:tc>
              <w:tc>
                <w:tcPr>
                  <w:tcW w:w="346" w:type="pct"/>
                  <w:tcBorders>
                    <w:top w:val="double" w:sz="4" w:space="0" w:color="auto"/>
                    <w:bottom w:val="nil"/>
                    <w:right w:val="nil"/>
                  </w:tcBorders>
                  <w:vAlign w:val="center"/>
                </w:tcPr>
                <w:p w14:paraId="1106537D" w14:textId="77777777" w:rsidR="00A6435E" w:rsidRPr="000D4A4A" w:rsidRDefault="00A6435E" w:rsidP="004B59D5">
                  <w:pPr>
                    <w:pStyle w:val="Figure"/>
                  </w:pPr>
                  <w:r>
                    <w:t>288</w:t>
                  </w:r>
                </w:p>
              </w:tc>
              <w:tc>
                <w:tcPr>
                  <w:tcW w:w="1680" w:type="pct"/>
                  <w:gridSpan w:val="3"/>
                  <w:tcBorders>
                    <w:top w:val="double" w:sz="4" w:space="0" w:color="auto"/>
                    <w:left w:val="nil"/>
                    <w:bottom w:val="nil"/>
                    <w:right w:val="single" w:sz="4" w:space="0" w:color="auto"/>
                  </w:tcBorders>
                  <w:vAlign w:val="center"/>
                </w:tcPr>
                <w:p w14:paraId="3ABDAD90" w14:textId="77777777" w:rsidR="00A6435E" w:rsidRDefault="00A6435E" w:rsidP="004B59D5">
                  <w:pPr>
                    <w:pStyle w:val="Figure"/>
                  </w:pPr>
                </w:p>
              </w:tc>
              <w:tc>
                <w:tcPr>
                  <w:tcW w:w="345" w:type="pct"/>
                  <w:tcBorders>
                    <w:top w:val="double" w:sz="4" w:space="0" w:color="auto"/>
                    <w:left w:val="single" w:sz="4" w:space="0" w:color="auto"/>
                    <w:bottom w:val="nil"/>
                    <w:right w:val="nil"/>
                  </w:tcBorders>
                  <w:vAlign w:val="center"/>
                </w:tcPr>
                <w:p w14:paraId="19B84E46" w14:textId="77777777" w:rsidR="00A6435E" w:rsidRPr="001E0B6B" w:rsidRDefault="00A6435E" w:rsidP="004B59D5">
                  <w:r>
                    <w:t>286</w:t>
                  </w:r>
                </w:p>
              </w:tc>
              <w:tc>
                <w:tcPr>
                  <w:tcW w:w="1143" w:type="pct"/>
                  <w:gridSpan w:val="2"/>
                  <w:tcBorders>
                    <w:top w:val="double" w:sz="4" w:space="0" w:color="auto"/>
                    <w:left w:val="nil"/>
                    <w:bottom w:val="nil"/>
                    <w:right w:val="single" w:sz="4" w:space="0" w:color="auto"/>
                  </w:tcBorders>
                  <w:vAlign w:val="center"/>
                </w:tcPr>
                <w:p w14:paraId="4E9F888E" w14:textId="77777777" w:rsidR="00A6435E" w:rsidRDefault="00A6435E" w:rsidP="004B59D5">
                  <w:pPr>
                    <w:pStyle w:val="Figure"/>
                  </w:pPr>
                </w:p>
              </w:tc>
              <w:tc>
                <w:tcPr>
                  <w:tcW w:w="521" w:type="pct"/>
                  <w:tcBorders>
                    <w:top w:val="double" w:sz="4" w:space="0" w:color="auto"/>
                    <w:left w:val="single" w:sz="4" w:space="0" w:color="auto"/>
                    <w:bottom w:val="nil"/>
                  </w:tcBorders>
                  <w:vAlign w:val="center"/>
                </w:tcPr>
                <w:p w14:paraId="5946811B" w14:textId="77777777" w:rsidR="00A6435E" w:rsidRDefault="00A6435E" w:rsidP="004B59D5">
                  <w:pPr>
                    <w:pStyle w:val="Figure"/>
                  </w:pPr>
                </w:p>
              </w:tc>
            </w:tr>
            <w:tr w:rsidR="00A6435E" w14:paraId="7F15FC03" w14:textId="77777777" w:rsidTr="004B59D5">
              <w:trPr>
                <w:trHeight w:val="705"/>
              </w:trPr>
              <w:tc>
                <w:tcPr>
                  <w:tcW w:w="964" w:type="pct"/>
                  <w:vAlign w:val="center"/>
                </w:tcPr>
                <w:p w14:paraId="5A770297" w14:textId="77777777" w:rsidR="00A6435E" w:rsidRPr="000D4A4A" w:rsidRDefault="00A6435E" w:rsidP="004B59D5">
                  <w:pPr>
                    <w:pStyle w:val="Figure"/>
                  </w:pPr>
                  <w:r w:rsidRPr="000D4A4A">
                    <w:t xml:space="preserve">Neither </w:t>
                  </w:r>
                  <w:r>
                    <w:t>OP</w:t>
                  </w:r>
                  <w:r w:rsidRPr="000D4A4A">
                    <w:t xml:space="preserve"> nor </w:t>
                  </w:r>
                  <w:r>
                    <w:t>SP</w:t>
                  </w:r>
                  <w:r w:rsidRPr="000D4A4A">
                    <w:t xml:space="preserve"> (reference)</w:t>
                  </w:r>
                </w:p>
              </w:tc>
              <w:tc>
                <w:tcPr>
                  <w:tcW w:w="2027" w:type="pct"/>
                  <w:gridSpan w:val="4"/>
                  <w:tcBorders>
                    <w:top w:val="nil"/>
                    <w:bottom w:val="nil"/>
                    <w:right w:val="single" w:sz="4" w:space="0" w:color="auto"/>
                  </w:tcBorders>
                  <w:vAlign w:val="center"/>
                </w:tcPr>
                <w:p w14:paraId="22AB4C3A" w14:textId="77777777" w:rsidR="00A6435E" w:rsidRDefault="00A6435E" w:rsidP="004B59D5">
                  <w:pPr>
                    <w:pStyle w:val="Figure"/>
                  </w:pPr>
                </w:p>
              </w:tc>
              <w:tc>
                <w:tcPr>
                  <w:tcW w:w="1488" w:type="pct"/>
                  <w:gridSpan w:val="3"/>
                  <w:tcBorders>
                    <w:top w:val="nil"/>
                    <w:left w:val="single" w:sz="4" w:space="0" w:color="auto"/>
                    <w:bottom w:val="nil"/>
                    <w:right w:val="single" w:sz="4" w:space="0" w:color="auto"/>
                  </w:tcBorders>
                  <w:vAlign w:val="center"/>
                </w:tcPr>
                <w:p w14:paraId="20980532" w14:textId="77777777" w:rsidR="00A6435E" w:rsidRDefault="00A6435E" w:rsidP="004B59D5">
                  <w:pPr>
                    <w:pStyle w:val="Figure"/>
                  </w:pPr>
                </w:p>
              </w:tc>
              <w:tc>
                <w:tcPr>
                  <w:tcW w:w="521" w:type="pct"/>
                  <w:tcBorders>
                    <w:top w:val="nil"/>
                    <w:left w:val="single" w:sz="4" w:space="0" w:color="auto"/>
                    <w:bottom w:val="nil"/>
                  </w:tcBorders>
                  <w:vAlign w:val="center"/>
                </w:tcPr>
                <w:p w14:paraId="030C0484" w14:textId="77777777" w:rsidR="00A6435E" w:rsidRDefault="00A6435E" w:rsidP="004B59D5">
                  <w:pPr>
                    <w:pStyle w:val="Figure"/>
                  </w:pPr>
                </w:p>
              </w:tc>
            </w:tr>
            <w:tr w:rsidR="00A6435E" w14:paraId="23AECBDE" w14:textId="77777777" w:rsidTr="004B59D5">
              <w:trPr>
                <w:trHeight w:val="429"/>
              </w:trPr>
              <w:tc>
                <w:tcPr>
                  <w:tcW w:w="964" w:type="pct"/>
                  <w:vAlign w:val="center"/>
                </w:tcPr>
                <w:p w14:paraId="09720AE9" w14:textId="77777777" w:rsidR="00A6435E" w:rsidRPr="000D4A4A" w:rsidRDefault="00A6435E" w:rsidP="004B59D5">
                  <w:pPr>
                    <w:pStyle w:val="Figure"/>
                  </w:pPr>
                  <w:r>
                    <w:t>OP</w:t>
                  </w:r>
                  <w:r w:rsidRPr="000D4A4A">
                    <w:t xml:space="preserve"> only</w:t>
                  </w:r>
                </w:p>
              </w:tc>
              <w:tc>
                <w:tcPr>
                  <w:tcW w:w="346" w:type="pct"/>
                  <w:tcBorders>
                    <w:top w:val="nil"/>
                    <w:bottom w:val="nil"/>
                    <w:right w:val="nil"/>
                  </w:tcBorders>
                  <w:vAlign w:val="center"/>
                </w:tcPr>
                <w:p w14:paraId="771954F3" w14:textId="77777777" w:rsidR="00A6435E" w:rsidRPr="000D4A4A" w:rsidRDefault="00A6435E" w:rsidP="004B59D5">
                  <w:pPr>
                    <w:pStyle w:val="Figure"/>
                  </w:pPr>
                </w:p>
              </w:tc>
              <w:tc>
                <w:tcPr>
                  <w:tcW w:w="401" w:type="pct"/>
                  <w:tcBorders>
                    <w:top w:val="nil"/>
                    <w:left w:val="nil"/>
                    <w:bottom w:val="nil"/>
                    <w:right w:val="nil"/>
                  </w:tcBorders>
                  <w:vAlign w:val="center"/>
                </w:tcPr>
                <w:p w14:paraId="21DCD2FC" w14:textId="77777777" w:rsidR="00A6435E" w:rsidRPr="000D4A4A" w:rsidRDefault="00A6435E" w:rsidP="004B59D5">
                  <w:pPr>
                    <w:pStyle w:val="Figure"/>
                  </w:pPr>
                  <w:r>
                    <w:t>2.76</w:t>
                  </w:r>
                </w:p>
              </w:tc>
              <w:tc>
                <w:tcPr>
                  <w:tcW w:w="746" w:type="pct"/>
                  <w:tcBorders>
                    <w:top w:val="nil"/>
                    <w:left w:val="nil"/>
                    <w:bottom w:val="nil"/>
                    <w:right w:val="nil"/>
                  </w:tcBorders>
                  <w:vAlign w:val="center"/>
                </w:tcPr>
                <w:p w14:paraId="2F96C5D2" w14:textId="77777777" w:rsidR="00A6435E" w:rsidRPr="000D4A4A" w:rsidRDefault="00A6435E" w:rsidP="004B59D5">
                  <w:pPr>
                    <w:pStyle w:val="Figure"/>
                  </w:pPr>
                  <w:r>
                    <w:t>1.35, 5.67</w:t>
                  </w:r>
                </w:p>
              </w:tc>
              <w:tc>
                <w:tcPr>
                  <w:tcW w:w="532" w:type="pct"/>
                  <w:tcBorders>
                    <w:top w:val="nil"/>
                    <w:left w:val="nil"/>
                    <w:bottom w:val="nil"/>
                    <w:right w:val="single" w:sz="4" w:space="0" w:color="auto"/>
                  </w:tcBorders>
                  <w:vAlign w:val="center"/>
                </w:tcPr>
                <w:p w14:paraId="462FCC93" w14:textId="77777777" w:rsidR="00A6435E" w:rsidRDefault="00A6435E" w:rsidP="004B59D5">
                  <w:pPr>
                    <w:pStyle w:val="Figure"/>
                  </w:pPr>
                  <w:r>
                    <w:t>0.006*</w:t>
                  </w:r>
                </w:p>
              </w:tc>
              <w:tc>
                <w:tcPr>
                  <w:tcW w:w="345" w:type="pct"/>
                  <w:tcBorders>
                    <w:top w:val="nil"/>
                    <w:left w:val="single" w:sz="4" w:space="0" w:color="auto"/>
                    <w:bottom w:val="nil"/>
                    <w:right w:val="nil"/>
                  </w:tcBorders>
                  <w:vAlign w:val="center"/>
                </w:tcPr>
                <w:p w14:paraId="32C80197" w14:textId="77777777" w:rsidR="00A6435E" w:rsidRDefault="00A6435E" w:rsidP="004B59D5">
                  <w:pPr>
                    <w:pStyle w:val="Figure"/>
                  </w:pPr>
                </w:p>
              </w:tc>
              <w:tc>
                <w:tcPr>
                  <w:tcW w:w="396" w:type="pct"/>
                  <w:tcBorders>
                    <w:top w:val="nil"/>
                    <w:left w:val="nil"/>
                    <w:bottom w:val="nil"/>
                    <w:right w:val="nil"/>
                  </w:tcBorders>
                  <w:vAlign w:val="center"/>
                </w:tcPr>
                <w:p w14:paraId="3DF1BDB2" w14:textId="77777777" w:rsidR="00A6435E" w:rsidRDefault="00A6435E" w:rsidP="004B59D5">
                  <w:pPr>
                    <w:pStyle w:val="Figure"/>
                  </w:pPr>
                  <w:r>
                    <w:t>2.86</w:t>
                  </w:r>
                </w:p>
              </w:tc>
              <w:tc>
                <w:tcPr>
                  <w:tcW w:w="747" w:type="pct"/>
                  <w:tcBorders>
                    <w:top w:val="nil"/>
                    <w:left w:val="nil"/>
                    <w:bottom w:val="nil"/>
                    <w:right w:val="single" w:sz="4" w:space="0" w:color="auto"/>
                  </w:tcBorders>
                  <w:vAlign w:val="center"/>
                </w:tcPr>
                <w:p w14:paraId="7E072635" w14:textId="77777777" w:rsidR="00A6435E" w:rsidRDefault="00A6435E" w:rsidP="004B59D5">
                  <w:pPr>
                    <w:pStyle w:val="Figure"/>
                  </w:pPr>
                  <w:r>
                    <w:t>1.32, 6.22</w:t>
                  </w:r>
                </w:p>
              </w:tc>
              <w:tc>
                <w:tcPr>
                  <w:tcW w:w="521" w:type="pct"/>
                  <w:tcBorders>
                    <w:top w:val="nil"/>
                    <w:left w:val="single" w:sz="4" w:space="0" w:color="auto"/>
                    <w:bottom w:val="nil"/>
                  </w:tcBorders>
                  <w:vAlign w:val="center"/>
                </w:tcPr>
                <w:p w14:paraId="7351C992" w14:textId="77777777" w:rsidR="00A6435E" w:rsidRPr="00521C30" w:rsidRDefault="00A6435E" w:rsidP="004B59D5">
                  <w:pPr>
                    <w:pStyle w:val="Figure"/>
                    <w:rPr>
                      <w:color w:val="FF0000"/>
                    </w:rPr>
                  </w:pPr>
                  <w:r w:rsidRPr="00521C30">
                    <w:rPr>
                      <w:color w:val="FF0000"/>
                    </w:rPr>
                    <w:t>0.008*</w:t>
                  </w:r>
                </w:p>
              </w:tc>
            </w:tr>
            <w:tr w:rsidR="00A6435E" w14:paraId="47FDFE94" w14:textId="77777777" w:rsidTr="004B59D5">
              <w:trPr>
                <w:trHeight w:val="414"/>
              </w:trPr>
              <w:tc>
                <w:tcPr>
                  <w:tcW w:w="964" w:type="pct"/>
                  <w:vAlign w:val="center"/>
                </w:tcPr>
                <w:p w14:paraId="03CFD7CC" w14:textId="77777777" w:rsidR="00A6435E" w:rsidRPr="000D4A4A" w:rsidRDefault="00A6435E" w:rsidP="004B59D5">
                  <w:pPr>
                    <w:pStyle w:val="Figure"/>
                  </w:pPr>
                  <w:r>
                    <w:t>SP</w:t>
                  </w:r>
                  <w:r w:rsidRPr="000D4A4A">
                    <w:t xml:space="preserve"> only</w:t>
                  </w:r>
                </w:p>
              </w:tc>
              <w:tc>
                <w:tcPr>
                  <w:tcW w:w="346" w:type="pct"/>
                  <w:tcBorders>
                    <w:top w:val="nil"/>
                    <w:bottom w:val="nil"/>
                    <w:right w:val="nil"/>
                  </w:tcBorders>
                  <w:vAlign w:val="center"/>
                </w:tcPr>
                <w:p w14:paraId="57965FE9" w14:textId="77777777" w:rsidR="00A6435E" w:rsidRPr="000D4A4A" w:rsidRDefault="00A6435E" w:rsidP="004B59D5">
                  <w:pPr>
                    <w:pStyle w:val="Figure"/>
                  </w:pPr>
                </w:p>
              </w:tc>
              <w:tc>
                <w:tcPr>
                  <w:tcW w:w="401" w:type="pct"/>
                  <w:tcBorders>
                    <w:top w:val="nil"/>
                    <w:left w:val="nil"/>
                    <w:bottom w:val="nil"/>
                    <w:right w:val="nil"/>
                  </w:tcBorders>
                  <w:vAlign w:val="center"/>
                </w:tcPr>
                <w:p w14:paraId="3EEA4D54" w14:textId="77777777" w:rsidR="00A6435E" w:rsidRPr="000D4A4A" w:rsidRDefault="00A6435E" w:rsidP="004B59D5">
                  <w:pPr>
                    <w:pStyle w:val="Figure"/>
                  </w:pPr>
                  <w:r>
                    <w:t>2.98</w:t>
                  </w:r>
                </w:p>
              </w:tc>
              <w:tc>
                <w:tcPr>
                  <w:tcW w:w="746" w:type="pct"/>
                  <w:tcBorders>
                    <w:top w:val="nil"/>
                    <w:left w:val="nil"/>
                    <w:bottom w:val="nil"/>
                    <w:right w:val="nil"/>
                  </w:tcBorders>
                  <w:vAlign w:val="center"/>
                </w:tcPr>
                <w:p w14:paraId="3DA567A2" w14:textId="77777777" w:rsidR="00A6435E" w:rsidRPr="000D4A4A" w:rsidRDefault="00A6435E" w:rsidP="004B59D5">
                  <w:pPr>
                    <w:pStyle w:val="Figure"/>
                  </w:pPr>
                  <w:r>
                    <w:t>1.02, 8.74</w:t>
                  </w:r>
                </w:p>
              </w:tc>
              <w:tc>
                <w:tcPr>
                  <w:tcW w:w="532" w:type="pct"/>
                  <w:tcBorders>
                    <w:top w:val="nil"/>
                    <w:left w:val="nil"/>
                    <w:bottom w:val="nil"/>
                    <w:right w:val="single" w:sz="4" w:space="0" w:color="auto"/>
                  </w:tcBorders>
                  <w:vAlign w:val="center"/>
                </w:tcPr>
                <w:p w14:paraId="0D857CB5" w14:textId="77777777" w:rsidR="00A6435E" w:rsidRDefault="00A6435E" w:rsidP="004B59D5">
                  <w:pPr>
                    <w:pStyle w:val="Figure"/>
                  </w:pPr>
                  <w:r>
                    <w:t>0.047*</w:t>
                  </w:r>
                </w:p>
              </w:tc>
              <w:tc>
                <w:tcPr>
                  <w:tcW w:w="345" w:type="pct"/>
                  <w:tcBorders>
                    <w:top w:val="nil"/>
                    <w:left w:val="single" w:sz="4" w:space="0" w:color="auto"/>
                    <w:bottom w:val="nil"/>
                    <w:right w:val="nil"/>
                  </w:tcBorders>
                  <w:vAlign w:val="center"/>
                </w:tcPr>
                <w:p w14:paraId="550DF0D6" w14:textId="77777777" w:rsidR="00A6435E" w:rsidRDefault="00A6435E" w:rsidP="004B59D5">
                  <w:pPr>
                    <w:pStyle w:val="Figure"/>
                  </w:pPr>
                </w:p>
              </w:tc>
              <w:tc>
                <w:tcPr>
                  <w:tcW w:w="396" w:type="pct"/>
                  <w:tcBorders>
                    <w:top w:val="nil"/>
                    <w:left w:val="nil"/>
                    <w:bottom w:val="nil"/>
                    <w:right w:val="nil"/>
                  </w:tcBorders>
                  <w:vAlign w:val="center"/>
                </w:tcPr>
                <w:p w14:paraId="12DD2DB8" w14:textId="77777777" w:rsidR="00A6435E" w:rsidRDefault="00A6435E" w:rsidP="004B59D5">
                  <w:pPr>
                    <w:pStyle w:val="Figure"/>
                  </w:pPr>
                  <w:r>
                    <w:t>4.71</w:t>
                  </w:r>
                </w:p>
              </w:tc>
              <w:tc>
                <w:tcPr>
                  <w:tcW w:w="747" w:type="pct"/>
                  <w:tcBorders>
                    <w:top w:val="nil"/>
                    <w:left w:val="nil"/>
                    <w:bottom w:val="nil"/>
                    <w:right w:val="single" w:sz="4" w:space="0" w:color="auto"/>
                  </w:tcBorders>
                  <w:vAlign w:val="center"/>
                </w:tcPr>
                <w:p w14:paraId="4A2F9581" w14:textId="77777777" w:rsidR="00A6435E" w:rsidRDefault="00A6435E" w:rsidP="004B59D5">
                  <w:pPr>
                    <w:pStyle w:val="Figure"/>
                  </w:pPr>
                  <w:r>
                    <w:t>1.50, 14.76</w:t>
                  </w:r>
                </w:p>
              </w:tc>
              <w:tc>
                <w:tcPr>
                  <w:tcW w:w="521" w:type="pct"/>
                  <w:tcBorders>
                    <w:top w:val="nil"/>
                    <w:left w:val="single" w:sz="4" w:space="0" w:color="auto"/>
                    <w:bottom w:val="nil"/>
                  </w:tcBorders>
                  <w:vAlign w:val="center"/>
                </w:tcPr>
                <w:p w14:paraId="1E874F68" w14:textId="77777777" w:rsidR="00A6435E" w:rsidRPr="00521C30" w:rsidRDefault="00A6435E" w:rsidP="004B59D5">
                  <w:pPr>
                    <w:pStyle w:val="Figure"/>
                    <w:rPr>
                      <w:color w:val="FF0000"/>
                    </w:rPr>
                  </w:pPr>
                  <w:r w:rsidRPr="00521C30">
                    <w:rPr>
                      <w:color w:val="FF0000"/>
                    </w:rPr>
                    <w:t>0.008*</w:t>
                  </w:r>
                </w:p>
              </w:tc>
            </w:tr>
            <w:tr w:rsidR="00A6435E" w14:paraId="2EAFEED7" w14:textId="77777777" w:rsidTr="004B59D5">
              <w:trPr>
                <w:trHeight w:val="414"/>
              </w:trPr>
              <w:tc>
                <w:tcPr>
                  <w:tcW w:w="964" w:type="pct"/>
                  <w:vAlign w:val="center"/>
                </w:tcPr>
                <w:p w14:paraId="761C5DA3" w14:textId="77777777" w:rsidR="00A6435E" w:rsidRDefault="00A6435E" w:rsidP="004B59D5">
                  <w:pPr>
                    <w:pStyle w:val="Figure"/>
                  </w:pPr>
                  <w:r>
                    <w:t>Both OP &amp; SP</w:t>
                  </w:r>
                </w:p>
              </w:tc>
              <w:tc>
                <w:tcPr>
                  <w:tcW w:w="346" w:type="pct"/>
                  <w:tcBorders>
                    <w:top w:val="nil"/>
                    <w:bottom w:val="nil"/>
                    <w:right w:val="nil"/>
                  </w:tcBorders>
                  <w:vAlign w:val="center"/>
                </w:tcPr>
                <w:p w14:paraId="3941294E" w14:textId="77777777" w:rsidR="00A6435E" w:rsidRDefault="00A6435E" w:rsidP="004B59D5">
                  <w:pPr>
                    <w:pStyle w:val="Figure"/>
                  </w:pPr>
                </w:p>
              </w:tc>
              <w:tc>
                <w:tcPr>
                  <w:tcW w:w="401" w:type="pct"/>
                  <w:tcBorders>
                    <w:top w:val="nil"/>
                    <w:left w:val="nil"/>
                    <w:bottom w:val="nil"/>
                    <w:right w:val="nil"/>
                  </w:tcBorders>
                  <w:vAlign w:val="center"/>
                </w:tcPr>
                <w:p w14:paraId="13DA6F2E" w14:textId="77777777" w:rsidR="00A6435E" w:rsidRDefault="00A6435E" w:rsidP="004B59D5">
                  <w:pPr>
                    <w:pStyle w:val="Figure"/>
                  </w:pPr>
                  <w:r>
                    <w:t>2.12</w:t>
                  </w:r>
                </w:p>
              </w:tc>
              <w:tc>
                <w:tcPr>
                  <w:tcW w:w="746" w:type="pct"/>
                  <w:tcBorders>
                    <w:top w:val="nil"/>
                    <w:left w:val="nil"/>
                    <w:bottom w:val="nil"/>
                    <w:right w:val="nil"/>
                  </w:tcBorders>
                  <w:vAlign w:val="center"/>
                </w:tcPr>
                <w:p w14:paraId="3DE7E305" w14:textId="77777777" w:rsidR="00A6435E" w:rsidRDefault="00A6435E" w:rsidP="004B59D5">
                  <w:pPr>
                    <w:pStyle w:val="Figure"/>
                  </w:pPr>
                  <w:r>
                    <w:t>0.39, 11.64</w:t>
                  </w:r>
                </w:p>
              </w:tc>
              <w:tc>
                <w:tcPr>
                  <w:tcW w:w="532" w:type="pct"/>
                  <w:tcBorders>
                    <w:top w:val="nil"/>
                    <w:left w:val="nil"/>
                    <w:bottom w:val="nil"/>
                    <w:right w:val="single" w:sz="4" w:space="0" w:color="auto"/>
                  </w:tcBorders>
                  <w:vAlign w:val="center"/>
                </w:tcPr>
                <w:p w14:paraId="03FD1036" w14:textId="77777777" w:rsidR="00A6435E" w:rsidRPr="00F073EB" w:rsidRDefault="00A6435E" w:rsidP="004B59D5">
                  <w:pPr>
                    <w:pStyle w:val="Figure"/>
                    <w:rPr>
                      <w:b/>
                      <w:bCs/>
                    </w:rPr>
                  </w:pPr>
                  <w:r>
                    <w:t>0.385</w:t>
                  </w:r>
                </w:p>
              </w:tc>
              <w:tc>
                <w:tcPr>
                  <w:tcW w:w="345" w:type="pct"/>
                  <w:tcBorders>
                    <w:top w:val="nil"/>
                    <w:left w:val="single" w:sz="4" w:space="0" w:color="auto"/>
                    <w:bottom w:val="nil"/>
                    <w:right w:val="nil"/>
                  </w:tcBorders>
                  <w:vAlign w:val="center"/>
                </w:tcPr>
                <w:p w14:paraId="1E638F7B" w14:textId="77777777" w:rsidR="00A6435E" w:rsidRDefault="00A6435E" w:rsidP="004B59D5">
                  <w:pPr>
                    <w:pStyle w:val="Figure"/>
                  </w:pPr>
                </w:p>
              </w:tc>
              <w:tc>
                <w:tcPr>
                  <w:tcW w:w="396" w:type="pct"/>
                  <w:tcBorders>
                    <w:top w:val="nil"/>
                    <w:left w:val="nil"/>
                    <w:bottom w:val="nil"/>
                    <w:right w:val="nil"/>
                  </w:tcBorders>
                  <w:vAlign w:val="center"/>
                </w:tcPr>
                <w:p w14:paraId="6C842D6F" w14:textId="77777777" w:rsidR="00A6435E" w:rsidRDefault="00A6435E" w:rsidP="004B59D5">
                  <w:pPr>
                    <w:pStyle w:val="Figure"/>
                  </w:pPr>
                  <w:r>
                    <w:t>3.45</w:t>
                  </w:r>
                </w:p>
              </w:tc>
              <w:tc>
                <w:tcPr>
                  <w:tcW w:w="747" w:type="pct"/>
                  <w:tcBorders>
                    <w:top w:val="nil"/>
                    <w:left w:val="nil"/>
                    <w:bottom w:val="nil"/>
                    <w:right w:val="single" w:sz="4" w:space="0" w:color="auto"/>
                  </w:tcBorders>
                  <w:vAlign w:val="center"/>
                </w:tcPr>
                <w:p w14:paraId="25CFEDAB" w14:textId="77777777" w:rsidR="00A6435E" w:rsidRDefault="00A6435E" w:rsidP="004B59D5">
                  <w:pPr>
                    <w:pStyle w:val="Figure"/>
                  </w:pPr>
                  <w:r>
                    <w:t>0.59, 20.26</w:t>
                  </w:r>
                </w:p>
              </w:tc>
              <w:tc>
                <w:tcPr>
                  <w:tcW w:w="521" w:type="pct"/>
                  <w:tcBorders>
                    <w:top w:val="nil"/>
                    <w:left w:val="single" w:sz="4" w:space="0" w:color="auto"/>
                    <w:bottom w:val="nil"/>
                  </w:tcBorders>
                  <w:vAlign w:val="center"/>
                </w:tcPr>
                <w:p w14:paraId="34DD73CA" w14:textId="77777777" w:rsidR="00A6435E" w:rsidRDefault="00A6435E" w:rsidP="004B59D5">
                  <w:pPr>
                    <w:pStyle w:val="Figure"/>
                  </w:pPr>
                  <w:r>
                    <w:t>0.171</w:t>
                  </w:r>
                </w:p>
              </w:tc>
            </w:tr>
          </w:tbl>
          <w:p w14:paraId="2E6A7B82" w14:textId="77777777" w:rsidR="00A6435E" w:rsidRPr="00A91AF1" w:rsidRDefault="00A6435E" w:rsidP="004B59D5">
            <w:pPr>
              <w:pStyle w:val="Caption"/>
            </w:pPr>
          </w:p>
        </w:tc>
      </w:tr>
      <w:tr w:rsidR="00A6435E" w:rsidRPr="00817C46" w14:paraId="3970F1AB" w14:textId="77777777" w:rsidTr="004B59D5">
        <w:tc>
          <w:tcPr>
            <w:tcW w:w="9026" w:type="dxa"/>
            <w:tcBorders>
              <w:bottom w:val="nil"/>
            </w:tcBorders>
          </w:tcPr>
          <w:p w14:paraId="13BC4A09" w14:textId="77777777" w:rsidR="00A6435E" w:rsidRPr="000D4A4A" w:rsidRDefault="00A6435E" w:rsidP="004B59D5">
            <w:pPr>
              <w:pStyle w:val="Figure"/>
              <w:jc w:val="left"/>
            </w:pPr>
            <w:r>
              <w:rPr>
                <w:vertAlign w:val="superscript"/>
              </w:rPr>
              <w:t xml:space="preserve">N= number of participants, </w:t>
            </w:r>
            <w:r w:rsidRPr="00B164C2">
              <w:rPr>
                <w:vertAlign w:val="superscript"/>
              </w:rPr>
              <w:t>OR</w:t>
            </w:r>
            <w:r>
              <w:rPr>
                <w:vertAlign w:val="superscript"/>
              </w:rPr>
              <w:t>=</w:t>
            </w:r>
            <w:r w:rsidRPr="00B164C2">
              <w:rPr>
                <w:vertAlign w:val="superscript"/>
              </w:rPr>
              <w:t xml:space="preserve"> Odds ratio</w:t>
            </w:r>
            <w:r>
              <w:rPr>
                <w:vertAlign w:val="superscript"/>
              </w:rPr>
              <w:t xml:space="preserve">, CI= Confidence interval, </w:t>
            </w:r>
            <w:r w:rsidRPr="00B164C2">
              <w:rPr>
                <w:vertAlign w:val="superscript"/>
              </w:rPr>
              <w:t>OP</w:t>
            </w:r>
            <w:r>
              <w:rPr>
                <w:vertAlign w:val="superscript"/>
              </w:rPr>
              <w:t>=</w:t>
            </w:r>
            <w:r w:rsidRPr="00B164C2">
              <w:rPr>
                <w:vertAlign w:val="superscript"/>
              </w:rPr>
              <w:t>Osteoporosis, SP</w:t>
            </w:r>
            <w:r>
              <w:rPr>
                <w:vertAlign w:val="superscript"/>
              </w:rPr>
              <w:t>=</w:t>
            </w:r>
            <w:r w:rsidRPr="00B164C2">
              <w:rPr>
                <w:vertAlign w:val="superscript"/>
              </w:rPr>
              <w:t>Sarcopenia</w:t>
            </w:r>
            <w:r>
              <w:rPr>
                <w:vertAlign w:val="superscript"/>
              </w:rPr>
              <w:t xml:space="preserve">, </w:t>
            </w:r>
            <w:r w:rsidRPr="000533B5">
              <w:rPr>
                <w:rFonts w:ascii="Calibri" w:hAnsi="Calibri" w:cstheme="minorHAnsi"/>
                <w:i/>
                <w:iCs/>
                <w:color w:val="000000"/>
                <w:vertAlign w:val="superscript"/>
              </w:rPr>
              <w:t>*</w:t>
            </w:r>
            <w:r>
              <w:rPr>
                <w:rFonts w:ascii="Calibri" w:hAnsi="Calibri" w:cstheme="minorHAnsi"/>
                <w:i/>
                <w:iCs/>
                <w:color w:val="000000"/>
                <w:vertAlign w:val="superscript"/>
              </w:rPr>
              <w:t xml:space="preserve"> p-value &lt;0.05</w:t>
            </w:r>
          </w:p>
        </w:tc>
      </w:tr>
    </w:tbl>
    <w:p w14:paraId="3CF40204" w14:textId="77777777" w:rsidR="00A6435E" w:rsidRDefault="00A6435E" w:rsidP="00A6435E"/>
    <w:p w14:paraId="2F9DEB5B" w14:textId="77777777" w:rsidR="00A6435E" w:rsidRDefault="00A6435E" w:rsidP="00A6435E">
      <w:pPr>
        <w:pStyle w:val="Heading1"/>
        <w:sectPr w:rsidR="00A6435E" w:rsidSect="002361D4">
          <w:footerReference w:type="default" r:id="rId14"/>
          <w:pgSz w:w="11906" w:h="16838"/>
          <w:pgMar w:top="1440" w:right="1440" w:bottom="1440" w:left="1440" w:header="708" w:footer="708" w:gutter="0"/>
          <w:cols w:space="708"/>
          <w:docGrid w:linePitch="360"/>
        </w:sectPr>
      </w:pPr>
    </w:p>
    <w:p w14:paraId="6AC9FAFF" w14:textId="77777777" w:rsidR="00A6435E" w:rsidRPr="002760FF" w:rsidRDefault="00A6435E" w:rsidP="00A6435E">
      <w:pPr>
        <w:pStyle w:val="Heading1"/>
      </w:pPr>
      <w:r>
        <w:t>Figures</w:t>
      </w:r>
    </w:p>
    <w:p w14:paraId="61AEF821" w14:textId="77777777" w:rsidR="00A6435E" w:rsidRDefault="00A6435E" w:rsidP="00A643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498"/>
      </w:tblGrid>
      <w:tr w:rsidR="00A6435E" w14:paraId="7DDBFB10" w14:textId="77777777" w:rsidTr="004B59D5">
        <w:tc>
          <w:tcPr>
            <w:tcW w:w="9016" w:type="dxa"/>
            <w:gridSpan w:val="2"/>
          </w:tcPr>
          <w:p w14:paraId="1071EE9F" w14:textId="77777777" w:rsidR="00A6435E" w:rsidRDefault="00A6435E" w:rsidP="00A6435E">
            <w:pPr>
              <w:pStyle w:val="ListParagraph"/>
              <w:numPr>
                <w:ilvl w:val="0"/>
                <w:numId w:val="8"/>
              </w:numPr>
              <w:jc w:val="center"/>
            </w:pPr>
            <w:r>
              <w:rPr>
                <w:noProof/>
                <w:lang w:eastAsia="en-GB"/>
              </w:rPr>
              <w:drawing>
                <wp:inline distT="0" distB="0" distL="0" distR="0" wp14:anchorId="18AFF00F" wp14:editId="30992240">
                  <wp:extent cx="3248025" cy="2990850"/>
                  <wp:effectExtent l="0" t="0" r="9525" b="0"/>
                  <wp:docPr id="3" name="Chart 3">
                    <a:extLst xmlns:a="http://schemas.openxmlformats.org/drawingml/2006/main">
                      <a:ext uri="{FF2B5EF4-FFF2-40B4-BE49-F238E27FC236}">
                        <a16:creationId xmlns:a16="http://schemas.microsoft.com/office/drawing/2014/main" id="{3BB5319C-854A-43D3-AE7F-5653EF257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A6435E" w14:paraId="5EF59FDB" w14:textId="77777777" w:rsidTr="004B59D5">
        <w:tc>
          <w:tcPr>
            <w:tcW w:w="4523" w:type="dxa"/>
          </w:tcPr>
          <w:p w14:paraId="7B3B8294" w14:textId="77777777" w:rsidR="00A6435E" w:rsidRDefault="00A6435E" w:rsidP="004B59D5">
            <w:r>
              <w:rPr>
                <w:noProof/>
                <w:lang w:eastAsia="en-GB"/>
              </w:rPr>
              <w:drawing>
                <wp:anchor distT="0" distB="0" distL="114300" distR="114300" simplePos="0" relativeHeight="251659264" behindDoc="0" locked="0" layoutInCell="1" allowOverlap="1" wp14:anchorId="7DC3D0EE" wp14:editId="5C3338F0">
                  <wp:simplePos x="0" y="0"/>
                  <wp:positionH relativeFrom="column">
                    <wp:posOffset>-6350</wp:posOffset>
                  </wp:positionH>
                  <wp:positionV relativeFrom="paragraph">
                    <wp:posOffset>177800</wp:posOffset>
                  </wp:positionV>
                  <wp:extent cx="2781300" cy="3067050"/>
                  <wp:effectExtent l="0" t="0" r="0" b="0"/>
                  <wp:wrapTopAndBottom/>
                  <wp:docPr id="8" name="Chart 8">
                    <a:extLst xmlns:a="http://schemas.openxmlformats.org/drawingml/2006/main">
                      <a:ext uri="{FF2B5EF4-FFF2-40B4-BE49-F238E27FC236}">
                        <a16:creationId xmlns:a16="http://schemas.microsoft.com/office/drawing/2014/main" id="{E28C0565-9D98-441F-86B9-F07E30E89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c>
        <w:tc>
          <w:tcPr>
            <w:tcW w:w="4493" w:type="dxa"/>
            <w:vAlign w:val="center"/>
          </w:tcPr>
          <w:p w14:paraId="350D6C04" w14:textId="77777777" w:rsidR="00A6435E" w:rsidRPr="001E0B6B" w:rsidRDefault="00A6435E" w:rsidP="004B59D5">
            <w:pPr>
              <w:jc w:val="right"/>
            </w:pPr>
            <w:r>
              <w:rPr>
                <w:noProof/>
                <w:lang w:eastAsia="en-GB"/>
              </w:rPr>
              <w:drawing>
                <wp:anchor distT="0" distB="0" distL="114300" distR="114300" simplePos="0" relativeHeight="251660288" behindDoc="0" locked="0" layoutInCell="1" allowOverlap="1" wp14:anchorId="341C4068" wp14:editId="3ADF9ADE">
                  <wp:simplePos x="0" y="0"/>
                  <wp:positionH relativeFrom="column">
                    <wp:posOffset>-635</wp:posOffset>
                  </wp:positionH>
                  <wp:positionV relativeFrom="paragraph">
                    <wp:posOffset>177800</wp:posOffset>
                  </wp:positionV>
                  <wp:extent cx="2762250" cy="3067050"/>
                  <wp:effectExtent l="0" t="0" r="0" b="0"/>
                  <wp:wrapTopAndBottom/>
                  <wp:docPr id="9" name="Chart 9">
                    <a:extLst xmlns:a="http://schemas.openxmlformats.org/drawingml/2006/main">
                      <a:ext uri="{FF2B5EF4-FFF2-40B4-BE49-F238E27FC236}">
                        <a16:creationId xmlns:a16="http://schemas.microsoft.com/office/drawing/2014/main" id="{FA804874-DFF3-4AA5-AFF4-39B59716C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c>
      </w:tr>
      <w:tr w:rsidR="00A6435E" w14:paraId="7954B64B" w14:textId="77777777" w:rsidTr="004B59D5">
        <w:tc>
          <w:tcPr>
            <w:tcW w:w="4523" w:type="dxa"/>
          </w:tcPr>
          <w:p w14:paraId="10027C90" w14:textId="77777777" w:rsidR="00A6435E" w:rsidRDefault="00A6435E" w:rsidP="00A6435E">
            <w:pPr>
              <w:pStyle w:val="ListParagraph"/>
              <w:numPr>
                <w:ilvl w:val="0"/>
                <w:numId w:val="8"/>
              </w:numPr>
              <w:rPr>
                <w:noProof/>
              </w:rPr>
            </w:pPr>
          </w:p>
        </w:tc>
        <w:tc>
          <w:tcPr>
            <w:tcW w:w="4493" w:type="dxa"/>
          </w:tcPr>
          <w:p w14:paraId="4A715849" w14:textId="77777777" w:rsidR="00A6435E" w:rsidRDefault="00A6435E" w:rsidP="00A6435E">
            <w:pPr>
              <w:pStyle w:val="ListParagraph"/>
              <w:numPr>
                <w:ilvl w:val="0"/>
                <w:numId w:val="8"/>
              </w:numPr>
              <w:rPr>
                <w:noProof/>
              </w:rPr>
            </w:pPr>
          </w:p>
        </w:tc>
      </w:tr>
      <w:tr w:rsidR="00A6435E" w14:paraId="213A7ACA" w14:textId="77777777" w:rsidTr="004B59D5">
        <w:tc>
          <w:tcPr>
            <w:tcW w:w="9016" w:type="dxa"/>
            <w:gridSpan w:val="2"/>
          </w:tcPr>
          <w:p w14:paraId="41E249EA" w14:textId="77777777" w:rsidR="00A6435E" w:rsidRDefault="00A6435E" w:rsidP="004B59D5">
            <w:pPr>
              <w:ind w:left="360"/>
              <w:jc w:val="left"/>
              <w:rPr>
                <w:noProof/>
              </w:rPr>
            </w:pPr>
            <w:bookmarkStart w:id="11" w:name="_Ref67068643"/>
            <w:bookmarkStart w:id="12" w:name="_Ref67492304"/>
            <w:r w:rsidRPr="000533B5">
              <w:rPr>
                <w:b/>
                <w:bCs/>
              </w:rPr>
              <w:t>Fig</w:t>
            </w:r>
            <w:r>
              <w:rPr>
                <w:b/>
                <w:bCs/>
              </w:rPr>
              <w:t>.</w:t>
            </w:r>
            <w:r w:rsidRPr="000533B5">
              <w:rPr>
                <w:b/>
                <w:bCs/>
              </w:rPr>
              <w:t xml:space="preserve"> </w:t>
            </w:r>
            <w:r w:rsidRPr="000533B5">
              <w:rPr>
                <w:b/>
                <w:bCs/>
              </w:rPr>
              <w:fldChar w:fldCharType="begin"/>
            </w:r>
            <w:r w:rsidRPr="000533B5">
              <w:rPr>
                <w:b/>
                <w:bCs/>
              </w:rPr>
              <w:instrText xml:space="preserve"> SEQ Figure \* ARABIC </w:instrText>
            </w:r>
            <w:r w:rsidRPr="000533B5">
              <w:rPr>
                <w:b/>
                <w:bCs/>
              </w:rPr>
              <w:fldChar w:fldCharType="separate"/>
            </w:r>
            <w:r w:rsidRPr="000533B5">
              <w:rPr>
                <w:b/>
                <w:bCs/>
                <w:noProof/>
              </w:rPr>
              <w:t>1</w:t>
            </w:r>
            <w:r w:rsidRPr="000533B5">
              <w:rPr>
                <w:b/>
                <w:bCs/>
                <w:noProof/>
              </w:rPr>
              <w:fldChar w:fldCharType="end"/>
            </w:r>
            <w:bookmarkEnd w:id="11"/>
            <w:r w:rsidRPr="001E0B6B">
              <w:t xml:space="preserve"> </w:t>
            </w:r>
            <w:r>
              <w:t>Pooled p</w:t>
            </w:r>
            <w:r w:rsidRPr="002760FF">
              <w:t>revalence of frailty and pre-frailty at baseline (</w:t>
            </w:r>
            <w:r w:rsidRPr="002760FF">
              <w:rPr>
                <w:b/>
                <w:bCs/>
              </w:rPr>
              <w:t>a</w:t>
            </w:r>
            <w:r w:rsidRPr="002760FF">
              <w:t>) and age-and gender-stratified prevalence of frailty and pre-frailty</w:t>
            </w:r>
            <w:r>
              <w:t xml:space="preserve"> at baseline</w:t>
            </w:r>
            <w:r w:rsidRPr="002760FF">
              <w:t xml:space="preserve"> (</w:t>
            </w:r>
            <w:r w:rsidRPr="002760FF">
              <w:rPr>
                <w:b/>
                <w:bCs/>
              </w:rPr>
              <w:t>b &amp;c</w:t>
            </w:r>
            <w:r w:rsidRPr="002760FF">
              <w:t>)</w:t>
            </w:r>
            <w:bookmarkEnd w:id="12"/>
          </w:p>
        </w:tc>
      </w:tr>
    </w:tbl>
    <w:p w14:paraId="5B85569F" w14:textId="77777777" w:rsidR="00A6435E" w:rsidRDefault="00A6435E" w:rsidP="00A6435E">
      <w:pPr>
        <w:sectPr w:rsidR="00A6435E" w:rsidSect="00A6435E">
          <w:footerReference w:type="default" r:id="rId18"/>
          <w:pgSz w:w="11906" w:h="16838"/>
          <w:pgMar w:top="1440" w:right="1440" w:bottom="1440" w:left="1440" w:header="709" w:footer="709" w:gutter="0"/>
          <w:cols w:space="708"/>
          <w:docGrid w:linePitch="360"/>
        </w:sectPr>
      </w:pPr>
    </w:p>
    <w:tbl>
      <w:tblPr>
        <w:tblStyle w:val="TableGrid"/>
        <w:tblpPr w:leftFromText="180" w:rightFromText="180" w:vertAnchor="text" w:horzAnchor="margin" w:tblpY="-4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6435E" w14:paraId="6113B071" w14:textId="77777777" w:rsidTr="004B59D5">
        <w:tc>
          <w:tcPr>
            <w:tcW w:w="9016" w:type="dxa"/>
          </w:tcPr>
          <w:p w14:paraId="2558F74B" w14:textId="77777777" w:rsidR="00A6435E" w:rsidRDefault="00A6435E" w:rsidP="004B59D5">
            <w:pPr>
              <w:jc w:val="center"/>
            </w:pPr>
            <w:bookmarkStart w:id="13" w:name="_Ref64891975"/>
            <w:r>
              <w:rPr>
                <w:noProof/>
                <w:lang w:eastAsia="en-GB"/>
              </w:rPr>
              <w:drawing>
                <wp:inline distT="0" distB="0" distL="0" distR="0" wp14:anchorId="2F44FC42" wp14:editId="048E4001">
                  <wp:extent cx="4626273" cy="3780000"/>
                  <wp:effectExtent l="0" t="0" r="3175" b="0"/>
                  <wp:docPr id="1" name="Picture 2">
                    <a:extLst xmlns:a="http://schemas.openxmlformats.org/drawingml/2006/main">
                      <a:ext uri="{FF2B5EF4-FFF2-40B4-BE49-F238E27FC236}">
                        <a16:creationId xmlns:a16="http://schemas.microsoft.com/office/drawing/2014/main" id="{3E6E86B2-2A98-438F-83E0-EF44A18154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E6E86B2-2A98-438F-83E0-EF44A18154F7}"/>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342" t="4308" r="12740" b="5476"/>
                          <a:stretch/>
                        </pic:blipFill>
                        <pic:spPr bwMode="auto">
                          <a:xfrm>
                            <a:off x="0" y="0"/>
                            <a:ext cx="4626273" cy="37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435E" w14:paraId="7369053D" w14:textId="77777777" w:rsidTr="004B59D5">
        <w:tc>
          <w:tcPr>
            <w:tcW w:w="9016" w:type="dxa"/>
          </w:tcPr>
          <w:p w14:paraId="4B64C1BB" w14:textId="77777777" w:rsidR="00A6435E" w:rsidRDefault="00A6435E" w:rsidP="004B59D5">
            <w:pPr>
              <w:jc w:val="left"/>
              <w:rPr>
                <w:noProof/>
                <w:lang w:eastAsia="en-GB"/>
              </w:rPr>
            </w:pPr>
            <w:bookmarkStart w:id="14" w:name="_Ref67060771"/>
            <w:r w:rsidRPr="000533B5">
              <w:rPr>
                <w:b/>
                <w:bCs/>
              </w:rPr>
              <w:t>Fig</w:t>
            </w:r>
            <w:r>
              <w:rPr>
                <w:b/>
                <w:bCs/>
              </w:rPr>
              <w:t>.</w:t>
            </w:r>
            <w:r w:rsidRPr="000533B5">
              <w:rPr>
                <w:b/>
                <w:bCs/>
              </w:rPr>
              <w:t xml:space="preserve"> </w:t>
            </w:r>
            <w:r w:rsidRPr="000533B5">
              <w:rPr>
                <w:b/>
                <w:bCs/>
              </w:rPr>
              <w:fldChar w:fldCharType="begin"/>
            </w:r>
            <w:r w:rsidRPr="000533B5">
              <w:rPr>
                <w:b/>
                <w:bCs/>
              </w:rPr>
              <w:instrText xml:space="preserve"> SEQ Figure \* ARABIC </w:instrText>
            </w:r>
            <w:r w:rsidRPr="000533B5">
              <w:rPr>
                <w:b/>
                <w:bCs/>
              </w:rPr>
              <w:fldChar w:fldCharType="separate"/>
            </w:r>
            <w:r w:rsidRPr="000533B5">
              <w:rPr>
                <w:b/>
                <w:bCs/>
                <w:noProof/>
              </w:rPr>
              <w:t>2</w:t>
            </w:r>
            <w:r w:rsidRPr="000533B5">
              <w:rPr>
                <w:b/>
                <w:bCs/>
                <w:noProof/>
              </w:rPr>
              <w:fldChar w:fldCharType="end"/>
            </w:r>
            <w:bookmarkEnd w:id="14"/>
            <w:r>
              <w:t xml:space="preserve"> Venn diagram illustrating the relationships of OP, SP, and frailty at baseline</w:t>
            </w:r>
          </w:p>
        </w:tc>
      </w:tr>
      <w:bookmarkEnd w:id="13"/>
    </w:tbl>
    <w:p w14:paraId="1EFADAFD" w14:textId="77777777" w:rsidR="00A6435E" w:rsidRDefault="00A6435E" w:rsidP="00A6435E"/>
    <w:p w14:paraId="6D025230" w14:textId="77777777" w:rsidR="00A6435E" w:rsidRDefault="00A6435E" w:rsidP="00A6435E"/>
    <w:p w14:paraId="529E88B5" w14:textId="1E603C9F" w:rsidR="00A6435E" w:rsidRPr="00A6435E" w:rsidRDefault="00A6435E" w:rsidP="00A6435E">
      <w:pPr>
        <w:sectPr w:rsidR="00A6435E" w:rsidRPr="00A6435E" w:rsidSect="002361D4">
          <w:pgSz w:w="11906" w:h="16838"/>
          <w:pgMar w:top="1440" w:right="1440" w:bottom="1440" w:left="1440" w:header="708" w:footer="708" w:gutter="0"/>
          <w:cols w:space="708"/>
          <w:docGrid w:linePitch="360"/>
        </w:sectPr>
      </w:pPr>
    </w:p>
    <w:p w14:paraId="464BA83A" w14:textId="6689E18B" w:rsidR="006245E7" w:rsidRDefault="006245E7" w:rsidP="000011C4">
      <w:pPr>
        <w:pStyle w:val="Heading1"/>
      </w:pPr>
      <w:r>
        <w:t xml:space="preserve">References </w:t>
      </w:r>
    </w:p>
    <w:p w14:paraId="5FB6CFCE" w14:textId="0CDFDBDB" w:rsidR="008E6C84" w:rsidRPr="008E6C84" w:rsidRDefault="00FE21D1" w:rsidP="008E6C84">
      <w:pPr>
        <w:widowControl w:val="0"/>
        <w:autoSpaceDE w:val="0"/>
        <w:autoSpaceDN w:val="0"/>
        <w:adjustRightInd w:val="0"/>
        <w:ind w:left="640" w:hanging="640"/>
        <w:rPr>
          <w:rFonts w:cs="Times New Roman"/>
          <w:noProof/>
          <w:sz w:val="24"/>
        </w:rPr>
      </w:pPr>
      <w:r>
        <w:fldChar w:fldCharType="begin" w:fldLock="1"/>
      </w:r>
      <w:r>
        <w:instrText xml:space="preserve">ADDIN Mendeley Bibliography CSL_BIBLIOGRAPHY </w:instrText>
      </w:r>
      <w:r>
        <w:fldChar w:fldCharType="separate"/>
      </w:r>
      <w:r w:rsidR="008E6C84" w:rsidRPr="008E6C84">
        <w:rPr>
          <w:rFonts w:cs="Times New Roman"/>
          <w:noProof/>
          <w:sz w:val="24"/>
        </w:rPr>
        <w:t xml:space="preserve">1. </w:t>
      </w:r>
      <w:r w:rsidR="008E6C84" w:rsidRPr="008E6C84">
        <w:rPr>
          <w:rFonts w:cs="Times New Roman"/>
          <w:noProof/>
          <w:sz w:val="24"/>
        </w:rPr>
        <w:tab/>
        <w:t xml:space="preserve">Sanford AM, Morley JE, Berg-Weger M, Lundy J, Little MO, Leonard K, et al. High prevalence of geriatric syndromes in older adults. Abete P, editor. PLoS One. 2020 Jun 5;15(6):e0233857. </w:t>
      </w:r>
    </w:p>
    <w:p w14:paraId="034F0C7F"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2. </w:t>
      </w:r>
      <w:r w:rsidRPr="008E6C84">
        <w:rPr>
          <w:rFonts w:cs="Times New Roman"/>
          <w:noProof/>
          <w:sz w:val="24"/>
        </w:rPr>
        <w:tab/>
        <w:t xml:space="preserve">United Nations Department of Economic and Social Affairs PD (2020). WP, (ST/ESA/SER.A/451). A 2020 HL arrangements of older persons. World Population Ageing United Nations. </w:t>
      </w:r>
    </w:p>
    <w:p w14:paraId="0A9F24E1" w14:textId="3AD75812"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3. </w:t>
      </w:r>
      <w:r w:rsidRPr="008E6C84">
        <w:rPr>
          <w:rFonts w:cs="Times New Roman"/>
          <w:noProof/>
          <w:sz w:val="24"/>
        </w:rPr>
        <w:tab/>
        <w:t>Beaudart C, Biver E, Bruyère O, Cooper C, Al-Daghri N, Reginster JY, et al. Quality of life assessment in musculo-skeletal health. Aging Clinical and Experimental Research. Springer International Publishing; 2018;</w:t>
      </w:r>
      <w:r w:rsidRPr="008E6C84">
        <w:rPr>
          <w:rFonts w:cs="Times New Roman"/>
          <w:sz w:val="24"/>
          <w:shd w:val="clear" w:color="auto" w:fill="FFFFFF"/>
        </w:rPr>
        <w:t xml:space="preserve"> May;30(5):413-418</w:t>
      </w:r>
      <w:r w:rsidRPr="008E6C84">
        <w:rPr>
          <w:rFonts w:cs="Times New Roman"/>
          <w:noProof/>
          <w:sz w:val="24"/>
        </w:rPr>
        <w:t xml:space="preserve">. </w:t>
      </w:r>
    </w:p>
    <w:p w14:paraId="16567CD2"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4. </w:t>
      </w:r>
      <w:r w:rsidRPr="008E6C84">
        <w:rPr>
          <w:rFonts w:cs="Times New Roman"/>
          <w:noProof/>
          <w:sz w:val="24"/>
        </w:rPr>
        <w:tab/>
        <w:t xml:space="preserve">Landi F, Liperoti R, Russo A, Giovannini S, Tosato M, Capoluongo E, et al. Sarcopenia as a risk factor for falls in elderly individuals: Results from the ilSIRENTE study. Clin Nutr. 2012;31(5):652–8. </w:t>
      </w:r>
    </w:p>
    <w:p w14:paraId="0EFF4DCA" w14:textId="49372CED"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5. </w:t>
      </w:r>
      <w:r w:rsidRPr="008E6C84">
        <w:rPr>
          <w:rFonts w:cs="Times New Roman"/>
          <w:noProof/>
          <w:sz w:val="24"/>
        </w:rPr>
        <w:tab/>
        <w:t xml:space="preserve">Barnsley J, Buckland G, Chan PE, Ong A, Ramos AS, Baxter M, et al. Pathophysiology and treatment of osteoporosis: challenges for clinical practice in older people. Aging Clinical and Experimental Research. Springer Science and Business Media Deutschland GmbH; 2021 </w:t>
      </w:r>
      <w:r w:rsidRPr="008E6C84">
        <w:rPr>
          <w:rFonts w:cs="Times New Roman"/>
          <w:sz w:val="24"/>
          <w:shd w:val="clear" w:color="auto" w:fill="FFFFFF"/>
        </w:rPr>
        <w:t>Apr;33(4):759-773</w:t>
      </w:r>
      <w:r w:rsidRPr="008E6C84">
        <w:rPr>
          <w:rFonts w:cs="Times New Roman"/>
          <w:noProof/>
          <w:sz w:val="24"/>
        </w:rPr>
        <w:t xml:space="preserve">. </w:t>
      </w:r>
    </w:p>
    <w:p w14:paraId="7357E9E0" w14:textId="6BFEE2BD"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6. </w:t>
      </w:r>
      <w:r w:rsidRPr="008E6C84">
        <w:rPr>
          <w:rFonts w:cs="Times New Roman"/>
          <w:noProof/>
          <w:sz w:val="24"/>
        </w:rPr>
        <w:tab/>
        <w:t>Woolford SJ, Sohan O, Dennison EM, Cooper C, Patel HP. Approaches to the diagnosis and prevention of frailty. Aging Clinical and Experimental Research. Springer Science and Business Media Deutschland GmbH; 2020</w:t>
      </w:r>
      <w:r w:rsidR="00DE4659">
        <w:rPr>
          <w:rFonts w:cs="Times New Roman"/>
          <w:noProof/>
          <w:sz w:val="24"/>
        </w:rPr>
        <w:t>;32</w:t>
      </w:r>
      <w:r w:rsidRPr="008E6C84">
        <w:rPr>
          <w:rFonts w:cs="Times New Roman"/>
          <w:noProof/>
          <w:sz w:val="24"/>
        </w:rPr>
        <w:t xml:space="preserve">. p. 1629–37. </w:t>
      </w:r>
    </w:p>
    <w:p w14:paraId="0EB4345F"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7. </w:t>
      </w:r>
      <w:r w:rsidRPr="008E6C84">
        <w:rPr>
          <w:rFonts w:cs="Times New Roman"/>
          <w:noProof/>
          <w:sz w:val="24"/>
        </w:rPr>
        <w:tab/>
        <w:t xml:space="preserve">Sezgin D, Liew A, O’Donovan MR, O’Caoimh R. Pre-frailty as a multi-dimensional construct: A systematic review of definitions in the scientific literature. Geriatr Nurs (Minneap). 2020;41(2):139–46. </w:t>
      </w:r>
    </w:p>
    <w:p w14:paraId="3249D14B"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8. </w:t>
      </w:r>
      <w:r w:rsidRPr="008E6C84">
        <w:rPr>
          <w:rFonts w:cs="Times New Roman"/>
          <w:noProof/>
          <w:sz w:val="24"/>
        </w:rPr>
        <w:tab/>
        <w:t xml:space="preserve">Fried LP, Tangen CM, Walston J, Newman AB, Hirsch C, Gottdiener J, et al. Frailty in Older Adults: Evidence for a Phenotype. Journals Gerontol Ser A Biol Sci Med Sci. 2001 Mar 1;56(3):M146–57. </w:t>
      </w:r>
    </w:p>
    <w:p w14:paraId="54EEE73D" w14:textId="3119CED3"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9. </w:t>
      </w:r>
      <w:r w:rsidRPr="008E6C84">
        <w:rPr>
          <w:rFonts w:cs="Times New Roman"/>
          <w:noProof/>
          <w:sz w:val="24"/>
        </w:rPr>
        <w:tab/>
        <w:t>Rockwood K, Mitnitski A. Frailty Defined by Deficit Accumulation and Geriatric Medicine Defined by Frailty. Clinics in Geriatric Medicine. Elsevier; 2011</w:t>
      </w:r>
      <w:r w:rsidR="00DE4659">
        <w:rPr>
          <w:rFonts w:cs="Times New Roman"/>
          <w:noProof/>
          <w:sz w:val="24"/>
        </w:rPr>
        <w:t>;27</w:t>
      </w:r>
      <w:r w:rsidRPr="008E6C84">
        <w:rPr>
          <w:rFonts w:cs="Times New Roman"/>
          <w:noProof/>
          <w:sz w:val="24"/>
        </w:rPr>
        <w:t xml:space="preserve">. p. 17–26. </w:t>
      </w:r>
    </w:p>
    <w:p w14:paraId="6C29E374"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10. </w:t>
      </w:r>
      <w:r w:rsidRPr="008E6C84">
        <w:rPr>
          <w:rFonts w:cs="Times New Roman"/>
          <w:noProof/>
          <w:sz w:val="24"/>
        </w:rPr>
        <w:tab/>
        <w:t xml:space="preserve">Hida T, Shimokata H, Sakai Y, Ito S, Matsui Y, Takemura M, et al. Sarcopenia and sarcopenic leg as potential risk factors for acute osteoporotic vertebral fracture among older women. Eur Spine J. 2016 Nov 1;25(11):3424–31. </w:t>
      </w:r>
    </w:p>
    <w:p w14:paraId="1E07C03F"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11. </w:t>
      </w:r>
      <w:r w:rsidRPr="008E6C84">
        <w:rPr>
          <w:rFonts w:cs="Times New Roman"/>
          <w:noProof/>
          <w:sz w:val="24"/>
        </w:rPr>
        <w:tab/>
        <w:t xml:space="preserve">Miyakoshi N, Hongo M, Mizutani Y, Shimada Y. Prevalence of sarcopenia in Japanese women with osteopenia and osteoporosis. J Bone Miner Metab. 2013 Sep 1;31(5):556–61. </w:t>
      </w:r>
    </w:p>
    <w:p w14:paraId="2A66E1F7"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12. </w:t>
      </w:r>
      <w:r w:rsidRPr="008E6C84">
        <w:rPr>
          <w:rFonts w:cs="Times New Roman"/>
          <w:noProof/>
          <w:sz w:val="24"/>
        </w:rPr>
        <w:tab/>
        <w:t xml:space="preserve">Yoshimura N, Muraki S, Oka H, Iidaka T, Kodama R, Kawaguchi H, et al. Is osteoporosis a predictor for future sarcopenia or vice versa? Four-year observations between the second and third ROAD study surveys. Osteoporos Int. 2017 Jan 1;28(1):189–99. </w:t>
      </w:r>
    </w:p>
    <w:p w14:paraId="47F79998"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13. </w:t>
      </w:r>
      <w:r w:rsidRPr="008E6C84">
        <w:rPr>
          <w:rFonts w:cs="Times New Roman"/>
          <w:noProof/>
          <w:sz w:val="24"/>
        </w:rPr>
        <w:tab/>
        <w:t xml:space="preserve">Ohyama S, Hoshino M, Takahashi S, Hori Y, Yasuda H, Terai H, et al. Presence of sarcopenia does not affect the clinical results of balloon kyphoplasty for acute osteoporotic vertebral fracture. Sci Rep. 2021 Dec 1;11(1):122. </w:t>
      </w:r>
    </w:p>
    <w:p w14:paraId="00CC4665"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14. </w:t>
      </w:r>
      <w:r w:rsidRPr="008E6C84">
        <w:rPr>
          <w:rFonts w:cs="Times New Roman"/>
          <w:noProof/>
          <w:sz w:val="24"/>
        </w:rPr>
        <w:tab/>
        <w:t xml:space="preserve">Ensrud KE, Ewing SK, Taylor BC, Fink HA, Stone KL, Cauley JA, et al. Frailty and Risk of Falls, Fracture, and Mortality in Older Women: The Study of Osteoporotic Fractures. Journals Gerontol Ser A Biol Sci Med Sci. 2007 Jul 1;62(7):744–51. </w:t>
      </w:r>
    </w:p>
    <w:p w14:paraId="37B552EE" w14:textId="698AE0B9"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15. </w:t>
      </w:r>
      <w:r w:rsidRPr="008E6C84">
        <w:rPr>
          <w:rFonts w:cs="Times New Roman"/>
          <w:noProof/>
          <w:sz w:val="24"/>
        </w:rPr>
        <w:tab/>
        <w:t>Yeung SSY, Reijnierse EM, Pham VK, Trappenburg MC, Lim WK, Meskers CGM, et al. Sarcopenia and its association with falls and fractures in older adults: A systematic review and meta-analysis., Journal of Cachexia, Sarcopenia and Muscle. Wiley Blackwell; 2019</w:t>
      </w:r>
      <w:r>
        <w:rPr>
          <w:rFonts w:cs="Times New Roman"/>
          <w:noProof/>
          <w:sz w:val="24"/>
        </w:rPr>
        <w:t>; 10:</w:t>
      </w:r>
      <w:r w:rsidRPr="008E6C84">
        <w:rPr>
          <w:rFonts w:cs="Times New Roman"/>
          <w:noProof/>
          <w:sz w:val="24"/>
        </w:rPr>
        <w:t xml:space="preserve"> 485–500. </w:t>
      </w:r>
    </w:p>
    <w:p w14:paraId="423B3DD1" w14:textId="3AFE0A5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16. </w:t>
      </w:r>
      <w:r w:rsidRPr="008E6C84">
        <w:rPr>
          <w:rFonts w:cs="Times New Roman"/>
          <w:noProof/>
          <w:sz w:val="24"/>
        </w:rPr>
        <w:tab/>
        <w:t>Zhang Y, Hao Q, Ge M, Dong B. Association of sarcopenia and fractures in community-dwelling older adults: a systematic review and meta-analysis of cohort studies.</w:t>
      </w:r>
      <w:r w:rsidRPr="008E6C84">
        <w:rPr>
          <w:rFonts w:cs="Times New Roman"/>
          <w:sz w:val="24"/>
          <w:shd w:val="clear" w:color="auto" w:fill="FFFFFF"/>
        </w:rPr>
        <w:t xml:space="preserve"> Osteoporos Int. 2018 Jun;29(6):1253-1262</w:t>
      </w:r>
      <w:r w:rsidRPr="008E6C84">
        <w:rPr>
          <w:rFonts w:cs="Times New Roman"/>
          <w:noProof/>
          <w:sz w:val="24"/>
        </w:rPr>
        <w:t xml:space="preserve"> </w:t>
      </w:r>
    </w:p>
    <w:p w14:paraId="75BF598F"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17. </w:t>
      </w:r>
      <w:r w:rsidRPr="008E6C84">
        <w:rPr>
          <w:rFonts w:cs="Times New Roman"/>
          <w:noProof/>
          <w:sz w:val="24"/>
        </w:rPr>
        <w:tab/>
        <w:t xml:space="preserve">Clynes MA, Edwards MH, Buehring B, Dennison EM, Binkley N, Cooper C. Definitions of Sarcopenia: Associations with Previous Falls and Fracture in a Population Sample. Calcif Tissue Int. 2015 Nov 1;97(5):445–52. </w:t>
      </w:r>
    </w:p>
    <w:p w14:paraId="48DBAC99" w14:textId="0B17F4B9"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18. </w:t>
      </w:r>
      <w:r w:rsidRPr="008E6C84">
        <w:rPr>
          <w:rFonts w:cs="Times New Roman"/>
          <w:noProof/>
          <w:sz w:val="24"/>
        </w:rPr>
        <w:tab/>
        <w:t xml:space="preserve">Li G, Thabane L, Papaioannou A, Ioannidis G, Levine MAH, Adachi JD. An overview of osteoporosis and frailty in the elderly, BMC Musculoskeletal Disorders. BioMed Central Ltd.; </w:t>
      </w:r>
      <w:r w:rsidRPr="008E6C84">
        <w:rPr>
          <w:rFonts w:cs="Times New Roman"/>
          <w:color w:val="000000"/>
          <w:sz w:val="24"/>
          <w:shd w:val="clear" w:color="auto" w:fill="FFFFFF"/>
        </w:rPr>
        <w:t>2017; 18: 46.</w:t>
      </w:r>
      <w:r w:rsidRPr="008E6C84">
        <w:rPr>
          <w:rFonts w:cs="Times New Roman"/>
          <w:noProof/>
          <w:sz w:val="24"/>
        </w:rPr>
        <w:t xml:space="preserve"> </w:t>
      </w:r>
    </w:p>
    <w:p w14:paraId="2E7947EB"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19. </w:t>
      </w:r>
      <w:r w:rsidRPr="008E6C84">
        <w:rPr>
          <w:rFonts w:cs="Times New Roman"/>
          <w:noProof/>
          <w:sz w:val="24"/>
        </w:rPr>
        <w:tab/>
        <w:t xml:space="preserve">Sarah E. Tom, Jonathan D. Adachi, Frederick A. Anderson Jr, Steven Boonen, Roland D. Chapurlat, Juliet E. Compston, Cyrus Cooper, Stephen H. Gehlbach, Susan L. Greenspan FH. Frailty and Fracture, Disability, and Falls: A Multiple CountryStudy from the Global Longitudinal Study of Osteoporosis inWomen (GLOW). J Am Geriatr. 2013;61(3):327–34. </w:t>
      </w:r>
    </w:p>
    <w:p w14:paraId="7DC8D025"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20. </w:t>
      </w:r>
      <w:r w:rsidRPr="008E6C84">
        <w:rPr>
          <w:rFonts w:cs="Times New Roman"/>
          <w:noProof/>
          <w:sz w:val="24"/>
        </w:rPr>
        <w:tab/>
        <w:t xml:space="preserve">Sjöblom S, Suuronen J, Rikkonen T, Honkanen R, Kröger H, Sirola J. Relationship between postmenopausal osteoporosis and the components of clinical sarcopenia. Maturitas. 2013 Jun;75(2):175–80. </w:t>
      </w:r>
    </w:p>
    <w:p w14:paraId="1BE60A1D"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21. </w:t>
      </w:r>
      <w:r w:rsidRPr="008E6C84">
        <w:rPr>
          <w:rFonts w:cs="Times New Roman"/>
          <w:noProof/>
          <w:sz w:val="24"/>
        </w:rPr>
        <w:tab/>
        <w:t xml:space="preserve">Nielsen BR, Andersen HE, Haddock B, Hovind P, Schwarz P, Suetta C. Prevalence of muscle dysfunction concomitant with osteoporosis in a home-dwelling Danish population aged 65–93 years - The Copenhagen Sarcopenia Study. Exp Gerontol. 2020 Sep 1;138:110974. </w:t>
      </w:r>
    </w:p>
    <w:p w14:paraId="631EB8F3"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22. </w:t>
      </w:r>
      <w:r w:rsidRPr="008E6C84">
        <w:rPr>
          <w:rFonts w:cs="Times New Roman"/>
          <w:noProof/>
          <w:sz w:val="24"/>
        </w:rPr>
        <w:tab/>
        <w:t xml:space="preserve">Pereira FB, Leite AF, de Paula AP. Relationship between pre-sarcopenia, sarcopenia and bone mineral density in elderly men. Arch Endocrinol Metab. 2015;59(1):59–65. </w:t>
      </w:r>
    </w:p>
    <w:p w14:paraId="2CAA27E2"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23. </w:t>
      </w:r>
      <w:r w:rsidRPr="008E6C84">
        <w:rPr>
          <w:rFonts w:cs="Times New Roman"/>
          <w:noProof/>
          <w:sz w:val="24"/>
        </w:rPr>
        <w:tab/>
        <w:t xml:space="preserve">Lima RM, de Oliveira RJ, Raposo R, Neri SGR, Gadelha AB. Stages of sarcopenia, bone mineral density, and the prevalence of osteoporosis in older women. Arch Osteoporos. 2019 Dec 1;14(1). </w:t>
      </w:r>
    </w:p>
    <w:p w14:paraId="16C8C845" w14:textId="0B2D0DB0"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24. </w:t>
      </w:r>
      <w:r w:rsidRPr="008E6C84">
        <w:rPr>
          <w:rFonts w:cs="Times New Roman"/>
          <w:noProof/>
          <w:sz w:val="24"/>
        </w:rPr>
        <w:tab/>
        <w:t xml:space="preserve">Wang Y-J, Wang Y, Zhan J-K, Tang Z-Y, He J-Y, Tan P, et al. Sarco-Osteoporosis: Prevalence and Association with Frailty in Chinese Community-Dwelling Older Adults. </w:t>
      </w:r>
      <w:r w:rsidRPr="008E6C84">
        <w:rPr>
          <w:rFonts w:cs="Times New Roman"/>
          <w:sz w:val="24"/>
          <w:shd w:val="clear" w:color="auto" w:fill="FFFFFF"/>
        </w:rPr>
        <w:t>2015;2015:482940</w:t>
      </w:r>
      <w:r w:rsidRPr="008E6C84">
        <w:rPr>
          <w:rFonts w:cs="Times New Roman"/>
          <w:noProof/>
          <w:sz w:val="24"/>
        </w:rPr>
        <w:t xml:space="preserve"> </w:t>
      </w:r>
    </w:p>
    <w:p w14:paraId="2FB7B744"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25. </w:t>
      </w:r>
      <w:r w:rsidRPr="008E6C84">
        <w:rPr>
          <w:rFonts w:cs="Times New Roman"/>
          <w:noProof/>
          <w:sz w:val="24"/>
        </w:rPr>
        <w:tab/>
        <w:t xml:space="preserve">Okamura H, Ishikawa K, Kudo Y, Matsuoka A, Maruyama H, Emori H, et al. Risk factors predicting osteosarcopenia in postmenopausal women with osteoporosis: A retrospective study. Mogi M, editor. PLoS One. 2020 Aug 7;15(8):e0237454. </w:t>
      </w:r>
    </w:p>
    <w:p w14:paraId="35FE6805"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26. </w:t>
      </w:r>
      <w:r w:rsidRPr="008E6C84">
        <w:rPr>
          <w:rFonts w:cs="Times New Roman"/>
          <w:noProof/>
          <w:sz w:val="24"/>
        </w:rPr>
        <w:tab/>
        <w:t xml:space="preserve">Saeki C, Kanai T, Nakano M, Oikawa T, Torisu Y, Abo M, et al. Relationship between Osteosarcopenia and Frailty in Patients with Chronic Liver Disease. J Clin Med. 2020 Jul 26;9(8):2381. </w:t>
      </w:r>
    </w:p>
    <w:p w14:paraId="7BE96A1E"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27. </w:t>
      </w:r>
      <w:r w:rsidRPr="008E6C84">
        <w:rPr>
          <w:rFonts w:cs="Times New Roman"/>
          <w:noProof/>
          <w:sz w:val="24"/>
        </w:rPr>
        <w:tab/>
        <w:t xml:space="preserve">Felipe Salech, Carlos Marquez, Lydia Lera, Bárbara Angel, Rodrigo Saguez CA. Osteosarcopenia Predicts Falls, Fractures, and Mortality in Chilean Community-Dwelling Older Adults. J Am Med Dir Assoc. 2021;22(4):853–8. </w:t>
      </w:r>
    </w:p>
    <w:p w14:paraId="44990D17" w14:textId="0AE191E0"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28. </w:t>
      </w:r>
      <w:r w:rsidRPr="008E6C84">
        <w:rPr>
          <w:rFonts w:cs="Times New Roman"/>
          <w:noProof/>
          <w:sz w:val="24"/>
        </w:rPr>
        <w:tab/>
        <w:t xml:space="preserve">Aggarwal P, Woolford SJ, Patel HP. Multi-morbidity and polypharmacy in older people: Challenges and opportunities for clinical practice. Vol. 5, Geriatrics (Switzerland). MDPI AG; 2020. </w:t>
      </w:r>
      <w:r w:rsidRPr="008E6C84">
        <w:rPr>
          <w:rFonts w:cs="Times New Roman"/>
          <w:color w:val="000000"/>
          <w:sz w:val="24"/>
          <w:shd w:val="clear" w:color="auto" w:fill="FFFFFF"/>
        </w:rPr>
        <w:t>Dec; 5(4): 85</w:t>
      </w:r>
      <w:r w:rsidRPr="008E6C84">
        <w:rPr>
          <w:rFonts w:cs="Times New Roman"/>
          <w:noProof/>
          <w:sz w:val="24"/>
        </w:rPr>
        <w:t xml:space="preserve">. </w:t>
      </w:r>
    </w:p>
    <w:p w14:paraId="3E97FF80"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29. </w:t>
      </w:r>
      <w:r w:rsidRPr="008E6C84">
        <w:rPr>
          <w:rFonts w:cs="Times New Roman"/>
          <w:noProof/>
          <w:sz w:val="24"/>
        </w:rPr>
        <w:tab/>
        <w:t xml:space="preserve">Inoue T, Maeda K, Nagano A, Shimizu A, Ueshima J, Murotani K, et al. Related factors and clinical outcomes of osteosarcopenia: A narrative review. Nutrients. 2021;13(2):1–13. </w:t>
      </w:r>
    </w:p>
    <w:p w14:paraId="6831AAAA" w14:textId="1BA2A721"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30. </w:t>
      </w:r>
      <w:r w:rsidRPr="008E6C84">
        <w:rPr>
          <w:rFonts w:cs="Times New Roman"/>
          <w:noProof/>
          <w:sz w:val="24"/>
        </w:rPr>
        <w:tab/>
        <w:t xml:space="preserve">Syddall HE, Simmonds SJ, Carter SA, Robinson SM, Dennison EM, Cooper C, et al. The hertfordshire cohort study: An overview [version 1; referees: 3 approved]. </w:t>
      </w:r>
      <w:r w:rsidRPr="008E6C84">
        <w:rPr>
          <w:rFonts w:cs="Times New Roman"/>
          <w:color w:val="000000"/>
          <w:sz w:val="24"/>
          <w:shd w:val="clear" w:color="auto" w:fill="FFFFFF"/>
        </w:rPr>
        <w:t>Version 1.</w:t>
      </w:r>
      <w:r w:rsidR="00961133">
        <w:rPr>
          <w:rFonts w:cs="Times New Roman"/>
          <w:color w:val="000000"/>
          <w:sz w:val="24"/>
          <w:shd w:val="clear" w:color="auto" w:fill="FFFFFF"/>
        </w:rPr>
        <w:t xml:space="preserve">F1000Res </w:t>
      </w:r>
      <w:r w:rsidRPr="008E6C84">
        <w:rPr>
          <w:rFonts w:cs="Times New Roman"/>
          <w:color w:val="000000"/>
          <w:sz w:val="24"/>
          <w:shd w:val="clear" w:color="auto" w:fill="FFFFFF"/>
        </w:rPr>
        <w:t>2019; 8: 82.</w:t>
      </w:r>
      <w:r w:rsidRPr="008E6C84">
        <w:rPr>
          <w:rFonts w:cs="Times New Roman"/>
          <w:noProof/>
          <w:sz w:val="24"/>
        </w:rPr>
        <w:t xml:space="preserve"> </w:t>
      </w:r>
    </w:p>
    <w:p w14:paraId="546D1B71"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31. </w:t>
      </w:r>
      <w:r w:rsidRPr="008E6C84">
        <w:rPr>
          <w:rFonts w:cs="Times New Roman"/>
          <w:noProof/>
          <w:sz w:val="24"/>
        </w:rPr>
        <w:tab/>
        <w:t xml:space="preserve">Roberts HC, Denison HJ, Martin HJ, Patel HP, Syddall H, Cooper C, et al. A review of the measurement of grip strength in clinical and epidemiological studies: towards a standardised approach. Age Ageing. 2011 Jul 1;40(4):423–9. </w:t>
      </w:r>
    </w:p>
    <w:p w14:paraId="78C2962A"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32. </w:t>
      </w:r>
      <w:r w:rsidRPr="008E6C84">
        <w:rPr>
          <w:rFonts w:cs="Times New Roman"/>
          <w:noProof/>
          <w:sz w:val="24"/>
        </w:rPr>
        <w:tab/>
        <w:t xml:space="preserve">Cruz-Jentoft AJ, Bahat G, Bauer J, Boirie Y, Bruyère O, Cederholm T, et al. Sarcopenia: revised European consensus on definition and diagnosis EUROPEAN WORKING GROUP ON SARCOPENIA IN OLDER PEOPLE 2 (EWGSOP2), AND THE EXTENDED GROUP FOR EWGSOP2. Age Ageing. 2019;48:16–31. </w:t>
      </w:r>
    </w:p>
    <w:p w14:paraId="5C07BA79"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33. </w:t>
      </w:r>
      <w:r w:rsidRPr="008E6C84">
        <w:rPr>
          <w:rFonts w:cs="Times New Roman"/>
          <w:noProof/>
          <w:sz w:val="24"/>
        </w:rPr>
        <w:tab/>
        <w:t xml:space="preserve">Davies B, García F, Ara I, Artalejo FR, Rodriguez-Mañas L, Walter S. Relationship Between Sarcopenia and Frailty in the Toledo Study of Healthy Aging: A Population Based Cross-Sectional Study. J Am Med Dir Assoc. 2018 Apr 1;19(4):282–6. </w:t>
      </w:r>
    </w:p>
    <w:p w14:paraId="2F899F7B"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34. </w:t>
      </w:r>
      <w:r w:rsidRPr="008E6C84">
        <w:rPr>
          <w:rFonts w:cs="Times New Roman"/>
          <w:noProof/>
          <w:sz w:val="24"/>
        </w:rPr>
        <w:tab/>
        <w:t xml:space="preserve">Huo YR, Suriyaarachchi P, Gomez F, Curcio CL, Boersma D, Muir SW, et al. Phenotype of Osteosarcopenia in Older Individuals With a History of Falling. J Am Med Dir Assoc. 2015;16(4):290–5. </w:t>
      </w:r>
    </w:p>
    <w:p w14:paraId="4DB7FE43"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35. </w:t>
      </w:r>
      <w:r w:rsidRPr="008E6C84">
        <w:rPr>
          <w:rFonts w:cs="Times New Roman"/>
          <w:noProof/>
          <w:sz w:val="24"/>
        </w:rPr>
        <w:tab/>
        <w:t xml:space="preserve">Frisoli A, Chaves PH, Ingham SJMN, Fried LP. Severe osteopenia and osteoporosis, sarcopenia, and frailty status in community-dwelling older women: Results from the Women’s Health and Aging Study (WHAS) II. Bone. 2011 Apr 1;48(4):952–7. </w:t>
      </w:r>
    </w:p>
    <w:p w14:paraId="26A21C3E"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36. </w:t>
      </w:r>
      <w:r w:rsidRPr="008E6C84">
        <w:rPr>
          <w:rFonts w:cs="Times New Roman"/>
          <w:noProof/>
          <w:sz w:val="24"/>
        </w:rPr>
        <w:tab/>
        <w:t xml:space="preserve">Frisoli A, Paes AT, Borges J, Ingham SMN, Cartocci MM, Lima E, et al. The association between low lean mass and osteoporosis increases the risk of weakness, poor physical performance and frailty in Brazilian older adults: data from SARCOS study. Eur J Clin Nutr. 2020 Mar 1;75(3):446–55. </w:t>
      </w:r>
    </w:p>
    <w:p w14:paraId="34225070"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37. </w:t>
      </w:r>
      <w:r w:rsidRPr="008E6C84">
        <w:rPr>
          <w:rFonts w:cs="Times New Roman"/>
          <w:noProof/>
          <w:sz w:val="24"/>
        </w:rPr>
        <w:tab/>
        <w:t xml:space="preserve">Liu L-K, Lee W-J, Chen L-Y, Hwang A-C, Lin M-H, Peng L-N, et al. Association between Frailty, Osteoporosis, Falls and Hip Fractures among Community-Dwelling People Aged 50 Years and Older in Taiwan: Results from I-Lan Longitudinal Aging Study. Hsu Y-H, editor. PLoS One. 2015 Sep;10(9):e0136968. </w:t>
      </w:r>
    </w:p>
    <w:p w14:paraId="2374B154"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38. </w:t>
      </w:r>
      <w:r w:rsidRPr="008E6C84">
        <w:rPr>
          <w:rFonts w:cs="Times New Roman"/>
          <w:noProof/>
          <w:sz w:val="24"/>
        </w:rPr>
        <w:tab/>
        <w:t xml:space="preserve">Asaoka D, Takeda T, Inami Y, Abe D, Shimada Y, Matsumoto K, et al. The Association between Frailty and Abdominal Symptoms: A Hospital-based Cross-sectional Study. Intern Med. 2020 Jul 15;59(14):1677–85. </w:t>
      </w:r>
    </w:p>
    <w:p w14:paraId="4EC3B8C9"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39. </w:t>
      </w:r>
      <w:r w:rsidRPr="008E6C84">
        <w:rPr>
          <w:rFonts w:cs="Times New Roman"/>
          <w:noProof/>
          <w:sz w:val="24"/>
        </w:rPr>
        <w:tab/>
        <w:t xml:space="preserve">Okamura H, Ishikawa K, Kudo Y, Matsuoka A, Maruyama H, Emori H, et al. Risk factors predicting osteosarcopenia in postmenopausal women with osteoporosis: A retrospective study. Mogi M, editor. PLoS One. 2020 Aug;15(8):e0237454. </w:t>
      </w:r>
    </w:p>
    <w:p w14:paraId="4594C59F"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40. </w:t>
      </w:r>
      <w:r w:rsidRPr="008E6C84">
        <w:rPr>
          <w:rFonts w:cs="Times New Roman"/>
          <w:noProof/>
          <w:sz w:val="24"/>
        </w:rPr>
        <w:tab/>
        <w:t xml:space="preserve">Syddall H, Roberts HC, Evandrou M, Cooper C, Bergman H, Sayer AA. Prevalence and correlates of frailty among community-dwelling older men and women: Findings from the Hertfordshire Cohort Study. Age Ageing. 2009;39(2):197–203. </w:t>
      </w:r>
    </w:p>
    <w:p w14:paraId="776E2CFD"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41. </w:t>
      </w:r>
      <w:r w:rsidRPr="008E6C84">
        <w:rPr>
          <w:rFonts w:cs="Times New Roman"/>
          <w:noProof/>
          <w:sz w:val="24"/>
        </w:rPr>
        <w:tab/>
        <w:t xml:space="preserve">Gale CR, Cooper C, Sayer AA ihi. Prevalence of frailty and disability: findings from the English Longitudinal Study of Ageing. Age Ageing. 2015;44(1):162–5. </w:t>
      </w:r>
    </w:p>
    <w:p w14:paraId="58C0EA02"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42. </w:t>
      </w:r>
      <w:r w:rsidRPr="008E6C84">
        <w:rPr>
          <w:rFonts w:cs="Times New Roman"/>
          <w:noProof/>
          <w:sz w:val="24"/>
        </w:rPr>
        <w:tab/>
        <w:t xml:space="preserve">Jürschik P, Nunin C, Botigué T, Escobar MA, Lavedán A, Viladrosa M. Prevalence of frailty and factors associated with frailty in the elderly population of Lleida, Spain: The FRALLE survey. Arch Gerontol Geriatr. 2012 Nov;55(3):625–31. </w:t>
      </w:r>
    </w:p>
    <w:p w14:paraId="7BDE318E"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43. </w:t>
      </w:r>
      <w:r w:rsidRPr="008E6C84">
        <w:rPr>
          <w:rFonts w:cs="Times New Roman"/>
          <w:noProof/>
          <w:sz w:val="24"/>
        </w:rPr>
        <w:tab/>
        <w:t xml:space="preserve">Ávila-Funes JA, Helmer C, Amieva H, Barberger-Gateau P, Le Goff M, Ritchie K, et al. Frailty among community-dwelling elderly people in france: The three-city study. Journals Gerontol - Ser A Biol Sci Med Sci. 2008;63(10):1089–96. </w:t>
      </w:r>
    </w:p>
    <w:p w14:paraId="162004D5"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44. </w:t>
      </w:r>
      <w:r w:rsidRPr="008E6C84">
        <w:rPr>
          <w:rFonts w:cs="Times New Roman"/>
          <w:noProof/>
          <w:sz w:val="24"/>
        </w:rPr>
        <w:tab/>
        <w:t xml:space="preserve">Yoshimura N, Muraki S, Iidaka T, Oka H, Horii C, Kawaguchi H, et al. Prevalence and co-existence of locomotive syndrome, sarcopenia, and frailty: the third survey of Research on Osteoarthritis/Osteoporosis Against Disability (ROAD) study. J Bone Miner Metab. 2019 Nov 1;37(6):1058–66. </w:t>
      </w:r>
    </w:p>
    <w:p w14:paraId="656616C0"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45. </w:t>
      </w:r>
      <w:r w:rsidRPr="008E6C84">
        <w:rPr>
          <w:rFonts w:cs="Times New Roman"/>
          <w:noProof/>
          <w:sz w:val="24"/>
        </w:rPr>
        <w:tab/>
        <w:t xml:space="preserve">Yoshimura N, Muraki S, Oka H, Iidaka T, Kodama R, Horii C, et al. Do sarcopenia and/or osteoporosis increase the risk of frailty? A 4-year observation of the second and third ROAD study surveys. Osteoporos Int. 2018 Oct 1;29(10):2181–90. </w:t>
      </w:r>
    </w:p>
    <w:p w14:paraId="1883A682"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46. </w:t>
      </w:r>
      <w:r w:rsidRPr="008E6C84">
        <w:rPr>
          <w:rFonts w:cs="Times New Roman"/>
          <w:noProof/>
          <w:sz w:val="24"/>
        </w:rPr>
        <w:tab/>
        <w:t xml:space="preserve">O’Caoimh R, Sezgin D, O’Donovan MR, Molloy DW, Clegg A, Rockwood K, et al. Prevalence of frailty in 62 countries across the world: a systematic review and meta-analysis of population-level studies. Age Ageing. 2021;50(1):96–104. </w:t>
      </w:r>
    </w:p>
    <w:p w14:paraId="0D978C24"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47. </w:t>
      </w:r>
      <w:r w:rsidRPr="008E6C84">
        <w:rPr>
          <w:rFonts w:cs="Times New Roman"/>
          <w:noProof/>
          <w:sz w:val="24"/>
        </w:rPr>
        <w:tab/>
        <w:t xml:space="preserve">Santos-Eggimann B, Cuénoud P, Spagnoli J, Junod J. Prevalence of frailty in middle-aged and older community-dwelling Europeans living in 10 countries. Journals Gerontol - Ser A Biol Sci Med Sci. 2009 Jun;64(6):675–81. </w:t>
      </w:r>
    </w:p>
    <w:p w14:paraId="09E7FC6D"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48. </w:t>
      </w:r>
      <w:r w:rsidRPr="008E6C84">
        <w:rPr>
          <w:rFonts w:cs="Times New Roman"/>
          <w:noProof/>
          <w:sz w:val="24"/>
        </w:rPr>
        <w:tab/>
        <w:t xml:space="preserve">Ofori-Asenso R, Chin KL, Mazidi M, Zomer E, Ilomaki J, Zullo AR, et al. Global Incidence of Frailty and Prefrailty Among Community-Dwelling Older Adults: A Systematic Review and Meta-analysis. JAMA Netw open. 2019 Aug;2(8):e198398. </w:t>
      </w:r>
    </w:p>
    <w:p w14:paraId="23CB8FAE" w14:textId="77777777" w:rsidR="008E6C84" w:rsidRPr="008E6C84" w:rsidRDefault="008E6C84" w:rsidP="008E6C84">
      <w:pPr>
        <w:widowControl w:val="0"/>
        <w:autoSpaceDE w:val="0"/>
        <w:autoSpaceDN w:val="0"/>
        <w:adjustRightInd w:val="0"/>
        <w:ind w:left="640" w:hanging="640"/>
        <w:rPr>
          <w:rFonts w:cs="Times New Roman"/>
          <w:noProof/>
          <w:sz w:val="24"/>
        </w:rPr>
      </w:pPr>
      <w:r w:rsidRPr="008E6C84">
        <w:rPr>
          <w:rFonts w:cs="Times New Roman"/>
          <w:noProof/>
          <w:sz w:val="24"/>
        </w:rPr>
        <w:t xml:space="preserve">49. </w:t>
      </w:r>
      <w:r w:rsidRPr="008E6C84">
        <w:rPr>
          <w:rFonts w:cs="Times New Roman"/>
          <w:noProof/>
          <w:sz w:val="24"/>
        </w:rPr>
        <w:tab/>
        <w:t xml:space="preserve">Xu W, Li YX, Wu C. Incidence of frailty among community-dwelling older adults: A nationally representative profile in China. BMC Geriatr. 2019 Dec;19(1):378. </w:t>
      </w:r>
    </w:p>
    <w:p w14:paraId="6A5FEBF3" w14:textId="14980A1B" w:rsidR="005D351C" w:rsidRPr="00921A61" w:rsidRDefault="00FE21D1" w:rsidP="00921A61">
      <w:pPr>
        <w:ind w:left="640" w:hanging="640"/>
        <w:rPr>
          <w:rFonts w:cs="Times New Roman"/>
          <w:sz w:val="24"/>
        </w:rPr>
      </w:pPr>
      <w:r>
        <w:fldChar w:fldCharType="end"/>
      </w:r>
      <w:r w:rsidR="00921A61" w:rsidRPr="00921A61">
        <w:rPr>
          <w:sz w:val="24"/>
        </w:rPr>
        <w:t>5</w:t>
      </w:r>
      <w:r w:rsidR="00704B61">
        <w:rPr>
          <w:sz w:val="24"/>
        </w:rPr>
        <w:t>0</w:t>
      </w:r>
      <w:r w:rsidR="00921A61">
        <w:rPr>
          <w:sz w:val="24"/>
        </w:rPr>
        <w:t>.</w:t>
      </w:r>
      <w:r w:rsidR="00921A61" w:rsidRPr="00921A61">
        <w:rPr>
          <w:sz w:val="24"/>
        </w:rPr>
        <w:tab/>
      </w:r>
      <w:r w:rsidR="00921A61" w:rsidRPr="00921A61">
        <w:rPr>
          <w:rFonts w:cs="Times New Roman"/>
          <w:color w:val="222222"/>
          <w:sz w:val="24"/>
          <w:shd w:val="clear" w:color="auto" w:fill="FFFFFF"/>
        </w:rPr>
        <w:t>von Haehling S, Morley JE, Coats AJS, Anker SD. Ethical guidelines for publishing in the Journal of Cachexia, Sarcopenia and Muscle: update 2017. J Cachexia Sarcopenia Muscle 2017;8: 1081-1083</w:t>
      </w:r>
    </w:p>
    <w:sectPr w:rsidR="005D351C" w:rsidRPr="00921A61" w:rsidSect="002361D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C67C7" w14:textId="77777777" w:rsidR="008E6268" w:rsidRDefault="008E6268" w:rsidP="000011C4">
      <w:r>
        <w:separator/>
      </w:r>
    </w:p>
  </w:endnote>
  <w:endnote w:type="continuationSeparator" w:id="0">
    <w:p w14:paraId="2D0909D4" w14:textId="77777777" w:rsidR="008E6268" w:rsidRDefault="008E6268" w:rsidP="000011C4">
      <w:r>
        <w:continuationSeparator/>
      </w:r>
    </w:p>
  </w:endnote>
  <w:endnote w:type="continuationNotice" w:id="1">
    <w:p w14:paraId="539D9364" w14:textId="77777777" w:rsidR="008E6268" w:rsidRDefault="008E62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960403"/>
      <w:docPartObj>
        <w:docPartGallery w:val="Page Numbers (Bottom of Page)"/>
        <w:docPartUnique/>
      </w:docPartObj>
    </w:sdtPr>
    <w:sdtEndPr>
      <w:rPr>
        <w:noProof/>
      </w:rPr>
    </w:sdtEndPr>
    <w:sdtContent>
      <w:p w14:paraId="38FD3C4F" w14:textId="009C54FD" w:rsidR="00A6435E" w:rsidRDefault="00A6435E">
        <w:pPr>
          <w:pStyle w:val="Footer"/>
          <w:jc w:val="right"/>
        </w:pPr>
        <w:r>
          <w:fldChar w:fldCharType="begin"/>
        </w:r>
        <w:r>
          <w:instrText xml:space="preserve"> PAGE   \* MERGEFORMAT </w:instrText>
        </w:r>
        <w:r>
          <w:fldChar w:fldCharType="separate"/>
        </w:r>
        <w:r w:rsidR="00C433A7">
          <w:rPr>
            <w:noProof/>
          </w:rPr>
          <w:t>1</w:t>
        </w:r>
        <w:r>
          <w:rPr>
            <w:noProof/>
          </w:rPr>
          <w:fldChar w:fldCharType="end"/>
        </w:r>
      </w:p>
    </w:sdtContent>
  </w:sdt>
  <w:p w14:paraId="65FF709F" w14:textId="77777777" w:rsidR="00A6435E" w:rsidRDefault="00A6435E" w:rsidP="000011C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871357"/>
      <w:docPartObj>
        <w:docPartGallery w:val="Page Numbers (Bottom of Page)"/>
        <w:docPartUnique/>
      </w:docPartObj>
    </w:sdtPr>
    <w:sdtEndPr>
      <w:rPr>
        <w:noProof/>
      </w:rPr>
    </w:sdtEndPr>
    <w:sdtContent>
      <w:p w14:paraId="448673E7" w14:textId="30CB02A2" w:rsidR="002619BD" w:rsidRDefault="002619BD">
        <w:pPr>
          <w:pStyle w:val="Footer"/>
          <w:jc w:val="right"/>
        </w:pPr>
        <w:r>
          <w:fldChar w:fldCharType="begin"/>
        </w:r>
        <w:r>
          <w:instrText xml:space="preserve"> PAGE   \* MERGEFORMAT </w:instrText>
        </w:r>
        <w:r>
          <w:fldChar w:fldCharType="separate"/>
        </w:r>
        <w:r w:rsidR="00C433A7">
          <w:rPr>
            <w:noProof/>
          </w:rPr>
          <w:t>13</w:t>
        </w:r>
        <w:r>
          <w:rPr>
            <w:noProof/>
          </w:rPr>
          <w:fldChar w:fldCharType="end"/>
        </w:r>
      </w:p>
    </w:sdtContent>
  </w:sdt>
  <w:p w14:paraId="42406DAC" w14:textId="77777777" w:rsidR="002619BD" w:rsidRDefault="002619BD" w:rsidP="000011C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180636"/>
      <w:docPartObj>
        <w:docPartGallery w:val="Page Numbers (Bottom of Page)"/>
        <w:docPartUnique/>
      </w:docPartObj>
    </w:sdtPr>
    <w:sdtEndPr>
      <w:rPr>
        <w:noProof/>
      </w:rPr>
    </w:sdtEndPr>
    <w:sdtContent>
      <w:p w14:paraId="09D5EA20" w14:textId="4085DBEB" w:rsidR="00A6435E" w:rsidRDefault="00A6435E">
        <w:pPr>
          <w:pStyle w:val="Footer"/>
          <w:jc w:val="right"/>
        </w:pPr>
        <w:r>
          <w:fldChar w:fldCharType="begin"/>
        </w:r>
        <w:r>
          <w:instrText xml:space="preserve"> PAGE   \* MERGEFORMAT </w:instrText>
        </w:r>
        <w:r>
          <w:fldChar w:fldCharType="separate"/>
        </w:r>
        <w:r w:rsidR="00C433A7">
          <w:rPr>
            <w:noProof/>
          </w:rPr>
          <w:t>21</w:t>
        </w:r>
        <w:r>
          <w:rPr>
            <w:noProof/>
          </w:rPr>
          <w:fldChar w:fldCharType="end"/>
        </w:r>
      </w:p>
    </w:sdtContent>
  </w:sdt>
  <w:p w14:paraId="6E8373FC" w14:textId="77777777" w:rsidR="00A6435E" w:rsidRDefault="00A6435E" w:rsidP="000011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AF24E" w14:textId="77777777" w:rsidR="008E6268" w:rsidRDefault="008E6268" w:rsidP="000011C4">
      <w:r>
        <w:separator/>
      </w:r>
    </w:p>
  </w:footnote>
  <w:footnote w:type="continuationSeparator" w:id="0">
    <w:p w14:paraId="38D7DFA5" w14:textId="77777777" w:rsidR="008E6268" w:rsidRDefault="008E6268" w:rsidP="000011C4">
      <w:r>
        <w:continuationSeparator/>
      </w:r>
    </w:p>
  </w:footnote>
  <w:footnote w:type="continuationNotice" w:id="1">
    <w:p w14:paraId="6ACA8A99" w14:textId="77777777" w:rsidR="008E6268" w:rsidRDefault="008E6268">
      <w:pPr>
        <w:spacing w:after="0" w:line="240" w:lineRule="auto"/>
      </w:pPr>
    </w:p>
  </w:footnote>
  <w:footnote w:id="2">
    <w:p w14:paraId="77FE2592" w14:textId="77777777" w:rsidR="00A6435E" w:rsidRDefault="00A6435E" w:rsidP="00A6435E">
      <w:pPr>
        <w:pStyle w:val="FootnoteText"/>
      </w:pPr>
      <w:r w:rsidRPr="00904021">
        <w:rPr>
          <w:rStyle w:val="FootnoteReference"/>
        </w:rPr>
        <w:footnoteRef/>
      </w:r>
      <w:r>
        <w:t xml:space="preserve"> </w:t>
      </w:r>
      <w:r w:rsidRPr="00051DE8">
        <w:rPr>
          <w:b/>
          <w:bCs/>
          <w:i/>
          <w:iCs/>
          <w:sz w:val="24"/>
          <w:szCs w:val="24"/>
          <w:vertAlign w:val="superscript"/>
        </w:rPr>
        <w:t>1</w:t>
      </w:r>
      <w:r w:rsidRPr="00051DE8">
        <w:rPr>
          <w:i/>
          <w:iCs/>
          <w:sz w:val="24"/>
          <w:szCs w:val="24"/>
          <w:vertAlign w:val="superscript"/>
        </w:rPr>
        <w:t xml:space="preserve"> ALM = Appendicular </w:t>
      </w:r>
      <w:r w:rsidRPr="00051DE8">
        <w:rPr>
          <w:sz w:val="24"/>
          <w:szCs w:val="24"/>
          <w:vertAlign w:val="superscript"/>
        </w:rPr>
        <w:t>lean</w:t>
      </w:r>
      <w:r w:rsidRPr="00051DE8">
        <w:rPr>
          <w:i/>
          <w:iCs/>
          <w:sz w:val="24"/>
          <w:szCs w:val="24"/>
          <w:vertAlign w:val="superscript"/>
        </w:rPr>
        <w:t xml:space="preserve"> mass, </w:t>
      </w:r>
      <w:r w:rsidRPr="00051DE8">
        <w:rPr>
          <w:b/>
          <w:bCs/>
          <w:i/>
          <w:iCs/>
          <w:sz w:val="24"/>
          <w:szCs w:val="24"/>
          <w:vertAlign w:val="superscript"/>
        </w:rPr>
        <w:t>2</w:t>
      </w:r>
      <w:r w:rsidRPr="00051DE8">
        <w:rPr>
          <w:i/>
          <w:iCs/>
          <w:sz w:val="24"/>
          <w:szCs w:val="24"/>
          <w:vertAlign w:val="superscript"/>
        </w:rPr>
        <w:t xml:space="preserve"> Minimum of left and right femoral neck BMD, </w:t>
      </w:r>
      <w:r w:rsidRPr="00051DE8">
        <w:rPr>
          <w:b/>
          <w:bCs/>
          <w:i/>
          <w:iCs/>
          <w:sz w:val="24"/>
          <w:szCs w:val="24"/>
          <w:vertAlign w:val="superscript"/>
        </w:rPr>
        <w:t>3</w:t>
      </w:r>
      <w:r w:rsidRPr="00051DE8">
        <w:rPr>
          <w:i/>
          <w:iCs/>
          <w:sz w:val="24"/>
          <w:szCs w:val="24"/>
          <w:vertAlign w:val="superscript"/>
        </w:rPr>
        <w:t xml:space="preserve"> Low physical activity = lowest 20% of activity time, </w:t>
      </w:r>
      <w:r w:rsidRPr="00051DE8">
        <w:rPr>
          <w:b/>
          <w:bCs/>
          <w:i/>
          <w:iCs/>
          <w:sz w:val="24"/>
          <w:szCs w:val="24"/>
          <w:vertAlign w:val="superscript"/>
        </w:rPr>
        <w:t>4</w:t>
      </w:r>
      <w:r w:rsidRPr="00051DE8">
        <w:rPr>
          <w:i/>
          <w:iCs/>
          <w:sz w:val="24"/>
          <w:szCs w:val="24"/>
          <w:vertAlign w:val="superscript"/>
        </w:rPr>
        <w:t xml:space="preserve"> Osteoporosis = femoral neck t-score &lt;-2.5 or taking HRT, bisphosphonates or raloxifene</w:t>
      </w:r>
    </w:p>
  </w:footnote>
  <w:footnote w:id="3">
    <w:p w14:paraId="6BF4553C" w14:textId="77777777" w:rsidR="00A6435E" w:rsidRDefault="00A6435E" w:rsidP="00A6435E">
      <w:pPr>
        <w:pStyle w:val="FootnoteText"/>
      </w:pPr>
      <w:r w:rsidRPr="00904021">
        <w:rPr>
          <w:rStyle w:val="FootnoteReference"/>
        </w:rPr>
        <w:footnoteRef/>
      </w:r>
      <w:r>
        <w:t xml:space="preserve"> </w:t>
      </w:r>
      <w:r w:rsidRPr="000533B5">
        <w:rPr>
          <w:b/>
          <w:bCs/>
          <w:sz w:val="28"/>
          <w:szCs w:val="28"/>
          <w:vertAlign w:val="superscript"/>
        </w:rPr>
        <w:t>1</w:t>
      </w:r>
      <w:r w:rsidRPr="000533B5">
        <w:rPr>
          <w:rFonts w:cstheme="minorHAnsi"/>
          <w:i/>
          <w:iCs/>
          <w:color w:val="000000"/>
          <w:sz w:val="28"/>
          <w:szCs w:val="28"/>
          <w:vertAlign w:val="superscript"/>
        </w:rPr>
        <w:t xml:space="preserve"> p-value for the difference between the frailty categories, </w:t>
      </w:r>
      <w:r w:rsidRPr="000533B5">
        <w:rPr>
          <w:rFonts w:cstheme="minorHAnsi"/>
          <w:b/>
          <w:bCs/>
          <w:color w:val="000000"/>
          <w:sz w:val="28"/>
          <w:szCs w:val="28"/>
          <w:vertAlign w:val="superscript"/>
        </w:rPr>
        <w:t xml:space="preserve">2 </w:t>
      </w:r>
      <w:r w:rsidRPr="000533B5">
        <w:rPr>
          <w:rFonts w:cstheme="minorHAnsi"/>
          <w:i/>
          <w:iCs/>
          <w:color w:val="000000"/>
          <w:sz w:val="28"/>
          <w:szCs w:val="28"/>
          <w:vertAlign w:val="superscript"/>
        </w:rPr>
        <w:t xml:space="preserve">ALM = Appendicular lean mass, </w:t>
      </w:r>
      <w:r w:rsidRPr="000533B5">
        <w:rPr>
          <w:rFonts w:cstheme="minorHAnsi"/>
          <w:b/>
          <w:bCs/>
          <w:color w:val="000000"/>
          <w:sz w:val="28"/>
          <w:szCs w:val="28"/>
          <w:vertAlign w:val="superscript"/>
        </w:rPr>
        <w:t xml:space="preserve">3 </w:t>
      </w:r>
      <w:r w:rsidRPr="000533B5">
        <w:rPr>
          <w:rFonts w:cstheme="minorHAnsi"/>
          <w:i/>
          <w:iCs/>
          <w:color w:val="000000"/>
          <w:sz w:val="28"/>
          <w:szCs w:val="28"/>
          <w:vertAlign w:val="superscript"/>
        </w:rPr>
        <w:t>Minimum of left and right femoral neck BMD,</w:t>
      </w:r>
      <w:r w:rsidRPr="000533B5">
        <w:rPr>
          <w:rFonts w:cstheme="minorHAnsi"/>
          <w:b/>
          <w:bCs/>
          <w:color w:val="000000"/>
          <w:sz w:val="28"/>
          <w:szCs w:val="28"/>
          <w:vertAlign w:val="superscript"/>
        </w:rPr>
        <w:t xml:space="preserve">4 </w:t>
      </w:r>
      <w:r w:rsidRPr="000533B5">
        <w:rPr>
          <w:rFonts w:cstheme="minorHAnsi"/>
          <w:i/>
          <w:iCs/>
          <w:color w:val="000000"/>
          <w:sz w:val="28"/>
          <w:szCs w:val="28"/>
          <w:vertAlign w:val="superscript"/>
        </w:rPr>
        <w:t>Low physical activity = lowest 20% of activity time</w:t>
      </w:r>
      <w:r>
        <w:rPr>
          <w:rFonts w:cstheme="minorHAnsi"/>
          <w:i/>
          <w:iCs/>
          <w:color w:val="000000"/>
          <w:sz w:val="28"/>
          <w:szCs w:val="28"/>
          <w:vertAlign w:val="superscript"/>
        </w:rPr>
        <w:t xml:space="preserve"> as measured by LAPAQ </w:t>
      </w:r>
      <w:r w:rsidRPr="000533B5">
        <w:rPr>
          <w:rFonts w:cstheme="minorHAnsi"/>
          <w:i/>
          <w:iCs/>
          <w:color w:val="000000"/>
          <w:sz w:val="28"/>
          <w:szCs w:val="28"/>
          <w:vertAlign w:val="superscript"/>
        </w:rPr>
        <w:t xml:space="preserve">, </w:t>
      </w:r>
      <w:r w:rsidRPr="000533B5">
        <w:rPr>
          <w:rFonts w:cstheme="minorHAnsi"/>
          <w:b/>
          <w:bCs/>
          <w:color w:val="000000"/>
          <w:sz w:val="28"/>
          <w:szCs w:val="28"/>
          <w:vertAlign w:val="superscript"/>
        </w:rPr>
        <w:t xml:space="preserve">5 </w:t>
      </w:r>
      <w:r w:rsidRPr="000533B5">
        <w:rPr>
          <w:rFonts w:cstheme="minorHAnsi"/>
          <w:i/>
          <w:iCs/>
          <w:color w:val="000000"/>
          <w:sz w:val="28"/>
          <w:szCs w:val="28"/>
          <w:vertAlign w:val="superscript"/>
        </w:rPr>
        <w:t>Osteoporosis = femoral neck t-score &lt;-2.5 or taking HRT, bisphosphonates or raloxifene</w:t>
      </w:r>
      <w:r>
        <w:rPr>
          <w:rFonts w:cstheme="minorHAnsi"/>
          <w:i/>
          <w:iCs/>
          <w:color w:val="000000"/>
          <w:sz w:val="28"/>
          <w:szCs w:val="28"/>
          <w:vertAlign w:val="superscript"/>
        </w:rPr>
        <w:t xml:space="preserve">, </w:t>
      </w:r>
      <w:r w:rsidRPr="000533B5">
        <w:rPr>
          <w:rFonts w:ascii="Calibri" w:hAnsi="Calibri" w:cstheme="minorHAnsi"/>
          <w:i/>
          <w:iCs/>
          <w:color w:val="000000"/>
          <w:sz w:val="28"/>
          <w:szCs w:val="28"/>
          <w:vertAlign w:val="superscript"/>
        </w:rPr>
        <w:t>N= number of participants, IQR=Interquartile range *</w:t>
      </w:r>
      <w:r>
        <w:rPr>
          <w:rFonts w:ascii="Calibri" w:hAnsi="Calibri" w:cstheme="minorHAnsi"/>
          <w:i/>
          <w:iCs/>
          <w:color w:val="000000"/>
          <w:sz w:val="28"/>
          <w:szCs w:val="28"/>
          <w:vertAlign w:val="superscript"/>
        </w:rPr>
        <w:t xml:space="preserve"> p-value &lt;0.05</w:t>
      </w:r>
      <w:r w:rsidRPr="002619BD">
        <w:rPr>
          <w:rFonts w:ascii="Calibri" w:hAnsi="Calibri" w:cstheme="minorHAnsi"/>
          <w:color w:val="000000"/>
          <w:sz w:val="28"/>
          <w:szCs w:val="28"/>
          <w:vertAlign w:val="superscript"/>
        </w:rPr>
        <w:t xml:space="preserve">. </w:t>
      </w:r>
      <w:r w:rsidRPr="002619BD">
        <w:rPr>
          <w:sz w:val="28"/>
          <w:szCs w:val="28"/>
          <w:vertAlign w:val="superscript"/>
        </w:rPr>
        <w:t>P values are reported for the difference between the frailty</w:t>
      </w:r>
      <w:r>
        <w:rPr>
          <w:sz w:val="28"/>
          <w:szCs w:val="28"/>
          <w:vertAlign w:val="superscript"/>
        </w:rPr>
        <w:t xml:space="preserve"> categories.</w:t>
      </w:r>
    </w:p>
  </w:footnote>
  <w:footnote w:id="4">
    <w:p w14:paraId="1776E11A" w14:textId="77777777" w:rsidR="00A6435E" w:rsidRDefault="00A6435E" w:rsidP="00A6435E">
      <w:pPr>
        <w:pStyle w:val="FootnoteText"/>
      </w:pPr>
      <w:r w:rsidRPr="00904021">
        <w:rPr>
          <w:rStyle w:val="FootnoteReference"/>
        </w:rPr>
        <w:footnoteRef/>
      </w:r>
      <w:r>
        <w:t xml:space="preserve"> </w:t>
      </w:r>
      <w:r w:rsidRPr="00A91AF1">
        <w:t>Values in the fully adjusted categories are adjusted for sex, age, BMI, current</w:t>
      </w:r>
      <w:r>
        <w:t xml:space="preserve"> smoking history</w:t>
      </w:r>
      <w:r w:rsidRPr="00A91AF1">
        <w:t>, and alcohol consumption. OP values refer to a femoral neck T-score of less than -2.5 or taking HRT, bisphosphonates, or raloxifene</w:t>
      </w:r>
      <w:r>
        <w:t>. SP was defined using the EWSGOP2 criteria</w:t>
      </w:r>
    </w:p>
  </w:footnote>
  <w:footnote w:id="5">
    <w:p w14:paraId="46A65120" w14:textId="77777777" w:rsidR="00A6435E" w:rsidRDefault="00A6435E" w:rsidP="00A6435E">
      <w:pPr>
        <w:pStyle w:val="FootnoteText"/>
      </w:pPr>
      <w:r w:rsidRPr="00904021">
        <w:rPr>
          <w:rStyle w:val="FootnoteReference"/>
        </w:rPr>
        <w:footnoteRef/>
      </w:r>
      <w:r>
        <w:t xml:space="preserve"> </w:t>
      </w:r>
      <w:r w:rsidRPr="00A91AF1">
        <w:t>Values in the fully adjusted categories are adjusted for sex, age, BMI, current</w:t>
      </w:r>
      <w:r>
        <w:t xml:space="preserve"> smoking history</w:t>
      </w:r>
      <w:r w:rsidRPr="00A91AF1">
        <w:t>, and alcohol consumption. OP values refer to a femoral neck T-score of less than -2.5 or taking HRT, bisphosphonates, or raloxifene</w:t>
      </w:r>
      <w:r>
        <w:t>. Comorbidities self-reported by participants. SP was defined using the EWSGOP2 criteria.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4DD"/>
    <w:multiLevelType w:val="hybridMultilevel"/>
    <w:tmpl w:val="770A58C4"/>
    <w:lvl w:ilvl="0" w:tplc="BE94AEF6">
      <w:start w:val="1"/>
      <w:numFmt w:val="decimal"/>
      <w:lvlText w:val="%1."/>
      <w:lvlJc w:val="left"/>
      <w:pPr>
        <w:ind w:left="664" w:hanging="360"/>
      </w:pPr>
      <w:rPr>
        <w:rFonts w:hint="default"/>
        <w:b w:val="0"/>
        <w:vertAlign w:val="superscript"/>
      </w:rPr>
    </w:lvl>
    <w:lvl w:ilvl="1" w:tplc="08090019" w:tentative="1">
      <w:start w:val="1"/>
      <w:numFmt w:val="lowerLetter"/>
      <w:lvlText w:val="%2."/>
      <w:lvlJc w:val="left"/>
      <w:pPr>
        <w:ind w:left="1384" w:hanging="360"/>
      </w:pPr>
    </w:lvl>
    <w:lvl w:ilvl="2" w:tplc="0809001B" w:tentative="1">
      <w:start w:val="1"/>
      <w:numFmt w:val="lowerRoman"/>
      <w:lvlText w:val="%3."/>
      <w:lvlJc w:val="right"/>
      <w:pPr>
        <w:ind w:left="2104" w:hanging="180"/>
      </w:pPr>
    </w:lvl>
    <w:lvl w:ilvl="3" w:tplc="0809000F" w:tentative="1">
      <w:start w:val="1"/>
      <w:numFmt w:val="decimal"/>
      <w:lvlText w:val="%4."/>
      <w:lvlJc w:val="left"/>
      <w:pPr>
        <w:ind w:left="2824" w:hanging="360"/>
      </w:pPr>
    </w:lvl>
    <w:lvl w:ilvl="4" w:tplc="08090019" w:tentative="1">
      <w:start w:val="1"/>
      <w:numFmt w:val="lowerLetter"/>
      <w:lvlText w:val="%5."/>
      <w:lvlJc w:val="left"/>
      <w:pPr>
        <w:ind w:left="3544" w:hanging="360"/>
      </w:pPr>
    </w:lvl>
    <w:lvl w:ilvl="5" w:tplc="0809001B" w:tentative="1">
      <w:start w:val="1"/>
      <w:numFmt w:val="lowerRoman"/>
      <w:lvlText w:val="%6."/>
      <w:lvlJc w:val="right"/>
      <w:pPr>
        <w:ind w:left="4264" w:hanging="180"/>
      </w:pPr>
    </w:lvl>
    <w:lvl w:ilvl="6" w:tplc="0809000F" w:tentative="1">
      <w:start w:val="1"/>
      <w:numFmt w:val="decimal"/>
      <w:lvlText w:val="%7."/>
      <w:lvlJc w:val="left"/>
      <w:pPr>
        <w:ind w:left="4984" w:hanging="360"/>
      </w:pPr>
    </w:lvl>
    <w:lvl w:ilvl="7" w:tplc="08090019" w:tentative="1">
      <w:start w:val="1"/>
      <w:numFmt w:val="lowerLetter"/>
      <w:lvlText w:val="%8."/>
      <w:lvlJc w:val="left"/>
      <w:pPr>
        <w:ind w:left="5704" w:hanging="360"/>
      </w:pPr>
    </w:lvl>
    <w:lvl w:ilvl="8" w:tplc="0809001B" w:tentative="1">
      <w:start w:val="1"/>
      <w:numFmt w:val="lowerRoman"/>
      <w:lvlText w:val="%9."/>
      <w:lvlJc w:val="right"/>
      <w:pPr>
        <w:ind w:left="6424" w:hanging="180"/>
      </w:pPr>
    </w:lvl>
  </w:abstractNum>
  <w:abstractNum w:abstractNumId="1" w15:restartNumberingAfterBreak="0">
    <w:nsid w:val="07602FE5"/>
    <w:multiLevelType w:val="hybridMultilevel"/>
    <w:tmpl w:val="770A58C4"/>
    <w:lvl w:ilvl="0" w:tplc="BE94AEF6">
      <w:start w:val="1"/>
      <w:numFmt w:val="decimal"/>
      <w:lvlText w:val="%1."/>
      <w:lvlJc w:val="left"/>
      <w:pPr>
        <w:ind w:left="664" w:hanging="360"/>
      </w:pPr>
      <w:rPr>
        <w:rFonts w:hint="default"/>
        <w:b w:val="0"/>
        <w:vertAlign w:val="superscript"/>
      </w:rPr>
    </w:lvl>
    <w:lvl w:ilvl="1" w:tplc="08090019" w:tentative="1">
      <w:start w:val="1"/>
      <w:numFmt w:val="lowerLetter"/>
      <w:lvlText w:val="%2."/>
      <w:lvlJc w:val="left"/>
      <w:pPr>
        <w:ind w:left="1384" w:hanging="360"/>
      </w:pPr>
    </w:lvl>
    <w:lvl w:ilvl="2" w:tplc="0809001B" w:tentative="1">
      <w:start w:val="1"/>
      <w:numFmt w:val="lowerRoman"/>
      <w:lvlText w:val="%3."/>
      <w:lvlJc w:val="right"/>
      <w:pPr>
        <w:ind w:left="2104" w:hanging="180"/>
      </w:pPr>
    </w:lvl>
    <w:lvl w:ilvl="3" w:tplc="0809000F" w:tentative="1">
      <w:start w:val="1"/>
      <w:numFmt w:val="decimal"/>
      <w:lvlText w:val="%4."/>
      <w:lvlJc w:val="left"/>
      <w:pPr>
        <w:ind w:left="2824" w:hanging="360"/>
      </w:pPr>
    </w:lvl>
    <w:lvl w:ilvl="4" w:tplc="08090019" w:tentative="1">
      <w:start w:val="1"/>
      <w:numFmt w:val="lowerLetter"/>
      <w:lvlText w:val="%5."/>
      <w:lvlJc w:val="left"/>
      <w:pPr>
        <w:ind w:left="3544" w:hanging="360"/>
      </w:pPr>
    </w:lvl>
    <w:lvl w:ilvl="5" w:tplc="0809001B" w:tentative="1">
      <w:start w:val="1"/>
      <w:numFmt w:val="lowerRoman"/>
      <w:lvlText w:val="%6."/>
      <w:lvlJc w:val="right"/>
      <w:pPr>
        <w:ind w:left="4264" w:hanging="180"/>
      </w:pPr>
    </w:lvl>
    <w:lvl w:ilvl="6" w:tplc="0809000F" w:tentative="1">
      <w:start w:val="1"/>
      <w:numFmt w:val="decimal"/>
      <w:lvlText w:val="%7."/>
      <w:lvlJc w:val="left"/>
      <w:pPr>
        <w:ind w:left="4984" w:hanging="360"/>
      </w:pPr>
    </w:lvl>
    <w:lvl w:ilvl="7" w:tplc="08090019" w:tentative="1">
      <w:start w:val="1"/>
      <w:numFmt w:val="lowerLetter"/>
      <w:lvlText w:val="%8."/>
      <w:lvlJc w:val="left"/>
      <w:pPr>
        <w:ind w:left="5704" w:hanging="360"/>
      </w:pPr>
    </w:lvl>
    <w:lvl w:ilvl="8" w:tplc="0809001B" w:tentative="1">
      <w:start w:val="1"/>
      <w:numFmt w:val="lowerRoman"/>
      <w:lvlText w:val="%9."/>
      <w:lvlJc w:val="right"/>
      <w:pPr>
        <w:ind w:left="6424" w:hanging="180"/>
      </w:pPr>
    </w:lvl>
  </w:abstractNum>
  <w:abstractNum w:abstractNumId="2" w15:restartNumberingAfterBreak="0">
    <w:nsid w:val="159D5764"/>
    <w:multiLevelType w:val="hybridMultilevel"/>
    <w:tmpl w:val="51742564"/>
    <w:lvl w:ilvl="0" w:tplc="65FE4E88">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A833CC"/>
    <w:multiLevelType w:val="hybridMultilevel"/>
    <w:tmpl w:val="3C90B290"/>
    <w:lvl w:ilvl="0" w:tplc="6A802D7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DD5A9A"/>
    <w:multiLevelType w:val="hybridMultilevel"/>
    <w:tmpl w:val="770A58C4"/>
    <w:lvl w:ilvl="0" w:tplc="BE94AEF6">
      <w:start w:val="1"/>
      <w:numFmt w:val="decimal"/>
      <w:lvlText w:val="%1."/>
      <w:lvlJc w:val="left"/>
      <w:pPr>
        <w:ind w:left="664" w:hanging="360"/>
      </w:pPr>
      <w:rPr>
        <w:rFonts w:hint="default"/>
        <w:b w:val="0"/>
        <w:vertAlign w:val="superscript"/>
      </w:rPr>
    </w:lvl>
    <w:lvl w:ilvl="1" w:tplc="08090019" w:tentative="1">
      <w:start w:val="1"/>
      <w:numFmt w:val="lowerLetter"/>
      <w:lvlText w:val="%2."/>
      <w:lvlJc w:val="left"/>
      <w:pPr>
        <w:ind w:left="1384" w:hanging="360"/>
      </w:pPr>
    </w:lvl>
    <w:lvl w:ilvl="2" w:tplc="0809001B" w:tentative="1">
      <w:start w:val="1"/>
      <w:numFmt w:val="lowerRoman"/>
      <w:lvlText w:val="%3."/>
      <w:lvlJc w:val="right"/>
      <w:pPr>
        <w:ind w:left="2104" w:hanging="180"/>
      </w:pPr>
    </w:lvl>
    <w:lvl w:ilvl="3" w:tplc="0809000F" w:tentative="1">
      <w:start w:val="1"/>
      <w:numFmt w:val="decimal"/>
      <w:lvlText w:val="%4."/>
      <w:lvlJc w:val="left"/>
      <w:pPr>
        <w:ind w:left="2824" w:hanging="360"/>
      </w:pPr>
    </w:lvl>
    <w:lvl w:ilvl="4" w:tplc="08090019" w:tentative="1">
      <w:start w:val="1"/>
      <w:numFmt w:val="lowerLetter"/>
      <w:lvlText w:val="%5."/>
      <w:lvlJc w:val="left"/>
      <w:pPr>
        <w:ind w:left="3544" w:hanging="360"/>
      </w:pPr>
    </w:lvl>
    <w:lvl w:ilvl="5" w:tplc="0809001B" w:tentative="1">
      <w:start w:val="1"/>
      <w:numFmt w:val="lowerRoman"/>
      <w:lvlText w:val="%6."/>
      <w:lvlJc w:val="right"/>
      <w:pPr>
        <w:ind w:left="4264" w:hanging="180"/>
      </w:pPr>
    </w:lvl>
    <w:lvl w:ilvl="6" w:tplc="0809000F" w:tentative="1">
      <w:start w:val="1"/>
      <w:numFmt w:val="decimal"/>
      <w:lvlText w:val="%7."/>
      <w:lvlJc w:val="left"/>
      <w:pPr>
        <w:ind w:left="4984" w:hanging="360"/>
      </w:pPr>
    </w:lvl>
    <w:lvl w:ilvl="7" w:tplc="08090019" w:tentative="1">
      <w:start w:val="1"/>
      <w:numFmt w:val="lowerLetter"/>
      <w:lvlText w:val="%8."/>
      <w:lvlJc w:val="left"/>
      <w:pPr>
        <w:ind w:left="5704" w:hanging="360"/>
      </w:pPr>
    </w:lvl>
    <w:lvl w:ilvl="8" w:tplc="0809001B" w:tentative="1">
      <w:start w:val="1"/>
      <w:numFmt w:val="lowerRoman"/>
      <w:lvlText w:val="%9."/>
      <w:lvlJc w:val="right"/>
      <w:pPr>
        <w:ind w:left="6424" w:hanging="180"/>
      </w:pPr>
    </w:lvl>
  </w:abstractNum>
  <w:abstractNum w:abstractNumId="5" w15:restartNumberingAfterBreak="0">
    <w:nsid w:val="66F87B72"/>
    <w:multiLevelType w:val="hybridMultilevel"/>
    <w:tmpl w:val="3D44BA28"/>
    <w:lvl w:ilvl="0" w:tplc="409E5CE4">
      <w:start w:val="1"/>
      <w:numFmt w:val="bullet"/>
      <w:lvlText w:val="•"/>
      <w:lvlJc w:val="left"/>
      <w:pPr>
        <w:tabs>
          <w:tab w:val="num" w:pos="720"/>
        </w:tabs>
        <w:ind w:left="720" w:hanging="360"/>
      </w:pPr>
      <w:rPr>
        <w:rFonts w:ascii="Times New Roman" w:hAnsi="Times New Roman" w:hint="default"/>
      </w:rPr>
    </w:lvl>
    <w:lvl w:ilvl="1" w:tplc="06ECE042" w:tentative="1">
      <w:start w:val="1"/>
      <w:numFmt w:val="bullet"/>
      <w:lvlText w:val="•"/>
      <w:lvlJc w:val="left"/>
      <w:pPr>
        <w:tabs>
          <w:tab w:val="num" w:pos="1440"/>
        </w:tabs>
        <w:ind w:left="1440" w:hanging="360"/>
      </w:pPr>
      <w:rPr>
        <w:rFonts w:ascii="Times New Roman" w:hAnsi="Times New Roman" w:hint="default"/>
      </w:rPr>
    </w:lvl>
    <w:lvl w:ilvl="2" w:tplc="FF9233AA" w:tentative="1">
      <w:start w:val="1"/>
      <w:numFmt w:val="bullet"/>
      <w:lvlText w:val="•"/>
      <w:lvlJc w:val="left"/>
      <w:pPr>
        <w:tabs>
          <w:tab w:val="num" w:pos="2160"/>
        </w:tabs>
        <w:ind w:left="2160" w:hanging="360"/>
      </w:pPr>
      <w:rPr>
        <w:rFonts w:ascii="Times New Roman" w:hAnsi="Times New Roman" w:hint="default"/>
      </w:rPr>
    </w:lvl>
    <w:lvl w:ilvl="3" w:tplc="574A1060" w:tentative="1">
      <w:start w:val="1"/>
      <w:numFmt w:val="bullet"/>
      <w:lvlText w:val="•"/>
      <w:lvlJc w:val="left"/>
      <w:pPr>
        <w:tabs>
          <w:tab w:val="num" w:pos="2880"/>
        </w:tabs>
        <w:ind w:left="2880" w:hanging="360"/>
      </w:pPr>
      <w:rPr>
        <w:rFonts w:ascii="Times New Roman" w:hAnsi="Times New Roman" w:hint="default"/>
      </w:rPr>
    </w:lvl>
    <w:lvl w:ilvl="4" w:tplc="7078155C" w:tentative="1">
      <w:start w:val="1"/>
      <w:numFmt w:val="bullet"/>
      <w:lvlText w:val="•"/>
      <w:lvlJc w:val="left"/>
      <w:pPr>
        <w:tabs>
          <w:tab w:val="num" w:pos="3600"/>
        </w:tabs>
        <w:ind w:left="3600" w:hanging="360"/>
      </w:pPr>
      <w:rPr>
        <w:rFonts w:ascii="Times New Roman" w:hAnsi="Times New Roman" w:hint="default"/>
      </w:rPr>
    </w:lvl>
    <w:lvl w:ilvl="5" w:tplc="EB0492AA" w:tentative="1">
      <w:start w:val="1"/>
      <w:numFmt w:val="bullet"/>
      <w:lvlText w:val="•"/>
      <w:lvlJc w:val="left"/>
      <w:pPr>
        <w:tabs>
          <w:tab w:val="num" w:pos="4320"/>
        </w:tabs>
        <w:ind w:left="4320" w:hanging="360"/>
      </w:pPr>
      <w:rPr>
        <w:rFonts w:ascii="Times New Roman" w:hAnsi="Times New Roman" w:hint="default"/>
      </w:rPr>
    </w:lvl>
    <w:lvl w:ilvl="6" w:tplc="2C96C00C" w:tentative="1">
      <w:start w:val="1"/>
      <w:numFmt w:val="bullet"/>
      <w:lvlText w:val="•"/>
      <w:lvlJc w:val="left"/>
      <w:pPr>
        <w:tabs>
          <w:tab w:val="num" w:pos="5040"/>
        </w:tabs>
        <w:ind w:left="5040" w:hanging="360"/>
      </w:pPr>
      <w:rPr>
        <w:rFonts w:ascii="Times New Roman" w:hAnsi="Times New Roman" w:hint="default"/>
      </w:rPr>
    </w:lvl>
    <w:lvl w:ilvl="7" w:tplc="0A1C4F24" w:tentative="1">
      <w:start w:val="1"/>
      <w:numFmt w:val="bullet"/>
      <w:lvlText w:val="•"/>
      <w:lvlJc w:val="left"/>
      <w:pPr>
        <w:tabs>
          <w:tab w:val="num" w:pos="5760"/>
        </w:tabs>
        <w:ind w:left="5760" w:hanging="360"/>
      </w:pPr>
      <w:rPr>
        <w:rFonts w:ascii="Times New Roman" w:hAnsi="Times New Roman" w:hint="default"/>
      </w:rPr>
    </w:lvl>
    <w:lvl w:ilvl="8" w:tplc="84B0DF6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E01647A"/>
    <w:multiLevelType w:val="hybridMultilevel"/>
    <w:tmpl w:val="770A58C4"/>
    <w:lvl w:ilvl="0" w:tplc="BE94AEF6">
      <w:start w:val="1"/>
      <w:numFmt w:val="decimal"/>
      <w:lvlText w:val="%1."/>
      <w:lvlJc w:val="left"/>
      <w:pPr>
        <w:ind w:left="360" w:hanging="360"/>
      </w:pPr>
      <w:rPr>
        <w:rFonts w:hint="default"/>
        <w:b w:val="0"/>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B6D5CFA"/>
    <w:multiLevelType w:val="hybridMultilevel"/>
    <w:tmpl w:val="770A58C4"/>
    <w:lvl w:ilvl="0" w:tplc="BE94AEF6">
      <w:start w:val="1"/>
      <w:numFmt w:val="decimal"/>
      <w:lvlText w:val="%1."/>
      <w:lvlJc w:val="left"/>
      <w:pPr>
        <w:ind w:left="664" w:hanging="360"/>
      </w:pPr>
      <w:rPr>
        <w:rFonts w:hint="default"/>
        <w:b w:val="0"/>
        <w:vertAlign w:val="superscript"/>
      </w:rPr>
    </w:lvl>
    <w:lvl w:ilvl="1" w:tplc="08090019" w:tentative="1">
      <w:start w:val="1"/>
      <w:numFmt w:val="lowerLetter"/>
      <w:lvlText w:val="%2."/>
      <w:lvlJc w:val="left"/>
      <w:pPr>
        <w:ind w:left="1384" w:hanging="360"/>
      </w:pPr>
    </w:lvl>
    <w:lvl w:ilvl="2" w:tplc="0809001B" w:tentative="1">
      <w:start w:val="1"/>
      <w:numFmt w:val="lowerRoman"/>
      <w:lvlText w:val="%3."/>
      <w:lvlJc w:val="right"/>
      <w:pPr>
        <w:ind w:left="2104" w:hanging="180"/>
      </w:pPr>
    </w:lvl>
    <w:lvl w:ilvl="3" w:tplc="0809000F" w:tentative="1">
      <w:start w:val="1"/>
      <w:numFmt w:val="decimal"/>
      <w:lvlText w:val="%4."/>
      <w:lvlJc w:val="left"/>
      <w:pPr>
        <w:ind w:left="2824" w:hanging="360"/>
      </w:pPr>
    </w:lvl>
    <w:lvl w:ilvl="4" w:tplc="08090019" w:tentative="1">
      <w:start w:val="1"/>
      <w:numFmt w:val="lowerLetter"/>
      <w:lvlText w:val="%5."/>
      <w:lvlJc w:val="left"/>
      <w:pPr>
        <w:ind w:left="3544" w:hanging="360"/>
      </w:pPr>
    </w:lvl>
    <w:lvl w:ilvl="5" w:tplc="0809001B" w:tentative="1">
      <w:start w:val="1"/>
      <w:numFmt w:val="lowerRoman"/>
      <w:lvlText w:val="%6."/>
      <w:lvlJc w:val="right"/>
      <w:pPr>
        <w:ind w:left="4264" w:hanging="180"/>
      </w:pPr>
    </w:lvl>
    <w:lvl w:ilvl="6" w:tplc="0809000F" w:tentative="1">
      <w:start w:val="1"/>
      <w:numFmt w:val="decimal"/>
      <w:lvlText w:val="%7."/>
      <w:lvlJc w:val="left"/>
      <w:pPr>
        <w:ind w:left="4984" w:hanging="360"/>
      </w:pPr>
    </w:lvl>
    <w:lvl w:ilvl="7" w:tplc="08090019" w:tentative="1">
      <w:start w:val="1"/>
      <w:numFmt w:val="lowerLetter"/>
      <w:lvlText w:val="%8."/>
      <w:lvlJc w:val="left"/>
      <w:pPr>
        <w:ind w:left="5704" w:hanging="360"/>
      </w:pPr>
    </w:lvl>
    <w:lvl w:ilvl="8" w:tplc="0809001B" w:tentative="1">
      <w:start w:val="1"/>
      <w:numFmt w:val="lowerRoman"/>
      <w:lvlText w:val="%9."/>
      <w:lvlJc w:val="right"/>
      <w:pPr>
        <w:ind w:left="6424" w:hanging="180"/>
      </w:pPr>
    </w:lvl>
  </w:abstractNum>
  <w:num w:numId="1">
    <w:abstractNumId w:val="4"/>
  </w:num>
  <w:num w:numId="2">
    <w:abstractNumId w:val="6"/>
  </w:num>
  <w:num w:numId="3">
    <w:abstractNumId w:val="5"/>
  </w:num>
  <w:num w:numId="4">
    <w:abstractNumId w:val="3"/>
  </w:num>
  <w:num w:numId="5">
    <w:abstractNumId w:val="1"/>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AA5"/>
    <w:rsid w:val="00000BDD"/>
    <w:rsid w:val="000011C4"/>
    <w:rsid w:val="0000199E"/>
    <w:rsid w:val="00001EB4"/>
    <w:rsid w:val="00002E2C"/>
    <w:rsid w:val="0000303E"/>
    <w:rsid w:val="00003686"/>
    <w:rsid w:val="00003979"/>
    <w:rsid w:val="00003C73"/>
    <w:rsid w:val="00003CD9"/>
    <w:rsid w:val="00006645"/>
    <w:rsid w:val="0000787B"/>
    <w:rsid w:val="0001014D"/>
    <w:rsid w:val="00012059"/>
    <w:rsid w:val="00012B78"/>
    <w:rsid w:val="00013892"/>
    <w:rsid w:val="00013C50"/>
    <w:rsid w:val="00013EC1"/>
    <w:rsid w:val="000141B0"/>
    <w:rsid w:val="00014445"/>
    <w:rsid w:val="00014DF7"/>
    <w:rsid w:val="00014EE5"/>
    <w:rsid w:val="00015B16"/>
    <w:rsid w:val="00015C01"/>
    <w:rsid w:val="00017A6A"/>
    <w:rsid w:val="000206A5"/>
    <w:rsid w:val="000216CF"/>
    <w:rsid w:val="00021B06"/>
    <w:rsid w:val="00022910"/>
    <w:rsid w:val="00026494"/>
    <w:rsid w:val="00026A57"/>
    <w:rsid w:val="0002749F"/>
    <w:rsid w:val="00030149"/>
    <w:rsid w:val="000303A7"/>
    <w:rsid w:val="00030A0E"/>
    <w:rsid w:val="00030C38"/>
    <w:rsid w:val="00030F36"/>
    <w:rsid w:val="00031464"/>
    <w:rsid w:val="0003327A"/>
    <w:rsid w:val="00033A54"/>
    <w:rsid w:val="000340F3"/>
    <w:rsid w:val="000342F0"/>
    <w:rsid w:val="0003595F"/>
    <w:rsid w:val="00035AA1"/>
    <w:rsid w:val="00035B4C"/>
    <w:rsid w:val="00037405"/>
    <w:rsid w:val="00040A6F"/>
    <w:rsid w:val="00040FBE"/>
    <w:rsid w:val="00041A70"/>
    <w:rsid w:val="000429A8"/>
    <w:rsid w:val="0004455E"/>
    <w:rsid w:val="00045446"/>
    <w:rsid w:val="00045535"/>
    <w:rsid w:val="00046EE7"/>
    <w:rsid w:val="00050EAA"/>
    <w:rsid w:val="000511B5"/>
    <w:rsid w:val="00051222"/>
    <w:rsid w:val="000519BB"/>
    <w:rsid w:val="00051DE8"/>
    <w:rsid w:val="00052A17"/>
    <w:rsid w:val="000533B5"/>
    <w:rsid w:val="00053DA3"/>
    <w:rsid w:val="00054645"/>
    <w:rsid w:val="0005494D"/>
    <w:rsid w:val="000572E9"/>
    <w:rsid w:val="00057796"/>
    <w:rsid w:val="00060293"/>
    <w:rsid w:val="00061978"/>
    <w:rsid w:val="00064640"/>
    <w:rsid w:val="00064B0B"/>
    <w:rsid w:val="00065AA4"/>
    <w:rsid w:val="00066703"/>
    <w:rsid w:val="00066B6C"/>
    <w:rsid w:val="000673CC"/>
    <w:rsid w:val="00067B27"/>
    <w:rsid w:val="00067E7A"/>
    <w:rsid w:val="00070428"/>
    <w:rsid w:val="00071961"/>
    <w:rsid w:val="00072B09"/>
    <w:rsid w:val="00073B58"/>
    <w:rsid w:val="00073F8F"/>
    <w:rsid w:val="000741EE"/>
    <w:rsid w:val="00074A1B"/>
    <w:rsid w:val="00075248"/>
    <w:rsid w:val="00076CD8"/>
    <w:rsid w:val="00080551"/>
    <w:rsid w:val="00081C32"/>
    <w:rsid w:val="00082F05"/>
    <w:rsid w:val="0008446B"/>
    <w:rsid w:val="00085220"/>
    <w:rsid w:val="00085224"/>
    <w:rsid w:val="00086051"/>
    <w:rsid w:val="00086DBD"/>
    <w:rsid w:val="000911F8"/>
    <w:rsid w:val="000915CD"/>
    <w:rsid w:val="00091E10"/>
    <w:rsid w:val="00093B10"/>
    <w:rsid w:val="00094AC0"/>
    <w:rsid w:val="00096B98"/>
    <w:rsid w:val="000972D0"/>
    <w:rsid w:val="00097709"/>
    <w:rsid w:val="00097B2A"/>
    <w:rsid w:val="000A01DB"/>
    <w:rsid w:val="000A0A09"/>
    <w:rsid w:val="000A11DF"/>
    <w:rsid w:val="000A254F"/>
    <w:rsid w:val="000A3C69"/>
    <w:rsid w:val="000A5503"/>
    <w:rsid w:val="000A7BB8"/>
    <w:rsid w:val="000B0B12"/>
    <w:rsid w:val="000B0C98"/>
    <w:rsid w:val="000B158F"/>
    <w:rsid w:val="000B1D15"/>
    <w:rsid w:val="000B2615"/>
    <w:rsid w:val="000B2AA0"/>
    <w:rsid w:val="000B2D65"/>
    <w:rsid w:val="000B2DDC"/>
    <w:rsid w:val="000B2FF4"/>
    <w:rsid w:val="000B355C"/>
    <w:rsid w:val="000B35F8"/>
    <w:rsid w:val="000B3B00"/>
    <w:rsid w:val="000B46BB"/>
    <w:rsid w:val="000B57AA"/>
    <w:rsid w:val="000B585A"/>
    <w:rsid w:val="000B6186"/>
    <w:rsid w:val="000B7025"/>
    <w:rsid w:val="000B7760"/>
    <w:rsid w:val="000B7DE1"/>
    <w:rsid w:val="000C0985"/>
    <w:rsid w:val="000C09ED"/>
    <w:rsid w:val="000C1325"/>
    <w:rsid w:val="000C3473"/>
    <w:rsid w:val="000C37DC"/>
    <w:rsid w:val="000C446F"/>
    <w:rsid w:val="000C4994"/>
    <w:rsid w:val="000C5109"/>
    <w:rsid w:val="000C51F6"/>
    <w:rsid w:val="000C5284"/>
    <w:rsid w:val="000C5E4B"/>
    <w:rsid w:val="000C6241"/>
    <w:rsid w:val="000C6C35"/>
    <w:rsid w:val="000C7409"/>
    <w:rsid w:val="000D00CB"/>
    <w:rsid w:val="000D2C1A"/>
    <w:rsid w:val="000D3BA7"/>
    <w:rsid w:val="000D4302"/>
    <w:rsid w:val="000D4A4A"/>
    <w:rsid w:val="000D4A7D"/>
    <w:rsid w:val="000D4CBD"/>
    <w:rsid w:val="000D6604"/>
    <w:rsid w:val="000D705C"/>
    <w:rsid w:val="000D711C"/>
    <w:rsid w:val="000E03F4"/>
    <w:rsid w:val="000E0477"/>
    <w:rsid w:val="000E127A"/>
    <w:rsid w:val="000E23BB"/>
    <w:rsid w:val="000E2465"/>
    <w:rsid w:val="000E337A"/>
    <w:rsid w:val="000E3505"/>
    <w:rsid w:val="000E3848"/>
    <w:rsid w:val="000E3E56"/>
    <w:rsid w:val="000E592C"/>
    <w:rsid w:val="000E6E2B"/>
    <w:rsid w:val="000F076A"/>
    <w:rsid w:val="000F0A09"/>
    <w:rsid w:val="000F0D00"/>
    <w:rsid w:val="000F30B0"/>
    <w:rsid w:val="000F3806"/>
    <w:rsid w:val="0010182F"/>
    <w:rsid w:val="00101863"/>
    <w:rsid w:val="001037E2"/>
    <w:rsid w:val="001047C4"/>
    <w:rsid w:val="001050B8"/>
    <w:rsid w:val="00106FDA"/>
    <w:rsid w:val="001074CE"/>
    <w:rsid w:val="0010781C"/>
    <w:rsid w:val="0011003B"/>
    <w:rsid w:val="00110E19"/>
    <w:rsid w:val="00111486"/>
    <w:rsid w:val="00111AD3"/>
    <w:rsid w:val="00112444"/>
    <w:rsid w:val="00113D68"/>
    <w:rsid w:val="001146D5"/>
    <w:rsid w:val="00114D1E"/>
    <w:rsid w:val="00115A5D"/>
    <w:rsid w:val="0011678A"/>
    <w:rsid w:val="001171F5"/>
    <w:rsid w:val="0012048D"/>
    <w:rsid w:val="00121B75"/>
    <w:rsid w:val="00121E9F"/>
    <w:rsid w:val="001221C8"/>
    <w:rsid w:val="00122DF5"/>
    <w:rsid w:val="0012356D"/>
    <w:rsid w:val="00123FCD"/>
    <w:rsid w:val="001246E4"/>
    <w:rsid w:val="001247C2"/>
    <w:rsid w:val="00124B08"/>
    <w:rsid w:val="0012532A"/>
    <w:rsid w:val="00125B98"/>
    <w:rsid w:val="001275BF"/>
    <w:rsid w:val="00127C9C"/>
    <w:rsid w:val="00127D57"/>
    <w:rsid w:val="00127EB7"/>
    <w:rsid w:val="00130048"/>
    <w:rsid w:val="001302D2"/>
    <w:rsid w:val="001309E8"/>
    <w:rsid w:val="00130F94"/>
    <w:rsid w:val="00132097"/>
    <w:rsid w:val="0013209A"/>
    <w:rsid w:val="001321DE"/>
    <w:rsid w:val="0013393A"/>
    <w:rsid w:val="001347B6"/>
    <w:rsid w:val="00134A8F"/>
    <w:rsid w:val="00135B06"/>
    <w:rsid w:val="00135B77"/>
    <w:rsid w:val="00135CAD"/>
    <w:rsid w:val="00136F7A"/>
    <w:rsid w:val="00137235"/>
    <w:rsid w:val="00137C47"/>
    <w:rsid w:val="001400BC"/>
    <w:rsid w:val="00140364"/>
    <w:rsid w:val="001412EA"/>
    <w:rsid w:val="00142147"/>
    <w:rsid w:val="001430D4"/>
    <w:rsid w:val="00144A5D"/>
    <w:rsid w:val="00145402"/>
    <w:rsid w:val="001456BA"/>
    <w:rsid w:val="001458FE"/>
    <w:rsid w:val="001472F9"/>
    <w:rsid w:val="0015009B"/>
    <w:rsid w:val="00150107"/>
    <w:rsid w:val="00151132"/>
    <w:rsid w:val="00151E67"/>
    <w:rsid w:val="001538C2"/>
    <w:rsid w:val="00153AA5"/>
    <w:rsid w:val="00154AA1"/>
    <w:rsid w:val="00155125"/>
    <w:rsid w:val="001557E0"/>
    <w:rsid w:val="001560ED"/>
    <w:rsid w:val="00160899"/>
    <w:rsid w:val="00161A10"/>
    <w:rsid w:val="00161EA3"/>
    <w:rsid w:val="0016202F"/>
    <w:rsid w:val="00162C59"/>
    <w:rsid w:val="0016310F"/>
    <w:rsid w:val="00165233"/>
    <w:rsid w:val="00165683"/>
    <w:rsid w:val="001661BE"/>
    <w:rsid w:val="0016624C"/>
    <w:rsid w:val="001667F6"/>
    <w:rsid w:val="00167387"/>
    <w:rsid w:val="001702F2"/>
    <w:rsid w:val="001704DA"/>
    <w:rsid w:val="00170C4B"/>
    <w:rsid w:val="001713BE"/>
    <w:rsid w:val="00172371"/>
    <w:rsid w:val="001729FA"/>
    <w:rsid w:val="001735B8"/>
    <w:rsid w:val="0017573F"/>
    <w:rsid w:val="00175AEC"/>
    <w:rsid w:val="00177329"/>
    <w:rsid w:val="00183AD6"/>
    <w:rsid w:val="001852EE"/>
    <w:rsid w:val="001859BA"/>
    <w:rsid w:val="00186278"/>
    <w:rsid w:val="001865A2"/>
    <w:rsid w:val="001916AE"/>
    <w:rsid w:val="00192E66"/>
    <w:rsid w:val="00193059"/>
    <w:rsid w:val="00194B98"/>
    <w:rsid w:val="001953B9"/>
    <w:rsid w:val="00196A5D"/>
    <w:rsid w:val="00197110"/>
    <w:rsid w:val="00197B3C"/>
    <w:rsid w:val="001A051D"/>
    <w:rsid w:val="001A2271"/>
    <w:rsid w:val="001A23DB"/>
    <w:rsid w:val="001A326B"/>
    <w:rsid w:val="001A4395"/>
    <w:rsid w:val="001A557B"/>
    <w:rsid w:val="001A5A7D"/>
    <w:rsid w:val="001A7287"/>
    <w:rsid w:val="001A7C01"/>
    <w:rsid w:val="001B1EF5"/>
    <w:rsid w:val="001B29D3"/>
    <w:rsid w:val="001B2C32"/>
    <w:rsid w:val="001B2DE7"/>
    <w:rsid w:val="001B3582"/>
    <w:rsid w:val="001B4ED8"/>
    <w:rsid w:val="001B5627"/>
    <w:rsid w:val="001B5806"/>
    <w:rsid w:val="001B5F61"/>
    <w:rsid w:val="001B6388"/>
    <w:rsid w:val="001B6877"/>
    <w:rsid w:val="001B6BF0"/>
    <w:rsid w:val="001B730D"/>
    <w:rsid w:val="001C1181"/>
    <w:rsid w:val="001C27F3"/>
    <w:rsid w:val="001C38F0"/>
    <w:rsid w:val="001C3CCF"/>
    <w:rsid w:val="001C40B0"/>
    <w:rsid w:val="001C4D02"/>
    <w:rsid w:val="001C4E53"/>
    <w:rsid w:val="001C704E"/>
    <w:rsid w:val="001C7AC5"/>
    <w:rsid w:val="001C7B4E"/>
    <w:rsid w:val="001D00D2"/>
    <w:rsid w:val="001D1685"/>
    <w:rsid w:val="001D1C4E"/>
    <w:rsid w:val="001D2415"/>
    <w:rsid w:val="001D3D89"/>
    <w:rsid w:val="001D47C8"/>
    <w:rsid w:val="001D4CAD"/>
    <w:rsid w:val="001D7023"/>
    <w:rsid w:val="001D7A7B"/>
    <w:rsid w:val="001E0B6B"/>
    <w:rsid w:val="001E2AC0"/>
    <w:rsid w:val="001E37C2"/>
    <w:rsid w:val="001E451E"/>
    <w:rsid w:val="001E5EDD"/>
    <w:rsid w:val="001E6918"/>
    <w:rsid w:val="001E74EF"/>
    <w:rsid w:val="001F01BF"/>
    <w:rsid w:val="001F18E3"/>
    <w:rsid w:val="001F2FBE"/>
    <w:rsid w:val="001F6851"/>
    <w:rsid w:val="001F7AF4"/>
    <w:rsid w:val="002014EB"/>
    <w:rsid w:val="00202052"/>
    <w:rsid w:val="0020328D"/>
    <w:rsid w:val="002035C4"/>
    <w:rsid w:val="00204266"/>
    <w:rsid w:val="0020444B"/>
    <w:rsid w:val="00204C7C"/>
    <w:rsid w:val="00205B89"/>
    <w:rsid w:val="00205F31"/>
    <w:rsid w:val="0020644E"/>
    <w:rsid w:val="00210222"/>
    <w:rsid w:val="00212795"/>
    <w:rsid w:val="00212B2E"/>
    <w:rsid w:val="00212F49"/>
    <w:rsid w:val="002132C8"/>
    <w:rsid w:val="0021502E"/>
    <w:rsid w:val="002217D9"/>
    <w:rsid w:val="00222939"/>
    <w:rsid w:val="002235C1"/>
    <w:rsid w:val="002235E5"/>
    <w:rsid w:val="002262B0"/>
    <w:rsid w:val="00226ECE"/>
    <w:rsid w:val="0023297A"/>
    <w:rsid w:val="00233599"/>
    <w:rsid w:val="00234B36"/>
    <w:rsid w:val="00235B39"/>
    <w:rsid w:val="002361D4"/>
    <w:rsid w:val="00236285"/>
    <w:rsid w:val="00236384"/>
    <w:rsid w:val="00236AC0"/>
    <w:rsid w:val="00240557"/>
    <w:rsid w:val="002418E1"/>
    <w:rsid w:val="0024228C"/>
    <w:rsid w:val="00242D3A"/>
    <w:rsid w:val="00242FF4"/>
    <w:rsid w:val="00244F8B"/>
    <w:rsid w:val="002457B9"/>
    <w:rsid w:val="00245DC2"/>
    <w:rsid w:val="00247133"/>
    <w:rsid w:val="002476E3"/>
    <w:rsid w:val="0025152E"/>
    <w:rsid w:val="002528FF"/>
    <w:rsid w:val="002529F1"/>
    <w:rsid w:val="00253502"/>
    <w:rsid w:val="00253B65"/>
    <w:rsid w:val="00253B95"/>
    <w:rsid w:val="00253D9A"/>
    <w:rsid w:val="0025526A"/>
    <w:rsid w:val="00255D51"/>
    <w:rsid w:val="00260724"/>
    <w:rsid w:val="002619BD"/>
    <w:rsid w:val="00261C3C"/>
    <w:rsid w:val="0026259B"/>
    <w:rsid w:val="002632D2"/>
    <w:rsid w:val="0026338B"/>
    <w:rsid w:val="00263750"/>
    <w:rsid w:val="002648B5"/>
    <w:rsid w:val="002652F1"/>
    <w:rsid w:val="00265DF4"/>
    <w:rsid w:val="0026696A"/>
    <w:rsid w:val="00267963"/>
    <w:rsid w:val="00272952"/>
    <w:rsid w:val="002733CA"/>
    <w:rsid w:val="00273C40"/>
    <w:rsid w:val="00275F4A"/>
    <w:rsid w:val="002760FF"/>
    <w:rsid w:val="00276BBF"/>
    <w:rsid w:val="00276F3B"/>
    <w:rsid w:val="002803B3"/>
    <w:rsid w:val="0028061C"/>
    <w:rsid w:val="00281356"/>
    <w:rsid w:val="00282B55"/>
    <w:rsid w:val="002834DF"/>
    <w:rsid w:val="0028538D"/>
    <w:rsid w:val="00285FC4"/>
    <w:rsid w:val="00286A7E"/>
    <w:rsid w:val="00290245"/>
    <w:rsid w:val="00291871"/>
    <w:rsid w:val="00291F07"/>
    <w:rsid w:val="0029323D"/>
    <w:rsid w:val="002934B2"/>
    <w:rsid w:val="00293563"/>
    <w:rsid w:val="002943E7"/>
    <w:rsid w:val="0029509C"/>
    <w:rsid w:val="0029549A"/>
    <w:rsid w:val="0029672D"/>
    <w:rsid w:val="00296E23"/>
    <w:rsid w:val="0029711B"/>
    <w:rsid w:val="002A2CD4"/>
    <w:rsid w:val="002A3147"/>
    <w:rsid w:val="002A4339"/>
    <w:rsid w:val="002A5D55"/>
    <w:rsid w:val="002A6486"/>
    <w:rsid w:val="002A6B97"/>
    <w:rsid w:val="002A6C8D"/>
    <w:rsid w:val="002A7847"/>
    <w:rsid w:val="002B1AEA"/>
    <w:rsid w:val="002B59DC"/>
    <w:rsid w:val="002B5C38"/>
    <w:rsid w:val="002B6C9D"/>
    <w:rsid w:val="002B71F9"/>
    <w:rsid w:val="002B73DE"/>
    <w:rsid w:val="002B78C4"/>
    <w:rsid w:val="002B7A49"/>
    <w:rsid w:val="002B7C73"/>
    <w:rsid w:val="002C1F21"/>
    <w:rsid w:val="002C32DF"/>
    <w:rsid w:val="002C70C7"/>
    <w:rsid w:val="002C7DC5"/>
    <w:rsid w:val="002D0552"/>
    <w:rsid w:val="002D09D9"/>
    <w:rsid w:val="002D23D5"/>
    <w:rsid w:val="002D2CC5"/>
    <w:rsid w:val="002D385A"/>
    <w:rsid w:val="002D52EE"/>
    <w:rsid w:val="002D6D9F"/>
    <w:rsid w:val="002D70C6"/>
    <w:rsid w:val="002D7B74"/>
    <w:rsid w:val="002E261F"/>
    <w:rsid w:val="002E344A"/>
    <w:rsid w:val="002F15EB"/>
    <w:rsid w:val="002F4889"/>
    <w:rsid w:val="002F5227"/>
    <w:rsid w:val="002F5333"/>
    <w:rsid w:val="002F602C"/>
    <w:rsid w:val="002F609C"/>
    <w:rsid w:val="002F6F14"/>
    <w:rsid w:val="002F6F7B"/>
    <w:rsid w:val="002F7127"/>
    <w:rsid w:val="002F72CE"/>
    <w:rsid w:val="00300B88"/>
    <w:rsid w:val="00300CAC"/>
    <w:rsid w:val="00301438"/>
    <w:rsid w:val="00301892"/>
    <w:rsid w:val="0030353D"/>
    <w:rsid w:val="00303D67"/>
    <w:rsid w:val="003053D0"/>
    <w:rsid w:val="003068B8"/>
    <w:rsid w:val="00310D78"/>
    <w:rsid w:val="00311421"/>
    <w:rsid w:val="00314A0B"/>
    <w:rsid w:val="00314CBE"/>
    <w:rsid w:val="00316351"/>
    <w:rsid w:val="0031684F"/>
    <w:rsid w:val="003177E7"/>
    <w:rsid w:val="003179D0"/>
    <w:rsid w:val="003207EF"/>
    <w:rsid w:val="00320C89"/>
    <w:rsid w:val="0032188E"/>
    <w:rsid w:val="003219B7"/>
    <w:rsid w:val="00321AD8"/>
    <w:rsid w:val="003226C8"/>
    <w:rsid w:val="003229A0"/>
    <w:rsid w:val="00322C8A"/>
    <w:rsid w:val="00322F70"/>
    <w:rsid w:val="003233F9"/>
    <w:rsid w:val="003239F0"/>
    <w:rsid w:val="0032464A"/>
    <w:rsid w:val="00325209"/>
    <w:rsid w:val="00325CE4"/>
    <w:rsid w:val="00331151"/>
    <w:rsid w:val="0033173D"/>
    <w:rsid w:val="00331E79"/>
    <w:rsid w:val="0033220E"/>
    <w:rsid w:val="003326CD"/>
    <w:rsid w:val="003334C3"/>
    <w:rsid w:val="00333A44"/>
    <w:rsid w:val="0033503B"/>
    <w:rsid w:val="0033533C"/>
    <w:rsid w:val="00335EF2"/>
    <w:rsid w:val="0033629B"/>
    <w:rsid w:val="00336D6A"/>
    <w:rsid w:val="00340499"/>
    <w:rsid w:val="0034068D"/>
    <w:rsid w:val="0034099D"/>
    <w:rsid w:val="00341AA4"/>
    <w:rsid w:val="003424E9"/>
    <w:rsid w:val="00343021"/>
    <w:rsid w:val="003456C4"/>
    <w:rsid w:val="00345D8C"/>
    <w:rsid w:val="0034626A"/>
    <w:rsid w:val="00346620"/>
    <w:rsid w:val="003470A9"/>
    <w:rsid w:val="00347717"/>
    <w:rsid w:val="0034792C"/>
    <w:rsid w:val="00347970"/>
    <w:rsid w:val="00350422"/>
    <w:rsid w:val="00350758"/>
    <w:rsid w:val="00350E0E"/>
    <w:rsid w:val="00351552"/>
    <w:rsid w:val="00354835"/>
    <w:rsid w:val="0035518A"/>
    <w:rsid w:val="0035596F"/>
    <w:rsid w:val="00356312"/>
    <w:rsid w:val="00357D16"/>
    <w:rsid w:val="00360965"/>
    <w:rsid w:val="003614A2"/>
    <w:rsid w:val="0036212A"/>
    <w:rsid w:val="00362A6F"/>
    <w:rsid w:val="00363375"/>
    <w:rsid w:val="0036482E"/>
    <w:rsid w:val="00364CE8"/>
    <w:rsid w:val="00364F08"/>
    <w:rsid w:val="0036771D"/>
    <w:rsid w:val="00367C64"/>
    <w:rsid w:val="00370C5D"/>
    <w:rsid w:val="003715EE"/>
    <w:rsid w:val="0037185B"/>
    <w:rsid w:val="00372DC2"/>
    <w:rsid w:val="00373568"/>
    <w:rsid w:val="003744D5"/>
    <w:rsid w:val="0037679E"/>
    <w:rsid w:val="00376A78"/>
    <w:rsid w:val="00377ED6"/>
    <w:rsid w:val="00382DAA"/>
    <w:rsid w:val="00383F17"/>
    <w:rsid w:val="00384BC8"/>
    <w:rsid w:val="00384FDD"/>
    <w:rsid w:val="00386196"/>
    <w:rsid w:val="00386DA8"/>
    <w:rsid w:val="00386E1E"/>
    <w:rsid w:val="00386F85"/>
    <w:rsid w:val="003877C7"/>
    <w:rsid w:val="0039057F"/>
    <w:rsid w:val="0039093A"/>
    <w:rsid w:val="00390DF1"/>
    <w:rsid w:val="00392A24"/>
    <w:rsid w:val="00392BAC"/>
    <w:rsid w:val="00392C10"/>
    <w:rsid w:val="00392C77"/>
    <w:rsid w:val="003930AE"/>
    <w:rsid w:val="0039312B"/>
    <w:rsid w:val="0039366F"/>
    <w:rsid w:val="00393A64"/>
    <w:rsid w:val="00395DBE"/>
    <w:rsid w:val="003962D5"/>
    <w:rsid w:val="0039756B"/>
    <w:rsid w:val="003A0196"/>
    <w:rsid w:val="003A34AB"/>
    <w:rsid w:val="003A37CA"/>
    <w:rsid w:val="003A384C"/>
    <w:rsid w:val="003A50DB"/>
    <w:rsid w:val="003A76A9"/>
    <w:rsid w:val="003B0B21"/>
    <w:rsid w:val="003B131F"/>
    <w:rsid w:val="003B1B00"/>
    <w:rsid w:val="003B2FB7"/>
    <w:rsid w:val="003B35E1"/>
    <w:rsid w:val="003B3B64"/>
    <w:rsid w:val="003B4825"/>
    <w:rsid w:val="003B5829"/>
    <w:rsid w:val="003B6A32"/>
    <w:rsid w:val="003B6A71"/>
    <w:rsid w:val="003B798C"/>
    <w:rsid w:val="003B7CBD"/>
    <w:rsid w:val="003C0489"/>
    <w:rsid w:val="003C209C"/>
    <w:rsid w:val="003C260C"/>
    <w:rsid w:val="003C2E9F"/>
    <w:rsid w:val="003C3628"/>
    <w:rsid w:val="003C3F11"/>
    <w:rsid w:val="003C3FBF"/>
    <w:rsid w:val="003C4938"/>
    <w:rsid w:val="003C6AB2"/>
    <w:rsid w:val="003D02F4"/>
    <w:rsid w:val="003D13E3"/>
    <w:rsid w:val="003D1871"/>
    <w:rsid w:val="003D4A51"/>
    <w:rsid w:val="003D518F"/>
    <w:rsid w:val="003D5734"/>
    <w:rsid w:val="003D7159"/>
    <w:rsid w:val="003D7210"/>
    <w:rsid w:val="003D79E1"/>
    <w:rsid w:val="003E1B3B"/>
    <w:rsid w:val="003E1B5C"/>
    <w:rsid w:val="003E1E8E"/>
    <w:rsid w:val="003E3D9F"/>
    <w:rsid w:val="003E4636"/>
    <w:rsid w:val="003E4886"/>
    <w:rsid w:val="003E5148"/>
    <w:rsid w:val="003E65C5"/>
    <w:rsid w:val="003E6C11"/>
    <w:rsid w:val="003E76FD"/>
    <w:rsid w:val="003E7AE9"/>
    <w:rsid w:val="003F01E2"/>
    <w:rsid w:val="003F0321"/>
    <w:rsid w:val="003F151D"/>
    <w:rsid w:val="003F167F"/>
    <w:rsid w:val="003F1D67"/>
    <w:rsid w:val="003F329B"/>
    <w:rsid w:val="003F39A7"/>
    <w:rsid w:val="003F401E"/>
    <w:rsid w:val="003F437F"/>
    <w:rsid w:val="003F4678"/>
    <w:rsid w:val="003F48EA"/>
    <w:rsid w:val="003F7383"/>
    <w:rsid w:val="003F79E5"/>
    <w:rsid w:val="00400A4A"/>
    <w:rsid w:val="00402720"/>
    <w:rsid w:val="004031C5"/>
    <w:rsid w:val="00404960"/>
    <w:rsid w:val="00404F24"/>
    <w:rsid w:val="00405E42"/>
    <w:rsid w:val="00405F7D"/>
    <w:rsid w:val="004063EA"/>
    <w:rsid w:val="00406542"/>
    <w:rsid w:val="0040685F"/>
    <w:rsid w:val="0040692E"/>
    <w:rsid w:val="004075D7"/>
    <w:rsid w:val="00410BD0"/>
    <w:rsid w:val="00410BFF"/>
    <w:rsid w:val="00412F1E"/>
    <w:rsid w:val="004139B7"/>
    <w:rsid w:val="00413FD5"/>
    <w:rsid w:val="0041417F"/>
    <w:rsid w:val="0041438A"/>
    <w:rsid w:val="00415CF5"/>
    <w:rsid w:val="004221D0"/>
    <w:rsid w:val="00424AA1"/>
    <w:rsid w:val="004266D8"/>
    <w:rsid w:val="004267F8"/>
    <w:rsid w:val="004303C9"/>
    <w:rsid w:val="00430CCC"/>
    <w:rsid w:val="004310DF"/>
    <w:rsid w:val="00431679"/>
    <w:rsid w:val="00431738"/>
    <w:rsid w:val="00431A25"/>
    <w:rsid w:val="004326AF"/>
    <w:rsid w:val="00435316"/>
    <w:rsid w:val="00435713"/>
    <w:rsid w:val="004366EE"/>
    <w:rsid w:val="004369DD"/>
    <w:rsid w:val="004372F8"/>
    <w:rsid w:val="00437526"/>
    <w:rsid w:val="004402C0"/>
    <w:rsid w:val="00442DB5"/>
    <w:rsid w:val="00443051"/>
    <w:rsid w:val="00444E8A"/>
    <w:rsid w:val="00445217"/>
    <w:rsid w:val="00447F30"/>
    <w:rsid w:val="004502CE"/>
    <w:rsid w:val="0045063B"/>
    <w:rsid w:val="004510DD"/>
    <w:rsid w:val="0045256B"/>
    <w:rsid w:val="00453D1D"/>
    <w:rsid w:val="00453EC4"/>
    <w:rsid w:val="00454C84"/>
    <w:rsid w:val="0045560E"/>
    <w:rsid w:val="00455A55"/>
    <w:rsid w:val="0045670F"/>
    <w:rsid w:val="00461A90"/>
    <w:rsid w:val="00461AE4"/>
    <w:rsid w:val="00461C5F"/>
    <w:rsid w:val="004622A8"/>
    <w:rsid w:val="004626E2"/>
    <w:rsid w:val="00463D2D"/>
    <w:rsid w:val="0046419D"/>
    <w:rsid w:val="00464D5C"/>
    <w:rsid w:val="00464E78"/>
    <w:rsid w:val="00465065"/>
    <w:rsid w:val="00467533"/>
    <w:rsid w:val="00467C5E"/>
    <w:rsid w:val="004702E1"/>
    <w:rsid w:val="00472CA3"/>
    <w:rsid w:val="004732B2"/>
    <w:rsid w:val="0047350D"/>
    <w:rsid w:val="0047378B"/>
    <w:rsid w:val="00473D39"/>
    <w:rsid w:val="00473F40"/>
    <w:rsid w:val="00474E63"/>
    <w:rsid w:val="0047551D"/>
    <w:rsid w:val="00475E8C"/>
    <w:rsid w:val="00475F04"/>
    <w:rsid w:val="00476172"/>
    <w:rsid w:val="00476649"/>
    <w:rsid w:val="004776D5"/>
    <w:rsid w:val="00477703"/>
    <w:rsid w:val="00477F9B"/>
    <w:rsid w:val="00480AE6"/>
    <w:rsid w:val="00480D18"/>
    <w:rsid w:val="004810BC"/>
    <w:rsid w:val="00482337"/>
    <w:rsid w:val="00482A4B"/>
    <w:rsid w:val="00482C09"/>
    <w:rsid w:val="00482EDA"/>
    <w:rsid w:val="004835FD"/>
    <w:rsid w:val="00483785"/>
    <w:rsid w:val="004842FD"/>
    <w:rsid w:val="004847C4"/>
    <w:rsid w:val="00485E5A"/>
    <w:rsid w:val="00485EFD"/>
    <w:rsid w:val="0048687F"/>
    <w:rsid w:val="00487477"/>
    <w:rsid w:val="00487B85"/>
    <w:rsid w:val="004907E4"/>
    <w:rsid w:val="00490D96"/>
    <w:rsid w:val="00490F22"/>
    <w:rsid w:val="0049105B"/>
    <w:rsid w:val="00491174"/>
    <w:rsid w:val="00491F54"/>
    <w:rsid w:val="00493C62"/>
    <w:rsid w:val="004948EF"/>
    <w:rsid w:val="00495D28"/>
    <w:rsid w:val="00497BE8"/>
    <w:rsid w:val="004A0D62"/>
    <w:rsid w:val="004A0E7F"/>
    <w:rsid w:val="004A28C9"/>
    <w:rsid w:val="004A2C29"/>
    <w:rsid w:val="004A4D3B"/>
    <w:rsid w:val="004A6996"/>
    <w:rsid w:val="004A6E4C"/>
    <w:rsid w:val="004A7A00"/>
    <w:rsid w:val="004B0C0A"/>
    <w:rsid w:val="004B23D6"/>
    <w:rsid w:val="004B2F83"/>
    <w:rsid w:val="004B3C8D"/>
    <w:rsid w:val="004B6DF2"/>
    <w:rsid w:val="004B6E81"/>
    <w:rsid w:val="004B723B"/>
    <w:rsid w:val="004C04E3"/>
    <w:rsid w:val="004C050B"/>
    <w:rsid w:val="004C09BF"/>
    <w:rsid w:val="004C0A55"/>
    <w:rsid w:val="004C242E"/>
    <w:rsid w:val="004C3594"/>
    <w:rsid w:val="004C386A"/>
    <w:rsid w:val="004C4D8D"/>
    <w:rsid w:val="004C526E"/>
    <w:rsid w:val="004C539C"/>
    <w:rsid w:val="004C53A9"/>
    <w:rsid w:val="004C570B"/>
    <w:rsid w:val="004C574D"/>
    <w:rsid w:val="004C7ABC"/>
    <w:rsid w:val="004C7D49"/>
    <w:rsid w:val="004D15EC"/>
    <w:rsid w:val="004D3926"/>
    <w:rsid w:val="004D3B04"/>
    <w:rsid w:val="004D424A"/>
    <w:rsid w:val="004D5416"/>
    <w:rsid w:val="004D56B5"/>
    <w:rsid w:val="004D5946"/>
    <w:rsid w:val="004D6641"/>
    <w:rsid w:val="004D705A"/>
    <w:rsid w:val="004E1017"/>
    <w:rsid w:val="004E1ACA"/>
    <w:rsid w:val="004E2663"/>
    <w:rsid w:val="004E3B92"/>
    <w:rsid w:val="004E3FA1"/>
    <w:rsid w:val="004E4758"/>
    <w:rsid w:val="004E5474"/>
    <w:rsid w:val="004E766F"/>
    <w:rsid w:val="004F2747"/>
    <w:rsid w:val="004F399D"/>
    <w:rsid w:val="004F4CD1"/>
    <w:rsid w:val="004F5C89"/>
    <w:rsid w:val="004F6C31"/>
    <w:rsid w:val="004F77B6"/>
    <w:rsid w:val="004F7C3D"/>
    <w:rsid w:val="0050032A"/>
    <w:rsid w:val="0050080F"/>
    <w:rsid w:val="005008D0"/>
    <w:rsid w:val="0050097E"/>
    <w:rsid w:val="00500EA2"/>
    <w:rsid w:val="00501439"/>
    <w:rsid w:val="00501D46"/>
    <w:rsid w:val="005021A3"/>
    <w:rsid w:val="00502417"/>
    <w:rsid w:val="00502605"/>
    <w:rsid w:val="00502BD5"/>
    <w:rsid w:val="005037EE"/>
    <w:rsid w:val="00503BD6"/>
    <w:rsid w:val="00504DBD"/>
    <w:rsid w:val="00506FF9"/>
    <w:rsid w:val="00507135"/>
    <w:rsid w:val="00507296"/>
    <w:rsid w:val="005075FE"/>
    <w:rsid w:val="00510083"/>
    <w:rsid w:val="00513150"/>
    <w:rsid w:val="0051428B"/>
    <w:rsid w:val="00514A8C"/>
    <w:rsid w:val="00515068"/>
    <w:rsid w:val="00516806"/>
    <w:rsid w:val="00516B54"/>
    <w:rsid w:val="005176FC"/>
    <w:rsid w:val="00517A6C"/>
    <w:rsid w:val="0052069B"/>
    <w:rsid w:val="005209DE"/>
    <w:rsid w:val="00520D0F"/>
    <w:rsid w:val="00520D71"/>
    <w:rsid w:val="00521C30"/>
    <w:rsid w:val="0052230A"/>
    <w:rsid w:val="00522C5B"/>
    <w:rsid w:val="005231F0"/>
    <w:rsid w:val="005240B6"/>
    <w:rsid w:val="005248C1"/>
    <w:rsid w:val="00524B5B"/>
    <w:rsid w:val="00524E17"/>
    <w:rsid w:val="005251D9"/>
    <w:rsid w:val="005255C1"/>
    <w:rsid w:val="00525DEC"/>
    <w:rsid w:val="00525E15"/>
    <w:rsid w:val="00526670"/>
    <w:rsid w:val="00527516"/>
    <w:rsid w:val="00527558"/>
    <w:rsid w:val="0053083E"/>
    <w:rsid w:val="005317F2"/>
    <w:rsid w:val="00531F1D"/>
    <w:rsid w:val="00533245"/>
    <w:rsid w:val="005338F3"/>
    <w:rsid w:val="00533CB0"/>
    <w:rsid w:val="0053401B"/>
    <w:rsid w:val="0053491C"/>
    <w:rsid w:val="00535A34"/>
    <w:rsid w:val="00535CF3"/>
    <w:rsid w:val="00536F46"/>
    <w:rsid w:val="0053749A"/>
    <w:rsid w:val="005405DB"/>
    <w:rsid w:val="00541D6A"/>
    <w:rsid w:val="00544179"/>
    <w:rsid w:val="00544627"/>
    <w:rsid w:val="005456C6"/>
    <w:rsid w:val="005462C1"/>
    <w:rsid w:val="00546433"/>
    <w:rsid w:val="005466B7"/>
    <w:rsid w:val="00547DDC"/>
    <w:rsid w:val="00550076"/>
    <w:rsid w:val="0055113D"/>
    <w:rsid w:val="00551C8C"/>
    <w:rsid w:val="00552D3A"/>
    <w:rsid w:val="005539C4"/>
    <w:rsid w:val="005540CC"/>
    <w:rsid w:val="005545C2"/>
    <w:rsid w:val="00554DC2"/>
    <w:rsid w:val="005557C1"/>
    <w:rsid w:val="00556477"/>
    <w:rsid w:val="00556B84"/>
    <w:rsid w:val="0056083B"/>
    <w:rsid w:val="005625DE"/>
    <w:rsid w:val="00564067"/>
    <w:rsid w:val="0056438A"/>
    <w:rsid w:val="00564461"/>
    <w:rsid w:val="005645AC"/>
    <w:rsid w:val="00566657"/>
    <w:rsid w:val="005673E5"/>
    <w:rsid w:val="0056758E"/>
    <w:rsid w:val="0056794E"/>
    <w:rsid w:val="005679D5"/>
    <w:rsid w:val="00567D4A"/>
    <w:rsid w:val="00567E26"/>
    <w:rsid w:val="00567F3F"/>
    <w:rsid w:val="0057097F"/>
    <w:rsid w:val="005711BC"/>
    <w:rsid w:val="00571FEF"/>
    <w:rsid w:val="00572136"/>
    <w:rsid w:val="005722B3"/>
    <w:rsid w:val="005725B5"/>
    <w:rsid w:val="00573E03"/>
    <w:rsid w:val="00574D03"/>
    <w:rsid w:val="00576EBF"/>
    <w:rsid w:val="00577B24"/>
    <w:rsid w:val="005803A0"/>
    <w:rsid w:val="005806DC"/>
    <w:rsid w:val="00581B78"/>
    <w:rsid w:val="00581FEE"/>
    <w:rsid w:val="005828D3"/>
    <w:rsid w:val="00583A32"/>
    <w:rsid w:val="0058528E"/>
    <w:rsid w:val="005859E9"/>
    <w:rsid w:val="00585BCA"/>
    <w:rsid w:val="00585CA5"/>
    <w:rsid w:val="0058654E"/>
    <w:rsid w:val="005876AA"/>
    <w:rsid w:val="00590BB6"/>
    <w:rsid w:val="00590EBE"/>
    <w:rsid w:val="00590FD5"/>
    <w:rsid w:val="0059206E"/>
    <w:rsid w:val="00592FE3"/>
    <w:rsid w:val="0059426F"/>
    <w:rsid w:val="00595C19"/>
    <w:rsid w:val="00595D91"/>
    <w:rsid w:val="005967A9"/>
    <w:rsid w:val="00596814"/>
    <w:rsid w:val="005A0ED8"/>
    <w:rsid w:val="005A116B"/>
    <w:rsid w:val="005A1FEE"/>
    <w:rsid w:val="005A20E9"/>
    <w:rsid w:val="005A3C36"/>
    <w:rsid w:val="005A4032"/>
    <w:rsid w:val="005A4237"/>
    <w:rsid w:val="005A45E2"/>
    <w:rsid w:val="005A53A4"/>
    <w:rsid w:val="005A6636"/>
    <w:rsid w:val="005A7A16"/>
    <w:rsid w:val="005A7E80"/>
    <w:rsid w:val="005B004A"/>
    <w:rsid w:val="005B0398"/>
    <w:rsid w:val="005B0DEF"/>
    <w:rsid w:val="005B38D0"/>
    <w:rsid w:val="005B52C0"/>
    <w:rsid w:val="005B5FEC"/>
    <w:rsid w:val="005C0231"/>
    <w:rsid w:val="005C1FA2"/>
    <w:rsid w:val="005C22CC"/>
    <w:rsid w:val="005C2535"/>
    <w:rsid w:val="005C2BFD"/>
    <w:rsid w:val="005C2F13"/>
    <w:rsid w:val="005C4C40"/>
    <w:rsid w:val="005C7BE8"/>
    <w:rsid w:val="005D0145"/>
    <w:rsid w:val="005D08E4"/>
    <w:rsid w:val="005D12A3"/>
    <w:rsid w:val="005D33C7"/>
    <w:rsid w:val="005D351C"/>
    <w:rsid w:val="005D36D1"/>
    <w:rsid w:val="005D492D"/>
    <w:rsid w:val="005D6715"/>
    <w:rsid w:val="005D694B"/>
    <w:rsid w:val="005D6BF6"/>
    <w:rsid w:val="005E06F1"/>
    <w:rsid w:val="005E27F3"/>
    <w:rsid w:val="005E2E5F"/>
    <w:rsid w:val="005E34DB"/>
    <w:rsid w:val="005E351E"/>
    <w:rsid w:val="005E4A65"/>
    <w:rsid w:val="005E5363"/>
    <w:rsid w:val="005E6DAA"/>
    <w:rsid w:val="005E6DD9"/>
    <w:rsid w:val="005E6E82"/>
    <w:rsid w:val="005E7AC7"/>
    <w:rsid w:val="005E7C44"/>
    <w:rsid w:val="005F090F"/>
    <w:rsid w:val="005F0B95"/>
    <w:rsid w:val="005F0BCE"/>
    <w:rsid w:val="005F1632"/>
    <w:rsid w:val="005F1706"/>
    <w:rsid w:val="005F3562"/>
    <w:rsid w:val="005F38EA"/>
    <w:rsid w:val="005F3BD5"/>
    <w:rsid w:val="005F5A7B"/>
    <w:rsid w:val="005F5C34"/>
    <w:rsid w:val="005F6E66"/>
    <w:rsid w:val="005F6E84"/>
    <w:rsid w:val="00600F65"/>
    <w:rsid w:val="00603451"/>
    <w:rsid w:val="00603531"/>
    <w:rsid w:val="006035F9"/>
    <w:rsid w:val="0060394D"/>
    <w:rsid w:val="006047A1"/>
    <w:rsid w:val="00605D8A"/>
    <w:rsid w:val="00606213"/>
    <w:rsid w:val="00606B9D"/>
    <w:rsid w:val="00610143"/>
    <w:rsid w:val="00610A36"/>
    <w:rsid w:val="00610D65"/>
    <w:rsid w:val="006116DA"/>
    <w:rsid w:val="006119E1"/>
    <w:rsid w:val="0061226B"/>
    <w:rsid w:val="0061239F"/>
    <w:rsid w:val="006134AB"/>
    <w:rsid w:val="00613ACD"/>
    <w:rsid w:val="00613ECF"/>
    <w:rsid w:val="00614151"/>
    <w:rsid w:val="006141B9"/>
    <w:rsid w:val="00614217"/>
    <w:rsid w:val="00614542"/>
    <w:rsid w:val="00614B8E"/>
    <w:rsid w:val="00615728"/>
    <w:rsid w:val="006166B0"/>
    <w:rsid w:val="00620010"/>
    <w:rsid w:val="006211F4"/>
    <w:rsid w:val="006216C3"/>
    <w:rsid w:val="00621BA1"/>
    <w:rsid w:val="006227E5"/>
    <w:rsid w:val="00622A0E"/>
    <w:rsid w:val="0062305C"/>
    <w:rsid w:val="00623AD8"/>
    <w:rsid w:val="00624018"/>
    <w:rsid w:val="006245E7"/>
    <w:rsid w:val="006261AA"/>
    <w:rsid w:val="00626857"/>
    <w:rsid w:val="00630884"/>
    <w:rsid w:val="00632035"/>
    <w:rsid w:val="006323E6"/>
    <w:rsid w:val="00633681"/>
    <w:rsid w:val="0063418A"/>
    <w:rsid w:val="0063648C"/>
    <w:rsid w:val="00640868"/>
    <w:rsid w:val="006475B2"/>
    <w:rsid w:val="0064770C"/>
    <w:rsid w:val="00650A3F"/>
    <w:rsid w:val="006514AA"/>
    <w:rsid w:val="00651E95"/>
    <w:rsid w:val="00653535"/>
    <w:rsid w:val="00653DFD"/>
    <w:rsid w:val="00654108"/>
    <w:rsid w:val="00654146"/>
    <w:rsid w:val="00655526"/>
    <w:rsid w:val="006560B2"/>
    <w:rsid w:val="00657385"/>
    <w:rsid w:val="0066090D"/>
    <w:rsid w:val="00660C0C"/>
    <w:rsid w:val="00660EBB"/>
    <w:rsid w:val="00660FA9"/>
    <w:rsid w:val="0066149E"/>
    <w:rsid w:val="00661BD0"/>
    <w:rsid w:val="00663398"/>
    <w:rsid w:val="0066413D"/>
    <w:rsid w:val="00664FC1"/>
    <w:rsid w:val="00665596"/>
    <w:rsid w:val="006662A2"/>
    <w:rsid w:val="00667E3C"/>
    <w:rsid w:val="006702C0"/>
    <w:rsid w:val="00671E80"/>
    <w:rsid w:val="00672301"/>
    <w:rsid w:val="00673A02"/>
    <w:rsid w:val="0067416A"/>
    <w:rsid w:val="006746B0"/>
    <w:rsid w:val="006760AD"/>
    <w:rsid w:val="00677E8D"/>
    <w:rsid w:val="006808C2"/>
    <w:rsid w:val="00681BD4"/>
    <w:rsid w:val="0068483C"/>
    <w:rsid w:val="00685CC9"/>
    <w:rsid w:val="00685DFA"/>
    <w:rsid w:val="006868BF"/>
    <w:rsid w:val="006920A6"/>
    <w:rsid w:val="00692D78"/>
    <w:rsid w:val="00693C3E"/>
    <w:rsid w:val="00693EE2"/>
    <w:rsid w:val="00694184"/>
    <w:rsid w:val="0069501C"/>
    <w:rsid w:val="006967B8"/>
    <w:rsid w:val="00696F33"/>
    <w:rsid w:val="006A01D6"/>
    <w:rsid w:val="006A24E9"/>
    <w:rsid w:val="006A2EAF"/>
    <w:rsid w:val="006A30C0"/>
    <w:rsid w:val="006A332A"/>
    <w:rsid w:val="006A3752"/>
    <w:rsid w:val="006A45FA"/>
    <w:rsid w:val="006A484F"/>
    <w:rsid w:val="006A4A74"/>
    <w:rsid w:val="006A73EF"/>
    <w:rsid w:val="006A7812"/>
    <w:rsid w:val="006A7D34"/>
    <w:rsid w:val="006A7E57"/>
    <w:rsid w:val="006B2800"/>
    <w:rsid w:val="006B319A"/>
    <w:rsid w:val="006B42F6"/>
    <w:rsid w:val="006B4765"/>
    <w:rsid w:val="006B4F01"/>
    <w:rsid w:val="006B4F83"/>
    <w:rsid w:val="006B5382"/>
    <w:rsid w:val="006B65E3"/>
    <w:rsid w:val="006C0943"/>
    <w:rsid w:val="006C27FC"/>
    <w:rsid w:val="006C2C82"/>
    <w:rsid w:val="006C2DFB"/>
    <w:rsid w:val="006C3A6A"/>
    <w:rsid w:val="006C3C98"/>
    <w:rsid w:val="006C5486"/>
    <w:rsid w:val="006C5D10"/>
    <w:rsid w:val="006C6612"/>
    <w:rsid w:val="006D0555"/>
    <w:rsid w:val="006D10E9"/>
    <w:rsid w:val="006D1218"/>
    <w:rsid w:val="006D1D51"/>
    <w:rsid w:val="006D206A"/>
    <w:rsid w:val="006D23DE"/>
    <w:rsid w:val="006D2E4C"/>
    <w:rsid w:val="006D305C"/>
    <w:rsid w:val="006D32EB"/>
    <w:rsid w:val="006D3337"/>
    <w:rsid w:val="006D5030"/>
    <w:rsid w:val="006D5252"/>
    <w:rsid w:val="006D61D2"/>
    <w:rsid w:val="006E0FFB"/>
    <w:rsid w:val="006E1037"/>
    <w:rsid w:val="006E39A2"/>
    <w:rsid w:val="006E41CA"/>
    <w:rsid w:val="006E51CB"/>
    <w:rsid w:val="006E5E39"/>
    <w:rsid w:val="006E6957"/>
    <w:rsid w:val="006E6B0B"/>
    <w:rsid w:val="006E7A48"/>
    <w:rsid w:val="006E7DFD"/>
    <w:rsid w:val="006F01B2"/>
    <w:rsid w:val="006F07F8"/>
    <w:rsid w:val="006F2BCE"/>
    <w:rsid w:val="006F52BD"/>
    <w:rsid w:val="006F613E"/>
    <w:rsid w:val="006F6557"/>
    <w:rsid w:val="006F659D"/>
    <w:rsid w:val="006F6A8D"/>
    <w:rsid w:val="006F7041"/>
    <w:rsid w:val="006F7592"/>
    <w:rsid w:val="006F7717"/>
    <w:rsid w:val="00700583"/>
    <w:rsid w:val="00700741"/>
    <w:rsid w:val="00700E7F"/>
    <w:rsid w:val="00702274"/>
    <w:rsid w:val="00703412"/>
    <w:rsid w:val="00703964"/>
    <w:rsid w:val="00704B61"/>
    <w:rsid w:val="0070562B"/>
    <w:rsid w:val="0070605B"/>
    <w:rsid w:val="00707475"/>
    <w:rsid w:val="007102B5"/>
    <w:rsid w:val="00711BB1"/>
    <w:rsid w:val="00711DF1"/>
    <w:rsid w:val="0071207D"/>
    <w:rsid w:val="00712405"/>
    <w:rsid w:val="00712CD0"/>
    <w:rsid w:val="00715524"/>
    <w:rsid w:val="00715C5B"/>
    <w:rsid w:val="00716BDC"/>
    <w:rsid w:val="007170CE"/>
    <w:rsid w:val="007204BE"/>
    <w:rsid w:val="007224D1"/>
    <w:rsid w:val="00723826"/>
    <w:rsid w:val="007239C5"/>
    <w:rsid w:val="007242F9"/>
    <w:rsid w:val="00724CCB"/>
    <w:rsid w:val="00726E52"/>
    <w:rsid w:val="00727F08"/>
    <w:rsid w:val="00730213"/>
    <w:rsid w:val="00733ACA"/>
    <w:rsid w:val="00734B2F"/>
    <w:rsid w:val="0074048A"/>
    <w:rsid w:val="007430D9"/>
    <w:rsid w:val="007455ED"/>
    <w:rsid w:val="0074754C"/>
    <w:rsid w:val="007476DA"/>
    <w:rsid w:val="00750EA3"/>
    <w:rsid w:val="007517ED"/>
    <w:rsid w:val="007528EA"/>
    <w:rsid w:val="00752922"/>
    <w:rsid w:val="00752B01"/>
    <w:rsid w:val="00753080"/>
    <w:rsid w:val="0075449F"/>
    <w:rsid w:val="00754600"/>
    <w:rsid w:val="0075598C"/>
    <w:rsid w:val="00755FE4"/>
    <w:rsid w:val="00757295"/>
    <w:rsid w:val="00757D68"/>
    <w:rsid w:val="00762430"/>
    <w:rsid w:val="00763806"/>
    <w:rsid w:val="00764ACB"/>
    <w:rsid w:val="00764F80"/>
    <w:rsid w:val="00765110"/>
    <w:rsid w:val="00770854"/>
    <w:rsid w:val="007709BE"/>
    <w:rsid w:val="00770D34"/>
    <w:rsid w:val="0077391F"/>
    <w:rsid w:val="007741B8"/>
    <w:rsid w:val="00774D6A"/>
    <w:rsid w:val="00776454"/>
    <w:rsid w:val="00780F9B"/>
    <w:rsid w:val="00781091"/>
    <w:rsid w:val="0078229B"/>
    <w:rsid w:val="007827F9"/>
    <w:rsid w:val="00783B7C"/>
    <w:rsid w:val="0078589D"/>
    <w:rsid w:val="00786E29"/>
    <w:rsid w:val="0078715F"/>
    <w:rsid w:val="00787D2D"/>
    <w:rsid w:val="007906E1"/>
    <w:rsid w:val="00791C85"/>
    <w:rsid w:val="00791E65"/>
    <w:rsid w:val="007948C9"/>
    <w:rsid w:val="00795ECA"/>
    <w:rsid w:val="007A0715"/>
    <w:rsid w:val="007A1002"/>
    <w:rsid w:val="007A1AC7"/>
    <w:rsid w:val="007A20FC"/>
    <w:rsid w:val="007A359D"/>
    <w:rsid w:val="007A3C1E"/>
    <w:rsid w:val="007A42B9"/>
    <w:rsid w:val="007A4323"/>
    <w:rsid w:val="007A4463"/>
    <w:rsid w:val="007A51FA"/>
    <w:rsid w:val="007A7C23"/>
    <w:rsid w:val="007A7CA2"/>
    <w:rsid w:val="007B2569"/>
    <w:rsid w:val="007B2671"/>
    <w:rsid w:val="007B353B"/>
    <w:rsid w:val="007B4470"/>
    <w:rsid w:val="007B45FB"/>
    <w:rsid w:val="007B7AB9"/>
    <w:rsid w:val="007C0BF8"/>
    <w:rsid w:val="007C3A05"/>
    <w:rsid w:val="007C3A3B"/>
    <w:rsid w:val="007C40CF"/>
    <w:rsid w:val="007C42B3"/>
    <w:rsid w:val="007C5D92"/>
    <w:rsid w:val="007C5D95"/>
    <w:rsid w:val="007C68CA"/>
    <w:rsid w:val="007C76DC"/>
    <w:rsid w:val="007D063E"/>
    <w:rsid w:val="007D09D9"/>
    <w:rsid w:val="007D227E"/>
    <w:rsid w:val="007D229A"/>
    <w:rsid w:val="007D4BCF"/>
    <w:rsid w:val="007D5F09"/>
    <w:rsid w:val="007D6D52"/>
    <w:rsid w:val="007D7124"/>
    <w:rsid w:val="007D763E"/>
    <w:rsid w:val="007E0578"/>
    <w:rsid w:val="007E09D6"/>
    <w:rsid w:val="007E186B"/>
    <w:rsid w:val="007E2298"/>
    <w:rsid w:val="007E2FBC"/>
    <w:rsid w:val="007E3886"/>
    <w:rsid w:val="007E3E29"/>
    <w:rsid w:val="007E4DE4"/>
    <w:rsid w:val="007E5516"/>
    <w:rsid w:val="007E5CBA"/>
    <w:rsid w:val="007F102F"/>
    <w:rsid w:val="007F1D09"/>
    <w:rsid w:val="007F1E23"/>
    <w:rsid w:val="007F1E8C"/>
    <w:rsid w:val="007F2E4C"/>
    <w:rsid w:val="007F3842"/>
    <w:rsid w:val="007F513F"/>
    <w:rsid w:val="007F58A2"/>
    <w:rsid w:val="007F5AA8"/>
    <w:rsid w:val="007F7FD8"/>
    <w:rsid w:val="008000E8"/>
    <w:rsid w:val="00800ED6"/>
    <w:rsid w:val="008010DE"/>
    <w:rsid w:val="008041A8"/>
    <w:rsid w:val="008045BD"/>
    <w:rsid w:val="008061B3"/>
    <w:rsid w:val="00806C4C"/>
    <w:rsid w:val="00807115"/>
    <w:rsid w:val="00807F28"/>
    <w:rsid w:val="00810806"/>
    <w:rsid w:val="00810D63"/>
    <w:rsid w:val="00812361"/>
    <w:rsid w:val="008127E4"/>
    <w:rsid w:val="008133D5"/>
    <w:rsid w:val="00813FF6"/>
    <w:rsid w:val="008146CB"/>
    <w:rsid w:val="00814A72"/>
    <w:rsid w:val="008152BA"/>
    <w:rsid w:val="00816164"/>
    <w:rsid w:val="00817C46"/>
    <w:rsid w:val="00821271"/>
    <w:rsid w:val="00821656"/>
    <w:rsid w:val="008224C0"/>
    <w:rsid w:val="0082286B"/>
    <w:rsid w:val="008235C5"/>
    <w:rsid w:val="00824A2D"/>
    <w:rsid w:val="00824C84"/>
    <w:rsid w:val="00825539"/>
    <w:rsid w:val="00827AC5"/>
    <w:rsid w:val="00827BFD"/>
    <w:rsid w:val="00830742"/>
    <w:rsid w:val="00832C5F"/>
    <w:rsid w:val="008333F7"/>
    <w:rsid w:val="00833963"/>
    <w:rsid w:val="008357CC"/>
    <w:rsid w:val="00835CB3"/>
    <w:rsid w:val="008361FA"/>
    <w:rsid w:val="00836661"/>
    <w:rsid w:val="0083689E"/>
    <w:rsid w:val="00836B10"/>
    <w:rsid w:val="0083785C"/>
    <w:rsid w:val="00840D13"/>
    <w:rsid w:val="00840F2B"/>
    <w:rsid w:val="008418BF"/>
    <w:rsid w:val="008428E1"/>
    <w:rsid w:val="00842966"/>
    <w:rsid w:val="00843065"/>
    <w:rsid w:val="008430A9"/>
    <w:rsid w:val="00846A67"/>
    <w:rsid w:val="00846C35"/>
    <w:rsid w:val="00847B02"/>
    <w:rsid w:val="00847FBB"/>
    <w:rsid w:val="00852F00"/>
    <w:rsid w:val="0085420C"/>
    <w:rsid w:val="00854340"/>
    <w:rsid w:val="00854D31"/>
    <w:rsid w:val="008568E9"/>
    <w:rsid w:val="00856937"/>
    <w:rsid w:val="00857E19"/>
    <w:rsid w:val="00861088"/>
    <w:rsid w:val="00862A89"/>
    <w:rsid w:val="0086491A"/>
    <w:rsid w:val="008654FF"/>
    <w:rsid w:val="008656A3"/>
    <w:rsid w:val="00865CB9"/>
    <w:rsid w:val="00866BEB"/>
    <w:rsid w:val="008673D8"/>
    <w:rsid w:val="00870923"/>
    <w:rsid w:val="00870E04"/>
    <w:rsid w:val="00871D21"/>
    <w:rsid w:val="00871DE5"/>
    <w:rsid w:val="0087543C"/>
    <w:rsid w:val="00875CB0"/>
    <w:rsid w:val="00875D31"/>
    <w:rsid w:val="00876357"/>
    <w:rsid w:val="00876634"/>
    <w:rsid w:val="008769E7"/>
    <w:rsid w:val="00877419"/>
    <w:rsid w:val="00877E11"/>
    <w:rsid w:val="008801AF"/>
    <w:rsid w:val="008802F8"/>
    <w:rsid w:val="008805E2"/>
    <w:rsid w:val="00880D36"/>
    <w:rsid w:val="008813DA"/>
    <w:rsid w:val="0088195C"/>
    <w:rsid w:val="0088257B"/>
    <w:rsid w:val="008844E3"/>
    <w:rsid w:val="0088504D"/>
    <w:rsid w:val="00885A4C"/>
    <w:rsid w:val="00885EE1"/>
    <w:rsid w:val="0088642C"/>
    <w:rsid w:val="0088689F"/>
    <w:rsid w:val="00887173"/>
    <w:rsid w:val="00890365"/>
    <w:rsid w:val="00890C6B"/>
    <w:rsid w:val="0089179D"/>
    <w:rsid w:val="00891DC9"/>
    <w:rsid w:val="008925F3"/>
    <w:rsid w:val="00893EC3"/>
    <w:rsid w:val="0089428D"/>
    <w:rsid w:val="00895F9D"/>
    <w:rsid w:val="008970D1"/>
    <w:rsid w:val="00897C2F"/>
    <w:rsid w:val="008A19C7"/>
    <w:rsid w:val="008A21D7"/>
    <w:rsid w:val="008A2C27"/>
    <w:rsid w:val="008A3CAB"/>
    <w:rsid w:val="008A455C"/>
    <w:rsid w:val="008A62E7"/>
    <w:rsid w:val="008A64B1"/>
    <w:rsid w:val="008A6AE6"/>
    <w:rsid w:val="008B01B4"/>
    <w:rsid w:val="008B056D"/>
    <w:rsid w:val="008B2437"/>
    <w:rsid w:val="008B2A6A"/>
    <w:rsid w:val="008B4146"/>
    <w:rsid w:val="008B67E2"/>
    <w:rsid w:val="008B6E27"/>
    <w:rsid w:val="008C075F"/>
    <w:rsid w:val="008C187C"/>
    <w:rsid w:val="008C1CD8"/>
    <w:rsid w:val="008C1FD6"/>
    <w:rsid w:val="008C248F"/>
    <w:rsid w:val="008C261E"/>
    <w:rsid w:val="008C2725"/>
    <w:rsid w:val="008C34AB"/>
    <w:rsid w:val="008C4E11"/>
    <w:rsid w:val="008C4EB3"/>
    <w:rsid w:val="008C54BB"/>
    <w:rsid w:val="008C6463"/>
    <w:rsid w:val="008C6E11"/>
    <w:rsid w:val="008C7257"/>
    <w:rsid w:val="008D0D00"/>
    <w:rsid w:val="008D1CDC"/>
    <w:rsid w:val="008D272A"/>
    <w:rsid w:val="008D4E56"/>
    <w:rsid w:val="008D53DF"/>
    <w:rsid w:val="008D591B"/>
    <w:rsid w:val="008D6119"/>
    <w:rsid w:val="008D6AA4"/>
    <w:rsid w:val="008E0E3E"/>
    <w:rsid w:val="008E1081"/>
    <w:rsid w:val="008E1896"/>
    <w:rsid w:val="008E1BDB"/>
    <w:rsid w:val="008E1F88"/>
    <w:rsid w:val="008E28CE"/>
    <w:rsid w:val="008E3F1B"/>
    <w:rsid w:val="008E469D"/>
    <w:rsid w:val="008E5818"/>
    <w:rsid w:val="008E5EC5"/>
    <w:rsid w:val="008E6268"/>
    <w:rsid w:val="008E68D9"/>
    <w:rsid w:val="008E6C84"/>
    <w:rsid w:val="008E708A"/>
    <w:rsid w:val="008E770D"/>
    <w:rsid w:val="008E7A13"/>
    <w:rsid w:val="008F0F03"/>
    <w:rsid w:val="008F0FD6"/>
    <w:rsid w:val="008F1E89"/>
    <w:rsid w:val="008F2D99"/>
    <w:rsid w:val="008F3F19"/>
    <w:rsid w:val="008F50A2"/>
    <w:rsid w:val="008F55BE"/>
    <w:rsid w:val="008F6211"/>
    <w:rsid w:val="008F7376"/>
    <w:rsid w:val="008F7601"/>
    <w:rsid w:val="00900253"/>
    <w:rsid w:val="00900AB0"/>
    <w:rsid w:val="00900F27"/>
    <w:rsid w:val="00901011"/>
    <w:rsid w:val="0090211F"/>
    <w:rsid w:val="00903781"/>
    <w:rsid w:val="00903EFE"/>
    <w:rsid w:val="00904021"/>
    <w:rsid w:val="00904A12"/>
    <w:rsid w:val="00904ACD"/>
    <w:rsid w:val="00905530"/>
    <w:rsid w:val="00905582"/>
    <w:rsid w:val="00905DC5"/>
    <w:rsid w:val="00907AF0"/>
    <w:rsid w:val="00911567"/>
    <w:rsid w:val="009124A4"/>
    <w:rsid w:val="00914435"/>
    <w:rsid w:val="009148BF"/>
    <w:rsid w:val="00915B72"/>
    <w:rsid w:val="00916033"/>
    <w:rsid w:val="009166BF"/>
    <w:rsid w:val="00916B54"/>
    <w:rsid w:val="00920FF3"/>
    <w:rsid w:val="00921667"/>
    <w:rsid w:val="0092184B"/>
    <w:rsid w:val="00921A61"/>
    <w:rsid w:val="00921BDB"/>
    <w:rsid w:val="00922041"/>
    <w:rsid w:val="00922096"/>
    <w:rsid w:val="009220EE"/>
    <w:rsid w:val="00923086"/>
    <w:rsid w:val="0092355B"/>
    <w:rsid w:val="0092407E"/>
    <w:rsid w:val="00924193"/>
    <w:rsid w:val="009255B8"/>
    <w:rsid w:val="009259D3"/>
    <w:rsid w:val="00926B69"/>
    <w:rsid w:val="00926C9B"/>
    <w:rsid w:val="00926D31"/>
    <w:rsid w:val="009275B4"/>
    <w:rsid w:val="0092780B"/>
    <w:rsid w:val="00930322"/>
    <w:rsid w:val="00931651"/>
    <w:rsid w:val="00932620"/>
    <w:rsid w:val="00934131"/>
    <w:rsid w:val="00934175"/>
    <w:rsid w:val="00934910"/>
    <w:rsid w:val="00934C58"/>
    <w:rsid w:val="00935F06"/>
    <w:rsid w:val="009361FB"/>
    <w:rsid w:val="00937910"/>
    <w:rsid w:val="00937B93"/>
    <w:rsid w:val="009401A0"/>
    <w:rsid w:val="0094022D"/>
    <w:rsid w:val="00940511"/>
    <w:rsid w:val="009429EB"/>
    <w:rsid w:val="009454A7"/>
    <w:rsid w:val="00945C35"/>
    <w:rsid w:val="009479AB"/>
    <w:rsid w:val="009518C4"/>
    <w:rsid w:val="00953058"/>
    <w:rsid w:val="009551EC"/>
    <w:rsid w:val="00956FE3"/>
    <w:rsid w:val="009578A7"/>
    <w:rsid w:val="00957FAC"/>
    <w:rsid w:val="00960ED9"/>
    <w:rsid w:val="00961133"/>
    <w:rsid w:val="0096133C"/>
    <w:rsid w:val="009620FE"/>
    <w:rsid w:val="009624BC"/>
    <w:rsid w:val="009632AD"/>
    <w:rsid w:val="009636BB"/>
    <w:rsid w:val="00965809"/>
    <w:rsid w:val="009658BC"/>
    <w:rsid w:val="00966E30"/>
    <w:rsid w:val="00966E70"/>
    <w:rsid w:val="0096702C"/>
    <w:rsid w:val="00967415"/>
    <w:rsid w:val="00967D07"/>
    <w:rsid w:val="00967F88"/>
    <w:rsid w:val="00971EF7"/>
    <w:rsid w:val="009727A9"/>
    <w:rsid w:val="00973AE6"/>
    <w:rsid w:val="009751DF"/>
    <w:rsid w:val="00977495"/>
    <w:rsid w:val="00977A35"/>
    <w:rsid w:val="00977E97"/>
    <w:rsid w:val="00980376"/>
    <w:rsid w:val="00980687"/>
    <w:rsid w:val="00980A19"/>
    <w:rsid w:val="00980B3D"/>
    <w:rsid w:val="009813B3"/>
    <w:rsid w:val="00982082"/>
    <w:rsid w:val="0098277E"/>
    <w:rsid w:val="00983A85"/>
    <w:rsid w:val="00984382"/>
    <w:rsid w:val="0098491C"/>
    <w:rsid w:val="00984E97"/>
    <w:rsid w:val="009863C3"/>
    <w:rsid w:val="00986897"/>
    <w:rsid w:val="00986C88"/>
    <w:rsid w:val="00987B78"/>
    <w:rsid w:val="00990BD9"/>
    <w:rsid w:val="009930C6"/>
    <w:rsid w:val="00993BD3"/>
    <w:rsid w:val="00994A8A"/>
    <w:rsid w:val="009A0DA9"/>
    <w:rsid w:val="009A1B5E"/>
    <w:rsid w:val="009A2232"/>
    <w:rsid w:val="009A27BC"/>
    <w:rsid w:val="009A2A25"/>
    <w:rsid w:val="009A3232"/>
    <w:rsid w:val="009A3B4F"/>
    <w:rsid w:val="009A3E56"/>
    <w:rsid w:val="009A4052"/>
    <w:rsid w:val="009A447E"/>
    <w:rsid w:val="009A4A29"/>
    <w:rsid w:val="009A7704"/>
    <w:rsid w:val="009B14D9"/>
    <w:rsid w:val="009B1830"/>
    <w:rsid w:val="009B20ED"/>
    <w:rsid w:val="009B2587"/>
    <w:rsid w:val="009B2660"/>
    <w:rsid w:val="009B4BDF"/>
    <w:rsid w:val="009B5E18"/>
    <w:rsid w:val="009B6CE1"/>
    <w:rsid w:val="009C0331"/>
    <w:rsid w:val="009C091A"/>
    <w:rsid w:val="009C0E41"/>
    <w:rsid w:val="009C107C"/>
    <w:rsid w:val="009C2336"/>
    <w:rsid w:val="009C43AB"/>
    <w:rsid w:val="009C4638"/>
    <w:rsid w:val="009C4BC2"/>
    <w:rsid w:val="009C5656"/>
    <w:rsid w:val="009C5D39"/>
    <w:rsid w:val="009C5E44"/>
    <w:rsid w:val="009D041A"/>
    <w:rsid w:val="009D1197"/>
    <w:rsid w:val="009D1531"/>
    <w:rsid w:val="009D1C9E"/>
    <w:rsid w:val="009D31B5"/>
    <w:rsid w:val="009D3242"/>
    <w:rsid w:val="009D5353"/>
    <w:rsid w:val="009D6469"/>
    <w:rsid w:val="009D6BFC"/>
    <w:rsid w:val="009D717D"/>
    <w:rsid w:val="009D71CF"/>
    <w:rsid w:val="009E0136"/>
    <w:rsid w:val="009E0E4A"/>
    <w:rsid w:val="009E101F"/>
    <w:rsid w:val="009E141D"/>
    <w:rsid w:val="009E2133"/>
    <w:rsid w:val="009E2AA3"/>
    <w:rsid w:val="009E4B9F"/>
    <w:rsid w:val="009E56D9"/>
    <w:rsid w:val="009E65B6"/>
    <w:rsid w:val="009E6C06"/>
    <w:rsid w:val="009E7EBF"/>
    <w:rsid w:val="009F0240"/>
    <w:rsid w:val="009F36A8"/>
    <w:rsid w:val="009F39CA"/>
    <w:rsid w:val="009F3D43"/>
    <w:rsid w:val="009F4613"/>
    <w:rsid w:val="009F4CD0"/>
    <w:rsid w:val="009F58B2"/>
    <w:rsid w:val="009F5A3E"/>
    <w:rsid w:val="009F5D3B"/>
    <w:rsid w:val="009F5EA7"/>
    <w:rsid w:val="009F6611"/>
    <w:rsid w:val="009F6EDC"/>
    <w:rsid w:val="009F73B5"/>
    <w:rsid w:val="00A00A0F"/>
    <w:rsid w:val="00A0128B"/>
    <w:rsid w:val="00A04528"/>
    <w:rsid w:val="00A06228"/>
    <w:rsid w:val="00A0650B"/>
    <w:rsid w:val="00A0720C"/>
    <w:rsid w:val="00A07748"/>
    <w:rsid w:val="00A108A7"/>
    <w:rsid w:val="00A12442"/>
    <w:rsid w:val="00A127CA"/>
    <w:rsid w:val="00A147ED"/>
    <w:rsid w:val="00A16729"/>
    <w:rsid w:val="00A167C9"/>
    <w:rsid w:val="00A16BEB"/>
    <w:rsid w:val="00A16CC9"/>
    <w:rsid w:val="00A2095B"/>
    <w:rsid w:val="00A21307"/>
    <w:rsid w:val="00A2186B"/>
    <w:rsid w:val="00A22701"/>
    <w:rsid w:val="00A22B6E"/>
    <w:rsid w:val="00A2320D"/>
    <w:rsid w:val="00A2334D"/>
    <w:rsid w:val="00A26247"/>
    <w:rsid w:val="00A26338"/>
    <w:rsid w:val="00A320C3"/>
    <w:rsid w:val="00A34348"/>
    <w:rsid w:val="00A34959"/>
    <w:rsid w:val="00A360C5"/>
    <w:rsid w:val="00A37073"/>
    <w:rsid w:val="00A42062"/>
    <w:rsid w:val="00A42667"/>
    <w:rsid w:val="00A449F6"/>
    <w:rsid w:val="00A44A40"/>
    <w:rsid w:val="00A44F02"/>
    <w:rsid w:val="00A45BDC"/>
    <w:rsid w:val="00A46691"/>
    <w:rsid w:val="00A46B30"/>
    <w:rsid w:val="00A46D71"/>
    <w:rsid w:val="00A50001"/>
    <w:rsid w:val="00A506F6"/>
    <w:rsid w:val="00A52E89"/>
    <w:rsid w:val="00A542CE"/>
    <w:rsid w:val="00A54489"/>
    <w:rsid w:val="00A56343"/>
    <w:rsid w:val="00A60747"/>
    <w:rsid w:val="00A61B3A"/>
    <w:rsid w:val="00A61CDF"/>
    <w:rsid w:val="00A628A1"/>
    <w:rsid w:val="00A6435E"/>
    <w:rsid w:val="00A646F7"/>
    <w:rsid w:val="00A65D2E"/>
    <w:rsid w:val="00A65E68"/>
    <w:rsid w:val="00A6639B"/>
    <w:rsid w:val="00A66865"/>
    <w:rsid w:val="00A66C0B"/>
    <w:rsid w:val="00A67AF9"/>
    <w:rsid w:val="00A704D4"/>
    <w:rsid w:val="00A7054D"/>
    <w:rsid w:val="00A710AD"/>
    <w:rsid w:val="00A74605"/>
    <w:rsid w:val="00A74866"/>
    <w:rsid w:val="00A74C32"/>
    <w:rsid w:val="00A74C68"/>
    <w:rsid w:val="00A764CB"/>
    <w:rsid w:val="00A764D3"/>
    <w:rsid w:val="00A7757F"/>
    <w:rsid w:val="00A77D6D"/>
    <w:rsid w:val="00A81F86"/>
    <w:rsid w:val="00A8368A"/>
    <w:rsid w:val="00A83F9E"/>
    <w:rsid w:val="00A86E14"/>
    <w:rsid w:val="00A87D7C"/>
    <w:rsid w:val="00A910B9"/>
    <w:rsid w:val="00A9183A"/>
    <w:rsid w:val="00A91AF1"/>
    <w:rsid w:val="00A91EAB"/>
    <w:rsid w:val="00A925B0"/>
    <w:rsid w:val="00A93003"/>
    <w:rsid w:val="00A94732"/>
    <w:rsid w:val="00A94F5D"/>
    <w:rsid w:val="00A95789"/>
    <w:rsid w:val="00A95EF4"/>
    <w:rsid w:val="00A97291"/>
    <w:rsid w:val="00AA034C"/>
    <w:rsid w:val="00AA0D96"/>
    <w:rsid w:val="00AA108C"/>
    <w:rsid w:val="00AA10EB"/>
    <w:rsid w:val="00AA1FAC"/>
    <w:rsid w:val="00AA459F"/>
    <w:rsid w:val="00AA50FF"/>
    <w:rsid w:val="00AA55CF"/>
    <w:rsid w:val="00AA5D9D"/>
    <w:rsid w:val="00AA5F5B"/>
    <w:rsid w:val="00AA60FD"/>
    <w:rsid w:val="00AA614D"/>
    <w:rsid w:val="00AA62EC"/>
    <w:rsid w:val="00AA6729"/>
    <w:rsid w:val="00AA6733"/>
    <w:rsid w:val="00AA689B"/>
    <w:rsid w:val="00AA6FE2"/>
    <w:rsid w:val="00AB000E"/>
    <w:rsid w:val="00AB01F7"/>
    <w:rsid w:val="00AB0567"/>
    <w:rsid w:val="00AB149C"/>
    <w:rsid w:val="00AB1ABE"/>
    <w:rsid w:val="00AB3059"/>
    <w:rsid w:val="00AB32D9"/>
    <w:rsid w:val="00AB57B6"/>
    <w:rsid w:val="00AB5AE7"/>
    <w:rsid w:val="00AB7B96"/>
    <w:rsid w:val="00AC0C9A"/>
    <w:rsid w:val="00AC13D7"/>
    <w:rsid w:val="00AC17FA"/>
    <w:rsid w:val="00AC182E"/>
    <w:rsid w:val="00AC1830"/>
    <w:rsid w:val="00AC20FE"/>
    <w:rsid w:val="00AC2765"/>
    <w:rsid w:val="00AC45B4"/>
    <w:rsid w:val="00AC4BEA"/>
    <w:rsid w:val="00AC7318"/>
    <w:rsid w:val="00AC7909"/>
    <w:rsid w:val="00AC7ABB"/>
    <w:rsid w:val="00AC7FF2"/>
    <w:rsid w:val="00AD05DE"/>
    <w:rsid w:val="00AD228C"/>
    <w:rsid w:val="00AD27C2"/>
    <w:rsid w:val="00AD3312"/>
    <w:rsid w:val="00AD40A6"/>
    <w:rsid w:val="00AD44D3"/>
    <w:rsid w:val="00AD4D78"/>
    <w:rsid w:val="00AD5C03"/>
    <w:rsid w:val="00AD6714"/>
    <w:rsid w:val="00AD77E8"/>
    <w:rsid w:val="00AD7E87"/>
    <w:rsid w:val="00AD7FB5"/>
    <w:rsid w:val="00AE0805"/>
    <w:rsid w:val="00AE17F7"/>
    <w:rsid w:val="00AE3E58"/>
    <w:rsid w:val="00AE423B"/>
    <w:rsid w:val="00AF0A7D"/>
    <w:rsid w:val="00AF0B97"/>
    <w:rsid w:val="00AF2F1E"/>
    <w:rsid w:val="00AF384D"/>
    <w:rsid w:val="00AF4BE1"/>
    <w:rsid w:val="00AF50CF"/>
    <w:rsid w:val="00AF53EB"/>
    <w:rsid w:val="00AF59AF"/>
    <w:rsid w:val="00B00FBC"/>
    <w:rsid w:val="00B0353F"/>
    <w:rsid w:val="00B0447B"/>
    <w:rsid w:val="00B050DE"/>
    <w:rsid w:val="00B05653"/>
    <w:rsid w:val="00B0568C"/>
    <w:rsid w:val="00B05DBB"/>
    <w:rsid w:val="00B06B16"/>
    <w:rsid w:val="00B07C63"/>
    <w:rsid w:val="00B07D91"/>
    <w:rsid w:val="00B10FB2"/>
    <w:rsid w:val="00B12372"/>
    <w:rsid w:val="00B126F7"/>
    <w:rsid w:val="00B133ED"/>
    <w:rsid w:val="00B1352B"/>
    <w:rsid w:val="00B13816"/>
    <w:rsid w:val="00B143C5"/>
    <w:rsid w:val="00B14461"/>
    <w:rsid w:val="00B15087"/>
    <w:rsid w:val="00B162D2"/>
    <w:rsid w:val="00B164C2"/>
    <w:rsid w:val="00B1661F"/>
    <w:rsid w:val="00B16A1B"/>
    <w:rsid w:val="00B214F1"/>
    <w:rsid w:val="00B218C2"/>
    <w:rsid w:val="00B21C8C"/>
    <w:rsid w:val="00B22FA1"/>
    <w:rsid w:val="00B23093"/>
    <w:rsid w:val="00B23C3B"/>
    <w:rsid w:val="00B23DEA"/>
    <w:rsid w:val="00B24D67"/>
    <w:rsid w:val="00B30598"/>
    <w:rsid w:val="00B30876"/>
    <w:rsid w:val="00B3159E"/>
    <w:rsid w:val="00B31EDD"/>
    <w:rsid w:val="00B3306C"/>
    <w:rsid w:val="00B334AC"/>
    <w:rsid w:val="00B33C2C"/>
    <w:rsid w:val="00B351D5"/>
    <w:rsid w:val="00B35CA0"/>
    <w:rsid w:val="00B40111"/>
    <w:rsid w:val="00B402F3"/>
    <w:rsid w:val="00B409BF"/>
    <w:rsid w:val="00B40E54"/>
    <w:rsid w:val="00B424B2"/>
    <w:rsid w:val="00B42E3C"/>
    <w:rsid w:val="00B450D8"/>
    <w:rsid w:val="00B454AF"/>
    <w:rsid w:val="00B45BF1"/>
    <w:rsid w:val="00B4675A"/>
    <w:rsid w:val="00B47018"/>
    <w:rsid w:val="00B477C8"/>
    <w:rsid w:val="00B47FE9"/>
    <w:rsid w:val="00B50B3C"/>
    <w:rsid w:val="00B51550"/>
    <w:rsid w:val="00B51CE7"/>
    <w:rsid w:val="00B52385"/>
    <w:rsid w:val="00B5301E"/>
    <w:rsid w:val="00B539C9"/>
    <w:rsid w:val="00B54308"/>
    <w:rsid w:val="00B5475E"/>
    <w:rsid w:val="00B56103"/>
    <w:rsid w:val="00B566BA"/>
    <w:rsid w:val="00B573C5"/>
    <w:rsid w:val="00B57B6F"/>
    <w:rsid w:val="00B602E2"/>
    <w:rsid w:val="00B61683"/>
    <w:rsid w:val="00B62F5F"/>
    <w:rsid w:val="00B63F1E"/>
    <w:rsid w:val="00B65054"/>
    <w:rsid w:val="00B65258"/>
    <w:rsid w:val="00B656C8"/>
    <w:rsid w:val="00B65D7F"/>
    <w:rsid w:val="00B67280"/>
    <w:rsid w:val="00B676DB"/>
    <w:rsid w:val="00B67F45"/>
    <w:rsid w:val="00B70A9B"/>
    <w:rsid w:val="00B71566"/>
    <w:rsid w:val="00B7182D"/>
    <w:rsid w:val="00B72EA9"/>
    <w:rsid w:val="00B7333E"/>
    <w:rsid w:val="00B7381D"/>
    <w:rsid w:val="00B747C3"/>
    <w:rsid w:val="00B775E0"/>
    <w:rsid w:val="00B779B4"/>
    <w:rsid w:val="00B80882"/>
    <w:rsid w:val="00B82AA2"/>
    <w:rsid w:val="00B82EF4"/>
    <w:rsid w:val="00B83DEB"/>
    <w:rsid w:val="00B84EE0"/>
    <w:rsid w:val="00B87109"/>
    <w:rsid w:val="00B87C21"/>
    <w:rsid w:val="00B9075F"/>
    <w:rsid w:val="00B91073"/>
    <w:rsid w:val="00B91CA5"/>
    <w:rsid w:val="00B93B00"/>
    <w:rsid w:val="00B94A3B"/>
    <w:rsid w:val="00B96DB4"/>
    <w:rsid w:val="00B97DF2"/>
    <w:rsid w:val="00BA0601"/>
    <w:rsid w:val="00BA06AE"/>
    <w:rsid w:val="00BA1182"/>
    <w:rsid w:val="00BA20A9"/>
    <w:rsid w:val="00BA2931"/>
    <w:rsid w:val="00BA5AE7"/>
    <w:rsid w:val="00BA610F"/>
    <w:rsid w:val="00BB00C7"/>
    <w:rsid w:val="00BB155A"/>
    <w:rsid w:val="00BB1BC1"/>
    <w:rsid w:val="00BB2497"/>
    <w:rsid w:val="00BB7222"/>
    <w:rsid w:val="00BB7487"/>
    <w:rsid w:val="00BC09B0"/>
    <w:rsid w:val="00BC1505"/>
    <w:rsid w:val="00BC223A"/>
    <w:rsid w:val="00BC312D"/>
    <w:rsid w:val="00BC4939"/>
    <w:rsid w:val="00BC5984"/>
    <w:rsid w:val="00BC615B"/>
    <w:rsid w:val="00BC63DD"/>
    <w:rsid w:val="00BC641F"/>
    <w:rsid w:val="00BD1A06"/>
    <w:rsid w:val="00BD4E9F"/>
    <w:rsid w:val="00BD51DA"/>
    <w:rsid w:val="00BD525F"/>
    <w:rsid w:val="00BD5FE9"/>
    <w:rsid w:val="00BE151F"/>
    <w:rsid w:val="00BE1525"/>
    <w:rsid w:val="00BE1A07"/>
    <w:rsid w:val="00BE2AC6"/>
    <w:rsid w:val="00BE2E2A"/>
    <w:rsid w:val="00BE3D9C"/>
    <w:rsid w:val="00BE4496"/>
    <w:rsid w:val="00BE4597"/>
    <w:rsid w:val="00BE70CC"/>
    <w:rsid w:val="00BE72E0"/>
    <w:rsid w:val="00BE7DE0"/>
    <w:rsid w:val="00BF066D"/>
    <w:rsid w:val="00BF2F8A"/>
    <w:rsid w:val="00BF36AE"/>
    <w:rsid w:val="00BF4F23"/>
    <w:rsid w:val="00BF509E"/>
    <w:rsid w:val="00BF66AB"/>
    <w:rsid w:val="00C0146D"/>
    <w:rsid w:val="00C01F83"/>
    <w:rsid w:val="00C05D3D"/>
    <w:rsid w:val="00C061EF"/>
    <w:rsid w:val="00C06E55"/>
    <w:rsid w:val="00C107B4"/>
    <w:rsid w:val="00C10975"/>
    <w:rsid w:val="00C10C24"/>
    <w:rsid w:val="00C10D28"/>
    <w:rsid w:val="00C1219A"/>
    <w:rsid w:val="00C12910"/>
    <w:rsid w:val="00C1318C"/>
    <w:rsid w:val="00C15715"/>
    <w:rsid w:val="00C169BC"/>
    <w:rsid w:val="00C22DEB"/>
    <w:rsid w:val="00C22F56"/>
    <w:rsid w:val="00C2382A"/>
    <w:rsid w:val="00C24200"/>
    <w:rsid w:val="00C24406"/>
    <w:rsid w:val="00C24581"/>
    <w:rsid w:val="00C25A97"/>
    <w:rsid w:val="00C26046"/>
    <w:rsid w:val="00C27276"/>
    <w:rsid w:val="00C27643"/>
    <w:rsid w:val="00C30712"/>
    <w:rsid w:val="00C32ADE"/>
    <w:rsid w:val="00C344DA"/>
    <w:rsid w:val="00C34B37"/>
    <w:rsid w:val="00C3595C"/>
    <w:rsid w:val="00C36856"/>
    <w:rsid w:val="00C37085"/>
    <w:rsid w:val="00C409BA"/>
    <w:rsid w:val="00C41047"/>
    <w:rsid w:val="00C41114"/>
    <w:rsid w:val="00C428D0"/>
    <w:rsid w:val="00C433A7"/>
    <w:rsid w:val="00C43533"/>
    <w:rsid w:val="00C43615"/>
    <w:rsid w:val="00C436B5"/>
    <w:rsid w:val="00C45F07"/>
    <w:rsid w:val="00C47297"/>
    <w:rsid w:val="00C502F6"/>
    <w:rsid w:val="00C51D4C"/>
    <w:rsid w:val="00C52676"/>
    <w:rsid w:val="00C530DA"/>
    <w:rsid w:val="00C53711"/>
    <w:rsid w:val="00C541CC"/>
    <w:rsid w:val="00C553C5"/>
    <w:rsid w:val="00C559D4"/>
    <w:rsid w:val="00C56024"/>
    <w:rsid w:val="00C56B7A"/>
    <w:rsid w:val="00C578DB"/>
    <w:rsid w:val="00C579AF"/>
    <w:rsid w:val="00C60F2B"/>
    <w:rsid w:val="00C6328A"/>
    <w:rsid w:val="00C6352D"/>
    <w:rsid w:val="00C649ED"/>
    <w:rsid w:val="00C64C8C"/>
    <w:rsid w:val="00C65FF7"/>
    <w:rsid w:val="00C66566"/>
    <w:rsid w:val="00C67649"/>
    <w:rsid w:val="00C67E2F"/>
    <w:rsid w:val="00C70205"/>
    <w:rsid w:val="00C706F3"/>
    <w:rsid w:val="00C70763"/>
    <w:rsid w:val="00C715D8"/>
    <w:rsid w:val="00C71BD8"/>
    <w:rsid w:val="00C73461"/>
    <w:rsid w:val="00C749EF"/>
    <w:rsid w:val="00C7617E"/>
    <w:rsid w:val="00C7730D"/>
    <w:rsid w:val="00C805B9"/>
    <w:rsid w:val="00C80D2E"/>
    <w:rsid w:val="00C821A0"/>
    <w:rsid w:val="00C824AA"/>
    <w:rsid w:val="00C82FCA"/>
    <w:rsid w:val="00C835DA"/>
    <w:rsid w:val="00C84C42"/>
    <w:rsid w:val="00C84F2D"/>
    <w:rsid w:val="00C851BA"/>
    <w:rsid w:val="00C85E8D"/>
    <w:rsid w:val="00C86424"/>
    <w:rsid w:val="00C86B2F"/>
    <w:rsid w:val="00C87A9B"/>
    <w:rsid w:val="00C90AE0"/>
    <w:rsid w:val="00C93868"/>
    <w:rsid w:val="00C93D89"/>
    <w:rsid w:val="00C94F98"/>
    <w:rsid w:val="00C95304"/>
    <w:rsid w:val="00C954A0"/>
    <w:rsid w:val="00C954E3"/>
    <w:rsid w:val="00C95B4A"/>
    <w:rsid w:val="00C96FFA"/>
    <w:rsid w:val="00C9711E"/>
    <w:rsid w:val="00CA0271"/>
    <w:rsid w:val="00CA1114"/>
    <w:rsid w:val="00CA2A97"/>
    <w:rsid w:val="00CA2B6C"/>
    <w:rsid w:val="00CA317F"/>
    <w:rsid w:val="00CA3389"/>
    <w:rsid w:val="00CA5FF8"/>
    <w:rsid w:val="00CA6CBA"/>
    <w:rsid w:val="00CA7AC5"/>
    <w:rsid w:val="00CB0491"/>
    <w:rsid w:val="00CB079C"/>
    <w:rsid w:val="00CB10E9"/>
    <w:rsid w:val="00CB29BC"/>
    <w:rsid w:val="00CB55F6"/>
    <w:rsid w:val="00CB561C"/>
    <w:rsid w:val="00CB5683"/>
    <w:rsid w:val="00CB6D10"/>
    <w:rsid w:val="00CC0214"/>
    <w:rsid w:val="00CC02E7"/>
    <w:rsid w:val="00CC0B77"/>
    <w:rsid w:val="00CC1025"/>
    <w:rsid w:val="00CC17D9"/>
    <w:rsid w:val="00CC247F"/>
    <w:rsid w:val="00CC2835"/>
    <w:rsid w:val="00CC296D"/>
    <w:rsid w:val="00CC2BC5"/>
    <w:rsid w:val="00CC48E6"/>
    <w:rsid w:val="00CC4C30"/>
    <w:rsid w:val="00CC4E09"/>
    <w:rsid w:val="00CC6CE0"/>
    <w:rsid w:val="00CC7C56"/>
    <w:rsid w:val="00CC7FDA"/>
    <w:rsid w:val="00CD001C"/>
    <w:rsid w:val="00CD2398"/>
    <w:rsid w:val="00CD3320"/>
    <w:rsid w:val="00CD5DC1"/>
    <w:rsid w:val="00CD6369"/>
    <w:rsid w:val="00CD758E"/>
    <w:rsid w:val="00CD7E47"/>
    <w:rsid w:val="00CE0ADF"/>
    <w:rsid w:val="00CE14CC"/>
    <w:rsid w:val="00CE18F0"/>
    <w:rsid w:val="00CE22A1"/>
    <w:rsid w:val="00CE24D5"/>
    <w:rsid w:val="00CE48B6"/>
    <w:rsid w:val="00CE4B26"/>
    <w:rsid w:val="00CE60C5"/>
    <w:rsid w:val="00CE62C6"/>
    <w:rsid w:val="00CE749D"/>
    <w:rsid w:val="00CE789F"/>
    <w:rsid w:val="00CF2D24"/>
    <w:rsid w:val="00CF2F85"/>
    <w:rsid w:val="00CF3593"/>
    <w:rsid w:val="00CF4CDA"/>
    <w:rsid w:val="00CF53A4"/>
    <w:rsid w:val="00CF579C"/>
    <w:rsid w:val="00CF5F4E"/>
    <w:rsid w:val="00CF6199"/>
    <w:rsid w:val="00CF66B4"/>
    <w:rsid w:val="00CF762D"/>
    <w:rsid w:val="00CF7982"/>
    <w:rsid w:val="00D01235"/>
    <w:rsid w:val="00D0143D"/>
    <w:rsid w:val="00D0267B"/>
    <w:rsid w:val="00D038FA"/>
    <w:rsid w:val="00D0391A"/>
    <w:rsid w:val="00D04E76"/>
    <w:rsid w:val="00D0675E"/>
    <w:rsid w:val="00D10CCA"/>
    <w:rsid w:val="00D10E26"/>
    <w:rsid w:val="00D11221"/>
    <w:rsid w:val="00D11644"/>
    <w:rsid w:val="00D138B2"/>
    <w:rsid w:val="00D1597E"/>
    <w:rsid w:val="00D160BF"/>
    <w:rsid w:val="00D168F7"/>
    <w:rsid w:val="00D16D70"/>
    <w:rsid w:val="00D17527"/>
    <w:rsid w:val="00D20B77"/>
    <w:rsid w:val="00D225C8"/>
    <w:rsid w:val="00D2268C"/>
    <w:rsid w:val="00D24B6F"/>
    <w:rsid w:val="00D24E2E"/>
    <w:rsid w:val="00D26418"/>
    <w:rsid w:val="00D26D3E"/>
    <w:rsid w:val="00D30641"/>
    <w:rsid w:val="00D30847"/>
    <w:rsid w:val="00D32F8D"/>
    <w:rsid w:val="00D33AD0"/>
    <w:rsid w:val="00D34236"/>
    <w:rsid w:val="00D346F8"/>
    <w:rsid w:val="00D34809"/>
    <w:rsid w:val="00D35DFD"/>
    <w:rsid w:val="00D36EE6"/>
    <w:rsid w:val="00D37736"/>
    <w:rsid w:val="00D400C4"/>
    <w:rsid w:val="00D40D2A"/>
    <w:rsid w:val="00D40E78"/>
    <w:rsid w:val="00D41C1C"/>
    <w:rsid w:val="00D41E60"/>
    <w:rsid w:val="00D42CF2"/>
    <w:rsid w:val="00D43CE3"/>
    <w:rsid w:val="00D4446F"/>
    <w:rsid w:val="00D44941"/>
    <w:rsid w:val="00D468CC"/>
    <w:rsid w:val="00D47514"/>
    <w:rsid w:val="00D530E1"/>
    <w:rsid w:val="00D53689"/>
    <w:rsid w:val="00D53C3C"/>
    <w:rsid w:val="00D57C31"/>
    <w:rsid w:val="00D57ED4"/>
    <w:rsid w:val="00D600DE"/>
    <w:rsid w:val="00D61A10"/>
    <w:rsid w:val="00D62084"/>
    <w:rsid w:val="00D6242E"/>
    <w:rsid w:val="00D63FD8"/>
    <w:rsid w:val="00D6476D"/>
    <w:rsid w:val="00D64A52"/>
    <w:rsid w:val="00D6537D"/>
    <w:rsid w:val="00D65842"/>
    <w:rsid w:val="00D678EA"/>
    <w:rsid w:val="00D67EE3"/>
    <w:rsid w:val="00D701E4"/>
    <w:rsid w:val="00D70C1A"/>
    <w:rsid w:val="00D70D72"/>
    <w:rsid w:val="00D71CB4"/>
    <w:rsid w:val="00D7241E"/>
    <w:rsid w:val="00D7287E"/>
    <w:rsid w:val="00D728B5"/>
    <w:rsid w:val="00D72CA9"/>
    <w:rsid w:val="00D75A1B"/>
    <w:rsid w:val="00D75B21"/>
    <w:rsid w:val="00D77142"/>
    <w:rsid w:val="00D802AB"/>
    <w:rsid w:val="00D82582"/>
    <w:rsid w:val="00D82DD8"/>
    <w:rsid w:val="00D838EC"/>
    <w:rsid w:val="00D83AAD"/>
    <w:rsid w:val="00D86E1C"/>
    <w:rsid w:val="00D90826"/>
    <w:rsid w:val="00D9087C"/>
    <w:rsid w:val="00D90F41"/>
    <w:rsid w:val="00D925F1"/>
    <w:rsid w:val="00D931C2"/>
    <w:rsid w:val="00D94073"/>
    <w:rsid w:val="00D9595E"/>
    <w:rsid w:val="00D96394"/>
    <w:rsid w:val="00D97AE1"/>
    <w:rsid w:val="00D97B7B"/>
    <w:rsid w:val="00DA0D70"/>
    <w:rsid w:val="00DA1701"/>
    <w:rsid w:val="00DA44FF"/>
    <w:rsid w:val="00DA490D"/>
    <w:rsid w:val="00DA4B39"/>
    <w:rsid w:val="00DA54BB"/>
    <w:rsid w:val="00DA5D5F"/>
    <w:rsid w:val="00DA73D2"/>
    <w:rsid w:val="00DA773B"/>
    <w:rsid w:val="00DB17CF"/>
    <w:rsid w:val="00DB1B05"/>
    <w:rsid w:val="00DB2989"/>
    <w:rsid w:val="00DB2FF3"/>
    <w:rsid w:val="00DB42A5"/>
    <w:rsid w:val="00DB5498"/>
    <w:rsid w:val="00DB5D8A"/>
    <w:rsid w:val="00DB6079"/>
    <w:rsid w:val="00DC1F0E"/>
    <w:rsid w:val="00DC2216"/>
    <w:rsid w:val="00DC2278"/>
    <w:rsid w:val="00DC3700"/>
    <w:rsid w:val="00DC4CC6"/>
    <w:rsid w:val="00DC4CC7"/>
    <w:rsid w:val="00DC512F"/>
    <w:rsid w:val="00DC6F10"/>
    <w:rsid w:val="00DD01BA"/>
    <w:rsid w:val="00DD438A"/>
    <w:rsid w:val="00DD5977"/>
    <w:rsid w:val="00DD5E7E"/>
    <w:rsid w:val="00DD7842"/>
    <w:rsid w:val="00DE00AD"/>
    <w:rsid w:val="00DE4659"/>
    <w:rsid w:val="00DE5520"/>
    <w:rsid w:val="00DE7E83"/>
    <w:rsid w:val="00DF0EEF"/>
    <w:rsid w:val="00DF1727"/>
    <w:rsid w:val="00DF2662"/>
    <w:rsid w:val="00DF26AE"/>
    <w:rsid w:val="00DF4FB9"/>
    <w:rsid w:val="00DF66DA"/>
    <w:rsid w:val="00DF743C"/>
    <w:rsid w:val="00E00561"/>
    <w:rsid w:val="00E008E8"/>
    <w:rsid w:val="00E01435"/>
    <w:rsid w:val="00E03A77"/>
    <w:rsid w:val="00E03B41"/>
    <w:rsid w:val="00E0417A"/>
    <w:rsid w:val="00E0519E"/>
    <w:rsid w:val="00E05E63"/>
    <w:rsid w:val="00E063B3"/>
    <w:rsid w:val="00E069B3"/>
    <w:rsid w:val="00E110A7"/>
    <w:rsid w:val="00E114FE"/>
    <w:rsid w:val="00E11C29"/>
    <w:rsid w:val="00E11F38"/>
    <w:rsid w:val="00E12422"/>
    <w:rsid w:val="00E1297E"/>
    <w:rsid w:val="00E12ED5"/>
    <w:rsid w:val="00E13AD5"/>
    <w:rsid w:val="00E1400D"/>
    <w:rsid w:val="00E14082"/>
    <w:rsid w:val="00E1439C"/>
    <w:rsid w:val="00E14403"/>
    <w:rsid w:val="00E1460E"/>
    <w:rsid w:val="00E14D44"/>
    <w:rsid w:val="00E1564E"/>
    <w:rsid w:val="00E161B1"/>
    <w:rsid w:val="00E168AB"/>
    <w:rsid w:val="00E17461"/>
    <w:rsid w:val="00E17B6E"/>
    <w:rsid w:val="00E20FAC"/>
    <w:rsid w:val="00E214CB"/>
    <w:rsid w:val="00E21C4D"/>
    <w:rsid w:val="00E2209F"/>
    <w:rsid w:val="00E24C40"/>
    <w:rsid w:val="00E2564F"/>
    <w:rsid w:val="00E25D14"/>
    <w:rsid w:val="00E276C1"/>
    <w:rsid w:val="00E27B67"/>
    <w:rsid w:val="00E27CF9"/>
    <w:rsid w:val="00E30710"/>
    <w:rsid w:val="00E3072B"/>
    <w:rsid w:val="00E30F3C"/>
    <w:rsid w:val="00E31453"/>
    <w:rsid w:val="00E32890"/>
    <w:rsid w:val="00E32B10"/>
    <w:rsid w:val="00E33885"/>
    <w:rsid w:val="00E342B9"/>
    <w:rsid w:val="00E35632"/>
    <w:rsid w:val="00E35D56"/>
    <w:rsid w:val="00E35F34"/>
    <w:rsid w:val="00E37E48"/>
    <w:rsid w:val="00E37E59"/>
    <w:rsid w:val="00E40D42"/>
    <w:rsid w:val="00E41044"/>
    <w:rsid w:val="00E41701"/>
    <w:rsid w:val="00E41EBA"/>
    <w:rsid w:val="00E43225"/>
    <w:rsid w:val="00E433B5"/>
    <w:rsid w:val="00E43B42"/>
    <w:rsid w:val="00E45EBA"/>
    <w:rsid w:val="00E45FF3"/>
    <w:rsid w:val="00E503B9"/>
    <w:rsid w:val="00E50AAF"/>
    <w:rsid w:val="00E521B8"/>
    <w:rsid w:val="00E544DC"/>
    <w:rsid w:val="00E54578"/>
    <w:rsid w:val="00E56340"/>
    <w:rsid w:val="00E612CE"/>
    <w:rsid w:val="00E623DA"/>
    <w:rsid w:val="00E624C3"/>
    <w:rsid w:val="00E62642"/>
    <w:rsid w:val="00E62921"/>
    <w:rsid w:val="00E62F73"/>
    <w:rsid w:val="00E6445D"/>
    <w:rsid w:val="00E64EF1"/>
    <w:rsid w:val="00E65519"/>
    <w:rsid w:val="00E6609B"/>
    <w:rsid w:val="00E672ED"/>
    <w:rsid w:val="00E715D4"/>
    <w:rsid w:val="00E719F5"/>
    <w:rsid w:val="00E720A8"/>
    <w:rsid w:val="00E7255B"/>
    <w:rsid w:val="00E73246"/>
    <w:rsid w:val="00E74456"/>
    <w:rsid w:val="00E74A61"/>
    <w:rsid w:val="00E74C36"/>
    <w:rsid w:val="00E74E47"/>
    <w:rsid w:val="00E76FE2"/>
    <w:rsid w:val="00E8168D"/>
    <w:rsid w:val="00E8287B"/>
    <w:rsid w:val="00E84880"/>
    <w:rsid w:val="00E84AA8"/>
    <w:rsid w:val="00E85FA6"/>
    <w:rsid w:val="00E85FBF"/>
    <w:rsid w:val="00E85FC6"/>
    <w:rsid w:val="00E8616E"/>
    <w:rsid w:val="00E86B35"/>
    <w:rsid w:val="00E879CB"/>
    <w:rsid w:val="00E90151"/>
    <w:rsid w:val="00E90B7F"/>
    <w:rsid w:val="00E917C2"/>
    <w:rsid w:val="00E92F56"/>
    <w:rsid w:val="00E94556"/>
    <w:rsid w:val="00EA19CE"/>
    <w:rsid w:val="00EA1FFE"/>
    <w:rsid w:val="00EA23EF"/>
    <w:rsid w:val="00EA2594"/>
    <w:rsid w:val="00EA5011"/>
    <w:rsid w:val="00EA689D"/>
    <w:rsid w:val="00EA781B"/>
    <w:rsid w:val="00EB033A"/>
    <w:rsid w:val="00EB05B5"/>
    <w:rsid w:val="00EB172A"/>
    <w:rsid w:val="00EB2207"/>
    <w:rsid w:val="00EB2437"/>
    <w:rsid w:val="00EB2B39"/>
    <w:rsid w:val="00EB39B9"/>
    <w:rsid w:val="00EB4113"/>
    <w:rsid w:val="00EB49A1"/>
    <w:rsid w:val="00EB4D14"/>
    <w:rsid w:val="00EB53A5"/>
    <w:rsid w:val="00EB63B6"/>
    <w:rsid w:val="00EB7566"/>
    <w:rsid w:val="00EB76B6"/>
    <w:rsid w:val="00EB7771"/>
    <w:rsid w:val="00EC0301"/>
    <w:rsid w:val="00EC200F"/>
    <w:rsid w:val="00EC328D"/>
    <w:rsid w:val="00EC34C8"/>
    <w:rsid w:val="00EC414F"/>
    <w:rsid w:val="00EC52DF"/>
    <w:rsid w:val="00EC62BB"/>
    <w:rsid w:val="00ED0AF1"/>
    <w:rsid w:val="00ED0BA8"/>
    <w:rsid w:val="00ED0C0A"/>
    <w:rsid w:val="00ED0F0D"/>
    <w:rsid w:val="00ED275C"/>
    <w:rsid w:val="00ED2A09"/>
    <w:rsid w:val="00ED5B62"/>
    <w:rsid w:val="00ED7560"/>
    <w:rsid w:val="00ED7B30"/>
    <w:rsid w:val="00ED7EA7"/>
    <w:rsid w:val="00ED7F95"/>
    <w:rsid w:val="00EE1496"/>
    <w:rsid w:val="00EE252B"/>
    <w:rsid w:val="00EE26F5"/>
    <w:rsid w:val="00EE5343"/>
    <w:rsid w:val="00EE6CD3"/>
    <w:rsid w:val="00EE6ED1"/>
    <w:rsid w:val="00EF0E1A"/>
    <w:rsid w:val="00EF1E41"/>
    <w:rsid w:val="00EF2089"/>
    <w:rsid w:val="00EF21FE"/>
    <w:rsid w:val="00EF2C46"/>
    <w:rsid w:val="00EF35E3"/>
    <w:rsid w:val="00EF4992"/>
    <w:rsid w:val="00EF50DE"/>
    <w:rsid w:val="00EF5F71"/>
    <w:rsid w:val="00EF6A18"/>
    <w:rsid w:val="00EF6D85"/>
    <w:rsid w:val="00EF7DEF"/>
    <w:rsid w:val="00F0004F"/>
    <w:rsid w:val="00F00E76"/>
    <w:rsid w:val="00F01541"/>
    <w:rsid w:val="00F017D9"/>
    <w:rsid w:val="00F024F9"/>
    <w:rsid w:val="00F03A61"/>
    <w:rsid w:val="00F06615"/>
    <w:rsid w:val="00F073EB"/>
    <w:rsid w:val="00F07739"/>
    <w:rsid w:val="00F07E08"/>
    <w:rsid w:val="00F10524"/>
    <w:rsid w:val="00F1101C"/>
    <w:rsid w:val="00F110B4"/>
    <w:rsid w:val="00F11E42"/>
    <w:rsid w:val="00F12126"/>
    <w:rsid w:val="00F124A2"/>
    <w:rsid w:val="00F140D8"/>
    <w:rsid w:val="00F142DE"/>
    <w:rsid w:val="00F1481C"/>
    <w:rsid w:val="00F1603C"/>
    <w:rsid w:val="00F16EA0"/>
    <w:rsid w:val="00F17410"/>
    <w:rsid w:val="00F20277"/>
    <w:rsid w:val="00F2148E"/>
    <w:rsid w:val="00F2174B"/>
    <w:rsid w:val="00F22880"/>
    <w:rsid w:val="00F23650"/>
    <w:rsid w:val="00F2534A"/>
    <w:rsid w:val="00F266AF"/>
    <w:rsid w:val="00F26DB3"/>
    <w:rsid w:val="00F27598"/>
    <w:rsid w:val="00F278FB"/>
    <w:rsid w:val="00F30C9E"/>
    <w:rsid w:val="00F3110D"/>
    <w:rsid w:val="00F31398"/>
    <w:rsid w:val="00F340BD"/>
    <w:rsid w:val="00F3429C"/>
    <w:rsid w:val="00F34B04"/>
    <w:rsid w:val="00F34D0D"/>
    <w:rsid w:val="00F35FDF"/>
    <w:rsid w:val="00F365FA"/>
    <w:rsid w:val="00F36C2F"/>
    <w:rsid w:val="00F36D1C"/>
    <w:rsid w:val="00F3783A"/>
    <w:rsid w:val="00F413B3"/>
    <w:rsid w:val="00F417C9"/>
    <w:rsid w:val="00F418A3"/>
    <w:rsid w:val="00F4395A"/>
    <w:rsid w:val="00F43C18"/>
    <w:rsid w:val="00F44B01"/>
    <w:rsid w:val="00F45C18"/>
    <w:rsid w:val="00F47214"/>
    <w:rsid w:val="00F47678"/>
    <w:rsid w:val="00F52603"/>
    <w:rsid w:val="00F56150"/>
    <w:rsid w:val="00F562C9"/>
    <w:rsid w:val="00F566EB"/>
    <w:rsid w:val="00F56716"/>
    <w:rsid w:val="00F56720"/>
    <w:rsid w:val="00F57FC6"/>
    <w:rsid w:val="00F6016E"/>
    <w:rsid w:val="00F61B98"/>
    <w:rsid w:val="00F61DAB"/>
    <w:rsid w:val="00F62877"/>
    <w:rsid w:val="00F6498F"/>
    <w:rsid w:val="00F6579E"/>
    <w:rsid w:val="00F6689D"/>
    <w:rsid w:val="00F71CDE"/>
    <w:rsid w:val="00F7276D"/>
    <w:rsid w:val="00F73815"/>
    <w:rsid w:val="00F73E85"/>
    <w:rsid w:val="00F745B7"/>
    <w:rsid w:val="00F76F12"/>
    <w:rsid w:val="00F80352"/>
    <w:rsid w:val="00F80AC7"/>
    <w:rsid w:val="00F811A2"/>
    <w:rsid w:val="00F82EF0"/>
    <w:rsid w:val="00F86976"/>
    <w:rsid w:val="00F873FB"/>
    <w:rsid w:val="00F87682"/>
    <w:rsid w:val="00F90ADD"/>
    <w:rsid w:val="00F90E95"/>
    <w:rsid w:val="00F91F69"/>
    <w:rsid w:val="00F926B5"/>
    <w:rsid w:val="00F93218"/>
    <w:rsid w:val="00FA1586"/>
    <w:rsid w:val="00FA3530"/>
    <w:rsid w:val="00FA4F30"/>
    <w:rsid w:val="00FA5638"/>
    <w:rsid w:val="00FA5787"/>
    <w:rsid w:val="00FA60E3"/>
    <w:rsid w:val="00FB0FB6"/>
    <w:rsid w:val="00FB36F3"/>
    <w:rsid w:val="00FB4CFA"/>
    <w:rsid w:val="00FB558D"/>
    <w:rsid w:val="00FB6376"/>
    <w:rsid w:val="00FB6821"/>
    <w:rsid w:val="00FB7862"/>
    <w:rsid w:val="00FC076A"/>
    <w:rsid w:val="00FC0A24"/>
    <w:rsid w:val="00FC3887"/>
    <w:rsid w:val="00FC3A49"/>
    <w:rsid w:val="00FC574A"/>
    <w:rsid w:val="00FC684F"/>
    <w:rsid w:val="00FD06B7"/>
    <w:rsid w:val="00FD08EC"/>
    <w:rsid w:val="00FD29D8"/>
    <w:rsid w:val="00FD4899"/>
    <w:rsid w:val="00FD48B8"/>
    <w:rsid w:val="00FD5DA5"/>
    <w:rsid w:val="00FD6244"/>
    <w:rsid w:val="00FD6705"/>
    <w:rsid w:val="00FD6E7C"/>
    <w:rsid w:val="00FE0647"/>
    <w:rsid w:val="00FE074D"/>
    <w:rsid w:val="00FE0AF6"/>
    <w:rsid w:val="00FE2032"/>
    <w:rsid w:val="00FE21D1"/>
    <w:rsid w:val="00FE3146"/>
    <w:rsid w:val="00FE33B8"/>
    <w:rsid w:val="00FE34A6"/>
    <w:rsid w:val="00FE3A85"/>
    <w:rsid w:val="00FE4A85"/>
    <w:rsid w:val="00FE4B6C"/>
    <w:rsid w:val="00FE5727"/>
    <w:rsid w:val="00FF0461"/>
    <w:rsid w:val="00FF1405"/>
    <w:rsid w:val="00FF18E8"/>
    <w:rsid w:val="00FF1D5D"/>
    <w:rsid w:val="00FF2A02"/>
    <w:rsid w:val="00FF3D2B"/>
    <w:rsid w:val="00FF5468"/>
    <w:rsid w:val="00FF6C2E"/>
    <w:rsid w:val="00FF74C8"/>
    <w:rsid w:val="00FF7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6B3641C"/>
  <w15:chartTrackingRefBased/>
  <w15:docId w15:val="{D3B8D1A8-4541-43E0-A67D-54EC3BEC4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9BD"/>
    <w:pPr>
      <w:spacing w:line="360" w:lineRule="auto"/>
      <w:jc w:val="both"/>
    </w:pPr>
    <w:rPr>
      <w:rFonts w:ascii="Times New Roman" w:hAnsi="Times New Roman"/>
      <w:sz w:val="20"/>
      <w:szCs w:val="24"/>
    </w:rPr>
  </w:style>
  <w:style w:type="paragraph" w:styleId="Heading1">
    <w:name w:val="heading 1"/>
    <w:basedOn w:val="Normal"/>
    <w:next w:val="Normal"/>
    <w:link w:val="Heading1Char"/>
    <w:uiPriority w:val="9"/>
    <w:qFormat/>
    <w:rsid w:val="002619BD"/>
    <w:pPr>
      <w:keepNext/>
      <w:keepLines/>
      <w:spacing w:before="240" w:after="0"/>
      <w:outlineLvl w:val="0"/>
    </w:pPr>
    <w:rPr>
      <w:rFonts w:eastAsiaTheme="majorEastAsia" w:cstheme="majorBidi"/>
      <w:b/>
      <w:sz w:val="24"/>
      <w:szCs w:val="32"/>
    </w:rPr>
  </w:style>
  <w:style w:type="paragraph" w:styleId="Heading2">
    <w:name w:val="heading 2"/>
    <w:basedOn w:val="Heading1"/>
    <w:next w:val="Normal"/>
    <w:link w:val="Heading2Char"/>
    <w:uiPriority w:val="9"/>
    <w:unhideWhenUsed/>
    <w:qFormat/>
    <w:rsid w:val="002619BD"/>
    <w:pPr>
      <w:spacing w:before="40"/>
      <w:outlineLvl w:val="1"/>
    </w:pPr>
    <w:rPr>
      <w:sz w:val="22"/>
      <w:szCs w:val="26"/>
    </w:rPr>
  </w:style>
  <w:style w:type="paragraph" w:styleId="Heading3">
    <w:name w:val="heading 3"/>
    <w:basedOn w:val="Heading2"/>
    <w:next w:val="Normal"/>
    <w:link w:val="Heading3Char"/>
    <w:uiPriority w:val="9"/>
    <w:unhideWhenUsed/>
    <w:qFormat/>
    <w:rsid w:val="000011C4"/>
    <w:pPr>
      <w:outlineLvl w:val="2"/>
    </w:pPr>
    <w:rPr>
      <w:b w:val="0"/>
      <w:szCs w:val="24"/>
    </w:rPr>
  </w:style>
  <w:style w:type="paragraph" w:styleId="Heading4">
    <w:name w:val="heading 4"/>
    <w:basedOn w:val="Normal"/>
    <w:next w:val="Normal"/>
    <w:link w:val="Heading4Char"/>
    <w:uiPriority w:val="9"/>
    <w:unhideWhenUsed/>
    <w:qFormat/>
    <w:rsid w:val="00FF14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229B"/>
    <w:pPr>
      <w:spacing w:after="0" w:line="240" w:lineRule="auto"/>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78229B"/>
    <w:rPr>
      <w:rFonts w:ascii="Times New Roman" w:eastAsiaTheme="majorEastAsia" w:hAnsi="Times New Roman" w:cstheme="majorBidi"/>
      <w:b/>
      <w:spacing w:val="-10"/>
      <w:kern w:val="28"/>
      <w:sz w:val="36"/>
      <w:szCs w:val="56"/>
    </w:rPr>
  </w:style>
  <w:style w:type="character" w:customStyle="1" w:styleId="Heading1Char">
    <w:name w:val="Heading 1 Char"/>
    <w:basedOn w:val="DefaultParagraphFont"/>
    <w:link w:val="Heading1"/>
    <w:uiPriority w:val="9"/>
    <w:rsid w:val="002619BD"/>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2619BD"/>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sid w:val="000011C4"/>
    <w:rPr>
      <w:rFonts w:ascii="Times New Roman" w:eastAsiaTheme="majorEastAsia" w:hAnsi="Times New Roman" w:cstheme="majorBidi"/>
      <w:sz w:val="20"/>
      <w:szCs w:val="24"/>
    </w:rPr>
  </w:style>
  <w:style w:type="character" w:styleId="Hyperlink">
    <w:name w:val="Hyperlink"/>
    <w:uiPriority w:val="99"/>
    <w:unhideWhenUsed/>
    <w:rsid w:val="006245E7"/>
    <w:rPr>
      <w:color w:val="0563C1" w:themeColor="hyperlink"/>
      <w:u w:val="single"/>
    </w:rPr>
  </w:style>
  <w:style w:type="character" w:customStyle="1" w:styleId="UnresolvedMention1">
    <w:name w:val="Unresolved Mention1"/>
    <w:basedOn w:val="DefaultParagraphFont"/>
    <w:uiPriority w:val="99"/>
    <w:semiHidden/>
    <w:unhideWhenUsed/>
    <w:rsid w:val="006245E7"/>
    <w:rPr>
      <w:color w:val="605E5C"/>
      <w:shd w:val="clear" w:color="auto" w:fill="E1DFDD"/>
    </w:rPr>
  </w:style>
  <w:style w:type="paragraph" w:styleId="NoSpacing">
    <w:name w:val="No Spacing"/>
    <w:uiPriority w:val="1"/>
    <w:qFormat/>
    <w:rsid w:val="006245E7"/>
    <w:pPr>
      <w:spacing w:after="0" w:line="240" w:lineRule="auto"/>
    </w:pPr>
  </w:style>
  <w:style w:type="character" w:styleId="CommentReference">
    <w:name w:val="annotation reference"/>
    <w:basedOn w:val="DefaultParagraphFont"/>
    <w:uiPriority w:val="99"/>
    <w:semiHidden/>
    <w:unhideWhenUsed/>
    <w:rsid w:val="005E6E82"/>
    <w:rPr>
      <w:sz w:val="16"/>
      <w:szCs w:val="16"/>
    </w:rPr>
  </w:style>
  <w:style w:type="paragraph" w:styleId="CommentText">
    <w:name w:val="annotation text"/>
    <w:basedOn w:val="Normal"/>
    <w:link w:val="CommentTextChar"/>
    <w:uiPriority w:val="99"/>
    <w:semiHidden/>
    <w:unhideWhenUsed/>
    <w:rsid w:val="005E6E82"/>
    <w:pPr>
      <w:spacing w:line="240" w:lineRule="auto"/>
    </w:pPr>
    <w:rPr>
      <w:szCs w:val="20"/>
    </w:rPr>
  </w:style>
  <w:style w:type="character" w:customStyle="1" w:styleId="CommentTextChar">
    <w:name w:val="Comment Text Char"/>
    <w:basedOn w:val="DefaultParagraphFont"/>
    <w:link w:val="CommentText"/>
    <w:uiPriority w:val="99"/>
    <w:semiHidden/>
    <w:rsid w:val="005E6E82"/>
    <w:rPr>
      <w:sz w:val="20"/>
      <w:szCs w:val="20"/>
    </w:rPr>
  </w:style>
  <w:style w:type="paragraph" w:styleId="CommentSubject">
    <w:name w:val="annotation subject"/>
    <w:basedOn w:val="CommentText"/>
    <w:next w:val="CommentText"/>
    <w:link w:val="CommentSubjectChar"/>
    <w:uiPriority w:val="99"/>
    <w:semiHidden/>
    <w:unhideWhenUsed/>
    <w:rsid w:val="005E6E82"/>
    <w:rPr>
      <w:b/>
      <w:bCs/>
    </w:rPr>
  </w:style>
  <w:style w:type="character" w:customStyle="1" w:styleId="CommentSubjectChar">
    <w:name w:val="Comment Subject Char"/>
    <w:basedOn w:val="CommentTextChar"/>
    <w:link w:val="CommentSubject"/>
    <w:uiPriority w:val="99"/>
    <w:semiHidden/>
    <w:rsid w:val="005E6E82"/>
    <w:rPr>
      <w:b/>
      <w:bCs/>
      <w:sz w:val="20"/>
      <w:szCs w:val="20"/>
    </w:rPr>
  </w:style>
  <w:style w:type="paragraph" w:styleId="BalloonText">
    <w:name w:val="Balloon Text"/>
    <w:basedOn w:val="Normal"/>
    <w:link w:val="BalloonTextChar"/>
    <w:uiPriority w:val="99"/>
    <w:semiHidden/>
    <w:unhideWhenUsed/>
    <w:rsid w:val="005E6E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E82"/>
    <w:rPr>
      <w:rFonts w:ascii="Segoe UI" w:hAnsi="Segoe UI" w:cs="Segoe UI"/>
      <w:sz w:val="18"/>
      <w:szCs w:val="18"/>
    </w:rPr>
  </w:style>
  <w:style w:type="paragraph" w:styleId="Caption">
    <w:name w:val="caption"/>
    <w:basedOn w:val="Normal"/>
    <w:next w:val="Normal"/>
    <w:uiPriority w:val="35"/>
    <w:unhideWhenUsed/>
    <w:qFormat/>
    <w:rsid w:val="001E0B6B"/>
    <w:pPr>
      <w:keepNext/>
      <w:spacing w:before="60" w:after="60" w:line="240" w:lineRule="auto"/>
      <w:jc w:val="center"/>
    </w:pPr>
  </w:style>
  <w:style w:type="character" w:customStyle="1" w:styleId="Heading4Char">
    <w:name w:val="Heading 4 Char"/>
    <w:basedOn w:val="DefaultParagraphFont"/>
    <w:link w:val="Heading4"/>
    <w:uiPriority w:val="9"/>
    <w:rsid w:val="00FF1405"/>
    <w:rPr>
      <w:rFonts w:asciiTheme="majorHAnsi" w:eastAsiaTheme="majorEastAsia" w:hAnsiTheme="majorHAnsi" w:cstheme="majorBidi"/>
      <w:i/>
      <w:iCs/>
      <w:color w:val="2F5496" w:themeColor="accent1" w:themeShade="BF"/>
    </w:rPr>
  </w:style>
  <w:style w:type="table" w:styleId="PlainTable3">
    <w:name w:val="Plain Table 3"/>
    <w:basedOn w:val="TableNormal"/>
    <w:uiPriority w:val="43"/>
    <w:rsid w:val="00C805B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A25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0D4302"/>
    <w:rPr>
      <w:i/>
      <w:iCs/>
    </w:rPr>
  </w:style>
  <w:style w:type="character" w:styleId="FollowedHyperlink">
    <w:name w:val="FollowedHyperlink"/>
    <w:basedOn w:val="DefaultParagraphFont"/>
    <w:uiPriority w:val="99"/>
    <w:semiHidden/>
    <w:unhideWhenUsed/>
    <w:rsid w:val="00D97AE1"/>
    <w:rPr>
      <w:color w:val="954F72" w:themeColor="followedHyperlink"/>
      <w:u w:val="single"/>
    </w:rPr>
  </w:style>
  <w:style w:type="table" w:styleId="GridTable2-Accent3">
    <w:name w:val="Grid Table 2 Accent 3"/>
    <w:basedOn w:val="TableNormal"/>
    <w:uiPriority w:val="47"/>
    <w:rsid w:val="00A87D7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8F1E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F11E42"/>
    <w:pPr>
      <w:ind w:left="720"/>
      <w:contextualSpacing/>
    </w:pPr>
  </w:style>
  <w:style w:type="paragraph" w:styleId="NormalWeb">
    <w:name w:val="Normal (Web)"/>
    <w:basedOn w:val="Normal"/>
    <w:uiPriority w:val="99"/>
    <w:unhideWhenUsed/>
    <w:rsid w:val="00F90E95"/>
    <w:pPr>
      <w:spacing w:before="100" w:beforeAutospacing="1" w:after="100" w:afterAutospacing="1" w:line="240" w:lineRule="auto"/>
    </w:pPr>
    <w:rPr>
      <w:rFonts w:eastAsia="Times New Roman" w:cs="Times New Roman"/>
      <w:lang w:eastAsia="en-GB"/>
    </w:rPr>
  </w:style>
  <w:style w:type="table" w:styleId="TableGrid">
    <w:name w:val="Table Grid"/>
    <w:basedOn w:val="TableNormal"/>
    <w:uiPriority w:val="39"/>
    <w:rsid w:val="007B2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next w:val="GridTable2-Accent3"/>
    <w:uiPriority w:val="47"/>
    <w:rsid w:val="002B6C9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rossreference">
    <w:name w:val="Cross reference"/>
    <w:basedOn w:val="Normal"/>
    <w:link w:val="CrossreferenceChar"/>
    <w:qFormat/>
    <w:rsid w:val="00EB4113"/>
  </w:style>
  <w:style w:type="paragraph" w:customStyle="1" w:styleId="Figure">
    <w:name w:val="Figure"/>
    <w:basedOn w:val="Normal"/>
    <w:link w:val="FigureChar"/>
    <w:qFormat/>
    <w:rsid w:val="00AA1FAC"/>
    <w:pPr>
      <w:spacing w:before="60" w:after="60" w:line="240" w:lineRule="auto"/>
      <w:jc w:val="center"/>
    </w:pPr>
    <w:rPr>
      <w:rFonts w:asciiTheme="minorHAnsi" w:hAnsiTheme="minorHAnsi"/>
      <w:noProof/>
    </w:rPr>
  </w:style>
  <w:style w:type="character" w:customStyle="1" w:styleId="CrossreferenceChar">
    <w:name w:val="Cross reference Char"/>
    <w:basedOn w:val="DefaultParagraphFont"/>
    <w:link w:val="Crossreference"/>
    <w:rsid w:val="00EB4113"/>
  </w:style>
  <w:style w:type="character" w:customStyle="1" w:styleId="FigureChar">
    <w:name w:val="Figure Char"/>
    <w:basedOn w:val="DefaultParagraphFont"/>
    <w:link w:val="Figure"/>
    <w:rsid w:val="00AA1FAC"/>
    <w:rPr>
      <w:noProof/>
      <w:sz w:val="24"/>
      <w:szCs w:val="24"/>
    </w:rPr>
  </w:style>
  <w:style w:type="character" w:customStyle="1" w:styleId="st">
    <w:name w:val="st"/>
    <w:basedOn w:val="DefaultParagraphFont"/>
    <w:rsid w:val="00574D03"/>
  </w:style>
  <w:style w:type="table" w:styleId="ListTable7Colorful">
    <w:name w:val="List Table 7 Colorful"/>
    <w:basedOn w:val="TableNormal"/>
    <w:uiPriority w:val="52"/>
    <w:rsid w:val="0028061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D96394"/>
    <w:pPr>
      <w:spacing w:after="0" w:line="240" w:lineRule="auto"/>
    </w:pPr>
  </w:style>
  <w:style w:type="paragraph" w:styleId="Header">
    <w:name w:val="header"/>
    <w:basedOn w:val="Normal"/>
    <w:link w:val="HeaderChar"/>
    <w:uiPriority w:val="99"/>
    <w:unhideWhenUsed/>
    <w:rsid w:val="002760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0FF"/>
  </w:style>
  <w:style w:type="paragraph" w:styleId="Footer">
    <w:name w:val="footer"/>
    <w:basedOn w:val="Normal"/>
    <w:link w:val="FooterChar"/>
    <w:uiPriority w:val="99"/>
    <w:unhideWhenUsed/>
    <w:rsid w:val="002760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0FF"/>
  </w:style>
  <w:style w:type="character" w:customStyle="1" w:styleId="UnresolvedMention">
    <w:name w:val="Unresolved Mention"/>
    <w:basedOn w:val="DefaultParagraphFont"/>
    <w:uiPriority w:val="99"/>
    <w:semiHidden/>
    <w:unhideWhenUsed/>
    <w:rsid w:val="005F6E66"/>
    <w:rPr>
      <w:color w:val="605E5C"/>
      <w:shd w:val="clear" w:color="auto" w:fill="E1DFDD"/>
    </w:rPr>
  </w:style>
  <w:style w:type="character" w:customStyle="1" w:styleId="author">
    <w:name w:val="author"/>
    <w:basedOn w:val="DefaultParagraphFont"/>
    <w:rsid w:val="00202052"/>
  </w:style>
  <w:style w:type="character" w:customStyle="1" w:styleId="articletitle">
    <w:name w:val="articletitle"/>
    <w:basedOn w:val="DefaultParagraphFont"/>
    <w:rsid w:val="00202052"/>
  </w:style>
  <w:style w:type="character" w:customStyle="1" w:styleId="pubyear">
    <w:name w:val="pubyear"/>
    <w:basedOn w:val="DefaultParagraphFont"/>
    <w:rsid w:val="00202052"/>
  </w:style>
  <w:style w:type="character" w:customStyle="1" w:styleId="vol">
    <w:name w:val="vol"/>
    <w:basedOn w:val="DefaultParagraphFont"/>
    <w:rsid w:val="00202052"/>
  </w:style>
  <w:style w:type="character" w:customStyle="1" w:styleId="pagefirst">
    <w:name w:val="pagefirst"/>
    <w:basedOn w:val="DefaultParagraphFont"/>
    <w:rsid w:val="00202052"/>
  </w:style>
  <w:style w:type="character" w:customStyle="1" w:styleId="pagelast">
    <w:name w:val="pagelast"/>
    <w:basedOn w:val="DefaultParagraphFont"/>
    <w:rsid w:val="00202052"/>
  </w:style>
  <w:style w:type="paragraph" w:styleId="FootnoteText">
    <w:name w:val="footnote text"/>
    <w:basedOn w:val="Normal"/>
    <w:link w:val="FootnoteTextChar"/>
    <w:uiPriority w:val="99"/>
    <w:semiHidden/>
    <w:unhideWhenUsed/>
    <w:rsid w:val="002619BD"/>
    <w:pPr>
      <w:spacing w:after="0" w:line="240" w:lineRule="auto"/>
    </w:pPr>
    <w:rPr>
      <w:szCs w:val="20"/>
    </w:rPr>
  </w:style>
  <w:style w:type="character" w:customStyle="1" w:styleId="FootnoteTextChar">
    <w:name w:val="Footnote Text Char"/>
    <w:basedOn w:val="DefaultParagraphFont"/>
    <w:link w:val="FootnoteText"/>
    <w:uiPriority w:val="99"/>
    <w:semiHidden/>
    <w:rsid w:val="002619BD"/>
    <w:rPr>
      <w:rFonts w:ascii="Times New Roman" w:hAnsi="Times New Roman"/>
      <w:sz w:val="20"/>
      <w:szCs w:val="20"/>
    </w:rPr>
  </w:style>
  <w:style w:type="character" w:styleId="FootnoteReference">
    <w:name w:val="footnote reference"/>
    <w:basedOn w:val="DefaultParagraphFont"/>
    <w:uiPriority w:val="99"/>
    <w:semiHidden/>
    <w:unhideWhenUsed/>
    <w:rsid w:val="002619BD"/>
    <w:rPr>
      <w:vertAlign w:val="superscript"/>
    </w:rPr>
  </w:style>
  <w:style w:type="character" w:styleId="EndnoteReference">
    <w:name w:val="endnote reference"/>
    <w:basedOn w:val="DefaultParagraphFont"/>
    <w:uiPriority w:val="99"/>
    <w:semiHidden/>
    <w:unhideWhenUsed/>
    <w:rsid w:val="009040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5130">
      <w:bodyDiv w:val="1"/>
      <w:marLeft w:val="0"/>
      <w:marRight w:val="0"/>
      <w:marTop w:val="0"/>
      <w:marBottom w:val="0"/>
      <w:divBdr>
        <w:top w:val="none" w:sz="0" w:space="0" w:color="auto"/>
        <w:left w:val="none" w:sz="0" w:space="0" w:color="auto"/>
        <w:bottom w:val="none" w:sz="0" w:space="0" w:color="auto"/>
        <w:right w:val="none" w:sz="0" w:space="0" w:color="auto"/>
      </w:divBdr>
    </w:div>
    <w:div w:id="51932779">
      <w:bodyDiv w:val="1"/>
      <w:marLeft w:val="0"/>
      <w:marRight w:val="0"/>
      <w:marTop w:val="0"/>
      <w:marBottom w:val="0"/>
      <w:divBdr>
        <w:top w:val="none" w:sz="0" w:space="0" w:color="auto"/>
        <w:left w:val="none" w:sz="0" w:space="0" w:color="auto"/>
        <w:bottom w:val="none" w:sz="0" w:space="0" w:color="auto"/>
        <w:right w:val="none" w:sz="0" w:space="0" w:color="auto"/>
      </w:divBdr>
    </w:div>
    <w:div w:id="86851678">
      <w:bodyDiv w:val="1"/>
      <w:marLeft w:val="0"/>
      <w:marRight w:val="0"/>
      <w:marTop w:val="0"/>
      <w:marBottom w:val="0"/>
      <w:divBdr>
        <w:top w:val="none" w:sz="0" w:space="0" w:color="auto"/>
        <w:left w:val="none" w:sz="0" w:space="0" w:color="auto"/>
        <w:bottom w:val="none" w:sz="0" w:space="0" w:color="auto"/>
        <w:right w:val="none" w:sz="0" w:space="0" w:color="auto"/>
      </w:divBdr>
    </w:div>
    <w:div w:id="120609744">
      <w:bodyDiv w:val="1"/>
      <w:marLeft w:val="0"/>
      <w:marRight w:val="0"/>
      <w:marTop w:val="0"/>
      <w:marBottom w:val="0"/>
      <w:divBdr>
        <w:top w:val="none" w:sz="0" w:space="0" w:color="auto"/>
        <w:left w:val="none" w:sz="0" w:space="0" w:color="auto"/>
        <w:bottom w:val="none" w:sz="0" w:space="0" w:color="auto"/>
        <w:right w:val="none" w:sz="0" w:space="0" w:color="auto"/>
      </w:divBdr>
    </w:div>
    <w:div w:id="139736833">
      <w:bodyDiv w:val="1"/>
      <w:marLeft w:val="0"/>
      <w:marRight w:val="0"/>
      <w:marTop w:val="0"/>
      <w:marBottom w:val="0"/>
      <w:divBdr>
        <w:top w:val="none" w:sz="0" w:space="0" w:color="auto"/>
        <w:left w:val="none" w:sz="0" w:space="0" w:color="auto"/>
        <w:bottom w:val="none" w:sz="0" w:space="0" w:color="auto"/>
        <w:right w:val="none" w:sz="0" w:space="0" w:color="auto"/>
      </w:divBdr>
    </w:div>
    <w:div w:id="147788873">
      <w:bodyDiv w:val="1"/>
      <w:marLeft w:val="0"/>
      <w:marRight w:val="0"/>
      <w:marTop w:val="0"/>
      <w:marBottom w:val="0"/>
      <w:divBdr>
        <w:top w:val="none" w:sz="0" w:space="0" w:color="auto"/>
        <w:left w:val="none" w:sz="0" w:space="0" w:color="auto"/>
        <w:bottom w:val="none" w:sz="0" w:space="0" w:color="auto"/>
        <w:right w:val="none" w:sz="0" w:space="0" w:color="auto"/>
      </w:divBdr>
    </w:div>
    <w:div w:id="194971698">
      <w:bodyDiv w:val="1"/>
      <w:marLeft w:val="0"/>
      <w:marRight w:val="0"/>
      <w:marTop w:val="0"/>
      <w:marBottom w:val="0"/>
      <w:divBdr>
        <w:top w:val="none" w:sz="0" w:space="0" w:color="auto"/>
        <w:left w:val="none" w:sz="0" w:space="0" w:color="auto"/>
        <w:bottom w:val="none" w:sz="0" w:space="0" w:color="auto"/>
        <w:right w:val="none" w:sz="0" w:space="0" w:color="auto"/>
      </w:divBdr>
    </w:div>
    <w:div w:id="216473657">
      <w:bodyDiv w:val="1"/>
      <w:marLeft w:val="0"/>
      <w:marRight w:val="0"/>
      <w:marTop w:val="0"/>
      <w:marBottom w:val="0"/>
      <w:divBdr>
        <w:top w:val="none" w:sz="0" w:space="0" w:color="auto"/>
        <w:left w:val="none" w:sz="0" w:space="0" w:color="auto"/>
        <w:bottom w:val="none" w:sz="0" w:space="0" w:color="auto"/>
        <w:right w:val="none" w:sz="0" w:space="0" w:color="auto"/>
      </w:divBdr>
    </w:div>
    <w:div w:id="229848633">
      <w:bodyDiv w:val="1"/>
      <w:marLeft w:val="0"/>
      <w:marRight w:val="0"/>
      <w:marTop w:val="0"/>
      <w:marBottom w:val="0"/>
      <w:divBdr>
        <w:top w:val="none" w:sz="0" w:space="0" w:color="auto"/>
        <w:left w:val="none" w:sz="0" w:space="0" w:color="auto"/>
        <w:bottom w:val="none" w:sz="0" w:space="0" w:color="auto"/>
        <w:right w:val="none" w:sz="0" w:space="0" w:color="auto"/>
      </w:divBdr>
    </w:div>
    <w:div w:id="381753395">
      <w:bodyDiv w:val="1"/>
      <w:marLeft w:val="0"/>
      <w:marRight w:val="0"/>
      <w:marTop w:val="0"/>
      <w:marBottom w:val="0"/>
      <w:divBdr>
        <w:top w:val="none" w:sz="0" w:space="0" w:color="auto"/>
        <w:left w:val="none" w:sz="0" w:space="0" w:color="auto"/>
        <w:bottom w:val="none" w:sz="0" w:space="0" w:color="auto"/>
        <w:right w:val="none" w:sz="0" w:space="0" w:color="auto"/>
      </w:divBdr>
    </w:div>
    <w:div w:id="406542089">
      <w:bodyDiv w:val="1"/>
      <w:marLeft w:val="0"/>
      <w:marRight w:val="0"/>
      <w:marTop w:val="0"/>
      <w:marBottom w:val="0"/>
      <w:divBdr>
        <w:top w:val="none" w:sz="0" w:space="0" w:color="auto"/>
        <w:left w:val="none" w:sz="0" w:space="0" w:color="auto"/>
        <w:bottom w:val="none" w:sz="0" w:space="0" w:color="auto"/>
        <w:right w:val="none" w:sz="0" w:space="0" w:color="auto"/>
      </w:divBdr>
    </w:div>
    <w:div w:id="429275745">
      <w:bodyDiv w:val="1"/>
      <w:marLeft w:val="0"/>
      <w:marRight w:val="0"/>
      <w:marTop w:val="0"/>
      <w:marBottom w:val="0"/>
      <w:divBdr>
        <w:top w:val="none" w:sz="0" w:space="0" w:color="auto"/>
        <w:left w:val="none" w:sz="0" w:space="0" w:color="auto"/>
        <w:bottom w:val="none" w:sz="0" w:space="0" w:color="auto"/>
        <w:right w:val="none" w:sz="0" w:space="0" w:color="auto"/>
      </w:divBdr>
    </w:div>
    <w:div w:id="557940695">
      <w:bodyDiv w:val="1"/>
      <w:marLeft w:val="0"/>
      <w:marRight w:val="0"/>
      <w:marTop w:val="0"/>
      <w:marBottom w:val="0"/>
      <w:divBdr>
        <w:top w:val="none" w:sz="0" w:space="0" w:color="auto"/>
        <w:left w:val="none" w:sz="0" w:space="0" w:color="auto"/>
        <w:bottom w:val="none" w:sz="0" w:space="0" w:color="auto"/>
        <w:right w:val="none" w:sz="0" w:space="0" w:color="auto"/>
      </w:divBdr>
    </w:div>
    <w:div w:id="609552931">
      <w:bodyDiv w:val="1"/>
      <w:marLeft w:val="0"/>
      <w:marRight w:val="0"/>
      <w:marTop w:val="0"/>
      <w:marBottom w:val="0"/>
      <w:divBdr>
        <w:top w:val="none" w:sz="0" w:space="0" w:color="auto"/>
        <w:left w:val="none" w:sz="0" w:space="0" w:color="auto"/>
        <w:bottom w:val="none" w:sz="0" w:space="0" w:color="auto"/>
        <w:right w:val="none" w:sz="0" w:space="0" w:color="auto"/>
      </w:divBdr>
    </w:div>
    <w:div w:id="685638644">
      <w:bodyDiv w:val="1"/>
      <w:marLeft w:val="0"/>
      <w:marRight w:val="0"/>
      <w:marTop w:val="0"/>
      <w:marBottom w:val="0"/>
      <w:divBdr>
        <w:top w:val="none" w:sz="0" w:space="0" w:color="auto"/>
        <w:left w:val="none" w:sz="0" w:space="0" w:color="auto"/>
        <w:bottom w:val="none" w:sz="0" w:space="0" w:color="auto"/>
        <w:right w:val="none" w:sz="0" w:space="0" w:color="auto"/>
      </w:divBdr>
    </w:div>
    <w:div w:id="738210111">
      <w:bodyDiv w:val="1"/>
      <w:marLeft w:val="0"/>
      <w:marRight w:val="0"/>
      <w:marTop w:val="0"/>
      <w:marBottom w:val="0"/>
      <w:divBdr>
        <w:top w:val="none" w:sz="0" w:space="0" w:color="auto"/>
        <w:left w:val="none" w:sz="0" w:space="0" w:color="auto"/>
        <w:bottom w:val="none" w:sz="0" w:space="0" w:color="auto"/>
        <w:right w:val="none" w:sz="0" w:space="0" w:color="auto"/>
      </w:divBdr>
    </w:div>
    <w:div w:id="738819840">
      <w:bodyDiv w:val="1"/>
      <w:marLeft w:val="0"/>
      <w:marRight w:val="0"/>
      <w:marTop w:val="0"/>
      <w:marBottom w:val="0"/>
      <w:divBdr>
        <w:top w:val="none" w:sz="0" w:space="0" w:color="auto"/>
        <w:left w:val="none" w:sz="0" w:space="0" w:color="auto"/>
        <w:bottom w:val="none" w:sz="0" w:space="0" w:color="auto"/>
        <w:right w:val="none" w:sz="0" w:space="0" w:color="auto"/>
      </w:divBdr>
    </w:div>
    <w:div w:id="785391671">
      <w:bodyDiv w:val="1"/>
      <w:marLeft w:val="0"/>
      <w:marRight w:val="0"/>
      <w:marTop w:val="0"/>
      <w:marBottom w:val="0"/>
      <w:divBdr>
        <w:top w:val="none" w:sz="0" w:space="0" w:color="auto"/>
        <w:left w:val="none" w:sz="0" w:space="0" w:color="auto"/>
        <w:bottom w:val="none" w:sz="0" w:space="0" w:color="auto"/>
        <w:right w:val="none" w:sz="0" w:space="0" w:color="auto"/>
      </w:divBdr>
    </w:div>
    <w:div w:id="795836211">
      <w:bodyDiv w:val="1"/>
      <w:marLeft w:val="0"/>
      <w:marRight w:val="0"/>
      <w:marTop w:val="0"/>
      <w:marBottom w:val="0"/>
      <w:divBdr>
        <w:top w:val="none" w:sz="0" w:space="0" w:color="auto"/>
        <w:left w:val="none" w:sz="0" w:space="0" w:color="auto"/>
        <w:bottom w:val="none" w:sz="0" w:space="0" w:color="auto"/>
        <w:right w:val="none" w:sz="0" w:space="0" w:color="auto"/>
      </w:divBdr>
    </w:div>
    <w:div w:id="796489601">
      <w:bodyDiv w:val="1"/>
      <w:marLeft w:val="0"/>
      <w:marRight w:val="0"/>
      <w:marTop w:val="0"/>
      <w:marBottom w:val="0"/>
      <w:divBdr>
        <w:top w:val="none" w:sz="0" w:space="0" w:color="auto"/>
        <w:left w:val="none" w:sz="0" w:space="0" w:color="auto"/>
        <w:bottom w:val="none" w:sz="0" w:space="0" w:color="auto"/>
        <w:right w:val="none" w:sz="0" w:space="0" w:color="auto"/>
      </w:divBdr>
    </w:div>
    <w:div w:id="800343992">
      <w:bodyDiv w:val="1"/>
      <w:marLeft w:val="0"/>
      <w:marRight w:val="0"/>
      <w:marTop w:val="0"/>
      <w:marBottom w:val="0"/>
      <w:divBdr>
        <w:top w:val="none" w:sz="0" w:space="0" w:color="auto"/>
        <w:left w:val="none" w:sz="0" w:space="0" w:color="auto"/>
        <w:bottom w:val="none" w:sz="0" w:space="0" w:color="auto"/>
        <w:right w:val="none" w:sz="0" w:space="0" w:color="auto"/>
      </w:divBdr>
    </w:div>
    <w:div w:id="819155366">
      <w:bodyDiv w:val="1"/>
      <w:marLeft w:val="0"/>
      <w:marRight w:val="0"/>
      <w:marTop w:val="0"/>
      <w:marBottom w:val="0"/>
      <w:divBdr>
        <w:top w:val="none" w:sz="0" w:space="0" w:color="auto"/>
        <w:left w:val="none" w:sz="0" w:space="0" w:color="auto"/>
        <w:bottom w:val="none" w:sz="0" w:space="0" w:color="auto"/>
        <w:right w:val="none" w:sz="0" w:space="0" w:color="auto"/>
      </w:divBdr>
    </w:div>
    <w:div w:id="819467268">
      <w:bodyDiv w:val="1"/>
      <w:marLeft w:val="0"/>
      <w:marRight w:val="0"/>
      <w:marTop w:val="0"/>
      <w:marBottom w:val="0"/>
      <w:divBdr>
        <w:top w:val="none" w:sz="0" w:space="0" w:color="auto"/>
        <w:left w:val="none" w:sz="0" w:space="0" w:color="auto"/>
        <w:bottom w:val="none" w:sz="0" w:space="0" w:color="auto"/>
        <w:right w:val="none" w:sz="0" w:space="0" w:color="auto"/>
      </w:divBdr>
    </w:div>
    <w:div w:id="828327439">
      <w:bodyDiv w:val="1"/>
      <w:marLeft w:val="0"/>
      <w:marRight w:val="0"/>
      <w:marTop w:val="0"/>
      <w:marBottom w:val="0"/>
      <w:divBdr>
        <w:top w:val="none" w:sz="0" w:space="0" w:color="auto"/>
        <w:left w:val="none" w:sz="0" w:space="0" w:color="auto"/>
        <w:bottom w:val="none" w:sz="0" w:space="0" w:color="auto"/>
        <w:right w:val="none" w:sz="0" w:space="0" w:color="auto"/>
      </w:divBdr>
    </w:div>
    <w:div w:id="834950742">
      <w:bodyDiv w:val="1"/>
      <w:marLeft w:val="0"/>
      <w:marRight w:val="0"/>
      <w:marTop w:val="0"/>
      <w:marBottom w:val="0"/>
      <w:divBdr>
        <w:top w:val="none" w:sz="0" w:space="0" w:color="auto"/>
        <w:left w:val="none" w:sz="0" w:space="0" w:color="auto"/>
        <w:bottom w:val="none" w:sz="0" w:space="0" w:color="auto"/>
        <w:right w:val="none" w:sz="0" w:space="0" w:color="auto"/>
      </w:divBdr>
    </w:div>
    <w:div w:id="856383626">
      <w:bodyDiv w:val="1"/>
      <w:marLeft w:val="0"/>
      <w:marRight w:val="0"/>
      <w:marTop w:val="0"/>
      <w:marBottom w:val="0"/>
      <w:divBdr>
        <w:top w:val="none" w:sz="0" w:space="0" w:color="auto"/>
        <w:left w:val="none" w:sz="0" w:space="0" w:color="auto"/>
        <w:bottom w:val="none" w:sz="0" w:space="0" w:color="auto"/>
        <w:right w:val="none" w:sz="0" w:space="0" w:color="auto"/>
      </w:divBdr>
    </w:div>
    <w:div w:id="934750657">
      <w:bodyDiv w:val="1"/>
      <w:marLeft w:val="0"/>
      <w:marRight w:val="0"/>
      <w:marTop w:val="0"/>
      <w:marBottom w:val="0"/>
      <w:divBdr>
        <w:top w:val="none" w:sz="0" w:space="0" w:color="auto"/>
        <w:left w:val="none" w:sz="0" w:space="0" w:color="auto"/>
        <w:bottom w:val="none" w:sz="0" w:space="0" w:color="auto"/>
        <w:right w:val="none" w:sz="0" w:space="0" w:color="auto"/>
      </w:divBdr>
    </w:div>
    <w:div w:id="983436006">
      <w:bodyDiv w:val="1"/>
      <w:marLeft w:val="0"/>
      <w:marRight w:val="0"/>
      <w:marTop w:val="0"/>
      <w:marBottom w:val="0"/>
      <w:divBdr>
        <w:top w:val="none" w:sz="0" w:space="0" w:color="auto"/>
        <w:left w:val="none" w:sz="0" w:space="0" w:color="auto"/>
        <w:bottom w:val="none" w:sz="0" w:space="0" w:color="auto"/>
        <w:right w:val="none" w:sz="0" w:space="0" w:color="auto"/>
      </w:divBdr>
      <w:divsChild>
        <w:div w:id="1596744342">
          <w:marLeft w:val="547"/>
          <w:marRight w:val="0"/>
          <w:marTop w:val="115"/>
          <w:marBottom w:val="0"/>
          <w:divBdr>
            <w:top w:val="none" w:sz="0" w:space="0" w:color="auto"/>
            <w:left w:val="none" w:sz="0" w:space="0" w:color="auto"/>
            <w:bottom w:val="none" w:sz="0" w:space="0" w:color="auto"/>
            <w:right w:val="none" w:sz="0" w:space="0" w:color="auto"/>
          </w:divBdr>
        </w:div>
      </w:divsChild>
    </w:div>
    <w:div w:id="988827134">
      <w:bodyDiv w:val="1"/>
      <w:marLeft w:val="0"/>
      <w:marRight w:val="0"/>
      <w:marTop w:val="0"/>
      <w:marBottom w:val="0"/>
      <w:divBdr>
        <w:top w:val="none" w:sz="0" w:space="0" w:color="auto"/>
        <w:left w:val="none" w:sz="0" w:space="0" w:color="auto"/>
        <w:bottom w:val="none" w:sz="0" w:space="0" w:color="auto"/>
        <w:right w:val="none" w:sz="0" w:space="0" w:color="auto"/>
      </w:divBdr>
    </w:div>
    <w:div w:id="1061173951">
      <w:bodyDiv w:val="1"/>
      <w:marLeft w:val="0"/>
      <w:marRight w:val="0"/>
      <w:marTop w:val="0"/>
      <w:marBottom w:val="0"/>
      <w:divBdr>
        <w:top w:val="none" w:sz="0" w:space="0" w:color="auto"/>
        <w:left w:val="none" w:sz="0" w:space="0" w:color="auto"/>
        <w:bottom w:val="none" w:sz="0" w:space="0" w:color="auto"/>
        <w:right w:val="none" w:sz="0" w:space="0" w:color="auto"/>
      </w:divBdr>
    </w:div>
    <w:div w:id="1064067256">
      <w:bodyDiv w:val="1"/>
      <w:marLeft w:val="0"/>
      <w:marRight w:val="0"/>
      <w:marTop w:val="0"/>
      <w:marBottom w:val="0"/>
      <w:divBdr>
        <w:top w:val="none" w:sz="0" w:space="0" w:color="auto"/>
        <w:left w:val="none" w:sz="0" w:space="0" w:color="auto"/>
        <w:bottom w:val="none" w:sz="0" w:space="0" w:color="auto"/>
        <w:right w:val="none" w:sz="0" w:space="0" w:color="auto"/>
      </w:divBdr>
    </w:div>
    <w:div w:id="1073699199">
      <w:bodyDiv w:val="1"/>
      <w:marLeft w:val="0"/>
      <w:marRight w:val="0"/>
      <w:marTop w:val="0"/>
      <w:marBottom w:val="0"/>
      <w:divBdr>
        <w:top w:val="none" w:sz="0" w:space="0" w:color="auto"/>
        <w:left w:val="none" w:sz="0" w:space="0" w:color="auto"/>
        <w:bottom w:val="none" w:sz="0" w:space="0" w:color="auto"/>
        <w:right w:val="none" w:sz="0" w:space="0" w:color="auto"/>
      </w:divBdr>
    </w:div>
    <w:div w:id="1149521900">
      <w:bodyDiv w:val="1"/>
      <w:marLeft w:val="0"/>
      <w:marRight w:val="0"/>
      <w:marTop w:val="0"/>
      <w:marBottom w:val="0"/>
      <w:divBdr>
        <w:top w:val="none" w:sz="0" w:space="0" w:color="auto"/>
        <w:left w:val="none" w:sz="0" w:space="0" w:color="auto"/>
        <w:bottom w:val="none" w:sz="0" w:space="0" w:color="auto"/>
        <w:right w:val="none" w:sz="0" w:space="0" w:color="auto"/>
      </w:divBdr>
    </w:div>
    <w:div w:id="1245262127">
      <w:bodyDiv w:val="1"/>
      <w:marLeft w:val="0"/>
      <w:marRight w:val="0"/>
      <w:marTop w:val="0"/>
      <w:marBottom w:val="0"/>
      <w:divBdr>
        <w:top w:val="none" w:sz="0" w:space="0" w:color="auto"/>
        <w:left w:val="none" w:sz="0" w:space="0" w:color="auto"/>
        <w:bottom w:val="none" w:sz="0" w:space="0" w:color="auto"/>
        <w:right w:val="none" w:sz="0" w:space="0" w:color="auto"/>
      </w:divBdr>
    </w:div>
    <w:div w:id="1535800312">
      <w:bodyDiv w:val="1"/>
      <w:marLeft w:val="0"/>
      <w:marRight w:val="0"/>
      <w:marTop w:val="0"/>
      <w:marBottom w:val="0"/>
      <w:divBdr>
        <w:top w:val="none" w:sz="0" w:space="0" w:color="auto"/>
        <w:left w:val="none" w:sz="0" w:space="0" w:color="auto"/>
        <w:bottom w:val="none" w:sz="0" w:space="0" w:color="auto"/>
        <w:right w:val="none" w:sz="0" w:space="0" w:color="auto"/>
      </w:divBdr>
    </w:div>
    <w:div w:id="1537962290">
      <w:bodyDiv w:val="1"/>
      <w:marLeft w:val="0"/>
      <w:marRight w:val="0"/>
      <w:marTop w:val="0"/>
      <w:marBottom w:val="0"/>
      <w:divBdr>
        <w:top w:val="none" w:sz="0" w:space="0" w:color="auto"/>
        <w:left w:val="none" w:sz="0" w:space="0" w:color="auto"/>
        <w:bottom w:val="none" w:sz="0" w:space="0" w:color="auto"/>
        <w:right w:val="none" w:sz="0" w:space="0" w:color="auto"/>
      </w:divBdr>
    </w:div>
    <w:div w:id="1594314137">
      <w:bodyDiv w:val="1"/>
      <w:marLeft w:val="0"/>
      <w:marRight w:val="0"/>
      <w:marTop w:val="0"/>
      <w:marBottom w:val="0"/>
      <w:divBdr>
        <w:top w:val="none" w:sz="0" w:space="0" w:color="auto"/>
        <w:left w:val="none" w:sz="0" w:space="0" w:color="auto"/>
        <w:bottom w:val="none" w:sz="0" w:space="0" w:color="auto"/>
        <w:right w:val="none" w:sz="0" w:space="0" w:color="auto"/>
      </w:divBdr>
    </w:div>
    <w:div w:id="1624773046">
      <w:bodyDiv w:val="1"/>
      <w:marLeft w:val="0"/>
      <w:marRight w:val="0"/>
      <w:marTop w:val="0"/>
      <w:marBottom w:val="0"/>
      <w:divBdr>
        <w:top w:val="none" w:sz="0" w:space="0" w:color="auto"/>
        <w:left w:val="none" w:sz="0" w:space="0" w:color="auto"/>
        <w:bottom w:val="none" w:sz="0" w:space="0" w:color="auto"/>
        <w:right w:val="none" w:sz="0" w:space="0" w:color="auto"/>
      </w:divBdr>
    </w:div>
    <w:div w:id="1662391218">
      <w:bodyDiv w:val="1"/>
      <w:marLeft w:val="0"/>
      <w:marRight w:val="0"/>
      <w:marTop w:val="0"/>
      <w:marBottom w:val="0"/>
      <w:divBdr>
        <w:top w:val="none" w:sz="0" w:space="0" w:color="auto"/>
        <w:left w:val="none" w:sz="0" w:space="0" w:color="auto"/>
        <w:bottom w:val="none" w:sz="0" w:space="0" w:color="auto"/>
        <w:right w:val="none" w:sz="0" w:space="0" w:color="auto"/>
      </w:divBdr>
    </w:div>
    <w:div w:id="1663312536">
      <w:bodyDiv w:val="1"/>
      <w:marLeft w:val="0"/>
      <w:marRight w:val="0"/>
      <w:marTop w:val="0"/>
      <w:marBottom w:val="0"/>
      <w:divBdr>
        <w:top w:val="none" w:sz="0" w:space="0" w:color="auto"/>
        <w:left w:val="none" w:sz="0" w:space="0" w:color="auto"/>
        <w:bottom w:val="none" w:sz="0" w:space="0" w:color="auto"/>
        <w:right w:val="none" w:sz="0" w:space="0" w:color="auto"/>
      </w:divBdr>
    </w:div>
    <w:div w:id="1815681185">
      <w:bodyDiv w:val="1"/>
      <w:marLeft w:val="0"/>
      <w:marRight w:val="0"/>
      <w:marTop w:val="0"/>
      <w:marBottom w:val="0"/>
      <w:divBdr>
        <w:top w:val="none" w:sz="0" w:space="0" w:color="auto"/>
        <w:left w:val="none" w:sz="0" w:space="0" w:color="auto"/>
        <w:bottom w:val="none" w:sz="0" w:space="0" w:color="auto"/>
        <w:right w:val="none" w:sz="0" w:space="0" w:color="auto"/>
      </w:divBdr>
    </w:div>
    <w:div w:id="1889952287">
      <w:bodyDiv w:val="1"/>
      <w:marLeft w:val="0"/>
      <w:marRight w:val="0"/>
      <w:marTop w:val="0"/>
      <w:marBottom w:val="0"/>
      <w:divBdr>
        <w:top w:val="none" w:sz="0" w:space="0" w:color="auto"/>
        <w:left w:val="none" w:sz="0" w:space="0" w:color="auto"/>
        <w:bottom w:val="none" w:sz="0" w:space="0" w:color="auto"/>
        <w:right w:val="none" w:sz="0" w:space="0" w:color="auto"/>
      </w:divBdr>
    </w:div>
    <w:div w:id="1950044042">
      <w:bodyDiv w:val="1"/>
      <w:marLeft w:val="0"/>
      <w:marRight w:val="0"/>
      <w:marTop w:val="0"/>
      <w:marBottom w:val="0"/>
      <w:divBdr>
        <w:top w:val="none" w:sz="0" w:space="0" w:color="auto"/>
        <w:left w:val="none" w:sz="0" w:space="0" w:color="auto"/>
        <w:bottom w:val="none" w:sz="0" w:space="0" w:color="auto"/>
        <w:right w:val="none" w:sz="0" w:space="0" w:color="auto"/>
      </w:divBdr>
    </w:div>
    <w:div w:id="1981569443">
      <w:bodyDiv w:val="1"/>
      <w:marLeft w:val="0"/>
      <w:marRight w:val="0"/>
      <w:marTop w:val="0"/>
      <w:marBottom w:val="0"/>
      <w:divBdr>
        <w:top w:val="none" w:sz="0" w:space="0" w:color="auto"/>
        <w:left w:val="none" w:sz="0" w:space="0" w:color="auto"/>
        <w:bottom w:val="none" w:sz="0" w:space="0" w:color="auto"/>
        <w:right w:val="none" w:sz="0" w:space="0" w:color="auto"/>
      </w:divBdr>
    </w:div>
    <w:div w:id="1999578604">
      <w:bodyDiv w:val="1"/>
      <w:marLeft w:val="0"/>
      <w:marRight w:val="0"/>
      <w:marTop w:val="0"/>
      <w:marBottom w:val="0"/>
      <w:divBdr>
        <w:top w:val="none" w:sz="0" w:space="0" w:color="auto"/>
        <w:left w:val="none" w:sz="0" w:space="0" w:color="auto"/>
        <w:bottom w:val="none" w:sz="0" w:space="0" w:color="auto"/>
        <w:right w:val="none" w:sz="0" w:space="0" w:color="auto"/>
      </w:divBdr>
      <w:divsChild>
        <w:div w:id="502086500">
          <w:marLeft w:val="0"/>
          <w:marRight w:val="0"/>
          <w:marTop w:val="0"/>
          <w:marBottom w:val="0"/>
          <w:divBdr>
            <w:top w:val="none" w:sz="0" w:space="0" w:color="auto"/>
            <w:left w:val="none" w:sz="0" w:space="0" w:color="auto"/>
            <w:bottom w:val="none" w:sz="0" w:space="0" w:color="auto"/>
            <w:right w:val="none" w:sz="0" w:space="0" w:color="auto"/>
          </w:divBdr>
          <w:divsChild>
            <w:div w:id="113071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6365">
      <w:bodyDiv w:val="1"/>
      <w:marLeft w:val="0"/>
      <w:marRight w:val="0"/>
      <w:marTop w:val="0"/>
      <w:marBottom w:val="0"/>
      <w:divBdr>
        <w:top w:val="none" w:sz="0" w:space="0" w:color="auto"/>
        <w:left w:val="none" w:sz="0" w:space="0" w:color="auto"/>
        <w:bottom w:val="none" w:sz="0" w:space="0" w:color="auto"/>
        <w:right w:val="none" w:sz="0" w:space="0" w:color="auto"/>
      </w:divBdr>
    </w:div>
    <w:div w:id="212186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onlinelibrary.wiley.com/doi/full/10.1002/jcsm.12261" TargetMode="External"/><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d@mrc.soton.ac.uk" TargetMode="External"/><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https://sotonac-my.sharepoint.com/personal/fl1c20_soton_ac_uk/Documents/MD_PhD_MRC/Publications/Farilty,%20sarcopenia,%20osteoporosis_replication%20of%20ROAD%20study/Copy%20of%20frailty%20Ne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tonac-my.sharepoint.com/personal/fl1c20_soton_ac_uk/Documents/MD_PhD_MRC/Publications/Farilty,%20sarcopenia,%20osteoporosis_replication%20of%20ROAD%20study/Copy%20of%20frailty%20Ne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otonac-my.sharepoint.com/personal/fl1c20_soton_ac_uk/Documents/MD_PhD_MRC/Publications/Farilty,%20sarcopenia,%20osteoporosis_replication%20of%20ROAD%20study/Copy%20of%20frailty%20New.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prevalence!$R$30</c:f>
              <c:strCache>
                <c:ptCount val="1"/>
                <c:pt idx="0">
                  <c:v>Frail </c:v>
                </c:pt>
              </c:strCache>
            </c:strRef>
          </c:tx>
          <c:spPr>
            <a:solidFill>
              <a:schemeClr val="dk1">
                <a:tint val="88500"/>
                <a:alpha val="70000"/>
              </a:schemeClr>
            </a:solidFill>
            <a:ln>
              <a:noFill/>
            </a:ln>
            <a:effectLst/>
          </c:spPr>
          <c:invertIfNegative val="0"/>
          <c:cat>
            <c:strRef>
              <c:f>prevalence!$S$29:$U$29</c:f>
              <c:strCache>
                <c:ptCount val="3"/>
                <c:pt idx="0">
                  <c:v>70–74</c:v>
                </c:pt>
                <c:pt idx="1">
                  <c:v>75–79</c:v>
                </c:pt>
                <c:pt idx="2">
                  <c:v>≥ 80</c:v>
                </c:pt>
              </c:strCache>
            </c:strRef>
          </c:cat>
          <c:val>
            <c:numRef>
              <c:f>prevalence!$S$30:$U$30</c:f>
              <c:numCache>
                <c:formatCode>0.00%</c:formatCode>
                <c:ptCount val="3"/>
                <c:pt idx="0">
                  <c:v>5.8000000000000003E-2</c:v>
                </c:pt>
                <c:pt idx="1">
                  <c:v>9.8000000000000004E-2</c:v>
                </c:pt>
                <c:pt idx="2">
                  <c:v>0.14299999999999999</c:v>
                </c:pt>
              </c:numCache>
            </c:numRef>
          </c:val>
          <c:extLst>
            <c:ext xmlns:c16="http://schemas.microsoft.com/office/drawing/2014/chart" uri="{C3380CC4-5D6E-409C-BE32-E72D297353CC}">
              <c16:uniqueId val="{00000000-97B9-4155-B5BA-14EA191A4F22}"/>
            </c:ext>
          </c:extLst>
        </c:ser>
        <c:ser>
          <c:idx val="1"/>
          <c:order val="1"/>
          <c:tx>
            <c:strRef>
              <c:f>prevalence!$R$31</c:f>
              <c:strCache>
                <c:ptCount val="1"/>
                <c:pt idx="0">
                  <c:v>Pre-frail</c:v>
                </c:pt>
              </c:strCache>
            </c:strRef>
          </c:tx>
          <c:spPr>
            <a:solidFill>
              <a:schemeClr val="dk1">
                <a:tint val="55000"/>
                <a:alpha val="70000"/>
              </a:schemeClr>
            </a:solidFill>
            <a:ln>
              <a:noFill/>
            </a:ln>
            <a:effectLst/>
          </c:spPr>
          <c:invertIfNegative val="0"/>
          <c:cat>
            <c:strRef>
              <c:f>prevalence!$S$29:$U$29</c:f>
              <c:strCache>
                <c:ptCount val="3"/>
                <c:pt idx="0">
                  <c:v>70–74</c:v>
                </c:pt>
                <c:pt idx="1">
                  <c:v>75–79</c:v>
                </c:pt>
                <c:pt idx="2">
                  <c:v>≥ 80</c:v>
                </c:pt>
              </c:strCache>
            </c:strRef>
          </c:cat>
          <c:val>
            <c:numRef>
              <c:f>prevalence!$S$31:$U$31</c:f>
              <c:numCache>
                <c:formatCode>0.00%</c:formatCode>
                <c:ptCount val="3"/>
                <c:pt idx="0">
                  <c:v>0.55300000000000005</c:v>
                </c:pt>
                <c:pt idx="1">
                  <c:v>0.59299999999999997</c:v>
                </c:pt>
                <c:pt idx="2">
                  <c:v>0.61899999999999999</c:v>
                </c:pt>
              </c:numCache>
            </c:numRef>
          </c:val>
          <c:extLst>
            <c:ext xmlns:c16="http://schemas.microsoft.com/office/drawing/2014/chart" uri="{C3380CC4-5D6E-409C-BE32-E72D297353CC}">
              <c16:uniqueId val="{00000001-97B9-4155-B5BA-14EA191A4F22}"/>
            </c:ext>
          </c:extLst>
        </c:ser>
        <c:dLbls>
          <c:showLegendKey val="0"/>
          <c:showVal val="0"/>
          <c:showCatName val="0"/>
          <c:showSerName val="0"/>
          <c:showPercent val="0"/>
          <c:showBubbleSize val="0"/>
        </c:dLbls>
        <c:gapWidth val="50"/>
        <c:overlap val="100"/>
        <c:axId val="1598859184"/>
        <c:axId val="1593517008"/>
      </c:barChart>
      <c:catAx>
        <c:axId val="159885918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3517008"/>
        <c:crosses val="autoZero"/>
        <c:auto val="1"/>
        <c:lblAlgn val="ctr"/>
        <c:lblOffset val="100"/>
        <c:noMultiLvlLbl val="0"/>
      </c:catAx>
      <c:valAx>
        <c:axId val="1593517008"/>
        <c:scaling>
          <c:orientation val="minMax"/>
          <c:max val="1"/>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88591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r>
              <a:rPr lang="en-GB" sz="1400"/>
              <a:t>women</a:t>
            </a:r>
          </a:p>
        </c:rich>
      </c:tx>
      <c:layout/>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prevalence!$G$48</c:f>
              <c:strCache>
                <c:ptCount val="1"/>
                <c:pt idx="0">
                  <c:v>Frail</c:v>
                </c:pt>
              </c:strCache>
            </c:strRef>
          </c:tx>
          <c:spPr>
            <a:solidFill>
              <a:schemeClr val="dk1">
                <a:tint val="88500"/>
              </a:schemeClr>
            </a:solidFill>
            <a:ln>
              <a:noFill/>
            </a:ln>
            <a:effectLst/>
          </c:spPr>
          <c:invertIfNegative val="0"/>
          <c:cat>
            <c:strRef>
              <c:f>prevalence!$H$47:$J$47</c:f>
              <c:strCache>
                <c:ptCount val="3"/>
                <c:pt idx="0">
                  <c:v>70–74</c:v>
                </c:pt>
                <c:pt idx="1">
                  <c:v>75–79</c:v>
                </c:pt>
                <c:pt idx="2">
                  <c:v>≥ 80</c:v>
                </c:pt>
              </c:strCache>
            </c:strRef>
          </c:cat>
          <c:val>
            <c:numRef>
              <c:f>prevalence!$H$48:$J$48</c:f>
              <c:numCache>
                <c:formatCode>0.00%</c:formatCode>
                <c:ptCount val="3"/>
                <c:pt idx="0">
                  <c:v>6.7000000000000004E-2</c:v>
                </c:pt>
                <c:pt idx="1">
                  <c:v>9.8000000000000004E-2</c:v>
                </c:pt>
                <c:pt idx="2">
                  <c:v>0.214</c:v>
                </c:pt>
              </c:numCache>
            </c:numRef>
          </c:val>
          <c:extLst>
            <c:ext xmlns:c16="http://schemas.microsoft.com/office/drawing/2014/chart" uri="{C3380CC4-5D6E-409C-BE32-E72D297353CC}">
              <c16:uniqueId val="{00000000-20C7-463E-98AD-312886E4C417}"/>
            </c:ext>
          </c:extLst>
        </c:ser>
        <c:ser>
          <c:idx val="1"/>
          <c:order val="1"/>
          <c:tx>
            <c:strRef>
              <c:f>prevalence!$G$49</c:f>
              <c:strCache>
                <c:ptCount val="1"/>
                <c:pt idx="0">
                  <c:v>Pre-frail</c:v>
                </c:pt>
              </c:strCache>
            </c:strRef>
          </c:tx>
          <c:spPr>
            <a:solidFill>
              <a:schemeClr val="dk1">
                <a:tint val="55000"/>
              </a:schemeClr>
            </a:solidFill>
            <a:ln>
              <a:noFill/>
            </a:ln>
            <a:effectLst/>
          </c:spPr>
          <c:invertIfNegative val="0"/>
          <c:cat>
            <c:strRef>
              <c:f>prevalence!$H$47:$J$47</c:f>
              <c:strCache>
                <c:ptCount val="3"/>
                <c:pt idx="0">
                  <c:v>70–74</c:v>
                </c:pt>
                <c:pt idx="1">
                  <c:v>75–79</c:v>
                </c:pt>
                <c:pt idx="2">
                  <c:v>≥ 80</c:v>
                </c:pt>
              </c:strCache>
            </c:strRef>
          </c:cat>
          <c:val>
            <c:numRef>
              <c:f>prevalence!$H$49:$J$49</c:f>
              <c:numCache>
                <c:formatCode>0.00%</c:formatCode>
                <c:ptCount val="3"/>
                <c:pt idx="0" formatCode="0%">
                  <c:v>0.6</c:v>
                </c:pt>
                <c:pt idx="1">
                  <c:v>0.61799999999999999</c:v>
                </c:pt>
                <c:pt idx="2">
                  <c:v>0.57099999999999995</c:v>
                </c:pt>
              </c:numCache>
            </c:numRef>
          </c:val>
          <c:extLst>
            <c:ext xmlns:c16="http://schemas.microsoft.com/office/drawing/2014/chart" uri="{C3380CC4-5D6E-409C-BE32-E72D297353CC}">
              <c16:uniqueId val="{00000001-20C7-463E-98AD-312886E4C417}"/>
            </c:ext>
          </c:extLst>
        </c:ser>
        <c:dLbls>
          <c:showLegendKey val="0"/>
          <c:showVal val="0"/>
          <c:showCatName val="0"/>
          <c:showSerName val="0"/>
          <c:showPercent val="0"/>
          <c:showBubbleSize val="0"/>
        </c:dLbls>
        <c:gapWidth val="95"/>
        <c:overlap val="100"/>
        <c:axId val="1533821472"/>
        <c:axId val="1536318112"/>
      </c:barChart>
      <c:catAx>
        <c:axId val="153382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36318112"/>
        <c:crosses val="autoZero"/>
        <c:auto val="1"/>
        <c:lblAlgn val="ctr"/>
        <c:lblOffset val="100"/>
        <c:noMultiLvlLbl val="0"/>
      </c:catAx>
      <c:valAx>
        <c:axId val="1536318112"/>
        <c:scaling>
          <c:orientation val="minMax"/>
          <c:max val="1"/>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8214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r>
              <a:rPr lang="en-GB" sz="1400"/>
              <a:t>Men</a:t>
            </a:r>
          </a:p>
        </c:rich>
      </c:tx>
      <c:layout/>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prevalence!$G$43</c:f>
              <c:strCache>
                <c:ptCount val="1"/>
                <c:pt idx="0">
                  <c:v>Frail</c:v>
                </c:pt>
              </c:strCache>
            </c:strRef>
          </c:tx>
          <c:spPr>
            <a:solidFill>
              <a:schemeClr val="dk1">
                <a:tint val="88500"/>
              </a:schemeClr>
            </a:solidFill>
            <a:ln>
              <a:noFill/>
            </a:ln>
            <a:effectLst/>
          </c:spPr>
          <c:invertIfNegative val="0"/>
          <c:cat>
            <c:strRef>
              <c:f>prevalence!$H$47:$J$47</c:f>
              <c:strCache>
                <c:ptCount val="3"/>
                <c:pt idx="0">
                  <c:v>70–74</c:v>
                </c:pt>
                <c:pt idx="1">
                  <c:v>75–79</c:v>
                </c:pt>
                <c:pt idx="2">
                  <c:v>≥ 80</c:v>
                </c:pt>
              </c:strCache>
            </c:strRef>
          </c:cat>
          <c:val>
            <c:numRef>
              <c:f>prevalence!$H$43:$J$43</c:f>
              <c:numCache>
                <c:formatCode>0.00%</c:formatCode>
                <c:ptCount val="3"/>
                <c:pt idx="0" formatCode="0%">
                  <c:v>0.05</c:v>
                </c:pt>
                <c:pt idx="1">
                  <c:v>9.8000000000000004E-2</c:v>
                </c:pt>
                <c:pt idx="2" formatCode="0%">
                  <c:v>0</c:v>
                </c:pt>
              </c:numCache>
            </c:numRef>
          </c:val>
          <c:extLst>
            <c:ext xmlns:c16="http://schemas.microsoft.com/office/drawing/2014/chart" uri="{C3380CC4-5D6E-409C-BE32-E72D297353CC}">
              <c16:uniqueId val="{00000000-8F58-4DD5-B45E-912F1E98BA10}"/>
            </c:ext>
          </c:extLst>
        </c:ser>
        <c:ser>
          <c:idx val="1"/>
          <c:order val="1"/>
          <c:tx>
            <c:strRef>
              <c:f>prevalence!$G$44</c:f>
              <c:strCache>
                <c:ptCount val="1"/>
                <c:pt idx="0">
                  <c:v>Pre-frail </c:v>
                </c:pt>
              </c:strCache>
            </c:strRef>
          </c:tx>
          <c:spPr>
            <a:solidFill>
              <a:schemeClr val="dk1">
                <a:tint val="55000"/>
              </a:schemeClr>
            </a:solidFill>
            <a:ln>
              <a:noFill/>
            </a:ln>
            <a:effectLst/>
          </c:spPr>
          <c:invertIfNegative val="0"/>
          <c:cat>
            <c:strRef>
              <c:f>prevalence!$H$47:$J$47</c:f>
              <c:strCache>
                <c:ptCount val="3"/>
                <c:pt idx="0">
                  <c:v>70–74</c:v>
                </c:pt>
                <c:pt idx="1">
                  <c:v>75–79</c:v>
                </c:pt>
                <c:pt idx="2">
                  <c:v>≥ 80</c:v>
                </c:pt>
              </c:strCache>
            </c:strRef>
          </c:cat>
          <c:val>
            <c:numRef>
              <c:f>prevalence!$H$44:$J$44</c:f>
              <c:numCache>
                <c:formatCode>0.00%</c:formatCode>
                <c:ptCount val="3"/>
                <c:pt idx="0" formatCode="0%">
                  <c:v>0.51</c:v>
                </c:pt>
                <c:pt idx="1">
                  <c:v>0.56499999999999995</c:v>
                </c:pt>
                <c:pt idx="2">
                  <c:v>0.71399999999999997</c:v>
                </c:pt>
              </c:numCache>
            </c:numRef>
          </c:val>
          <c:extLst>
            <c:ext xmlns:c16="http://schemas.microsoft.com/office/drawing/2014/chart" uri="{C3380CC4-5D6E-409C-BE32-E72D297353CC}">
              <c16:uniqueId val="{00000001-8F58-4DD5-B45E-912F1E98BA10}"/>
            </c:ext>
          </c:extLst>
        </c:ser>
        <c:dLbls>
          <c:showLegendKey val="0"/>
          <c:showVal val="0"/>
          <c:showCatName val="0"/>
          <c:showSerName val="0"/>
          <c:showPercent val="0"/>
          <c:showBubbleSize val="0"/>
        </c:dLbls>
        <c:gapWidth val="95"/>
        <c:overlap val="100"/>
        <c:axId val="1452435696"/>
        <c:axId val="1522175936"/>
      </c:barChart>
      <c:catAx>
        <c:axId val="145243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22175936"/>
        <c:crosses val="autoZero"/>
        <c:auto val="1"/>
        <c:lblAlgn val="ctr"/>
        <c:lblOffset val="100"/>
        <c:noMultiLvlLbl val="0"/>
      </c:catAx>
      <c:valAx>
        <c:axId val="1522175936"/>
        <c:scaling>
          <c:orientation val="minMax"/>
          <c:max val="1"/>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4356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5CA7C2A6AB5C499DD3DB802AA24938" ma:contentTypeVersion="8" ma:contentTypeDescription="Create a new document." ma:contentTypeScope="" ma:versionID="f9acc43931d6b79ae8eecaff5aafdcfd">
  <xsd:schema xmlns:xsd="http://www.w3.org/2001/XMLSchema" xmlns:xs="http://www.w3.org/2001/XMLSchema" xmlns:p="http://schemas.microsoft.com/office/2006/metadata/properties" xmlns:ns3="9f22331a-26be-4e5a-93cd-330ffb7c15a1" targetNamespace="http://schemas.microsoft.com/office/2006/metadata/properties" ma:root="true" ma:fieldsID="3886cde5818e27a834992914e9f0e167" ns3:_="">
    <xsd:import namespace="9f22331a-26be-4e5a-93cd-330ffb7c15a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2331a-26be-4e5a-93cd-330ffb7c15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C236-E0F8-4CC6-9EB6-D33574D730C7}">
  <ds:schemaRefs>
    <ds:schemaRef ds:uri="http://schemas.microsoft.com/sharepoint/v3/contenttype/forms"/>
  </ds:schemaRefs>
</ds:datastoreItem>
</file>

<file path=customXml/itemProps2.xml><?xml version="1.0" encoding="utf-8"?>
<ds:datastoreItem xmlns:ds="http://schemas.openxmlformats.org/officeDocument/2006/customXml" ds:itemID="{B348CCEF-AD36-46AB-B16F-30B394FEF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2331a-26be-4e5a-93cd-330ffb7c1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25552C-7CC1-4331-8EF7-BF3894AA2EB1}">
  <ds:schemaRefs>
    <ds:schemaRef ds:uri="http://schemas.microsoft.com/office/2006/metadata/propertie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 ds:uri="http://purl.org/dc/terms/"/>
    <ds:schemaRef ds:uri="http://schemas.openxmlformats.org/package/2006/metadata/core-properties"/>
    <ds:schemaRef ds:uri="9f22331a-26be-4e5a-93cd-330ffb7c15a1"/>
  </ds:schemaRefs>
</ds:datastoreItem>
</file>

<file path=customXml/itemProps4.xml><?xml version="1.0" encoding="utf-8"?>
<ds:datastoreItem xmlns:ds="http://schemas.openxmlformats.org/officeDocument/2006/customXml" ds:itemID="{6133B48E-E471-45D1-8F74-ECF9A87BE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32513</Words>
  <Characters>185328</Characters>
  <Application>Microsoft Office Word</Application>
  <DocSecurity>4</DocSecurity>
  <Lines>1544</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φαιδρα λασκου</dc:creator>
  <cp:keywords/>
  <dc:description/>
  <cp:lastModifiedBy>Karen Drake</cp:lastModifiedBy>
  <cp:revision>2</cp:revision>
  <dcterms:created xsi:type="dcterms:W3CDTF">2021-11-02T11:10:00Z</dcterms:created>
  <dcterms:modified xsi:type="dcterms:W3CDTF">2021-11-02T11:10:00Z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http://www.zotero.org/styles/journal-of-cachexia-sarcopenia-and-muscle</vt:lpwstr>
  </property>
  <property fmtid="{D5CDD505-2E9C-101B-9397-08002B2CF9AE}" pid="9" name="Mendeley Recent Style Name 3_1">
    <vt:lpwstr>Journal of Cachexia, Sarcopenia and Muscle</vt:lpwstr>
  </property>
  <property fmtid="{D5CDD505-2E9C-101B-9397-08002B2CF9AE}" pid="10" name="Mendeley Recent Style Id 4_1">
    <vt:lpwstr>http://www.zotero.org/styles/mendeley-to-endnote-title</vt:lpwstr>
  </property>
  <property fmtid="{D5CDD505-2E9C-101B-9397-08002B2CF9AE}" pid="11" name="Mendeley Recent Style Name 4_1">
    <vt:lpwstr>Mendeley to EndNote Title </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http://csl.mendeley.com/styles/590562071/taylor-and-francis-national-library-of-medicine</vt:lpwstr>
  </property>
  <property fmtid="{D5CDD505-2E9C-101B-9397-08002B2CF9AE}" pid="15" name="Mendeley Recent Style Name 6_1">
    <vt:lpwstr>Taylor &amp; Francis - National Library of Medicine - Faidra Laskou</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http://csl.mendeley.com/styles/590562071/vancouver</vt:lpwstr>
  </property>
  <property fmtid="{D5CDD505-2E9C-101B-9397-08002B2CF9AE}" pid="19" name="Mendeley Recent Style Name 8_1">
    <vt:lpwstr>Vancouver - Faidra Laskou</vt:lpwstr>
  </property>
  <property fmtid="{D5CDD505-2E9C-101B-9397-08002B2CF9AE}" pid="20" name="Mendeley Recent Style Id 9_1">
    <vt:lpwstr>http://csl.mendeley.com/styles/590562071/vancouver-2</vt:lpwstr>
  </property>
  <property fmtid="{D5CDD505-2E9C-101B-9397-08002B2CF9AE}" pid="21" name="Mendeley Recent Style Name 9_1">
    <vt:lpwstr>Vancouver - Faidra Laskou</vt:lpwstr>
  </property>
  <property fmtid="{D5CDD505-2E9C-101B-9397-08002B2CF9AE}" pid="22" name="Mendeley Document_1">
    <vt:lpwstr>True</vt:lpwstr>
  </property>
  <property fmtid="{D5CDD505-2E9C-101B-9397-08002B2CF9AE}" pid="23" name="Mendeley Unique User Id_1">
    <vt:lpwstr>c8fcf20c-f4b8-3213-b306-9bfcffdaf0cf</vt:lpwstr>
  </property>
  <property fmtid="{D5CDD505-2E9C-101B-9397-08002B2CF9AE}" pid="24" name="Mendeley Citation Style_1">
    <vt:lpwstr>http://csl.mendeley.com/styles/590562071/vancouver-2</vt:lpwstr>
  </property>
  <property fmtid="{D5CDD505-2E9C-101B-9397-08002B2CF9AE}" pid="25" name="ContentTypeId">
    <vt:lpwstr>0x0101007B5CA7C2A6AB5C499DD3DB802AA24938</vt:lpwstr>
  </property>
</Properties>
</file>